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F1100" w14:textId="5F6BC590" w:rsidR="006C4CE4" w:rsidRDefault="005C07DB" w:rsidP="005C07DB">
      <w:pPr>
        <w:pStyle w:val="Title"/>
        <w:ind w:left="0"/>
      </w:pPr>
      <w:bookmarkStart w:id="0" w:name="_Toc123726783"/>
      <w:bookmarkStart w:id="1" w:name="_Toc37923968"/>
      <w:r>
        <w:rPr>
          <w:noProof/>
        </w:rPr>
        <w:drawing>
          <wp:anchor distT="0" distB="0" distL="114300" distR="114300" simplePos="0" relativeHeight="251657255" behindDoc="1" locked="0" layoutInCell="1" allowOverlap="1" wp14:anchorId="6A1FDBDE" wp14:editId="26C8EC81">
            <wp:simplePos x="0" y="0"/>
            <wp:positionH relativeFrom="margin">
              <wp:posOffset>-697865</wp:posOffset>
            </wp:positionH>
            <wp:positionV relativeFrom="margin">
              <wp:posOffset>-699770</wp:posOffset>
            </wp:positionV>
            <wp:extent cx="7601585" cy="10750550"/>
            <wp:effectExtent l="0" t="0" r="0" b="0"/>
            <wp:wrapSquare wrapText="bothSides"/>
            <wp:docPr id="1180409159" name="Picture 45" descr="Cover image of the Pacific Women Lead Mid Term Review featuring an illustration of three Pacific islander women walking purposefully across a landscape that is coloured orange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09159" name="Picture 45" descr="Cover image of the Pacific Women Lead Mid Term Review featuring an illustration of three Pacific islander women walking purposefully across a landscape that is coloured orange and blu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01585" cy="10750550"/>
                    </a:xfrm>
                    <a:prstGeom prst="rect">
                      <a:avLst/>
                    </a:prstGeom>
                  </pic:spPr>
                </pic:pic>
              </a:graphicData>
            </a:graphic>
            <wp14:sizeRelH relativeFrom="page">
              <wp14:pctWidth>0</wp14:pctWidth>
            </wp14:sizeRelH>
            <wp14:sizeRelV relativeFrom="page">
              <wp14:pctHeight>0</wp14:pctHeight>
            </wp14:sizeRelV>
          </wp:anchor>
        </w:drawing>
      </w:r>
    </w:p>
    <w:bookmarkEnd w:id="0"/>
    <w:p w14:paraId="1AF09A6F" w14:textId="77777777" w:rsidR="005209F0" w:rsidRPr="00EE243C" w:rsidRDefault="005209F0" w:rsidP="0069066A">
      <w:pPr>
        <w:pStyle w:val="TOCHeading"/>
      </w:pPr>
      <w:r w:rsidRPr="00EE243C">
        <w:lastRenderedPageBreak/>
        <w:t>Contents</w:t>
      </w:r>
    </w:p>
    <w:p w14:paraId="59009342" w14:textId="00500EAE" w:rsidR="003713CA" w:rsidRDefault="00111A6E">
      <w:pPr>
        <w:pStyle w:val="TOC1"/>
        <w:rPr>
          <w:rFonts w:asciiTheme="minorHAnsi" w:eastAsiaTheme="minorEastAsia" w:hAnsiTheme="minorHAnsi"/>
          <w:caps w:val="0"/>
          <w:noProof/>
          <w:color w:val="auto"/>
          <w:kern w:val="2"/>
          <w:szCs w:val="24"/>
          <w:lang w:val="en-US"/>
          <w14:ligatures w14:val="standardContextual"/>
        </w:rPr>
      </w:pPr>
      <w:r w:rsidRPr="00EE243C">
        <w:fldChar w:fldCharType="begin"/>
      </w:r>
      <w:r w:rsidRPr="00EE243C">
        <w:instrText xml:space="preserve"> TOC \o "1-2" \h \z \u \t "Heading 8,1,Heading 9,2" </w:instrText>
      </w:r>
      <w:r w:rsidRPr="00EE243C">
        <w:fldChar w:fldCharType="separate"/>
      </w:r>
      <w:hyperlink w:anchor="_Toc201840789" w:history="1">
        <w:r w:rsidR="003713CA" w:rsidRPr="004C769C">
          <w:rPr>
            <w:rStyle w:val="Hyperlink"/>
            <w:noProof/>
          </w:rPr>
          <w:t>Executive summary</w:t>
        </w:r>
        <w:r w:rsidR="003713CA">
          <w:rPr>
            <w:noProof/>
            <w:webHidden/>
          </w:rPr>
          <w:tab/>
        </w:r>
        <w:r w:rsidR="003713CA">
          <w:rPr>
            <w:noProof/>
            <w:webHidden/>
          </w:rPr>
          <w:fldChar w:fldCharType="begin"/>
        </w:r>
        <w:r w:rsidR="003713CA">
          <w:rPr>
            <w:noProof/>
            <w:webHidden/>
          </w:rPr>
          <w:instrText xml:space="preserve"> PAGEREF _Toc201840789 \h </w:instrText>
        </w:r>
        <w:r w:rsidR="003713CA">
          <w:rPr>
            <w:noProof/>
            <w:webHidden/>
          </w:rPr>
        </w:r>
        <w:r w:rsidR="003713CA">
          <w:rPr>
            <w:noProof/>
            <w:webHidden/>
          </w:rPr>
          <w:fldChar w:fldCharType="separate"/>
        </w:r>
        <w:r w:rsidR="00B12D5B">
          <w:rPr>
            <w:noProof/>
            <w:webHidden/>
          </w:rPr>
          <w:t>4</w:t>
        </w:r>
        <w:r w:rsidR="003713CA">
          <w:rPr>
            <w:noProof/>
            <w:webHidden/>
          </w:rPr>
          <w:fldChar w:fldCharType="end"/>
        </w:r>
      </w:hyperlink>
    </w:p>
    <w:p w14:paraId="061E2352" w14:textId="484EA052" w:rsidR="003713CA" w:rsidRDefault="003713CA">
      <w:pPr>
        <w:pStyle w:val="TOC2"/>
        <w:tabs>
          <w:tab w:val="right" w:leader="dot" w:pos="9742"/>
        </w:tabs>
        <w:rPr>
          <w:rFonts w:asciiTheme="minorHAnsi" w:eastAsiaTheme="minorEastAsia" w:hAnsiTheme="minorHAnsi"/>
          <w:noProof/>
          <w:color w:val="auto"/>
          <w:kern w:val="2"/>
          <w:sz w:val="24"/>
          <w:szCs w:val="24"/>
          <w:lang w:val="en-US"/>
          <w14:ligatures w14:val="standardContextual"/>
        </w:rPr>
      </w:pPr>
      <w:hyperlink w:anchor="_Toc201840790" w:history="1">
        <w:r w:rsidRPr="004C769C">
          <w:rPr>
            <w:rStyle w:val="Hyperlink"/>
            <w:noProof/>
          </w:rPr>
          <w:t>Introduction</w:t>
        </w:r>
        <w:r>
          <w:rPr>
            <w:noProof/>
            <w:webHidden/>
          </w:rPr>
          <w:tab/>
        </w:r>
        <w:r>
          <w:rPr>
            <w:noProof/>
            <w:webHidden/>
          </w:rPr>
          <w:fldChar w:fldCharType="begin"/>
        </w:r>
        <w:r>
          <w:rPr>
            <w:noProof/>
            <w:webHidden/>
          </w:rPr>
          <w:instrText xml:space="preserve"> PAGEREF _Toc201840790 \h </w:instrText>
        </w:r>
        <w:r>
          <w:rPr>
            <w:noProof/>
            <w:webHidden/>
          </w:rPr>
        </w:r>
        <w:r>
          <w:rPr>
            <w:noProof/>
            <w:webHidden/>
          </w:rPr>
          <w:fldChar w:fldCharType="separate"/>
        </w:r>
        <w:r w:rsidR="00B12D5B">
          <w:rPr>
            <w:noProof/>
            <w:webHidden/>
          </w:rPr>
          <w:t>4</w:t>
        </w:r>
        <w:r>
          <w:rPr>
            <w:noProof/>
            <w:webHidden/>
          </w:rPr>
          <w:fldChar w:fldCharType="end"/>
        </w:r>
      </w:hyperlink>
    </w:p>
    <w:p w14:paraId="4D3DBA2F" w14:textId="16D98CE6" w:rsidR="003713CA" w:rsidRDefault="003713CA">
      <w:pPr>
        <w:pStyle w:val="TOC2"/>
        <w:tabs>
          <w:tab w:val="right" w:leader="dot" w:pos="9742"/>
        </w:tabs>
        <w:rPr>
          <w:rFonts w:asciiTheme="minorHAnsi" w:eastAsiaTheme="minorEastAsia" w:hAnsiTheme="minorHAnsi"/>
          <w:noProof/>
          <w:color w:val="auto"/>
          <w:kern w:val="2"/>
          <w:sz w:val="24"/>
          <w:szCs w:val="24"/>
          <w:lang w:val="en-US"/>
          <w14:ligatures w14:val="standardContextual"/>
        </w:rPr>
      </w:pPr>
      <w:hyperlink w:anchor="_Toc201840791" w:history="1">
        <w:r w:rsidRPr="004C769C">
          <w:rPr>
            <w:rStyle w:val="Hyperlink"/>
            <w:noProof/>
          </w:rPr>
          <w:t>Overall MTR finding</w:t>
        </w:r>
        <w:r>
          <w:rPr>
            <w:noProof/>
            <w:webHidden/>
          </w:rPr>
          <w:tab/>
        </w:r>
        <w:r>
          <w:rPr>
            <w:noProof/>
            <w:webHidden/>
          </w:rPr>
          <w:fldChar w:fldCharType="begin"/>
        </w:r>
        <w:r>
          <w:rPr>
            <w:noProof/>
            <w:webHidden/>
          </w:rPr>
          <w:instrText xml:space="preserve"> PAGEREF _Toc201840791 \h </w:instrText>
        </w:r>
        <w:r>
          <w:rPr>
            <w:noProof/>
            <w:webHidden/>
          </w:rPr>
        </w:r>
        <w:r>
          <w:rPr>
            <w:noProof/>
            <w:webHidden/>
          </w:rPr>
          <w:fldChar w:fldCharType="separate"/>
        </w:r>
        <w:r w:rsidR="00B12D5B">
          <w:rPr>
            <w:noProof/>
            <w:webHidden/>
          </w:rPr>
          <w:t>5</w:t>
        </w:r>
        <w:r>
          <w:rPr>
            <w:noProof/>
            <w:webHidden/>
          </w:rPr>
          <w:fldChar w:fldCharType="end"/>
        </w:r>
      </w:hyperlink>
    </w:p>
    <w:p w14:paraId="541C7C28" w14:textId="1F9923B3" w:rsidR="003713CA" w:rsidRDefault="003713CA">
      <w:pPr>
        <w:pStyle w:val="TOC2"/>
        <w:tabs>
          <w:tab w:val="right" w:leader="dot" w:pos="9742"/>
        </w:tabs>
        <w:rPr>
          <w:rFonts w:asciiTheme="minorHAnsi" w:eastAsiaTheme="minorEastAsia" w:hAnsiTheme="minorHAnsi"/>
          <w:noProof/>
          <w:color w:val="auto"/>
          <w:kern w:val="2"/>
          <w:sz w:val="24"/>
          <w:szCs w:val="24"/>
          <w:lang w:val="en-US"/>
          <w14:ligatures w14:val="standardContextual"/>
        </w:rPr>
      </w:pPr>
      <w:hyperlink w:anchor="_Toc201840792" w:history="1">
        <w:r w:rsidRPr="004C769C">
          <w:rPr>
            <w:rStyle w:val="Hyperlink"/>
            <w:noProof/>
          </w:rPr>
          <w:t>MTR findings against key review questions</w:t>
        </w:r>
        <w:r>
          <w:rPr>
            <w:noProof/>
            <w:webHidden/>
          </w:rPr>
          <w:tab/>
        </w:r>
        <w:r>
          <w:rPr>
            <w:noProof/>
            <w:webHidden/>
          </w:rPr>
          <w:fldChar w:fldCharType="begin"/>
        </w:r>
        <w:r>
          <w:rPr>
            <w:noProof/>
            <w:webHidden/>
          </w:rPr>
          <w:instrText xml:space="preserve"> PAGEREF _Toc201840792 \h </w:instrText>
        </w:r>
        <w:r>
          <w:rPr>
            <w:noProof/>
            <w:webHidden/>
          </w:rPr>
        </w:r>
        <w:r>
          <w:rPr>
            <w:noProof/>
            <w:webHidden/>
          </w:rPr>
          <w:fldChar w:fldCharType="separate"/>
        </w:r>
        <w:r w:rsidR="00B12D5B">
          <w:rPr>
            <w:noProof/>
            <w:webHidden/>
          </w:rPr>
          <w:t>5</w:t>
        </w:r>
        <w:r>
          <w:rPr>
            <w:noProof/>
            <w:webHidden/>
          </w:rPr>
          <w:fldChar w:fldCharType="end"/>
        </w:r>
      </w:hyperlink>
    </w:p>
    <w:p w14:paraId="63D3F7A0" w14:textId="7637913D" w:rsidR="003713CA" w:rsidRDefault="003713CA">
      <w:pPr>
        <w:pStyle w:val="TOC2"/>
        <w:tabs>
          <w:tab w:val="right" w:leader="dot" w:pos="9742"/>
        </w:tabs>
        <w:rPr>
          <w:rFonts w:asciiTheme="minorHAnsi" w:eastAsiaTheme="minorEastAsia" w:hAnsiTheme="minorHAnsi"/>
          <w:noProof/>
          <w:color w:val="auto"/>
          <w:kern w:val="2"/>
          <w:sz w:val="24"/>
          <w:szCs w:val="24"/>
          <w:lang w:val="en-US"/>
          <w14:ligatures w14:val="standardContextual"/>
        </w:rPr>
      </w:pPr>
      <w:hyperlink w:anchor="_Toc201840793" w:history="1">
        <w:r w:rsidRPr="004C769C">
          <w:rPr>
            <w:rStyle w:val="Hyperlink"/>
            <w:noProof/>
          </w:rPr>
          <w:t>Recommendations</w:t>
        </w:r>
        <w:r>
          <w:rPr>
            <w:noProof/>
            <w:webHidden/>
          </w:rPr>
          <w:tab/>
        </w:r>
        <w:r>
          <w:rPr>
            <w:noProof/>
            <w:webHidden/>
          </w:rPr>
          <w:fldChar w:fldCharType="begin"/>
        </w:r>
        <w:r>
          <w:rPr>
            <w:noProof/>
            <w:webHidden/>
          </w:rPr>
          <w:instrText xml:space="preserve"> PAGEREF _Toc201840793 \h </w:instrText>
        </w:r>
        <w:r>
          <w:rPr>
            <w:noProof/>
            <w:webHidden/>
          </w:rPr>
        </w:r>
        <w:r>
          <w:rPr>
            <w:noProof/>
            <w:webHidden/>
          </w:rPr>
          <w:fldChar w:fldCharType="separate"/>
        </w:r>
        <w:r w:rsidR="00B12D5B">
          <w:rPr>
            <w:noProof/>
            <w:webHidden/>
          </w:rPr>
          <w:t>8</w:t>
        </w:r>
        <w:r>
          <w:rPr>
            <w:noProof/>
            <w:webHidden/>
          </w:rPr>
          <w:fldChar w:fldCharType="end"/>
        </w:r>
      </w:hyperlink>
    </w:p>
    <w:p w14:paraId="55CFA0F2" w14:textId="20C1D8E1" w:rsidR="003713CA" w:rsidRDefault="003713CA">
      <w:pPr>
        <w:pStyle w:val="TOC1"/>
        <w:rPr>
          <w:rFonts w:asciiTheme="minorHAnsi" w:eastAsiaTheme="minorEastAsia" w:hAnsiTheme="minorHAnsi"/>
          <w:caps w:val="0"/>
          <w:noProof/>
          <w:color w:val="auto"/>
          <w:kern w:val="2"/>
          <w:szCs w:val="24"/>
          <w:lang w:val="en-US"/>
          <w14:ligatures w14:val="standardContextual"/>
        </w:rPr>
      </w:pPr>
      <w:hyperlink w:anchor="_Toc201840794" w:history="1">
        <w:r w:rsidRPr="004C769C">
          <w:rPr>
            <w:rStyle w:val="Hyperlink"/>
            <w:noProof/>
          </w:rPr>
          <w:t>1. Introduction</w:t>
        </w:r>
        <w:r>
          <w:rPr>
            <w:noProof/>
            <w:webHidden/>
          </w:rPr>
          <w:tab/>
        </w:r>
        <w:r>
          <w:rPr>
            <w:noProof/>
            <w:webHidden/>
          </w:rPr>
          <w:fldChar w:fldCharType="begin"/>
        </w:r>
        <w:r>
          <w:rPr>
            <w:noProof/>
            <w:webHidden/>
          </w:rPr>
          <w:instrText xml:space="preserve"> PAGEREF _Toc201840794 \h </w:instrText>
        </w:r>
        <w:r>
          <w:rPr>
            <w:noProof/>
            <w:webHidden/>
          </w:rPr>
        </w:r>
        <w:r>
          <w:rPr>
            <w:noProof/>
            <w:webHidden/>
          </w:rPr>
          <w:fldChar w:fldCharType="separate"/>
        </w:r>
        <w:r w:rsidR="00B12D5B">
          <w:rPr>
            <w:noProof/>
            <w:webHidden/>
          </w:rPr>
          <w:t>9</w:t>
        </w:r>
        <w:r>
          <w:rPr>
            <w:noProof/>
            <w:webHidden/>
          </w:rPr>
          <w:fldChar w:fldCharType="end"/>
        </w:r>
      </w:hyperlink>
    </w:p>
    <w:p w14:paraId="195E4C5E" w14:textId="081185CC" w:rsidR="003713CA" w:rsidRDefault="003713CA">
      <w:pPr>
        <w:pStyle w:val="TOC1"/>
        <w:rPr>
          <w:rFonts w:asciiTheme="minorHAnsi" w:eastAsiaTheme="minorEastAsia" w:hAnsiTheme="minorHAnsi"/>
          <w:caps w:val="0"/>
          <w:noProof/>
          <w:color w:val="auto"/>
          <w:kern w:val="2"/>
          <w:szCs w:val="24"/>
          <w:lang w:val="en-US"/>
          <w14:ligatures w14:val="standardContextual"/>
        </w:rPr>
      </w:pPr>
      <w:hyperlink w:anchor="_Toc201840795" w:history="1">
        <w:r w:rsidRPr="004C769C">
          <w:rPr>
            <w:rStyle w:val="Hyperlink"/>
            <w:noProof/>
          </w:rPr>
          <w:t>2. overAll finding</w:t>
        </w:r>
        <w:r>
          <w:rPr>
            <w:noProof/>
            <w:webHidden/>
          </w:rPr>
          <w:tab/>
        </w:r>
        <w:r>
          <w:rPr>
            <w:noProof/>
            <w:webHidden/>
          </w:rPr>
          <w:fldChar w:fldCharType="begin"/>
        </w:r>
        <w:r>
          <w:rPr>
            <w:noProof/>
            <w:webHidden/>
          </w:rPr>
          <w:instrText xml:space="preserve"> PAGEREF _Toc201840795 \h </w:instrText>
        </w:r>
        <w:r>
          <w:rPr>
            <w:noProof/>
            <w:webHidden/>
          </w:rPr>
        </w:r>
        <w:r>
          <w:rPr>
            <w:noProof/>
            <w:webHidden/>
          </w:rPr>
          <w:fldChar w:fldCharType="separate"/>
        </w:r>
        <w:r w:rsidR="00B12D5B">
          <w:rPr>
            <w:noProof/>
            <w:webHidden/>
          </w:rPr>
          <w:t>12</w:t>
        </w:r>
        <w:r>
          <w:rPr>
            <w:noProof/>
            <w:webHidden/>
          </w:rPr>
          <w:fldChar w:fldCharType="end"/>
        </w:r>
      </w:hyperlink>
    </w:p>
    <w:p w14:paraId="51A46D91" w14:textId="524A5BC6" w:rsidR="003713CA" w:rsidRDefault="003713CA">
      <w:pPr>
        <w:pStyle w:val="TOC1"/>
        <w:rPr>
          <w:rFonts w:asciiTheme="minorHAnsi" w:eastAsiaTheme="minorEastAsia" w:hAnsiTheme="minorHAnsi"/>
          <w:caps w:val="0"/>
          <w:noProof/>
          <w:color w:val="auto"/>
          <w:kern w:val="2"/>
          <w:szCs w:val="24"/>
          <w:lang w:val="en-US"/>
          <w14:ligatures w14:val="standardContextual"/>
        </w:rPr>
      </w:pPr>
      <w:hyperlink w:anchor="_Toc201840796" w:history="1">
        <w:r w:rsidRPr="004C769C">
          <w:rPr>
            <w:rStyle w:val="Hyperlink"/>
            <w:noProof/>
          </w:rPr>
          <w:t>3. FINDING</w:t>
        </w:r>
        <w:r w:rsidR="006F63DC">
          <w:rPr>
            <w:rStyle w:val="Hyperlink"/>
            <w:noProof/>
          </w:rPr>
          <w:t>S</w:t>
        </w:r>
        <w:r w:rsidRPr="004C769C">
          <w:rPr>
            <w:rStyle w:val="Hyperlink"/>
            <w:noProof/>
          </w:rPr>
          <w:t xml:space="preserve"> </w:t>
        </w:r>
        <w:r w:rsidR="00D81343" w:rsidRPr="00D81343">
          <w:rPr>
            <w:rStyle w:val="Hyperlink"/>
            <w:noProof/>
          </w:rPr>
          <w:t>–</w:t>
        </w:r>
        <w:r w:rsidRPr="004C769C">
          <w:rPr>
            <w:rStyle w:val="Hyperlink"/>
            <w:noProof/>
          </w:rPr>
          <w:t xml:space="preserve"> EFFECTIVENESS</w:t>
        </w:r>
        <w:r>
          <w:rPr>
            <w:noProof/>
            <w:webHidden/>
          </w:rPr>
          <w:tab/>
        </w:r>
        <w:r>
          <w:rPr>
            <w:noProof/>
            <w:webHidden/>
          </w:rPr>
          <w:fldChar w:fldCharType="begin"/>
        </w:r>
        <w:r>
          <w:rPr>
            <w:noProof/>
            <w:webHidden/>
          </w:rPr>
          <w:instrText xml:space="preserve"> PAGEREF _Toc201840796 \h </w:instrText>
        </w:r>
        <w:r>
          <w:rPr>
            <w:noProof/>
            <w:webHidden/>
          </w:rPr>
        </w:r>
        <w:r>
          <w:rPr>
            <w:noProof/>
            <w:webHidden/>
          </w:rPr>
          <w:fldChar w:fldCharType="separate"/>
        </w:r>
        <w:r w:rsidR="00B12D5B">
          <w:rPr>
            <w:noProof/>
            <w:webHidden/>
          </w:rPr>
          <w:t>13</w:t>
        </w:r>
        <w:r>
          <w:rPr>
            <w:noProof/>
            <w:webHidden/>
          </w:rPr>
          <w:fldChar w:fldCharType="end"/>
        </w:r>
      </w:hyperlink>
    </w:p>
    <w:p w14:paraId="2C0C2F17" w14:textId="297734CC" w:rsidR="003713CA" w:rsidRDefault="003713CA">
      <w:pPr>
        <w:pStyle w:val="TOC1"/>
        <w:rPr>
          <w:rFonts w:asciiTheme="minorHAnsi" w:eastAsiaTheme="minorEastAsia" w:hAnsiTheme="minorHAnsi"/>
          <w:caps w:val="0"/>
          <w:noProof/>
          <w:color w:val="auto"/>
          <w:kern w:val="2"/>
          <w:szCs w:val="24"/>
          <w:lang w:val="en-US"/>
          <w14:ligatures w14:val="standardContextual"/>
        </w:rPr>
      </w:pPr>
      <w:hyperlink w:anchor="_Toc201840797" w:history="1">
        <w:r w:rsidRPr="004C769C">
          <w:rPr>
            <w:rStyle w:val="Hyperlink"/>
            <w:noProof/>
          </w:rPr>
          <w:t xml:space="preserve">4. Findings </w:t>
        </w:r>
        <w:r w:rsidR="00D81343" w:rsidRPr="00D81343">
          <w:rPr>
            <w:rStyle w:val="Hyperlink"/>
            <w:noProof/>
          </w:rPr>
          <w:t>–</w:t>
        </w:r>
        <w:r w:rsidRPr="004C769C">
          <w:rPr>
            <w:rStyle w:val="Hyperlink"/>
            <w:noProof/>
          </w:rPr>
          <w:t xml:space="preserve"> Relevance</w:t>
        </w:r>
        <w:r>
          <w:rPr>
            <w:noProof/>
            <w:webHidden/>
          </w:rPr>
          <w:tab/>
        </w:r>
        <w:r>
          <w:rPr>
            <w:noProof/>
            <w:webHidden/>
          </w:rPr>
          <w:fldChar w:fldCharType="begin"/>
        </w:r>
        <w:r>
          <w:rPr>
            <w:noProof/>
            <w:webHidden/>
          </w:rPr>
          <w:instrText xml:space="preserve"> PAGEREF _Toc201840797 \h </w:instrText>
        </w:r>
        <w:r>
          <w:rPr>
            <w:noProof/>
            <w:webHidden/>
          </w:rPr>
        </w:r>
        <w:r>
          <w:rPr>
            <w:noProof/>
            <w:webHidden/>
          </w:rPr>
          <w:fldChar w:fldCharType="separate"/>
        </w:r>
        <w:r w:rsidR="00B12D5B">
          <w:rPr>
            <w:noProof/>
            <w:webHidden/>
          </w:rPr>
          <w:t>46</w:t>
        </w:r>
        <w:r>
          <w:rPr>
            <w:noProof/>
            <w:webHidden/>
          </w:rPr>
          <w:fldChar w:fldCharType="end"/>
        </w:r>
      </w:hyperlink>
    </w:p>
    <w:p w14:paraId="6A774FE8" w14:textId="6A679BF4" w:rsidR="003713CA" w:rsidRDefault="003713CA">
      <w:pPr>
        <w:pStyle w:val="TOC1"/>
        <w:rPr>
          <w:rFonts w:asciiTheme="minorHAnsi" w:eastAsiaTheme="minorEastAsia" w:hAnsiTheme="minorHAnsi"/>
          <w:caps w:val="0"/>
          <w:noProof/>
          <w:color w:val="auto"/>
          <w:kern w:val="2"/>
          <w:szCs w:val="24"/>
          <w:lang w:val="en-US"/>
          <w14:ligatures w14:val="standardContextual"/>
        </w:rPr>
      </w:pPr>
      <w:hyperlink w:anchor="_Toc201840798" w:history="1">
        <w:r w:rsidRPr="004C769C">
          <w:rPr>
            <w:rStyle w:val="Hyperlink"/>
            <w:noProof/>
          </w:rPr>
          <w:t xml:space="preserve">5. Findings </w:t>
        </w:r>
        <w:r w:rsidR="00D81343" w:rsidRPr="00D81343">
          <w:rPr>
            <w:rStyle w:val="Hyperlink"/>
            <w:noProof/>
          </w:rPr>
          <w:t>–</w:t>
        </w:r>
        <w:r w:rsidRPr="004C769C">
          <w:rPr>
            <w:rStyle w:val="Hyperlink"/>
            <w:noProof/>
          </w:rPr>
          <w:t xml:space="preserve"> Efficiency</w:t>
        </w:r>
        <w:r>
          <w:rPr>
            <w:noProof/>
            <w:webHidden/>
          </w:rPr>
          <w:tab/>
        </w:r>
        <w:r>
          <w:rPr>
            <w:noProof/>
            <w:webHidden/>
          </w:rPr>
          <w:fldChar w:fldCharType="begin"/>
        </w:r>
        <w:r>
          <w:rPr>
            <w:noProof/>
            <w:webHidden/>
          </w:rPr>
          <w:instrText xml:space="preserve"> PAGEREF _Toc201840798 \h </w:instrText>
        </w:r>
        <w:r>
          <w:rPr>
            <w:noProof/>
            <w:webHidden/>
          </w:rPr>
        </w:r>
        <w:r>
          <w:rPr>
            <w:noProof/>
            <w:webHidden/>
          </w:rPr>
          <w:fldChar w:fldCharType="separate"/>
        </w:r>
        <w:r w:rsidR="00B12D5B">
          <w:rPr>
            <w:noProof/>
            <w:webHidden/>
          </w:rPr>
          <w:t>49</w:t>
        </w:r>
        <w:r>
          <w:rPr>
            <w:noProof/>
            <w:webHidden/>
          </w:rPr>
          <w:fldChar w:fldCharType="end"/>
        </w:r>
      </w:hyperlink>
    </w:p>
    <w:p w14:paraId="7E416D37" w14:textId="3BC3977C" w:rsidR="003713CA" w:rsidRDefault="003713CA">
      <w:pPr>
        <w:pStyle w:val="TOC1"/>
        <w:rPr>
          <w:rFonts w:asciiTheme="minorHAnsi" w:eastAsiaTheme="minorEastAsia" w:hAnsiTheme="minorHAnsi"/>
          <w:caps w:val="0"/>
          <w:noProof/>
          <w:color w:val="auto"/>
          <w:kern w:val="2"/>
          <w:szCs w:val="24"/>
          <w:lang w:val="en-US"/>
          <w14:ligatures w14:val="standardContextual"/>
        </w:rPr>
      </w:pPr>
      <w:hyperlink w:anchor="_Toc201840799" w:history="1">
        <w:r w:rsidRPr="004C769C">
          <w:rPr>
            <w:rStyle w:val="Hyperlink"/>
            <w:noProof/>
          </w:rPr>
          <w:t>6. Findings – Cross cutting</w:t>
        </w:r>
        <w:r>
          <w:rPr>
            <w:noProof/>
            <w:webHidden/>
          </w:rPr>
          <w:tab/>
        </w:r>
        <w:r>
          <w:rPr>
            <w:noProof/>
            <w:webHidden/>
          </w:rPr>
          <w:fldChar w:fldCharType="begin"/>
        </w:r>
        <w:r>
          <w:rPr>
            <w:noProof/>
            <w:webHidden/>
          </w:rPr>
          <w:instrText xml:space="preserve"> PAGEREF _Toc201840799 \h </w:instrText>
        </w:r>
        <w:r>
          <w:rPr>
            <w:noProof/>
            <w:webHidden/>
          </w:rPr>
        </w:r>
        <w:r>
          <w:rPr>
            <w:noProof/>
            <w:webHidden/>
          </w:rPr>
          <w:fldChar w:fldCharType="separate"/>
        </w:r>
        <w:r w:rsidR="00B12D5B">
          <w:rPr>
            <w:noProof/>
            <w:webHidden/>
          </w:rPr>
          <w:t>52</w:t>
        </w:r>
        <w:r>
          <w:rPr>
            <w:noProof/>
            <w:webHidden/>
          </w:rPr>
          <w:fldChar w:fldCharType="end"/>
        </w:r>
      </w:hyperlink>
    </w:p>
    <w:p w14:paraId="2F07D370" w14:textId="141581C1" w:rsidR="003713CA" w:rsidRDefault="003713CA">
      <w:pPr>
        <w:pStyle w:val="TOC1"/>
        <w:rPr>
          <w:rFonts w:asciiTheme="minorHAnsi" w:eastAsiaTheme="minorEastAsia" w:hAnsiTheme="minorHAnsi"/>
          <w:caps w:val="0"/>
          <w:noProof/>
          <w:color w:val="auto"/>
          <w:kern w:val="2"/>
          <w:szCs w:val="24"/>
          <w:lang w:val="en-US"/>
          <w14:ligatures w14:val="standardContextual"/>
        </w:rPr>
      </w:pPr>
      <w:hyperlink w:anchor="_Toc201840800" w:history="1">
        <w:r w:rsidRPr="004C769C">
          <w:rPr>
            <w:rStyle w:val="Hyperlink"/>
            <w:noProof/>
          </w:rPr>
          <w:t>7. Recommendations</w:t>
        </w:r>
        <w:r>
          <w:rPr>
            <w:noProof/>
            <w:webHidden/>
          </w:rPr>
          <w:tab/>
        </w:r>
        <w:r>
          <w:rPr>
            <w:noProof/>
            <w:webHidden/>
          </w:rPr>
          <w:fldChar w:fldCharType="begin"/>
        </w:r>
        <w:r>
          <w:rPr>
            <w:noProof/>
            <w:webHidden/>
          </w:rPr>
          <w:instrText xml:space="preserve"> PAGEREF _Toc201840800 \h </w:instrText>
        </w:r>
        <w:r>
          <w:rPr>
            <w:noProof/>
            <w:webHidden/>
          </w:rPr>
        </w:r>
        <w:r>
          <w:rPr>
            <w:noProof/>
            <w:webHidden/>
          </w:rPr>
          <w:fldChar w:fldCharType="separate"/>
        </w:r>
        <w:r w:rsidR="00B12D5B">
          <w:rPr>
            <w:noProof/>
            <w:webHidden/>
          </w:rPr>
          <w:t>55</w:t>
        </w:r>
        <w:r>
          <w:rPr>
            <w:noProof/>
            <w:webHidden/>
          </w:rPr>
          <w:fldChar w:fldCharType="end"/>
        </w:r>
      </w:hyperlink>
    </w:p>
    <w:p w14:paraId="5A473E49" w14:textId="319761D0" w:rsidR="003713CA" w:rsidRDefault="003713CA">
      <w:pPr>
        <w:pStyle w:val="TOC1"/>
        <w:rPr>
          <w:rFonts w:asciiTheme="minorHAnsi" w:eastAsiaTheme="minorEastAsia" w:hAnsiTheme="minorHAnsi"/>
          <w:caps w:val="0"/>
          <w:noProof/>
          <w:color w:val="auto"/>
          <w:kern w:val="2"/>
          <w:szCs w:val="24"/>
          <w:lang w:val="en-US"/>
          <w14:ligatures w14:val="standardContextual"/>
        </w:rPr>
      </w:pPr>
      <w:hyperlink w:anchor="_Toc201840801" w:history="1">
        <w:r w:rsidRPr="004C769C">
          <w:rPr>
            <w:rStyle w:val="Hyperlink"/>
            <w:noProof/>
          </w:rPr>
          <w:t>Appendix A PWL Program Logic</w:t>
        </w:r>
        <w:r>
          <w:rPr>
            <w:noProof/>
            <w:webHidden/>
          </w:rPr>
          <w:tab/>
        </w:r>
        <w:r>
          <w:rPr>
            <w:noProof/>
            <w:webHidden/>
          </w:rPr>
          <w:fldChar w:fldCharType="begin"/>
        </w:r>
        <w:r>
          <w:rPr>
            <w:noProof/>
            <w:webHidden/>
          </w:rPr>
          <w:instrText xml:space="preserve"> PAGEREF _Toc201840801 \h </w:instrText>
        </w:r>
        <w:r>
          <w:rPr>
            <w:noProof/>
            <w:webHidden/>
          </w:rPr>
        </w:r>
        <w:r>
          <w:rPr>
            <w:noProof/>
            <w:webHidden/>
          </w:rPr>
          <w:fldChar w:fldCharType="separate"/>
        </w:r>
        <w:r w:rsidR="00B12D5B">
          <w:rPr>
            <w:noProof/>
            <w:webHidden/>
          </w:rPr>
          <w:t>57</w:t>
        </w:r>
        <w:r>
          <w:rPr>
            <w:noProof/>
            <w:webHidden/>
          </w:rPr>
          <w:fldChar w:fldCharType="end"/>
        </w:r>
      </w:hyperlink>
    </w:p>
    <w:p w14:paraId="7A2D651C" w14:textId="0192BECE" w:rsidR="003713CA" w:rsidRDefault="003713CA">
      <w:pPr>
        <w:pStyle w:val="TOC1"/>
        <w:rPr>
          <w:rFonts w:asciiTheme="minorHAnsi" w:eastAsiaTheme="minorEastAsia" w:hAnsiTheme="minorHAnsi"/>
          <w:caps w:val="0"/>
          <w:noProof/>
          <w:color w:val="auto"/>
          <w:kern w:val="2"/>
          <w:szCs w:val="24"/>
          <w:lang w:val="en-US"/>
          <w14:ligatures w14:val="standardContextual"/>
        </w:rPr>
      </w:pPr>
      <w:hyperlink w:anchor="_Toc201840802" w:history="1">
        <w:r w:rsidRPr="004C769C">
          <w:rPr>
            <w:rStyle w:val="Hyperlink"/>
            <w:noProof/>
          </w:rPr>
          <w:t>Appendix B MTR Methodology</w:t>
        </w:r>
        <w:r>
          <w:rPr>
            <w:noProof/>
            <w:webHidden/>
          </w:rPr>
          <w:tab/>
        </w:r>
        <w:r>
          <w:rPr>
            <w:noProof/>
            <w:webHidden/>
          </w:rPr>
          <w:fldChar w:fldCharType="begin"/>
        </w:r>
        <w:r>
          <w:rPr>
            <w:noProof/>
            <w:webHidden/>
          </w:rPr>
          <w:instrText xml:space="preserve"> PAGEREF _Toc201840802 \h </w:instrText>
        </w:r>
        <w:r>
          <w:rPr>
            <w:noProof/>
            <w:webHidden/>
          </w:rPr>
        </w:r>
        <w:r>
          <w:rPr>
            <w:noProof/>
            <w:webHidden/>
          </w:rPr>
          <w:fldChar w:fldCharType="separate"/>
        </w:r>
        <w:r w:rsidR="00B12D5B">
          <w:rPr>
            <w:noProof/>
            <w:webHidden/>
          </w:rPr>
          <w:t>59</w:t>
        </w:r>
        <w:r>
          <w:rPr>
            <w:noProof/>
            <w:webHidden/>
          </w:rPr>
          <w:fldChar w:fldCharType="end"/>
        </w:r>
      </w:hyperlink>
    </w:p>
    <w:p w14:paraId="3A8CE745" w14:textId="553F613F" w:rsidR="003713CA" w:rsidRDefault="003713CA">
      <w:pPr>
        <w:pStyle w:val="TOC1"/>
        <w:rPr>
          <w:rFonts w:asciiTheme="minorHAnsi" w:eastAsiaTheme="minorEastAsia" w:hAnsiTheme="minorHAnsi"/>
          <w:caps w:val="0"/>
          <w:noProof/>
          <w:color w:val="auto"/>
          <w:kern w:val="2"/>
          <w:szCs w:val="24"/>
          <w:lang w:val="en-US"/>
          <w14:ligatures w14:val="standardContextual"/>
        </w:rPr>
      </w:pPr>
      <w:hyperlink w:anchor="_Toc201840803" w:history="1">
        <w:r w:rsidRPr="004C769C">
          <w:rPr>
            <w:rStyle w:val="Hyperlink"/>
            <w:noProof/>
          </w:rPr>
          <w:t>Appendix C Data sources</w:t>
        </w:r>
        <w:r>
          <w:rPr>
            <w:noProof/>
            <w:webHidden/>
          </w:rPr>
          <w:tab/>
        </w:r>
        <w:r>
          <w:rPr>
            <w:noProof/>
            <w:webHidden/>
          </w:rPr>
          <w:fldChar w:fldCharType="begin"/>
        </w:r>
        <w:r>
          <w:rPr>
            <w:noProof/>
            <w:webHidden/>
          </w:rPr>
          <w:instrText xml:space="preserve"> PAGEREF _Toc201840803 \h </w:instrText>
        </w:r>
        <w:r>
          <w:rPr>
            <w:noProof/>
            <w:webHidden/>
          </w:rPr>
        </w:r>
        <w:r>
          <w:rPr>
            <w:noProof/>
            <w:webHidden/>
          </w:rPr>
          <w:fldChar w:fldCharType="separate"/>
        </w:r>
        <w:r w:rsidR="00B12D5B">
          <w:rPr>
            <w:noProof/>
            <w:webHidden/>
          </w:rPr>
          <w:t>62</w:t>
        </w:r>
        <w:r>
          <w:rPr>
            <w:noProof/>
            <w:webHidden/>
          </w:rPr>
          <w:fldChar w:fldCharType="end"/>
        </w:r>
      </w:hyperlink>
    </w:p>
    <w:p w14:paraId="4A9124E6" w14:textId="67C79B8F" w:rsidR="003713CA" w:rsidRDefault="003713CA">
      <w:pPr>
        <w:pStyle w:val="TOC1"/>
        <w:rPr>
          <w:rFonts w:asciiTheme="minorHAnsi" w:eastAsiaTheme="minorEastAsia" w:hAnsiTheme="minorHAnsi"/>
          <w:caps w:val="0"/>
          <w:noProof/>
          <w:color w:val="auto"/>
          <w:kern w:val="2"/>
          <w:szCs w:val="24"/>
          <w:lang w:val="en-US"/>
          <w14:ligatures w14:val="standardContextual"/>
        </w:rPr>
      </w:pPr>
      <w:hyperlink w:anchor="_Toc201840804" w:history="1">
        <w:r w:rsidRPr="004C769C">
          <w:rPr>
            <w:rStyle w:val="Hyperlink"/>
            <w:noProof/>
          </w:rPr>
          <w:t>Appendix D Acronyms</w:t>
        </w:r>
        <w:r>
          <w:rPr>
            <w:noProof/>
            <w:webHidden/>
          </w:rPr>
          <w:tab/>
        </w:r>
        <w:r>
          <w:rPr>
            <w:noProof/>
            <w:webHidden/>
          </w:rPr>
          <w:fldChar w:fldCharType="begin"/>
        </w:r>
        <w:r>
          <w:rPr>
            <w:noProof/>
            <w:webHidden/>
          </w:rPr>
          <w:instrText xml:space="preserve"> PAGEREF _Toc201840804 \h </w:instrText>
        </w:r>
        <w:r>
          <w:rPr>
            <w:noProof/>
            <w:webHidden/>
          </w:rPr>
        </w:r>
        <w:r>
          <w:rPr>
            <w:noProof/>
            <w:webHidden/>
          </w:rPr>
          <w:fldChar w:fldCharType="separate"/>
        </w:r>
        <w:r w:rsidR="00B12D5B">
          <w:rPr>
            <w:noProof/>
            <w:webHidden/>
          </w:rPr>
          <w:t>64</w:t>
        </w:r>
        <w:r>
          <w:rPr>
            <w:noProof/>
            <w:webHidden/>
          </w:rPr>
          <w:fldChar w:fldCharType="end"/>
        </w:r>
      </w:hyperlink>
    </w:p>
    <w:p w14:paraId="3D41556F" w14:textId="6758C820" w:rsidR="003713CA" w:rsidRDefault="003713CA">
      <w:pPr>
        <w:pStyle w:val="TOC1"/>
        <w:rPr>
          <w:rFonts w:asciiTheme="minorHAnsi" w:eastAsiaTheme="minorEastAsia" w:hAnsiTheme="minorHAnsi"/>
          <w:caps w:val="0"/>
          <w:noProof/>
          <w:color w:val="auto"/>
          <w:kern w:val="2"/>
          <w:szCs w:val="24"/>
          <w:lang w:val="en-US"/>
          <w14:ligatures w14:val="standardContextual"/>
        </w:rPr>
      </w:pPr>
      <w:hyperlink w:anchor="_Toc201840805" w:history="1">
        <w:r w:rsidRPr="004C769C">
          <w:rPr>
            <w:rStyle w:val="Hyperlink"/>
            <w:noProof/>
            <w:lang w:val="en-US"/>
          </w:rPr>
          <w:t>Appendix E PWL component summary</w:t>
        </w:r>
        <w:r>
          <w:rPr>
            <w:noProof/>
            <w:webHidden/>
          </w:rPr>
          <w:tab/>
        </w:r>
        <w:r>
          <w:rPr>
            <w:noProof/>
            <w:webHidden/>
          </w:rPr>
          <w:fldChar w:fldCharType="begin"/>
        </w:r>
        <w:r>
          <w:rPr>
            <w:noProof/>
            <w:webHidden/>
          </w:rPr>
          <w:instrText xml:space="preserve"> PAGEREF _Toc201840805 \h </w:instrText>
        </w:r>
        <w:r>
          <w:rPr>
            <w:noProof/>
            <w:webHidden/>
          </w:rPr>
        </w:r>
        <w:r>
          <w:rPr>
            <w:noProof/>
            <w:webHidden/>
          </w:rPr>
          <w:fldChar w:fldCharType="separate"/>
        </w:r>
        <w:r w:rsidR="00B12D5B">
          <w:rPr>
            <w:noProof/>
            <w:webHidden/>
          </w:rPr>
          <w:t>66</w:t>
        </w:r>
        <w:r>
          <w:rPr>
            <w:noProof/>
            <w:webHidden/>
          </w:rPr>
          <w:fldChar w:fldCharType="end"/>
        </w:r>
      </w:hyperlink>
    </w:p>
    <w:p w14:paraId="0DA19BEB" w14:textId="0E7760EA" w:rsidR="00F1412B" w:rsidRPr="00AC66FE" w:rsidRDefault="00111A6E" w:rsidP="00FB0C41">
      <w:pPr>
        <w:pStyle w:val="Subheading"/>
        <w:rPr>
          <w:sz w:val="24"/>
          <w:szCs w:val="24"/>
        </w:rPr>
      </w:pPr>
      <w:r w:rsidRPr="00EE243C">
        <w:rPr>
          <w:rFonts w:cstheme="minorHAnsi"/>
        </w:rPr>
        <w:fldChar w:fldCharType="end"/>
      </w:r>
      <w:r w:rsidR="00F1412B" w:rsidRPr="00AC66FE">
        <w:rPr>
          <w:sz w:val="24"/>
          <w:szCs w:val="24"/>
        </w:rPr>
        <w:t>List of F</w:t>
      </w:r>
      <w:r w:rsidR="006125AA" w:rsidRPr="00AC66FE">
        <w:rPr>
          <w:sz w:val="24"/>
          <w:szCs w:val="24"/>
        </w:rPr>
        <w:t>igures</w:t>
      </w:r>
    </w:p>
    <w:p w14:paraId="0AD50E35" w14:textId="0C13BBE8" w:rsidR="00CD24C3" w:rsidRDefault="004610FE">
      <w:pPr>
        <w:pStyle w:val="TableofFigures"/>
        <w:tabs>
          <w:tab w:val="right" w:leader="dot" w:pos="9742"/>
        </w:tabs>
        <w:rPr>
          <w:rFonts w:eastAsiaTheme="minorEastAsia"/>
          <w:noProof/>
          <w:color w:val="auto"/>
          <w:kern w:val="2"/>
          <w:sz w:val="24"/>
          <w:szCs w:val="24"/>
          <w:lang w:eastAsia="en-AU"/>
          <w14:ligatures w14:val="standardContextual"/>
        </w:rPr>
      </w:pPr>
      <w:r w:rsidRPr="00EE243C">
        <w:rPr>
          <w:rFonts w:cstheme="minorHAnsi"/>
        </w:rPr>
        <w:fldChar w:fldCharType="begin"/>
      </w:r>
      <w:r w:rsidRPr="00EE243C">
        <w:rPr>
          <w:rFonts w:cstheme="minorHAnsi"/>
        </w:rPr>
        <w:instrText xml:space="preserve"> TOC \h \z \c "Figure" </w:instrText>
      </w:r>
      <w:r w:rsidRPr="00EE243C">
        <w:rPr>
          <w:rFonts w:cstheme="minorHAnsi"/>
        </w:rPr>
        <w:fldChar w:fldCharType="separate"/>
      </w:r>
      <w:hyperlink w:anchor="_Toc210309574" w:history="1">
        <w:r w:rsidR="00CD24C3" w:rsidRPr="008421E2">
          <w:rPr>
            <w:rStyle w:val="Hyperlink"/>
            <w:noProof/>
          </w:rPr>
          <w:t>Figure 1. PWL Portfolio Components</w:t>
        </w:r>
        <w:r w:rsidR="00CD24C3">
          <w:rPr>
            <w:noProof/>
            <w:webHidden/>
          </w:rPr>
          <w:tab/>
        </w:r>
        <w:r w:rsidR="00CD24C3">
          <w:rPr>
            <w:noProof/>
            <w:webHidden/>
          </w:rPr>
          <w:fldChar w:fldCharType="begin"/>
        </w:r>
        <w:r w:rsidR="00CD24C3">
          <w:rPr>
            <w:noProof/>
            <w:webHidden/>
          </w:rPr>
          <w:instrText xml:space="preserve"> PAGEREF _Toc210309574 \h </w:instrText>
        </w:r>
        <w:r w:rsidR="00CD24C3">
          <w:rPr>
            <w:noProof/>
            <w:webHidden/>
          </w:rPr>
        </w:r>
        <w:r w:rsidR="00CD24C3">
          <w:rPr>
            <w:noProof/>
            <w:webHidden/>
          </w:rPr>
          <w:fldChar w:fldCharType="separate"/>
        </w:r>
        <w:r w:rsidR="00B12D5B">
          <w:rPr>
            <w:noProof/>
            <w:webHidden/>
          </w:rPr>
          <w:t>9</w:t>
        </w:r>
        <w:r w:rsidR="00CD24C3">
          <w:rPr>
            <w:noProof/>
            <w:webHidden/>
          </w:rPr>
          <w:fldChar w:fldCharType="end"/>
        </w:r>
      </w:hyperlink>
    </w:p>
    <w:p w14:paraId="2A8EBD94" w14:textId="2250E86A" w:rsidR="00CD24C3" w:rsidRDefault="00CD24C3">
      <w:pPr>
        <w:pStyle w:val="TableofFigures"/>
        <w:tabs>
          <w:tab w:val="right" w:leader="dot" w:pos="9742"/>
        </w:tabs>
        <w:rPr>
          <w:rFonts w:eastAsiaTheme="minorEastAsia"/>
          <w:noProof/>
          <w:color w:val="auto"/>
          <w:kern w:val="2"/>
          <w:sz w:val="24"/>
          <w:szCs w:val="24"/>
          <w:lang w:eastAsia="en-AU"/>
          <w14:ligatures w14:val="standardContextual"/>
        </w:rPr>
      </w:pPr>
      <w:hyperlink w:anchor="_Toc210309575" w:history="1">
        <w:r w:rsidRPr="008421E2">
          <w:rPr>
            <w:rStyle w:val="Hyperlink"/>
            <w:noProof/>
          </w:rPr>
          <w:t>Figure 2. Kakala Framework</w:t>
        </w:r>
        <w:r>
          <w:rPr>
            <w:noProof/>
            <w:webHidden/>
          </w:rPr>
          <w:tab/>
        </w:r>
        <w:r>
          <w:rPr>
            <w:noProof/>
            <w:webHidden/>
          </w:rPr>
          <w:fldChar w:fldCharType="begin"/>
        </w:r>
        <w:r>
          <w:rPr>
            <w:noProof/>
            <w:webHidden/>
          </w:rPr>
          <w:instrText xml:space="preserve"> PAGEREF _Toc210309575 \h </w:instrText>
        </w:r>
        <w:r>
          <w:rPr>
            <w:noProof/>
            <w:webHidden/>
          </w:rPr>
        </w:r>
        <w:r>
          <w:rPr>
            <w:noProof/>
            <w:webHidden/>
          </w:rPr>
          <w:fldChar w:fldCharType="separate"/>
        </w:r>
        <w:r w:rsidR="00B12D5B">
          <w:rPr>
            <w:noProof/>
            <w:webHidden/>
          </w:rPr>
          <w:t>11</w:t>
        </w:r>
        <w:r>
          <w:rPr>
            <w:noProof/>
            <w:webHidden/>
          </w:rPr>
          <w:fldChar w:fldCharType="end"/>
        </w:r>
      </w:hyperlink>
    </w:p>
    <w:p w14:paraId="410BA4B1" w14:textId="57BEE312" w:rsidR="00CD24C3" w:rsidRDefault="00CD24C3">
      <w:pPr>
        <w:pStyle w:val="TableofFigures"/>
        <w:tabs>
          <w:tab w:val="right" w:leader="dot" w:pos="9742"/>
        </w:tabs>
        <w:rPr>
          <w:rFonts w:eastAsiaTheme="minorEastAsia"/>
          <w:noProof/>
          <w:color w:val="auto"/>
          <w:kern w:val="2"/>
          <w:sz w:val="24"/>
          <w:szCs w:val="24"/>
          <w:lang w:eastAsia="en-AU"/>
          <w14:ligatures w14:val="standardContextual"/>
        </w:rPr>
      </w:pPr>
      <w:hyperlink w:anchor="_Toc210309576" w:history="1">
        <w:r w:rsidRPr="008421E2">
          <w:rPr>
            <w:rStyle w:val="Hyperlink"/>
            <w:noProof/>
          </w:rPr>
          <w:t>Figure 3. Gender at Work Framework</w:t>
        </w:r>
        <w:r>
          <w:rPr>
            <w:noProof/>
            <w:webHidden/>
          </w:rPr>
          <w:tab/>
        </w:r>
        <w:r>
          <w:rPr>
            <w:noProof/>
            <w:webHidden/>
          </w:rPr>
          <w:fldChar w:fldCharType="begin"/>
        </w:r>
        <w:r>
          <w:rPr>
            <w:noProof/>
            <w:webHidden/>
          </w:rPr>
          <w:instrText xml:space="preserve"> PAGEREF _Toc210309576 \h </w:instrText>
        </w:r>
        <w:r>
          <w:rPr>
            <w:noProof/>
            <w:webHidden/>
          </w:rPr>
        </w:r>
        <w:r>
          <w:rPr>
            <w:noProof/>
            <w:webHidden/>
          </w:rPr>
          <w:fldChar w:fldCharType="separate"/>
        </w:r>
        <w:r w:rsidR="00B12D5B">
          <w:rPr>
            <w:noProof/>
            <w:webHidden/>
          </w:rPr>
          <w:t>43</w:t>
        </w:r>
        <w:r>
          <w:rPr>
            <w:noProof/>
            <w:webHidden/>
          </w:rPr>
          <w:fldChar w:fldCharType="end"/>
        </w:r>
      </w:hyperlink>
    </w:p>
    <w:p w14:paraId="3EFDEE73" w14:textId="76B9F08A" w:rsidR="00F1412B" w:rsidRPr="00AC66FE" w:rsidRDefault="004610FE" w:rsidP="00FB0C41">
      <w:pPr>
        <w:pStyle w:val="Subheading"/>
        <w:rPr>
          <w:sz w:val="24"/>
          <w:szCs w:val="24"/>
        </w:rPr>
      </w:pPr>
      <w:r w:rsidRPr="00EE243C">
        <w:rPr>
          <w:rFonts w:cstheme="minorHAnsi"/>
          <w:b/>
        </w:rPr>
        <w:fldChar w:fldCharType="end"/>
      </w:r>
      <w:r w:rsidR="00F1412B" w:rsidRPr="00AC66FE">
        <w:rPr>
          <w:sz w:val="24"/>
          <w:szCs w:val="24"/>
        </w:rPr>
        <w:t>List of Tables</w:t>
      </w:r>
    </w:p>
    <w:p w14:paraId="23304F97" w14:textId="51C4CFD5" w:rsidR="007133DC" w:rsidRDefault="004610FE">
      <w:pPr>
        <w:pStyle w:val="TableofFigures"/>
        <w:tabs>
          <w:tab w:val="right" w:leader="dot" w:pos="9742"/>
        </w:tabs>
        <w:rPr>
          <w:rFonts w:eastAsiaTheme="minorEastAsia"/>
          <w:noProof/>
          <w:color w:val="auto"/>
          <w:kern w:val="2"/>
          <w:sz w:val="24"/>
          <w:szCs w:val="24"/>
          <w:lang w:eastAsia="en-AU"/>
          <w14:ligatures w14:val="standardContextual"/>
        </w:rPr>
      </w:pPr>
      <w:r w:rsidRPr="00EE243C">
        <w:rPr>
          <w:rFonts w:cstheme="minorHAnsi"/>
        </w:rPr>
        <w:fldChar w:fldCharType="begin"/>
      </w:r>
      <w:r w:rsidRPr="00EE243C">
        <w:rPr>
          <w:rFonts w:cstheme="minorHAnsi"/>
        </w:rPr>
        <w:instrText xml:space="preserve"> TOC \h \z \c "Table" </w:instrText>
      </w:r>
      <w:r w:rsidRPr="00EE243C">
        <w:rPr>
          <w:rFonts w:cstheme="minorHAnsi"/>
        </w:rPr>
        <w:fldChar w:fldCharType="separate"/>
      </w:r>
      <w:hyperlink w:anchor="_Toc210309448" w:history="1">
        <w:r w:rsidR="007133DC" w:rsidRPr="0048733B">
          <w:rPr>
            <w:rStyle w:val="Hyperlink"/>
            <w:noProof/>
          </w:rPr>
          <w:t>Table 1. Overview of grant making and wrap-around support</w:t>
        </w:r>
        <w:r w:rsidR="007133DC">
          <w:rPr>
            <w:noProof/>
            <w:webHidden/>
          </w:rPr>
          <w:tab/>
        </w:r>
        <w:r w:rsidR="007133DC">
          <w:rPr>
            <w:noProof/>
            <w:webHidden/>
          </w:rPr>
          <w:fldChar w:fldCharType="begin"/>
        </w:r>
        <w:r w:rsidR="007133DC">
          <w:rPr>
            <w:noProof/>
            <w:webHidden/>
          </w:rPr>
          <w:instrText xml:space="preserve"> PAGEREF _Toc210309448 \h </w:instrText>
        </w:r>
        <w:r w:rsidR="007133DC">
          <w:rPr>
            <w:noProof/>
            <w:webHidden/>
          </w:rPr>
        </w:r>
        <w:r w:rsidR="007133DC">
          <w:rPr>
            <w:noProof/>
            <w:webHidden/>
          </w:rPr>
          <w:fldChar w:fldCharType="separate"/>
        </w:r>
        <w:r w:rsidR="00B12D5B">
          <w:rPr>
            <w:noProof/>
            <w:webHidden/>
          </w:rPr>
          <w:t>28</w:t>
        </w:r>
        <w:r w:rsidR="007133DC">
          <w:rPr>
            <w:noProof/>
            <w:webHidden/>
          </w:rPr>
          <w:fldChar w:fldCharType="end"/>
        </w:r>
      </w:hyperlink>
    </w:p>
    <w:p w14:paraId="0F6A1FC3" w14:textId="42E9F2B9" w:rsidR="007133DC" w:rsidRDefault="007133DC">
      <w:pPr>
        <w:pStyle w:val="TableofFigures"/>
        <w:tabs>
          <w:tab w:val="right" w:leader="dot" w:pos="9742"/>
        </w:tabs>
        <w:rPr>
          <w:rFonts w:eastAsiaTheme="minorEastAsia"/>
          <w:noProof/>
          <w:color w:val="auto"/>
          <w:kern w:val="2"/>
          <w:sz w:val="24"/>
          <w:szCs w:val="24"/>
          <w:lang w:eastAsia="en-AU"/>
          <w14:ligatures w14:val="standardContextual"/>
        </w:rPr>
      </w:pPr>
      <w:hyperlink w:anchor="_Toc210309449" w:history="1">
        <w:r w:rsidRPr="0048733B">
          <w:rPr>
            <w:rStyle w:val="Hyperlink"/>
            <w:noProof/>
          </w:rPr>
          <w:t>Table 2. Women’s Funds within the PWL modality</w:t>
        </w:r>
        <w:r>
          <w:rPr>
            <w:noProof/>
            <w:webHidden/>
          </w:rPr>
          <w:tab/>
        </w:r>
        <w:r>
          <w:rPr>
            <w:noProof/>
            <w:webHidden/>
          </w:rPr>
          <w:fldChar w:fldCharType="begin"/>
        </w:r>
        <w:r>
          <w:rPr>
            <w:noProof/>
            <w:webHidden/>
          </w:rPr>
          <w:instrText xml:space="preserve"> PAGEREF _Toc210309449 \h </w:instrText>
        </w:r>
        <w:r>
          <w:rPr>
            <w:noProof/>
            <w:webHidden/>
          </w:rPr>
        </w:r>
        <w:r>
          <w:rPr>
            <w:noProof/>
            <w:webHidden/>
          </w:rPr>
          <w:fldChar w:fldCharType="separate"/>
        </w:r>
        <w:r w:rsidR="00B12D5B">
          <w:rPr>
            <w:noProof/>
            <w:webHidden/>
          </w:rPr>
          <w:t>33</w:t>
        </w:r>
        <w:r>
          <w:rPr>
            <w:noProof/>
            <w:webHidden/>
          </w:rPr>
          <w:fldChar w:fldCharType="end"/>
        </w:r>
      </w:hyperlink>
    </w:p>
    <w:p w14:paraId="75512F63" w14:textId="7ACD278A" w:rsidR="007133DC" w:rsidRDefault="007133DC">
      <w:pPr>
        <w:pStyle w:val="TableofFigures"/>
        <w:tabs>
          <w:tab w:val="right" w:leader="dot" w:pos="9742"/>
        </w:tabs>
        <w:rPr>
          <w:rFonts w:eastAsiaTheme="minorEastAsia"/>
          <w:noProof/>
          <w:color w:val="auto"/>
          <w:kern w:val="2"/>
          <w:sz w:val="24"/>
          <w:szCs w:val="24"/>
          <w:lang w:eastAsia="en-AU"/>
          <w14:ligatures w14:val="standardContextual"/>
        </w:rPr>
      </w:pPr>
      <w:hyperlink w:anchor="_Toc210309450" w:history="1">
        <w:r w:rsidRPr="0048733B">
          <w:rPr>
            <w:rStyle w:val="Hyperlink"/>
            <w:noProof/>
          </w:rPr>
          <w:t>Table 3. Overview of DFAT bilateral grants for gender-targeted programs</w:t>
        </w:r>
        <w:r>
          <w:rPr>
            <w:noProof/>
            <w:webHidden/>
          </w:rPr>
          <w:tab/>
        </w:r>
        <w:r>
          <w:rPr>
            <w:noProof/>
            <w:webHidden/>
          </w:rPr>
          <w:fldChar w:fldCharType="begin"/>
        </w:r>
        <w:r>
          <w:rPr>
            <w:noProof/>
            <w:webHidden/>
          </w:rPr>
          <w:instrText xml:space="preserve"> PAGEREF _Toc210309450 \h </w:instrText>
        </w:r>
        <w:r>
          <w:rPr>
            <w:noProof/>
            <w:webHidden/>
          </w:rPr>
        </w:r>
        <w:r>
          <w:rPr>
            <w:noProof/>
            <w:webHidden/>
          </w:rPr>
          <w:fldChar w:fldCharType="separate"/>
        </w:r>
        <w:r w:rsidR="00B12D5B">
          <w:rPr>
            <w:noProof/>
            <w:webHidden/>
          </w:rPr>
          <w:t>35</w:t>
        </w:r>
        <w:r>
          <w:rPr>
            <w:noProof/>
            <w:webHidden/>
          </w:rPr>
          <w:fldChar w:fldCharType="end"/>
        </w:r>
      </w:hyperlink>
    </w:p>
    <w:p w14:paraId="4693E7F8" w14:textId="3A150A65" w:rsidR="007133DC" w:rsidRDefault="007133DC">
      <w:pPr>
        <w:pStyle w:val="TableofFigures"/>
        <w:tabs>
          <w:tab w:val="right" w:leader="dot" w:pos="9742"/>
        </w:tabs>
        <w:rPr>
          <w:rFonts w:eastAsiaTheme="minorEastAsia"/>
          <w:noProof/>
          <w:color w:val="auto"/>
          <w:kern w:val="2"/>
          <w:sz w:val="24"/>
          <w:szCs w:val="24"/>
          <w:lang w:eastAsia="en-AU"/>
          <w14:ligatures w14:val="standardContextual"/>
        </w:rPr>
      </w:pPr>
      <w:hyperlink w:anchor="_Toc210309451" w:history="1">
        <w:r w:rsidRPr="0048733B">
          <w:rPr>
            <w:rStyle w:val="Hyperlink"/>
            <w:noProof/>
          </w:rPr>
          <w:t>Table 4. Overview of technical assistance delivered by large UN programs</w:t>
        </w:r>
        <w:r>
          <w:rPr>
            <w:noProof/>
            <w:webHidden/>
          </w:rPr>
          <w:tab/>
        </w:r>
        <w:r>
          <w:rPr>
            <w:noProof/>
            <w:webHidden/>
          </w:rPr>
          <w:fldChar w:fldCharType="begin"/>
        </w:r>
        <w:r>
          <w:rPr>
            <w:noProof/>
            <w:webHidden/>
          </w:rPr>
          <w:instrText xml:space="preserve"> PAGEREF _Toc210309451 \h </w:instrText>
        </w:r>
        <w:r>
          <w:rPr>
            <w:noProof/>
            <w:webHidden/>
          </w:rPr>
        </w:r>
        <w:r>
          <w:rPr>
            <w:noProof/>
            <w:webHidden/>
          </w:rPr>
          <w:fldChar w:fldCharType="separate"/>
        </w:r>
        <w:r w:rsidR="00B12D5B">
          <w:rPr>
            <w:noProof/>
            <w:webHidden/>
          </w:rPr>
          <w:t>41</w:t>
        </w:r>
        <w:r>
          <w:rPr>
            <w:noProof/>
            <w:webHidden/>
          </w:rPr>
          <w:fldChar w:fldCharType="end"/>
        </w:r>
      </w:hyperlink>
    </w:p>
    <w:p w14:paraId="3336EA70" w14:textId="14A7EF06" w:rsidR="007133DC" w:rsidRDefault="007133DC">
      <w:pPr>
        <w:pStyle w:val="TableofFigures"/>
        <w:tabs>
          <w:tab w:val="right" w:leader="dot" w:pos="9742"/>
        </w:tabs>
        <w:rPr>
          <w:rFonts w:eastAsiaTheme="minorEastAsia"/>
          <w:noProof/>
          <w:color w:val="auto"/>
          <w:kern w:val="2"/>
          <w:sz w:val="24"/>
          <w:szCs w:val="24"/>
          <w:lang w:eastAsia="en-AU"/>
          <w14:ligatures w14:val="standardContextual"/>
        </w:rPr>
      </w:pPr>
      <w:hyperlink w:anchor="_Toc210309452" w:history="1">
        <w:r w:rsidRPr="0048733B">
          <w:rPr>
            <w:rStyle w:val="Hyperlink"/>
            <w:noProof/>
          </w:rPr>
          <w:t>Table 5. Summary of data sources for this review</w:t>
        </w:r>
        <w:r>
          <w:rPr>
            <w:noProof/>
            <w:webHidden/>
          </w:rPr>
          <w:tab/>
        </w:r>
        <w:r>
          <w:rPr>
            <w:noProof/>
            <w:webHidden/>
          </w:rPr>
          <w:fldChar w:fldCharType="begin"/>
        </w:r>
        <w:r>
          <w:rPr>
            <w:noProof/>
            <w:webHidden/>
          </w:rPr>
          <w:instrText xml:space="preserve"> PAGEREF _Toc210309452 \h </w:instrText>
        </w:r>
        <w:r>
          <w:rPr>
            <w:noProof/>
            <w:webHidden/>
          </w:rPr>
        </w:r>
        <w:r>
          <w:rPr>
            <w:noProof/>
            <w:webHidden/>
          </w:rPr>
          <w:fldChar w:fldCharType="separate"/>
        </w:r>
        <w:r w:rsidR="00B12D5B">
          <w:rPr>
            <w:noProof/>
            <w:webHidden/>
          </w:rPr>
          <w:t>60</w:t>
        </w:r>
        <w:r>
          <w:rPr>
            <w:noProof/>
            <w:webHidden/>
          </w:rPr>
          <w:fldChar w:fldCharType="end"/>
        </w:r>
      </w:hyperlink>
    </w:p>
    <w:p w14:paraId="3C620B7B" w14:textId="5CCCA041" w:rsidR="00F72C76" w:rsidRPr="00EE243C" w:rsidRDefault="004610FE" w:rsidP="00FB0C41">
      <w:pPr>
        <w:pStyle w:val="Subheading"/>
      </w:pPr>
      <w:r w:rsidRPr="00EE243C">
        <w:rPr>
          <w:rFonts w:cstheme="minorHAnsi"/>
          <w:b/>
        </w:rPr>
        <w:lastRenderedPageBreak/>
        <w:fldChar w:fldCharType="end"/>
      </w:r>
      <w:r w:rsidR="00F72C76" w:rsidRPr="00EE243C">
        <w:t>Disclaimer</w:t>
      </w:r>
    </w:p>
    <w:p w14:paraId="185F41D5" w14:textId="0977F51A" w:rsidR="00F72C76" w:rsidRPr="00EE243C" w:rsidRDefault="00F72C76" w:rsidP="00F72C76">
      <w:r w:rsidRPr="2DCFB1D0">
        <w:t xml:space="preserve">This document has been produced with information from </w:t>
      </w:r>
      <w:r w:rsidR="00BF5930">
        <w:t xml:space="preserve">the Australian Department of Foreign </w:t>
      </w:r>
      <w:r w:rsidR="005E687F">
        <w:t>Affairs</w:t>
      </w:r>
      <w:r w:rsidR="00BF5930">
        <w:t xml:space="preserve"> and </w:t>
      </w:r>
      <w:r w:rsidR="00D07899">
        <w:t xml:space="preserve">Trade </w:t>
      </w:r>
      <w:r w:rsidR="00BF5930">
        <w:t>(</w:t>
      </w:r>
      <w:r w:rsidRPr="2DCFB1D0">
        <w:t>DFAT</w:t>
      </w:r>
      <w:r w:rsidR="00BF5930">
        <w:t>)</w:t>
      </w:r>
      <w:r w:rsidRPr="2DCFB1D0">
        <w:t xml:space="preserve">, </w:t>
      </w:r>
      <w:r w:rsidR="00BF5930">
        <w:t>Pacific Women Lead Enabling Service (</w:t>
      </w:r>
      <w:r w:rsidRPr="2DCFB1D0">
        <w:t>PWLES</w:t>
      </w:r>
      <w:r w:rsidR="00BF5930">
        <w:t>)</w:t>
      </w:r>
      <w:r w:rsidRPr="2DCFB1D0">
        <w:t xml:space="preserve"> and partners supplied to Clear Horizon and </w:t>
      </w:r>
      <w:proofErr w:type="spellStart"/>
      <w:r w:rsidRPr="2DCFB1D0">
        <w:t>CoLAB</w:t>
      </w:r>
      <w:proofErr w:type="spellEnd"/>
      <w:r w:rsidRPr="2DCFB1D0">
        <w:t>, including results charts and impact stories. While we make every effort to ensure the accuracy of the information contained in this report, any judgements as to suitability of the information for the client’s purposes are the client’s responsibility. Clear Horizon extends no warranties and assumes no responsibility as to the suitability of this information or for the consequences of its use.</w:t>
      </w:r>
    </w:p>
    <w:p w14:paraId="5294BCFF" w14:textId="77777777" w:rsidR="00A35FCD" w:rsidRPr="00A35FCD" w:rsidRDefault="00A35FCD" w:rsidP="00A35FCD">
      <w:pPr>
        <w:pStyle w:val="Heading1nonumber"/>
      </w:pPr>
      <w:bookmarkStart w:id="2" w:name="_Toc201840789"/>
      <w:r w:rsidRPr="00A35FCD">
        <w:lastRenderedPageBreak/>
        <w:t>Executive summary</w:t>
      </w:r>
      <w:bookmarkEnd w:id="2"/>
    </w:p>
    <w:p w14:paraId="3A12E7BA" w14:textId="77777777" w:rsidR="00BA790F" w:rsidRPr="00A35FCD" w:rsidRDefault="00BA790F" w:rsidP="00BA790F">
      <w:pPr>
        <w:pStyle w:val="Heading2nonumber"/>
      </w:pPr>
      <w:bookmarkStart w:id="3" w:name="_Toc185597875"/>
      <w:bookmarkStart w:id="4" w:name="_Toc193745521"/>
      <w:bookmarkStart w:id="5" w:name="_Toc193789359"/>
      <w:bookmarkStart w:id="6" w:name="_Toc198806454"/>
      <w:bookmarkStart w:id="7" w:name="_Toc201840790"/>
      <w:r w:rsidRPr="00A35FCD">
        <w:t>Introduction</w:t>
      </w:r>
      <w:bookmarkEnd w:id="3"/>
      <w:bookmarkEnd w:id="4"/>
      <w:bookmarkEnd w:id="5"/>
      <w:bookmarkEnd w:id="6"/>
      <w:bookmarkEnd w:id="7"/>
    </w:p>
    <w:p w14:paraId="025096DA" w14:textId="69ED47AA" w:rsidR="00BA790F" w:rsidRPr="00A35FCD" w:rsidRDefault="00BA790F" w:rsidP="00074B99">
      <w:pPr>
        <w:pStyle w:val="Heading3nonumber"/>
        <w:outlineLvl w:val="9"/>
      </w:pPr>
      <w:r w:rsidRPr="00A35FCD">
        <w:t xml:space="preserve">About the </w:t>
      </w:r>
      <w:r w:rsidR="001607E7">
        <w:t>portfolio</w:t>
      </w:r>
    </w:p>
    <w:p w14:paraId="68B7D939" w14:textId="77777777" w:rsidR="00BA790F" w:rsidRPr="00A35FCD" w:rsidRDefault="00BA790F" w:rsidP="00BA790F">
      <w:pPr>
        <w:rPr>
          <w:rFonts w:cstheme="minorHAnsi"/>
        </w:rPr>
      </w:pPr>
      <w:r w:rsidRPr="00A35FCD">
        <w:rPr>
          <w:rFonts w:cstheme="minorHAnsi"/>
        </w:rPr>
        <w:t xml:space="preserve">Pacific Women Lead (PWL) is a portfolio of regional investments aimed at advancing gender equality across the Pacific. DFAT has invested </w:t>
      </w:r>
      <w:r>
        <w:rPr>
          <w:rFonts w:cstheme="minorHAnsi"/>
        </w:rPr>
        <w:t>AUD</w:t>
      </w:r>
      <w:r w:rsidRPr="00A35FCD">
        <w:rPr>
          <w:rFonts w:cstheme="minorHAnsi"/>
        </w:rPr>
        <w:t>170</w:t>
      </w:r>
      <w:r>
        <w:rPr>
          <w:rFonts w:cstheme="minorHAnsi"/>
        </w:rPr>
        <w:t xml:space="preserve"> million</w:t>
      </w:r>
      <w:r w:rsidRPr="00A35FCD">
        <w:rPr>
          <w:rFonts w:cstheme="minorHAnsi"/>
        </w:rPr>
        <w:t xml:space="preserve"> to support PWL achieve its goals during the five-year period between 2021-2026. PWL aims to build upon the successes of its predecessor, Pacific Women Shaping Pacific Development</w:t>
      </w:r>
      <w:r>
        <w:rPr>
          <w:rFonts w:cstheme="minorHAnsi"/>
        </w:rPr>
        <w:t xml:space="preserve"> (PWSPD)</w:t>
      </w:r>
      <w:r w:rsidRPr="00A35FCD">
        <w:rPr>
          <w:rFonts w:cstheme="minorHAnsi"/>
        </w:rPr>
        <w:t xml:space="preserve">, in advancing gender equality across the Pacific. </w:t>
      </w:r>
    </w:p>
    <w:p w14:paraId="70154A1B" w14:textId="77777777" w:rsidR="00BA790F" w:rsidRPr="00A35FCD" w:rsidRDefault="00BA790F" w:rsidP="00BA790F">
      <w:pPr>
        <w:rPr>
          <w:rFonts w:cstheme="minorHAnsi"/>
        </w:rPr>
      </w:pPr>
      <w:r w:rsidRPr="00A35FCD">
        <w:rPr>
          <w:rFonts w:cstheme="minorHAnsi"/>
        </w:rPr>
        <w:t xml:space="preserve">The goal of PWL is for Pacific women and girls, in all their diversity, to be safe and equitably share in resources, opportunities and decision-making with men and boys.  The program works across three thematic outcome areas with seven </w:t>
      </w:r>
      <w:proofErr w:type="gramStart"/>
      <w:r w:rsidRPr="00A35FCD">
        <w:rPr>
          <w:rFonts w:cstheme="minorHAnsi"/>
        </w:rPr>
        <w:t>end</w:t>
      </w:r>
      <w:proofErr w:type="gramEnd"/>
      <w:r w:rsidRPr="00A35FCD">
        <w:rPr>
          <w:rFonts w:cstheme="minorHAnsi"/>
        </w:rPr>
        <w:t xml:space="preserve"> of program outcomes (EOPOs) clustered under these outcome areas: </w:t>
      </w:r>
    </w:p>
    <w:p w14:paraId="7BC8DBF3" w14:textId="5577936B" w:rsidR="00BA790F" w:rsidRPr="00A35FCD" w:rsidRDefault="00BA790F" w:rsidP="00BA790F">
      <w:pPr>
        <w:pStyle w:val="ListBullet"/>
      </w:pPr>
      <w:r w:rsidRPr="00A35FCD">
        <w:t>Women’s Leadership Promoted: women and girl’s voices, Pacific feminist civil society</w:t>
      </w:r>
    </w:p>
    <w:p w14:paraId="63AAFA14" w14:textId="1F40AB8D" w:rsidR="00BA790F" w:rsidRPr="00A35FCD" w:rsidRDefault="00BA790F" w:rsidP="00BA790F">
      <w:pPr>
        <w:pStyle w:val="ListBullet"/>
      </w:pPr>
      <w:r w:rsidRPr="00A35FCD">
        <w:t>Women’s Rights Realised: Sexual and reproductive health and rights (SRHR), women’s safety, and women’s economic empowerment</w:t>
      </w:r>
      <w:r>
        <w:t xml:space="preserve"> (WEE)</w:t>
      </w:r>
    </w:p>
    <w:p w14:paraId="3148B466" w14:textId="77777777" w:rsidR="00BA790F" w:rsidRPr="00A35FCD" w:rsidRDefault="00BA790F" w:rsidP="00BA790F">
      <w:pPr>
        <w:pStyle w:val="ListBullet"/>
      </w:pPr>
      <w:r w:rsidRPr="00A35FCD">
        <w:t>Pacific ownership and regional effectiveness: Pacific ownership, and gender mainstreaming.</w:t>
      </w:r>
    </w:p>
    <w:p w14:paraId="4D3D6C72" w14:textId="245562BF" w:rsidR="00BA790F" w:rsidRPr="00A35FCD" w:rsidRDefault="00BA790F" w:rsidP="00BA790F">
      <w:pPr>
        <w:rPr>
          <w:rFonts w:cstheme="minorHAnsi"/>
        </w:rPr>
      </w:pPr>
      <w:r w:rsidRPr="00A35FCD">
        <w:rPr>
          <w:rFonts w:cstheme="minorHAnsi"/>
        </w:rPr>
        <w:t xml:space="preserve">To maintain its commitment to Pacific-led and intersectional programming, PWL operates as a whole-of-portfolio modality with five main components serving diverse but interconnected functions and strategies. These components are </w:t>
      </w:r>
      <w:r w:rsidR="009E1590">
        <w:rPr>
          <w:rFonts w:cstheme="minorHAnsi"/>
        </w:rPr>
        <w:t>the Pacific Community (</w:t>
      </w:r>
      <w:r w:rsidRPr="00A35FCD">
        <w:rPr>
          <w:rFonts w:cstheme="minorHAnsi"/>
        </w:rPr>
        <w:t>SPC</w:t>
      </w:r>
      <w:r w:rsidR="009E1590">
        <w:rPr>
          <w:rFonts w:cstheme="minorHAnsi"/>
        </w:rPr>
        <w:t>)</w:t>
      </w:r>
      <w:r w:rsidRPr="00A35FCD">
        <w:rPr>
          <w:rFonts w:cstheme="minorHAnsi"/>
        </w:rPr>
        <w:t xml:space="preserve">, DFAT regional and bilateral programs, </w:t>
      </w:r>
      <w:r>
        <w:rPr>
          <w:rFonts w:cstheme="minorHAnsi"/>
        </w:rPr>
        <w:t>Women’s Funds</w:t>
      </w:r>
      <w:r w:rsidRPr="00A35FCD">
        <w:rPr>
          <w:rFonts w:cstheme="minorHAnsi"/>
        </w:rPr>
        <w:t xml:space="preserve">, </w:t>
      </w:r>
      <w:r w:rsidR="00297D5B">
        <w:rPr>
          <w:rFonts w:cstheme="minorHAnsi"/>
        </w:rPr>
        <w:t>Pacific Women Lead Enabling Services (</w:t>
      </w:r>
      <w:r w:rsidRPr="00A35FCD">
        <w:rPr>
          <w:rFonts w:cstheme="minorHAnsi"/>
        </w:rPr>
        <w:t>PWLES</w:t>
      </w:r>
      <w:r w:rsidR="00297D5B">
        <w:rPr>
          <w:rFonts w:cstheme="minorHAnsi"/>
        </w:rPr>
        <w:t>)</w:t>
      </w:r>
      <w:r w:rsidRPr="00A35FCD">
        <w:rPr>
          <w:rFonts w:cstheme="minorHAnsi"/>
        </w:rPr>
        <w:t xml:space="preserve">, and the </w:t>
      </w:r>
      <w:r>
        <w:rPr>
          <w:rFonts w:cstheme="minorHAnsi"/>
        </w:rPr>
        <w:t>PWL Governance Board</w:t>
      </w:r>
      <w:r w:rsidRPr="00A35FCD">
        <w:rPr>
          <w:rFonts w:cstheme="minorHAnsi"/>
        </w:rPr>
        <w:t xml:space="preserve">. </w:t>
      </w:r>
    </w:p>
    <w:p w14:paraId="48761E84" w14:textId="77777777" w:rsidR="00BA790F" w:rsidRPr="00A35FCD" w:rsidRDefault="00BA790F" w:rsidP="00074B99">
      <w:pPr>
        <w:pStyle w:val="Heading3nonumber"/>
        <w:outlineLvl w:val="9"/>
      </w:pPr>
      <w:r w:rsidRPr="00A35FCD">
        <w:t>Objective of the review</w:t>
      </w:r>
    </w:p>
    <w:p w14:paraId="767D8444" w14:textId="0C706917" w:rsidR="00BA790F" w:rsidRPr="00A35FCD" w:rsidRDefault="00BA790F" w:rsidP="00BA790F">
      <w:pPr>
        <w:rPr>
          <w:rFonts w:cstheme="minorHAnsi"/>
        </w:rPr>
      </w:pPr>
      <w:r w:rsidRPr="00A35FCD">
        <w:rPr>
          <w:rFonts w:cstheme="minorHAnsi"/>
        </w:rPr>
        <w:t xml:space="preserve">This </w:t>
      </w:r>
      <w:r w:rsidR="005E687F">
        <w:rPr>
          <w:rFonts w:cstheme="minorHAnsi"/>
        </w:rPr>
        <w:t>mid-term review (</w:t>
      </w:r>
      <w:r w:rsidRPr="00A35FCD">
        <w:rPr>
          <w:rFonts w:cstheme="minorHAnsi"/>
        </w:rPr>
        <w:t>MTR</w:t>
      </w:r>
      <w:r w:rsidR="005E687F">
        <w:rPr>
          <w:rFonts w:cstheme="minorHAnsi"/>
        </w:rPr>
        <w:t>)</w:t>
      </w:r>
      <w:r w:rsidRPr="00A35FCD">
        <w:rPr>
          <w:rFonts w:cstheme="minorHAnsi"/>
        </w:rPr>
        <w:t xml:space="preserve"> is a standard requirement for large DFAT development programs. The purpose of this review is to:</w:t>
      </w:r>
    </w:p>
    <w:p w14:paraId="48482E7F" w14:textId="77777777" w:rsidR="00BA790F" w:rsidRPr="00A35FCD" w:rsidRDefault="00BA790F" w:rsidP="00BA790F">
      <w:pPr>
        <w:pStyle w:val="ListBullet"/>
      </w:pPr>
      <w:r w:rsidRPr="00A35FCD">
        <w:t xml:space="preserve">assess the PWL modalities across the whole of portfolio, identify achievements and challenges </w:t>
      </w:r>
    </w:p>
    <w:p w14:paraId="142C997A" w14:textId="77777777" w:rsidR="00BA790F" w:rsidRPr="00A35FCD" w:rsidRDefault="00BA790F" w:rsidP="00BA790F">
      <w:pPr>
        <w:pStyle w:val="ListBullet"/>
      </w:pPr>
      <w:r w:rsidRPr="00A35FCD">
        <w:t>make recommendations to guide program implementation to June 2026 and the next phase of PWL</w:t>
      </w:r>
    </w:p>
    <w:p w14:paraId="0E08A0E9" w14:textId="77777777" w:rsidR="00BA790F" w:rsidRPr="00A35FCD" w:rsidRDefault="00BA790F" w:rsidP="00BA790F">
      <w:pPr>
        <w:pStyle w:val="ListBullet"/>
      </w:pPr>
      <w:r w:rsidRPr="00A35FCD">
        <w:t xml:space="preserve">extract learnings about key drivers of transformational change for gender equality across the Pacific to inform the next program phase. </w:t>
      </w:r>
    </w:p>
    <w:p w14:paraId="7C11B7F9" w14:textId="77777777" w:rsidR="00BA790F" w:rsidRPr="00A35FCD" w:rsidRDefault="00BA790F" w:rsidP="00BA790F">
      <w:pPr>
        <w:rPr>
          <w:rFonts w:cstheme="minorHAnsi"/>
        </w:rPr>
      </w:pPr>
      <w:r w:rsidRPr="00A35FCD">
        <w:rPr>
          <w:rFonts w:cstheme="minorHAnsi"/>
        </w:rPr>
        <w:t xml:space="preserve">This review covers the first half of the program and sought to develop findings related to the effectiveness, efficiency, relevance of PWL's approach to achieving desired outcomes, and the extent to which the program has supported integration of gender, disability inclusion and climate change into partner strategies and outcomes. </w:t>
      </w:r>
    </w:p>
    <w:p w14:paraId="4ECBC78A" w14:textId="77777777" w:rsidR="00BA790F" w:rsidRDefault="1A55F0A4" w:rsidP="3BBBFC65">
      <w:r w:rsidRPr="3BBBFC65">
        <w:t xml:space="preserve">The review team reviewed internal PWL documents, conducted 41 consultations with more than 100 individual partners, facilitated and took notes at the PWL Annual Reflection and Analysis Workshop (ARAW), and incorporated findings from a parallel Pacific Women Lead at SPC-specific MTR. The team also conducted validation workshops with key stakeholders and the </w:t>
      </w:r>
      <w:r>
        <w:t>PWL Governance Board</w:t>
      </w:r>
      <w:r w:rsidRPr="3BBBFC65">
        <w:t xml:space="preserve">, and tested the key recommendations with representatives from PWLES, SPC and DFAT. </w:t>
      </w:r>
    </w:p>
    <w:p w14:paraId="11DFB676" w14:textId="77777777" w:rsidR="00845151" w:rsidRPr="00A35FCD" w:rsidRDefault="00845151" w:rsidP="00BA790F">
      <w:pPr>
        <w:rPr>
          <w:rFonts w:cstheme="minorHAnsi"/>
        </w:rPr>
      </w:pPr>
    </w:p>
    <w:p w14:paraId="5C807411" w14:textId="77777777" w:rsidR="006C27E8" w:rsidRDefault="006C27E8">
      <w:pPr>
        <w:rPr>
          <w:rFonts w:asciiTheme="majorHAnsi" w:eastAsiaTheme="majorEastAsia" w:hAnsiTheme="majorHAnsi" w:cstheme="majorBidi"/>
          <w:color w:val="0D3E67" w:themeColor="accent3"/>
          <w:sz w:val="32"/>
          <w:szCs w:val="26"/>
        </w:rPr>
      </w:pPr>
      <w:bookmarkStart w:id="8" w:name="_Toc193745522"/>
      <w:bookmarkStart w:id="9" w:name="_Toc193789360"/>
      <w:bookmarkStart w:id="10" w:name="_Toc198806455"/>
      <w:r>
        <w:br w:type="page"/>
      </w:r>
    </w:p>
    <w:p w14:paraId="6B5B38D1" w14:textId="4129B5FC" w:rsidR="00BA790F" w:rsidRDefault="00904ECE" w:rsidP="00BA790F">
      <w:pPr>
        <w:pStyle w:val="Heading2nonumber"/>
      </w:pPr>
      <w:bookmarkStart w:id="11" w:name="_Toc201840791"/>
      <w:r>
        <w:lastRenderedPageBreak/>
        <w:t>Overa</w:t>
      </w:r>
      <w:r w:rsidR="00215DCD">
        <w:t>ll</w:t>
      </w:r>
      <w:r w:rsidR="00FC7B9A">
        <w:t xml:space="preserve"> MTR</w:t>
      </w:r>
      <w:r w:rsidR="00BA790F">
        <w:t xml:space="preserve"> finding</w:t>
      </w:r>
      <w:bookmarkEnd w:id="8"/>
      <w:bookmarkEnd w:id="9"/>
      <w:bookmarkEnd w:id="10"/>
      <w:bookmarkEnd w:id="11"/>
    </w:p>
    <w:p w14:paraId="0E627127" w14:textId="07C84A9D" w:rsidR="00904ECE" w:rsidRPr="00904ECE" w:rsidRDefault="00904ECE" w:rsidP="00384259">
      <w:pPr>
        <w:pStyle w:val="Tealblocktext"/>
      </w:pPr>
      <w:r w:rsidRPr="00904ECE">
        <w:t>This MTR concludes that at this point in implementation, the PWL modality is a fit-for-purpose, highly relevant, and effective approach to accelerating and consolidating regional gender equality efforts, distinguished by its Pacific-led, collaborative</w:t>
      </w:r>
      <w:r>
        <w:t xml:space="preserve"> </w:t>
      </w:r>
      <w:r w:rsidRPr="00904ECE">
        <w:t>and adaptive design that reflects the complexity of advancing gender equality across the region. By uniting diverse stakeholders</w:t>
      </w:r>
      <w:r>
        <w:t xml:space="preserve">, </w:t>
      </w:r>
      <w:r w:rsidRPr="00904ECE">
        <w:t>including governments, civil society organisations, regional bodies and donors</w:t>
      </w:r>
      <w:r>
        <w:t xml:space="preserve">, </w:t>
      </w:r>
      <w:r w:rsidRPr="00904ECE">
        <w:t>PWL enacts principles of collective impact, intentionally builds relationships, and fosters strategic learning, which is central to addressing systemic and complex social change. This learning-by-doing methodology enables open discussion and iterative adaptation, allowing evidence, experiences, knowledge gaps and challenges to be shared and addressed.</w:t>
      </w:r>
    </w:p>
    <w:p w14:paraId="719BA860" w14:textId="45B9BACE" w:rsidR="00904ECE" w:rsidRPr="00904ECE" w:rsidRDefault="00904ECE" w:rsidP="00384259">
      <w:pPr>
        <w:pStyle w:val="Tealblocktext"/>
      </w:pPr>
      <w:r w:rsidRPr="00904ECE">
        <w:t xml:space="preserve">For DFAT, PWL addresses long-standing gaps in regional coordination and visibility, aligning directly with Australia’s International Gender Equality Strategy, International Disability Equity and Rights Strategy, and Locally Led </w:t>
      </w:r>
      <w:r w:rsidR="00326625">
        <w:t xml:space="preserve">Development </w:t>
      </w:r>
      <w:r w:rsidRPr="00904ECE">
        <w:t>Guidance Note by embedding Pacific leadership, collective learning, and mainstreaming equity and inclusion. The backbone function provided by PWLES is pivotal for maintaining momentum, facilitating collaboration, brokering relationships, and supporting robust monitoring, evaluation, and adaptation; thus, adequate and flexible resourcing of PWLES is critical to sustaining and scaling the modality’s effectiveness, ensuring continued relevance, and safeguarding the significant gains achieved in the regional gender equality architecture and ecosystem.</w:t>
      </w:r>
    </w:p>
    <w:p w14:paraId="00CA626D" w14:textId="75BB4290" w:rsidR="00904ECE" w:rsidRPr="00904ECE" w:rsidRDefault="00C7637A" w:rsidP="00C7637A">
      <w:pPr>
        <w:pStyle w:val="Heading2nonumber"/>
      </w:pPr>
      <w:bookmarkStart w:id="12" w:name="_Toc201840792"/>
      <w:r>
        <w:t>MTR findings against key review questions</w:t>
      </w:r>
      <w:bookmarkEnd w:id="12"/>
      <w:r>
        <w:t xml:space="preserve"> </w:t>
      </w:r>
    </w:p>
    <w:p w14:paraId="1EA0AE7F" w14:textId="7742B8A4" w:rsidR="00845151" w:rsidRPr="00D76F12" w:rsidRDefault="00845151" w:rsidP="00D76F12">
      <w:pPr>
        <w:pStyle w:val="Heading3"/>
        <w:numPr>
          <w:ilvl w:val="0"/>
          <w:numId w:val="0"/>
        </w:numPr>
        <w:rPr>
          <w:color w:val="984C00" w:themeColor="accent1" w:themeShade="BF"/>
        </w:rPr>
      </w:pPr>
      <w:r w:rsidRPr="00D76F12">
        <w:rPr>
          <w:color w:val="984C00" w:themeColor="accent1" w:themeShade="BF"/>
        </w:rPr>
        <w:t>Effectiveness</w:t>
      </w:r>
    </w:p>
    <w:p w14:paraId="15530326" w14:textId="131678D6" w:rsidR="00845151" w:rsidRPr="00527334" w:rsidRDefault="00845151" w:rsidP="00074B99">
      <w:pPr>
        <w:pStyle w:val="Heading4nonumber"/>
        <w:outlineLvl w:val="9"/>
      </w:pPr>
      <w:r w:rsidRPr="00527334">
        <w:t>How does PWL design and delivery align with principles of Pacific led programming?</w:t>
      </w:r>
    </w:p>
    <w:p w14:paraId="780BAA31" w14:textId="77777777" w:rsidR="007720F9" w:rsidRDefault="007720F9" w:rsidP="00384259">
      <w:pPr>
        <w:pStyle w:val="Tealblocktext"/>
      </w:pPr>
      <w:r w:rsidRPr="007720F9">
        <w:t>While not a KRQ as agreed in the MTR terms of reference, this became an emergent and priority question bringing together a key thread between KRQ2 (regarding Pacific ownership), and KRQ3 (regarding transformational change).</w:t>
      </w:r>
    </w:p>
    <w:p w14:paraId="2CAC8772" w14:textId="7BFB702F" w:rsidR="00845151" w:rsidRPr="00EE243C" w:rsidRDefault="4A2E2D43" w:rsidP="00384259">
      <w:pPr>
        <w:pStyle w:val="Tealblocktext"/>
      </w:pPr>
      <w:r>
        <w:t>PWL demonstrates commitment to Pacific-led programming by strategically partnering with SPC as a lead implementing partner, establishing a Pacific-led PWL Governance B</w:t>
      </w:r>
      <w:r w:rsidRPr="3BBBFC65">
        <w:rPr>
          <w:rFonts w:eastAsiaTheme="minorEastAsia"/>
          <w:szCs w:val="21"/>
        </w:rPr>
        <w:t>oar</w:t>
      </w:r>
      <w:r>
        <w:t>d</w:t>
      </w:r>
      <w:r w:rsidRPr="3BBBFC65">
        <w:rPr>
          <w:rFonts w:eastAsiaTheme="minorEastAsia"/>
          <w:szCs w:val="21"/>
        </w:rPr>
        <w:t xml:space="preserve">, </w:t>
      </w:r>
      <w:r w:rsidR="24968405" w:rsidRPr="3BBBFC65">
        <w:rPr>
          <w:rFonts w:eastAsiaTheme="minorEastAsia"/>
          <w:szCs w:val="21"/>
        </w:rPr>
        <w:t>drawing on leadership and networks of the Women’s Funds to contribute to PWL outcomes</w:t>
      </w:r>
      <w:r w:rsidRPr="3BBBFC65">
        <w:rPr>
          <w:rFonts w:eastAsiaTheme="minorEastAsia"/>
          <w:szCs w:val="21"/>
        </w:rPr>
        <w:t xml:space="preserve"> and creating mechanisms that explicitly centre Pacific voices and decision-making. The program's appro</w:t>
      </w:r>
      <w:r>
        <w:t xml:space="preserve">ach provides a promising model for reimagining development programming with genuine regional leadership and partnership. While challenges remain, through the cooperation and collaboration with DFAT Canberra and Suva Post, PWL has laid critical groundwork for a more equitable, context-responsive approach to gender equality that yields power to Pacific partners to define and drive their own gender equality priorities in line with regional frameworks. </w:t>
      </w:r>
    </w:p>
    <w:p w14:paraId="71D4F48E" w14:textId="77777777" w:rsidR="00845151" w:rsidRPr="00D76F12" w:rsidRDefault="00845151" w:rsidP="00074B99">
      <w:pPr>
        <w:pStyle w:val="Heading4nonumber"/>
        <w:outlineLvl w:val="9"/>
        <w:rPr>
          <w:color w:val="984C00" w:themeColor="accent1" w:themeShade="BF"/>
        </w:rPr>
      </w:pPr>
      <w:r>
        <w:t xml:space="preserve">KRQ1: </w:t>
      </w:r>
      <w:r w:rsidRPr="00EE243C">
        <w:t xml:space="preserve">To what extent is there progress </w:t>
      </w:r>
      <w:r>
        <w:t xml:space="preserve">in the area of: women’s rights realised – </w:t>
      </w:r>
      <w:r w:rsidRPr="00D76F12">
        <w:rPr>
          <w:color w:val="984C00" w:themeColor="accent1" w:themeShade="BF"/>
        </w:rPr>
        <w:t>women’s safety?</w:t>
      </w:r>
    </w:p>
    <w:p w14:paraId="11B6EB1E" w14:textId="12A21AC6" w:rsidR="00845151" w:rsidRDefault="00845151" w:rsidP="00384259">
      <w:pPr>
        <w:pStyle w:val="Tealblocktext"/>
      </w:pPr>
      <w:r w:rsidRPr="3E19541A">
        <w:t>T</w:t>
      </w:r>
      <w:r>
        <w:t>he evidence suggests that PWL efforts to date</w:t>
      </w:r>
      <w:r w:rsidRPr="3E19541A">
        <w:rPr>
          <w:rStyle w:val="Strong"/>
          <w:b w:val="0"/>
          <w:bCs w:val="0"/>
        </w:rPr>
        <w:t xml:space="preserve"> are targeted, relevant, and effective</w:t>
      </w:r>
      <w:r w:rsidR="009E1590" w:rsidRPr="3E19541A">
        <w:rPr>
          <w:rStyle w:val="Strong"/>
          <w:b w:val="0"/>
          <w:bCs w:val="0"/>
        </w:rPr>
        <w:t xml:space="preserve"> –</w:t>
      </w:r>
      <w:r w:rsidRPr="3E19541A">
        <w:rPr>
          <w:rStyle w:val="Strong"/>
          <w:b w:val="0"/>
          <w:bCs w:val="0"/>
        </w:rPr>
        <w:t xml:space="preserve"> contributing to satisfactory progress towards the </w:t>
      </w:r>
      <w:r w:rsidR="009E1590" w:rsidRPr="3E19541A">
        <w:rPr>
          <w:rStyle w:val="Strong"/>
          <w:b w:val="0"/>
          <w:bCs w:val="0"/>
        </w:rPr>
        <w:t>end of project outcomes (</w:t>
      </w:r>
      <w:r w:rsidRPr="3E19541A">
        <w:rPr>
          <w:rStyle w:val="Strong"/>
          <w:b w:val="0"/>
          <w:bCs w:val="0"/>
        </w:rPr>
        <w:t>EOPO</w:t>
      </w:r>
      <w:r w:rsidR="009E1590" w:rsidRPr="3E19541A">
        <w:rPr>
          <w:rStyle w:val="Strong"/>
          <w:b w:val="0"/>
          <w:bCs w:val="0"/>
        </w:rPr>
        <w:t>)</w:t>
      </w:r>
      <w:r w:rsidRPr="3E19541A">
        <w:rPr>
          <w:rStyle w:val="Strong"/>
          <w:b w:val="0"/>
          <w:bCs w:val="0"/>
        </w:rPr>
        <w:t>.</w:t>
      </w:r>
      <w:r>
        <w:t xml:space="preserve"> Nevertheless, evidence of social norms change has been minimal, presenting a critical opportunity to deepen focus on addressing social barriers to ensure that availability of services</w:t>
      </w:r>
      <w:r w:rsidR="000C469F">
        <w:t xml:space="preserve"> leads to</w:t>
      </w:r>
      <w:r>
        <w:t xml:space="preserve"> greater uptake of services. More evidence of progress is expected for the second half of the program given many partners received funds shortly before this review.</w:t>
      </w:r>
    </w:p>
    <w:p w14:paraId="46EF1076" w14:textId="77777777" w:rsidR="00CD24C3" w:rsidRDefault="00CD24C3">
      <w:pPr>
        <w:rPr>
          <w:rFonts w:asciiTheme="majorHAnsi" w:eastAsiaTheme="majorEastAsia" w:hAnsiTheme="majorHAnsi" w:cstheme="majorBidi"/>
          <w:i/>
          <w:iCs/>
          <w:sz w:val="24"/>
        </w:rPr>
      </w:pPr>
      <w:r>
        <w:br w:type="page"/>
      </w:r>
    </w:p>
    <w:p w14:paraId="3166975F" w14:textId="4636FF5B" w:rsidR="00845151" w:rsidRPr="00D76F12" w:rsidRDefault="00845151" w:rsidP="00074B99">
      <w:pPr>
        <w:pStyle w:val="Heading4nonumber"/>
        <w:outlineLvl w:val="9"/>
        <w:rPr>
          <w:color w:val="984C00" w:themeColor="accent1" w:themeShade="BF"/>
        </w:rPr>
      </w:pPr>
      <w:r>
        <w:lastRenderedPageBreak/>
        <w:t xml:space="preserve">KRQ1: </w:t>
      </w:r>
      <w:r w:rsidRPr="00EE243C">
        <w:t xml:space="preserve">To what extent is there progress </w:t>
      </w:r>
      <w:r>
        <w:t xml:space="preserve">in the area of: women’s rights realised – </w:t>
      </w:r>
      <w:r w:rsidRPr="00D76F12">
        <w:rPr>
          <w:color w:val="984C00" w:themeColor="accent1" w:themeShade="BF"/>
        </w:rPr>
        <w:t>sexual and reproductive health?</w:t>
      </w:r>
    </w:p>
    <w:p w14:paraId="47C9D733" w14:textId="4760AA51" w:rsidR="00845151" w:rsidRDefault="00845151" w:rsidP="00384259">
      <w:pPr>
        <w:pStyle w:val="Tealblocktext"/>
      </w:pPr>
      <w:r w:rsidRPr="001664E4">
        <w:rPr>
          <w:rStyle w:val="Strong"/>
          <w:b w:val="0"/>
        </w:rPr>
        <w:t>There is strong evidence of improved availability and delivery of services provided by health sectors across the Pacific as well as effective efforts to address social norms that limit access to services by diverse women and girls.</w:t>
      </w:r>
      <w:r>
        <w:rPr>
          <w:rStyle w:val="Strong"/>
          <w:b w:val="0"/>
        </w:rPr>
        <w:t xml:space="preserve"> T</w:t>
      </w:r>
      <w:r>
        <w:t>here is minimal evidence to suggest any noticeable shifts in social norms to allow for greater access to services.</w:t>
      </w:r>
      <w:r>
        <w:rPr>
          <w:b/>
        </w:rPr>
        <w:t xml:space="preserve"> </w:t>
      </w:r>
      <w:r w:rsidRPr="005C7615">
        <w:t>Overall</w:t>
      </w:r>
      <w:r>
        <w:rPr>
          <w:b/>
        </w:rPr>
        <w:t xml:space="preserve">, </w:t>
      </w:r>
      <w:r w:rsidRPr="001664E4">
        <w:rPr>
          <w:rStyle w:val="Strong"/>
          <w:b w:val="0"/>
        </w:rPr>
        <w:t xml:space="preserve">satisfactory progress </w:t>
      </w:r>
      <w:r>
        <w:rPr>
          <w:rStyle w:val="Strong"/>
          <w:b w:val="0"/>
        </w:rPr>
        <w:t xml:space="preserve">has been made </w:t>
      </w:r>
      <w:r w:rsidRPr="001664E4">
        <w:rPr>
          <w:rStyle w:val="Strong"/>
          <w:b w:val="0"/>
        </w:rPr>
        <w:t>towards the EOPO</w:t>
      </w:r>
      <w:r>
        <w:rPr>
          <w:rStyle w:val="Strong"/>
          <w:b w:val="0"/>
        </w:rPr>
        <w:t>.</w:t>
      </w:r>
      <w:r>
        <w:t xml:space="preserve"> More evidence of progress is expected for the second half of the program given many partners received funds shortly before this review.</w:t>
      </w:r>
    </w:p>
    <w:p w14:paraId="2551A881" w14:textId="77777777" w:rsidR="00845151" w:rsidRPr="00D76F12" w:rsidRDefault="00845151" w:rsidP="00074B99">
      <w:pPr>
        <w:pStyle w:val="Heading4nonumber"/>
        <w:outlineLvl w:val="9"/>
        <w:rPr>
          <w:color w:val="984C00" w:themeColor="accent1" w:themeShade="BF"/>
        </w:rPr>
      </w:pPr>
      <w:r>
        <w:t xml:space="preserve">KRQ1: </w:t>
      </w:r>
      <w:r w:rsidRPr="00EE243C">
        <w:t xml:space="preserve">To what extent is there progress </w:t>
      </w:r>
      <w:r>
        <w:t xml:space="preserve">in the area of: women’s rights realised – </w:t>
      </w:r>
      <w:r w:rsidRPr="00D76F12">
        <w:rPr>
          <w:color w:val="984C00" w:themeColor="accent1" w:themeShade="BF"/>
        </w:rPr>
        <w:t>women’s economic empowerment?</w:t>
      </w:r>
    </w:p>
    <w:p w14:paraId="48BA22B2" w14:textId="2F5F451E" w:rsidR="00845151" w:rsidRDefault="00845151" w:rsidP="00384259">
      <w:pPr>
        <w:pStyle w:val="Tealblocktext"/>
        <w:rPr>
          <w:rFonts w:cstheme="minorHAnsi"/>
        </w:rPr>
      </w:pPr>
      <w:r>
        <w:rPr>
          <w:rStyle w:val="Strong"/>
          <w:b w:val="0"/>
        </w:rPr>
        <w:t>Partner efforts</w:t>
      </w:r>
      <w:r w:rsidRPr="001664E4">
        <w:rPr>
          <w:rStyle w:val="Strong"/>
          <w:b w:val="0"/>
        </w:rPr>
        <w:t xml:space="preserve"> have achieved</w:t>
      </w:r>
      <w:r>
        <w:rPr>
          <w:rStyle w:val="Strong"/>
          <w:b w:val="0"/>
        </w:rPr>
        <w:t xml:space="preserve"> satisfactory</w:t>
      </w:r>
      <w:r w:rsidRPr="001664E4">
        <w:rPr>
          <w:rStyle w:val="Strong"/>
          <w:b w:val="0"/>
        </w:rPr>
        <w:t xml:space="preserve"> progress towards this EOPO. However, the MTR team would encourage deeper reflection on whether the proportion of investment on WEE is sufficient to achieve scaled and sustained progress in this area.</w:t>
      </w:r>
      <w:r>
        <w:rPr>
          <w:rFonts w:cstheme="minorHAnsi"/>
        </w:rPr>
        <w:t xml:space="preserve"> Furthermore, there is minimal evidence of social norms change and of do no harm approaches being incorporated into programming, as suggested by the formative situational analysis. </w:t>
      </w:r>
      <w:r>
        <w:t>More evidence of progress is expected for the second half of the program given many partners received funds shortly before this review.</w:t>
      </w:r>
    </w:p>
    <w:p w14:paraId="27D1EB98" w14:textId="77777777" w:rsidR="00845151" w:rsidRPr="00EE243C" w:rsidRDefault="00845151" w:rsidP="00074B99">
      <w:pPr>
        <w:pStyle w:val="Heading4nonumber"/>
        <w:outlineLvl w:val="9"/>
      </w:pPr>
      <w:r>
        <w:t xml:space="preserve">KRQ1: </w:t>
      </w:r>
      <w:r w:rsidRPr="00EE243C">
        <w:t xml:space="preserve">To what extent is there progress </w:t>
      </w:r>
      <w:r>
        <w:t xml:space="preserve">in the area of: women’s leadership promoted – </w:t>
      </w:r>
      <w:r w:rsidRPr="00362900">
        <w:rPr>
          <w:color w:val="984C00" w:themeColor="accent1" w:themeShade="BF"/>
        </w:rPr>
        <w:t>feminist leadership?</w:t>
      </w:r>
    </w:p>
    <w:p w14:paraId="3B47F365" w14:textId="018FABC4" w:rsidR="00845151" w:rsidRDefault="00755603" w:rsidP="00384259">
      <w:pPr>
        <w:pStyle w:val="Tealblocktext"/>
      </w:pPr>
      <w:r w:rsidRPr="00755603">
        <w:t>The formative situational analysis describes difficulties with defining the feminist movement, and there was recognition during the 2024 ARAW of the possibility that using the label ‘feminist’ could unintentionally leave out women’s organisations that are doing progressive, rights-based work but may not use the term ‘feminist’ to describe themselves</w:t>
      </w:r>
      <w:r w:rsidR="009053CA">
        <w:t>.</w:t>
      </w:r>
      <w:r w:rsidR="000C469F">
        <w:t xml:space="preserve"> </w:t>
      </w:r>
      <w:r w:rsidR="4A2E2D43">
        <w:t>Nevertheless, based on evidence from partners supporting this EOPO, the MTR team has found strong evidence that PWL has amplified Pacific feminist civil society at the regional, national, and local levels. PWL has contributed to convenings and attendance at key forums, local activism for women’s rights organisations in at least eight countries, and supported better connections between partners. More evidence of progress is expected for the second half of the program given many partners received funds shortly before this review.</w:t>
      </w:r>
    </w:p>
    <w:p w14:paraId="525146FA" w14:textId="77777777" w:rsidR="00845151" w:rsidRPr="00EE243C" w:rsidRDefault="00845151" w:rsidP="00074B99">
      <w:pPr>
        <w:pStyle w:val="Heading4nonumber"/>
        <w:outlineLvl w:val="9"/>
      </w:pPr>
      <w:r>
        <w:t xml:space="preserve">KRQ1: </w:t>
      </w:r>
      <w:r w:rsidRPr="00EE243C">
        <w:t xml:space="preserve">To what extent is there progress </w:t>
      </w:r>
      <w:r>
        <w:t xml:space="preserve">in the area of: women’s leadership promoted – </w:t>
      </w:r>
      <w:r w:rsidRPr="00362900">
        <w:rPr>
          <w:color w:val="984C00" w:themeColor="accent1" w:themeShade="BF"/>
        </w:rPr>
        <w:t>women and girl’s voice?</w:t>
      </w:r>
    </w:p>
    <w:p w14:paraId="131CC422" w14:textId="3638DD1E" w:rsidR="00845151" w:rsidRPr="00256655" w:rsidRDefault="00845151" w:rsidP="00384259">
      <w:pPr>
        <w:pStyle w:val="Tealblocktext"/>
        <w:rPr>
          <w:rFonts w:cstheme="minorHAnsi"/>
          <w:b/>
        </w:rPr>
      </w:pPr>
      <w:r>
        <w:rPr>
          <w:rStyle w:val="Strong"/>
          <w:b w:val="0"/>
        </w:rPr>
        <w:t xml:space="preserve">There is strong evidence that </w:t>
      </w:r>
      <w:r w:rsidRPr="009A5C15">
        <w:rPr>
          <w:rStyle w:val="Strong"/>
          <w:b w:val="0"/>
        </w:rPr>
        <w:t xml:space="preserve">PWL has improved representation of women and girls in regional convenings in which partners have direct influence, </w:t>
      </w:r>
      <w:r>
        <w:rPr>
          <w:rStyle w:val="Strong"/>
          <w:b w:val="0"/>
        </w:rPr>
        <w:t xml:space="preserve">with some evidence </w:t>
      </w:r>
      <w:r w:rsidRPr="009A5C15">
        <w:rPr>
          <w:rStyle w:val="Strong"/>
          <w:b w:val="0"/>
        </w:rPr>
        <w:t>in shifts in social norms to improve representation more widely</w:t>
      </w:r>
      <w:r>
        <w:rPr>
          <w:rStyle w:val="Strong"/>
          <w:b w:val="0"/>
        </w:rPr>
        <w:t>.</w:t>
      </w:r>
      <w:r w:rsidRPr="00C36741">
        <w:t xml:space="preserve"> </w:t>
      </w:r>
      <w:r>
        <w:t>More evidence of progress is expected for the second half of the program given many partners received funds shortly before this review.</w:t>
      </w:r>
    </w:p>
    <w:p w14:paraId="519D01A0" w14:textId="29E2B095" w:rsidR="00845151" w:rsidRPr="00EE243C" w:rsidRDefault="00845151" w:rsidP="00074B99">
      <w:pPr>
        <w:pStyle w:val="Heading4nonumber"/>
        <w:outlineLvl w:val="9"/>
      </w:pPr>
      <w:r>
        <w:t xml:space="preserve">KRQ2: </w:t>
      </w:r>
      <w:r w:rsidRPr="00EE243C">
        <w:t xml:space="preserve">To what extent is there progress </w:t>
      </w:r>
      <w:r>
        <w:t xml:space="preserve">in the areas of: </w:t>
      </w:r>
      <w:r w:rsidRPr="00362900">
        <w:rPr>
          <w:color w:val="984C00" w:themeColor="accent1" w:themeShade="BF"/>
        </w:rPr>
        <w:t>Pacific ownership and regional effectiveness?</w:t>
      </w:r>
    </w:p>
    <w:p w14:paraId="0F543696" w14:textId="4D569343" w:rsidR="00845151" w:rsidRPr="007E3A5A" w:rsidRDefault="007720F9" w:rsidP="00384259">
      <w:pPr>
        <w:pStyle w:val="Tealblocktext"/>
        <w:rPr>
          <w:rStyle w:val="Strong"/>
          <w:b w:val="0"/>
        </w:rPr>
      </w:pPr>
      <w:r w:rsidRPr="007720F9">
        <w:rPr>
          <w:rStyle w:val="Strong"/>
          <w:b w:val="0"/>
        </w:rPr>
        <w:t>The design of PWL positions SPC as leading implementation on Outcome 3 and with primary responsibility over resourcing and facilitating collaboration with PIFS.</w:t>
      </w:r>
      <w:r w:rsidR="00F3525C">
        <w:rPr>
          <w:rStyle w:val="Strong"/>
          <w:b w:val="0"/>
        </w:rPr>
        <w:t xml:space="preserve"> </w:t>
      </w:r>
      <w:r w:rsidR="00845151" w:rsidRPr="007E3A5A">
        <w:rPr>
          <w:rStyle w:val="Strong"/>
          <w:b w:val="0"/>
        </w:rPr>
        <w:t xml:space="preserve">The MTR found strong evidence that PWL partners, particularly SPC, are contributing towards gender equality convenings and frameworks at the regional level. There is less evidence that Pacific governments are mainstreaming gender through their sector programs and policies, which is expected at this early stage of the program given the time required for mainstreaming and policy change. </w:t>
      </w:r>
    </w:p>
    <w:p w14:paraId="2CBEDBB4" w14:textId="77777777" w:rsidR="00845151" w:rsidRDefault="00845151" w:rsidP="00074B99">
      <w:pPr>
        <w:pStyle w:val="Heading4nonumber"/>
        <w:outlineLvl w:val="9"/>
      </w:pPr>
      <w:r>
        <w:lastRenderedPageBreak/>
        <w:t xml:space="preserve">KRQ1b. </w:t>
      </w:r>
      <w:r w:rsidRPr="00EE243C">
        <w:t>How well are program strategies working to achieve outcomes?</w:t>
      </w:r>
    </w:p>
    <w:p w14:paraId="30FF5F9C" w14:textId="426E553F" w:rsidR="00845151" w:rsidRDefault="00845151" w:rsidP="00384259">
      <w:pPr>
        <w:pStyle w:val="Tealblocktext"/>
      </w:pPr>
      <w:r w:rsidRPr="004C1F12">
        <w:t>PWL's four core strategies</w:t>
      </w:r>
      <w:r w:rsidR="003729D9" w:rsidRPr="004C1F12">
        <w:t xml:space="preserve"> </w:t>
      </w:r>
      <w:r w:rsidR="003729D9">
        <w:t>–</w:t>
      </w:r>
      <w:r w:rsidR="003729D9" w:rsidRPr="004C1F12">
        <w:t xml:space="preserve"> </w:t>
      </w:r>
      <w:r w:rsidRPr="004C1F12">
        <w:t xml:space="preserve">grant making with wrap-around support, convenings, technical support, and portfolio-level </w:t>
      </w:r>
      <w:r w:rsidR="009E1590">
        <w:t>monitoring, evaluation and learning (</w:t>
      </w:r>
      <w:r w:rsidRPr="004C1F12">
        <w:t>MEL</w:t>
      </w:r>
      <w:r w:rsidR="003729D9">
        <w:t>)</w:t>
      </w:r>
      <w:r w:rsidRPr="004C1F12">
        <w:t xml:space="preserve"> </w:t>
      </w:r>
      <w:r w:rsidR="009E1590">
        <w:t>–</w:t>
      </w:r>
      <w:r w:rsidRPr="004C1F12">
        <w:t xml:space="preserve"> have collectively demonstrated effectiveness in advancing gender equality across the Pacific region. The grant making approach has successfully mobili</w:t>
      </w:r>
      <w:r>
        <w:t>s</w:t>
      </w:r>
      <w:r w:rsidRPr="004C1F12">
        <w:t xml:space="preserve">ed 78 diverse implementing partners, though challenges persist with five distinct </w:t>
      </w:r>
      <w:r w:rsidR="00C860FD" w:rsidRPr="004C1F12">
        <w:t>grant makers</w:t>
      </w:r>
      <w:r w:rsidRPr="004C1F12">
        <w:t xml:space="preserve"> creating duplication and administrative burdens. Convenings have proven critical for gender mainstreaming and women's rights advancement, bringing together diverse stakeholders and enabling valuable knowledge sharing. Technical support has strengthened institutional capacity and policy development, while portfolio-level MEL has become an essential driver of Pacific stakeholders' ownership of evidence and strategic direction through mechanisms like the </w:t>
      </w:r>
      <w:r>
        <w:t>ARAW</w:t>
      </w:r>
      <w:r w:rsidRPr="004C1F12">
        <w:t>.</w:t>
      </w:r>
    </w:p>
    <w:p w14:paraId="5003A7A2" w14:textId="77777777" w:rsidR="00845151" w:rsidRPr="00EE243C" w:rsidRDefault="00845151" w:rsidP="00074B99">
      <w:pPr>
        <w:pStyle w:val="Heading4nonumber"/>
        <w:outlineLvl w:val="9"/>
      </w:pPr>
      <w:r>
        <w:t xml:space="preserve">KRQ3. </w:t>
      </w:r>
      <w:r w:rsidRPr="00EE243C">
        <w:t>What are key opportunities and barriers for the PWL program to achieve transformational change?</w:t>
      </w:r>
    </w:p>
    <w:p w14:paraId="3742C207" w14:textId="174AD0E7" w:rsidR="00845151" w:rsidRDefault="4A2E2D43" w:rsidP="00384259">
      <w:pPr>
        <w:pStyle w:val="Tealblocktext"/>
      </w:pPr>
      <w:r>
        <w:t xml:space="preserve">This review highlighted considerable work done against all four quadrants of the Gender at Work framework. </w:t>
      </w:r>
      <w:r w:rsidR="00755603" w:rsidRPr="00755603">
        <w:t>Partners have undertaken a wide range of activities to shift harmful social norms, though there is limited evidence of change at this stage. PWL is also supporting a number of initiatives aimed at influencing formal rules and policies, and there is scope to further strengthen this work. However, the absence of formal coordination mechanisms at the country level has reduced the visibility and collective impact of these efforts</w:t>
      </w:r>
      <w:r w:rsidR="00755603">
        <w:t xml:space="preserve">, </w:t>
      </w:r>
      <w:r w:rsidR="00755603" w:rsidRPr="00755603">
        <w:t>both of which are necessary for transformative change.</w:t>
      </w:r>
      <w:r w:rsidR="00755603" w:rsidDel="00755603">
        <w:t xml:space="preserve"> </w:t>
      </w:r>
    </w:p>
    <w:p w14:paraId="171A47A9" w14:textId="46F18EE3" w:rsidR="00845151" w:rsidRPr="00D76F12" w:rsidRDefault="00845151" w:rsidP="00D76F12">
      <w:pPr>
        <w:pStyle w:val="Heading3"/>
        <w:numPr>
          <w:ilvl w:val="0"/>
          <w:numId w:val="0"/>
        </w:numPr>
        <w:rPr>
          <w:rStyle w:val="Strong"/>
          <w:b w:val="0"/>
          <w:bCs w:val="0"/>
          <w:color w:val="984C00" w:themeColor="accent1" w:themeShade="BF"/>
        </w:rPr>
      </w:pPr>
      <w:r w:rsidRPr="00D76F12">
        <w:rPr>
          <w:rStyle w:val="Strong"/>
          <w:b w:val="0"/>
          <w:bCs w:val="0"/>
          <w:color w:val="984C00" w:themeColor="accent1" w:themeShade="BF"/>
        </w:rPr>
        <w:t>Relevance</w:t>
      </w:r>
    </w:p>
    <w:p w14:paraId="663BCBF3" w14:textId="77777777" w:rsidR="00845151" w:rsidRPr="00EE243C" w:rsidRDefault="00845151" w:rsidP="00074B99">
      <w:pPr>
        <w:pStyle w:val="Heading4nonumber"/>
        <w:outlineLvl w:val="9"/>
      </w:pPr>
      <w:r>
        <w:t xml:space="preserve">KRQ4. </w:t>
      </w:r>
      <w:r w:rsidRPr="00EE243C">
        <w:t xml:space="preserve">How relevant is the whole of portfolio modality and the five components to addressing gender inequality across the Pacific region? </w:t>
      </w:r>
    </w:p>
    <w:p w14:paraId="1F0C13E7" w14:textId="77777777" w:rsidR="00845151" w:rsidRDefault="00845151" w:rsidP="00384259">
      <w:pPr>
        <w:pStyle w:val="Tealblocktext"/>
        <w:rPr>
          <w:rStyle w:val="Strong"/>
          <w:b w:val="0"/>
          <w:bCs w:val="0"/>
        </w:rPr>
      </w:pPr>
      <w:r w:rsidRPr="00C4277A">
        <w:rPr>
          <w:rStyle w:val="Strong"/>
          <w:b w:val="0"/>
          <w:bCs w:val="0"/>
        </w:rPr>
        <w:t xml:space="preserve">PWL remains a critical investment into addressing Pacific gender inequality particularly due to the changing global, regional and national contexts in which the program operates. </w:t>
      </w:r>
      <w:bookmarkStart w:id="13" w:name="_Hlk200625297"/>
      <w:r w:rsidRPr="00C4277A">
        <w:rPr>
          <w:rStyle w:val="Strong"/>
          <w:b w:val="0"/>
          <w:bCs w:val="0"/>
        </w:rPr>
        <w:t>The modality</w:t>
      </w:r>
      <w:r>
        <w:rPr>
          <w:rStyle w:val="Strong"/>
          <w:b w:val="0"/>
          <w:bCs w:val="0"/>
        </w:rPr>
        <w:t xml:space="preserve"> and the five components are </w:t>
      </w:r>
      <w:r w:rsidRPr="00C4277A">
        <w:rPr>
          <w:rStyle w:val="Strong"/>
          <w:b w:val="0"/>
          <w:bCs w:val="0"/>
        </w:rPr>
        <w:t xml:space="preserve">well-suited for tackling the deeply rooted issue of gender inequality across the Pacific because it acknowledges the need for </w:t>
      </w:r>
      <w:r>
        <w:rPr>
          <w:rStyle w:val="Strong"/>
          <w:b w:val="0"/>
          <w:bCs w:val="0"/>
        </w:rPr>
        <w:t xml:space="preserve">a </w:t>
      </w:r>
      <w:r w:rsidRPr="00C4277A">
        <w:rPr>
          <w:rStyle w:val="Strong"/>
          <w:b w:val="0"/>
          <w:bCs w:val="0"/>
        </w:rPr>
        <w:t xml:space="preserve">sustained, long-term investment and approach. </w:t>
      </w:r>
      <w:r>
        <w:rPr>
          <w:rStyle w:val="Strong"/>
          <w:b w:val="0"/>
          <w:bCs w:val="0"/>
        </w:rPr>
        <w:t>The components have demonstrated appropriate levels of adaptation to contextual shifts and learnings, assisted by evidence produced by the MEL system and various coordination efforts.</w:t>
      </w:r>
      <w:r w:rsidRPr="00C4277A">
        <w:rPr>
          <w:rStyle w:val="Strong"/>
          <w:b w:val="0"/>
          <w:bCs w:val="0"/>
        </w:rPr>
        <w:t xml:space="preserve"> PWL has furthermore fostered alignment with existing international gender equality priorities and frameworks through its active engagement in international forums, strategic partnerships with global organisations, and consistent efforts to promote regional perspectives and leadership in global discussions. </w:t>
      </w:r>
      <w:bookmarkEnd w:id="13"/>
    </w:p>
    <w:p w14:paraId="2D644A9A" w14:textId="77777777" w:rsidR="00845151" w:rsidRPr="00D76F12" w:rsidRDefault="00845151" w:rsidP="00D76F12">
      <w:pPr>
        <w:pStyle w:val="Heading3"/>
        <w:numPr>
          <w:ilvl w:val="0"/>
          <w:numId w:val="0"/>
        </w:numPr>
        <w:rPr>
          <w:rStyle w:val="Strong"/>
          <w:b w:val="0"/>
          <w:bCs w:val="0"/>
          <w:color w:val="984C00" w:themeColor="accent1" w:themeShade="BF"/>
        </w:rPr>
      </w:pPr>
      <w:r w:rsidRPr="00D76F12">
        <w:rPr>
          <w:rStyle w:val="Strong"/>
          <w:b w:val="0"/>
          <w:bCs w:val="0"/>
          <w:color w:val="984C00" w:themeColor="accent1" w:themeShade="BF"/>
        </w:rPr>
        <w:t>Efficiency</w:t>
      </w:r>
    </w:p>
    <w:p w14:paraId="7B8ECCEF" w14:textId="77777777" w:rsidR="00845151" w:rsidRDefault="00845151" w:rsidP="00074B99">
      <w:pPr>
        <w:pStyle w:val="Heading4nonumber"/>
        <w:outlineLvl w:val="9"/>
      </w:pPr>
      <w:r>
        <w:t xml:space="preserve">KRQ5. </w:t>
      </w:r>
      <w:r w:rsidRPr="00EE243C">
        <w:t xml:space="preserve">To what extent are PWL components efficiently supporting delivery of outcomes? </w:t>
      </w:r>
    </w:p>
    <w:p w14:paraId="3058E89B" w14:textId="662B7C4C" w:rsidR="00845151" w:rsidRDefault="00845151" w:rsidP="00384259">
      <w:pPr>
        <w:pStyle w:val="Tealblocktext"/>
      </w:pPr>
      <w:r w:rsidRPr="004E36DC">
        <w:t xml:space="preserve">PWL components demonstrate strong alignment with DFAT's efficiency principles through evidence-based decision making and proportionality, with efficiency particularly evident in dynamic and relational aspects including leadership by outstanding women with deep Pacific feminist connections, strategic knowledge transfer from </w:t>
      </w:r>
      <w:r w:rsidR="00C860FD">
        <w:t>Pacific Women Shaping Pacific Development</w:t>
      </w:r>
      <w:r w:rsidRPr="004E36DC">
        <w:t>, and a robust whole-of-portfolio MEL system. Despite managing a complex mandate across all five components that includes regional scaling, thematic deepening, and enabling Pacific ownership pathways, the program could benefit from increased coordination and trust between components to establish more cohesive working methods and enhance information sharing—improvements that would further strengthen the already proportional approach to delivering outcomes across the Pacific.</w:t>
      </w:r>
    </w:p>
    <w:p w14:paraId="5DE05ED8" w14:textId="77777777" w:rsidR="00845151" w:rsidRPr="00D76F12" w:rsidRDefault="00845151" w:rsidP="00D76F12">
      <w:pPr>
        <w:pStyle w:val="Heading3"/>
        <w:numPr>
          <w:ilvl w:val="0"/>
          <w:numId w:val="0"/>
        </w:numPr>
        <w:rPr>
          <w:color w:val="984C00" w:themeColor="accent1" w:themeShade="BF"/>
        </w:rPr>
      </w:pPr>
      <w:r w:rsidRPr="00D76F12">
        <w:rPr>
          <w:color w:val="984C00" w:themeColor="accent1" w:themeShade="BF"/>
        </w:rPr>
        <w:lastRenderedPageBreak/>
        <w:t>Cross-cutting</w:t>
      </w:r>
    </w:p>
    <w:p w14:paraId="03A36AD3" w14:textId="77777777" w:rsidR="00845151" w:rsidRPr="00EE243C" w:rsidRDefault="00845151" w:rsidP="00074B99">
      <w:pPr>
        <w:pStyle w:val="Heading4nonumber"/>
        <w:outlineLvl w:val="9"/>
      </w:pPr>
      <w:r>
        <w:t xml:space="preserve">KRQ6. </w:t>
      </w:r>
      <w:r w:rsidRPr="00EE243C">
        <w:t xml:space="preserve">How well is the program integrating GEDSI and climate change? </w:t>
      </w:r>
    </w:p>
    <w:p w14:paraId="671503BD" w14:textId="148D8DFA" w:rsidR="00C963FB" w:rsidRDefault="00493661" w:rsidP="00384259">
      <w:pPr>
        <w:pStyle w:val="Tealblocktext"/>
        <w:rPr>
          <w:rFonts w:asciiTheme="majorHAnsi" w:hAnsiTheme="majorHAnsi"/>
          <w:color w:val="0D3E67" w:themeColor="accent3"/>
          <w:sz w:val="32"/>
        </w:rPr>
      </w:pPr>
      <w:r w:rsidRPr="00493661">
        <w:t xml:space="preserve"> PWL demonstrates strong integration of disability inclusion and intersectional gender equality through systematic approaches, targeted funding, and strategic partnerships. The program works directly with Pacific organisations of persons with disabilities (OPDs) and SOGIESC-focused organisations, and benefits from the leadership and insights of people with lived experience through representation on its Governance Board. A dedicated Disability Working Group also provides advice to the Governance Board, helping to ensure inclusive and responsive decision-making. Progress on broader social inclusion is evident in PWL’s support to SOGIESC communities through regional networks and public events, though further work is needed to address social norms that continue to create barriers for girls and adolescents. Climate change integration remains moderate, with current efforts primarily relying on technical support rather than dedicated funding. The second half of the program offers opportunities to develop a program-wide climate strategy and deepen partnerships with climate-focused organisations.</w:t>
      </w:r>
    </w:p>
    <w:p w14:paraId="4E4AB2DE" w14:textId="510869A5" w:rsidR="00070EBE" w:rsidRPr="00A958DD" w:rsidRDefault="00070EBE" w:rsidP="00E12668">
      <w:pPr>
        <w:pStyle w:val="Subheading"/>
        <w:spacing w:before="480"/>
        <w:outlineLvl w:val="1"/>
      </w:pPr>
      <w:bookmarkStart w:id="14" w:name="_Toc201840793"/>
      <w:r>
        <w:t>Recommendations</w:t>
      </w:r>
      <w:bookmarkEnd w:id="14"/>
    </w:p>
    <w:p w14:paraId="2CBC6074" w14:textId="77777777" w:rsidR="0079058C" w:rsidRPr="00D542E1" w:rsidRDefault="0079058C" w:rsidP="00D542E1">
      <w:pPr>
        <w:pStyle w:val="Subheading"/>
        <w:rPr>
          <w:color w:val="984C00" w:themeColor="accent1" w:themeShade="BF"/>
          <w:sz w:val="28"/>
          <w:szCs w:val="20"/>
        </w:rPr>
      </w:pPr>
      <w:r w:rsidRPr="00D542E1">
        <w:rPr>
          <w:color w:val="984C00" w:themeColor="accent1" w:themeShade="BF"/>
          <w:sz w:val="28"/>
          <w:szCs w:val="20"/>
        </w:rPr>
        <w:t>For remainder of current phase (until end of June 2026)</w:t>
      </w:r>
    </w:p>
    <w:p w14:paraId="51CD0FC4" w14:textId="77777777" w:rsidR="0079058C" w:rsidRPr="004E43B9" w:rsidRDefault="0079058C" w:rsidP="00D542E1">
      <w:pPr>
        <w:pStyle w:val="ListParagraph"/>
        <w:numPr>
          <w:ilvl w:val="0"/>
          <w:numId w:val="31"/>
        </w:numPr>
        <w:ind w:left="714" w:hanging="357"/>
        <w:contextualSpacing w:val="0"/>
      </w:pPr>
      <w:r w:rsidRPr="004E43B9">
        <w:t>Improve coordination between PWL components to enhance efficiency and effectiveness.</w:t>
      </w:r>
    </w:p>
    <w:p w14:paraId="42E2B2F0" w14:textId="77777777" w:rsidR="0079058C" w:rsidRPr="004E43B9" w:rsidRDefault="0079058C" w:rsidP="00D542E1">
      <w:pPr>
        <w:pStyle w:val="ListParagraph"/>
        <w:numPr>
          <w:ilvl w:val="0"/>
          <w:numId w:val="31"/>
        </w:numPr>
        <w:ind w:left="714" w:hanging="357"/>
        <w:contextualSpacing w:val="0"/>
      </w:pPr>
      <w:r w:rsidRPr="004E43B9">
        <w:t>Strengthen the strategic value of the PWL Governance Board.</w:t>
      </w:r>
    </w:p>
    <w:p w14:paraId="0DF767C6" w14:textId="77777777" w:rsidR="0079058C" w:rsidRPr="004E43B9" w:rsidRDefault="0079058C" w:rsidP="00D542E1">
      <w:pPr>
        <w:pStyle w:val="ListParagraph"/>
        <w:numPr>
          <w:ilvl w:val="0"/>
          <w:numId w:val="31"/>
        </w:numPr>
        <w:ind w:left="714" w:hanging="357"/>
        <w:contextualSpacing w:val="0"/>
      </w:pPr>
      <w:r w:rsidRPr="004E43B9">
        <w:t>Ensure continuity and minimise disruptions in SPC grants.</w:t>
      </w:r>
    </w:p>
    <w:p w14:paraId="6754CE73" w14:textId="77777777" w:rsidR="0079058C" w:rsidRPr="004E43B9" w:rsidRDefault="0079058C" w:rsidP="00D542E1">
      <w:pPr>
        <w:pStyle w:val="ListParagraph"/>
        <w:numPr>
          <w:ilvl w:val="0"/>
          <w:numId w:val="31"/>
        </w:numPr>
        <w:ind w:left="714" w:hanging="357"/>
        <w:contextualSpacing w:val="0"/>
      </w:pPr>
      <w:r w:rsidRPr="004E43B9">
        <w:t>Develop a PWL climate change strategy to integrate climate change considerations across PWL programming.</w:t>
      </w:r>
    </w:p>
    <w:p w14:paraId="3B810278" w14:textId="77777777" w:rsidR="0079058C" w:rsidRPr="004E43B9" w:rsidRDefault="0079058C" w:rsidP="00D542E1">
      <w:pPr>
        <w:pStyle w:val="ListParagraph"/>
        <w:numPr>
          <w:ilvl w:val="0"/>
          <w:numId w:val="31"/>
        </w:numPr>
        <w:ind w:left="714" w:hanging="357"/>
        <w:contextualSpacing w:val="0"/>
      </w:pPr>
      <w:r w:rsidRPr="004E43B9">
        <w:t>Ensure continuity of PWLES’ support.</w:t>
      </w:r>
    </w:p>
    <w:p w14:paraId="5F4896A0" w14:textId="77777777" w:rsidR="0079058C" w:rsidRPr="00D542E1" w:rsidRDefault="0079058C" w:rsidP="00D542E1">
      <w:pPr>
        <w:pStyle w:val="Subheading"/>
        <w:rPr>
          <w:color w:val="984C00" w:themeColor="accent1" w:themeShade="BF"/>
          <w:sz w:val="28"/>
          <w:szCs w:val="20"/>
        </w:rPr>
      </w:pPr>
      <w:r w:rsidRPr="00D542E1">
        <w:rPr>
          <w:color w:val="984C00" w:themeColor="accent1" w:themeShade="BF"/>
          <w:sz w:val="28"/>
          <w:szCs w:val="20"/>
        </w:rPr>
        <w:t>For the next phase (from July 2026)</w:t>
      </w:r>
    </w:p>
    <w:p w14:paraId="7EC75A94" w14:textId="77777777" w:rsidR="0079058C" w:rsidRDefault="0079058C" w:rsidP="00D542E1">
      <w:pPr>
        <w:pStyle w:val="ListParagraph"/>
        <w:numPr>
          <w:ilvl w:val="0"/>
          <w:numId w:val="31"/>
        </w:numPr>
        <w:ind w:left="714" w:hanging="357"/>
        <w:contextualSpacing w:val="0"/>
      </w:pPr>
      <w:r>
        <w:t>Maintain Pacific-led ownership as a core principle of PWL and cross-cutting driver of impact.</w:t>
      </w:r>
    </w:p>
    <w:p w14:paraId="40EAD388" w14:textId="77777777" w:rsidR="0079058C" w:rsidRDefault="0079058C" w:rsidP="00D542E1">
      <w:pPr>
        <w:pStyle w:val="ListParagraph"/>
        <w:numPr>
          <w:ilvl w:val="0"/>
          <w:numId w:val="31"/>
        </w:numPr>
        <w:ind w:left="714" w:hanging="357"/>
        <w:contextualSpacing w:val="0"/>
      </w:pPr>
      <w:r>
        <w:t>Refine PWL’s funding and support mechanisms based on program strengths and demand.</w:t>
      </w:r>
    </w:p>
    <w:p w14:paraId="0BC1D450" w14:textId="77777777" w:rsidR="0079058C" w:rsidRDefault="0079058C" w:rsidP="00D542E1">
      <w:pPr>
        <w:pStyle w:val="ListParagraph"/>
        <w:numPr>
          <w:ilvl w:val="0"/>
          <w:numId w:val="31"/>
        </w:numPr>
        <w:ind w:left="714" w:hanging="357"/>
        <w:contextualSpacing w:val="0"/>
      </w:pPr>
      <w:r>
        <w:t>Strengthen national-level and sub-regional level engagement to drive transformational change.</w:t>
      </w:r>
    </w:p>
    <w:p w14:paraId="25FAB49D" w14:textId="77777777" w:rsidR="0079058C" w:rsidRPr="004E43B9" w:rsidRDefault="0079058C" w:rsidP="00D542E1">
      <w:pPr>
        <w:pStyle w:val="ListParagraph"/>
        <w:numPr>
          <w:ilvl w:val="0"/>
          <w:numId w:val="31"/>
        </w:numPr>
        <w:ind w:left="714" w:hanging="357"/>
        <w:contextualSpacing w:val="0"/>
      </w:pPr>
      <w:r>
        <w:t>Update the PWL program logic to reflect key lessons and strategic priorities.</w:t>
      </w:r>
    </w:p>
    <w:p w14:paraId="500F1337" w14:textId="77777777" w:rsidR="0079058C" w:rsidRDefault="0079058C" w:rsidP="00256336"/>
    <w:p w14:paraId="40558AD8" w14:textId="77777777" w:rsidR="0079058C" w:rsidRDefault="0079058C" w:rsidP="00256336"/>
    <w:p w14:paraId="2AEA2A8B" w14:textId="7827854B" w:rsidR="008E4939" w:rsidRDefault="008E4939" w:rsidP="0069066A">
      <w:pPr>
        <w:pStyle w:val="Heading1"/>
      </w:pPr>
      <w:bookmarkStart w:id="15" w:name="_Toc181604007"/>
      <w:bookmarkStart w:id="16" w:name="_Toc201840794"/>
      <w:bookmarkEnd w:id="1"/>
      <w:r w:rsidRPr="00EE243C">
        <w:lastRenderedPageBreak/>
        <w:t>Introduction</w:t>
      </w:r>
      <w:bookmarkEnd w:id="15"/>
      <w:bookmarkEnd w:id="16"/>
    </w:p>
    <w:p w14:paraId="19B75B85" w14:textId="18692D68" w:rsidR="008E4939" w:rsidRDefault="008A0AF1" w:rsidP="00256336">
      <w:pPr>
        <w:pStyle w:val="Heading3nonumber"/>
        <w:outlineLvl w:val="9"/>
      </w:pPr>
      <w:r>
        <w:t xml:space="preserve">About Pacific Women Lead </w:t>
      </w:r>
    </w:p>
    <w:p w14:paraId="6ED1311A" w14:textId="6F8E9086" w:rsidR="000340A9" w:rsidRDefault="0052767A" w:rsidP="0069066A">
      <w:r>
        <w:t>Pacific Women Lead (PWL)</w:t>
      </w:r>
      <w:r w:rsidR="008A0AF1" w:rsidRPr="008A0AF1">
        <w:t xml:space="preserve"> is a comprehensive initiative funded by the Australian Government's Department of Foreign Affairs and Trade</w:t>
      </w:r>
      <w:r w:rsidR="008A0AF1">
        <w:t xml:space="preserve"> (DFAT)</w:t>
      </w:r>
      <w:r w:rsidR="008A0AF1" w:rsidRPr="008A0AF1">
        <w:t>, investing AUD170 millio</w:t>
      </w:r>
      <w:r w:rsidR="00A06789">
        <w:t>n</w:t>
      </w:r>
      <w:r w:rsidR="008A0AF1" w:rsidRPr="008A0AF1">
        <w:t xml:space="preserve"> between 2021-2026 to advance gender equality across the Pacific region.</w:t>
      </w:r>
      <w:r w:rsidR="00A06789">
        <w:t xml:space="preserve"> </w:t>
      </w:r>
      <w:r w:rsidR="000340A9" w:rsidRPr="000340A9">
        <w:t>The AUD170 million figure refers to the core components of the program.</w:t>
      </w:r>
      <w:r w:rsidR="00A06789">
        <w:t xml:space="preserve"> </w:t>
      </w:r>
      <w:r w:rsidR="000340A9" w:rsidRPr="000340A9">
        <w:t xml:space="preserve">The total value of investments contributing to PWL outcomes are however, higher, as it includes aligned and complementary gender equality initiatives, including multilateral programming and flexible funding mechanisms such as the Pacific Women’s Funds. These additional DFAT investments are integrated into the broader PWL platform but may not be captured in the headline program value. </w:t>
      </w:r>
    </w:p>
    <w:p w14:paraId="3485E003" w14:textId="60B08452" w:rsidR="00B83228" w:rsidRDefault="008A0AF1" w:rsidP="0069066A">
      <w:r w:rsidRPr="008A0AF1">
        <w:t>Building on its predecessor program, Pacific Women Shaping Pacific Development</w:t>
      </w:r>
      <w:r>
        <w:t xml:space="preserve"> (PWSPD)</w:t>
      </w:r>
      <w:r w:rsidRPr="008A0AF1">
        <w:t xml:space="preserve">, PWL aims to deepen Australian Aid's impact by focusing on collective regional progress alongside country-specific achievements. </w:t>
      </w:r>
    </w:p>
    <w:p w14:paraId="25B657B3" w14:textId="77777777" w:rsidR="00D76F12" w:rsidRDefault="00D76F12" w:rsidP="00D76F12">
      <w:pPr>
        <w:keepNext/>
        <w:spacing w:after="0"/>
      </w:pPr>
      <w:r>
        <w:rPr>
          <w:noProof/>
        </w:rPr>
        <w:drawing>
          <wp:inline distT="0" distB="0" distL="0" distR="0" wp14:anchorId="7B3AFC1B" wp14:editId="699A9B91">
            <wp:extent cx="6192520" cy="3096259"/>
            <wp:effectExtent l="0" t="0" r="0" b="9525"/>
            <wp:docPr id="1952261927" name="Picture 42" descr="An image that shows the PWL portfolio components: Women's funds, SPC, PWLES, DFAT direct relationships and the PWL Governanc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61927" name="Picture 42" descr="An image that shows the PWL portfolio components: Women's funds, SPC, PWLES, DFAT direct relationships and the PWL Governance Board."/>
                    <pic:cNvPicPr/>
                  </pic:nvPicPr>
                  <pic:blipFill>
                    <a:blip r:embed="rId14">
                      <a:extLst>
                        <a:ext uri="{28A0092B-C50C-407E-A947-70E740481C1C}">
                          <a14:useLocalDpi xmlns:a14="http://schemas.microsoft.com/office/drawing/2010/main" val="0"/>
                        </a:ext>
                      </a:extLst>
                    </a:blip>
                    <a:stretch>
                      <a:fillRect/>
                    </a:stretch>
                  </pic:blipFill>
                  <pic:spPr>
                    <a:xfrm>
                      <a:off x="0" y="0"/>
                      <a:ext cx="6192520" cy="3096259"/>
                    </a:xfrm>
                    <a:prstGeom prst="rect">
                      <a:avLst/>
                    </a:prstGeom>
                    <a:ln>
                      <a:noFill/>
                    </a:ln>
                  </pic:spPr>
                </pic:pic>
              </a:graphicData>
            </a:graphic>
          </wp:inline>
        </w:drawing>
      </w:r>
    </w:p>
    <w:p w14:paraId="4F22A18E" w14:textId="469859F4" w:rsidR="00D76F12" w:rsidRDefault="00D76F12" w:rsidP="00D76F12">
      <w:pPr>
        <w:pStyle w:val="Caption"/>
        <w:spacing w:before="120" w:after="240"/>
      </w:pPr>
      <w:bookmarkStart w:id="17" w:name="_Toc210309574"/>
      <w:r>
        <w:t xml:space="preserve">Figure </w:t>
      </w:r>
      <w:r w:rsidR="002D6519">
        <w:fldChar w:fldCharType="begin"/>
      </w:r>
      <w:r w:rsidR="002D6519">
        <w:instrText xml:space="preserve"> SEQ Figure \* ARABIC </w:instrText>
      </w:r>
      <w:r w:rsidR="002D6519">
        <w:fldChar w:fldCharType="separate"/>
      </w:r>
      <w:r w:rsidR="002D6519">
        <w:rPr>
          <w:noProof/>
        </w:rPr>
        <w:t>1</w:t>
      </w:r>
      <w:r w:rsidR="002D6519">
        <w:rPr>
          <w:noProof/>
        </w:rPr>
        <w:fldChar w:fldCharType="end"/>
      </w:r>
      <w:r>
        <w:t xml:space="preserve">. </w:t>
      </w:r>
      <w:r w:rsidRPr="00C15522">
        <w:t>PWL Portfolio Components (Source: PWLES)</w:t>
      </w:r>
      <w:bookmarkEnd w:id="17"/>
    </w:p>
    <w:p w14:paraId="09EA2AA5" w14:textId="54E5735C" w:rsidR="00AD428C" w:rsidRDefault="00B83228" w:rsidP="0069066A">
      <w:pPr>
        <w:rPr>
          <w:rFonts w:cstheme="minorHAnsi"/>
        </w:rPr>
      </w:pPr>
      <w:r>
        <w:t>PWL</w:t>
      </w:r>
      <w:r w:rsidR="008A0AF1" w:rsidRPr="008A0AF1">
        <w:t xml:space="preserve"> emphasi</w:t>
      </w:r>
      <w:r w:rsidR="008A0AF1">
        <w:t>s</w:t>
      </w:r>
      <w:r w:rsidR="008A0AF1" w:rsidRPr="008A0AF1">
        <w:t>es transformational change by addressing harmful social and cultural norms that impede sustainable progress, while implementing a Pacific-led, responsive, flexible, and intersectional approach. PWL is particularly committed to achieving equitable outcomes for women and girls in all their diversity across the Pacific.</w:t>
      </w:r>
      <w:r>
        <w:t xml:space="preserve"> </w:t>
      </w:r>
      <w:r w:rsidR="008E4939" w:rsidRPr="00EE243C">
        <w:rPr>
          <w:rFonts w:cstheme="minorHAnsi"/>
        </w:rPr>
        <w:t xml:space="preserve">PWL is implemented </w:t>
      </w:r>
      <w:proofErr w:type="gramStart"/>
      <w:r w:rsidR="008E4939" w:rsidRPr="00EE243C">
        <w:rPr>
          <w:rFonts w:cstheme="minorHAnsi"/>
        </w:rPr>
        <w:t>as a whole of</w:t>
      </w:r>
      <w:proofErr w:type="gramEnd"/>
      <w:r w:rsidR="008E4939" w:rsidRPr="00EE243C">
        <w:rPr>
          <w:rFonts w:cstheme="minorHAnsi"/>
        </w:rPr>
        <w:t xml:space="preserve"> portfolio modality with five main </w:t>
      </w:r>
      <w:r>
        <w:rPr>
          <w:rFonts w:cstheme="minorHAnsi"/>
        </w:rPr>
        <w:t xml:space="preserve">complementary </w:t>
      </w:r>
      <w:r w:rsidR="008E4939" w:rsidRPr="00EE243C">
        <w:rPr>
          <w:rFonts w:cstheme="minorHAnsi"/>
        </w:rPr>
        <w:t>components</w:t>
      </w:r>
      <w:r>
        <w:rPr>
          <w:rFonts w:cstheme="minorHAnsi"/>
        </w:rPr>
        <w:t xml:space="preserve"> </w:t>
      </w:r>
      <w:r w:rsidR="00AD428C">
        <w:rPr>
          <w:rFonts w:cstheme="minorHAnsi"/>
        </w:rPr>
        <w:t>(</w:t>
      </w:r>
      <w:r>
        <w:rPr>
          <w:rFonts w:cstheme="minorHAnsi"/>
        </w:rPr>
        <w:fldChar w:fldCharType="begin"/>
      </w:r>
      <w:r>
        <w:rPr>
          <w:rFonts w:cstheme="minorHAnsi"/>
        </w:rPr>
        <w:instrText xml:space="preserve"> REF _Ref192769425 \h </w:instrText>
      </w:r>
      <w:r>
        <w:rPr>
          <w:rFonts w:cstheme="minorHAnsi"/>
        </w:rPr>
      </w:r>
      <w:r>
        <w:rPr>
          <w:rFonts w:cstheme="minorHAnsi"/>
        </w:rPr>
        <w:fldChar w:fldCharType="separate"/>
      </w:r>
      <w:r w:rsidR="005F3FB6">
        <w:t xml:space="preserve">Figure </w:t>
      </w:r>
      <w:r w:rsidR="005F3FB6">
        <w:rPr>
          <w:noProof/>
        </w:rPr>
        <w:t>1</w:t>
      </w:r>
      <w:r>
        <w:rPr>
          <w:rFonts w:cstheme="minorHAnsi"/>
        </w:rPr>
        <w:fldChar w:fldCharType="end"/>
      </w:r>
      <w:r w:rsidR="00AD428C">
        <w:rPr>
          <w:rFonts w:cstheme="minorHAnsi"/>
        </w:rPr>
        <w:t>)</w:t>
      </w:r>
      <w:r>
        <w:rPr>
          <w:rFonts w:cstheme="minorHAnsi"/>
        </w:rPr>
        <w:t>. Each component serves a unique</w:t>
      </w:r>
      <w:r w:rsidR="008E4939" w:rsidRPr="00EE243C">
        <w:rPr>
          <w:rFonts w:cstheme="minorHAnsi"/>
        </w:rPr>
        <w:t xml:space="preserve"> but interconnected function</w:t>
      </w:r>
      <w:r w:rsidR="00AD428C">
        <w:rPr>
          <w:rFonts w:cstheme="minorHAnsi"/>
        </w:rPr>
        <w:t>:</w:t>
      </w:r>
    </w:p>
    <w:p w14:paraId="45760C39" w14:textId="0F18EC8D" w:rsidR="00AD428C" w:rsidRPr="00DA23B1" w:rsidRDefault="00AD428C" w:rsidP="00AD428C">
      <w:pPr>
        <w:pStyle w:val="ListBullet"/>
        <w:rPr>
          <w:szCs w:val="21"/>
        </w:rPr>
      </w:pPr>
      <w:r w:rsidRPr="00DA23B1">
        <w:rPr>
          <w:b/>
          <w:szCs w:val="21"/>
        </w:rPr>
        <w:t>The Pacific Community (SPC)</w:t>
      </w:r>
      <w:r w:rsidRPr="00DA23B1">
        <w:rPr>
          <w:szCs w:val="21"/>
        </w:rPr>
        <w:t xml:space="preserve"> (AUD68 million</w:t>
      </w:r>
      <w:r w:rsidRPr="00BD06A9">
        <w:rPr>
          <w:szCs w:val="21"/>
        </w:rPr>
        <w:t>)</w:t>
      </w:r>
      <w:r w:rsidR="00BD06A9" w:rsidRPr="000C469F">
        <w:rPr>
          <w:rFonts w:ascii="Times New Roman" w:eastAsia="Times New Roman" w:hAnsi="Times New Roman" w:cs="Times New Roman"/>
          <w:color w:val="auto"/>
          <w:szCs w:val="21"/>
          <w:lang w:eastAsia="en-AU"/>
        </w:rPr>
        <w:t xml:space="preserve">, </w:t>
      </w:r>
      <w:r w:rsidRPr="00DA23B1">
        <w:rPr>
          <w:szCs w:val="21"/>
        </w:rPr>
        <w:t>a scientific and technical organisation owned and governed by 22 Pacific Island members, serves as the lead implementing partner for the PWL program, providing technical support, convening stakeholders, and managing regional initiatives while supporting gender equality efforts.</w:t>
      </w:r>
    </w:p>
    <w:p w14:paraId="3E8593F2" w14:textId="054571E3" w:rsidR="000D40AE" w:rsidRPr="00DA23B1" w:rsidRDefault="000D40AE" w:rsidP="00AD428C">
      <w:pPr>
        <w:pStyle w:val="ListBullet"/>
        <w:rPr>
          <w:szCs w:val="21"/>
        </w:rPr>
      </w:pPr>
      <w:r w:rsidRPr="000D40AE">
        <w:rPr>
          <w:szCs w:val="21"/>
        </w:rPr>
        <w:t xml:space="preserve">DFAT supports three independent </w:t>
      </w:r>
      <w:r w:rsidRPr="000D40AE">
        <w:rPr>
          <w:b/>
          <w:bCs/>
          <w:szCs w:val="21"/>
        </w:rPr>
        <w:t>Pacific Women’s Funds</w:t>
      </w:r>
      <w:r w:rsidRPr="000D40AE">
        <w:rPr>
          <w:szCs w:val="21"/>
        </w:rPr>
        <w:t xml:space="preserve"> (AUD9.1 million) through the Amplify Invest Reach (AIR) investment</w:t>
      </w:r>
      <w:r w:rsidR="00BD06A9">
        <w:rPr>
          <w:szCs w:val="21"/>
        </w:rPr>
        <w:t xml:space="preserve">: </w:t>
      </w:r>
      <w:r w:rsidRPr="000D40AE">
        <w:rPr>
          <w:szCs w:val="21"/>
        </w:rPr>
        <w:t>Women’s Fund Fiji</w:t>
      </w:r>
      <w:r w:rsidR="00BD06A9">
        <w:rPr>
          <w:szCs w:val="21"/>
        </w:rPr>
        <w:t xml:space="preserve"> (WFF)</w:t>
      </w:r>
      <w:r w:rsidRPr="000D40AE">
        <w:rPr>
          <w:szCs w:val="21"/>
        </w:rPr>
        <w:t>, Urgent Action Fund Asia and the Pacific (UAF A&amp;P), and the newly established Pacific Feminist Fund</w:t>
      </w:r>
      <w:r w:rsidR="00BD06A9">
        <w:rPr>
          <w:szCs w:val="21"/>
        </w:rPr>
        <w:t xml:space="preserve"> (PFF)</w:t>
      </w:r>
      <w:r w:rsidRPr="000D40AE">
        <w:rPr>
          <w:szCs w:val="21"/>
        </w:rPr>
        <w:t>. These funds reach women’s rights organisations and human rights defenders in the Pacific</w:t>
      </w:r>
      <w:r w:rsidR="002D67C8">
        <w:rPr>
          <w:szCs w:val="21"/>
        </w:rPr>
        <w:t xml:space="preserve">, </w:t>
      </w:r>
      <w:r w:rsidRPr="000D40AE">
        <w:rPr>
          <w:szCs w:val="21"/>
        </w:rPr>
        <w:t>have been designed as flexible and responsive funding mechanisms,</w:t>
      </w:r>
      <w:r w:rsidR="002D67C8">
        <w:rPr>
          <w:szCs w:val="21"/>
        </w:rPr>
        <w:t xml:space="preserve"> and</w:t>
      </w:r>
      <w:r w:rsidRPr="000D40AE">
        <w:rPr>
          <w:szCs w:val="21"/>
        </w:rPr>
        <w:t xml:space="preserve"> are closely engaged with, and contribute to outcomes of Pacific Women Lead.</w:t>
      </w:r>
    </w:p>
    <w:p w14:paraId="41834C49" w14:textId="77777777" w:rsidR="00AD428C" w:rsidRPr="00DA23B1" w:rsidRDefault="00AD428C" w:rsidP="00AD428C">
      <w:pPr>
        <w:pStyle w:val="ListBullet"/>
        <w:rPr>
          <w:szCs w:val="21"/>
        </w:rPr>
      </w:pPr>
      <w:r w:rsidRPr="00DA23B1">
        <w:rPr>
          <w:b/>
          <w:bCs/>
          <w:szCs w:val="21"/>
        </w:rPr>
        <w:lastRenderedPageBreak/>
        <w:t xml:space="preserve">The Pacific Women Lead Enabling Services (PWLES), </w:t>
      </w:r>
      <w:r w:rsidRPr="00DA23B1">
        <w:rPr>
          <w:szCs w:val="21"/>
        </w:rPr>
        <w:t>managed by DT Global Asia Pacific with AUD32 million, provides comprehensive portfolio support through monitoring, evaluation, program management, communications, partnership brokering, and technical assurance, while directly managing the Balance of Power program and previously overseeing the We Rise Coalition.</w:t>
      </w:r>
    </w:p>
    <w:p w14:paraId="03E902C2" w14:textId="63AC667B" w:rsidR="00AD428C" w:rsidRPr="00DA23B1" w:rsidRDefault="00AD428C" w:rsidP="00AD428C">
      <w:pPr>
        <w:pStyle w:val="ListBullet"/>
        <w:rPr>
          <w:szCs w:val="21"/>
        </w:rPr>
      </w:pPr>
      <w:r w:rsidRPr="00DA23B1">
        <w:rPr>
          <w:szCs w:val="21"/>
        </w:rPr>
        <w:t xml:space="preserve">DFAT Canberra and Suva Posts manage </w:t>
      </w:r>
      <w:r w:rsidRPr="00DA23B1">
        <w:rPr>
          <w:b/>
          <w:bCs/>
          <w:szCs w:val="21"/>
        </w:rPr>
        <w:t>regional gender programs</w:t>
      </w:r>
      <w:r w:rsidRPr="00DA23B1">
        <w:rPr>
          <w:szCs w:val="21"/>
        </w:rPr>
        <w:t xml:space="preserve"> totalling AUD103 million, encompassing multi-country initiatives with UN Women, UNFPA, and UNICEF that represent over 40% of PWL funding and support critical regional gender equality efforts. DFAT post-managed </w:t>
      </w:r>
      <w:r w:rsidRPr="00DA23B1">
        <w:rPr>
          <w:b/>
          <w:bCs/>
          <w:szCs w:val="21"/>
        </w:rPr>
        <w:t>bilateral programs</w:t>
      </w:r>
      <w:r w:rsidRPr="00DA23B1">
        <w:rPr>
          <w:szCs w:val="21"/>
        </w:rPr>
        <w:t xml:space="preserve"> maintain design and delivery autonomy while aligning with PWL goals, including targeted grants to crisis centres in Fiji, Kiribati, and Tonga, and supporting the We Rise Coalition.</w:t>
      </w:r>
    </w:p>
    <w:p w14:paraId="1B261CD0" w14:textId="7692857F" w:rsidR="00AD428C" w:rsidRPr="00DA23B1" w:rsidRDefault="00AD428C" w:rsidP="00385CF8">
      <w:pPr>
        <w:pStyle w:val="ListBullet"/>
        <w:rPr>
          <w:szCs w:val="21"/>
        </w:rPr>
      </w:pPr>
      <w:r w:rsidRPr="00DA23B1">
        <w:rPr>
          <w:szCs w:val="21"/>
        </w:rPr>
        <w:t xml:space="preserve">The </w:t>
      </w:r>
      <w:r w:rsidRPr="00DA23B1">
        <w:rPr>
          <w:b/>
          <w:bCs/>
          <w:szCs w:val="21"/>
        </w:rPr>
        <w:t xml:space="preserve">PWL Governance Board </w:t>
      </w:r>
      <w:r w:rsidRPr="00DA23B1">
        <w:rPr>
          <w:szCs w:val="21"/>
        </w:rPr>
        <w:t>provides strategic oversight and advisory support for gender equality implementation, directly managing AUD5 million in discretionary funding while guiding the mainstreaming of gender initiatives across Australia's bilateral programs in the Pacific, with secretariat support from SPC.</w:t>
      </w:r>
    </w:p>
    <w:p w14:paraId="48F8F1E1" w14:textId="0C657F4C" w:rsidR="008E4939" w:rsidRDefault="00480829" w:rsidP="0069066A">
      <w:pPr>
        <w:rPr>
          <w:rFonts w:cstheme="minorHAnsi"/>
        </w:rPr>
      </w:pPr>
      <w:r>
        <w:rPr>
          <w:rFonts w:cstheme="minorHAnsi"/>
        </w:rPr>
        <w:t xml:space="preserve"> For further detail </w:t>
      </w:r>
      <w:r w:rsidR="00B34193">
        <w:rPr>
          <w:rFonts w:cstheme="minorHAnsi"/>
        </w:rPr>
        <w:t xml:space="preserve">on each component, see </w:t>
      </w:r>
      <w:r w:rsidR="005A46CA">
        <w:rPr>
          <w:rFonts w:cstheme="minorHAnsi"/>
        </w:rPr>
        <w:t>Appendix E.</w:t>
      </w:r>
    </w:p>
    <w:p w14:paraId="34479DA3" w14:textId="16D01B84" w:rsidR="008E4939" w:rsidRPr="00EE243C" w:rsidRDefault="008E4939" w:rsidP="0069066A">
      <w:pPr>
        <w:rPr>
          <w:rFonts w:cstheme="minorHAnsi"/>
        </w:rPr>
      </w:pPr>
      <w:r w:rsidRPr="00650F9B">
        <w:rPr>
          <w:rFonts w:cstheme="minorHAnsi"/>
        </w:rPr>
        <w:t>The goal of PWL is for Pacific women and girls, in all their diversity, to be safe and equitably share in resources, opportunities and decision-making with men and boys. </w:t>
      </w:r>
      <w:r w:rsidR="00186525" w:rsidRPr="00650F9B">
        <w:rPr>
          <w:rFonts w:cstheme="minorHAnsi"/>
        </w:rPr>
        <w:t xml:space="preserve">In working towards this, the </w:t>
      </w:r>
      <w:r w:rsidRPr="00650F9B">
        <w:rPr>
          <w:rFonts w:cstheme="minorHAnsi"/>
        </w:rPr>
        <w:t xml:space="preserve">program works across three thematic outcome areas: </w:t>
      </w:r>
      <w:r w:rsidRPr="00650F9B">
        <w:rPr>
          <w:rStyle w:val="Strong"/>
        </w:rPr>
        <w:t xml:space="preserve">Women’s Leadership Promoted, Women’s Rights Realised and Pacific </w:t>
      </w:r>
      <w:r w:rsidR="00784548">
        <w:rPr>
          <w:rStyle w:val="Strong"/>
        </w:rPr>
        <w:t>O</w:t>
      </w:r>
      <w:r w:rsidRPr="00650F9B">
        <w:rPr>
          <w:rStyle w:val="Strong"/>
        </w:rPr>
        <w:t xml:space="preserve">wnership and </w:t>
      </w:r>
      <w:r w:rsidR="00784548">
        <w:rPr>
          <w:rStyle w:val="Strong"/>
        </w:rPr>
        <w:t>R</w:t>
      </w:r>
      <w:r w:rsidRPr="00650F9B">
        <w:rPr>
          <w:rStyle w:val="Strong"/>
        </w:rPr>
        <w:t xml:space="preserve">egional </w:t>
      </w:r>
      <w:r w:rsidR="00784548">
        <w:rPr>
          <w:rStyle w:val="Strong"/>
        </w:rPr>
        <w:t>E</w:t>
      </w:r>
      <w:r w:rsidRPr="00650F9B">
        <w:rPr>
          <w:rStyle w:val="Strong"/>
        </w:rPr>
        <w:t>ffectiveness</w:t>
      </w:r>
      <w:r w:rsidRPr="00650F9B">
        <w:rPr>
          <w:rFonts w:cstheme="minorHAnsi"/>
        </w:rPr>
        <w:t xml:space="preserve">. </w:t>
      </w:r>
      <w:r w:rsidR="00D56095">
        <w:rPr>
          <w:rFonts w:cstheme="minorHAnsi"/>
        </w:rPr>
        <w:t xml:space="preserve">See </w:t>
      </w:r>
      <w:r w:rsidR="005A46CA">
        <w:rPr>
          <w:rFonts w:cstheme="minorHAnsi"/>
        </w:rPr>
        <w:t xml:space="preserve">Appendix A </w:t>
      </w:r>
      <w:r w:rsidR="00D56095">
        <w:rPr>
          <w:rFonts w:cstheme="minorHAnsi"/>
        </w:rPr>
        <w:t>for</w:t>
      </w:r>
      <w:r w:rsidRPr="00650F9B">
        <w:rPr>
          <w:rFonts w:cstheme="minorHAnsi"/>
        </w:rPr>
        <w:t xml:space="preserve"> the PWL Program Logic.</w:t>
      </w:r>
      <w:r w:rsidRPr="00EE243C">
        <w:rPr>
          <w:rFonts w:cstheme="minorHAnsi"/>
        </w:rPr>
        <w:t xml:space="preserve"> PWL’s components are focused on achieving these outcomes through across various strategies</w:t>
      </w:r>
      <w:r w:rsidR="00225745">
        <w:rPr>
          <w:rFonts w:cstheme="minorHAnsi"/>
        </w:rPr>
        <w:t xml:space="preserve">: </w:t>
      </w:r>
    </w:p>
    <w:p w14:paraId="3A773FCC" w14:textId="044E0D4B" w:rsidR="008E4939" w:rsidRPr="00A31A0B" w:rsidRDefault="008E4939" w:rsidP="00385CF8">
      <w:pPr>
        <w:pStyle w:val="ListBullet"/>
        <w:rPr>
          <w:rFonts w:eastAsiaTheme="majorEastAsia"/>
          <w:szCs w:val="21"/>
        </w:rPr>
      </w:pPr>
      <w:r w:rsidRPr="00A31A0B">
        <w:rPr>
          <w:b/>
          <w:szCs w:val="21"/>
        </w:rPr>
        <w:t>Grant making</w:t>
      </w:r>
      <w:r w:rsidRPr="00A31A0B">
        <w:rPr>
          <w:szCs w:val="21"/>
        </w:rPr>
        <w:t xml:space="preserve"> in thematic areas of leadership, health, women’s economic empowerment and safety</w:t>
      </w:r>
      <w:r w:rsidR="006D43BB" w:rsidRPr="00A31A0B">
        <w:rPr>
          <w:szCs w:val="21"/>
        </w:rPr>
        <w:t>.</w:t>
      </w:r>
    </w:p>
    <w:p w14:paraId="0BD736D3" w14:textId="06E1BD4A" w:rsidR="008E4939" w:rsidRPr="00A31A0B" w:rsidRDefault="007F52BC" w:rsidP="00385CF8">
      <w:pPr>
        <w:pStyle w:val="ListBullet"/>
        <w:rPr>
          <w:rFonts w:eastAsiaTheme="majorEastAsia"/>
          <w:szCs w:val="21"/>
        </w:rPr>
      </w:pPr>
      <w:r w:rsidRPr="00A31A0B">
        <w:rPr>
          <w:b/>
          <w:szCs w:val="21"/>
        </w:rPr>
        <w:t>Convening</w:t>
      </w:r>
      <w:r w:rsidR="008E4939" w:rsidRPr="00A31A0B">
        <w:rPr>
          <w:b/>
          <w:szCs w:val="21"/>
        </w:rPr>
        <w:t xml:space="preserve"> </w:t>
      </w:r>
      <w:r w:rsidR="008E4939" w:rsidRPr="00A31A0B">
        <w:rPr>
          <w:szCs w:val="21"/>
        </w:rPr>
        <w:t>and collective action that supports genuine partnerships and strategies for change in social norms and gender equal</w:t>
      </w:r>
      <w:r w:rsidR="002366F8" w:rsidRPr="00A31A0B">
        <w:rPr>
          <w:szCs w:val="21"/>
        </w:rPr>
        <w:t>ity</w:t>
      </w:r>
      <w:r w:rsidR="008E4939" w:rsidRPr="00A31A0B">
        <w:rPr>
          <w:szCs w:val="21"/>
        </w:rPr>
        <w:t xml:space="preserve"> outcomes</w:t>
      </w:r>
      <w:r w:rsidR="008E2AC3" w:rsidRPr="00A31A0B">
        <w:rPr>
          <w:szCs w:val="21"/>
        </w:rPr>
        <w:t>.</w:t>
      </w:r>
    </w:p>
    <w:p w14:paraId="5A5EFB97" w14:textId="3693FBDE" w:rsidR="008E4939" w:rsidRPr="00A31A0B" w:rsidRDefault="008E4939" w:rsidP="00385CF8">
      <w:pPr>
        <w:pStyle w:val="ListBullet"/>
        <w:rPr>
          <w:rFonts w:eastAsiaTheme="majorEastAsia"/>
          <w:szCs w:val="21"/>
        </w:rPr>
      </w:pPr>
      <w:r w:rsidRPr="00A31A0B">
        <w:rPr>
          <w:b/>
          <w:szCs w:val="21"/>
        </w:rPr>
        <w:t>Technical support</w:t>
      </w:r>
      <w:r w:rsidRPr="00A31A0B">
        <w:rPr>
          <w:szCs w:val="21"/>
        </w:rPr>
        <w:t xml:space="preserve">, training, </w:t>
      </w:r>
      <w:r w:rsidR="006C5F3A" w:rsidRPr="00A31A0B">
        <w:rPr>
          <w:szCs w:val="21"/>
        </w:rPr>
        <w:t xml:space="preserve">and advice </w:t>
      </w:r>
      <w:r w:rsidRPr="00A31A0B">
        <w:rPr>
          <w:szCs w:val="21"/>
        </w:rPr>
        <w:t>to support greater gender mainstreaming and gender equality outcomes for Pacific governments and development partner sector programs</w:t>
      </w:r>
      <w:r w:rsidR="008E2AC3" w:rsidRPr="00A31A0B">
        <w:rPr>
          <w:szCs w:val="21"/>
        </w:rPr>
        <w:t>.</w:t>
      </w:r>
    </w:p>
    <w:p w14:paraId="08E6BFE0" w14:textId="59638C45" w:rsidR="008E4939" w:rsidRPr="00A31A0B" w:rsidRDefault="008E4939" w:rsidP="00385CF8">
      <w:pPr>
        <w:pStyle w:val="ListBullet"/>
        <w:rPr>
          <w:szCs w:val="21"/>
        </w:rPr>
      </w:pPr>
      <w:r w:rsidRPr="00A31A0B">
        <w:rPr>
          <w:b/>
          <w:szCs w:val="21"/>
        </w:rPr>
        <w:t>Collaborative portfolio-level MEL</w:t>
      </w:r>
      <w:r w:rsidRPr="00A31A0B">
        <w:rPr>
          <w:szCs w:val="21"/>
        </w:rPr>
        <w:t>, including sense-making spaces to inform PWL decision-making</w:t>
      </w:r>
      <w:r w:rsidR="008E2AC3" w:rsidRPr="00A31A0B">
        <w:rPr>
          <w:szCs w:val="21"/>
        </w:rPr>
        <w:t>.</w:t>
      </w:r>
    </w:p>
    <w:p w14:paraId="00FAD3A1" w14:textId="0DED6658" w:rsidR="0052767A" w:rsidRDefault="0052767A" w:rsidP="00256336">
      <w:pPr>
        <w:pStyle w:val="Heading3nonumber"/>
        <w:outlineLvl w:val="9"/>
      </w:pPr>
      <w:r>
        <w:t xml:space="preserve">About this mid-term review </w:t>
      </w:r>
    </w:p>
    <w:p w14:paraId="155D90DD" w14:textId="77777777" w:rsidR="00351F67" w:rsidRDefault="0052767A" w:rsidP="000C469F">
      <w:pPr>
        <w:rPr>
          <w:rFonts w:cstheme="minorHAnsi"/>
          <w:color w:val="auto"/>
        </w:rPr>
      </w:pPr>
      <w:r>
        <w:rPr>
          <w:rFonts w:cstheme="minorHAnsi"/>
        </w:rPr>
        <w:t xml:space="preserve">The PWL </w:t>
      </w:r>
      <w:r w:rsidRPr="008A0AF1">
        <w:rPr>
          <w:rFonts w:cstheme="minorHAnsi"/>
        </w:rPr>
        <w:t>mid-term review</w:t>
      </w:r>
      <w:r>
        <w:rPr>
          <w:rFonts w:cstheme="minorHAnsi"/>
        </w:rPr>
        <w:t xml:space="preserve"> (MTR)</w:t>
      </w:r>
      <w:r w:rsidRPr="008A0AF1">
        <w:rPr>
          <w:rFonts w:cstheme="minorHAnsi"/>
        </w:rPr>
        <w:t xml:space="preserve">, conducted from July to November 2024, evaluates the </w:t>
      </w:r>
      <w:r w:rsidR="00CE40A5">
        <w:rPr>
          <w:rFonts w:cstheme="minorHAnsi"/>
        </w:rPr>
        <w:t>PWL’s</w:t>
      </w:r>
      <w:r w:rsidRPr="008A0AF1">
        <w:rPr>
          <w:rFonts w:cstheme="minorHAnsi"/>
        </w:rPr>
        <w:t xml:space="preserve"> portfolio of investments aimed at advancing gender equality across the Pacific. </w:t>
      </w:r>
      <w:r w:rsidRPr="00784548">
        <w:rPr>
          <w:rFonts w:cstheme="minorHAnsi"/>
          <w:color w:val="auto"/>
        </w:rPr>
        <w:t>The review examines PWL</w:t>
      </w:r>
      <w:r w:rsidR="00CE40A5" w:rsidRPr="00784548">
        <w:rPr>
          <w:rFonts w:cstheme="minorHAnsi"/>
          <w:color w:val="auto"/>
        </w:rPr>
        <w:t xml:space="preserve"> </w:t>
      </w:r>
      <w:r w:rsidRPr="00784548">
        <w:rPr>
          <w:rFonts w:cstheme="minorHAnsi"/>
          <w:color w:val="auto"/>
        </w:rPr>
        <w:t xml:space="preserve">through </w:t>
      </w:r>
      <w:r w:rsidR="00CE40A5" w:rsidRPr="00784548">
        <w:rPr>
          <w:rFonts w:cstheme="minorHAnsi"/>
          <w:color w:val="auto"/>
        </w:rPr>
        <w:t>six</w:t>
      </w:r>
      <w:r w:rsidRPr="00784548">
        <w:rPr>
          <w:rFonts w:cstheme="minorHAnsi"/>
          <w:color w:val="auto"/>
        </w:rPr>
        <w:t xml:space="preserve"> key </w:t>
      </w:r>
      <w:r w:rsidR="00CE40A5" w:rsidRPr="005F3FB6">
        <w:rPr>
          <w:rFonts w:cstheme="minorHAnsi"/>
          <w:color w:val="auto"/>
        </w:rPr>
        <w:t>review</w:t>
      </w:r>
      <w:r w:rsidRPr="005F3FB6">
        <w:rPr>
          <w:rFonts w:cstheme="minorHAnsi"/>
          <w:color w:val="auto"/>
        </w:rPr>
        <w:t xml:space="preserve"> questions</w:t>
      </w:r>
      <w:r w:rsidR="000A780E" w:rsidRPr="005F3FB6">
        <w:rPr>
          <w:rFonts w:cstheme="minorHAnsi"/>
          <w:color w:val="auto"/>
        </w:rPr>
        <w:t>.</w:t>
      </w:r>
    </w:p>
    <w:p w14:paraId="4FF221CB" w14:textId="77777777" w:rsidR="00351F67" w:rsidRPr="00A31A0B" w:rsidRDefault="00351F67" w:rsidP="00351F67">
      <w:pPr>
        <w:rPr>
          <w:rFonts w:cstheme="minorHAnsi"/>
          <w:b/>
          <w:bCs/>
        </w:rPr>
      </w:pPr>
      <w:r w:rsidRPr="00A31A0B">
        <w:rPr>
          <w:rFonts w:cstheme="minorHAnsi"/>
          <w:b/>
          <w:bCs/>
        </w:rPr>
        <w:t>Effectiveness</w:t>
      </w:r>
      <w:r w:rsidRPr="00A31A0B">
        <w:rPr>
          <w:rFonts w:cstheme="minorHAnsi"/>
          <w:b/>
          <w:bCs/>
        </w:rPr>
        <w:tab/>
      </w:r>
    </w:p>
    <w:p w14:paraId="17075A57" w14:textId="4E538B22" w:rsidR="00351F67" w:rsidRPr="00A31A0B" w:rsidRDefault="00351F67" w:rsidP="00A31A0B">
      <w:pPr>
        <w:pStyle w:val="ListParagraph"/>
        <w:numPr>
          <w:ilvl w:val="0"/>
          <w:numId w:val="29"/>
        </w:numPr>
        <w:rPr>
          <w:rFonts w:cstheme="minorHAnsi"/>
          <w:color w:val="auto"/>
        </w:rPr>
      </w:pPr>
      <w:r w:rsidRPr="00A31A0B">
        <w:rPr>
          <w:rFonts w:cstheme="minorHAnsi"/>
          <w:color w:val="auto"/>
        </w:rPr>
        <w:t>To what extent is there evidence of progress in the areas of: Women and girls’ leadership and Women’s rights realised?</w:t>
      </w:r>
    </w:p>
    <w:p w14:paraId="10217D2C" w14:textId="6D3C2F87" w:rsidR="00351F67" w:rsidRPr="00A31A0B" w:rsidRDefault="00351F67" w:rsidP="00A31A0B">
      <w:pPr>
        <w:pStyle w:val="ListParagraph"/>
        <w:numPr>
          <w:ilvl w:val="0"/>
          <w:numId w:val="29"/>
        </w:numPr>
        <w:rPr>
          <w:rFonts w:cstheme="minorHAnsi"/>
          <w:color w:val="auto"/>
        </w:rPr>
      </w:pPr>
      <w:r w:rsidRPr="00A31A0B">
        <w:rPr>
          <w:rFonts w:cstheme="minorHAnsi"/>
          <w:color w:val="auto"/>
        </w:rPr>
        <w:t>To what extent is there evidence of progress in the area of: Pacific ownership and effectiveness of regional gender equality efforts?</w:t>
      </w:r>
    </w:p>
    <w:p w14:paraId="6FCBB1FC" w14:textId="106B126E" w:rsidR="00351F67" w:rsidRPr="00A31A0B" w:rsidRDefault="00351F67" w:rsidP="00A31A0B">
      <w:pPr>
        <w:pStyle w:val="ListParagraph"/>
        <w:numPr>
          <w:ilvl w:val="0"/>
          <w:numId w:val="29"/>
        </w:numPr>
        <w:rPr>
          <w:rFonts w:cstheme="minorHAnsi"/>
          <w:color w:val="auto"/>
        </w:rPr>
      </w:pPr>
      <w:r w:rsidRPr="00A31A0B">
        <w:rPr>
          <w:rFonts w:cstheme="minorHAnsi"/>
          <w:color w:val="auto"/>
        </w:rPr>
        <w:t>What are key opportunities and barriers for the PWL program to achieve transformational change?</w:t>
      </w:r>
    </w:p>
    <w:p w14:paraId="747808CE" w14:textId="77777777" w:rsidR="00351F67" w:rsidRPr="00A31A0B" w:rsidRDefault="00351F67" w:rsidP="00351F67">
      <w:pPr>
        <w:rPr>
          <w:rFonts w:cstheme="minorHAnsi"/>
          <w:b/>
          <w:bCs/>
          <w:color w:val="auto"/>
        </w:rPr>
      </w:pPr>
      <w:r w:rsidRPr="00A31A0B">
        <w:rPr>
          <w:rFonts w:cstheme="minorHAnsi"/>
          <w:b/>
          <w:bCs/>
          <w:color w:val="auto"/>
        </w:rPr>
        <w:t>Relevance</w:t>
      </w:r>
    </w:p>
    <w:p w14:paraId="3BF6B535" w14:textId="7EC84105" w:rsidR="00351F67" w:rsidRPr="00A31A0B" w:rsidRDefault="00351F67" w:rsidP="00A31A0B">
      <w:pPr>
        <w:pStyle w:val="ListParagraph"/>
        <w:numPr>
          <w:ilvl w:val="0"/>
          <w:numId w:val="29"/>
        </w:numPr>
        <w:rPr>
          <w:rFonts w:cstheme="minorHAnsi"/>
          <w:color w:val="auto"/>
        </w:rPr>
      </w:pPr>
      <w:r w:rsidRPr="00A31A0B">
        <w:rPr>
          <w:rFonts w:cstheme="minorHAnsi"/>
          <w:color w:val="auto"/>
        </w:rPr>
        <w:t>How relevant is the whole of portfolio modality and the five components to addressing gender inequality across the Pacific region?</w:t>
      </w:r>
    </w:p>
    <w:p w14:paraId="02927B2A" w14:textId="77777777" w:rsidR="00351F67" w:rsidRPr="00A31A0B" w:rsidRDefault="00351F67" w:rsidP="00351F67">
      <w:pPr>
        <w:rPr>
          <w:rFonts w:cstheme="minorHAnsi"/>
          <w:b/>
          <w:bCs/>
          <w:color w:val="auto"/>
        </w:rPr>
      </w:pPr>
      <w:r w:rsidRPr="00A31A0B">
        <w:rPr>
          <w:rFonts w:cstheme="minorHAnsi"/>
          <w:b/>
          <w:bCs/>
          <w:color w:val="auto"/>
        </w:rPr>
        <w:t>Efficiency</w:t>
      </w:r>
    </w:p>
    <w:p w14:paraId="488BA39E" w14:textId="22DAF076" w:rsidR="00351F67" w:rsidRPr="00A31A0B" w:rsidRDefault="00351F67" w:rsidP="00A31A0B">
      <w:pPr>
        <w:pStyle w:val="ListParagraph"/>
        <w:numPr>
          <w:ilvl w:val="0"/>
          <w:numId w:val="29"/>
        </w:numPr>
        <w:rPr>
          <w:rFonts w:cstheme="minorHAnsi"/>
          <w:color w:val="auto"/>
        </w:rPr>
      </w:pPr>
      <w:r w:rsidRPr="00A31A0B">
        <w:rPr>
          <w:rFonts w:cstheme="minorHAnsi"/>
          <w:color w:val="auto"/>
        </w:rPr>
        <w:t>To what extent are PWL components efficiently supporting delivery of outcomes?</w:t>
      </w:r>
    </w:p>
    <w:p w14:paraId="3010C86E" w14:textId="77777777" w:rsidR="00351F67" w:rsidRPr="00A31A0B" w:rsidRDefault="00351F67" w:rsidP="00351F67">
      <w:pPr>
        <w:rPr>
          <w:rFonts w:cstheme="minorHAnsi"/>
          <w:b/>
          <w:bCs/>
          <w:color w:val="auto"/>
        </w:rPr>
      </w:pPr>
      <w:r w:rsidRPr="00A31A0B">
        <w:rPr>
          <w:rFonts w:cstheme="minorHAnsi"/>
          <w:b/>
          <w:bCs/>
          <w:color w:val="auto"/>
        </w:rPr>
        <w:t>Cross-cutting</w:t>
      </w:r>
    </w:p>
    <w:p w14:paraId="107014F7" w14:textId="5F95F091" w:rsidR="00351F67" w:rsidRPr="00A31A0B" w:rsidRDefault="00351F67" w:rsidP="00A31A0B">
      <w:pPr>
        <w:pStyle w:val="ListParagraph"/>
        <w:numPr>
          <w:ilvl w:val="0"/>
          <w:numId w:val="29"/>
        </w:numPr>
        <w:rPr>
          <w:rFonts w:cstheme="minorHAnsi"/>
          <w:color w:val="auto"/>
        </w:rPr>
      </w:pPr>
      <w:r w:rsidRPr="00A31A0B">
        <w:rPr>
          <w:rFonts w:cstheme="minorHAnsi"/>
          <w:color w:val="auto"/>
        </w:rPr>
        <w:t>How well is the program integrating GEDSI and climate change?</w:t>
      </w:r>
    </w:p>
    <w:p w14:paraId="7D18FFE7" w14:textId="77777777" w:rsidR="00B42216" w:rsidRDefault="00B42216">
      <w:pPr>
        <w:rPr>
          <w:rFonts w:cstheme="minorHAnsi"/>
          <w:color w:val="auto"/>
        </w:rPr>
      </w:pPr>
      <w:r>
        <w:rPr>
          <w:rFonts w:cstheme="minorHAnsi"/>
          <w:color w:val="auto"/>
        </w:rPr>
        <w:br w:type="page"/>
      </w:r>
    </w:p>
    <w:p w14:paraId="3B61852A" w14:textId="64827D97" w:rsidR="0052767A" w:rsidRDefault="0052767A" w:rsidP="000C469F">
      <w:pPr>
        <w:rPr>
          <w:rFonts w:cstheme="minorHAnsi"/>
        </w:rPr>
      </w:pPr>
      <w:r w:rsidRPr="005F3FB6">
        <w:rPr>
          <w:rFonts w:cstheme="minorHAnsi"/>
          <w:color w:val="auto"/>
        </w:rPr>
        <w:lastRenderedPageBreak/>
        <w:t xml:space="preserve">The </w:t>
      </w:r>
      <w:r w:rsidRPr="008A0AF1">
        <w:rPr>
          <w:rFonts w:cstheme="minorHAnsi"/>
        </w:rPr>
        <w:t>findings form the core of the analysis and are followed by recommendations for improvement.</w:t>
      </w:r>
      <w:r>
        <w:rPr>
          <w:rFonts w:cstheme="minorHAnsi"/>
        </w:rPr>
        <w:t xml:space="preserve"> </w:t>
      </w:r>
      <w:r w:rsidRPr="00EE243C">
        <w:rPr>
          <w:rFonts w:cstheme="minorHAnsi"/>
        </w:rPr>
        <w:t xml:space="preserve">The </w:t>
      </w:r>
      <w:r>
        <w:rPr>
          <w:rFonts w:cstheme="minorHAnsi"/>
        </w:rPr>
        <w:t xml:space="preserve">MTR’s </w:t>
      </w:r>
      <w:r w:rsidRPr="00EE243C">
        <w:rPr>
          <w:rFonts w:cstheme="minorHAnsi"/>
        </w:rPr>
        <w:t xml:space="preserve">approach was guided by </w:t>
      </w:r>
      <w:r w:rsidR="00726162">
        <w:rPr>
          <w:rFonts w:cstheme="minorHAnsi"/>
        </w:rPr>
        <w:t>t</w:t>
      </w:r>
      <w:r w:rsidRPr="00EE243C">
        <w:rPr>
          <w:rFonts w:cstheme="minorHAnsi"/>
        </w:rPr>
        <w:t xml:space="preserve">he </w:t>
      </w:r>
      <w:proofErr w:type="spellStart"/>
      <w:r w:rsidRPr="00EE243C">
        <w:rPr>
          <w:rFonts w:cstheme="minorHAnsi"/>
        </w:rPr>
        <w:t>Kakala</w:t>
      </w:r>
      <w:proofErr w:type="spellEnd"/>
      <w:r w:rsidRPr="00EE243C">
        <w:rPr>
          <w:rFonts w:cstheme="minorHAnsi"/>
        </w:rPr>
        <w:t xml:space="preserve"> Framework</w:t>
      </w:r>
      <w:r w:rsidR="00726162">
        <w:rPr>
          <w:rFonts w:cstheme="minorHAnsi"/>
        </w:rPr>
        <w:t xml:space="preserve"> (</w:t>
      </w:r>
      <w:r w:rsidR="00726162">
        <w:rPr>
          <w:rFonts w:cstheme="minorHAnsi"/>
        </w:rPr>
        <w:fldChar w:fldCharType="begin"/>
      </w:r>
      <w:r w:rsidR="00726162">
        <w:rPr>
          <w:rFonts w:cstheme="minorHAnsi"/>
        </w:rPr>
        <w:instrText xml:space="preserve"> REF _Ref193740173 \h </w:instrText>
      </w:r>
      <w:r w:rsidR="00726162">
        <w:rPr>
          <w:rFonts w:cstheme="minorHAnsi"/>
        </w:rPr>
      </w:r>
      <w:r w:rsidR="00726162">
        <w:rPr>
          <w:rFonts w:cstheme="minorHAnsi"/>
        </w:rPr>
        <w:fldChar w:fldCharType="separate"/>
      </w:r>
      <w:r w:rsidR="005F3FB6">
        <w:t xml:space="preserve">Figure </w:t>
      </w:r>
      <w:r w:rsidR="005F3FB6">
        <w:rPr>
          <w:noProof/>
        </w:rPr>
        <w:t>2</w:t>
      </w:r>
      <w:r w:rsidR="00726162">
        <w:rPr>
          <w:rFonts w:cstheme="minorHAnsi"/>
        </w:rPr>
        <w:fldChar w:fldCharType="end"/>
      </w:r>
      <w:r w:rsidRPr="00EE243C">
        <w:rPr>
          <w:rFonts w:cstheme="minorHAnsi"/>
        </w:rPr>
        <w:t>)</w:t>
      </w:r>
      <w:r w:rsidR="00F677B0">
        <w:rPr>
          <w:rFonts w:cstheme="minorHAnsi"/>
        </w:rPr>
        <w:t>, which</w:t>
      </w:r>
      <w:r w:rsidRPr="00EE243C">
        <w:rPr>
          <w:rFonts w:cstheme="minorHAnsi"/>
        </w:rPr>
        <w:t xml:space="preserve"> </w:t>
      </w:r>
      <w:r>
        <w:rPr>
          <w:rFonts w:cstheme="minorHAnsi"/>
        </w:rPr>
        <w:t>emphasises</w:t>
      </w:r>
      <w:r w:rsidRPr="00EE243C">
        <w:rPr>
          <w:rFonts w:cstheme="minorHAnsi"/>
        </w:rPr>
        <w:t xml:space="preserve"> both meaningful stakeholder inclusion and valuable outputs</w:t>
      </w:r>
      <w:r>
        <w:rPr>
          <w:rFonts w:cstheme="minorHAnsi"/>
        </w:rPr>
        <w:t>. The approach also incorporate</w:t>
      </w:r>
      <w:r w:rsidR="00F677B0">
        <w:rPr>
          <w:rFonts w:cstheme="minorHAnsi"/>
        </w:rPr>
        <w:t>d</w:t>
      </w:r>
      <w:r>
        <w:rPr>
          <w:rFonts w:cstheme="minorHAnsi"/>
        </w:rPr>
        <w:t xml:space="preserve"> </w:t>
      </w:r>
      <w:r w:rsidRPr="00EE243C">
        <w:rPr>
          <w:rFonts w:cstheme="minorHAnsi"/>
        </w:rPr>
        <w:t>good practice</w:t>
      </w:r>
      <w:r>
        <w:rPr>
          <w:rFonts w:cstheme="minorHAnsi"/>
        </w:rPr>
        <w:t xml:space="preserve">s </w:t>
      </w:r>
      <w:r w:rsidR="00F677B0">
        <w:rPr>
          <w:rFonts w:cstheme="minorHAnsi"/>
        </w:rPr>
        <w:t>from</w:t>
      </w:r>
      <w:r>
        <w:rPr>
          <w:rFonts w:cstheme="minorHAnsi"/>
        </w:rPr>
        <w:t xml:space="preserve"> feminist and disability inclusive evaluation</w:t>
      </w:r>
      <w:r w:rsidR="00F677B0">
        <w:rPr>
          <w:rFonts w:cstheme="minorHAnsi"/>
        </w:rPr>
        <w:t xml:space="preserve"> theory</w:t>
      </w:r>
      <w:r>
        <w:rPr>
          <w:rFonts w:cstheme="minorHAnsi"/>
        </w:rPr>
        <w:t xml:space="preserve"> and ensure</w:t>
      </w:r>
      <w:r w:rsidR="00F677B0">
        <w:rPr>
          <w:rFonts w:cstheme="minorHAnsi"/>
        </w:rPr>
        <w:t>d</w:t>
      </w:r>
      <w:r>
        <w:rPr>
          <w:rFonts w:cstheme="minorHAnsi"/>
        </w:rPr>
        <w:t xml:space="preserve"> alignment with </w:t>
      </w:r>
      <w:r w:rsidRPr="00EE243C">
        <w:rPr>
          <w:rFonts w:cstheme="minorHAnsi"/>
        </w:rPr>
        <w:t xml:space="preserve">DFAT’s </w:t>
      </w:r>
      <w:r>
        <w:rPr>
          <w:rFonts w:cstheme="minorHAnsi"/>
        </w:rPr>
        <w:t>s</w:t>
      </w:r>
      <w:r w:rsidRPr="00EE243C">
        <w:rPr>
          <w:rFonts w:cstheme="minorHAnsi"/>
        </w:rPr>
        <w:t xml:space="preserve">tandards. </w:t>
      </w:r>
      <w:r>
        <w:rPr>
          <w:rFonts w:cstheme="minorHAnsi"/>
        </w:rPr>
        <w:t xml:space="preserve">See </w:t>
      </w:r>
      <w:r w:rsidR="005A46CA">
        <w:rPr>
          <w:rFonts w:cstheme="minorHAnsi"/>
        </w:rPr>
        <w:t xml:space="preserve">Appendix B </w:t>
      </w:r>
      <w:r>
        <w:rPr>
          <w:rFonts w:cstheme="minorHAnsi"/>
        </w:rPr>
        <w:t>for detail.</w:t>
      </w:r>
    </w:p>
    <w:p w14:paraId="474CB264" w14:textId="77777777" w:rsidR="001B43DD" w:rsidRDefault="001B43DD" w:rsidP="008514A3">
      <w:pPr>
        <w:keepNext/>
        <w:spacing w:after="0"/>
      </w:pPr>
      <w:r>
        <w:rPr>
          <w:rFonts w:cstheme="minorHAnsi"/>
          <w:noProof/>
        </w:rPr>
        <w:drawing>
          <wp:inline distT="0" distB="0" distL="0" distR="0" wp14:anchorId="3FE75785" wp14:editId="6A603CD2">
            <wp:extent cx="6149340" cy="3125310"/>
            <wp:effectExtent l="0" t="0" r="3810" b="0"/>
            <wp:docPr id="1439012696" name="Picture 43" descr="A wreath made of leaves and six flowers. Each of the flowers is labelled with a name and description. Teu - conceptualisation, Toli - data collection, Tui - analysis, Luva - reporting, Malie - relevance and Mafana - transf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12696" name="Picture 43" descr="A wreath made of leaves and six flowers. Each of the flowers is labelled with a name and description. Teu - conceptualisation, Toli - data collection, Tui - analysis, Luva - reporting, Malie - relevance and Mafana - transferability."/>
                    <pic:cNvPicPr/>
                  </pic:nvPicPr>
                  <pic:blipFill>
                    <a:blip r:embed="rId15">
                      <a:extLst>
                        <a:ext uri="{28A0092B-C50C-407E-A947-70E740481C1C}">
                          <a14:useLocalDpi xmlns:a14="http://schemas.microsoft.com/office/drawing/2010/main" val="0"/>
                        </a:ext>
                      </a:extLst>
                    </a:blip>
                    <a:stretch>
                      <a:fillRect/>
                    </a:stretch>
                  </pic:blipFill>
                  <pic:spPr>
                    <a:xfrm>
                      <a:off x="0" y="0"/>
                      <a:ext cx="6149340" cy="3125310"/>
                    </a:xfrm>
                    <a:prstGeom prst="rect">
                      <a:avLst/>
                    </a:prstGeom>
                    <a:ln w="3175">
                      <a:noFill/>
                    </a:ln>
                  </pic:spPr>
                </pic:pic>
              </a:graphicData>
            </a:graphic>
          </wp:inline>
        </w:drawing>
      </w:r>
    </w:p>
    <w:p w14:paraId="3867C34A" w14:textId="59F4D518" w:rsidR="001B43DD" w:rsidRDefault="001B43DD" w:rsidP="001B43DD">
      <w:pPr>
        <w:pStyle w:val="Caption"/>
        <w:spacing w:before="120" w:after="120"/>
        <w:rPr>
          <w:rFonts w:cstheme="minorHAnsi"/>
        </w:rPr>
      </w:pPr>
      <w:bookmarkStart w:id="18" w:name="_Toc210309575"/>
      <w:r>
        <w:t xml:space="preserve">Figure </w:t>
      </w:r>
      <w:r w:rsidR="002D6519">
        <w:fldChar w:fldCharType="begin"/>
      </w:r>
      <w:r w:rsidR="002D6519">
        <w:instrText xml:space="preserve"> SEQ Figure \* ARABIC </w:instrText>
      </w:r>
      <w:r w:rsidR="002D6519">
        <w:fldChar w:fldCharType="separate"/>
      </w:r>
      <w:r w:rsidR="002D6519">
        <w:rPr>
          <w:noProof/>
        </w:rPr>
        <w:t>2</w:t>
      </w:r>
      <w:r w:rsidR="002D6519">
        <w:rPr>
          <w:noProof/>
        </w:rPr>
        <w:fldChar w:fldCharType="end"/>
      </w:r>
      <w:r>
        <w:t xml:space="preserve">. </w:t>
      </w:r>
      <w:proofErr w:type="spellStart"/>
      <w:r w:rsidRPr="00BA1990">
        <w:t>Kakala</w:t>
      </w:r>
      <w:proofErr w:type="spellEnd"/>
      <w:r w:rsidRPr="00BA1990">
        <w:t xml:space="preserve"> Framework (Source: SPC)</w:t>
      </w:r>
      <w:bookmarkEnd w:id="18"/>
    </w:p>
    <w:p w14:paraId="4C68B149" w14:textId="5A4AB297" w:rsidR="0052767A" w:rsidRPr="00CB7240" w:rsidRDefault="0052767A" w:rsidP="008514A3">
      <w:pPr>
        <w:spacing w:before="240" w:after="120"/>
        <w:rPr>
          <w:rFonts w:asciiTheme="majorHAnsi" w:hAnsiTheme="majorHAnsi"/>
          <w:color w:val="984C00" w:themeColor="accent1" w:themeShade="BF"/>
          <w:sz w:val="22"/>
          <w:szCs w:val="24"/>
        </w:rPr>
      </w:pPr>
      <w:r w:rsidRPr="00CB7240">
        <w:rPr>
          <w:rFonts w:asciiTheme="majorHAnsi" w:hAnsiTheme="majorHAnsi"/>
          <w:color w:val="984C00" w:themeColor="accent1" w:themeShade="BF"/>
          <w:sz w:val="22"/>
          <w:szCs w:val="24"/>
        </w:rPr>
        <w:t>Limitations and considerations in reading this report</w:t>
      </w:r>
    </w:p>
    <w:p w14:paraId="0C273997" w14:textId="316DD54A" w:rsidR="00FF4BD7" w:rsidRDefault="002F4264" w:rsidP="00B74515">
      <w:r w:rsidRPr="005C449C">
        <w:t>The MTR provides an imbalanced analysis across program components, with a more in-depth focus on SPC, PWLES, and the PWL Governance Board, which were prioritised due to their strategic importance and because other components have or will be undertaking separate evaluation processes. This approach influenced stakeholder selection and research methodology, resulting in fewer interviews for Women's Funds and DFAT programs, with findings instead derived from leadership consultations, the 2024 PWL Annual Reflection and Analysis Workshop, and validation workshop feedback</w:t>
      </w:r>
      <w:r w:rsidR="006D6EC3" w:rsidRPr="005C449C">
        <w:t>.</w:t>
      </w:r>
      <w:r w:rsidRPr="005C449C">
        <w:t xml:space="preserve"> </w:t>
      </w:r>
      <w:r w:rsidR="005C449C" w:rsidRPr="005C449C">
        <w:t>D</w:t>
      </w:r>
      <w:r w:rsidR="00FF4BD7" w:rsidRPr="005C449C">
        <w:t>espite efforts to facilitate inclusive discussions, power dynamics in focus groups and limited pre-validation engagement with draft findings may have affected participation and responses</w:t>
      </w:r>
      <w:r w:rsidR="008C0FF5">
        <w:t>.</w:t>
      </w:r>
    </w:p>
    <w:p w14:paraId="4BA26F13" w14:textId="763B8A96" w:rsidR="008E4939" w:rsidRDefault="009E0977" w:rsidP="0069066A">
      <w:pPr>
        <w:pStyle w:val="Heading1"/>
        <w:rPr>
          <w:color w:val="0D8577" w:themeColor="accent5"/>
        </w:rPr>
      </w:pPr>
      <w:bookmarkStart w:id="19" w:name="_Toc201840795"/>
      <w:r>
        <w:lastRenderedPageBreak/>
        <w:t>O</w:t>
      </w:r>
      <w:r w:rsidR="00C7637A">
        <w:t>ver</w:t>
      </w:r>
      <w:r w:rsidR="00B546E7">
        <w:t>a</w:t>
      </w:r>
      <w:r w:rsidR="00215DCD">
        <w:t>ll</w:t>
      </w:r>
      <w:r w:rsidR="00C7637A">
        <w:t xml:space="preserve"> finding</w:t>
      </w:r>
      <w:bookmarkEnd w:id="19"/>
      <w:r w:rsidR="008E4939" w:rsidRPr="00EE243C">
        <w:t xml:space="preserve"> </w:t>
      </w:r>
    </w:p>
    <w:p w14:paraId="2F36BF35" w14:textId="77777777" w:rsidR="00C7637A" w:rsidRPr="00904ECE" w:rsidRDefault="00C7637A" w:rsidP="00384259">
      <w:pPr>
        <w:pStyle w:val="Tealblocktext"/>
      </w:pPr>
      <w:r w:rsidRPr="00904ECE">
        <w:t>This MTR concludes that at this point in implementation, the PWL modality is a fit-for-purpose, highly relevant, and effective approach to accelerating and consolidating regional gender equality efforts, distinguished by its Pacific-led, collaborative</w:t>
      </w:r>
      <w:r>
        <w:t xml:space="preserve"> </w:t>
      </w:r>
      <w:r w:rsidRPr="00904ECE">
        <w:t>and adaptive design that reflects the complexity of advancing gender equality across the region. By uniting diverse stakeholders</w:t>
      </w:r>
      <w:r>
        <w:t xml:space="preserve">, </w:t>
      </w:r>
      <w:r w:rsidRPr="00904ECE">
        <w:t>including governments, civil society organisations, regional bodies and donors</w:t>
      </w:r>
      <w:r>
        <w:t xml:space="preserve">, </w:t>
      </w:r>
      <w:r w:rsidRPr="00904ECE">
        <w:t>PWL enacts principles of collective impact, intentionally builds relationships, and fosters strategic learning, which is central to addressing systemic and complex social change. This learning-by-doing methodology enables open discussion and iterative adaptation, allowing evidence, experiences, knowledge gaps and challenges to be shared and addressed.</w:t>
      </w:r>
    </w:p>
    <w:p w14:paraId="1D75986E" w14:textId="08F23B05" w:rsidR="00C7637A" w:rsidRPr="00904ECE" w:rsidRDefault="00C7637A" w:rsidP="00384259">
      <w:pPr>
        <w:pStyle w:val="Tealblocktext"/>
      </w:pPr>
      <w:r w:rsidRPr="00904ECE">
        <w:t xml:space="preserve">For DFAT, PWL addresses long-standing gaps in regional coordination and visibility, aligning directly with Australia’s International Gender Equality Strategy, International Disability Equity and Rights Strategy, and Locally Led </w:t>
      </w:r>
      <w:r w:rsidR="002D67C8">
        <w:t xml:space="preserve">Development </w:t>
      </w:r>
      <w:r w:rsidRPr="00904ECE">
        <w:t>Guidance Note by embedding Pacific leadership, collective learning, and mainstreaming equity and inclusion. The backbone function provided by PWLES is pivotal for maintaining momentum, facilitating collaboration, brokering relationships, and supporting robust monitoring, evaluation, and adaptation; thus, adequate and flexible resourcing of PWLES is critical to sustaining and scaling the modality’s effectiveness, ensuring continued relevance, and safeguarding the significant gains achieved in the regional gender equality architecture and ecosystem.</w:t>
      </w:r>
    </w:p>
    <w:p w14:paraId="1C4F6683" w14:textId="45CF2D55" w:rsidR="00C7637A" w:rsidRPr="00C7637A" w:rsidRDefault="00B546E7" w:rsidP="00C7637A">
      <w:pPr>
        <w:pStyle w:val="Heading1"/>
      </w:pPr>
      <w:bookmarkStart w:id="20" w:name="_Toc201840796"/>
      <w:r>
        <w:lastRenderedPageBreak/>
        <w:t>Findings</w:t>
      </w:r>
      <w:r w:rsidR="00C7637A">
        <w:t xml:space="preserve"> </w:t>
      </w:r>
      <w:r w:rsidR="0099789A">
        <w:t>–</w:t>
      </w:r>
      <w:r w:rsidR="00C7637A">
        <w:t xml:space="preserve"> </w:t>
      </w:r>
      <w:r>
        <w:rPr>
          <w:color w:val="0D8577" w:themeColor="accent5"/>
        </w:rPr>
        <w:t>Effectiveness</w:t>
      </w:r>
      <w:bookmarkEnd w:id="20"/>
    </w:p>
    <w:p w14:paraId="4EA6A244" w14:textId="648C8737" w:rsidR="00111AFD" w:rsidRPr="00EE243C" w:rsidRDefault="007A27CF" w:rsidP="00260A99">
      <w:pPr>
        <w:pStyle w:val="Tealblockheading"/>
      </w:pPr>
      <w:bookmarkStart w:id="21" w:name="_Toc181604012"/>
      <w:bookmarkStart w:id="22" w:name="_Hlk193735492"/>
      <w:r w:rsidRPr="00EE243C">
        <w:t xml:space="preserve">How does </w:t>
      </w:r>
      <w:r w:rsidRPr="00260A99">
        <w:t>PWL</w:t>
      </w:r>
      <w:r w:rsidRPr="00EE243C">
        <w:t xml:space="preserve"> design and delivery </w:t>
      </w:r>
      <w:r w:rsidR="000018F0">
        <w:t>align with principles of</w:t>
      </w:r>
      <w:r w:rsidRPr="00EE243C">
        <w:t xml:space="preserve"> Pacific </w:t>
      </w:r>
      <w:r w:rsidR="00B3529C">
        <w:t>led</w:t>
      </w:r>
      <w:r w:rsidR="00E87F43">
        <w:t xml:space="preserve"> </w:t>
      </w:r>
      <w:r w:rsidR="00B3529C">
        <w:t>programming</w:t>
      </w:r>
      <w:r w:rsidRPr="0064679E">
        <w:t>?</w:t>
      </w:r>
      <w:bookmarkEnd w:id="21"/>
    </w:p>
    <w:p w14:paraId="62DEE0C3" w14:textId="77777777" w:rsidR="007D2C98" w:rsidRDefault="00F3525C" w:rsidP="00384259">
      <w:pPr>
        <w:pStyle w:val="Tealblocktext"/>
      </w:pPr>
      <w:r w:rsidRPr="00F3525C">
        <w:t>While not a KRQ as agreed in the MTR terms of reference, this became an emergent and priority question bringing together a key thread between KRQ2 (regarding Pacific ownership), and KRQ3 (regarding transformational change).</w:t>
      </w:r>
    </w:p>
    <w:p w14:paraId="4BDA8D38" w14:textId="04AC58FF" w:rsidR="5B4C581B" w:rsidRPr="00EE243C" w:rsidRDefault="7BA1D0C9" w:rsidP="00384259">
      <w:pPr>
        <w:pStyle w:val="Tealblocktext"/>
      </w:pPr>
      <w:r>
        <w:t xml:space="preserve">PWL </w:t>
      </w:r>
      <w:r w:rsidR="015782C4">
        <w:t>demonstrates commitment to</w:t>
      </w:r>
      <w:r>
        <w:t xml:space="preserve"> Pacific</w:t>
      </w:r>
      <w:r w:rsidR="3D399B28">
        <w:t xml:space="preserve">-led programming </w:t>
      </w:r>
      <w:r>
        <w:t xml:space="preserve">by strategically </w:t>
      </w:r>
      <w:r w:rsidR="12282E1A">
        <w:t xml:space="preserve">partnering with SPC as a lead implementing partner, establishing a Pacific-led </w:t>
      </w:r>
      <w:r w:rsidR="6941EE2B">
        <w:t>PWL Governance Board</w:t>
      </w:r>
      <w:r w:rsidR="12282E1A">
        <w:t xml:space="preserve">, </w:t>
      </w:r>
      <w:r w:rsidR="41062446">
        <w:t xml:space="preserve">drawing on leadership </w:t>
      </w:r>
      <w:r w:rsidR="000C469F">
        <w:t>of the</w:t>
      </w:r>
      <w:r w:rsidR="12282E1A">
        <w:t xml:space="preserve"> </w:t>
      </w:r>
      <w:r w:rsidR="6A908948">
        <w:t>Women’s Funds</w:t>
      </w:r>
      <w:r w:rsidR="12282E1A">
        <w:t xml:space="preserve"> and creating mechanisms that explicitly centre Pacific voices and decision-making. The program</w:t>
      </w:r>
      <w:r w:rsidR="60EEFEC4">
        <w:t xml:space="preserve">'s approach provides a promising model for reimagining development programming with genuine regional leadership and partnership. While challenges remain, </w:t>
      </w:r>
      <w:r w:rsidR="323137B3">
        <w:t>through the cooperation and collaboration</w:t>
      </w:r>
      <w:r w:rsidR="161E4BD5">
        <w:t xml:space="preserve"> with DFAT Canberra and Suva </w:t>
      </w:r>
      <w:r w:rsidR="69273636">
        <w:t>P</w:t>
      </w:r>
      <w:r w:rsidR="161E4BD5">
        <w:t>ost, PW</w:t>
      </w:r>
      <w:r w:rsidR="17937FD9">
        <w:t>L</w:t>
      </w:r>
      <w:r w:rsidR="161E4BD5">
        <w:t xml:space="preserve"> </w:t>
      </w:r>
      <w:r w:rsidR="60EEFEC4">
        <w:t xml:space="preserve">has laid critical groundwork for a more equitable, context-responsive approach to gender equality that </w:t>
      </w:r>
      <w:r w:rsidR="474D0E57">
        <w:t>yields</w:t>
      </w:r>
      <w:r w:rsidR="60EEFEC4">
        <w:t xml:space="preserve"> power to Pacific partners to define and </w:t>
      </w:r>
      <w:r w:rsidR="20B1639B">
        <w:t xml:space="preserve">drive their own gender equality priorities in line with regional frameworks. </w:t>
      </w:r>
    </w:p>
    <w:bookmarkEnd w:id="22"/>
    <w:p w14:paraId="10975280" w14:textId="24F9D390" w:rsidR="00DF0ABE" w:rsidRDefault="00DE0C05" w:rsidP="00DF0ABE">
      <w:r w:rsidRPr="00DE0C05">
        <w:t>The foundations for Pacific-led principles are firmly embedded in Pacific Women Lead's design and operational strategies, representing a transformative approach that reimagines traditional donor-driven models. The program prioriti</w:t>
      </w:r>
      <w:r>
        <w:t>s</w:t>
      </w:r>
      <w:r w:rsidRPr="00DE0C05">
        <w:t>es Pacific women in leading direction, defining challenges, and driving strategic approaches, emphasi</w:t>
      </w:r>
      <w:r w:rsidR="009A709D">
        <w:t>s</w:t>
      </w:r>
      <w:r w:rsidRPr="00DE0C05">
        <w:t>ing learning and adaptation over rigid performance metrics. PWL's design effectively orchestrates five components to provide efficient and relevant strategies addressing diverse gender equality programming needs across the region, with varying degrees of alignment to Pacific-led principles across these components</w:t>
      </w:r>
      <w:r>
        <w:t>.</w:t>
      </w:r>
    </w:p>
    <w:p w14:paraId="4482A1D2" w14:textId="68FB9433" w:rsidR="006E4769" w:rsidRDefault="006E4769" w:rsidP="00DF0ABE">
      <w:r>
        <w:rPr>
          <w:noProof/>
        </w:rPr>
        <w:drawing>
          <wp:inline distT="0" distB="0" distL="0" distR="0" wp14:anchorId="167166B6" wp14:editId="67C1179D">
            <wp:extent cx="6090557" cy="2118664"/>
            <wp:effectExtent l="0" t="0" r="5715" b="0"/>
            <wp:docPr id="215376933" name="Picture 1" descr="Quote: “[The] gender space in the region has been on a very long journey… I’d like to think that the Australian investment has been purposely shaped [for] the aspirations of our region.” - MTR interview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76933" name="Picture 1" descr="Quote: “[The] gender space in the region has been on a very long journey… I’d like to think that the Australian investment has been purposely shaped [for] the aspirations of our region.” - MTR interviewee"/>
                    <pic:cNvPicPr/>
                  </pic:nvPicPr>
                  <pic:blipFill rotWithShape="1">
                    <a:blip r:embed="rId16" cstate="print">
                      <a:extLst>
                        <a:ext uri="{28A0092B-C50C-407E-A947-70E740481C1C}">
                          <a14:useLocalDpi xmlns:a14="http://schemas.microsoft.com/office/drawing/2010/main"/>
                        </a:ext>
                      </a:extLst>
                    </a:blip>
                    <a:srcRect/>
                    <a:stretch>
                      <a:fillRect/>
                    </a:stretch>
                  </pic:blipFill>
                  <pic:spPr bwMode="auto">
                    <a:xfrm>
                      <a:off x="0" y="0"/>
                      <a:ext cx="6127183" cy="2131405"/>
                    </a:xfrm>
                    <a:prstGeom prst="rect">
                      <a:avLst/>
                    </a:prstGeom>
                    <a:ln>
                      <a:noFill/>
                    </a:ln>
                    <a:extLst>
                      <a:ext uri="{53640926-AAD7-44D8-BBD7-CCE9431645EC}">
                        <a14:shadowObscured xmlns:a14="http://schemas.microsoft.com/office/drawing/2010/main"/>
                      </a:ext>
                    </a:extLst>
                  </pic:spPr>
                </pic:pic>
              </a:graphicData>
            </a:graphic>
          </wp:inline>
        </w:drawing>
      </w:r>
    </w:p>
    <w:p w14:paraId="0A5AC3E3" w14:textId="77777777" w:rsidR="002F494F" w:rsidRPr="00CB7240" w:rsidRDefault="002F494F" w:rsidP="00C963FB">
      <w:pPr>
        <w:spacing w:after="120"/>
        <w:rPr>
          <w:rStyle w:val="Strong"/>
          <w:rFonts w:asciiTheme="majorHAnsi" w:hAnsiTheme="majorHAnsi"/>
          <w:b w:val="0"/>
          <w:bCs w:val="0"/>
          <w:color w:val="984C00" w:themeColor="accent1" w:themeShade="BF"/>
          <w:sz w:val="22"/>
          <w:szCs w:val="24"/>
        </w:rPr>
      </w:pPr>
      <w:r w:rsidRPr="00CB7240">
        <w:rPr>
          <w:rStyle w:val="Strong"/>
          <w:rFonts w:asciiTheme="majorHAnsi" w:hAnsiTheme="majorHAnsi"/>
          <w:b w:val="0"/>
          <w:bCs w:val="0"/>
          <w:color w:val="984C00" w:themeColor="accent1" w:themeShade="BF"/>
          <w:sz w:val="22"/>
          <w:szCs w:val="24"/>
        </w:rPr>
        <w:t>DFAT Canberra and Suva Post</w:t>
      </w:r>
    </w:p>
    <w:p w14:paraId="09823141" w14:textId="12BBAE4B" w:rsidR="002F494F" w:rsidRPr="00FC7B9A" w:rsidRDefault="002F494F" w:rsidP="002F494F">
      <w:pPr>
        <w:rPr>
          <w:rFonts w:cstheme="minorHAnsi"/>
        </w:rPr>
      </w:pPr>
      <w:r w:rsidRPr="00FC7B9A">
        <w:rPr>
          <w:rFonts w:cstheme="minorHAnsi"/>
        </w:rPr>
        <w:t xml:space="preserve">DFAT Canberra and Suva Posts play a dual role as PWL’s donor as well as an implementing component, with direct funding and capacity support to various regional gender projects. As the donor, DFAT Canberra is operating through a unique investment model that is based on trusted and flexible </w:t>
      </w:r>
      <w:r w:rsidRPr="00FC7B9A">
        <w:rPr>
          <w:rFonts w:cstheme="minorHAnsi"/>
          <w:i/>
        </w:rPr>
        <w:t>partnerships</w:t>
      </w:r>
      <w:r w:rsidRPr="00FC7B9A">
        <w:rPr>
          <w:rFonts w:cstheme="minorHAnsi"/>
        </w:rPr>
        <w:t xml:space="preserve"> with Pacific organisations. The uniqueness of this approach across DFAT investments has fostered careful balancing between conventional levels of investment accountability with the desire to yield ownership of strategic priorities and implementation to Pacific partners. </w:t>
      </w:r>
    </w:p>
    <w:p w14:paraId="44D41850" w14:textId="78EDFFA9" w:rsidR="007A27CF" w:rsidRPr="00CB7240" w:rsidRDefault="422C130D" w:rsidP="00C963FB">
      <w:pPr>
        <w:spacing w:after="120"/>
        <w:rPr>
          <w:rFonts w:asciiTheme="majorHAnsi" w:eastAsia="Arial" w:hAnsiTheme="majorHAnsi"/>
          <w:color w:val="984C00" w:themeColor="accent1" w:themeShade="BF"/>
          <w:sz w:val="22"/>
          <w:szCs w:val="24"/>
        </w:rPr>
      </w:pPr>
      <w:r w:rsidRPr="00CB7240">
        <w:rPr>
          <w:rFonts w:asciiTheme="majorHAnsi" w:hAnsiTheme="majorHAnsi"/>
          <w:color w:val="984C00" w:themeColor="accent1" w:themeShade="BF"/>
          <w:sz w:val="22"/>
          <w:szCs w:val="24"/>
        </w:rPr>
        <w:t>SPC</w:t>
      </w:r>
    </w:p>
    <w:p w14:paraId="6E3C39E2" w14:textId="77777777" w:rsidR="00B12D5B" w:rsidRDefault="00110B24" w:rsidP="00C8413E">
      <w:pPr>
        <w:rPr>
          <w:rFonts w:cstheme="minorHAnsi"/>
        </w:rPr>
      </w:pPr>
      <w:r w:rsidRPr="00E460B4">
        <w:rPr>
          <w:rFonts w:cstheme="minorHAnsi"/>
        </w:rPr>
        <w:t xml:space="preserve">The nomination of SPC as </w:t>
      </w:r>
      <w:r w:rsidR="00FF5021" w:rsidRPr="00E460B4">
        <w:rPr>
          <w:rFonts w:cstheme="minorHAnsi"/>
        </w:rPr>
        <w:t xml:space="preserve">the lead </w:t>
      </w:r>
      <w:r w:rsidRPr="00E460B4">
        <w:rPr>
          <w:rFonts w:cstheme="minorHAnsi"/>
        </w:rPr>
        <w:t xml:space="preserve">implementing partner represents a pivotal moment, fundamentally shifting from an Australian-managed program to a Pacific-led initiative. </w:t>
      </w:r>
    </w:p>
    <w:p w14:paraId="19386DD1" w14:textId="445439DA" w:rsidR="007A27CF" w:rsidRPr="00E460B4" w:rsidRDefault="00E460B4" w:rsidP="00C8413E">
      <w:pPr>
        <w:rPr>
          <w:rFonts w:cstheme="minorHAnsi"/>
        </w:rPr>
      </w:pPr>
      <w:r w:rsidRPr="000958FF">
        <w:rPr>
          <w:rFonts w:cstheme="minorHAnsi"/>
        </w:rPr>
        <w:lastRenderedPageBreak/>
        <w:t>This change leveraged SPC's strengths as a C</w:t>
      </w:r>
      <w:r w:rsidR="006A604B">
        <w:rPr>
          <w:rFonts w:cstheme="minorHAnsi"/>
        </w:rPr>
        <w:t xml:space="preserve">ouncil of </w:t>
      </w:r>
      <w:r w:rsidRPr="000958FF">
        <w:rPr>
          <w:rFonts w:cstheme="minorHAnsi"/>
        </w:rPr>
        <w:t>R</w:t>
      </w:r>
      <w:r w:rsidR="006A604B">
        <w:rPr>
          <w:rFonts w:cstheme="minorHAnsi"/>
        </w:rPr>
        <w:t xml:space="preserve">egional </w:t>
      </w:r>
      <w:r w:rsidRPr="000958FF">
        <w:rPr>
          <w:rFonts w:cstheme="minorHAnsi"/>
        </w:rPr>
        <w:t>O</w:t>
      </w:r>
      <w:r w:rsidR="006A604B">
        <w:rPr>
          <w:rFonts w:cstheme="minorHAnsi"/>
        </w:rPr>
        <w:t xml:space="preserve">rganisations of the </w:t>
      </w:r>
      <w:r w:rsidRPr="000958FF">
        <w:rPr>
          <w:rFonts w:cstheme="minorHAnsi"/>
        </w:rPr>
        <w:t>P</w:t>
      </w:r>
      <w:r w:rsidR="006A604B">
        <w:rPr>
          <w:rFonts w:cstheme="minorHAnsi"/>
        </w:rPr>
        <w:t>acific (CROP)</w:t>
      </w:r>
      <w:r w:rsidRPr="000958FF">
        <w:rPr>
          <w:rFonts w:cstheme="minorHAnsi"/>
        </w:rPr>
        <w:t xml:space="preserve"> agency, including its broader technical capabilities and strong convening power, enabling more comprehensive regional approaches and stronger policy influence. </w:t>
      </w:r>
      <w:r w:rsidR="000F3CAE" w:rsidRPr="00E460B4">
        <w:rPr>
          <w:rFonts w:cstheme="minorHAnsi"/>
        </w:rPr>
        <w:t>T</w:t>
      </w:r>
      <w:r w:rsidR="00110B24" w:rsidRPr="00E460B4">
        <w:rPr>
          <w:rFonts w:cstheme="minorHAnsi"/>
        </w:rPr>
        <w:t xml:space="preserve">his move establishes a strong foundation for Pacific </w:t>
      </w:r>
      <w:r w:rsidR="00C8413E" w:rsidRPr="00E460B4">
        <w:rPr>
          <w:rFonts w:cstheme="minorHAnsi"/>
        </w:rPr>
        <w:t xml:space="preserve">leadership across the program as </w:t>
      </w:r>
      <w:r w:rsidR="007A27CF" w:rsidRPr="000958FF">
        <w:rPr>
          <w:rFonts w:eastAsia="Arial" w:cstheme="minorHAnsi"/>
          <w:szCs w:val="21"/>
        </w:rPr>
        <w:t>evidenced through multiple reinforcing elements:</w:t>
      </w:r>
    </w:p>
    <w:p w14:paraId="2F6EFD0F" w14:textId="6B00FA83" w:rsidR="007A27CF" w:rsidRPr="00EE243C" w:rsidRDefault="007A27CF" w:rsidP="2453DA12">
      <w:pPr>
        <w:pStyle w:val="ListBullet"/>
        <w:rPr>
          <w:rFonts w:ascii="Arial" w:eastAsia="Arial" w:hAnsi="Arial" w:cs="Arial"/>
        </w:rPr>
      </w:pPr>
      <w:r w:rsidRPr="00EE243C">
        <w:t>SPC's structure as a Pacific-led organisation, mandated by 22 Pacific Island Countries and Territories and predominantly staffed by Pacific peoples, provides an inherent foundation for Pacific ownership. This is further strengthened by Pacific Islander staff in key leadership positions for PWL investments at SPC.</w:t>
      </w:r>
    </w:p>
    <w:p w14:paraId="0EED221B" w14:textId="460F3C8B" w:rsidR="007A27CF" w:rsidRPr="00EE243C" w:rsidRDefault="00A131EB" w:rsidP="2453DA12">
      <w:pPr>
        <w:pStyle w:val="ListBullet"/>
        <w:rPr>
          <w:rFonts w:ascii="Arial" w:eastAsia="Arial" w:hAnsi="Arial" w:cs="Arial"/>
        </w:rPr>
      </w:pPr>
      <w:r>
        <w:t>T</w:t>
      </w:r>
      <w:r w:rsidR="007A27CF" w:rsidRPr="00EE243C">
        <w:t xml:space="preserve">he establishment of the Gender Equality Flagship marks a strategic shift in SPC's approach, aligning with the 2050 Strategy for the Blue Pacific Continent. </w:t>
      </w:r>
      <w:r w:rsidR="422C130D" w:rsidRPr="00EE243C">
        <w:t>Whilst still in a formative phase, th</w:t>
      </w:r>
      <w:r w:rsidR="004235B6">
        <w:t>e</w:t>
      </w:r>
      <w:r w:rsidR="422C130D" w:rsidRPr="00EE243C">
        <w:t xml:space="preserve"> </w:t>
      </w:r>
      <w:r w:rsidR="004235B6">
        <w:t>F</w:t>
      </w:r>
      <w:r w:rsidR="422C130D" w:rsidRPr="00EE243C">
        <w:t xml:space="preserve">lagship is intended to provide an overarching framework that will drive and support sustained engagement beyond funding cycles, connecting critical resources and capabilities to address entrenched inequality. </w:t>
      </w:r>
      <w:r w:rsidR="007A27CF" w:rsidRPr="00EE243C">
        <w:t>PWL is the anchor investment for the Gender Equality Flagship.</w:t>
      </w:r>
    </w:p>
    <w:p w14:paraId="28DC91C6" w14:textId="70F3A675" w:rsidR="007A27CF" w:rsidRPr="00EE243C" w:rsidRDefault="007A27CF" w:rsidP="2453DA12">
      <w:pPr>
        <w:pStyle w:val="ListBullet"/>
        <w:rPr>
          <w:rFonts w:ascii="Arial" w:eastAsia="Arial" w:hAnsi="Arial" w:cs="Arial"/>
        </w:rPr>
      </w:pPr>
      <w:r w:rsidRPr="00EE243C">
        <w:t xml:space="preserve">The creation and positioning of the Principal Strategic Lead - Pacific Women and Girls within SPC's Senior Leadership Team has elevated gender equality work across the organisation and across the region. </w:t>
      </w:r>
      <w:r w:rsidR="00EC1D74" w:rsidRPr="00EE243C">
        <w:t>Th</w:t>
      </w:r>
      <w:r w:rsidR="00EC1D74">
        <w:t>e</w:t>
      </w:r>
      <w:r w:rsidR="00EC1D74" w:rsidRPr="00EE243C">
        <w:t xml:space="preserve"> </w:t>
      </w:r>
      <w:r w:rsidR="422C130D" w:rsidRPr="00EE243C">
        <w:t>positioning and influence of this role has been strengthened as of October 2024 to encompass strategic oversight of PWL. The</w:t>
      </w:r>
      <w:r w:rsidRPr="00EE243C">
        <w:t xml:space="preserve"> position demonstrates Pacific leadership in action </w:t>
      </w:r>
      <w:r w:rsidR="0EC15437" w:rsidRPr="00EE243C">
        <w:t>– setting the foundations for</w:t>
      </w:r>
      <w:r w:rsidRPr="00EE243C">
        <w:t xml:space="preserve"> transformational change, </w:t>
      </w:r>
      <w:r w:rsidR="422C130D" w:rsidRPr="00EE243C">
        <w:t xml:space="preserve">increasingly </w:t>
      </w:r>
      <w:r w:rsidRPr="00EE243C">
        <w:t xml:space="preserve">providing strategic oversight of </w:t>
      </w:r>
      <w:r w:rsidR="422C130D" w:rsidRPr="00EE243C">
        <w:t>gender equality efforts at SPC</w:t>
      </w:r>
      <w:r w:rsidRPr="00EE243C">
        <w:t xml:space="preserve"> and ensuring gender equality is elevated as a priority both within and external to SPC.</w:t>
      </w:r>
      <w:r w:rsidR="002760DB" w:rsidRPr="002760DB">
        <w:rPr>
          <w:noProof/>
        </w:rPr>
        <w:t xml:space="preserve"> </w:t>
      </w:r>
    </w:p>
    <w:p w14:paraId="683D7E51" w14:textId="6ADB644B" w:rsidR="00A87B0D" w:rsidRDefault="00A87B0D" w:rsidP="00060650">
      <w:pPr>
        <w:rPr>
          <w:rFonts w:ascii="Arial" w:eastAsia="Arial" w:hAnsi="Arial" w:cs="Arial"/>
        </w:rPr>
      </w:pPr>
      <w:r>
        <w:rPr>
          <w:rFonts w:ascii="Arial" w:eastAsia="Arial" w:hAnsi="Arial" w:cs="Arial"/>
          <w:noProof/>
        </w:rPr>
        <w:drawing>
          <wp:inline distT="0" distB="0" distL="0" distR="0" wp14:anchorId="7DA37D70" wp14:editId="52840242">
            <wp:extent cx="6179820" cy="2148066"/>
            <wp:effectExtent l="0" t="0" r="0" b="5080"/>
            <wp:docPr id="272699264" name="Picture 1" descr="Quote: “If you house big grant making in regional organisations – it has to not be run like a managing contractor. Once you’re in a CROP – you contribute and acknowledge that you are part of the regional priorities.” – MTR interview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99264" name="Picture 1" descr="Quote: “If you house big grant making in regional organisations – it has to not be run like a managing contractor. Once you’re in a CROP – you contribute and acknowledge that you are part of the regional priorities.” – MTR interviewee"/>
                    <pic:cNvPicPr/>
                  </pic:nvPicPr>
                  <pic:blipFill rotWithShape="1">
                    <a:blip r:embed="rId17" cstate="print">
                      <a:extLst>
                        <a:ext uri="{28A0092B-C50C-407E-A947-70E740481C1C}">
                          <a14:useLocalDpi xmlns:a14="http://schemas.microsoft.com/office/drawing/2010/main"/>
                        </a:ext>
                      </a:extLst>
                    </a:blip>
                    <a:srcRect/>
                    <a:stretch>
                      <a:fillRect/>
                    </a:stretch>
                  </pic:blipFill>
                  <pic:spPr bwMode="auto">
                    <a:xfrm>
                      <a:off x="0" y="0"/>
                      <a:ext cx="6211177" cy="2158966"/>
                    </a:xfrm>
                    <a:prstGeom prst="rect">
                      <a:avLst/>
                    </a:prstGeom>
                    <a:ln>
                      <a:noFill/>
                    </a:ln>
                    <a:extLst>
                      <a:ext uri="{53640926-AAD7-44D8-BBD7-CCE9431645EC}">
                        <a14:shadowObscured xmlns:a14="http://schemas.microsoft.com/office/drawing/2010/main"/>
                      </a:ext>
                    </a:extLst>
                  </pic:spPr>
                </pic:pic>
              </a:graphicData>
            </a:graphic>
          </wp:inline>
        </w:drawing>
      </w:r>
    </w:p>
    <w:p w14:paraId="1979FA83" w14:textId="5754B8AC" w:rsidR="5184E163" w:rsidRDefault="50128DA2" w:rsidP="00060650">
      <w:pPr>
        <w:rPr>
          <w:rFonts w:ascii="Arial" w:eastAsia="Arial" w:hAnsi="Arial" w:cs="Arial"/>
        </w:rPr>
      </w:pPr>
      <w:r w:rsidRPr="00EE243C">
        <w:rPr>
          <w:rFonts w:ascii="Arial" w:eastAsia="Arial" w:hAnsi="Arial" w:cs="Arial"/>
        </w:rPr>
        <w:t xml:space="preserve">While the shift from a managing contractor modality to SPC was a significant step towards enabling greater Pacific </w:t>
      </w:r>
      <w:r w:rsidR="00C30F05">
        <w:rPr>
          <w:rFonts w:ascii="Arial" w:eastAsia="Arial" w:hAnsi="Arial" w:cs="Arial"/>
        </w:rPr>
        <w:t>o</w:t>
      </w:r>
      <w:r w:rsidRPr="00EE243C">
        <w:rPr>
          <w:rFonts w:ascii="Arial" w:eastAsia="Arial" w:hAnsi="Arial" w:cs="Arial"/>
        </w:rPr>
        <w:t xml:space="preserve">wnership, there is a sense that this is an area that still requires careful thinking and work. Many interviews within SPC and outside SPC reflected perceptions that Pacific </w:t>
      </w:r>
      <w:r w:rsidR="00C30F05">
        <w:rPr>
          <w:rFonts w:ascii="Arial" w:eastAsia="Arial" w:hAnsi="Arial" w:cs="Arial"/>
        </w:rPr>
        <w:t>o</w:t>
      </w:r>
      <w:r w:rsidRPr="00EE243C">
        <w:rPr>
          <w:rFonts w:ascii="Arial" w:eastAsia="Arial" w:hAnsi="Arial" w:cs="Arial"/>
        </w:rPr>
        <w:t xml:space="preserve">wnership has yet to be fully realised. These sentiments reflect an unintended outcome for PWL, with stakeholders wanting to explore further the contours of what Pacific </w:t>
      </w:r>
      <w:r w:rsidR="00C30F05">
        <w:rPr>
          <w:rFonts w:ascii="Arial" w:eastAsia="Arial" w:hAnsi="Arial" w:cs="Arial"/>
        </w:rPr>
        <w:t>o</w:t>
      </w:r>
      <w:r w:rsidRPr="00EE243C">
        <w:rPr>
          <w:rFonts w:ascii="Arial" w:eastAsia="Arial" w:hAnsi="Arial" w:cs="Arial"/>
        </w:rPr>
        <w:t xml:space="preserve">wnership means and how it is enacted through the program. </w:t>
      </w:r>
    </w:p>
    <w:p w14:paraId="7B994B8C" w14:textId="77777777" w:rsidR="00357BD1" w:rsidRPr="00C16674" w:rsidRDefault="00357BD1" w:rsidP="00384259">
      <w:pPr>
        <w:pStyle w:val="Orangeblocktext"/>
        <w:rPr>
          <w:b/>
          <w:bCs/>
        </w:rPr>
      </w:pPr>
      <w:r w:rsidRPr="00C16674">
        <w:rPr>
          <w:b/>
          <w:bCs/>
        </w:rPr>
        <w:t>Spotlight: Transition to SPC as a key implementing partner</w:t>
      </w:r>
    </w:p>
    <w:p w14:paraId="2BBB1F37" w14:textId="77777777" w:rsidR="00357BD1" w:rsidRPr="00B30F66" w:rsidRDefault="00357BD1" w:rsidP="00384259">
      <w:pPr>
        <w:pStyle w:val="Orangeblocktext"/>
      </w:pPr>
      <w:r w:rsidRPr="00C963FB">
        <w:t>The transition of Pacific Women Lead into the Secretariat of the Pacific Community involved significant complexity, transferring an established team, novated partnerships, and substantial resources amidst post-COVID adjustments and SPC's internal organisational changes. The design phase failed to adequately consider fundamental differences between a managing contractor and intergovernmental organisation, necessitating substantial two-way learning and operational adjustments, particularly in grants management. This created extended timeframes while SPC balanced "external pressures" and "high expectations" to become immediately operational within systems designed to reduce risk and protect member states' investments, which resulted in reduced flexibility and longer implementation timelines.</w:t>
      </w:r>
    </w:p>
    <w:p w14:paraId="2C90042F" w14:textId="77777777" w:rsidR="00357BD1" w:rsidRPr="00B30F66" w:rsidRDefault="00357BD1" w:rsidP="00384259">
      <w:pPr>
        <w:pStyle w:val="Orangeblocktext"/>
      </w:pPr>
      <w:r w:rsidRPr="00C963FB">
        <w:lastRenderedPageBreak/>
        <w:t>This transition demanded fundamental shifts in mental models and working approaches for all parties involved, with the transitioning team needing to move away from a managing contractor mindset while DFAT adapted to working with an intergovernmental organisation. The experience highlights the importance of viewing the 2022-2026 funding period as a formative learning phase, recognising that institutional change requires ongoing adaptation, relationship-building, and patience. While initial challenges created significant implementation barriers, careful attention to team composition, relationship building, and strengthening internal systems has established a foundation for Pacific-owned gender equality efforts.</w:t>
      </w:r>
    </w:p>
    <w:p w14:paraId="06572547" w14:textId="693BC0E8" w:rsidR="00DC71BC" w:rsidRPr="00CB7240" w:rsidRDefault="00DC71BC" w:rsidP="00C963FB">
      <w:pPr>
        <w:spacing w:after="120"/>
        <w:rPr>
          <w:rStyle w:val="Strong"/>
          <w:rFonts w:asciiTheme="majorHAnsi" w:hAnsiTheme="majorHAnsi"/>
          <w:b w:val="0"/>
          <w:bCs w:val="0"/>
          <w:color w:val="984C00" w:themeColor="accent1" w:themeShade="BF"/>
          <w:sz w:val="22"/>
          <w:szCs w:val="24"/>
        </w:rPr>
      </w:pPr>
      <w:r w:rsidRPr="00CB7240">
        <w:rPr>
          <w:rStyle w:val="Strong"/>
          <w:rFonts w:asciiTheme="majorHAnsi" w:hAnsiTheme="majorHAnsi"/>
          <w:b w:val="0"/>
          <w:bCs w:val="0"/>
          <w:color w:val="984C00" w:themeColor="accent1" w:themeShade="BF"/>
          <w:sz w:val="22"/>
          <w:szCs w:val="24"/>
        </w:rPr>
        <w:t xml:space="preserve">PWLES </w:t>
      </w:r>
    </w:p>
    <w:p w14:paraId="07F07326" w14:textId="77777777" w:rsidR="005760FB" w:rsidRDefault="7074F267" w:rsidP="5AD7C318">
      <w:pPr>
        <w:rPr>
          <w:rFonts w:ascii="Arial" w:eastAsia="Arial" w:hAnsi="Arial" w:cs="Arial"/>
        </w:rPr>
      </w:pPr>
      <w:r w:rsidRPr="5AD7C318">
        <w:rPr>
          <w:rFonts w:ascii="Arial" w:eastAsia="Arial" w:hAnsi="Arial" w:cs="Arial"/>
          <w:szCs w:val="21"/>
        </w:rPr>
        <w:t xml:space="preserve">PWLES represents a nuanced approach to addressing the complex challenges of development work in the Pacific, particularly around principles of Pacific ownership. The </w:t>
      </w:r>
      <w:bookmarkStart w:id="23" w:name="_Hlk200629896"/>
      <w:r w:rsidRPr="5AD7C318">
        <w:rPr>
          <w:rFonts w:ascii="Arial" w:eastAsia="Arial" w:hAnsi="Arial" w:cs="Arial"/>
          <w:szCs w:val="21"/>
        </w:rPr>
        <w:t xml:space="preserve">PWL Formative Situational Analysis </w:t>
      </w:r>
      <w:bookmarkEnd w:id="23"/>
      <w:r w:rsidRPr="5AD7C318">
        <w:rPr>
          <w:rFonts w:ascii="Arial" w:eastAsia="Arial" w:hAnsi="Arial" w:cs="Arial"/>
          <w:szCs w:val="21"/>
        </w:rPr>
        <w:t>highlighted critical tensions in donor-led development, noting that local participants often feel marginalised, disconnected from their original motivations, and essentially pushed into implementing foreign agendas while being left with no voice in their own countries.</w:t>
      </w:r>
      <w:r w:rsidR="007052F9">
        <w:rPr>
          <w:rFonts w:ascii="Arial" w:eastAsia="Arial" w:hAnsi="Arial" w:cs="Arial"/>
          <w:szCs w:val="21"/>
        </w:rPr>
        <w:t xml:space="preserve"> </w:t>
      </w:r>
      <w:r w:rsidRPr="09641484">
        <w:rPr>
          <w:rFonts w:ascii="Arial" w:eastAsia="Arial" w:hAnsi="Arial" w:cs="Arial"/>
        </w:rPr>
        <w:t xml:space="preserve">What distinguishes PWLES is its intentional effort to break from these traditional patterns. </w:t>
      </w:r>
    </w:p>
    <w:p w14:paraId="170EC337" w14:textId="2E7E2490" w:rsidR="7074F267" w:rsidRDefault="7074F267" w:rsidP="5AD7C318">
      <w:pPr>
        <w:rPr>
          <w:rFonts w:ascii="Arial" w:eastAsia="Arial" w:hAnsi="Arial" w:cs="Arial"/>
        </w:rPr>
      </w:pPr>
      <w:r w:rsidRPr="09641484">
        <w:rPr>
          <w:rFonts w:ascii="Arial" w:eastAsia="Arial" w:hAnsi="Arial" w:cs="Arial"/>
        </w:rPr>
        <w:t>The program has been widely recognised by stakeholders for moving beyond mere development buzzwords like "locally led" and actively working to create meaningful Pacific-led partnerships. This is largely attributed to the team's leadership, particularly the Team Leader who has strong, trusted relationships across the region, the strong pairing of Pacific and non-Pacific MEL professionals and a principled approach across the team that prioritises nurturing relationships</w:t>
      </w:r>
      <w:r w:rsidR="159FD0D3" w:rsidRPr="09641484">
        <w:rPr>
          <w:rFonts w:ascii="Arial" w:eastAsia="Arial" w:hAnsi="Arial" w:cs="Arial"/>
        </w:rPr>
        <w:t xml:space="preserve"> </w:t>
      </w:r>
      <w:r w:rsidR="159FD0D3" w:rsidRPr="3D26DDFD">
        <w:rPr>
          <w:rFonts w:ascii="Arial" w:eastAsia="Arial" w:hAnsi="Arial" w:cs="Arial"/>
        </w:rPr>
        <w:t>and amplifying Pacific voices and priorities</w:t>
      </w:r>
      <w:r w:rsidRPr="3D26DDFD">
        <w:rPr>
          <w:rFonts w:ascii="Arial" w:eastAsia="Arial" w:hAnsi="Arial" w:cs="Arial"/>
        </w:rPr>
        <w:t xml:space="preserve">. </w:t>
      </w:r>
    </w:p>
    <w:p w14:paraId="6BAD25D7" w14:textId="293BE2EA" w:rsidR="00AF400C" w:rsidRDefault="00AF400C" w:rsidP="5AD7C318">
      <w:pPr>
        <w:rPr>
          <w:rFonts w:ascii="Arial" w:eastAsia="Arial" w:hAnsi="Arial" w:cs="Arial"/>
        </w:rPr>
      </w:pPr>
      <w:r>
        <w:rPr>
          <w:rFonts w:ascii="Arial" w:eastAsia="Arial" w:hAnsi="Arial" w:cs="Arial"/>
          <w:noProof/>
        </w:rPr>
        <w:drawing>
          <wp:inline distT="0" distB="0" distL="0" distR="0" wp14:anchorId="797D04FE" wp14:editId="2D578FDE">
            <wp:extent cx="6134100" cy="1977770"/>
            <wp:effectExtent l="0" t="0" r="0" b="3810"/>
            <wp:docPr id="69163853" name="Picture 4" descr="Quote: &quot;They [DFAT GEDSI branch] are total allies on our side, provide us with information, there is trust in the relationship.” - MTR interview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3853" name="Picture 4" descr="Quote: &quot;They [DFAT GEDSI branch] are total allies on our side, provide us with information, there is trust in the relationship.” - MTR interviewee"/>
                    <pic:cNvPicPr/>
                  </pic:nvPicPr>
                  <pic:blipFill rotWithShape="1">
                    <a:blip r:embed="rId18" cstate="print">
                      <a:extLst>
                        <a:ext uri="{28A0092B-C50C-407E-A947-70E740481C1C}">
                          <a14:useLocalDpi xmlns:a14="http://schemas.microsoft.com/office/drawing/2010/main"/>
                        </a:ext>
                      </a:extLst>
                    </a:blip>
                    <a:srcRect/>
                    <a:stretch>
                      <a:fillRect/>
                    </a:stretch>
                  </pic:blipFill>
                  <pic:spPr bwMode="auto">
                    <a:xfrm>
                      <a:off x="0" y="0"/>
                      <a:ext cx="6149325" cy="1982679"/>
                    </a:xfrm>
                    <a:prstGeom prst="rect">
                      <a:avLst/>
                    </a:prstGeom>
                    <a:ln>
                      <a:noFill/>
                    </a:ln>
                    <a:extLst>
                      <a:ext uri="{53640926-AAD7-44D8-BBD7-CCE9431645EC}">
                        <a14:shadowObscured xmlns:a14="http://schemas.microsoft.com/office/drawing/2010/main"/>
                      </a:ext>
                    </a:extLst>
                  </pic:spPr>
                </pic:pic>
              </a:graphicData>
            </a:graphic>
          </wp:inline>
        </w:drawing>
      </w:r>
    </w:p>
    <w:p w14:paraId="56B9A8F1" w14:textId="6C432431" w:rsidR="7074F267" w:rsidRPr="009963D8" w:rsidRDefault="7074F267" w:rsidP="5AD7C318">
      <w:pPr>
        <w:rPr>
          <w:rFonts w:ascii="Arial" w:eastAsia="Arial" w:hAnsi="Arial" w:cs="Arial"/>
        </w:rPr>
      </w:pPr>
      <w:r w:rsidRPr="009963D8">
        <w:rPr>
          <w:rFonts w:ascii="Arial" w:eastAsia="Arial" w:hAnsi="Arial" w:cs="Arial"/>
        </w:rPr>
        <w:t xml:space="preserve">PWLES’ link to a </w:t>
      </w:r>
      <w:r w:rsidR="5495D579" w:rsidRPr="009963D8">
        <w:rPr>
          <w:rFonts w:ascii="Arial" w:eastAsia="Arial" w:hAnsi="Arial" w:cs="Arial"/>
        </w:rPr>
        <w:t>managing contractor</w:t>
      </w:r>
      <w:r w:rsidRPr="009963D8">
        <w:rPr>
          <w:rFonts w:ascii="Arial" w:eastAsia="Arial" w:hAnsi="Arial" w:cs="Arial"/>
        </w:rPr>
        <w:t xml:space="preserve"> has supported efficient workstreams, but it’s arguably their capabilities and strong local relationships that have contributed to high degrees of effectiveness and trust across partners. Unlike many development initiatives that impose dominant external worldviews, PWLES has managed to strike a</w:t>
      </w:r>
      <w:r w:rsidR="137634FA" w:rsidRPr="009963D8">
        <w:rPr>
          <w:rFonts w:ascii="Arial" w:eastAsia="Arial" w:hAnsi="Arial" w:cs="Arial"/>
        </w:rPr>
        <w:t xml:space="preserve">n important </w:t>
      </w:r>
      <w:r w:rsidRPr="009963D8">
        <w:rPr>
          <w:rFonts w:ascii="Arial" w:eastAsia="Arial" w:hAnsi="Arial" w:cs="Arial"/>
        </w:rPr>
        <w:t xml:space="preserve">balance - working collaboratively with DFAT while simultaneously amplifying and prioritising Pacific-led principles. A poignant </w:t>
      </w:r>
      <w:r w:rsidR="009963D8">
        <w:rPr>
          <w:rFonts w:ascii="Arial" w:eastAsia="Arial" w:hAnsi="Arial" w:cs="Arial"/>
        </w:rPr>
        <w:t>sentiment</w:t>
      </w:r>
      <w:r w:rsidRPr="009963D8">
        <w:rPr>
          <w:rFonts w:ascii="Arial" w:eastAsia="Arial" w:hAnsi="Arial" w:cs="Arial"/>
        </w:rPr>
        <w:t xml:space="preserve"> from the </w:t>
      </w:r>
      <w:r w:rsidR="00067AC9" w:rsidRPr="009963D8">
        <w:rPr>
          <w:rFonts w:ascii="Arial" w:eastAsia="Arial" w:hAnsi="Arial" w:cs="Arial"/>
        </w:rPr>
        <w:t>PWL Formative Situational Analysis</w:t>
      </w:r>
      <w:r w:rsidRPr="009963D8">
        <w:rPr>
          <w:rFonts w:ascii="Arial" w:eastAsia="Arial" w:hAnsi="Arial" w:cs="Arial"/>
        </w:rPr>
        <w:t xml:space="preserve"> captures the core challenge: true structural change requires genuinely accepting that Pacific worldviews have equal value, not just paying lip service to local ownership. In this context, PWLES emerges as a promising model that actively challenges the traditional power dynamics in international development work</w:t>
      </w:r>
      <w:r w:rsidR="33CDBE7A" w:rsidRPr="009963D8">
        <w:rPr>
          <w:rFonts w:ascii="Arial" w:eastAsia="Arial" w:hAnsi="Arial" w:cs="Arial"/>
        </w:rPr>
        <w:t xml:space="preserve">, importantly enabled by </w:t>
      </w:r>
      <w:r w:rsidR="1967D5A3" w:rsidRPr="009963D8">
        <w:rPr>
          <w:rFonts w:ascii="Arial" w:eastAsia="Arial" w:hAnsi="Arial" w:cs="Arial"/>
        </w:rPr>
        <w:t xml:space="preserve">the managing contractor </w:t>
      </w:r>
      <w:r w:rsidR="33CDBE7A" w:rsidRPr="009963D8">
        <w:rPr>
          <w:rFonts w:ascii="Arial" w:eastAsia="Arial" w:hAnsi="Arial" w:cs="Arial"/>
        </w:rPr>
        <w:t>DT Global and DFAT</w:t>
      </w:r>
      <w:r w:rsidRPr="009963D8">
        <w:rPr>
          <w:rFonts w:ascii="Arial" w:eastAsia="Arial" w:hAnsi="Arial" w:cs="Arial"/>
        </w:rPr>
        <w:t xml:space="preserve">. </w:t>
      </w:r>
    </w:p>
    <w:p w14:paraId="398D2723" w14:textId="18BC0AEA" w:rsidR="007A27CF" w:rsidRPr="00CB7240" w:rsidRDefault="00311C2E" w:rsidP="00C963FB">
      <w:pPr>
        <w:spacing w:after="120"/>
        <w:rPr>
          <w:rFonts w:asciiTheme="majorHAnsi" w:hAnsiTheme="majorHAnsi"/>
          <w:color w:val="984C00" w:themeColor="accent1" w:themeShade="BF"/>
          <w:sz w:val="22"/>
          <w:szCs w:val="24"/>
        </w:rPr>
      </w:pPr>
      <w:r w:rsidRPr="00CB7240">
        <w:rPr>
          <w:rFonts w:asciiTheme="majorHAnsi" w:hAnsiTheme="majorHAnsi"/>
          <w:color w:val="984C00" w:themeColor="accent1" w:themeShade="BF"/>
          <w:sz w:val="22"/>
          <w:szCs w:val="24"/>
        </w:rPr>
        <w:t>PWL Governance Board</w:t>
      </w:r>
    </w:p>
    <w:p w14:paraId="0026984E" w14:textId="31B7FDF2" w:rsidR="00C47A25" w:rsidRDefault="00DE0C05" w:rsidP="00DE0C05">
      <w:r w:rsidRPr="00DE0C05">
        <w:t xml:space="preserve">The PWL Governance Board demonstrates strong alignment with Pacific-led programming principles in its design but faces significant implementation challenges that limit </w:t>
      </w:r>
      <w:r>
        <w:t>implementation in line with these principles</w:t>
      </w:r>
      <w:r w:rsidRPr="00DE0C05">
        <w:t xml:space="preserve">. The Board represents a deliberate shift from the previous program's advisory-only model to one intended to enhance Pacific ownership through meaningful decision-making authority. </w:t>
      </w:r>
    </w:p>
    <w:p w14:paraId="69B92AB3" w14:textId="6DCD6F68" w:rsidR="0074586A" w:rsidRDefault="0074586A" w:rsidP="00DE0C05">
      <w:r>
        <w:rPr>
          <w:noProof/>
        </w:rPr>
        <w:lastRenderedPageBreak/>
        <w:drawing>
          <wp:inline distT="0" distB="0" distL="0" distR="0" wp14:anchorId="7D37D1C1" wp14:editId="13371516">
            <wp:extent cx="6050280" cy="2063328"/>
            <wp:effectExtent l="0" t="0" r="7620" b="0"/>
            <wp:docPr id="1153640798" name="Picture 2" descr="Quote: “When we talk as a Board, we have the conversations as a diverse group with different views.” – MTR interview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40798" name="Picture 2" descr="Quote: “When we talk as a Board, we have the conversations as a diverse group with different views.” – MTR interviewee"/>
                    <pic:cNvPicPr/>
                  </pic:nvPicPr>
                  <pic:blipFill rotWithShape="1">
                    <a:blip r:embed="rId19" cstate="print">
                      <a:extLst>
                        <a:ext uri="{28A0092B-C50C-407E-A947-70E740481C1C}">
                          <a14:useLocalDpi xmlns:a14="http://schemas.microsoft.com/office/drawing/2010/main"/>
                        </a:ext>
                      </a:extLst>
                    </a:blip>
                    <a:srcRect/>
                    <a:stretch>
                      <a:fillRect/>
                    </a:stretch>
                  </pic:blipFill>
                  <pic:spPr bwMode="auto">
                    <a:xfrm>
                      <a:off x="0" y="0"/>
                      <a:ext cx="6084542" cy="2075012"/>
                    </a:xfrm>
                    <a:prstGeom prst="rect">
                      <a:avLst/>
                    </a:prstGeom>
                    <a:ln>
                      <a:noFill/>
                    </a:ln>
                    <a:extLst>
                      <a:ext uri="{53640926-AAD7-44D8-BBD7-CCE9431645EC}">
                        <a14:shadowObscured xmlns:a14="http://schemas.microsoft.com/office/drawing/2010/main"/>
                      </a:ext>
                    </a:extLst>
                  </pic:spPr>
                </pic:pic>
              </a:graphicData>
            </a:graphic>
          </wp:inline>
        </w:drawing>
      </w:r>
    </w:p>
    <w:p w14:paraId="7F2C7B24" w14:textId="77777777" w:rsidR="005760FB" w:rsidRDefault="00DE0C05" w:rsidP="00DE0C05">
      <w:pPr>
        <w:rPr>
          <w:rFonts w:ascii="Arial" w:eastAsia="Arial" w:hAnsi="Arial" w:cs="Arial"/>
          <w:szCs w:val="21"/>
        </w:rPr>
      </w:pPr>
      <w:r w:rsidRPr="00DE0C05">
        <w:t>Its composition strongly supports Pacific ownership with 11 highly credentialed Pacific practitioners representing diverse sub-regions, countries, and communities, including disability, LGBTQI</w:t>
      </w:r>
      <w:r w:rsidR="00057807">
        <w:t>A+</w:t>
      </w:r>
      <w:r w:rsidRPr="00DE0C05">
        <w:t>, youth, and North Pacific perspectives. This diversity has successfully brought attention to historically overlooked issues and led to dedicated Youth and Disability Working Groups, while enabling nuanced discussions that acknowledge the varied gender equality contexts across the Pacific.</w:t>
      </w:r>
      <w:r w:rsidRPr="00DE0C05">
        <w:rPr>
          <w:rFonts w:ascii="Arial" w:eastAsia="Arial" w:hAnsi="Arial" w:cs="Arial"/>
          <w:szCs w:val="21"/>
        </w:rPr>
        <w:t xml:space="preserve"> </w:t>
      </w:r>
    </w:p>
    <w:p w14:paraId="47190D92" w14:textId="589249F7" w:rsidR="00DE0C05" w:rsidRPr="00EE243C" w:rsidRDefault="00DE0C05" w:rsidP="00DE0C05">
      <w:r w:rsidRPr="00EE243C">
        <w:rPr>
          <w:rFonts w:ascii="Arial" w:eastAsia="Arial" w:hAnsi="Arial" w:cs="Arial"/>
          <w:szCs w:val="21"/>
        </w:rPr>
        <w:t>Board members recognise that their diversity is critical to providing nuanced advisory support to the program as “</w:t>
      </w:r>
      <w:r w:rsidRPr="005E64ED">
        <w:rPr>
          <w:rFonts w:ascii="Arial" w:eastAsia="Arial" w:hAnsi="Arial" w:cs="Arial"/>
          <w:i/>
          <w:iCs/>
          <w:szCs w:val="21"/>
        </w:rPr>
        <w:t>s</w:t>
      </w:r>
      <w:r w:rsidRPr="00EE243C">
        <w:rPr>
          <w:rFonts w:ascii="Arial" w:eastAsia="Arial" w:hAnsi="Arial" w:cs="Arial"/>
          <w:i/>
          <w:iCs/>
          <w:szCs w:val="21"/>
        </w:rPr>
        <w:t>tandard gender equality work doesn’t apply universally across the Pacific.”</w:t>
      </w:r>
      <w:r w:rsidRPr="00EE243C">
        <w:rPr>
          <w:rFonts w:ascii="Arial" w:eastAsia="Arial" w:hAnsi="Arial" w:cs="Arial"/>
          <w:szCs w:val="21"/>
        </w:rPr>
        <w:t xml:space="preserve"> </w:t>
      </w:r>
    </w:p>
    <w:p w14:paraId="1097D191" w14:textId="05CF7735" w:rsidR="00081193" w:rsidRPr="00081193" w:rsidRDefault="00C220F1" w:rsidP="00081193">
      <w:r w:rsidRPr="00C220F1">
        <w:rPr>
          <w:noProof/>
        </w:rPr>
        <w:t xml:space="preserve">Despite these design strengths, the intention for the Board to have decision-making authority over key program components proved unrealistic. Existing institutional governance arrangements made this level of oversight inappropriate and unfeasible. In practice, the Board’s role has been limited to managing discretionary funds and providing advisory input to DFAT and </w:t>
      </w:r>
      <w:r>
        <w:rPr>
          <w:noProof/>
        </w:rPr>
        <w:t xml:space="preserve">some </w:t>
      </w:r>
      <w:r w:rsidRPr="00C220F1">
        <w:rPr>
          <w:noProof/>
        </w:rPr>
        <w:t>PWL partners</w:t>
      </w:r>
      <w:r>
        <w:rPr>
          <w:noProof/>
        </w:rPr>
        <w:t xml:space="preserve">. </w:t>
      </w:r>
      <w:r w:rsidR="00081193" w:rsidRPr="00081193">
        <w:t xml:space="preserve">Operational challenges further constrain its effectiveness, including poor attendance at bi-annual meetings, problematic power dynamics with numerous observers from SPC and DFAT sometimes outnumbering Board members, members feeling constrained in speaking freely due to funding dependencies, and insufficient </w:t>
      </w:r>
      <w:r w:rsidR="00A54E0C" w:rsidRPr="00081193">
        <w:t>understanding</w:t>
      </w:r>
      <w:r w:rsidR="00081193" w:rsidRPr="00081193">
        <w:t xml:space="preserve"> of the program's structure.</w:t>
      </w:r>
    </w:p>
    <w:p w14:paraId="59D4650B" w14:textId="316378AB" w:rsidR="007A27CF" w:rsidRDefault="00081193" w:rsidP="72019781">
      <w:pPr>
        <w:rPr>
          <w:noProof/>
        </w:rPr>
      </w:pPr>
      <w:r w:rsidRPr="00081193">
        <w:t>While the Board represents an important step toward Pacific ownership through its diverse composition and ambitious design, its actual ability to exercise meaningful ownership remains limited by structural, operational, and capacity constraints. Addressing these issues—particularly meeting attendance and power dynamics—presents a key opportunity to strengthen Pacific-led principles by creating an environment where Pacific voices can more confidently shape program direction.</w:t>
      </w:r>
      <w:r w:rsidR="00336E72" w:rsidRPr="00336E72">
        <w:rPr>
          <w:noProof/>
        </w:rPr>
        <w:t xml:space="preserve"> </w:t>
      </w:r>
    </w:p>
    <w:p w14:paraId="79675161" w14:textId="0E77CBCE" w:rsidR="003F33B4" w:rsidRPr="00EE243C" w:rsidRDefault="003F33B4" w:rsidP="72019781">
      <w:r>
        <w:rPr>
          <w:noProof/>
        </w:rPr>
        <w:drawing>
          <wp:inline distT="0" distB="0" distL="0" distR="0" wp14:anchorId="24D26685" wp14:editId="4330B3E0">
            <wp:extent cx="6027420" cy="2044637"/>
            <wp:effectExtent l="0" t="0" r="0" b="0"/>
            <wp:docPr id="1607931870" name="Picture 3" descr="Quote: &quot;The Board is really an opportunity to promote Pacific ownership, but we just haven’t seen this happen” - MTR interview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31870" name="Picture 3" descr="Quote: &quot;The Board is really an opportunity to promote Pacific ownership, but we just haven’t seen this happen” - MTR interviewee"/>
                    <pic:cNvPicPr/>
                  </pic:nvPicPr>
                  <pic:blipFill rotWithShape="1">
                    <a:blip r:embed="rId20" cstate="print">
                      <a:extLst>
                        <a:ext uri="{28A0092B-C50C-407E-A947-70E740481C1C}">
                          <a14:useLocalDpi xmlns:a14="http://schemas.microsoft.com/office/drawing/2010/main"/>
                        </a:ext>
                      </a:extLst>
                    </a:blip>
                    <a:srcRect/>
                    <a:stretch>
                      <a:fillRect/>
                    </a:stretch>
                  </pic:blipFill>
                  <pic:spPr bwMode="auto">
                    <a:xfrm>
                      <a:off x="0" y="0"/>
                      <a:ext cx="6046118" cy="2050980"/>
                    </a:xfrm>
                    <a:prstGeom prst="rect">
                      <a:avLst/>
                    </a:prstGeom>
                    <a:ln>
                      <a:noFill/>
                    </a:ln>
                    <a:extLst>
                      <a:ext uri="{53640926-AAD7-44D8-BBD7-CCE9431645EC}">
                        <a14:shadowObscured xmlns:a14="http://schemas.microsoft.com/office/drawing/2010/main"/>
                      </a:ext>
                    </a:extLst>
                  </pic:spPr>
                </pic:pic>
              </a:graphicData>
            </a:graphic>
          </wp:inline>
        </w:drawing>
      </w:r>
    </w:p>
    <w:p w14:paraId="3596E335" w14:textId="5AC672F8" w:rsidR="007A27CF" w:rsidRPr="00CB7240" w:rsidRDefault="00834395" w:rsidP="00C963FB">
      <w:pPr>
        <w:spacing w:after="120"/>
        <w:rPr>
          <w:rFonts w:asciiTheme="majorHAnsi" w:hAnsiTheme="majorHAnsi"/>
          <w:color w:val="984C00" w:themeColor="accent1" w:themeShade="BF"/>
          <w:sz w:val="22"/>
          <w:szCs w:val="24"/>
        </w:rPr>
      </w:pPr>
      <w:r w:rsidRPr="00CB7240">
        <w:rPr>
          <w:rFonts w:asciiTheme="majorHAnsi" w:hAnsiTheme="majorHAnsi"/>
          <w:color w:val="984C00" w:themeColor="accent1" w:themeShade="BF"/>
          <w:sz w:val="22"/>
          <w:szCs w:val="24"/>
        </w:rPr>
        <w:t>Women’s Funds</w:t>
      </w:r>
    </w:p>
    <w:p w14:paraId="73896BA6" w14:textId="3BB379D2" w:rsidR="007A27CF" w:rsidRPr="00EE243C" w:rsidRDefault="214090B6" w:rsidP="3BBBFC65">
      <w:pPr>
        <w:rPr>
          <w:rFonts w:eastAsiaTheme="minorEastAsia"/>
          <w:szCs w:val="21"/>
        </w:rPr>
      </w:pPr>
      <w:r w:rsidRPr="3BBBFC65">
        <w:rPr>
          <w:rFonts w:ascii="Arial" w:eastAsia="Arial" w:hAnsi="Arial" w:cs="Arial"/>
        </w:rPr>
        <w:t xml:space="preserve">PWL’s design states that the </w:t>
      </w:r>
      <w:r w:rsidR="6A908948" w:rsidRPr="3BBBFC65">
        <w:rPr>
          <w:rFonts w:ascii="Arial" w:eastAsia="Arial" w:hAnsi="Arial" w:cs="Arial"/>
        </w:rPr>
        <w:t>Women’s Funds</w:t>
      </w:r>
      <w:r w:rsidR="0C1516B2" w:rsidRPr="3BBBFC65">
        <w:rPr>
          <w:rFonts w:ascii="Arial" w:eastAsia="Arial" w:hAnsi="Arial" w:cs="Arial"/>
        </w:rPr>
        <w:t xml:space="preserve"> </w:t>
      </w:r>
      <w:r w:rsidR="553174B8" w:rsidRPr="3BBBFC65">
        <w:rPr>
          <w:rFonts w:ascii="Arial" w:eastAsia="Arial" w:hAnsi="Arial" w:cs="Arial"/>
        </w:rPr>
        <w:t>are</w:t>
      </w:r>
      <w:r w:rsidRPr="3BBBFC65">
        <w:rPr>
          <w:rFonts w:ascii="Arial" w:eastAsia="Arial" w:hAnsi="Arial" w:cs="Arial"/>
        </w:rPr>
        <w:t xml:space="preserve"> </w:t>
      </w:r>
      <w:r w:rsidRPr="3BBBFC65">
        <w:rPr>
          <w:rFonts w:ascii="Arial" w:eastAsia="Arial" w:hAnsi="Arial" w:cs="Arial"/>
          <w:i/>
          <w:iCs/>
        </w:rPr>
        <w:t xml:space="preserve">“critical to enable Pacific women’s leadership and to deliver broad-reaching support to women and women’s organisations across the </w:t>
      </w:r>
      <w:r w:rsidR="0C1516B2" w:rsidRPr="3BBBFC65">
        <w:rPr>
          <w:rFonts w:ascii="Arial" w:eastAsia="Arial" w:hAnsi="Arial" w:cs="Arial"/>
          <w:i/>
          <w:iCs/>
        </w:rPr>
        <w:t>region’’</w:t>
      </w:r>
      <w:r w:rsidR="0C1516B2" w:rsidRPr="3BBBFC65">
        <w:rPr>
          <w:rFonts w:ascii="Arial" w:eastAsia="Arial" w:hAnsi="Arial" w:cs="Arial"/>
        </w:rPr>
        <w:t>.</w:t>
      </w:r>
      <w:r w:rsidRPr="3BBBFC65">
        <w:rPr>
          <w:rFonts w:ascii="Arial" w:eastAsia="Arial" w:hAnsi="Arial" w:cs="Arial"/>
        </w:rPr>
        <w:t xml:space="preserve"> </w:t>
      </w:r>
      <w:r w:rsidR="553174B8" w:rsidRPr="3BBBFC65">
        <w:rPr>
          <w:rFonts w:ascii="Arial" w:eastAsia="Arial" w:hAnsi="Arial" w:cs="Arial"/>
        </w:rPr>
        <w:t xml:space="preserve">It </w:t>
      </w:r>
      <w:r w:rsidRPr="3BBBFC65">
        <w:rPr>
          <w:rFonts w:ascii="Arial" w:eastAsia="Arial" w:hAnsi="Arial" w:cs="Arial"/>
        </w:rPr>
        <w:t>further emphasis</w:t>
      </w:r>
      <w:r w:rsidR="553174B8" w:rsidRPr="3BBBFC65">
        <w:rPr>
          <w:rFonts w:ascii="Arial" w:eastAsia="Arial" w:hAnsi="Arial" w:cs="Arial"/>
        </w:rPr>
        <w:t>ed</w:t>
      </w:r>
      <w:r w:rsidRPr="3BBBFC65">
        <w:rPr>
          <w:rFonts w:ascii="Arial" w:eastAsia="Arial" w:hAnsi="Arial" w:cs="Arial"/>
        </w:rPr>
        <w:t xml:space="preserve"> the importance of protecting the independence of the </w:t>
      </w:r>
      <w:r w:rsidR="6A908948" w:rsidRPr="3BBBFC65">
        <w:rPr>
          <w:rFonts w:ascii="Arial" w:eastAsia="Arial" w:hAnsi="Arial" w:cs="Arial"/>
        </w:rPr>
        <w:t>Women’s Funds</w:t>
      </w:r>
      <w:r w:rsidRPr="3BBBFC65">
        <w:rPr>
          <w:rFonts w:ascii="Arial" w:eastAsia="Arial" w:hAnsi="Arial" w:cs="Arial"/>
        </w:rPr>
        <w:t xml:space="preserve">, </w:t>
      </w:r>
      <w:r w:rsidRPr="3BBBFC65">
        <w:rPr>
          <w:rFonts w:ascii="Arial" w:eastAsia="Arial" w:hAnsi="Arial" w:cs="Arial"/>
          <w:i/>
          <w:iCs/>
        </w:rPr>
        <w:t xml:space="preserve">“for whom maintaining their own autonomy is </w:t>
      </w:r>
      <w:r w:rsidR="0C1516B2" w:rsidRPr="3BBBFC65">
        <w:rPr>
          <w:rFonts w:ascii="Arial" w:eastAsia="Arial" w:hAnsi="Arial" w:cs="Arial"/>
          <w:i/>
          <w:iCs/>
        </w:rPr>
        <w:t>critical’’</w:t>
      </w:r>
      <w:r w:rsidR="0C1516B2" w:rsidRPr="3BBBFC65">
        <w:rPr>
          <w:rFonts w:ascii="Arial" w:eastAsia="Arial" w:hAnsi="Arial" w:cs="Arial"/>
        </w:rPr>
        <w:t>.</w:t>
      </w:r>
      <w:r w:rsidRPr="3BBBFC65">
        <w:rPr>
          <w:rFonts w:ascii="Arial" w:eastAsia="Arial" w:hAnsi="Arial" w:cs="Arial"/>
        </w:rPr>
        <w:t xml:space="preserve"> </w:t>
      </w:r>
      <w:r w:rsidR="443751A3" w:rsidRPr="3BBBFC65">
        <w:rPr>
          <w:rFonts w:eastAsiaTheme="minorEastAsia"/>
          <w:szCs w:val="21"/>
        </w:rPr>
        <w:t xml:space="preserve">Support for Women’s Funds through AIR involves a </w:t>
      </w:r>
      <w:r w:rsidR="443751A3" w:rsidRPr="3BBBFC65">
        <w:rPr>
          <w:rFonts w:eastAsiaTheme="minorEastAsia"/>
          <w:szCs w:val="21"/>
        </w:rPr>
        <w:lastRenderedPageBreak/>
        <w:t>Partnering Agreement between DFAT and Women’s Funds governing ways of working and individual grant agreements are held directly between DFAT and each of the funds</w:t>
      </w:r>
      <w:r w:rsidR="0FCFCE1A" w:rsidRPr="3BBBFC65">
        <w:rPr>
          <w:rFonts w:eastAsiaTheme="minorEastAsia"/>
          <w:szCs w:val="21"/>
        </w:rPr>
        <w:t xml:space="preserve">: Urgent </w:t>
      </w:r>
      <w:r w:rsidR="0FCFCE1A" w:rsidRPr="3BBBFC65">
        <w:rPr>
          <w:rFonts w:ascii="Arial" w:eastAsia="Arial" w:hAnsi="Arial" w:cs="Arial"/>
        </w:rPr>
        <w:t xml:space="preserve">Action Fund (UAF) Asia &amp; Pacific, Women’s Fund Fiji (WFF); and the Pacific Feminist Fund (PFF). </w:t>
      </w:r>
    </w:p>
    <w:p w14:paraId="413F0DC3" w14:textId="37690698" w:rsidR="007A27CF" w:rsidRPr="006A1F39" w:rsidRDefault="00365160" w:rsidP="002F1A9D">
      <w:pPr>
        <w:keepLines/>
        <w:rPr>
          <w:rFonts w:cstheme="minorHAnsi"/>
        </w:rPr>
      </w:pPr>
      <w:r>
        <w:rPr>
          <w:rFonts w:cstheme="minorHAnsi"/>
        </w:rPr>
        <w:t>For</w:t>
      </w:r>
      <w:r w:rsidR="007A27CF" w:rsidRPr="008668C8">
        <w:rPr>
          <w:rFonts w:cstheme="minorHAnsi"/>
        </w:rPr>
        <w:t xml:space="preserve"> the most part, this autonomy has been maintained across the funds, and the </w:t>
      </w:r>
      <w:r w:rsidR="00834395">
        <w:rPr>
          <w:rFonts w:cstheme="minorHAnsi"/>
        </w:rPr>
        <w:t>Women’s Funds</w:t>
      </w:r>
      <w:r w:rsidR="68F93B36" w:rsidRPr="008668C8">
        <w:rPr>
          <w:rFonts w:cstheme="minorHAnsi"/>
        </w:rPr>
        <w:t xml:space="preserve"> </w:t>
      </w:r>
      <w:r w:rsidR="00B40536" w:rsidRPr="008668C8">
        <w:rPr>
          <w:rFonts w:cstheme="minorHAnsi"/>
        </w:rPr>
        <w:t>enjoy</w:t>
      </w:r>
      <w:r w:rsidR="00B40536">
        <w:rPr>
          <w:rFonts w:cstheme="minorHAnsi"/>
        </w:rPr>
        <w:t>s</w:t>
      </w:r>
      <w:r w:rsidR="68F93B36" w:rsidRPr="008668C8">
        <w:rPr>
          <w:rFonts w:cstheme="minorHAnsi"/>
        </w:rPr>
        <w:t xml:space="preserve"> a positive and mutually beneficial partnership with DFAT. Stakeholders from the </w:t>
      </w:r>
      <w:r w:rsidR="00834395">
        <w:rPr>
          <w:rFonts w:cstheme="minorHAnsi"/>
        </w:rPr>
        <w:t>Women’s Funds</w:t>
      </w:r>
      <w:r w:rsidR="68F93B36" w:rsidRPr="008668C8">
        <w:rPr>
          <w:rFonts w:cstheme="minorHAnsi"/>
        </w:rPr>
        <w:t xml:space="preserve"> spoke appreciatively of their engagement with DFAT. They talked about the partnership </w:t>
      </w:r>
      <w:r w:rsidR="68F93B36" w:rsidRPr="006A1F39">
        <w:rPr>
          <w:rFonts w:cstheme="minorHAnsi"/>
        </w:rPr>
        <w:t>agreement and the level of flexibility it affords. One stakeholder offered</w:t>
      </w:r>
      <w:r w:rsidR="00A07F81" w:rsidRPr="006A1F39">
        <w:rPr>
          <w:rFonts w:cstheme="minorHAnsi"/>
        </w:rPr>
        <w:t xml:space="preserve">, </w:t>
      </w:r>
      <w:r w:rsidR="68F93B36" w:rsidRPr="006A1F39">
        <w:rPr>
          <w:rFonts w:cstheme="minorHAnsi"/>
        </w:rPr>
        <w:t>“</w:t>
      </w:r>
      <w:r w:rsidR="68F93B36" w:rsidRPr="006A1F39">
        <w:rPr>
          <w:rFonts w:cstheme="minorHAnsi"/>
          <w:i/>
          <w:iCs/>
        </w:rPr>
        <w:t>Conversations with DFAT Canberra are more peer-to-peer rather than donor–grantee.</w:t>
      </w:r>
      <w:r w:rsidR="68F93B36" w:rsidRPr="006A1F39">
        <w:rPr>
          <w:rFonts w:cstheme="minorHAnsi"/>
        </w:rPr>
        <w:t>” Another stakeholder</w:t>
      </w:r>
      <w:r w:rsidR="007A27CF" w:rsidRPr="006A1F39">
        <w:rPr>
          <w:rFonts w:cstheme="minorHAnsi"/>
        </w:rPr>
        <w:t xml:space="preserve"> appreciated the patience, flexibility, and trust provided to PFF during its early inception stages: “</w:t>
      </w:r>
      <w:r w:rsidR="007A27CF" w:rsidRPr="006A1F39">
        <w:rPr>
          <w:rFonts w:cstheme="minorHAnsi"/>
          <w:i/>
        </w:rPr>
        <w:t>DFAT understands that PFF is new and is trying to understand its own rhythm of working.</w:t>
      </w:r>
      <w:r w:rsidR="007A27CF" w:rsidRPr="006A1F39">
        <w:rPr>
          <w:rFonts w:cstheme="minorHAnsi"/>
        </w:rPr>
        <w:t xml:space="preserve">” </w:t>
      </w:r>
      <w:r w:rsidR="008668C8" w:rsidRPr="006A1F39">
        <w:rPr>
          <w:rFonts w:cstheme="minorHAnsi"/>
        </w:rPr>
        <w:t xml:space="preserve">This approach has enabled the </w:t>
      </w:r>
      <w:r w:rsidR="00834395" w:rsidRPr="006A1F39">
        <w:rPr>
          <w:rFonts w:cstheme="minorHAnsi"/>
        </w:rPr>
        <w:t>Women’s Funds</w:t>
      </w:r>
      <w:r w:rsidR="008668C8" w:rsidRPr="006A1F39">
        <w:rPr>
          <w:rFonts w:cstheme="minorHAnsi"/>
        </w:rPr>
        <w:t xml:space="preserve"> to maintain their autonomy while benefiting from DFAT's support</w:t>
      </w:r>
      <w:r w:rsidR="00223363" w:rsidRPr="006A1F39">
        <w:rPr>
          <w:rFonts w:cstheme="minorHAnsi"/>
        </w:rPr>
        <w:t>.</w:t>
      </w:r>
    </w:p>
    <w:p w14:paraId="5E7A67EF" w14:textId="77777777" w:rsidR="00614BBE" w:rsidRDefault="002C63B9" w:rsidP="002F1A9D">
      <w:pPr>
        <w:keepLines/>
        <w:rPr>
          <w:rStyle w:val="QuoteChar"/>
          <w:rFonts w:ascii="Arial" w:eastAsia="Arial" w:hAnsi="Arial" w:cs="Arial"/>
        </w:rPr>
      </w:pPr>
      <w:r w:rsidRPr="006A1F39">
        <w:rPr>
          <w:rFonts w:ascii="Arial" w:eastAsia="Arial" w:hAnsi="Arial" w:cs="Arial"/>
          <w:szCs w:val="21"/>
        </w:rPr>
        <w:t>One area</w:t>
      </w:r>
      <w:r w:rsidR="007A27CF" w:rsidRPr="006A1F39">
        <w:rPr>
          <w:rFonts w:ascii="Arial" w:eastAsia="Arial" w:hAnsi="Arial" w:cs="Arial"/>
          <w:szCs w:val="21"/>
        </w:rPr>
        <w:t xml:space="preserve"> </w:t>
      </w:r>
      <w:r w:rsidRPr="006A1F39">
        <w:rPr>
          <w:rFonts w:ascii="Arial" w:eastAsia="Arial" w:hAnsi="Arial" w:cs="Arial"/>
          <w:szCs w:val="21"/>
        </w:rPr>
        <w:t>of</w:t>
      </w:r>
      <w:r w:rsidR="007A27CF" w:rsidRPr="006A1F39">
        <w:rPr>
          <w:rFonts w:ascii="Arial" w:eastAsia="Arial" w:hAnsi="Arial" w:cs="Arial"/>
          <w:szCs w:val="21"/>
        </w:rPr>
        <w:t xml:space="preserve"> slight frustration</w:t>
      </w:r>
      <w:r w:rsidRPr="006A1F39">
        <w:rPr>
          <w:rFonts w:ascii="Arial" w:eastAsia="Arial" w:hAnsi="Arial" w:cs="Arial"/>
          <w:szCs w:val="21"/>
        </w:rPr>
        <w:t xml:space="preserve"> discussed by </w:t>
      </w:r>
      <w:r w:rsidR="00834395" w:rsidRPr="006A1F39">
        <w:rPr>
          <w:rFonts w:ascii="Arial" w:eastAsia="Arial" w:hAnsi="Arial" w:cs="Arial"/>
          <w:szCs w:val="21"/>
        </w:rPr>
        <w:t>Women’s Funds</w:t>
      </w:r>
      <w:r w:rsidRPr="006A1F39">
        <w:rPr>
          <w:rFonts w:ascii="Arial" w:eastAsia="Arial" w:hAnsi="Arial" w:cs="Arial"/>
          <w:szCs w:val="21"/>
        </w:rPr>
        <w:t xml:space="preserve"> stakeholders relates to </w:t>
      </w:r>
      <w:r w:rsidR="007A27CF" w:rsidRPr="006A1F39">
        <w:rPr>
          <w:rFonts w:ascii="Arial" w:eastAsia="Arial" w:hAnsi="Arial" w:cs="Arial"/>
          <w:szCs w:val="21"/>
        </w:rPr>
        <w:t xml:space="preserve">the </w:t>
      </w:r>
      <w:r w:rsidR="00834395" w:rsidRPr="006A1F39">
        <w:rPr>
          <w:rFonts w:ascii="Arial" w:eastAsia="Arial" w:hAnsi="Arial" w:cs="Arial"/>
          <w:szCs w:val="21"/>
        </w:rPr>
        <w:t>Women’s Funds</w:t>
      </w:r>
      <w:r w:rsidR="007A27CF" w:rsidRPr="006A1F39">
        <w:rPr>
          <w:rFonts w:ascii="Arial" w:eastAsia="Arial" w:hAnsi="Arial" w:cs="Arial"/>
          <w:szCs w:val="21"/>
        </w:rPr>
        <w:t xml:space="preserve"> reporting requirements, as DFAT’s timelines are out of sync with the Funds’ grantee reporting periods</w:t>
      </w:r>
      <w:r w:rsidR="00D91177" w:rsidRPr="006A1F39">
        <w:rPr>
          <w:rFonts w:ascii="Arial" w:eastAsia="Arial" w:hAnsi="Arial" w:cs="Arial"/>
          <w:szCs w:val="21"/>
        </w:rPr>
        <w:t xml:space="preserve"> and tend to highlight quantitative over qualitative indicators of progress</w:t>
      </w:r>
      <w:r w:rsidR="007A27CF" w:rsidRPr="006A1F39">
        <w:rPr>
          <w:rFonts w:ascii="Arial" w:eastAsia="Arial" w:hAnsi="Arial" w:cs="Arial"/>
          <w:szCs w:val="21"/>
        </w:rPr>
        <w:t xml:space="preserve">: </w:t>
      </w:r>
      <w:r w:rsidR="4ADFF11A" w:rsidRPr="006A1F39">
        <w:rPr>
          <w:rStyle w:val="QuoteChar"/>
          <w:rFonts w:ascii="Arial" w:eastAsia="Arial" w:hAnsi="Arial" w:cs="Arial"/>
        </w:rPr>
        <w:t>''</w:t>
      </w:r>
      <w:r w:rsidR="007A27CF" w:rsidRPr="006A1F39">
        <w:rPr>
          <w:rStyle w:val="QuoteChar"/>
          <w:rFonts w:ascii="Arial" w:eastAsia="Arial" w:hAnsi="Arial" w:cs="Arial"/>
        </w:rPr>
        <w:t>Grantee reports come in around January and that is the time</w:t>
      </w:r>
      <w:r w:rsidR="00E930CD">
        <w:rPr>
          <w:rStyle w:val="QuoteChar"/>
          <w:rFonts w:ascii="Arial" w:eastAsia="Arial" w:hAnsi="Arial" w:cs="Arial"/>
        </w:rPr>
        <w:t xml:space="preserve"> </w:t>
      </w:r>
      <w:r w:rsidR="0090286D">
        <w:rPr>
          <w:rStyle w:val="QuoteChar"/>
          <w:rFonts w:ascii="Arial" w:eastAsia="Arial" w:hAnsi="Arial" w:cs="Arial"/>
        </w:rPr>
        <w:t>Amplify-Inve</w:t>
      </w:r>
      <w:r w:rsidR="00E930CD">
        <w:rPr>
          <w:rStyle w:val="QuoteChar"/>
          <w:rFonts w:ascii="Arial" w:eastAsia="Arial" w:hAnsi="Arial" w:cs="Arial"/>
        </w:rPr>
        <w:t>s</w:t>
      </w:r>
      <w:r w:rsidR="0090286D">
        <w:rPr>
          <w:rStyle w:val="QuoteChar"/>
          <w:rFonts w:ascii="Arial" w:eastAsia="Arial" w:hAnsi="Arial" w:cs="Arial"/>
        </w:rPr>
        <w:t>t-Reach (</w:t>
      </w:r>
      <w:r w:rsidR="007A27CF" w:rsidRPr="006A1F39">
        <w:rPr>
          <w:rStyle w:val="QuoteChar"/>
          <w:rFonts w:ascii="Arial" w:eastAsia="Arial" w:hAnsi="Arial" w:cs="Arial"/>
        </w:rPr>
        <w:t>AIR</w:t>
      </w:r>
      <w:r w:rsidR="0090286D">
        <w:rPr>
          <w:rStyle w:val="QuoteChar"/>
          <w:rFonts w:ascii="Arial" w:eastAsia="Arial" w:hAnsi="Arial" w:cs="Arial"/>
        </w:rPr>
        <w:t>)</w:t>
      </w:r>
      <w:r w:rsidR="007A27CF" w:rsidRPr="006A1F39">
        <w:rPr>
          <w:rStyle w:val="QuoteChar"/>
          <w:rFonts w:ascii="Arial" w:eastAsia="Arial" w:hAnsi="Arial" w:cs="Arial"/>
        </w:rPr>
        <w:t xml:space="preserve"> is already compiling our collective reports. We’d appreciate some attention from DFAT in re-looking at these</w:t>
      </w:r>
      <w:r w:rsidR="007A27CF" w:rsidRPr="00EE243C">
        <w:rPr>
          <w:rStyle w:val="QuoteChar"/>
          <w:rFonts w:ascii="Arial" w:eastAsia="Arial" w:hAnsi="Arial" w:cs="Arial"/>
        </w:rPr>
        <w:t xml:space="preserve"> timelines</w:t>
      </w:r>
      <w:r w:rsidR="00154894">
        <w:rPr>
          <w:rStyle w:val="QuoteChar"/>
          <w:rFonts w:ascii="Arial" w:eastAsia="Arial" w:hAnsi="Arial" w:cs="Arial"/>
        </w:rPr>
        <w:t xml:space="preserve">… </w:t>
      </w:r>
      <w:r w:rsidR="007A27CF" w:rsidRPr="00EE243C">
        <w:rPr>
          <w:rStyle w:val="QuoteChar"/>
          <w:rFonts w:ascii="Arial" w:eastAsia="Arial" w:hAnsi="Arial" w:cs="Arial"/>
        </w:rPr>
        <w:t>We’d like to commit more time to organisational learning and reflection</w:t>
      </w:r>
      <w:r w:rsidR="00154894">
        <w:rPr>
          <w:rStyle w:val="QuoteChar"/>
          <w:rFonts w:ascii="Arial" w:eastAsia="Arial" w:hAnsi="Arial" w:cs="Arial"/>
        </w:rPr>
        <w:t>… [and</w:t>
      </w:r>
      <w:r w:rsidR="00365160">
        <w:rPr>
          <w:rStyle w:val="QuoteChar"/>
          <w:rFonts w:ascii="Arial" w:eastAsia="Arial" w:hAnsi="Arial" w:cs="Arial"/>
        </w:rPr>
        <w:t>]</w:t>
      </w:r>
      <w:r w:rsidR="007A27CF" w:rsidRPr="00EE243C">
        <w:rPr>
          <w:rStyle w:val="QuoteChar"/>
          <w:rFonts w:ascii="Arial" w:eastAsia="Arial" w:hAnsi="Arial" w:cs="Arial"/>
        </w:rPr>
        <w:t xml:space="preserve"> spend some time to talk about this and how else we can assess impact.</w:t>
      </w:r>
      <w:r w:rsidR="75753861" w:rsidRPr="00EE243C">
        <w:rPr>
          <w:rStyle w:val="QuoteChar"/>
          <w:rFonts w:ascii="Arial" w:eastAsia="Arial" w:hAnsi="Arial" w:cs="Arial"/>
        </w:rPr>
        <w:t>'' - MTR interviewee</w:t>
      </w:r>
      <w:r w:rsidR="0005359C">
        <w:rPr>
          <w:rStyle w:val="QuoteChar"/>
          <w:rFonts w:ascii="Arial" w:eastAsia="Arial" w:hAnsi="Arial" w:cs="Arial"/>
        </w:rPr>
        <w:t>.</w:t>
      </w:r>
    </w:p>
    <w:p w14:paraId="3698EAD9" w14:textId="77777777" w:rsidR="00614BBE" w:rsidRPr="00197010" w:rsidRDefault="00614BBE" w:rsidP="00384259">
      <w:pPr>
        <w:pStyle w:val="Orangeblocktext"/>
        <w:rPr>
          <w:rStyle w:val="QuoteChar"/>
          <w:b/>
          <w:bCs/>
          <w:i w:val="0"/>
          <w:iCs w:val="0"/>
        </w:rPr>
      </w:pPr>
      <w:r w:rsidRPr="00197010">
        <w:rPr>
          <w:rStyle w:val="QuoteChar"/>
          <w:b/>
          <w:bCs/>
          <w:i w:val="0"/>
          <w:iCs w:val="0"/>
        </w:rPr>
        <w:t>Spotlight: The Formation and implementation of PFF is a key step towards Pacific Ownership and Effectiveness</w:t>
      </w:r>
    </w:p>
    <w:p w14:paraId="108CAAF8" w14:textId="77777777" w:rsidR="00614BBE" w:rsidRPr="00614BBE" w:rsidRDefault="00614BBE" w:rsidP="00384259">
      <w:pPr>
        <w:pStyle w:val="Orangeblocktext"/>
        <w:rPr>
          <w:rStyle w:val="QuoteChar"/>
          <w:i w:val="0"/>
          <w:iCs w:val="0"/>
        </w:rPr>
      </w:pPr>
      <w:r w:rsidRPr="00614BBE">
        <w:rPr>
          <w:rStyle w:val="QuoteChar"/>
          <w:i w:val="0"/>
          <w:iCs w:val="0"/>
        </w:rPr>
        <w:t>All AIR partners played a critical role in supporting the establishment of the Pacific Feminist Fund (PFF), enabling it to participate in key regional spaces, meetings, and events where it can engage directly with donors, advocate for Pacific feminist priorities, and access funding. PFF are strengthening their institutional capacity and positioning themselves as a sustainable, reliable source of support for feminist organisations and movements in the Pacific. Examples of institutional building efforts include a comprehensive due diligence assessment, setting up governance structures and processes, establishing financial and operational policies and procedures, implementing a grant making strategy and resource mobilisation strategy, and providing wrap-around support within its granting mechanism.</w:t>
      </w:r>
    </w:p>
    <w:p w14:paraId="112F73A5" w14:textId="77777777" w:rsidR="00614BBE" w:rsidRPr="00197010" w:rsidRDefault="00614BBE" w:rsidP="00384259">
      <w:pPr>
        <w:pStyle w:val="Orangeblocktext"/>
        <w:rPr>
          <w:rStyle w:val="QuoteChar"/>
        </w:rPr>
      </w:pPr>
      <w:r w:rsidRPr="00197010">
        <w:rPr>
          <w:rStyle w:val="QuoteChar"/>
        </w:rPr>
        <w:t xml:space="preserve">“The origins and beginnings of an independent fund that is mandated by the Pacific women’s and feminist movement is political. It means that we are first and foremost accountable to the movement. The presence of the home-grown Women’s Funds in the Pacific, that are situated and led within the Pacific movement is important. In 2017, the establishment of the Women’s Funds Fiji and Urgent Action Fund Asia and Pacific was hugely celebrated. And now we have the Pacific Feminist Fund. Now with the launch of the Pacific Feminist Fund in 2023, a new fierce and bold feminist fund. It’s groundbreaking!” </w:t>
      </w:r>
    </w:p>
    <w:p w14:paraId="7BE707F6" w14:textId="00DFF917" w:rsidR="00AE1928" w:rsidRPr="00197010" w:rsidRDefault="00614BBE" w:rsidP="00384259">
      <w:pPr>
        <w:pStyle w:val="Orangeblocktext"/>
        <w:rPr>
          <w:rStyle w:val="QuoteChar"/>
          <w:i w:val="0"/>
          <w:iCs w:val="0"/>
        </w:rPr>
      </w:pPr>
      <w:r w:rsidRPr="00197010">
        <w:rPr>
          <w:rStyle w:val="QuoteChar"/>
          <w:i w:val="0"/>
          <w:iCs w:val="0"/>
        </w:rPr>
        <w:t>The formation of PFF reflects how AIR has incubated Pacific-led leadership and institution-building, creating new infrastructure that is now influencing the broader Pacific Women Lead platform. By amplifying Pacific women’s voices and leadership in regional decision-making spaces, PFF and other AIR partners are contributing to PWL’s vision of Pacific-owned and locally led gender equality efforts. (Impact Story)</w:t>
      </w:r>
    </w:p>
    <w:p w14:paraId="667C746C" w14:textId="520783CC" w:rsidR="00D82FDA" w:rsidRPr="00CB7240" w:rsidRDefault="006E103E" w:rsidP="00C14C44">
      <w:pPr>
        <w:spacing w:after="120"/>
        <w:rPr>
          <w:rFonts w:asciiTheme="majorHAnsi" w:hAnsiTheme="majorHAnsi"/>
          <w:color w:val="984C00" w:themeColor="accent1" w:themeShade="BF"/>
          <w:sz w:val="22"/>
          <w:szCs w:val="24"/>
        </w:rPr>
      </w:pPr>
      <w:r w:rsidRPr="00CB7240">
        <w:rPr>
          <w:rFonts w:asciiTheme="majorHAnsi" w:hAnsiTheme="majorHAnsi"/>
          <w:color w:val="984C00" w:themeColor="accent1" w:themeShade="BF"/>
          <w:sz w:val="22"/>
          <w:szCs w:val="24"/>
        </w:rPr>
        <w:t>Partnership brokering</w:t>
      </w:r>
    </w:p>
    <w:p w14:paraId="0DB77837" w14:textId="4D40B869" w:rsidR="00D7763E" w:rsidRDefault="00D7763E" w:rsidP="3BBBFC65">
      <w:pPr>
        <w:rPr>
          <w:rFonts w:ascii="Arial" w:eastAsia="Arial" w:hAnsi="Arial" w:cs="Arial"/>
        </w:rPr>
      </w:pPr>
      <w:r w:rsidRPr="00D7763E">
        <w:rPr>
          <w:rFonts w:ascii="Arial" w:eastAsia="Arial" w:hAnsi="Arial" w:cs="Arial"/>
          <w:szCs w:val="21"/>
        </w:rPr>
        <w:t>PWL established partnership brokering services through two contracted brokers managed by PWLES to strengthen working relationships between program components. While PWL's foundational documents recogni</w:t>
      </w:r>
      <w:r>
        <w:rPr>
          <w:rFonts w:ascii="Arial" w:eastAsia="Arial" w:hAnsi="Arial" w:cs="Arial"/>
          <w:szCs w:val="21"/>
        </w:rPr>
        <w:t>s</w:t>
      </w:r>
      <w:r w:rsidRPr="00D7763E">
        <w:rPr>
          <w:rFonts w:ascii="Arial" w:eastAsia="Arial" w:hAnsi="Arial" w:cs="Arial"/>
          <w:szCs w:val="21"/>
        </w:rPr>
        <w:t xml:space="preserve">e this as a key mechanism for program effectiveness - with </w:t>
      </w:r>
      <w:r>
        <w:rPr>
          <w:rFonts w:ascii="Arial" w:eastAsia="Arial" w:hAnsi="Arial" w:cs="Arial"/>
          <w:szCs w:val="21"/>
        </w:rPr>
        <w:t xml:space="preserve">annual </w:t>
      </w:r>
      <w:r w:rsidRPr="00D7763E">
        <w:rPr>
          <w:rFonts w:ascii="Arial" w:eastAsia="Arial" w:hAnsi="Arial" w:cs="Arial"/>
          <w:szCs w:val="21"/>
        </w:rPr>
        <w:t>partnership health checks integrated into the MEL Framework</w:t>
      </w:r>
      <w:r>
        <w:rPr>
          <w:rFonts w:ascii="Arial" w:eastAsia="Arial" w:hAnsi="Arial" w:cs="Arial"/>
          <w:szCs w:val="21"/>
        </w:rPr>
        <w:t xml:space="preserve"> between SPC, DFAT and PWLES</w:t>
      </w:r>
      <w:r w:rsidRPr="00D7763E">
        <w:rPr>
          <w:rFonts w:ascii="Arial" w:eastAsia="Arial" w:hAnsi="Arial" w:cs="Arial"/>
          <w:szCs w:val="21"/>
        </w:rPr>
        <w:t xml:space="preserve"> - implementation experiences have been mixed. Three facilitated sessions have occurred to date: an initial ways-of-working session between SPC, DFAT and PWLES; a follow-up Partnership Health Check among these same components in 2023; and an internal SPC session between Pacific Women Lead at SPC and the </w:t>
      </w:r>
      <w:r w:rsidRPr="00D7763E">
        <w:rPr>
          <w:rFonts w:ascii="Arial" w:eastAsia="Arial" w:hAnsi="Arial" w:cs="Arial"/>
          <w:szCs w:val="21"/>
        </w:rPr>
        <w:lastRenderedPageBreak/>
        <w:t>Women in Leadership Programme. However, stakeholders reported that some sessions led to misunderstandings and tensions, with scepticism about their value despite commitment to collaboration. This may partly stem from timing issues, as the initial session occurred before components fully understood their respective scopes and mandates.</w:t>
      </w:r>
      <w:r w:rsidR="00216134">
        <w:rPr>
          <w:rFonts w:ascii="Arial" w:eastAsia="Arial" w:hAnsi="Arial" w:cs="Arial"/>
          <w:szCs w:val="21"/>
        </w:rPr>
        <w:t xml:space="preserve"> </w:t>
      </w:r>
      <w:r w:rsidR="3FAA28BB" w:rsidRPr="3BBBFC65">
        <w:rPr>
          <w:rFonts w:ascii="Arial" w:eastAsia="Arial" w:hAnsi="Arial" w:cs="Arial"/>
        </w:rPr>
        <w:t xml:space="preserve">The partnership brokers themselves noted that their function was not effectively embedded into the program structure, with components viewing brokering as an </w:t>
      </w:r>
      <w:r w:rsidR="3FAA28BB" w:rsidRPr="3BBBFC65">
        <w:rPr>
          <w:rFonts w:ascii="Arial" w:eastAsia="Arial" w:hAnsi="Arial" w:cs="Arial"/>
          <w:i/>
          <w:iCs/>
        </w:rPr>
        <w:t>"on-request"</w:t>
      </w:r>
      <w:r w:rsidR="3FAA28BB" w:rsidRPr="3BBBFC65">
        <w:rPr>
          <w:rFonts w:ascii="Arial" w:eastAsia="Arial" w:hAnsi="Arial" w:cs="Arial"/>
        </w:rPr>
        <w:t xml:space="preserve"> service for addressing specific partnership issues rather than an integrated program function supporting strategic coordination. While PWLES cannot mandate the use of these services, opportunities exist to better socialise and facilitate access to brokering across all components. Partnership brokering represents a potentially transformative approach to operationalising Pacific ownership by moving beyond traditional transactional development models toward creating intentional, adaptive spaces for collaborative learning and relationship-building. This approach, when properly implemented, could address complex power dynamics and enable gender equality efforts that are genuinely responsive to Pacific cultural contexts and epistemologies of connection.</w:t>
      </w:r>
    </w:p>
    <w:p w14:paraId="7720EF28" w14:textId="77777777" w:rsidR="00B12D5B" w:rsidRDefault="00B12D5B">
      <w:pPr>
        <w:rPr>
          <w:rFonts w:asciiTheme="majorHAnsi" w:hAnsiTheme="majorHAnsi"/>
          <w:sz w:val="28"/>
        </w:rPr>
      </w:pPr>
      <w:bookmarkStart w:id="24" w:name="_Toc181604011"/>
      <w:bookmarkStart w:id="25" w:name="_Hlk193735514"/>
      <w:r>
        <w:br w:type="page"/>
      </w:r>
    </w:p>
    <w:p w14:paraId="36622DD7" w14:textId="17857D34" w:rsidR="008E4939" w:rsidRPr="00EE243C" w:rsidRDefault="00260A99" w:rsidP="00260A99">
      <w:pPr>
        <w:pStyle w:val="Tealblockheading"/>
      </w:pPr>
      <w:r>
        <w:lastRenderedPageBreak/>
        <w:t>KRQ1</w:t>
      </w:r>
      <w:r w:rsidR="00B90099">
        <w:t>:</w:t>
      </w:r>
      <w:r>
        <w:t xml:space="preserve"> </w:t>
      </w:r>
      <w:r w:rsidR="008E4939" w:rsidRPr="00EE243C">
        <w:t xml:space="preserve">To what extent is there progress </w:t>
      </w:r>
      <w:r w:rsidR="00B90099">
        <w:t xml:space="preserve">in the area of: </w:t>
      </w:r>
      <w:bookmarkEnd w:id="24"/>
      <w:r w:rsidR="0071770F">
        <w:t xml:space="preserve">women’s rights realised – </w:t>
      </w:r>
      <w:r w:rsidR="0071770F" w:rsidRPr="00362900">
        <w:rPr>
          <w:color w:val="984C00" w:themeColor="accent1" w:themeShade="BF"/>
        </w:rPr>
        <w:t>women’s safety?</w:t>
      </w:r>
    </w:p>
    <w:p w14:paraId="3CC59549" w14:textId="4AD9CA0E" w:rsidR="003256E0" w:rsidRDefault="003256E0" w:rsidP="00384259">
      <w:pPr>
        <w:pStyle w:val="Tealblocktext"/>
      </w:pPr>
      <w:r>
        <w:t>PWL efforts to date</w:t>
      </w:r>
      <w:r w:rsidRPr="001664E4">
        <w:rPr>
          <w:rStyle w:val="Strong"/>
          <w:b w:val="0"/>
        </w:rPr>
        <w:t xml:space="preserve"> are targeted, relevant, and effective</w:t>
      </w:r>
      <w:r w:rsidR="00111EFA">
        <w:rPr>
          <w:rStyle w:val="Strong"/>
          <w:b w:val="0"/>
        </w:rPr>
        <w:t>ly</w:t>
      </w:r>
      <w:r w:rsidRPr="001664E4">
        <w:rPr>
          <w:rStyle w:val="Strong"/>
          <w:b w:val="0"/>
        </w:rPr>
        <w:t xml:space="preserve"> </w:t>
      </w:r>
      <w:r>
        <w:rPr>
          <w:rStyle w:val="Strong"/>
          <w:b w:val="0"/>
        </w:rPr>
        <w:t>contributing to</w:t>
      </w:r>
      <w:r w:rsidRPr="001664E4">
        <w:rPr>
          <w:rStyle w:val="Strong"/>
          <w:b w:val="0"/>
        </w:rPr>
        <w:t xml:space="preserve"> satisfactory progress towards the </w:t>
      </w:r>
      <w:r w:rsidR="00834178">
        <w:rPr>
          <w:rStyle w:val="Strong"/>
          <w:b w:val="0"/>
        </w:rPr>
        <w:t>end of program outcome (EOPO)</w:t>
      </w:r>
      <w:r w:rsidRPr="001664E4">
        <w:rPr>
          <w:rStyle w:val="Strong"/>
          <w:b w:val="0"/>
        </w:rPr>
        <w:t>.</w:t>
      </w:r>
      <w:r w:rsidR="00351601" w:rsidRPr="004B3CAF">
        <w:t xml:space="preserve"> </w:t>
      </w:r>
      <w:r w:rsidR="004B3CAF" w:rsidRPr="004B3CAF">
        <w:t>ARAW 2024 attendees rated progress towards this outcome as ‘less than expected’ to ‘as expected’, justified by a perspective that PWL should heighten focus on the expansion of crisis centres in countries where they do not currently exist.</w:t>
      </w:r>
      <w:r w:rsidR="004B3CAF">
        <w:t xml:space="preserve"> </w:t>
      </w:r>
      <w:r>
        <w:t xml:space="preserve">Nevertheless, evidence of social norms change has been minimal, presenting a critical opportunity to deepen focus on addressing social barriers to ensure that availability of services results </w:t>
      </w:r>
      <w:r w:rsidRPr="46CB1DB6">
        <w:t xml:space="preserve">and </w:t>
      </w:r>
      <w:r>
        <w:t>in greater uptake of services. More evidence of progress is expected for the second half of the program given many partners received funds shortly before this review.</w:t>
      </w:r>
    </w:p>
    <w:bookmarkEnd w:id="25"/>
    <w:p w14:paraId="2A3C52DF" w14:textId="1DE4DF42" w:rsidR="008F11A8" w:rsidRPr="00CB7240" w:rsidRDefault="008F11A8" w:rsidP="00CB7240">
      <w:pPr>
        <w:spacing w:after="120"/>
        <w:rPr>
          <w:rFonts w:asciiTheme="majorHAnsi" w:hAnsiTheme="majorHAnsi"/>
          <w:color w:val="984C00" w:themeColor="accent1" w:themeShade="BF"/>
          <w:sz w:val="22"/>
        </w:rPr>
      </w:pPr>
      <w:r w:rsidRPr="00CB7240">
        <w:rPr>
          <w:rFonts w:asciiTheme="majorHAnsi" w:hAnsiTheme="majorHAnsi"/>
          <w:color w:val="984C00" w:themeColor="accent1" w:themeShade="BF"/>
          <w:sz w:val="22"/>
        </w:rPr>
        <w:t>Key achievements</w:t>
      </w:r>
    </w:p>
    <w:p w14:paraId="674400C3" w14:textId="37CA9521" w:rsidR="008F11A8" w:rsidRPr="00EA3F4E" w:rsidRDefault="008F11A8" w:rsidP="00F16199">
      <w:pPr>
        <w:pStyle w:val="ListParagraph"/>
        <w:numPr>
          <w:ilvl w:val="0"/>
          <w:numId w:val="32"/>
        </w:numPr>
        <w:rPr>
          <w:sz w:val="20"/>
          <w:szCs w:val="20"/>
        </w:rPr>
      </w:pPr>
      <w:r w:rsidRPr="00EA3F4E">
        <w:rPr>
          <w:b/>
          <w:bCs/>
          <w:sz w:val="20"/>
          <w:szCs w:val="20"/>
        </w:rPr>
        <w:t>40 projects</w:t>
      </w:r>
      <w:r w:rsidRPr="00EA3F4E">
        <w:rPr>
          <w:sz w:val="20"/>
          <w:szCs w:val="20"/>
        </w:rPr>
        <w:t xml:space="preserve"> with a primary focus on this outcome</w:t>
      </w:r>
      <w:r w:rsidR="009E0977" w:rsidRPr="00EA3F4E">
        <w:rPr>
          <w:sz w:val="20"/>
          <w:szCs w:val="20"/>
        </w:rPr>
        <w:t>.</w:t>
      </w:r>
    </w:p>
    <w:p w14:paraId="36DE2B2E" w14:textId="71C7D5BF" w:rsidR="008F11A8" w:rsidRPr="00EA3F4E" w:rsidRDefault="008F11A8" w:rsidP="00F16199">
      <w:pPr>
        <w:pStyle w:val="ListParagraph"/>
        <w:numPr>
          <w:ilvl w:val="0"/>
          <w:numId w:val="32"/>
        </w:numPr>
        <w:rPr>
          <w:sz w:val="20"/>
          <w:szCs w:val="20"/>
        </w:rPr>
      </w:pPr>
      <w:r w:rsidRPr="00EA3F4E">
        <w:rPr>
          <w:b/>
          <w:bCs/>
          <w:sz w:val="20"/>
          <w:szCs w:val="20"/>
        </w:rPr>
        <w:t>AUD71m</w:t>
      </w:r>
      <w:r w:rsidRPr="00EA3F4E">
        <w:rPr>
          <w:sz w:val="20"/>
          <w:szCs w:val="20"/>
        </w:rPr>
        <w:t xml:space="preserve"> committed to this outcome</w:t>
      </w:r>
      <w:r w:rsidR="009E0977" w:rsidRPr="00EA3F4E">
        <w:rPr>
          <w:sz w:val="20"/>
          <w:szCs w:val="20"/>
        </w:rPr>
        <w:t>.</w:t>
      </w:r>
    </w:p>
    <w:p w14:paraId="042B6499" w14:textId="1A5FFA86" w:rsidR="008F11A8" w:rsidRPr="00EA3F4E" w:rsidRDefault="008F11A8" w:rsidP="00F16199">
      <w:pPr>
        <w:pStyle w:val="ListParagraph"/>
        <w:numPr>
          <w:ilvl w:val="0"/>
          <w:numId w:val="32"/>
        </w:numPr>
        <w:rPr>
          <w:sz w:val="20"/>
          <w:szCs w:val="20"/>
        </w:rPr>
      </w:pPr>
      <w:r w:rsidRPr="00EA3F4E">
        <w:rPr>
          <w:b/>
          <w:bCs/>
          <w:sz w:val="20"/>
          <w:szCs w:val="20"/>
        </w:rPr>
        <w:t>83,923</w:t>
      </w:r>
      <w:r w:rsidRPr="00EA3F4E">
        <w:rPr>
          <w:sz w:val="20"/>
          <w:szCs w:val="20"/>
        </w:rPr>
        <w:t xml:space="preserve"> services provided, including health, counselling and access to justice</w:t>
      </w:r>
      <w:r w:rsidR="009E0977" w:rsidRPr="00EA3F4E">
        <w:rPr>
          <w:sz w:val="20"/>
          <w:szCs w:val="20"/>
        </w:rPr>
        <w:t>.</w:t>
      </w:r>
    </w:p>
    <w:p w14:paraId="0FBEEFBE" w14:textId="3D0BC64F" w:rsidR="008F11A8" w:rsidRPr="00EA3F4E" w:rsidRDefault="008F11A8" w:rsidP="00F16199">
      <w:pPr>
        <w:pStyle w:val="ListParagraph"/>
        <w:numPr>
          <w:ilvl w:val="0"/>
          <w:numId w:val="32"/>
        </w:numPr>
        <w:rPr>
          <w:sz w:val="20"/>
          <w:szCs w:val="20"/>
        </w:rPr>
      </w:pPr>
      <w:r w:rsidRPr="00EA3F4E">
        <w:rPr>
          <w:b/>
          <w:bCs/>
          <w:sz w:val="20"/>
          <w:szCs w:val="20"/>
        </w:rPr>
        <w:t>699</w:t>
      </w:r>
      <w:r w:rsidRPr="00EA3F4E">
        <w:rPr>
          <w:sz w:val="20"/>
          <w:szCs w:val="20"/>
        </w:rPr>
        <w:t xml:space="preserve"> police and other law and justice officials received training</w:t>
      </w:r>
      <w:r w:rsidR="009E0977" w:rsidRPr="00EA3F4E">
        <w:rPr>
          <w:sz w:val="20"/>
          <w:szCs w:val="20"/>
        </w:rPr>
        <w:t>.</w:t>
      </w:r>
    </w:p>
    <w:p w14:paraId="2AFFFB4E" w14:textId="751A4AB4" w:rsidR="008F11A8" w:rsidRPr="00EA3F4E" w:rsidRDefault="008F11A8" w:rsidP="00F16199">
      <w:pPr>
        <w:pStyle w:val="ListParagraph"/>
        <w:numPr>
          <w:ilvl w:val="0"/>
          <w:numId w:val="32"/>
        </w:numPr>
        <w:rPr>
          <w:sz w:val="20"/>
          <w:szCs w:val="20"/>
        </w:rPr>
      </w:pPr>
      <w:r w:rsidRPr="00EA3F4E">
        <w:rPr>
          <w:sz w:val="20"/>
          <w:szCs w:val="20"/>
        </w:rPr>
        <w:t xml:space="preserve">The inaugural </w:t>
      </w:r>
      <w:proofErr w:type="spellStart"/>
      <w:r w:rsidRPr="00EA3F4E">
        <w:rPr>
          <w:sz w:val="20"/>
          <w:szCs w:val="20"/>
        </w:rPr>
        <w:t>eSafety</w:t>
      </w:r>
      <w:proofErr w:type="spellEnd"/>
      <w:r w:rsidRPr="00EA3F4E">
        <w:rPr>
          <w:sz w:val="20"/>
          <w:szCs w:val="20"/>
        </w:rPr>
        <w:t xml:space="preserve"> Symposium, hosted by SPC with Australia's </w:t>
      </w:r>
      <w:proofErr w:type="spellStart"/>
      <w:r w:rsidRPr="00EA3F4E">
        <w:rPr>
          <w:sz w:val="20"/>
          <w:szCs w:val="20"/>
        </w:rPr>
        <w:t>eSafety</w:t>
      </w:r>
      <w:proofErr w:type="spellEnd"/>
      <w:r w:rsidRPr="00EA3F4E">
        <w:rPr>
          <w:sz w:val="20"/>
          <w:szCs w:val="20"/>
        </w:rPr>
        <w:t xml:space="preserve"> Commissioner, the University of the South Pacific, and PIFS, marked </w:t>
      </w:r>
      <w:r w:rsidRPr="00EA3F4E">
        <w:rPr>
          <w:b/>
          <w:bCs/>
          <w:sz w:val="20"/>
          <w:szCs w:val="20"/>
        </w:rPr>
        <w:t>a significant milestone in addressing technology-facilitated gender-based violence</w:t>
      </w:r>
      <w:r w:rsidRPr="00EA3F4E">
        <w:rPr>
          <w:sz w:val="20"/>
          <w:szCs w:val="20"/>
        </w:rPr>
        <w:t xml:space="preserve">, followed by in-country training in Solomon Islands, Fiji, and Tonga. </w:t>
      </w:r>
    </w:p>
    <w:p w14:paraId="3958AA6A" w14:textId="0CB0C7E4" w:rsidR="008F11A8" w:rsidRPr="00EA3F4E" w:rsidRDefault="008F11A8" w:rsidP="00F16199">
      <w:pPr>
        <w:pStyle w:val="ListParagraph"/>
        <w:numPr>
          <w:ilvl w:val="0"/>
          <w:numId w:val="32"/>
        </w:numPr>
        <w:rPr>
          <w:sz w:val="20"/>
          <w:szCs w:val="20"/>
        </w:rPr>
      </w:pPr>
      <w:r w:rsidRPr="00EA3F4E">
        <w:rPr>
          <w:b/>
          <w:bCs/>
          <w:sz w:val="20"/>
          <w:szCs w:val="20"/>
        </w:rPr>
        <w:t>Improved coordination of services across the region:</w:t>
      </w:r>
      <w:r w:rsidRPr="00EA3F4E">
        <w:rPr>
          <w:sz w:val="20"/>
          <w:szCs w:val="20"/>
        </w:rPr>
        <w:t xml:space="preserve"> In Papua New Guinea, Voice for Change secured maintenance payments for survivors through advocacy; In Solomon Islands, the Family Support Centre strengthened coordination between service providers; In Samoa, the Talanoa Toolkit reached over 30,000 people, with six pilot villages adopting it as part of Family Safety Committees.</w:t>
      </w:r>
    </w:p>
    <w:p w14:paraId="198E7E80" w14:textId="74F129E6" w:rsidR="008F11A8" w:rsidRPr="00EA3F4E" w:rsidRDefault="008F11A8" w:rsidP="00F16199">
      <w:pPr>
        <w:pStyle w:val="ListParagraph"/>
        <w:numPr>
          <w:ilvl w:val="0"/>
          <w:numId w:val="32"/>
        </w:numPr>
        <w:rPr>
          <w:sz w:val="20"/>
          <w:szCs w:val="20"/>
        </w:rPr>
      </w:pPr>
      <w:r w:rsidRPr="00EA3F4E">
        <w:rPr>
          <w:b/>
          <w:bCs/>
          <w:sz w:val="20"/>
          <w:szCs w:val="20"/>
        </w:rPr>
        <w:t>Expanded reach of crisis centres</w:t>
      </w:r>
      <w:r w:rsidRPr="00EA3F4E">
        <w:rPr>
          <w:sz w:val="20"/>
          <w:szCs w:val="20"/>
        </w:rPr>
        <w:t xml:space="preserve">, with the Crisis Centres in Tonga and Fiji reporting increased clients from remote regions. They also </w:t>
      </w:r>
      <w:r w:rsidRPr="00EA3F4E">
        <w:rPr>
          <w:b/>
          <w:bCs/>
          <w:sz w:val="20"/>
          <w:szCs w:val="20"/>
        </w:rPr>
        <w:t>play a crucial role in increasing awareness and engagement</w:t>
      </w:r>
      <w:r w:rsidRPr="00EA3F4E">
        <w:rPr>
          <w:sz w:val="20"/>
          <w:szCs w:val="20"/>
        </w:rPr>
        <w:t xml:space="preserve">, with Women United Together Marshall Islands receiving extended speaking time at the Annual Local Government Conference and Tongen </w:t>
      </w:r>
      <w:proofErr w:type="spellStart"/>
      <w:r w:rsidRPr="00EA3F4E">
        <w:rPr>
          <w:sz w:val="20"/>
          <w:szCs w:val="20"/>
        </w:rPr>
        <w:t>Inepwineu</w:t>
      </w:r>
      <w:proofErr w:type="spellEnd"/>
      <w:r w:rsidRPr="00EA3F4E">
        <w:rPr>
          <w:sz w:val="20"/>
          <w:szCs w:val="20"/>
        </w:rPr>
        <w:t xml:space="preserve"> Counselling Centre engaged at the </w:t>
      </w:r>
      <w:proofErr w:type="spellStart"/>
      <w:r w:rsidRPr="00EA3F4E">
        <w:rPr>
          <w:sz w:val="20"/>
          <w:szCs w:val="20"/>
        </w:rPr>
        <w:t>Pafeng</w:t>
      </w:r>
      <w:proofErr w:type="spellEnd"/>
      <w:r w:rsidRPr="00EA3F4E">
        <w:rPr>
          <w:sz w:val="20"/>
          <w:szCs w:val="20"/>
        </w:rPr>
        <w:t xml:space="preserve"> Leadership Conference, demonstrating growing community interest in addressing gender-based violence. </w:t>
      </w:r>
    </w:p>
    <w:p w14:paraId="0A97ADC0" w14:textId="50CA4D79" w:rsidR="008F11A8" w:rsidRPr="00EA3F4E" w:rsidRDefault="008F11A8" w:rsidP="00F16199">
      <w:pPr>
        <w:pStyle w:val="ListParagraph"/>
        <w:numPr>
          <w:ilvl w:val="0"/>
          <w:numId w:val="32"/>
        </w:numPr>
        <w:rPr>
          <w:sz w:val="20"/>
          <w:szCs w:val="20"/>
        </w:rPr>
      </w:pPr>
      <w:r w:rsidRPr="00EA3F4E">
        <w:rPr>
          <w:b/>
          <w:bCs/>
          <w:sz w:val="20"/>
          <w:szCs w:val="20"/>
        </w:rPr>
        <w:t>Projects show promising results in changing behaviours:</w:t>
      </w:r>
      <w:r w:rsidRPr="00EA3F4E">
        <w:rPr>
          <w:sz w:val="20"/>
          <w:szCs w:val="20"/>
        </w:rPr>
        <w:t xml:space="preserve"> Equal Playing Field's Safe Schools program in PNG and CARE Vanuatu's Laef Blo Mi project have led to observable changes in boys' behaviours; Male advocacy training with male leaders in Vanuatu has contributed to increased reporting of sexual abuse; </w:t>
      </w:r>
      <w:proofErr w:type="spellStart"/>
      <w:r w:rsidRPr="00EA3F4E">
        <w:rPr>
          <w:sz w:val="20"/>
          <w:szCs w:val="20"/>
        </w:rPr>
        <w:t>Malampa</w:t>
      </w:r>
      <w:proofErr w:type="spellEnd"/>
      <w:r w:rsidRPr="00EA3F4E">
        <w:rPr>
          <w:sz w:val="20"/>
          <w:szCs w:val="20"/>
        </w:rPr>
        <w:t xml:space="preserve"> Counselling Centre is seeing more girls coming forward about sexual abuse.</w:t>
      </w:r>
    </w:p>
    <w:p w14:paraId="7D423968" w14:textId="7C11E063" w:rsidR="00704784" w:rsidRPr="00EA3F4E" w:rsidRDefault="008F11A8" w:rsidP="00F16199">
      <w:pPr>
        <w:pStyle w:val="ListParagraph"/>
        <w:numPr>
          <w:ilvl w:val="0"/>
          <w:numId w:val="32"/>
        </w:numPr>
        <w:rPr>
          <w:sz w:val="20"/>
          <w:szCs w:val="20"/>
        </w:rPr>
      </w:pPr>
      <w:r w:rsidRPr="00EA3F4E">
        <w:rPr>
          <w:b/>
          <w:bCs/>
          <w:sz w:val="20"/>
          <w:szCs w:val="20"/>
        </w:rPr>
        <w:t>Prevention infrastructure has been strengthened in several countries</w:t>
      </w:r>
      <w:r w:rsidRPr="00EA3F4E">
        <w:rPr>
          <w:sz w:val="20"/>
          <w:szCs w:val="20"/>
        </w:rPr>
        <w:t xml:space="preserve"> through the championing of ending violence against women and girls by various stakeholders: Faith leaders, sport stakeholders, community members, CSOs, and key government ministries engaged in Fiji, Tonga, Kiribati, and Samoa.</w:t>
      </w:r>
    </w:p>
    <w:p w14:paraId="53C0ADAF" w14:textId="6DB3A4BA" w:rsidR="003256E0" w:rsidRPr="00CB7240" w:rsidRDefault="003256E0" w:rsidP="00C14C44">
      <w:pPr>
        <w:spacing w:after="120"/>
        <w:rPr>
          <w:rFonts w:asciiTheme="majorHAnsi" w:hAnsiTheme="majorHAnsi"/>
          <w:color w:val="984C00" w:themeColor="accent1" w:themeShade="BF"/>
          <w:sz w:val="22"/>
        </w:rPr>
      </w:pPr>
      <w:r w:rsidRPr="00CB7240">
        <w:rPr>
          <w:rFonts w:asciiTheme="majorHAnsi" w:hAnsiTheme="majorHAnsi"/>
          <w:color w:val="984C00" w:themeColor="accent1" w:themeShade="BF"/>
          <w:sz w:val="22"/>
        </w:rPr>
        <w:t>Intermediate outcome 1: Pacific Government, civil-society and private sector provide access to quality support services for diverse women and girls.</w:t>
      </w:r>
    </w:p>
    <w:p w14:paraId="39DE169B" w14:textId="111F3A19" w:rsidR="008E4939" w:rsidRDefault="0032140D" w:rsidP="0032140D">
      <w:r>
        <w:t>There is significant evidence of progress toward Pacific government, civil society, and private sector providing access to quality support services for diverse women and girls, with notable advancements in</w:t>
      </w:r>
      <w:r w:rsidRPr="003A450F">
        <w:t xml:space="preserve"> addressing new forms of violence, enhancing stakeholder collaboration, improving service coordination, and increasing access for rural and remote populations.</w:t>
      </w:r>
      <w:r w:rsidR="003256E0">
        <w:t xml:space="preserve"> </w:t>
      </w:r>
    </w:p>
    <w:p w14:paraId="3DA5D19D" w14:textId="77777777" w:rsidR="00BB29A3" w:rsidRPr="00872B35" w:rsidRDefault="00BB29A3" w:rsidP="00C14C44">
      <w:pPr>
        <w:spacing w:after="120"/>
        <w:rPr>
          <w:rFonts w:asciiTheme="majorHAnsi" w:hAnsiTheme="majorHAnsi"/>
          <w:color w:val="984C00" w:themeColor="accent1" w:themeShade="BF"/>
          <w:szCs w:val="21"/>
        </w:rPr>
      </w:pPr>
      <w:r w:rsidRPr="00872B35">
        <w:rPr>
          <w:rFonts w:asciiTheme="majorHAnsi" w:hAnsiTheme="majorHAnsi"/>
          <w:color w:val="984C00" w:themeColor="accent1" w:themeShade="BF"/>
          <w:szCs w:val="21"/>
        </w:rPr>
        <w:t xml:space="preserve">Intermediate outcome 2: </w:t>
      </w:r>
      <w:r w:rsidR="007030A2" w:rsidRPr="00872B35">
        <w:rPr>
          <w:rFonts w:asciiTheme="majorHAnsi" w:hAnsiTheme="majorHAnsi"/>
          <w:bCs/>
          <w:color w:val="984C00" w:themeColor="accent1" w:themeShade="BF"/>
          <w:szCs w:val="21"/>
        </w:rPr>
        <w:t>Pacific Government, civil-society and private sector and communities work to address social norms that contribute to diverse women and girls’ experience of violence</w:t>
      </w:r>
    </w:p>
    <w:p w14:paraId="2C9DD29E" w14:textId="0DACF704" w:rsidR="00BB29A3" w:rsidRPr="0032140D" w:rsidRDefault="00BB29A3" w:rsidP="0032140D">
      <w:r w:rsidRPr="00586893">
        <w:t>There is modest evidence of progress toward Pacific government, civil society, private sector and communities working to address social norms that contribute to diverse women and girls' experience of violence. PWL supported a limited number of partners in this area, and evidence suggests limited progress at national or regional scales, though some promising locali</w:t>
      </w:r>
      <w:r>
        <w:t>s</w:t>
      </w:r>
      <w:r w:rsidRPr="00586893">
        <w:t xml:space="preserve">ed initiatives exist. </w:t>
      </w:r>
      <w:r>
        <w:t>E</w:t>
      </w:r>
      <w:r w:rsidRPr="00586893">
        <w:t>ngaging boys and men remains an area needing continued attention.</w:t>
      </w:r>
    </w:p>
    <w:p w14:paraId="34FBC201" w14:textId="77777777" w:rsidR="00BD1707" w:rsidRDefault="00BD1707">
      <w:pPr>
        <w:rPr>
          <w:rFonts w:asciiTheme="majorHAnsi" w:hAnsiTheme="majorHAnsi"/>
          <w:sz w:val="28"/>
        </w:rPr>
      </w:pPr>
      <w:bookmarkStart w:id="26" w:name="_Hlk184291972"/>
      <w:r>
        <w:br w:type="page"/>
      </w:r>
    </w:p>
    <w:p w14:paraId="406C43AC" w14:textId="207EA139" w:rsidR="00EA0B7D" w:rsidRPr="00EE243C" w:rsidRDefault="00EA0B7D" w:rsidP="00EA0B7D">
      <w:pPr>
        <w:pStyle w:val="Tealblockheading"/>
      </w:pPr>
      <w:r>
        <w:lastRenderedPageBreak/>
        <w:t xml:space="preserve">KRQ1: </w:t>
      </w:r>
      <w:r w:rsidRPr="00EE243C">
        <w:t xml:space="preserve">To what extent is there progress </w:t>
      </w:r>
      <w:r>
        <w:t xml:space="preserve">in the area of: women’s rights realised – </w:t>
      </w:r>
      <w:r w:rsidRPr="00362900">
        <w:rPr>
          <w:color w:val="984C00" w:themeColor="accent1" w:themeShade="BF"/>
        </w:rPr>
        <w:t>sexual and reproductive health?</w:t>
      </w:r>
    </w:p>
    <w:p w14:paraId="646E28BA" w14:textId="36049F9A" w:rsidR="003451E1" w:rsidRDefault="003451E1" w:rsidP="00384259">
      <w:pPr>
        <w:pStyle w:val="Tealblocktext"/>
      </w:pPr>
      <w:r w:rsidRPr="001664E4">
        <w:rPr>
          <w:rStyle w:val="Strong"/>
          <w:b w:val="0"/>
        </w:rPr>
        <w:t>There is strong evidence of improved availability and delivery of services provided by health sectors across the Pacific as well as effective efforts to address social norms that limit access to services by diverse women and girls.</w:t>
      </w:r>
      <w:r w:rsidR="00AC6218">
        <w:rPr>
          <w:rStyle w:val="Strong"/>
          <w:b w:val="0"/>
        </w:rPr>
        <w:t xml:space="preserve"> T</w:t>
      </w:r>
      <w:r>
        <w:t>here is minimal evidence to suggest any noticeable shifts in social norms to allow for greater access to services.</w:t>
      </w:r>
      <w:r w:rsidR="005C7615">
        <w:rPr>
          <w:b/>
        </w:rPr>
        <w:t xml:space="preserve"> </w:t>
      </w:r>
      <w:r w:rsidR="005C7615" w:rsidRPr="005C7615">
        <w:t>Overall</w:t>
      </w:r>
      <w:r w:rsidR="005C7615">
        <w:rPr>
          <w:b/>
        </w:rPr>
        <w:t xml:space="preserve">, </w:t>
      </w:r>
      <w:r w:rsidR="005C7615" w:rsidRPr="001664E4">
        <w:rPr>
          <w:rStyle w:val="Strong"/>
          <w:b w:val="0"/>
        </w:rPr>
        <w:t xml:space="preserve">satisfactory progress </w:t>
      </w:r>
      <w:r w:rsidR="005C7615">
        <w:rPr>
          <w:rStyle w:val="Strong"/>
          <w:b w:val="0"/>
        </w:rPr>
        <w:t xml:space="preserve">has been made </w:t>
      </w:r>
      <w:r w:rsidR="005C7615" w:rsidRPr="001664E4">
        <w:rPr>
          <w:rStyle w:val="Strong"/>
          <w:b w:val="0"/>
        </w:rPr>
        <w:t>towards the EOPO</w:t>
      </w:r>
      <w:r w:rsidR="005C7615">
        <w:rPr>
          <w:rStyle w:val="Strong"/>
          <w:b w:val="0"/>
        </w:rPr>
        <w:t>.</w:t>
      </w:r>
      <w:r>
        <w:t xml:space="preserve"> </w:t>
      </w:r>
      <w:r w:rsidR="0065770D" w:rsidRPr="0065770D">
        <w:t>ARAW 2024 attendees rated progress towards this outcome as ‘as expected’ based on evidence of   achievements and challenges across the portfolio.</w:t>
      </w:r>
      <w:r w:rsidR="0065770D">
        <w:t xml:space="preserve"> </w:t>
      </w:r>
      <w:r w:rsidR="00C36741">
        <w:t>More evidence of progress is expected for the second half of the program given many partners received funds shortly before this review.</w:t>
      </w:r>
    </w:p>
    <w:p w14:paraId="412105C5" w14:textId="77777777" w:rsidR="007B31CA" w:rsidRPr="00CB7240" w:rsidRDefault="007B31CA" w:rsidP="007B31CA">
      <w:pPr>
        <w:spacing w:after="120"/>
        <w:rPr>
          <w:rFonts w:asciiTheme="majorHAnsi" w:hAnsiTheme="majorHAnsi"/>
          <w:color w:val="984C00" w:themeColor="accent1" w:themeShade="BF"/>
          <w:sz w:val="22"/>
        </w:rPr>
      </w:pPr>
      <w:bookmarkStart w:id="27" w:name="_Ref184292086"/>
      <w:bookmarkEnd w:id="26"/>
      <w:r w:rsidRPr="00CB7240">
        <w:rPr>
          <w:rFonts w:asciiTheme="majorHAnsi" w:hAnsiTheme="majorHAnsi"/>
          <w:color w:val="984C00" w:themeColor="accent1" w:themeShade="BF"/>
          <w:sz w:val="22"/>
        </w:rPr>
        <w:t>Key achievements</w:t>
      </w:r>
    </w:p>
    <w:p w14:paraId="5C2DEA15" w14:textId="6552A9C5" w:rsidR="007B31CA" w:rsidRPr="00EA3F4E" w:rsidRDefault="007B31CA" w:rsidP="007B31CA">
      <w:pPr>
        <w:pStyle w:val="ListBullet"/>
        <w:rPr>
          <w:sz w:val="20"/>
          <w:szCs w:val="20"/>
        </w:rPr>
      </w:pPr>
      <w:r w:rsidRPr="00EA3F4E">
        <w:rPr>
          <w:b/>
          <w:bCs/>
          <w:sz w:val="20"/>
          <w:szCs w:val="20"/>
        </w:rPr>
        <w:t>5 projects</w:t>
      </w:r>
      <w:r w:rsidRPr="00EA3F4E">
        <w:rPr>
          <w:sz w:val="20"/>
          <w:szCs w:val="20"/>
        </w:rPr>
        <w:t xml:space="preserve"> with a primary focus on this outcome</w:t>
      </w:r>
      <w:r w:rsidR="00592B71" w:rsidRPr="00EA3F4E">
        <w:rPr>
          <w:sz w:val="20"/>
          <w:szCs w:val="20"/>
        </w:rPr>
        <w:t>.</w:t>
      </w:r>
    </w:p>
    <w:p w14:paraId="687A164C" w14:textId="47320766" w:rsidR="007B31CA" w:rsidRPr="00EA3F4E" w:rsidRDefault="00F35B85" w:rsidP="007B31CA">
      <w:pPr>
        <w:pStyle w:val="ListBullet"/>
        <w:rPr>
          <w:sz w:val="20"/>
          <w:szCs w:val="20"/>
        </w:rPr>
      </w:pPr>
      <w:r w:rsidRPr="00EA3F4E">
        <w:rPr>
          <w:b/>
          <w:bCs/>
          <w:sz w:val="20"/>
          <w:szCs w:val="20"/>
        </w:rPr>
        <w:t>AUD47m</w:t>
      </w:r>
      <w:r w:rsidRPr="00EA3F4E">
        <w:rPr>
          <w:sz w:val="20"/>
          <w:szCs w:val="20"/>
        </w:rPr>
        <w:t xml:space="preserve"> committed to this outcome</w:t>
      </w:r>
      <w:r w:rsidR="00592B71" w:rsidRPr="00EA3F4E">
        <w:rPr>
          <w:sz w:val="20"/>
          <w:szCs w:val="20"/>
        </w:rPr>
        <w:t>.</w:t>
      </w:r>
    </w:p>
    <w:p w14:paraId="2EB64650" w14:textId="2F47E2FA" w:rsidR="007B31CA" w:rsidRPr="00EA3F4E" w:rsidRDefault="007B31CA" w:rsidP="007B31CA">
      <w:pPr>
        <w:pStyle w:val="ListBullet"/>
        <w:rPr>
          <w:sz w:val="20"/>
          <w:szCs w:val="20"/>
        </w:rPr>
      </w:pPr>
      <w:r w:rsidRPr="00EA3F4E">
        <w:rPr>
          <w:b/>
          <w:bCs/>
          <w:sz w:val="20"/>
          <w:szCs w:val="20"/>
        </w:rPr>
        <w:t>406,547</w:t>
      </w:r>
      <w:r w:rsidRPr="00EA3F4E">
        <w:rPr>
          <w:sz w:val="20"/>
          <w:szCs w:val="20"/>
        </w:rPr>
        <w:t xml:space="preserve"> couples protected for a full 12-month period</w:t>
      </w:r>
      <w:r w:rsidR="00592B71" w:rsidRPr="00EA3F4E">
        <w:rPr>
          <w:sz w:val="20"/>
          <w:szCs w:val="20"/>
        </w:rPr>
        <w:t>.</w:t>
      </w:r>
    </w:p>
    <w:p w14:paraId="21B449B3" w14:textId="5B33A2FA" w:rsidR="007B31CA" w:rsidRPr="00EA3F4E" w:rsidRDefault="007B31CA" w:rsidP="007B31CA">
      <w:pPr>
        <w:pStyle w:val="ListBullet"/>
        <w:rPr>
          <w:sz w:val="20"/>
          <w:szCs w:val="20"/>
        </w:rPr>
      </w:pPr>
      <w:r w:rsidRPr="00EA3F4E">
        <w:rPr>
          <w:b/>
          <w:bCs/>
          <w:sz w:val="20"/>
          <w:szCs w:val="20"/>
        </w:rPr>
        <w:t>84,774</w:t>
      </w:r>
      <w:r w:rsidRPr="00EA3F4E">
        <w:rPr>
          <w:sz w:val="20"/>
          <w:szCs w:val="20"/>
        </w:rPr>
        <w:t xml:space="preserve"> unplanned pregnancies averted through the correct use of modern contraceptives</w:t>
      </w:r>
      <w:r w:rsidR="009E0977" w:rsidRPr="00EA3F4E">
        <w:rPr>
          <w:sz w:val="20"/>
          <w:szCs w:val="20"/>
        </w:rPr>
        <w:t>.</w:t>
      </w:r>
    </w:p>
    <w:p w14:paraId="1C7C1B51" w14:textId="6700470E" w:rsidR="007B31CA" w:rsidRPr="00EA3F4E" w:rsidRDefault="007B31CA" w:rsidP="007B31CA">
      <w:pPr>
        <w:pStyle w:val="ListBullet"/>
        <w:rPr>
          <w:sz w:val="20"/>
          <w:szCs w:val="20"/>
        </w:rPr>
      </w:pPr>
      <w:r w:rsidRPr="00EA3F4E">
        <w:rPr>
          <w:b/>
          <w:bCs/>
          <w:sz w:val="20"/>
          <w:szCs w:val="20"/>
        </w:rPr>
        <w:t>23,694</w:t>
      </w:r>
      <w:r w:rsidRPr="00EA3F4E">
        <w:rPr>
          <w:sz w:val="20"/>
          <w:szCs w:val="20"/>
        </w:rPr>
        <w:t xml:space="preserve"> students received Family Life Education (FLE) and Comprehensive Sexuality Education (CSE)</w:t>
      </w:r>
      <w:r w:rsidR="009E0977" w:rsidRPr="00EA3F4E">
        <w:rPr>
          <w:sz w:val="20"/>
          <w:szCs w:val="20"/>
        </w:rPr>
        <w:t>.</w:t>
      </w:r>
    </w:p>
    <w:p w14:paraId="6030AA3F" w14:textId="10B2D60E" w:rsidR="007B31CA" w:rsidRPr="00EA3F4E" w:rsidRDefault="007B31CA" w:rsidP="007B31CA">
      <w:pPr>
        <w:pStyle w:val="ListBullet"/>
        <w:rPr>
          <w:sz w:val="20"/>
          <w:szCs w:val="20"/>
        </w:rPr>
      </w:pPr>
      <w:r w:rsidRPr="00EA3F4E">
        <w:rPr>
          <w:b/>
          <w:bCs/>
          <w:sz w:val="20"/>
          <w:szCs w:val="20"/>
        </w:rPr>
        <w:t>200,432</w:t>
      </w:r>
      <w:r w:rsidRPr="00EA3F4E">
        <w:rPr>
          <w:sz w:val="20"/>
          <w:szCs w:val="20"/>
        </w:rPr>
        <w:t xml:space="preserve"> SRH services provided</w:t>
      </w:r>
      <w:r w:rsidR="009E0977" w:rsidRPr="00EA3F4E">
        <w:rPr>
          <w:sz w:val="20"/>
          <w:szCs w:val="20"/>
        </w:rPr>
        <w:t>.</w:t>
      </w:r>
    </w:p>
    <w:p w14:paraId="46001917" w14:textId="77777777" w:rsidR="007B31CA" w:rsidRPr="00EA3F4E" w:rsidRDefault="007B31CA" w:rsidP="007B31CA">
      <w:pPr>
        <w:pStyle w:val="ListBullet"/>
        <w:rPr>
          <w:sz w:val="20"/>
          <w:szCs w:val="20"/>
        </w:rPr>
      </w:pPr>
      <w:r w:rsidRPr="00EA3F4E">
        <w:rPr>
          <w:b/>
          <w:bCs/>
          <w:sz w:val="20"/>
          <w:szCs w:val="20"/>
        </w:rPr>
        <w:t xml:space="preserve">Evidence of progress in law and policy. </w:t>
      </w:r>
      <w:r w:rsidRPr="00EA3F4E">
        <w:rPr>
          <w:sz w:val="20"/>
          <w:szCs w:val="20"/>
        </w:rPr>
        <w:t>Including decriminalisation of homosexuality in Cook Islands, integration of SRHR language in policies, and research on abortion access in Solomon Islands.</w:t>
      </w:r>
    </w:p>
    <w:p w14:paraId="0CCF57E8" w14:textId="77777777" w:rsidR="007B31CA" w:rsidRPr="00EA3F4E" w:rsidRDefault="007B31CA" w:rsidP="007B31CA">
      <w:pPr>
        <w:pStyle w:val="ListBullet"/>
        <w:rPr>
          <w:sz w:val="20"/>
          <w:szCs w:val="20"/>
        </w:rPr>
      </w:pPr>
      <w:r w:rsidRPr="00EA3F4E">
        <w:rPr>
          <w:b/>
          <w:bCs/>
          <w:sz w:val="20"/>
          <w:szCs w:val="20"/>
        </w:rPr>
        <w:t>Healthcare capacity strengthening.</w:t>
      </w:r>
      <w:r w:rsidRPr="00EA3F4E">
        <w:rPr>
          <w:sz w:val="20"/>
          <w:szCs w:val="20"/>
        </w:rPr>
        <w:t xml:space="preserve"> Training programs across 6 countries, with Samoa and Tonga achieving 100% facility coverage with trained staff, and several countries revising midwifery curricula to international standards.</w:t>
      </w:r>
    </w:p>
    <w:p w14:paraId="096C1CE0" w14:textId="77777777" w:rsidR="007B31CA" w:rsidRPr="00EA3F4E" w:rsidRDefault="007B31CA" w:rsidP="007B31CA">
      <w:pPr>
        <w:pStyle w:val="ListBullet"/>
        <w:rPr>
          <w:sz w:val="20"/>
          <w:szCs w:val="20"/>
        </w:rPr>
      </w:pPr>
      <w:r w:rsidRPr="00EA3F4E">
        <w:rPr>
          <w:b/>
          <w:bCs/>
          <w:sz w:val="20"/>
          <w:szCs w:val="20"/>
        </w:rPr>
        <w:t>SGBV response improvement.</w:t>
      </w:r>
      <w:r w:rsidRPr="00EA3F4E">
        <w:rPr>
          <w:sz w:val="20"/>
          <w:szCs w:val="20"/>
        </w:rPr>
        <w:t xml:space="preserve"> Establishment of the SGBV Pacific Champions Community of Practice, training of 19 participants, and development of standardised protocols.</w:t>
      </w:r>
    </w:p>
    <w:p w14:paraId="139C7CB1" w14:textId="77777777" w:rsidR="007B31CA" w:rsidRPr="00EA3F4E" w:rsidRDefault="007B31CA" w:rsidP="007B31CA">
      <w:pPr>
        <w:pStyle w:val="ListBullet"/>
        <w:rPr>
          <w:sz w:val="20"/>
          <w:szCs w:val="20"/>
        </w:rPr>
      </w:pPr>
      <w:r w:rsidRPr="00EA3F4E">
        <w:rPr>
          <w:b/>
          <w:bCs/>
          <w:sz w:val="20"/>
          <w:szCs w:val="20"/>
        </w:rPr>
        <w:t>Clinical services enhancement:</w:t>
      </w:r>
      <w:r w:rsidRPr="00EA3F4E">
        <w:rPr>
          <w:sz w:val="20"/>
          <w:szCs w:val="20"/>
        </w:rPr>
        <w:t xml:space="preserve"> Including Tuvalu reaching the World Health Organisation target of 70% of the population screened for cervical cancer.</w:t>
      </w:r>
    </w:p>
    <w:p w14:paraId="7568586E" w14:textId="77777777" w:rsidR="007B31CA" w:rsidRPr="00EA3F4E" w:rsidRDefault="007B31CA" w:rsidP="007B31CA">
      <w:pPr>
        <w:pStyle w:val="ListBullet"/>
        <w:rPr>
          <w:sz w:val="20"/>
          <w:szCs w:val="20"/>
        </w:rPr>
      </w:pPr>
      <w:r w:rsidRPr="00EA3F4E">
        <w:rPr>
          <w:b/>
          <w:bCs/>
          <w:sz w:val="20"/>
          <w:szCs w:val="20"/>
        </w:rPr>
        <w:t>Educational Initiatives</w:t>
      </w:r>
      <w:r w:rsidRPr="00EA3F4E">
        <w:rPr>
          <w:sz w:val="20"/>
          <w:szCs w:val="20"/>
        </w:rPr>
        <w:t>: Family life education and Comprehensive Sexuality Education (CSE) programs have reached 23,694 students across the Federated States of Micronesia (FSM), Kiribati, Samoa, and Vanuatu. Additionally, out-of-school CSE training has been implemented in seven countries (Fiji, FSM, Kiribati, Marshall Islands, Solomon Islands, Vanuatu, and Tonga). One partner study in the Solomon Islands showed that targeted radio spots led to a 94% increase in the likelihood of listeners to use SRH services. </w:t>
      </w:r>
    </w:p>
    <w:p w14:paraId="3F1574C3" w14:textId="77777777" w:rsidR="007B31CA" w:rsidRPr="00EA3F4E" w:rsidRDefault="007B31CA" w:rsidP="007B31CA">
      <w:pPr>
        <w:pStyle w:val="ListBullet"/>
        <w:rPr>
          <w:sz w:val="20"/>
          <w:szCs w:val="20"/>
        </w:rPr>
      </w:pPr>
      <w:r w:rsidRPr="00EA3F4E">
        <w:rPr>
          <w:b/>
          <w:bCs/>
          <w:sz w:val="20"/>
          <w:szCs w:val="20"/>
        </w:rPr>
        <w:t>Pacific Girl Program</w:t>
      </w:r>
      <w:r w:rsidRPr="00EA3F4E">
        <w:rPr>
          <w:sz w:val="20"/>
          <w:szCs w:val="20"/>
        </w:rPr>
        <w:t>: This initiative has created safe spaces for conversations about SRHR, empowering girls to seek information and care, and helping dismantle stigma. Pacific Girl partners work with parents and caregivers to address misconceptions about SRHR education and encourage family support, helping normalise SRHR conversations in communities where they were previously taboo.</w:t>
      </w:r>
    </w:p>
    <w:p w14:paraId="2E56FF86" w14:textId="40E6D556" w:rsidR="00155717" w:rsidRPr="007B31CA" w:rsidRDefault="00155717" w:rsidP="00C14C44">
      <w:pPr>
        <w:spacing w:after="120"/>
        <w:rPr>
          <w:rFonts w:asciiTheme="majorHAnsi" w:hAnsiTheme="majorHAnsi"/>
          <w:color w:val="984C00" w:themeColor="accent1" w:themeShade="BF"/>
          <w:sz w:val="22"/>
        </w:rPr>
      </w:pPr>
      <w:r w:rsidRPr="007B31CA">
        <w:rPr>
          <w:rFonts w:asciiTheme="majorHAnsi" w:hAnsiTheme="majorHAnsi"/>
          <w:color w:val="984C00" w:themeColor="accent1" w:themeShade="BF"/>
          <w:sz w:val="22"/>
        </w:rPr>
        <w:t>Intermediate outcome 1: Health sectors across the Pacific provide quality and inclusive SRHR services</w:t>
      </w:r>
    </w:p>
    <w:p w14:paraId="450073C6" w14:textId="669FA5C0" w:rsidR="00200F80" w:rsidRDefault="00AF57E7" w:rsidP="00200F80">
      <w:r>
        <w:t xml:space="preserve">There is </w:t>
      </w:r>
      <w:r w:rsidR="008C09E2">
        <w:t xml:space="preserve">strong </w:t>
      </w:r>
      <w:r>
        <w:t>evidence of p</w:t>
      </w:r>
      <w:r w:rsidR="00200F80" w:rsidRPr="00200F80">
        <w:t>rogress in Pacific health sectors providing quality and inclusive SRHR services across multiple areas</w:t>
      </w:r>
      <w:r w:rsidR="003975F2">
        <w:t>,</w:t>
      </w:r>
      <w:r w:rsidR="00200F80">
        <w:t xml:space="preserve"> including p</w:t>
      </w:r>
      <w:r w:rsidR="00200F80" w:rsidRPr="00200F80">
        <w:t>olicy advancements</w:t>
      </w:r>
      <w:r w:rsidR="00200F80">
        <w:t xml:space="preserve">, improvements in healthcare capacity, improvements in sexual and gender-based violence response (SGBV) and enhancement of clinical services. </w:t>
      </w:r>
    </w:p>
    <w:p w14:paraId="413CBAA4" w14:textId="15A69E27" w:rsidR="00200F80" w:rsidRPr="007B31CA" w:rsidRDefault="00200F80" w:rsidP="00C14C44">
      <w:pPr>
        <w:spacing w:after="120"/>
        <w:rPr>
          <w:rFonts w:asciiTheme="majorHAnsi" w:hAnsiTheme="majorHAnsi"/>
          <w:color w:val="984C00" w:themeColor="accent1" w:themeShade="BF"/>
          <w:sz w:val="22"/>
        </w:rPr>
      </w:pPr>
      <w:r w:rsidRPr="007B31CA">
        <w:rPr>
          <w:rFonts w:asciiTheme="majorHAnsi" w:hAnsiTheme="majorHAnsi"/>
          <w:color w:val="984C00" w:themeColor="accent1" w:themeShade="BF"/>
          <w:sz w:val="22"/>
        </w:rPr>
        <w:t>Intermediate outcome 2: Pacific Governments, civil society, private sector and communities work to address social norms that limit diverse women and adolescent girls</w:t>
      </w:r>
      <w:r w:rsidR="003975F2" w:rsidRPr="007B31CA">
        <w:rPr>
          <w:rFonts w:asciiTheme="majorHAnsi" w:hAnsiTheme="majorHAnsi"/>
          <w:color w:val="984C00" w:themeColor="accent1" w:themeShade="BF"/>
          <w:sz w:val="22"/>
        </w:rPr>
        <w:t>’</w:t>
      </w:r>
      <w:r w:rsidRPr="007B31CA">
        <w:rPr>
          <w:rFonts w:asciiTheme="majorHAnsi" w:hAnsiTheme="majorHAnsi"/>
          <w:color w:val="984C00" w:themeColor="accent1" w:themeShade="BF"/>
          <w:sz w:val="22"/>
        </w:rPr>
        <w:t xml:space="preserve"> access to SRHR</w:t>
      </w:r>
    </w:p>
    <w:p w14:paraId="654E2D7E" w14:textId="55A0712C" w:rsidR="00595DEB" w:rsidRPr="00AF57E7" w:rsidRDefault="00AF57E7" w:rsidP="005C62D1">
      <w:pPr>
        <w:rPr>
          <w:rFonts w:cstheme="minorHAnsi"/>
        </w:rPr>
      </w:pPr>
      <w:r>
        <w:t>There</w:t>
      </w:r>
      <w:r w:rsidRPr="00AF57E7">
        <w:t xml:space="preserve"> has been notable progress in addressing social norms that limit diverse women and adolescent girls' access to SRHR in the Pacific region</w:t>
      </w:r>
      <w:r w:rsidR="005A67D9">
        <w:t>.</w:t>
      </w:r>
      <w:r>
        <w:t xml:space="preserve"> </w:t>
      </w:r>
      <w:bookmarkEnd w:id="27"/>
      <w:r w:rsidR="00DD0697">
        <w:t xml:space="preserve">Evidence demonstrates that coordinated educational, media and community-based approaches are effectively beginning to shift social norms around SRHR. However, the work is also ongoing, with partner reporting highlighting that </w:t>
      </w:r>
      <w:r w:rsidR="00D35B08">
        <w:t xml:space="preserve">this is a long-term process, and that </w:t>
      </w:r>
      <w:r w:rsidR="00DD0697">
        <w:t xml:space="preserve">myths and misconceptions remain prevalent due to the lack of open discussion in homes, schools and communities. </w:t>
      </w:r>
    </w:p>
    <w:p w14:paraId="1D2B0FE1" w14:textId="217477D9" w:rsidR="006F360A" w:rsidRPr="00EE243C" w:rsidRDefault="006F360A" w:rsidP="006F360A">
      <w:pPr>
        <w:pStyle w:val="Tealblockheading"/>
      </w:pPr>
      <w:bookmarkStart w:id="28" w:name="_Hlk193735546"/>
      <w:r>
        <w:lastRenderedPageBreak/>
        <w:t xml:space="preserve">KRQ1: </w:t>
      </w:r>
      <w:r w:rsidRPr="00EE243C">
        <w:t xml:space="preserve">To what extent is there progress </w:t>
      </w:r>
      <w:r>
        <w:t xml:space="preserve">in the area of: women’s rights realised – </w:t>
      </w:r>
      <w:r w:rsidRPr="00362900">
        <w:rPr>
          <w:color w:val="984C00" w:themeColor="accent1" w:themeShade="BF"/>
        </w:rPr>
        <w:t>women’s economic empowerment?</w:t>
      </w:r>
    </w:p>
    <w:p w14:paraId="56364457" w14:textId="4E5F7871" w:rsidR="003451E1" w:rsidRPr="00D15798" w:rsidRDefault="003451E1" w:rsidP="00384259">
      <w:pPr>
        <w:pStyle w:val="Tealblocktext"/>
      </w:pPr>
      <w:r>
        <w:rPr>
          <w:rStyle w:val="Strong"/>
          <w:b w:val="0"/>
        </w:rPr>
        <w:t>Partner efforts</w:t>
      </w:r>
      <w:r w:rsidRPr="001664E4">
        <w:rPr>
          <w:rStyle w:val="Strong"/>
          <w:b w:val="0"/>
        </w:rPr>
        <w:t xml:space="preserve"> have achieved</w:t>
      </w:r>
      <w:r w:rsidR="0036219B">
        <w:rPr>
          <w:rStyle w:val="Strong"/>
          <w:b w:val="0"/>
        </w:rPr>
        <w:t xml:space="preserve"> satisfactory</w:t>
      </w:r>
      <w:r w:rsidRPr="001664E4">
        <w:rPr>
          <w:rStyle w:val="Strong"/>
          <w:b w:val="0"/>
        </w:rPr>
        <w:t xml:space="preserve"> progress towards this EOPO</w:t>
      </w:r>
      <w:r w:rsidR="0065770D">
        <w:rPr>
          <w:rStyle w:val="Strong"/>
          <w:b w:val="0"/>
        </w:rPr>
        <w:t xml:space="preserve">. </w:t>
      </w:r>
      <w:r w:rsidR="0065770D" w:rsidRPr="0065770D">
        <w:rPr>
          <w:bCs/>
        </w:rPr>
        <w:t>ARAW 2024 attendees rated progress towards this outcome as ‘as expected’ based on evidence of achievements and challenges across the portfolio.</w:t>
      </w:r>
      <w:r w:rsidR="0065770D">
        <w:rPr>
          <w:bCs/>
        </w:rPr>
        <w:t xml:space="preserve"> </w:t>
      </w:r>
      <w:r w:rsidR="0065770D" w:rsidRPr="0065770D">
        <w:rPr>
          <w:bCs/>
        </w:rPr>
        <w:t xml:space="preserve">The MTR agrees with this rating, with the caveat that more attention is needed on social norms change and application of a do no harm lens. </w:t>
      </w:r>
      <w:r w:rsidRPr="001664E4">
        <w:rPr>
          <w:rStyle w:val="Strong"/>
          <w:b w:val="0"/>
        </w:rPr>
        <w:t>However, the MTR team encourage deeper reflection on whether the proportion of investment on WEE is sufficient to achieve scaled and sustained progress in this area.</w:t>
      </w:r>
      <w:r>
        <w:rPr>
          <w:rFonts w:cstheme="minorHAnsi"/>
        </w:rPr>
        <w:t xml:space="preserve"> Furthermore, there is minimal evidence of social norms change and of do no harm approaches being incorporated into programming, as suggested by the formative situational analysis. </w:t>
      </w:r>
      <w:r w:rsidR="00C36741">
        <w:t>More evidence of progress is expected for the second half of the program given many partners received funds shortly before this review.</w:t>
      </w:r>
    </w:p>
    <w:p w14:paraId="69D39C7F" w14:textId="77777777" w:rsidR="00936FC4" w:rsidRPr="00CB7240" w:rsidRDefault="00936FC4" w:rsidP="00936FC4">
      <w:pPr>
        <w:spacing w:after="120"/>
        <w:rPr>
          <w:rFonts w:asciiTheme="majorHAnsi" w:hAnsiTheme="majorHAnsi"/>
          <w:color w:val="984C00" w:themeColor="accent1" w:themeShade="BF"/>
          <w:sz w:val="22"/>
        </w:rPr>
      </w:pPr>
      <w:bookmarkStart w:id="29" w:name="_Ref184292554"/>
      <w:bookmarkEnd w:id="28"/>
      <w:r w:rsidRPr="00CB7240">
        <w:rPr>
          <w:rFonts w:asciiTheme="majorHAnsi" w:hAnsiTheme="majorHAnsi"/>
          <w:color w:val="984C00" w:themeColor="accent1" w:themeShade="BF"/>
          <w:sz w:val="22"/>
        </w:rPr>
        <w:t>Key achievements</w:t>
      </w:r>
    </w:p>
    <w:p w14:paraId="5115AC04" w14:textId="2A70DF44" w:rsidR="000630C5" w:rsidRPr="000630C5" w:rsidRDefault="000630C5" w:rsidP="000630C5">
      <w:pPr>
        <w:pStyle w:val="ListBullet"/>
        <w:rPr>
          <w:szCs w:val="21"/>
        </w:rPr>
      </w:pPr>
      <w:r w:rsidRPr="000630C5">
        <w:rPr>
          <w:b/>
          <w:bCs/>
          <w:szCs w:val="21"/>
        </w:rPr>
        <w:t>AUD18m</w:t>
      </w:r>
      <w:r w:rsidRPr="000630C5">
        <w:rPr>
          <w:szCs w:val="21"/>
        </w:rPr>
        <w:t xml:space="preserve"> committed to this outcome</w:t>
      </w:r>
      <w:r w:rsidR="00592B71">
        <w:rPr>
          <w:szCs w:val="21"/>
        </w:rPr>
        <w:t>.</w:t>
      </w:r>
    </w:p>
    <w:p w14:paraId="477500C0" w14:textId="64A1B385" w:rsidR="000630C5" w:rsidRPr="00936FC4" w:rsidRDefault="000630C5" w:rsidP="000630C5">
      <w:pPr>
        <w:pStyle w:val="ListBullet"/>
        <w:rPr>
          <w:szCs w:val="21"/>
        </w:rPr>
      </w:pPr>
      <w:r w:rsidRPr="00936FC4">
        <w:rPr>
          <w:b/>
          <w:bCs/>
          <w:szCs w:val="21"/>
        </w:rPr>
        <w:t>19 projects</w:t>
      </w:r>
      <w:r w:rsidRPr="00936FC4">
        <w:rPr>
          <w:szCs w:val="21"/>
        </w:rPr>
        <w:t xml:space="preserve"> with a primary focus on this outcome</w:t>
      </w:r>
      <w:r w:rsidR="00592B71">
        <w:rPr>
          <w:szCs w:val="21"/>
        </w:rPr>
        <w:t>.</w:t>
      </w:r>
    </w:p>
    <w:p w14:paraId="6EAAA3C8" w14:textId="77777777" w:rsidR="000630C5" w:rsidRPr="00936FC4" w:rsidRDefault="000630C5" w:rsidP="000630C5">
      <w:pPr>
        <w:pStyle w:val="ListBullet"/>
        <w:rPr>
          <w:szCs w:val="21"/>
        </w:rPr>
      </w:pPr>
      <w:r w:rsidRPr="00936FC4">
        <w:rPr>
          <w:b/>
          <w:szCs w:val="21"/>
        </w:rPr>
        <w:t>24,824</w:t>
      </w:r>
      <w:r w:rsidRPr="00936FC4">
        <w:rPr>
          <w:szCs w:val="21"/>
        </w:rPr>
        <w:t xml:space="preserve"> financial and business development services delivered to women, including training in finance and business, supporting women to access financial services and products, creating market opportunities for women to sell their products, and establishing savings clubs.</w:t>
      </w:r>
    </w:p>
    <w:p w14:paraId="235A2E4A" w14:textId="77777777" w:rsidR="000630C5" w:rsidRPr="00936FC4" w:rsidRDefault="000630C5" w:rsidP="000630C5">
      <w:pPr>
        <w:pStyle w:val="ListBullet"/>
        <w:rPr>
          <w:szCs w:val="21"/>
        </w:rPr>
      </w:pPr>
      <w:r w:rsidRPr="00936FC4">
        <w:rPr>
          <w:b/>
          <w:bCs/>
          <w:szCs w:val="21"/>
        </w:rPr>
        <w:t>Markets for Change (M4C) program</w:t>
      </w:r>
      <w:r w:rsidRPr="00936FC4">
        <w:rPr>
          <w:szCs w:val="21"/>
        </w:rPr>
        <w:t>: UN Women's M4C program has improved socioeconomic stability for women vendors across four Pacific nations through finance and business training. Over 700 rural women in Fiji and Vanuatu reported improved economic security, with 40% of Fijian participants gaining greater financial decision-making agency.</w:t>
      </w:r>
    </w:p>
    <w:p w14:paraId="55AE7F75" w14:textId="77777777" w:rsidR="000630C5" w:rsidRPr="00936FC4" w:rsidRDefault="000630C5" w:rsidP="000630C5">
      <w:pPr>
        <w:pStyle w:val="ListBullet"/>
        <w:rPr>
          <w:szCs w:val="21"/>
        </w:rPr>
      </w:pPr>
      <w:r w:rsidRPr="00936FC4">
        <w:rPr>
          <w:b/>
          <w:bCs/>
          <w:szCs w:val="21"/>
        </w:rPr>
        <w:t>Strategic initiatives and partnerships</w:t>
      </w:r>
      <w:r w:rsidRPr="00936FC4">
        <w:rPr>
          <w:szCs w:val="21"/>
        </w:rPr>
        <w:t xml:space="preserve">: Various programs have expanded access to information and business development opportunities, including SPC-facilitated WEE roundtables, the 3rd Regional Conference for Pacific Women in Maritime, market business fairs in Fiji, and Rise Beyond the Reef's market partnerships. </w:t>
      </w:r>
    </w:p>
    <w:p w14:paraId="225C9CA6" w14:textId="77777777" w:rsidR="000630C5" w:rsidRPr="00936FC4" w:rsidRDefault="000630C5" w:rsidP="000630C5">
      <w:pPr>
        <w:pStyle w:val="ListBullet"/>
        <w:rPr>
          <w:szCs w:val="21"/>
        </w:rPr>
      </w:pPr>
      <w:r w:rsidRPr="00936FC4">
        <w:rPr>
          <w:b/>
          <w:bCs/>
          <w:szCs w:val="21"/>
        </w:rPr>
        <w:t>Environmental sustainability integration</w:t>
      </w:r>
      <w:r w:rsidRPr="00936FC4">
        <w:rPr>
          <w:szCs w:val="21"/>
        </w:rPr>
        <w:t xml:space="preserve">: Several initiatives have integrated environmental sustainability with women's economic opportunities, including M4C's disaster management plans and vendor training, Women's Fund Fiji's climate-resilient projects, </w:t>
      </w:r>
      <w:proofErr w:type="spellStart"/>
      <w:r w:rsidRPr="00936FC4">
        <w:rPr>
          <w:szCs w:val="21"/>
        </w:rPr>
        <w:t>Naitasiri</w:t>
      </w:r>
      <w:proofErr w:type="spellEnd"/>
      <w:r w:rsidRPr="00936FC4">
        <w:rPr>
          <w:szCs w:val="21"/>
        </w:rPr>
        <w:t xml:space="preserve"> Women in Dairy Group's sustainability practices, and University of the South Pacific's Circular Economy models enabling income from recycled materials.</w:t>
      </w:r>
    </w:p>
    <w:p w14:paraId="3964A86E" w14:textId="1263BFA4" w:rsidR="00C5736F" w:rsidRPr="00936FC4" w:rsidRDefault="00F57C11" w:rsidP="00C14C44">
      <w:pPr>
        <w:spacing w:after="120"/>
        <w:rPr>
          <w:rFonts w:asciiTheme="majorHAnsi" w:hAnsiTheme="majorHAnsi"/>
          <w:color w:val="984C00" w:themeColor="accent1" w:themeShade="BF"/>
          <w:sz w:val="22"/>
        </w:rPr>
      </w:pPr>
      <w:r w:rsidRPr="00936FC4">
        <w:rPr>
          <w:rFonts w:asciiTheme="majorHAnsi" w:hAnsiTheme="majorHAnsi"/>
          <w:color w:val="984C00" w:themeColor="accent1" w:themeShade="BF"/>
          <w:sz w:val="22"/>
        </w:rPr>
        <w:t>Intermediate outcome 1: Pacific Government, civil society and private sector provide quality</w:t>
      </w:r>
      <w:r w:rsidR="00ED2112" w:rsidRPr="00936FC4">
        <w:rPr>
          <w:rFonts w:asciiTheme="majorHAnsi" w:hAnsiTheme="majorHAnsi"/>
          <w:color w:val="984C00" w:themeColor="accent1" w:themeShade="BF"/>
          <w:sz w:val="22"/>
        </w:rPr>
        <w:t>,</w:t>
      </w:r>
      <w:r w:rsidRPr="00936FC4">
        <w:rPr>
          <w:rFonts w:asciiTheme="majorHAnsi" w:hAnsiTheme="majorHAnsi"/>
          <w:color w:val="984C00" w:themeColor="accent1" w:themeShade="BF"/>
          <w:sz w:val="22"/>
        </w:rPr>
        <w:t xml:space="preserve"> equitable</w:t>
      </w:r>
      <w:r w:rsidR="00ED2112" w:rsidRPr="00936FC4">
        <w:rPr>
          <w:rFonts w:asciiTheme="majorHAnsi" w:hAnsiTheme="majorHAnsi"/>
          <w:color w:val="984C00" w:themeColor="accent1" w:themeShade="BF"/>
          <w:sz w:val="22"/>
        </w:rPr>
        <w:t>,</w:t>
      </w:r>
      <w:r w:rsidRPr="00936FC4">
        <w:rPr>
          <w:rFonts w:asciiTheme="majorHAnsi" w:hAnsiTheme="majorHAnsi"/>
          <w:color w:val="984C00" w:themeColor="accent1" w:themeShade="BF"/>
          <w:sz w:val="22"/>
        </w:rPr>
        <w:t xml:space="preserve"> and inclusive economic opportunities for diverse women</w:t>
      </w:r>
      <w:bookmarkEnd w:id="29"/>
    </w:p>
    <w:p w14:paraId="5F27BAD4" w14:textId="5C405D3C" w:rsidR="00D1644A" w:rsidRDefault="00D1644A" w:rsidP="00D1644A">
      <w:r>
        <w:t>There is moderate evidence of progress toward providing quality, equitable, and inclusive economic opportunities for diverse women through civil society initiatives and government engagement</w:t>
      </w:r>
      <w:r w:rsidR="00ED2112">
        <w:t>. There</w:t>
      </w:r>
      <w:r w:rsidR="00ED2112" w:rsidRPr="00ED2112">
        <w:t xml:space="preserve"> is evidence of progress in supporting women market vendors, developing strategic partnerships, and creating climate-resilient economic opportunities</w:t>
      </w:r>
      <w:r w:rsidR="00217DD0">
        <w:t xml:space="preserve"> but </w:t>
      </w:r>
      <w:r w:rsidRPr="00D1644A">
        <w:t xml:space="preserve">less evidence of how programs have concretely benefited women with disabilities or gender-diverse women, suggesting an area requiring greater attention and targeted approaches. </w:t>
      </w:r>
    </w:p>
    <w:p w14:paraId="1CAC5DA0" w14:textId="5C52DA04" w:rsidR="00E2505B" w:rsidRPr="00936FC4" w:rsidRDefault="00DD0697" w:rsidP="00C14C44">
      <w:pPr>
        <w:spacing w:after="120"/>
        <w:rPr>
          <w:rFonts w:asciiTheme="majorHAnsi" w:hAnsiTheme="majorHAnsi"/>
          <w:color w:val="984C00" w:themeColor="accent1" w:themeShade="BF"/>
          <w:sz w:val="22"/>
          <w:szCs w:val="24"/>
        </w:rPr>
      </w:pPr>
      <w:r w:rsidRPr="00936FC4">
        <w:rPr>
          <w:rFonts w:asciiTheme="majorHAnsi" w:hAnsiTheme="majorHAnsi"/>
          <w:color w:val="984C00" w:themeColor="accent1" w:themeShade="BF"/>
          <w:sz w:val="22"/>
          <w:szCs w:val="24"/>
        </w:rPr>
        <w:t xml:space="preserve">Intermediate Outcome 2: </w:t>
      </w:r>
      <w:r w:rsidR="00E2505B" w:rsidRPr="00936FC4">
        <w:rPr>
          <w:rFonts w:asciiTheme="majorHAnsi" w:hAnsiTheme="majorHAnsi"/>
          <w:color w:val="984C00" w:themeColor="accent1" w:themeShade="BF"/>
          <w:sz w:val="22"/>
          <w:szCs w:val="24"/>
        </w:rPr>
        <w:t>Pacific Governments, civil society, private sector, and communities work to address social norms that limit diverse women’s economic empowerment</w:t>
      </w:r>
    </w:p>
    <w:p w14:paraId="1330A072" w14:textId="0BD35C20" w:rsidR="00E2505B" w:rsidRPr="007F7044" w:rsidRDefault="002E30EB" w:rsidP="00E2505B">
      <w:r w:rsidRPr="002E30EB">
        <w:t>Evidence suggests limited progress in addressing social norms restricting women's economic empowerment across the Pacific. Partner reports acknowledge minimal advancement in changing gender norms, with few documented contributions from governments, civil society, or private sector. Promising developments include SPC's Pacific People Advancing Change program and the North Bougainville economic empowerment pilot, which has shown early positive results in family dynamics. While these initiatives suggest potential pathways forward, they remain small in scale, indicating substantial work is still needed to transform entrenched social norms limiting women's economic participation.</w:t>
      </w:r>
    </w:p>
    <w:p w14:paraId="2DB4C543" w14:textId="72C3FB9F" w:rsidR="008361EE" w:rsidRPr="00EE243C" w:rsidRDefault="008361EE" w:rsidP="008361EE">
      <w:pPr>
        <w:pStyle w:val="Tealblockheading"/>
      </w:pPr>
      <w:bookmarkStart w:id="30" w:name="_Hlk193735568"/>
      <w:r>
        <w:lastRenderedPageBreak/>
        <w:t xml:space="preserve">KRQ1: </w:t>
      </w:r>
      <w:r w:rsidRPr="00EE243C">
        <w:t xml:space="preserve">To what extent is there progress </w:t>
      </w:r>
      <w:r>
        <w:t xml:space="preserve">in the area of: women’s leadership promoted – </w:t>
      </w:r>
      <w:r w:rsidRPr="00362900">
        <w:rPr>
          <w:color w:val="984C00" w:themeColor="accent1" w:themeShade="BF"/>
        </w:rPr>
        <w:t>feminist leadership?</w:t>
      </w:r>
    </w:p>
    <w:p w14:paraId="693C6B2B" w14:textId="2E4362DE" w:rsidR="005F1103" w:rsidRDefault="005F1103" w:rsidP="00384259">
      <w:pPr>
        <w:pStyle w:val="Tealblocktext"/>
      </w:pPr>
      <w:r>
        <w:t xml:space="preserve">The formative situational analysis describes difficulties with defining the feminist movement, and there was recognition during the 2024 ARAW of the possibility of feminist labels unintentionally excluding progressive women’s organisations led by feminist leaders. Nevertheless, based on evidence from partners supporting this EOPO, the MTR team has found </w:t>
      </w:r>
      <w:r w:rsidRPr="000958FF">
        <w:t>strong evidence that PWL has amplified Pacific feminist civil society at the regional, national, and local levels</w:t>
      </w:r>
      <w:r>
        <w:t>.</w:t>
      </w:r>
      <w:r w:rsidR="0065770D" w:rsidRPr="0065770D">
        <w:t xml:space="preserve"> ARAW 2024 attendees similarly rated progress towards this outcome as ‘as expected’.</w:t>
      </w:r>
      <w:r w:rsidR="0065770D">
        <w:t xml:space="preserve"> </w:t>
      </w:r>
      <w:r>
        <w:t xml:space="preserve">PWL has contributed to convenings and attendance at key forums, local activism for women’s rights organisations in at least eight countries, and supported better connections between partners. </w:t>
      </w:r>
      <w:r w:rsidR="008D1196">
        <w:t>More evidence of progress is expected for the second half of the program given many partners received funds shortly before this review.</w:t>
      </w:r>
    </w:p>
    <w:bookmarkEnd w:id="30"/>
    <w:p w14:paraId="0DFA8C08" w14:textId="77777777" w:rsidR="00626D16" w:rsidRPr="00CB7240" w:rsidRDefault="00626D16" w:rsidP="00626D16">
      <w:pPr>
        <w:spacing w:after="120"/>
        <w:rPr>
          <w:rFonts w:asciiTheme="majorHAnsi" w:hAnsiTheme="majorHAnsi"/>
          <w:color w:val="984C00" w:themeColor="accent1" w:themeShade="BF"/>
          <w:sz w:val="22"/>
        </w:rPr>
      </w:pPr>
      <w:r w:rsidRPr="00CB7240">
        <w:rPr>
          <w:rFonts w:asciiTheme="majorHAnsi" w:hAnsiTheme="majorHAnsi"/>
          <w:color w:val="984C00" w:themeColor="accent1" w:themeShade="BF"/>
          <w:sz w:val="22"/>
        </w:rPr>
        <w:t>Key achievements</w:t>
      </w:r>
    </w:p>
    <w:p w14:paraId="61870A36" w14:textId="77777777" w:rsidR="00626D16" w:rsidRPr="00EA3F4E" w:rsidRDefault="00626D16" w:rsidP="00626D16">
      <w:pPr>
        <w:pStyle w:val="ListBullet"/>
        <w:rPr>
          <w:sz w:val="20"/>
          <w:szCs w:val="20"/>
        </w:rPr>
      </w:pPr>
      <w:r w:rsidRPr="00EA3F4E">
        <w:rPr>
          <w:b/>
          <w:bCs/>
          <w:sz w:val="20"/>
          <w:szCs w:val="20"/>
        </w:rPr>
        <w:t>AUD53m</w:t>
      </w:r>
      <w:r w:rsidRPr="00EA3F4E">
        <w:rPr>
          <w:sz w:val="20"/>
          <w:szCs w:val="20"/>
        </w:rPr>
        <w:t xml:space="preserve"> committed to this outcome.</w:t>
      </w:r>
    </w:p>
    <w:p w14:paraId="149F9615" w14:textId="77777777" w:rsidR="00626D16" w:rsidRPr="00EA3F4E" w:rsidRDefault="00626D16" w:rsidP="00626D16">
      <w:pPr>
        <w:pStyle w:val="ListBullet"/>
        <w:rPr>
          <w:sz w:val="20"/>
          <w:szCs w:val="20"/>
        </w:rPr>
      </w:pPr>
      <w:r w:rsidRPr="00EA3F4E">
        <w:rPr>
          <w:b/>
          <w:bCs/>
          <w:sz w:val="20"/>
          <w:szCs w:val="20"/>
        </w:rPr>
        <w:t>6 projects</w:t>
      </w:r>
      <w:r w:rsidRPr="00EA3F4E">
        <w:rPr>
          <w:sz w:val="20"/>
          <w:szCs w:val="20"/>
        </w:rPr>
        <w:t xml:space="preserve"> with a primary focus on this outcome.</w:t>
      </w:r>
    </w:p>
    <w:p w14:paraId="494D5CA6" w14:textId="77777777" w:rsidR="00626D16" w:rsidRPr="00EA3F4E" w:rsidRDefault="00626D16" w:rsidP="00626D16">
      <w:pPr>
        <w:pStyle w:val="ListBullet"/>
        <w:rPr>
          <w:sz w:val="20"/>
          <w:szCs w:val="20"/>
        </w:rPr>
      </w:pPr>
      <w:r w:rsidRPr="00EA3F4E">
        <w:rPr>
          <w:b/>
          <w:sz w:val="20"/>
          <w:szCs w:val="20"/>
        </w:rPr>
        <w:t xml:space="preserve">2,029 </w:t>
      </w:r>
      <w:r w:rsidRPr="00EA3F4E">
        <w:rPr>
          <w:bCs/>
          <w:sz w:val="20"/>
          <w:szCs w:val="20"/>
        </w:rPr>
        <w:t>women and girls supported to participate in civil society and intergovernmental forums.</w:t>
      </w:r>
    </w:p>
    <w:p w14:paraId="37E82EE9" w14:textId="77777777" w:rsidR="00626D16" w:rsidRPr="00EA3F4E" w:rsidRDefault="00626D16" w:rsidP="00626D16">
      <w:pPr>
        <w:pStyle w:val="ListBullet"/>
        <w:rPr>
          <w:sz w:val="20"/>
          <w:szCs w:val="20"/>
        </w:rPr>
      </w:pPr>
      <w:r w:rsidRPr="00EA3F4E">
        <w:rPr>
          <w:b/>
          <w:bCs/>
          <w:sz w:val="20"/>
          <w:szCs w:val="20"/>
        </w:rPr>
        <w:t>Financial sustainability and recognition</w:t>
      </w:r>
      <w:r w:rsidRPr="00EA3F4E">
        <w:rPr>
          <w:sz w:val="20"/>
          <w:szCs w:val="20"/>
        </w:rPr>
        <w:t xml:space="preserve">: Women's Funds have diversified funding sources, with WFF reducing DFAT reliance from 100% to 45% and PFF receiving only 19% from DFAT. This diversification signals growing recognition, while collaborative approaches have leveraged additional resources. </w:t>
      </w:r>
    </w:p>
    <w:p w14:paraId="615C7BFB" w14:textId="77777777" w:rsidR="00626D16" w:rsidRPr="00EA3F4E" w:rsidRDefault="00626D16" w:rsidP="00626D16">
      <w:pPr>
        <w:pStyle w:val="ListBullet"/>
        <w:rPr>
          <w:sz w:val="20"/>
          <w:szCs w:val="20"/>
        </w:rPr>
      </w:pPr>
      <w:r w:rsidRPr="00EA3F4E">
        <w:rPr>
          <w:b/>
          <w:bCs/>
          <w:sz w:val="20"/>
          <w:szCs w:val="20"/>
        </w:rPr>
        <w:t>Regional and international representation</w:t>
      </w:r>
      <w:r w:rsidRPr="00EA3F4E">
        <w:rPr>
          <w:sz w:val="20"/>
          <w:szCs w:val="20"/>
        </w:rPr>
        <w:t xml:space="preserve">: Pacific feminist civil society organisations (CSOs) have gained visibility through participation in key national, regional and international forums including the Pacific Feminist Forum, Commission on the Status of Women (CSW), Women Deliver, Triennial Conference of Pacific Women, Pacific Islands Forum Women Leaders Meeting (PIFWLM), Pacific Regional Disability Conference, Women of the Wave (WOW). Their collective advocacy has ensured Pacific priorities like climate change and gender justice gained prominence globally. </w:t>
      </w:r>
    </w:p>
    <w:p w14:paraId="340D3622" w14:textId="77777777" w:rsidR="00626D16" w:rsidRPr="00EA3F4E" w:rsidRDefault="00626D16" w:rsidP="00626D16">
      <w:pPr>
        <w:pStyle w:val="ListBullet"/>
        <w:rPr>
          <w:sz w:val="20"/>
          <w:szCs w:val="20"/>
        </w:rPr>
      </w:pPr>
      <w:r w:rsidRPr="00EA3F4E">
        <w:rPr>
          <w:b/>
          <w:bCs/>
          <w:sz w:val="20"/>
          <w:szCs w:val="20"/>
        </w:rPr>
        <w:t>Expert recognition</w:t>
      </w:r>
      <w:r w:rsidRPr="00EA3F4E">
        <w:rPr>
          <w:sz w:val="20"/>
          <w:szCs w:val="20"/>
        </w:rPr>
        <w:t xml:space="preserve">: The Fiji Women's Rights Movement has become a recognised expert on gender equality consulted for policy input, while organisations like Voice for Change and </w:t>
      </w:r>
      <w:proofErr w:type="spellStart"/>
      <w:r w:rsidRPr="00EA3F4E">
        <w:rPr>
          <w:sz w:val="20"/>
          <w:szCs w:val="20"/>
        </w:rPr>
        <w:t>FemLINKpacific</w:t>
      </w:r>
      <w:proofErr w:type="spellEnd"/>
      <w:r w:rsidRPr="00EA3F4E">
        <w:rPr>
          <w:sz w:val="20"/>
          <w:szCs w:val="20"/>
        </w:rPr>
        <w:t xml:space="preserve"> drive social change through feminist advocacy and community engagement.</w:t>
      </w:r>
    </w:p>
    <w:p w14:paraId="79E28A0B" w14:textId="77777777" w:rsidR="00626D16" w:rsidRPr="00EA3F4E" w:rsidRDefault="00626D16" w:rsidP="00626D16">
      <w:pPr>
        <w:pStyle w:val="ListBullet"/>
        <w:rPr>
          <w:sz w:val="20"/>
          <w:szCs w:val="20"/>
        </w:rPr>
      </w:pPr>
      <w:r w:rsidRPr="00EA3F4E">
        <w:rPr>
          <w:b/>
          <w:bCs/>
          <w:sz w:val="20"/>
          <w:szCs w:val="20"/>
        </w:rPr>
        <w:t>Leadership in disaster response</w:t>
      </w:r>
      <w:r w:rsidRPr="00EA3F4E">
        <w:rPr>
          <w:sz w:val="20"/>
          <w:szCs w:val="20"/>
        </w:rPr>
        <w:t xml:space="preserve">: The Shifting the Power Coalition has documented women's emerging leadership in disaster contexts. </w:t>
      </w:r>
    </w:p>
    <w:p w14:paraId="02D6C415" w14:textId="77777777" w:rsidR="00626D16" w:rsidRPr="00EA3F4E" w:rsidRDefault="00626D16" w:rsidP="00626D16">
      <w:pPr>
        <w:pStyle w:val="ListBullet"/>
        <w:rPr>
          <w:sz w:val="20"/>
          <w:szCs w:val="20"/>
        </w:rPr>
      </w:pPr>
      <w:r w:rsidRPr="00EA3F4E">
        <w:rPr>
          <w:b/>
          <w:bCs/>
          <w:sz w:val="20"/>
          <w:szCs w:val="20"/>
        </w:rPr>
        <w:t>Inclusive movement building and connectivity</w:t>
      </w:r>
      <w:r w:rsidRPr="00EA3F4E">
        <w:rPr>
          <w:sz w:val="20"/>
          <w:szCs w:val="20"/>
        </w:rPr>
        <w:t>: The We Rise Coalition has strengthened connectivity through national forums in 11 countries that have localised feminist practice, created first-time convening spaces, offered safe havens during political unrest, and fostered regional connections through grassroots approaches. Progress toward more inclusive movement-building is evident, such as PFF's collaboration with DIVA for Equality to develop LGBTQIA+ grants to support marginalised communities</w:t>
      </w:r>
    </w:p>
    <w:p w14:paraId="042D0551" w14:textId="77777777" w:rsidR="00626D16" w:rsidRPr="00EA3F4E" w:rsidRDefault="00626D16" w:rsidP="00626D16">
      <w:pPr>
        <w:pStyle w:val="ListBullet"/>
        <w:rPr>
          <w:sz w:val="20"/>
          <w:szCs w:val="20"/>
        </w:rPr>
      </w:pPr>
      <w:r w:rsidRPr="00EA3F4E">
        <w:rPr>
          <w:b/>
          <w:bCs/>
          <w:sz w:val="20"/>
          <w:szCs w:val="20"/>
        </w:rPr>
        <w:t>Strategic network expansion</w:t>
      </w:r>
      <w:r w:rsidRPr="00EA3F4E">
        <w:rPr>
          <w:sz w:val="20"/>
          <w:szCs w:val="20"/>
        </w:rPr>
        <w:t>: The UAF Asia &amp; Pacific and PFF have invested in building their networks, and scoping missions to the North Pacific as the focus of first-round grants.</w:t>
      </w:r>
    </w:p>
    <w:p w14:paraId="2A66B607" w14:textId="2E93D440" w:rsidR="00996D12" w:rsidRPr="00626D16" w:rsidRDefault="00F15B97" w:rsidP="00C14C44">
      <w:pPr>
        <w:spacing w:after="120"/>
        <w:rPr>
          <w:rFonts w:asciiTheme="majorHAnsi" w:hAnsiTheme="majorHAnsi"/>
          <w:color w:val="984C00" w:themeColor="accent1" w:themeShade="BF"/>
          <w:sz w:val="22"/>
          <w:szCs w:val="24"/>
        </w:rPr>
      </w:pPr>
      <w:r w:rsidRPr="00626D16">
        <w:rPr>
          <w:rFonts w:asciiTheme="majorHAnsi" w:hAnsiTheme="majorHAnsi"/>
          <w:color w:val="984C00" w:themeColor="accent1" w:themeShade="BF"/>
          <w:sz w:val="22"/>
          <w:szCs w:val="24"/>
        </w:rPr>
        <w:t xml:space="preserve">Intermediate outcome 1: </w:t>
      </w:r>
      <w:r w:rsidR="00FA7680" w:rsidRPr="00626D16">
        <w:rPr>
          <w:rFonts w:asciiTheme="majorHAnsi" w:hAnsiTheme="majorHAnsi"/>
          <w:color w:val="984C00" w:themeColor="accent1" w:themeShade="BF"/>
          <w:sz w:val="22"/>
          <w:szCs w:val="24"/>
        </w:rPr>
        <w:t>R</w:t>
      </w:r>
      <w:r w:rsidR="00996D12" w:rsidRPr="00626D16">
        <w:rPr>
          <w:rFonts w:asciiTheme="majorHAnsi" w:hAnsiTheme="majorHAnsi"/>
          <w:color w:val="984C00" w:themeColor="accent1" w:themeShade="BF"/>
          <w:sz w:val="22"/>
          <w:szCs w:val="24"/>
        </w:rPr>
        <w:t xml:space="preserve">ecognition and amplification of the leadership of Pacific feminist civil society  </w:t>
      </w:r>
    </w:p>
    <w:p w14:paraId="04075213" w14:textId="78BDDE8D" w:rsidR="0029519A" w:rsidRDefault="001C2FAC" w:rsidP="0029519A">
      <w:r>
        <w:t>There is evidence of</w:t>
      </w:r>
      <w:r w:rsidR="0029519A">
        <w:t xml:space="preserve"> significant progress in recognising and amplifying Pacific feminist civil society leadership </w:t>
      </w:r>
      <w:r w:rsidR="001D571D" w:rsidRPr="001D571D">
        <w:t xml:space="preserve">with </w:t>
      </w:r>
      <w:r w:rsidR="001D571D">
        <w:t>progress</w:t>
      </w:r>
      <w:r w:rsidR="001D571D" w:rsidRPr="001D571D">
        <w:t xml:space="preserve"> </w:t>
      </w:r>
      <w:r w:rsidR="001D571D">
        <w:t xml:space="preserve">particularly </w:t>
      </w:r>
      <w:r w:rsidR="001D571D" w:rsidRPr="001D571D">
        <w:t xml:space="preserve">evident in financial sustainability, international representation, policy influence, and community-level leadership, </w:t>
      </w:r>
      <w:r w:rsidRPr="001D571D">
        <w:t>principally</w:t>
      </w:r>
      <w:r w:rsidR="001D571D" w:rsidRPr="001D571D">
        <w:t xml:space="preserve"> in disaster response contexts.</w:t>
      </w:r>
    </w:p>
    <w:p w14:paraId="48B81F72" w14:textId="1931E4A4" w:rsidR="00996D12" w:rsidRPr="00626D16" w:rsidRDefault="00F15B97" w:rsidP="00C14C44">
      <w:pPr>
        <w:spacing w:after="120"/>
        <w:rPr>
          <w:rFonts w:asciiTheme="majorHAnsi" w:hAnsiTheme="majorHAnsi"/>
          <w:color w:val="984C00" w:themeColor="accent1" w:themeShade="BF"/>
          <w:sz w:val="22"/>
          <w:szCs w:val="24"/>
        </w:rPr>
      </w:pPr>
      <w:r w:rsidRPr="00626D16">
        <w:rPr>
          <w:rFonts w:asciiTheme="majorHAnsi" w:hAnsiTheme="majorHAnsi"/>
          <w:color w:val="984C00" w:themeColor="accent1" w:themeShade="BF"/>
          <w:sz w:val="22"/>
          <w:szCs w:val="24"/>
        </w:rPr>
        <w:t xml:space="preserve">Intermediate outcome 2: </w:t>
      </w:r>
      <w:r w:rsidR="00996D12" w:rsidRPr="00626D16">
        <w:rPr>
          <w:rFonts w:asciiTheme="majorHAnsi" w:hAnsiTheme="majorHAnsi"/>
          <w:color w:val="984C00" w:themeColor="accent1" w:themeShade="BF"/>
          <w:sz w:val="22"/>
          <w:szCs w:val="24"/>
        </w:rPr>
        <w:t xml:space="preserve">The Pacific Feminist Movement has grown in depth, is better connected, and their expertise is drawn upon by Pacific partners  </w:t>
      </w:r>
    </w:p>
    <w:p w14:paraId="1A2F6AB0" w14:textId="2D97BC25" w:rsidR="00BD127A" w:rsidRPr="00F646A0" w:rsidRDefault="00BD127A" w:rsidP="00996D12">
      <w:r w:rsidRPr="00BD127A">
        <w:t xml:space="preserve">There is evidence of </w:t>
      </w:r>
      <w:r>
        <w:t xml:space="preserve">significant </w:t>
      </w:r>
      <w:r w:rsidRPr="00BD127A">
        <w:t xml:space="preserve">progress in </w:t>
      </w:r>
      <w:r w:rsidR="000320BA">
        <w:t xml:space="preserve">growing and connecting the Pacific Feminist Movement and increasing recognition of its expertise. Continued attention to </w:t>
      </w:r>
      <w:r w:rsidR="00375C33" w:rsidRPr="00375C33">
        <w:t xml:space="preserve">increasing young women's leadership and representation in feminist spaces, measuring how international advocacy efforts translate into tangible local outcomes, and </w:t>
      </w:r>
      <w:bookmarkStart w:id="31" w:name="_Hlk200632514"/>
      <w:r w:rsidR="00375C33" w:rsidRPr="00375C33">
        <w:t>developing more diverse partnerships through strategic mapping of feminist and human rights organi</w:t>
      </w:r>
      <w:r w:rsidR="00375C33">
        <w:t>s</w:t>
      </w:r>
      <w:r w:rsidR="00375C33" w:rsidRPr="00375C33">
        <w:t>ations at both national and regional levels</w:t>
      </w:r>
      <w:r w:rsidR="000320BA">
        <w:t xml:space="preserve"> will be important for sustaining momentum. </w:t>
      </w:r>
    </w:p>
    <w:p w14:paraId="4EEF35FD" w14:textId="72A828BD" w:rsidR="008361EE" w:rsidRPr="00EE243C" w:rsidRDefault="008361EE" w:rsidP="008361EE">
      <w:pPr>
        <w:pStyle w:val="Tealblockheading"/>
      </w:pPr>
      <w:bookmarkStart w:id="32" w:name="_Hlk184293453"/>
      <w:bookmarkStart w:id="33" w:name="_Hlk193735644"/>
      <w:bookmarkEnd w:id="31"/>
      <w:r>
        <w:lastRenderedPageBreak/>
        <w:t xml:space="preserve">KRQ1: </w:t>
      </w:r>
      <w:r w:rsidRPr="00EE243C">
        <w:t xml:space="preserve">To what extent is there progress </w:t>
      </w:r>
      <w:r>
        <w:t xml:space="preserve">in the area of: women’s leadership promoted – </w:t>
      </w:r>
      <w:r w:rsidRPr="00362900">
        <w:rPr>
          <w:color w:val="984C00" w:themeColor="accent1" w:themeShade="BF"/>
        </w:rPr>
        <w:t>women and girl’s voice?</w:t>
      </w:r>
    </w:p>
    <w:p w14:paraId="399696FB" w14:textId="4ADFE2AD" w:rsidR="00F56BA9" w:rsidRPr="00256655" w:rsidRDefault="008C09E2" w:rsidP="00384259">
      <w:pPr>
        <w:pStyle w:val="Tealblocktext"/>
        <w:rPr>
          <w:rFonts w:cstheme="minorHAnsi"/>
          <w:b/>
        </w:rPr>
      </w:pPr>
      <w:r>
        <w:rPr>
          <w:rStyle w:val="Strong"/>
          <w:b w:val="0"/>
        </w:rPr>
        <w:t xml:space="preserve">There is strong evidence that </w:t>
      </w:r>
      <w:r w:rsidR="005F1103" w:rsidRPr="009A5C15">
        <w:rPr>
          <w:rStyle w:val="Strong"/>
          <w:b w:val="0"/>
        </w:rPr>
        <w:t xml:space="preserve">PWL has improved representation of women and girls in regional convenings in which partners have direct influence, </w:t>
      </w:r>
      <w:r w:rsidR="005F1103">
        <w:rPr>
          <w:rStyle w:val="Strong"/>
          <w:b w:val="0"/>
        </w:rPr>
        <w:t xml:space="preserve">with some evidence </w:t>
      </w:r>
      <w:r w:rsidR="005F1103" w:rsidRPr="009A5C15">
        <w:rPr>
          <w:rStyle w:val="Strong"/>
          <w:b w:val="0"/>
        </w:rPr>
        <w:t>in shifts in social norms to improve representation more widely</w:t>
      </w:r>
      <w:r w:rsidR="005F1103">
        <w:rPr>
          <w:rStyle w:val="Strong"/>
          <w:b w:val="0"/>
        </w:rPr>
        <w:t>.</w:t>
      </w:r>
      <w:r w:rsidR="00506BFE">
        <w:t xml:space="preserve"> </w:t>
      </w:r>
      <w:r w:rsidR="00353075" w:rsidRPr="00353075">
        <w:t xml:space="preserve">ARAW 2024 attendees rated progress towards this outcome as: ‘less than expected’ to ‘as expected’. </w:t>
      </w:r>
      <w:r w:rsidR="00C36741">
        <w:t>More evidence of progress is expected for the second half of the program given many partners received funds shortly before this review.</w:t>
      </w:r>
      <w:bookmarkEnd w:id="32"/>
    </w:p>
    <w:bookmarkEnd w:id="33"/>
    <w:p w14:paraId="37D0BFD5" w14:textId="77777777" w:rsidR="00626D16" w:rsidRPr="00CB7240" w:rsidRDefault="00626D16" w:rsidP="00626D16">
      <w:pPr>
        <w:spacing w:after="120"/>
        <w:rPr>
          <w:rFonts w:asciiTheme="majorHAnsi" w:hAnsiTheme="majorHAnsi"/>
          <w:color w:val="984C00" w:themeColor="accent1" w:themeShade="BF"/>
          <w:sz w:val="22"/>
        </w:rPr>
      </w:pPr>
      <w:r w:rsidRPr="00CB7240">
        <w:rPr>
          <w:rFonts w:asciiTheme="majorHAnsi" w:hAnsiTheme="majorHAnsi"/>
          <w:color w:val="984C00" w:themeColor="accent1" w:themeShade="BF"/>
          <w:sz w:val="22"/>
        </w:rPr>
        <w:t>Key achievements</w:t>
      </w:r>
    </w:p>
    <w:p w14:paraId="0AAE868D" w14:textId="77777777" w:rsidR="00626D16" w:rsidRPr="00EA3F4E" w:rsidRDefault="00626D16" w:rsidP="00626D16">
      <w:pPr>
        <w:pStyle w:val="ListBullet"/>
        <w:rPr>
          <w:sz w:val="20"/>
          <w:szCs w:val="20"/>
        </w:rPr>
      </w:pPr>
      <w:r w:rsidRPr="00EA3F4E">
        <w:rPr>
          <w:b/>
          <w:bCs/>
          <w:sz w:val="20"/>
          <w:szCs w:val="20"/>
        </w:rPr>
        <w:t>27 projects</w:t>
      </w:r>
      <w:r w:rsidRPr="00EA3F4E">
        <w:rPr>
          <w:sz w:val="20"/>
          <w:szCs w:val="20"/>
        </w:rPr>
        <w:t xml:space="preserve"> with a primary focus on this outcome.</w:t>
      </w:r>
    </w:p>
    <w:p w14:paraId="646C761C" w14:textId="77777777" w:rsidR="00626D16" w:rsidRPr="00EA3F4E" w:rsidRDefault="00626D16" w:rsidP="00626D16">
      <w:pPr>
        <w:pStyle w:val="ListBullet"/>
        <w:rPr>
          <w:sz w:val="20"/>
          <w:szCs w:val="20"/>
        </w:rPr>
      </w:pPr>
      <w:r w:rsidRPr="00EA3F4E">
        <w:rPr>
          <w:b/>
          <w:bCs/>
          <w:sz w:val="20"/>
          <w:szCs w:val="20"/>
        </w:rPr>
        <w:t>AUD46m</w:t>
      </w:r>
      <w:r w:rsidRPr="00EA3F4E">
        <w:rPr>
          <w:sz w:val="20"/>
          <w:szCs w:val="20"/>
        </w:rPr>
        <w:t xml:space="preserve"> committed to this outcome.</w:t>
      </w:r>
    </w:p>
    <w:p w14:paraId="2FFBF46D" w14:textId="77777777" w:rsidR="00626D16" w:rsidRPr="00EA3F4E" w:rsidRDefault="00626D16" w:rsidP="00626D16">
      <w:pPr>
        <w:pStyle w:val="ListBullet"/>
        <w:rPr>
          <w:sz w:val="20"/>
          <w:szCs w:val="20"/>
        </w:rPr>
      </w:pPr>
      <w:r w:rsidRPr="00EA3F4E">
        <w:rPr>
          <w:b/>
          <w:sz w:val="20"/>
          <w:szCs w:val="20"/>
        </w:rPr>
        <w:t xml:space="preserve">10,003 </w:t>
      </w:r>
      <w:r w:rsidRPr="00EA3F4E">
        <w:rPr>
          <w:bCs/>
          <w:sz w:val="20"/>
          <w:szCs w:val="20"/>
        </w:rPr>
        <w:t>diverse</w:t>
      </w:r>
      <w:r w:rsidRPr="00EA3F4E">
        <w:rPr>
          <w:b/>
          <w:sz w:val="20"/>
          <w:szCs w:val="20"/>
        </w:rPr>
        <w:t xml:space="preserve"> </w:t>
      </w:r>
      <w:r w:rsidRPr="00EA3F4E">
        <w:rPr>
          <w:bCs/>
          <w:sz w:val="20"/>
          <w:szCs w:val="20"/>
        </w:rPr>
        <w:t>women and girls supported to take on leadership roles.</w:t>
      </w:r>
    </w:p>
    <w:p w14:paraId="6FDCD4C8" w14:textId="77777777" w:rsidR="00626D16" w:rsidRPr="00EA3F4E" w:rsidRDefault="00626D16" w:rsidP="00626D16">
      <w:pPr>
        <w:pStyle w:val="ListBullet"/>
        <w:rPr>
          <w:sz w:val="20"/>
          <w:szCs w:val="20"/>
        </w:rPr>
      </w:pPr>
      <w:r w:rsidRPr="00EA3F4E">
        <w:rPr>
          <w:b/>
          <w:sz w:val="20"/>
          <w:szCs w:val="20"/>
        </w:rPr>
        <w:t>108,681</w:t>
      </w:r>
      <w:r w:rsidRPr="00EA3F4E">
        <w:rPr>
          <w:sz w:val="20"/>
          <w:szCs w:val="20"/>
        </w:rPr>
        <w:t xml:space="preserve"> people participated in sessions on gender issues and women’s equal rights.</w:t>
      </w:r>
    </w:p>
    <w:p w14:paraId="05DBFF09" w14:textId="77777777" w:rsidR="00626D16" w:rsidRPr="00EA3F4E" w:rsidRDefault="00626D16" w:rsidP="00626D16">
      <w:pPr>
        <w:pStyle w:val="ListBullet"/>
        <w:rPr>
          <w:sz w:val="20"/>
          <w:szCs w:val="20"/>
        </w:rPr>
      </w:pPr>
      <w:r w:rsidRPr="00EA3F4E">
        <w:rPr>
          <w:b/>
          <w:bCs/>
          <w:sz w:val="20"/>
          <w:szCs w:val="20"/>
        </w:rPr>
        <w:t>Increased advocacy and representation</w:t>
      </w:r>
      <w:r w:rsidRPr="00EA3F4E">
        <w:rPr>
          <w:sz w:val="20"/>
          <w:szCs w:val="20"/>
        </w:rPr>
        <w:t>. More women and girls are engaging in national, regional, and international advocacy. Women with disabilities are gaining visibility, particularly in civil society leadership at regional and global levels. The Republic of Marshall Islands (RMI) Women’s Forum and FSM Women’s Conference provided new convening spaces for women’s mobilisation in the North Pacific.</w:t>
      </w:r>
    </w:p>
    <w:p w14:paraId="63D3B1D7" w14:textId="77777777" w:rsidR="00626D16" w:rsidRPr="00EA3F4E" w:rsidRDefault="00626D16" w:rsidP="00626D16">
      <w:pPr>
        <w:pStyle w:val="ListBullet"/>
        <w:rPr>
          <w:sz w:val="20"/>
          <w:szCs w:val="20"/>
        </w:rPr>
      </w:pPr>
      <w:r w:rsidRPr="00EA3F4E">
        <w:rPr>
          <w:b/>
          <w:bCs/>
          <w:sz w:val="20"/>
          <w:szCs w:val="20"/>
        </w:rPr>
        <w:t>Political and governance leadership</w:t>
      </w:r>
      <w:r w:rsidRPr="00EA3F4E">
        <w:rPr>
          <w:sz w:val="20"/>
          <w:szCs w:val="20"/>
        </w:rPr>
        <w:t>. The Solomon Islands National Cabinet approved temporary special measures to enhance women’s political representation. There is evidence of increased support for women to contest elections in Samoa and Fiji and more women are taking leadership roles in the private sector and on boards, particularly in Tonga and Samoa.</w:t>
      </w:r>
    </w:p>
    <w:p w14:paraId="4B5A8070" w14:textId="197FECF4" w:rsidR="00626D16" w:rsidRPr="00EA3F4E" w:rsidRDefault="00626D16" w:rsidP="00626D16">
      <w:pPr>
        <w:pStyle w:val="ListBullet"/>
        <w:rPr>
          <w:sz w:val="20"/>
          <w:szCs w:val="20"/>
        </w:rPr>
      </w:pPr>
      <w:r w:rsidRPr="00EA3F4E">
        <w:rPr>
          <w:b/>
          <w:bCs/>
          <w:sz w:val="20"/>
          <w:szCs w:val="20"/>
        </w:rPr>
        <w:t>Youth leadership.</w:t>
      </w:r>
      <w:r w:rsidRPr="00EA3F4E">
        <w:rPr>
          <w:sz w:val="20"/>
          <w:szCs w:val="20"/>
        </w:rPr>
        <w:t xml:space="preserve"> The Pacific Girl program has empowered adolescent girls to advocate for their needs, including at the PIFWLM and the Pacific Feminist Forum. Establishment of the Pacific Girl Reference Group ensures that adolescent girls co-design program strategies and events. Over 14 national, regional, and global convenings provided platforms for youth to </w:t>
      </w:r>
      <w:r w:rsidR="00001D6A">
        <w:rPr>
          <w:sz w:val="20"/>
          <w:szCs w:val="20"/>
        </w:rPr>
        <w:t>discuss</w:t>
      </w:r>
      <w:r w:rsidRPr="00EA3F4E">
        <w:rPr>
          <w:sz w:val="20"/>
          <w:szCs w:val="20"/>
        </w:rPr>
        <w:t xml:space="preserve"> climate change, youth agency, and GBV. In Vanuatu, participants reported increased confidence and took on school leadership roles.</w:t>
      </w:r>
    </w:p>
    <w:p w14:paraId="69FE21C6" w14:textId="0CAE26CC" w:rsidR="00626D16" w:rsidRPr="00EA3F4E" w:rsidRDefault="00626D16" w:rsidP="00626D16">
      <w:pPr>
        <w:pStyle w:val="ListBullet"/>
        <w:rPr>
          <w:sz w:val="20"/>
          <w:szCs w:val="20"/>
        </w:rPr>
      </w:pPr>
      <w:r w:rsidRPr="00EA3F4E">
        <w:rPr>
          <w:b/>
          <w:bCs/>
          <w:sz w:val="20"/>
          <w:szCs w:val="20"/>
        </w:rPr>
        <w:t>Sector-specific progress.</w:t>
      </w:r>
      <w:r w:rsidRPr="00EA3F4E">
        <w:rPr>
          <w:sz w:val="20"/>
          <w:szCs w:val="20"/>
        </w:rPr>
        <w:t xml:space="preserve"> UN Women’s Disaster Resilience program advanced gender and disability-inclusive priorities in disaster risk reduction policies; the M4C program strengthened women’s leadership in market sectors; the Pacific Women Sports Administration Program increased women's leadership in sports administration; the Talitha Project successfully advocated for the Tonga Rugby Union to amend its bylaws, granting women full voting rights; and the Lakapi Samoa's "Get into Rugby Plus" initiative increased female participation in rugby.</w:t>
      </w:r>
    </w:p>
    <w:p w14:paraId="5562A802" w14:textId="77777777" w:rsidR="00626D16" w:rsidRPr="00EA3F4E" w:rsidRDefault="00626D16" w:rsidP="00626D16">
      <w:pPr>
        <w:pStyle w:val="ListBullet"/>
        <w:rPr>
          <w:sz w:val="20"/>
          <w:szCs w:val="20"/>
        </w:rPr>
      </w:pPr>
      <w:r w:rsidRPr="00EA3F4E">
        <w:rPr>
          <w:b/>
          <w:bCs/>
          <w:sz w:val="20"/>
          <w:szCs w:val="20"/>
        </w:rPr>
        <w:t>Sustained gender equality advocacy</w:t>
      </w:r>
      <w:r w:rsidRPr="00EA3F4E">
        <w:rPr>
          <w:sz w:val="20"/>
          <w:szCs w:val="20"/>
        </w:rPr>
        <w:t>. The Balance of Power (BOP) program influenced gender equality work across the Pacific and the Women’s Rights Action Movement in Solomon Islands secured a major policy win despite challenges including funding cuts and COVID-19.</w:t>
      </w:r>
    </w:p>
    <w:p w14:paraId="5ABB0D69" w14:textId="4E347184" w:rsidR="00551CF3" w:rsidRPr="00626D16" w:rsidRDefault="000B2903" w:rsidP="00C14C44">
      <w:pPr>
        <w:spacing w:after="120"/>
        <w:rPr>
          <w:rFonts w:asciiTheme="majorHAnsi" w:hAnsiTheme="majorHAnsi"/>
          <w:color w:val="984C00" w:themeColor="accent1" w:themeShade="BF"/>
          <w:sz w:val="22"/>
          <w:szCs w:val="24"/>
        </w:rPr>
      </w:pPr>
      <w:r w:rsidRPr="00626D16">
        <w:rPr>
          <w:rFonts w:asciiTheme="majorHAnsi" w:hAnsiTheme="majorHAnsi"/>
          <w:color w:val="984C00" w:themeColor="accent1" w:themeShade="BF"/>
          <w:sz w:val="22"/>
          <w:szCs w:val="24"/>
        </w:rPr>
        <w:t xml:space="preserve">Intermediate outcome 1: </w:t>
      </w:r>
      <w:r w:rsidR="00551CF3" w:rsidRPr="00626D16">
        <w:rPr>
          <w:rFonts w:asciiTheme="majorHAnsi" w:hAnsiTheme="majorHAnsi"/>
          <w:color w:val="984C00" w:themeColor="accent1" w:themeShade="BF"/>
          <w:sz w:val="22"/>
          <w:szCs w:val="24"/>
        </w:rPr>
        <w:t>Women and girls in all their diversity take on and practice their leadership skills in decision-making spaces</w:t>
      </w:r>
      <w:r w:rsidR="00353075">
        <w:rPr>
          <w:rFonts w:asciiTheme="majorHAnsi" w:hAnsiTheme="majorHAnsi"/>
          <w:color w:val="984C00" w:themeColor="accent1" w:themeShade="BF"/>
          <w:sz w:val="22"/>
          <w:szCs w:val="24"/>
        </w:rPr>
        <w:t xml:space="preserve"> (including </w:t>
      </w:r>
      <w:r w:rsidR="00353075" w:rsidRPr="00353075">
        <w:rPr>
          <w:rFonts w:asciiTheme="majorHAnsi" w:hAnsiTheme="majorHAnsi"/>
          <w:color w:val="984C00" w:themeColor="accent1" w:themeShade="BF"/>
          <w:sz w:val="22"/>
          <w:szCs w:val="24"/>
        </w:rPr>
        <w:t>household, community, business, sporting, local, national, regional and global spheres</w:t>
      </w:r>
      <w:r w:rsidR="00353075">
        <w:rPr>
          <w:rFonts w:asciiTheme="majorHAnsi" w:hAnsiTheme="majorHAnsi"/>
          <w:color w:val="984C00" w:themeColor="accent1" w:themeShade="BF"/>
          <w:sz w:val="22"/>
          <w:szCs w:val="24"/>
        </w:rPr>
        <w:t>).</w:t>
      </w:r>
    </w:p>
    <w:p w14:paraId="32BDD38A" w14:textId="3769138D" w:rsidR="0023532D" w:rsidRDefault="0023532D" w:rsidP="00551CF3">
      <w:pPr>
        <w:rPr>
          <w:rFonts w:cstheme="minorHAnsi"/>
        </w:rPr>
      </w:pPr>
      <w:r w:rsidRPr="0023532D">
        <w:rPr>
          <w:rFonts w:cstheme="minorHAnsi"/>
        </w:rPr>
        <w:t>There is significant progress in women's and girls' leadership across the Pacific, with increased participation in national, regional, and international advocacy supported by various programs. More women are taking on leadership roles in decision-making spaces, including the private sector, boards, and politics, particularly in Tonga, Samoa, Fiji, and Solomon Islands. This growing representation highlights a positive shift toward greater inclusion and influence for women and girls in leadership at all levels.</w:t>
      </w:r>
    </w:p>
    <w:p w14:paraId="4F753EBC" w14:textId="7163867C" w:rsidR="00551CF3" w:rsidRPr="00626D16" w:rsidRDefault="00256655" w:rsidP="00C14C44">
      <w:pPr>
        <w:spacing w:after="120"/>
        <w:rPr>
          <w:rFonts w:asciiTheme="majorHAnsi" w:hAnsiTheme="majorHAnsi"/>
          <w:color w:val="984C00" w:themeColor="accent1" w:themeShade="BF"/>
          <w:sz w:val="22"/>
          <w:szCs w:val="24"/>
        </w:rPr>
      </w:pPr>
      <w:r w:rsidRPr="00626D16">
        <w:rPr>
          <w:rFonts w:asciiTheme="majorHAnsi" w:hAnsiTheme="majorHAnsi"/>
          <w:color w:val="984C00" w:themeColor="accent1" w:themeShade="BF"/>
          <w:sz w:val="22"/>
          <w:szCs w:val="24"/>
        </w:rPr>
        <w:t xml:space="preserve">Intermediate outcome 2: </w:t>
      </w:r>
      <w:r w:rsidR="00551CF3" w:rsidRPr="00626D16">
        <w:rPr>
          <w:rFonts w:asciiTheme="majorHAnsi" w:hAnsiTheme="majorHAnsi"/>
          <w:color w:val="984C00" w:themeColor="accent1" w:themeShade="BF"/>
          <w:sz w:val="22"/>
          <w:szCs w:val="24"/>
        </w:rPr>
        <w:t>Pacific Governments, civil-society, private sector and communities work to tackle social norms that limit diverse women and girls’ leadership opportunities at all levels.</w:t>
      </w:r>
    </w:p>
    <w:p w14:paraId="4F9EAE73" w14:textId="1B86D61E" w:rsidR="00E76850" w:rsidRDefault="00E76850" w:rsidP="00551CF3">
      <w:r w:rsidRPr="00E76850">
        <w:t>There is notable progress in shifting social norms limiting women’s and girls’ leadership, particularly through media advocacy, community engagement, and structural reforms. Progress in shifting gender norms is evident through media advocacy, community engagement, and structural reforms.</w:t>
      </w:r>
      <w:r>
        <w:t xml:space="preserve"> </w:t>
      </w:r>
      <w:r w:rsidRPr="00E76850">
        <w:t>While gains are visible, sustained efforts are needed for lasting impact.</w:t>
      </w:r>
    </w:p>
    <w:p w14:paraId="265D3ED4" w14:textId="4E42B7BE" w:rsidR="00855127" w:rsidRPr="00EE243C" w:rsidRDefault="00855127" w:rsidP="00855127">
      <w:pPr>
        <w:pStyle w:val="Tealblockheading"/>
      </w:pPr>
      <w:bookmarkStart w:id="34" w:name="_Hlk193735760"/>
      <w:r>
        <w:lastRenderedPageBreak/>
        <w:t xml:space="preserve">KRQ2: </w:t>
      </w:r>
      <w:r w:rsidRPr="00EE243C">
        <w:t xml:space="preserve">To what extent is there progress </w:t>
      </w:r>
      <w:r>
        <w:t xml:space="preserve">in the areas of: </w:t>
      </w:r>
      <w:r w:rsidRPr="00362900">
        <w:rPr>
          <w:color w:val="984C00" w:themeColor="accent1" w:themeShade="BF"/>
        </w:rPr>
        <w:t>Pacific ownership and regional effectiveness?</w:t>
      </w:r>
    </w:p>
    <w:p w14:paraId="74E42511" w14:textId="2AA81F7D" w:rsidR="007E3A5A" w:rsidRPr="007E3A5A" w:rsidRDefault="007E3A5A" w:rsidP="00384259">
      <w:pPr>
        <w:pStyle w:val="Tealblocktext"/>
        <w:rPr>
          <w:rStyle w:val="Strong"/>
          <w:b w:val="0"/>
        </w:rPr>
      </w:pPr>
      <w:r w:rsidRPr="007E3A5A">
        <w:rPr>
          <w:rStyle w:val="Strong"/>
          <w:b w:val="0"/>
        </w:rPr>
        <w:t xml:space="preserve">The MTR found strong evidence that PWL partners, particularly SPC, are contributing towards gender equality convenings and frameworks at the regional level. </w:t>
      </w:r>
      <w:r w:rsidR="002F1B82" w:rsidRPr="002F1B82">
        <w:rPr>
          <w:rStyle w:val="Strong"/>
          <w:b w:val="0"/>
        </w:rPr>
        <w:t>The design of PWL positions SPC as leading implementation on Outcome 3 and with primary responsibility over resourcing and facilitating collaboration with PIFS.</w:t>
      </w:r>
      <w:r w:rsidR="002F1B82">
        <w:rPr>
          <w:rStyle w:val="Strong"/>
          <w:b w:val="0"/>
        </w:rPr>
        <w:t xml:space="preserve"> </w:t>
      </w:r>
      <w:r w:rsidRPr="007E3A5A">
        <w:rPr>
          <w:rStyle w:val="Strong"/>
          <w:b w:val="0"/>
        </w:rPr>
        <w:t xml:space="preserve">There is less evidence that Pacific governments are mainstreaming gender through their sector programs and policies, which is expected at this early stage of the program given the time required for mainstreaming and policy change. </w:t>
      </w:r>
    </w:p>
    <w:bookmarkEnd w:id="34"/>
    <w:p w14:paraId="6D733FED" w14:textId="77777777" w:rsidR="00626D16" w:rsidRPr="00CB7240" w:rsidRDefault="00626D16" w:rsidP="00626D16">
      <w:pPr>
        <w:spacing w:after="120"/>
        <w:rPr>
          <w:rFonts w:asciiTheme="majorHAnsi" w:hAnsiTheme="majorHAnsi"/>
          <w:color w:val="984C00" w:themeColor="accent1" w:themeShade="BF"/>
          <w:sz w:val="22"/>
        </w:rPr>
      </w:pPr>
      <w:r w:rsidRPr="00CB7240">
        <w:rPr>
          <w:rFonts w:asciiTheme="majorHAnsi" w:hAnsiTheme="majorHAnsi"/>
          <w:color w:val="984C00" w:themeColor="accent1" w:themeShade="BF"/>
          <w:sz w:val="22"/>
        </w:rPr>
        <w:t>Key achievements</w:t>
      </w:r>
    </w:p>
    <w:p w14:paraId="37B770D8" w14:textId="6E0EC0E0" w:rsidR="00626D16" w:rsidRPr="008E5777" w:rsidRDefault="00626D16" w:rsidP="00626D16">
      <w:pPr>
        <w:pStyle w:val="ListBullet"/>
        <w:rPr>
          <w:sz w:val="20"/>
          <w:szCs w:val="20"/>
        </w:rPr>
      </w:pPr>
      <w:r w:rsidRPr="008E5777">
        <w:rPr>
          <w:b/>
          <w:sz w:val="20"/>
          <w:szCs w:val="20"/>
        </w:rPr>
        <w:t xml:space="preserve">Increased collaboration between SPC and PIFS. </w:t>
      </w:r>
      <w:r w:rsidRPr="008E5777">
        <w:rPr>
          <w:bCs/>
          <w:sz w:val="20"/>
          <w:szCs w:val="20"/>
        </w:rPr>
        <w:t>Strengthened partnership between key regional organisations, creating a more cohesive approach to gender equality initiatives across the Pacific.</w:t>
      </w:r>
    </w:p>
    <w:p w14:paraId="1370DEB8" w14:textId="77777777" w:rsidR="00626D16" w:rsidRPr="008E5777" w:rsidRDefault="00626D16" w:rsidP="00626D16">
      <w:pPr>
        <w:pStyle w:val="ListBullet"/>
        <w:rPr>
          <w:sz w:val="20"/>
          <w:szCs w:val="20"/>
        </w:rPr>
      </w:pPr>
      <w:r w:rsidRPr="008E5777">
        <w:rPr>
          <w:b/>
          <w:sz w:val="20"/>
          <w:szCs w:val="20"/>
        </w:rPr>
        <w:t xml:space="preserve">Joint regional meetings. </w:t>
      </w:r>
      <w:r w:rsidRPr="008E5777">
        <w:rPr>
          <w:bCs/>
          <w:sz w:val="20"/>
          <w:szCs w:val="20"/>
        </w:rPr>
        <w:t>The joint convening of the 15</w:t>
      </w:r>
      <w:r w:rsidRPr="008E5777">
        <w:rPr>
          <w:bCs/>
          <w:sz w:val="20"/>
          <w:szCs w:val="20"/>
          <w:vertAlign w:val="superscript"/>
        </w:rPr>
        <w:t>th</w:t>
      </w:r>
      <w:r w:rsidRPr="008E5777">
        <w:rPr>
          <w:bCs/>
          <w:sz w:val="20"/>
          <w:szCs w:val="20"/>
        </w:rPr>
        <w:t xml:space="preserve"> Triennial Conference, 8</w:t>
      </w:r>
      <w:r w:rsidRPr="008E5777">
        <w:rPr>
          <w:bCs/>
          <w:sz w:val="20"/>
          <w:szCs w:val="20"/>
          <w:vertAlign w:val="superscript"/>
        </w:rPr>
        <w:t>th</w:t>
      </w:r>
      <w:r w:rsidRPr="008E5777">
        <w:rPr>
          <w:bCs/>
          <w:sz w:val="20"/>
          <w:szCs w:val="20"/>
        </w:rPr>
        <w:t xml:space="preserve"> Ministers for Women Meetings, and 3</w:t>
      </w:r>
      <w:r w:rsidRPr="008E5777">
        <w:rPr>
          <w:bCs/>
          <w:sz w:val="20"/>
          <w:szCs w:val="20"/>
          <w:vertAlign w:val="superscript"/>
        </w:rPr>
        <w:t>rd</w:t>
      </w:r>
      <w:r w:rsidRPr="008E5777">
        <w:rPr>
          <w:bCs/>
          <w:sz w:val="20"/>
          <w:szCs w:val="20"/>
        </w:rPr>
        <w:t xml:space="preserve"> Pacific Islands Forum Women Leaders Meeting created important platforms for regional gender policy dialogue and coordination. </w:t>
      </w:r>
    </w:p>
    <w:p w14:paraId="6C1D00EC" w14:textId="77777777" w:rsidR="00626D16" w:rsidRPr="008E5777" w:rsidRDefault="00626D16" w:rsidP="00626D16">
      <w:pPr>
        <w:pStyle w:val="ListBullet"/>
        <w:rPr>
          <w:sz w:val="20"/>
          <w:szCs w:val="20"/>
        </w:rPr>
      </w:pPr>
      <w:r w:rsidRPr="008E5777">
        <w:rPr>
          <w:b/>
          <w:sz w:val="20"/>
          <w:szCs w:val="20"/>
        </w:rPr>
        <w:t xml:space="preserve">Inaugural PWL ARAW 2023. </w:t>
      </w:r>
      <w:r w:rsidRPr="008E5777">
        <w:rPr>
          <w:bCs/>
          <w:sz w:val="20"/>
          <w:szCs w:val="20"/>
        </w:rPr>
        <w:t xml:space="preserve">This event brought diverse stakeholders together to collaborate on gender equality efforts, enhancing regional coordination. </w:t>
      </w:r>
    </w:p>
    <w:p w14:paraId="2FB953E6" w14:textId="77777777" w:rsidR="00626D16" w:rsidRPr="008E5777" w:rsidRDefault="00626D16" w:rsidP="00626D16">
      <w:pPr>
        <w:pStyle w:val="ListBullet"/>
        <w:rPr>
          <w:sz w:val="20"/>
          <w:szCs w:val="20"/>
        </w:rPr>
      </w:pPr>
      <w:r w:rsidRPr="008E5777">
        <w:rPr>
          <w:b/>
          <w:bCs/>
          <w:sz w:val="20"/>
          <w:szCs w:val="20"/>
        </w:rPr>
        <w:t>Principal Strategic Lead – Pacific Women and Girls (SPC).</w:t>
      </w:r>
      <w:r w:rsidRPr="008E5777">
        <w:rPr>
          <w:sz w:val="20"/>
          <w:szCs w:val="20"/>
        </w:rPr>
        <w:t xml:space="preserve"> Strategic leadership enabled gender equality principles to be incorporated into the work of other CROP agencies including SPREP and FFA. </w:t>
      </w:r>
    </w:p>
    <w:p w14:paraId="73D46343" w14:textId="77777777" w:rsidR="00626D16" w:rsidRPr="008E5777" w:rsidRDefault="00626D16" w:rsidP="00626D16">
      <w:pPr>
        <w:pStyle w:val="ListBullet"/>
        <w:rPr>
          <w:b/>
          <w:bCs/>
          <w:sz w:val="20"/>
          <w:szCs w:val="20"/>
        </w:rPr>
      </w:pPr>
      <w:r w:rsidRPr="008E5777">
        <w:rPr>
          <w:b/>
          <w:bCs/>
          <w:sz w:val="20"/>
          <w:szCs w:val="20"/>
        </w:rPr>
        <w:t xml:space="preserve">Technical support for CEDAW reporting. </w:t>
      </w:r>
      <w:r w:rsidRPr="008E5777">
        <w:rPr>
          <w:sz w:val="20"/>
          <w:szCs w:val="20"/>
        </w:rPr>
        <w:t xml:space="preserve">SPC’s assistance to the Fiji Government strengthened national capacity to meet international reporting obligations on women’s rights. </w:t>
      </w:r>
    </w:p>
    <w:p w14:paraId="35F0F0D6" w14:textId="77777777" w:rsidR="00626D16" w:rsidRPr="008E5777" w:rsidRDefault="00626D16" w:rsidP="00626D16">
      <w:pPr>
        <w:pStyle w:val="ListBullet"/>
        <w:rPr>
          <w:b/>
          <w:bCs/>
          <w:sz w:val="20"/>
          <w:szCs w:val="20"/>
        </w:rPr>
      </w:pPr>
      <w:r w:rsidRPr="008E5777">
        <w:rPr>
          <w:b/>
          <w:bCs/>
          <w:sz w:val="20"/>
          <w:szCs w:val="20"/>
        </w:rPr>
        <w:t xml:space="preserve">Regional GBV Counselling Framework development. </w:t>
      </w:r>
      <w:r w:rsidRPr="008E5777">
        <w:rPr>
          <w:sz w:val="20"/>
          <w:szCs w:val="20"/>
        </w:rPr>
        <w:t xml:space="preserve">Creation of a standardised approach to addressing GBV across the region, improving service quality and consistency. </w:t>
      </w:r>
    </w:p>
    <w:p w14:paraId="77540001" w14:textId="77777777" w:rsidR="00626D16" w:rsidRPr="008E5777" w:rsidRDefault="00626D16" w:rsidP="00626D16">
      <w:pPr>
        <w:pStyle w:val="ListBullet"/>
        <w:rPr>
          <w:b/>
          <w:bCs/>
          <w:sz w:val="20"/>
          <w:szCs w:val="20"/>
        </w:rPr>
      </w:pPr>
      <w:r w:rsidRPr="008E5777">
        <w:rPr>
          <w:b/>
          <w:bCs/>
          <w:sz w:val="20"/>
          <w:szCs w:val="20"/>
        </w:rPr>
        <w:t xml:space="preserve">Support to Vanuatu CSOs on Universal Periodic Review. </w:t>
      </w:r>
      <w:r w:rsidRPr="008E5777">
        <w:rPr>
          <w:sz w:val="20"/>
          <w:szCs w:val="20"/>
        </w:rPr>
        <w:t xml:space="preserve">Enhanced civil society participation in human rights mechanisms, ensuring gender perspectives were represented in international reporting. </w:t>
      </w:r>
    </w:p>
    <w:p w14:paraId="6C912464" w14:textId="50DEC86F" w:rsidR="00626D16" w:rsidRPr="008E5777" w:rsidRDefault="00626D16" w:rsidP="00626D16">
      <w:pPr>
        <w:pStyle w:val="ListBullet"/>
        <w:rPr>
          <w:sz w:val="20"/>
          <w:szCs w:val="20"/>
        </w:rPr>
      </w:pPr>
      <w:r w:rsidRPr="008E5777">
        <w:rPr>
          <w:b/>
          <w:bCs/>
          <w:sz w:val="20"/>
          <w:szCs w:val="20"/>
        </w:rPr>
        <w:t>"Remarkable collaborative strength" at CSW67.</w:t>
      </w:r>
      <w:r w:rsidRPr="008E5777">
        <w:rPr>
          <w:sz w:val="20"/>
          <w:szCs w:val="20"/>
        </w:rPr>
        <w:t xml:space="preserve"> Regional partners pooled resources and expertise across SPC, PIFS, Pacific governments and CSOs, resulting in significant advocacy wins</w:t>
      </w:r>
      <w:r w:rsidR="00DB3697">
        <w:rPr>
          <w:sz w:val="20"/>
          <w:szCs w:val="20"/>
        </w:rPr>
        <w:t>.</w:t>
      </w:r>
    </w:p>
    <w:p w14:paraId="172DFE40" w14:textId="77777777" w:rsidR="00626D16" w:rsidRPr="008E5777" w:rsidRDefault="00626D16" w:rsidP="00626D16">
      <w:pPr>
        <w:pStyle w:val="ListBullet"/>
        <w:rPr>
          <w:sz w:val="20"/>
          <w:szCs w:val="20"/>
        </w:rPr>
      </w:pPr>
      <w:r w:rsidRPr="008E5777">
        <w:rPr>
          <w:b/>
          <w:bCs/>
          <w:sz w:val="20"/>
          <w:szCs w:val="20"/>
        </w:rPr>
        <w:t>Stronger gender equality language in global forums</w:t>
      </w:r>
      <w:r w:rsidRPr="008E5777">
        <w:rPr>
          <w:sz w:val="20"/>
          <w:szCs w:val="20"/>
        </w:rPr>
        <w:t>. Successfully negotiated to include Pacific-specific concerns such as maritime areas, island vulnerabilities, and TFGBV in international agreements.</w:t>
      </w:r>
    </w:p>
    <w:p w14:paraId="5A7FA2B5" w14:textId="77777777" w:rsidR="00626D16" w:rsidRPr="008E5777" w:rsidRDefault="00626D16" w:rsidP="00626D16">
      <w:pPr>
        <w:pStyle w:val="ListBullet"/>
        <w:rPr>
          <w:sz w:val="20"/>
          <w:szCs w:val="20"/>
        </w:rPr>
      </w:pPr>
      <w:r w:rsidRPr="008E5777">
        <w:rPr>
          <w:b/>
          <w:bCs/>
          <w:sz w:val="20"/>
          <w:szCs w:val="20"/>
        </w:rPr>
        <w:t>2050 Strategy for the Blue Pacific Continent</w:t>
      </w:r>
      <w:r w:rsidRPr="008E5777">
        <w:rPr>
          <w:sz w:val="20"/>
          <w:szCs w:val="20"/>
        </w:rPr>
        <w:t>. Integrated gender equality throughout this major regional framework, ensuring gender considerations in long-term regional planning.</w:t>
      </w:r>
    </w:p>
    <w:p w14:paraId="6D91E234" w14:textId="77777777" w:rsidR="00626D16" w:rsidRPr="008E5777" w:rsidRDefault="00626D16" w:rsidP="00626D16">
      <w:pPr>
        <w:pStyle w:val="ListBullet"/>
        <w:rPr>
          <w:sz w:val="20"/>
          <w:szCs w:val="20"/>
        </w:rPr>
      </w:pPr>
      <w:r w:rsidRPr="008E5777">
        <w:rPr>
          <w:b/>
          <w:bCs/>
          <w:sz w:val="20"/>
          <w:szCs w:val="20"/>
        </w:rPr>
        <w:t>Revitalised Pacific Leaders Gender Equality Declaration (PLGED)</w:t>
      </w:r>
      <w:r w:rsidRPr="008E5777">
        <w:rPr>
          <w:sz w:val="20"/>
          <w:szCs w:val="20"/>
        </w:rPr>
        <w:t>. Established PLGED as the official Gender Equality and Social Inclusion Framework for regional strategy, elevating its importance.</w:t>
      </w:r>
    </w:p>
    <w:p w14:paraId="109FC6AD" w14:textId="77777777" w:rsidR="00626D16" w:rsidRPr="008E5777" w:rsidRDefault="00626D16" w:rsidP="00626D16">
      <w:pPr>
        <w:pStyle w:val="ListBullet"/>
        <w:rPr>
          <w:sz w:val="20"/>
          <w:szCs w:val="20"/>
        </w:rPr>
      </w:pPr>
      <w:r w:rsidRPr="008E5777">
        <w:rPr>
          <w:b/>
          <w:bCs/>
          <w:sz w:val="20"/>
          <w:szCs w:val="20"/>
        </w:rPr>
        <w:t>Micronesian Gender Equality Framework</w:t>
      </w:r>
      <w:r w:rsidRPr="008E5777">
        <w:rPr>
          <w:sz w:val="20"/>
          <w:szCs w:val="20"/>
        </w:rPr>
        <w:t>. Support for this pioneering sub-regional coordination that integrates gender equality across multiple sectors including energy, health, tourism, and transportation, addressing specific sub-regional needs.</w:t>
      </w:r>
    </w:p>
    <w:p w14:paraId="54BBC28D" w14:textId="28002841" w:rsidR="00610D4C" w:rsidRPr="00D26460" w:rsidRDefault="006C5CBF" w:rsidP="00C14C44">
      <w:pPr>
        <w:spacing w:after="120"/>
        <w:rPr>
          <w:rFonts w:asciiTheme="majorHAnsi" w:hAnsiTheme="majorHAnsi"/>
          <w:color w:val="984C00" w:themeColor="accent1" w:themeShade="BF"/>
          <w:sz w:val="22"/>
          <w:szCs w:val="24"/>
        </w:rPr>
      </w:pPr>
      <w:r w:rsidRPr="00D26460">
        <w:rPr>
          <w:rFonts w:asciiTheme="majorHAnsi" w:hAnsiTheme="majorHAnsi"/>
          <w:color w:val="984C00" w:themeColor="accent1" w:themeShade="BF"/>
          <w:sz w:val="22"/>
          <w:szCs w:val="24"/>
        </w:rPr>
        <w:t xml:space="preserve">Intermediate outcome 1: </w:t>
      </w:r>
      <w:r w:rsidR="0026774D" w:rsidRPr="00D26460">
        <w:rPr>
          <w:rFonts w:asciiTheme="majorHAnsi" w:hAnsiTheme="majorHAnsi"/>
          <w:color w:val="984C00" w:themeColor="accent1" w:themeShade="BF"/>
          <w:sz w:val="22"/>
          <w:szCs w:val="24"/>
        </w:rPr>
        <w:t>Pacific Governments and development partners are mainstreaming gender through sector programs</w:t>
      </w:r>
    </w:p>
    <w:p w14:paraId="026D8437" w14:textId="47914849" w:rsidR="00AE385F" w:rsidRDefault="004C75E9" w:rsidP="00EC77F5">
      <w:r w:rsidRPr="004C75E9">
        <w:t>There is substantial evidence of progress towards Pacific governments and development partners mainstreaming gender through sector programs.</w:t>
      </w:r>
      <w:r w:rsidR="00AE385F">
        <w:t xml:space="preserve"> </w:t>
      </w:r>
      <w:r w:rsidR="00AE385F" w:rsidRPr="00AE385F">
        <w:t xml:space="preserve">Pacific countries have made concrete progress in gender mainstreaming at the national level. FSM, Tuvalu, Palau, and Tonga have benefited from technical advisors placed in government ministries who have provided gender-related technical support. These advisors have contributed to developing strategic plans like FSM's Social Affairs Strategic Development Plan and Tuvalu's Gender Equity Policy, as well as reviewing key national documents such as FSM's National Disaster Preparedness Plan and Tuvalu's National Disability Policy. The establishment of Tuvalu's National GBV Task Force stands as a direct outcome of this support. </w:t>
      </w:r>
    </w:p>
    <w:p w14:paraId="53E7774E" w14:textId="7A82D83A" w:rsidR="00530CBE" w:rsidRDefault="00AE385F" w:rsidP="00EC77F5">
      <w:pPr>
        <w:rPr>
          <w:rFonts w:cstheme="minorHAnsi"/>
        </w:rPr>
      </w:pPr>
      <w:r>
        <w:rPr>
          <w:rFonts w:cstheme="minorHAnsi"/>
        </w:rPr>
        <w:t>T</w:t>
      </w:r>
      <w:r w:rsidRPr="004C75E9">
        <w:rPr>
          <w:rFonts w:cstheme="minorHAnsi"/>
        </w:rPr>
        <w:t>he creation of the Micronesian Islands Forum Gender Equality Framework demonstrates progress in establishing sub-regional mechanisms for integrating gender equality across multiple sector</w:t>
      </w:r>
      <w:r w:rsidR="004B1A64">
        <w:rPr>
          <w:rFonts w:cstheme="minorHAnsi"/>
        </w:rPr>
        <w:t>s</w:t>
      </w:r>
      <w:r w:rsidR="00F62CA2">
        <w:rPr>
          <w:rFonts w:cstheme="minorHAnsi"/>
        </w:rPr>
        <w:t xml:space="preserve">. </w:t>
      </w:r>
      <w:r w:rsidR="00530CBE" w:rsidRPr="00530CBE">
        <w:rPr>
          <w:rFonts w:cstheme="minorHAnsi"/>
        </w:rPr>
        <w:t>At the regional level, gender equality has been mainstreamed into key strategic documents like the 2050 Strategy for the Blue Pacific Continent Implementation Plan and the revitali</w:t>
      </w:r>
      <w:r w:rsidR="00B06A99">
        <w:rPr>
          <w:rFonts w:cstheme="minorHAnsi"/>
        </w:rPr>
        <w:t>s</w:t>
      </w:r>
      <w:r w:rsidR="00530CBE" w:rsidRPr="00530CBE">
        <w:rPr>
          <w:rFonts w:cstheme="minorHAnsi"/>
        </w:rPr>
        <w:t xml:space="preserve">ed Pacific Leaders Gender </w:t>
      </w:r>
      <w:r w:rsidR="00530CBE" w:rsidRPr="00530CBE">
        <w:rPr>
          <w:rFonts w:cstheme="minorHAnsi"/>
        </w:rPr>
        <w:lastRenderedPageBreak/>
        <w:t xml:space="preserve">Equality Declaration (PLGED) endorsed </w:t>
      </w:r>
      <w:r w:rsidR="00B06A99">
        <w:rPr>
          <w:rFonts w:cstheme="minorHAnsi"/>
        </w:rPr>
        <w:t xml:space="preserve">by </w:t>
      </w:r>
      <w:r w:rsidR="00CA4735">
        <w:rPr>
          <w:rFonts w:cstheme="minorHAnsi"/>
        </w:rPr>
        <w:t>Pacific Islands Forum (</w:t>
      </w:r>
      <w:r w:rsidR="00C1511B">
        <w:rPr>
          <w:rFonts w:cstheme="minorHAnsi"/>
        </w:rPr>
        <w:t>PIFS</w:t>
      </w:r>
      <w:r w:rsidR="00CA4735">
        <w:rPr>
          <w:rFonts w:cstheme="minorHAnsi"/>
        </w:rPr>
        <w:t>)</w:t>
      </w:r>
      <w:r w:rsidR="00B06A99">
        <w:rPr>
          <w:rFonts w:cstheme="minorHAnsi"/>
        </w:rPr>
        <w:t xml:space="preserve"> Leaders in</w:t>
      </w:r>
      <w:r w:rsidR="00530CBE" w:rsidRPr="00530CBE">
        <w:rPr>
          <w:rFonts w:cstheme="minorHAnsi"/>
        </w:rPr>
        <w:t xml:space="preserve"> 2023. This represents</w:t>
      </w:r>
      <w:r w:rsidR="00B06A99">
        <w:rPr>
          <w:rFonts w:cstheme="minorHAnsi"/>
        </w:rPr>
        <w:t xml:space="preserve"> renewed</w:t>
      </w:r>
      <w:r w:rsidR="00530CBE" w:rsidRPr="00530CBE">
        <w:rPr>
          <w:rFonts w:cstheme="minorHAnsi"/>
        </w:rPr>
        <w:t xml:space="preserve"> high-level political commitment to gender mainstreaming. Support has extended to various CROP agencies including SPC, </w:t>
      </w:r>
      <w:r w:rsidR="00CA4735">
        <w:rPr>
          <w:rFonts w:cstheme="minorHAnsi"/>
        </w:rPr>
        <w:t>Secretariat of the Pacific Regional Environment Programme (</w:t>
      </w:r>
      <w:r w:rsidR="00530CBE" w:rsidRPr="00CA4735">
        <w:rPr>
          <w:rFonts w:cstheme="minorHAnsi"/>
        </w:rPr>
        <w:t>SPREP</w:t>
      </w:r>
      <w:r w:rsidR="00CA4735">
        <w:rPr>
          <w:rFonts w:cstheme="minorHAnsi"/>
        </w:rPr>
        <w:t>)</w:t>
      </w:r>
      <w:r w:rsidR="00530CBE" w:rsidRPr="00530CBE">
        <w:rPr>
          <w:rFonts w:cstheme="minorHAnsi"/>
        </w:rPr>
        <w:t>, and the Pacific Island Forum Fisheries Agency</w:t>
      </w:r>
      <w:r w:rsidR="00CA4735">
        <w:rPr>
          <w:rFonts w:cstheme="minorHAnsi"/>
        </w:rPr>
        <w:t xml:space="preserve"> (FFA)</w:t>
      </w:r>
      <w:r w:rsidR="00530CBE" w:rsidRPr="00530CBE">
        <w:rPr>
          <w:rFonts w:cstheme="minorHAnsi"/>
        </w:rPr>
        <w:t xml:space="preserve">, integrating gender perspectives beyond traditional gender-focused initiatives. Institutional mechanisms have been strengthened through SPC's Gender Community of Practice, Gender Equality Flagship, and the Principal Strategic Lead – Pacific Women and Girls position, which collectively integrate gender considerations </w:t>
      </w:r>
      <w:r w:rsidR="004B1A64">
        <w:rPr>
          <w:rFonts w:cstheme="minorHAnsi"/>
        </w:rPr>
        <w:t>internally</w:t>
      </w:r>
      <w:r w:rsidR="00530CBE" w:rsidRPr="00530CBE">
        <w:rPr>
          <w:rFonts w:cstheme="minorHAnsi"/>
        </w:rPr>
        <w:t xml:space="preserve"> while </w:t>
      </w:r>
      <w:r w:rsidR="00B06A99">
        <w:rPr>
          <w:rFonts w:cstheme="minorHAnsi"/>
        </w:rPr>
        <w:t xml:space="preserve">also </w:t>
      </w:r>
      <w:r w:rsidR="00530CBE" w:rsidRPr="00530CBE">
        <w:rPr>
          <w:rFonts w:cstheme="minorHAnsi"/>
        </w:rPr>
        <w:t xml:space="preserve">amplifying gender priorities externally. </w:t>
      </w:r>
    </w:p>
    <w:p w14:paraId="28E422E4" w14:textId="59D83124" w:rsidR="00F678BB" w:rsidRDefault="00F678BB" w:rsidP="00EC77F5">
      <w:pPr>
        <w:rPr>
          <w:rFonts w:cstheme="minorHAnsi"/>
        </w:rPr>
      </w:pPr>
      <w:r>
        <w:rPr>
          <w:rFonts w:cstheme="minorHAnsi"/>
          <w:noProof/>
        </w:rPr>
        <w:drawing>
          <wp:inline distT="0" distB="0" distL="0" distR="0" wp14:anchorId="55E20D91" wp14:editId="75B3C05E">
            <wp:extent cx="6103620" cy="2090281"/>
            <wp:effectExtent l="0" t="0" r="0" b="5715"/>
            <wp:docPr id="2014935503" name="Picture 3" descr="Quote: “[The] rationale for putting PWL at SPC is about… Pacific ownership. We have the mandate to work with Pacific Island country governments. [It] can also strengthen our relationships with civil society.”&#10;– MTR interview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35503" name="Picture 3" descr="Quote: “[The] rationale for putting PWL at SPC is about… Pacific ownership. We have the mandate to work with Pacific Island country governments. [It] can also strengthen our relationships with civil society.”&#10;– MTR interviewee"/>
                    <pic:cNvPicPr/>
                  </pic:nvPicPr>
                  <pic:blipFill rotWithShape="1">
                    <a:blip r:embed="rId21" cstate="print">
                      <a:extLst>
                        <a:ext uri="{28A0092B-C50C-407E-A947-70E740481C1C}">
                          <a14:useLocalDpi xmlns:a14="http://schemas.microsoft.com/office/drawing/2010/main"/>
                        </a:ext>
                      </a:extLst>
                    </a:blip>
                    <a:srcRect l="6030" t="18374" r="22108" b="37878"/>
                    <a:stretch>
                      <a:fillRect/>
                    </a:stretch>
                  </pic:blipFill>
                  <pic:spPr bwMode="auto">
                    <a:xfrm>
                      <a:off x="0" y="0"/>
                      <a:ext cx="6123434" cy="2097067"/>
                    </a:xfrm>
                    <a:prstGeom prst="rect">
                      <a:avLst/>
                    </a:prstGeom>
                    <a:ln>
                      <a:noFill/>
                    </a:ln>
                    <a:extLst>
                      <a:ext uri="{53640926-AAD7-44D8-BBD7-CCE9431645EC}">
                        <a14:shadowObscured xmlns:a14="http://schemas.microsoft.com/office/drawing/2010/main"/>
                      </a:ext>
                    </a:extLst>
                  </pic:spPr>
                </pic:pic>
              </a:graphicData>
            </a:graphic>
          </wp:inline>
        </w:drawing>
      </w:r>
    </w:p>
    <w:p w14:paraId="0E0D641B" w14:textId="0EC167EB" w:rsidR="00AE385F" w:rsidRDefault="00AE385F" w:rsidP="00EC77F5">
      <w:r w:rsidRPr="00AE385F">
        <w:t xml:space="preserve">In the international arena, there is substantial evidence of gender mainstreaming in climate action, with SPC and </w:t>
      </w:r>
      <w:r w:rsidR="00C1511B">
        <w:t>PIFS</w:t>
      </w:r>
      <w:r w:rsidRPr="00AE385F">
        <w:t xml:space="preserve"> supporting at least 10 Pacific Island countries, including Vanuatu, to incorporate gender equality perspectives in their </w:t>
      </w:r>
      <w:r w:rsidRPr="001B1B35">
        <w:t xml:space="preserve">International Court of Justice submissions. This highlights the impact of climate change on women in all their diversities. </w:t>
      </w:r>
      <w:r w:rsidR="00C1511B">
        <w:t>PIFS</w:t>
      </w:r>
      <w:r w:rsidRPr="001B1B35">
        <w:t xml:space="preserve"> has also supported Pacific islands in integrating gender equality considerations into negotiations and </w:t>
      </w:r>
      <w:r w:rsidR="001B1B35" w:rsidRPr="001B1B35">
        <w:t>28</w:t>
      </w:r>
      <w:r w:rsidR="001B1B35" w:rsidRPr="001B1B35">
        <w:rPr>
          <w:vertAlign w:val="superscript"/>
        </w:rPr>
        <w:t>th</w:t>
      </w:r>
      <w:r w:rsidR="001B1B35" w:rsidRPr="001B1B35">
        <w:t xml:space="preserve"> United Nations Climate Change Conference (</w:t>
      </w:r>
      <w:r w:rsidRPr="001B1B35">
        <w:t>COP28</w:t>
      </w:r>
      <w:r w:rsidR="001B1B35" w:rsidRPr="001B1B35">
        <w:t>)</w:t>
      </w:r>
      <w:r w:rsidRPr="001B1B35">
        <w:t>. These international engagements demonstrate how Pacific gender mainstreaming efforts are extending beyond regional boundaries</w:t>
      </w:r>
      <w:r w:rsidRPr="00AE385F">
        <w:t xml:space="preserve"> to influence global policy discussions, particularly in climate action where Pacific nations are disproportionately affected and where women's experiences and needs require specific consideration.</w:t>
      </w:r>
    </w:p>
    <w:p w14:paraId="08F568A7" w14:textId="1D063F2E" w:rsidR="00C14C44" w:rsidRPr="00D26460" w:rsidRDefault="006C5CBF" w:rsidP="00C14C44">
      <w:pPr>
        <w:spacing w:after="120"/>
        <w:rPr>
          <w:rFonts w:asciiTheme="majorHAnsi" w:hAnsiTheme="majorHAnsi"/>
          <w:color w:val="984C00" w:themeColor="accent1" w:themeShade="BF"/>
          <w:sz w:val="22"/>
          <w:szCs w:val="24"/>
        </w:rPr>
      </w:pPr>
      <w:r w:rsidRPr="00D26460">
        <w:rPr>
          <w:rFonts w:asciiTheme="majorHAnsi" w:hAnsiTheme="majorHAnsi"/>
          <w:color w:val="984C00" w:themeColor="accent1" w:themeShade="BF"/>
          <w:sz w:val="22"/>
          <w:szCs w:val="24"/>
        </w:rPr>
        <w:t xml:space="preserve">Intermediate outcome 2: </w:t>
      </w:r>
      <w:r w:rsidR="001A3358" w:rsidRPr="00D26460">
        <w:rPr>
          <w:rFonts w:asciiTheme="majorHAnsi" w:hAnsiTheme="majorHAnsi"/>
          <w:color w:val="984C00" w:themeColor="accent1" w:themeShade="BF"/>
          <w:sz w:val="22"/>
          <w:szCs w:val="24"/>
        </w:rPr>
        <w:t xml:space="preserve">The </w:t>
      </w:r>
      <w:r w:rsidR="00311C2E" w:rsidRPr="00D26460">
        <w:rPr>
          <w:rFonts w:asciiTheme="majorHAnsi" w:hAnsiTheme="majorHAnsi"/>
          <w:color w:val="984C00" w:themeColor="accent1" w:themeShade="BF"/>
          <w:sz w:val="22"/>
          <w:szCs w:val="24"/>
        </w:rPr>
        <w:t>PWL Governance Board</w:t>
      </w:r>
      <w:r w:rsidR="001A3358" w:rsidRPr="00D26460">
        <w:rPr>
          <w:rFonts w:asciiTheme="majorHAnsi" w:hAnsiTheme="majorHAnsi"/>
          <w:color w:val="984C00" w:themeColor="accent1" w:themeShade="BF"/>
          <w:sz w:val="22"/>
          <w:szCs w:val="24"/>
        </w:rPr>
        <w:t xml:space="preserve"> and regional partners are collaborating and contributing to the Pacific region’s gender equality commitments</w:t>
      </w:r>
    </w:p>
    <w:p w14:paraId="24C6C9AE" w14:textId="77777777" w:rsidR="008E5777" w:rsidRDefault="00EE71B2" w:rsidP="00566976">
      <w:pPr>
        <w:spacing w:after="120"/>
      </w:pPr>
      <w:r>
        <w:t>There</w:t>
      </w:r>
      <w:r w:rsidR="00A15F2A" w:rsidRPr="00A15F2A">
        <w:t xml:space="preserve"> is substantial evidence of regional partners collaborating and contributing to the Pacific region's gender equality commitments</w:t>
      </w:r>
      <w:r w:rsidR="008707BC">
        <w:t xml:space="preserve">. Continued attention to strengthening these collaborations is critical moving forward as challenges remain in ensuring consistent high-level attention to gender </w:t>
      </w:r>
      <w:r w:rsidR="00F26B90">
        <w:t>priorities and</w:t>
      </w:r>
      <w:r w:rsidR="005A0F1E">
        <w:t xml:space="preserve"> revising the PWL Governance Board’s role </w:t>
      </w:r>
      <w:r w:rsidR="0085318F">
        <w:t xml:space="preserve">in </w:t>
      </w:r>
      <w:r w:rsidR="005A0F1E">
        <w:t xml:space="preserve">and contribution </w:t>
      </w:r>
      <w:r w:rsidR="0085318F">
        <w:t>to</w:t>
      </w:r>
      <w:r w:rsidR="005A0F1E">
        <w:t xml:space="preserve"> these efforts. </w:t>
      </w:r>
      <w:r w:rsidR="0085318F" w:rsidRPr="0085318F">
        <w:t xml:space="preserve">Despite notable successes in regional cooperation, </w:t>
      </w:r>
      <w:r w:rsidR="0085318F">
        <w:t>t</w:t>
      </w:r>
      <w:r w:rsidR="0085318F" w:rsidRPr="0085318F">
        <w:t xml:space="preserve">he 15th Triennial Conference highlighted a critical disconnect between technical work and high-level policy outcomes, with gender-related issues absent from the </w:t>
      </w:r>
      <w:r w:rsidR="00C1511B">
        <w:t>PIFS</w:t>
      </w:r>
      <w:r w:rsidR="0085318F" w:rsidRPr="0085318F">
        <w:t xml:space="preserve"> Leaders Communiqué </w:t>
      </w:r>
      <w:r w:rsidR="0085318F">
        <w:t xml:space="preserve">and did not receive proper attention from </w:t>
      </w:r>
      <w:r w:rsidR="00C1511B">
        <w:t>PIFS</w:t>
      </w:r>
      <w:r w:rsidR="0085318F">
        <w:t xml:space="preserve"> leaders, </w:t>
      </w:r>
      <w:r w:rsidR="0085318F" w:rsidRPr="0085318F">
        <w:t xml:space="preserve">despite innovative co-convening with the </w:t>
      </w:r>
      <w:r w:rsidR="00C1511B">
        <w:t>PIF</w:t>
      </w:r>
      <w:r w:rsidR="0085318F" w:rsidRPr="0085318F">
        <w:t xml:space="preserve">WLM </w:t>
      </w:r>
      <w:r w:rsidR="0085318F">
        <w:t>and strong partnerships at the social policy level</w:t>
      </w:r>
      <w:r w:rsidR="0085318F" w:rsidRPr="0085318F">
        <w:t xml:space="preserve">. </w:t>
      </w:r>
    </w:p>
    <w:p w14:paraId="61857ABC" w14:textId="2B8EEA7F" w:rsidR="00566976" w:rsidRDefault="00D437F4" w:rsidP="00566976">
      <w:pPr>
        <w:spacing w:after="120"/>
        <w:rPr>
          <w:b/>
          <w:bCs/>
        </w:rPr>
      </w:pPr>
      <w:r w:rsidRPr="61BDED99">
        <w:t xml:space="preserve">This highlights the ongoing need to strengthen formal mechanisms for ensuring gender priorities are mainstreamed into high-level regional decision-making processes. </w:t>
      </w:r>
      <w:bookmarkStart w:id="35" w:name="_Hlk200633871"/>
      <w:r w:rsidRPr="61BDED99">
        <w:t>Additionally, consultations surfaced the importance of continuing to strengthen clarity of the regional gender equality architecture and finding more efficient ways to work together, suggesting a need for continued efforts to strengthen coordination and avoid duplication.</w:t>
      </w:r>
      <w:r w:rsidR="00E74058" w:rsidRPr="00E74058">
        <w:rPr>
          <w:b/>
          <w:bCs/>
        </w:rPr>
        <w:t xml:space="preserve"> </w:t>
      </w:r>
    </w:p>
    <w:bookmarkEnd w:id="35"/>
    <w:p w14:paraId="22D5F65A" w14:textId="04DE1B82" w:rsidR="00566976" w:rsidRDefault="00566976" w:rsidP="00EB46CF">
      <w:pPr>
        <w:rPr>
          <w:b/>
          <w:bCs/>
        </w:rPr>
      </w:pPr>
      <w:r>
        <w:t xml:space="preserve">Additionally, </w:t>
      </w:r>
      <w:r w:rsidRPr="0085318F">
        <w:t xml:space="preserve">"Pacific Ownership" remains the least understood </w:t>
      </w:r>
      <w:r>
        <w:t xml:space="preserve">PWL </w:t>
      </w:r>
      <w:r w:rsidRPr="0085318F">
        <w:t xml:space="preserve">outcome </w:t>
      </w:r>
      <w:r>
        <w:t>a</w:t>
      </w:r>
      <w:r w:rsidRPr="0085318F">
        <w:t>rea</w:t>
      </w:r>
      <w:r w:rsidR="00E661E2">
        <w:t>, a</w:t>
      </w:r>
      <w:r w:rsidR="00E661E2" w:rsidRPr="00E661E2">
        <w:t xml:space="preserve">s reflected in ARAW discussions, the Formative Situational Analysis, the PWL Progress Report, and MTR </w:t>
      </w:r>
      <w:r w:rsidR="00E661E2">
        <w:t>c</w:t>
      </w:r>
      <w:r w:rsidR="00E661E2" w:rsidRPr="00E661E2">
        <w:t>onsultations</w:t>
      </w:r>
      <w:r w:rsidRPr="0085318F">
        <w:t xml:space="preserve"> While the PWL </w:t>
      </w:r>
      <w:r>
        <w:t>Investment</w:t>
      </w:r>
      <w:r w:rsidRPr="0085318F">
        <w:t xml:space="preserve"> Design Document </w:t>
      </w:r>
      <w:r>
        <w:t xml:space="preserve">(IDD) </w:t>
      </w:r>
      <w:r w:rsidRPr="0085318F">
        <w:t>presents a formal, institutional approach focused on governance mechanisms, stakeholders emphasi</w:t>
      </w:r>
      <w:r>
        <w:t>s</w:t>
      </w:r>
      <w:r w:rsidRPr="0085318F">
        <w:t>ed the need for a more nuanced understanding that values local knowledge</w:t>
      </w:r>
      <w:r>
        <w:t xml:space="preserve"> and leadership</w:t>
      </w:r>
      <w:r w:rsidRPr="0085318F">
        <w:t xml:space="preserve">, </w:t>
      </w:r>
      <w:r>
        <w:t xml:space="preserve">considers power dynamics, </w:t>
      </w:r>
      <w:r w:rsidRPr="0085318F">
        <w:t>meaningful engagement, and diversity. Tensions between governments and CSOs are evident</w:t>
      </w:r>
      <w:r>
        <w:t xml:space="preserve"> in implementation</w:t>
      </w:r>
      <w:r w:rsidR="00804EA0">
        <w:t>,</w:t>
      </w:r>
      <w:r w:rsidRPr="0085318F">
        <w:t xml:space="preserve"> </w:t>
      </w:r>
      <w:r w:rsidRPr="0085318F">
        <w:lastRenderedPageBreak/>
        <w:t>with</w:t>
      </w:r>
      <w:r>
        <w:t xml:space="preserve"> CSOs </w:t>
      </w:r>
      <w:r w:rsidRPr="0085318F">
        <w:t>often feeling excluded from government-led gender initiatives. Stakeholders consistently cautioned against treating Pacific Ownership as a tokenistic exercise and emphasi</w:t>
      </w:r>
      <w:r>
        <w:t>s</w:t>
      </w:r>
      <w:r w:rsidRPr="0085318F">
        <w:t>ed the importance of recogni</w:t>
      </w:r>
      <w:r>
        <w:t>s</w:t>
      </w:r>
      <w:r w:rsidRPr="0085318F">
        <w:t>ing the distinct priorities of different Pacific countries rather than applying homogeneous approaches to diverse contexts.</w:t>
      </w:r>
      <w:r>
        <w:t xml:space="preserve"> </w:t>
      </w:r>
    </w:p>
    <w:p w14:paraId="60E8E24B" w14:textId="77777777" w:rsidR="00FB6962" w:rsidRDefault="00FB6962">
      <w:pPr>
        <w:rPr>
          <w:rFonts w:asciiTheme="majorHAnsi" w:hAnsiTheme="majorHAnsi"/>
          <w:sz w:val="28"/>
        </w:rPr>
      </w:pPr>
      <w:bookmarkStart w:id="36" w:name="_Toc193654968"/>
      <w:bookmarkStart w:id="37" w:name="_Toc193655765"/>
      <w:bookmarkStart w:id="38" w:name="_Toc193659381"/>
      <w:bookmarkStart w:id="39" w:name="_Toc193697125"/>
      <w:bookmarkStart w:id="40" w:name="_Toc193704965"/>
      <w:bookmarkStart w:id="41" w:name="_Hlk193735771"/>
      <w:r>
        <w:br w:type="page"/>
      </w:r>
    </w:p>
    <w:p w14:paraId="07B918BD" w14:textId="151EFD52" w:rsidR="00383E55" w:rsidRDefault="006D077A" w:rsidP="006D077A">
      <w:pPr>
        <w:pStyle w:val="Tealblockheading"/>
      </w:pPr>
      <w:r>
        <w:lastRenderedPageBreak/>
        <w:t xml:space="preserve">KRQ1b. </w:t>
      </w:r>
      <w:r w:rsidR="00A800B3" w:rsidRPr="00EE243C">
        <w:t xml:space="preserve">How </w:t>
      </w:r>
      <w:r w:rsidR="006E67DB" w:rsidRPr="00EE243C">
        <w:t>well</w:t>
      </w:r>
      <w:r w:rsidR="00A800B3" w:rsidRPr="00EE243C">
        <w:t xml:space="preserve"> are program strategies </w:t>
      </w:r>
      <w:r w:rsidR="009947E9" w:rsidRPr="00EE243C">
        <w:t xml:space="preserve">working </w:t>
      </w:r>
      <w:r w:rsidR="00A800B3" w:rsidRPr="00EE243C">
        <w:t>to achiev</w:t>
      </w:r>
      <w:r w:rsidR="009947E9" w:rsidRPr="00EE243C">
        <w:t>e</w:t>
      </w:r>
      <w:r w:rsidR="00A800B3" w:rsidRPr="00EE243C">
        <w:t xml:space="preserve"> outcomes?</w:t>
      </w:r>
      <w:bookmarkEnd w:id="36"/>
      <w:bookmarkEnd w:id="37"/>
      <w:bookmarkEnd w:id="38"/>
      <w:bookmarkEnd w:id="39"/>
      <w:bookmarkEnd w:id="40"/>
    </w:p>
    <w:p w14:paraId="397E3B63" w14:textId="1DFE3A0C" w:rsidR="004C1F12" w:rsidRDefault="004C1F12" w:rsidP="00384259">
      <w:pPr>
        <w:pStyle w:val="Tealblocktext"/>
      </w:pPr>
      <w:r w:rsidRPr="004C1F12">
        <w:t>PWL's four core strategies - grant making with wrap-around support, convenings, technical support, and portfolio-level MEL - have collectively demonstrated effectiveness in advancing gender equality across the Pacific region. The grant making approach has successfully mobili</w:t>
      </w:r>
      <w:r>
        <w:t>s</w:t>
      </w:r>
      <w:r w:rsidRPr="004C1F12">
        <w:t xml:space="preserve">ed 78 diverse implementing partners, though challenges persist with five distinct </w:t>
      </w:r>
      <w:r w:rsidR="00C860FD" w:rsidRPr="004C1F12">
        <w:t>grant makers</w:t>
      </w:r>
      <w:r w:rsidRPr="004C1F12">
        <w:t xml:space="preserve"> creating duplication and administrative burdens. Convenings have proven critical for gender mainstreaming and women's rights advancement, bringing together diverse stakeholders and enabling valuable knowledge sharing. Technical support has strengthened institutional capacity and policy development, while portfolio-level MEL has become an essential driver of Pacific stakeholders' ownership of evidence and strategic direction through mechanisms like the </w:t>
      </w:r>
      <w:r>
        <w:t>ARAW</w:t>
      </w:r>
      <w:r w:rsidRPr="004C1F12">
        <w:t>.</w:t>
      </w:r>
    </w:p>
    <w:bookmarkEnd w:id="41"/>
    <w:p w14:paraId="4D89F93B" w14:textId="77777777" w:rsidR="00C5168B" w:rsidRDefault="00B2460C" w:rsidP="0093375E">
      <w:pPr>
        <w:spacing w:before="240"/>
      </w:pPr>
      <w:r>
        <w:t>PWL has four core strategies</w:t>
      </w:r>
      <w:r w:rsidR="00B81CE6">
        <w:t>:</w:t>
      </w:r>
      <w:r w:rsidR="0093375E">
        <w:t xml:space="preserve"> Grant making and </w:t>
      </w:r>
      <w:r w:rsidR="00B70F06">
        <w:t>wrap-</w:t>
      </w:r>
      <w:r w:rsidR="0093375E">
        <w:t xml:space="preserve">around support, convenings, technical support and portfolio-level </w:t>
      </w:r>
      <w:r w:rsidR="003F517F">
        <w:t>MEL</w:t>
      </w:r>
      <w:r w:rsidR="0093375E">
        <w:t xml:space="preserve">. </w:t>
      </w:r>
    </w:p>
    <w:p w14:paraId="32DD7545" w14:textId="29BBAD87" w:rsidR="00C5168B" w:rsidRPr="00B123ED" w:rsidRDefault="00C5168B" w:rsidP="0093375E">
      <w:pPr>
        <w:spacing w:before="240"/>
        <w:rPr>
          <w:szCs w:val="21"/>
        </w:rPr>
      </w:pPr>
      <w:r w:rsidRPr="00B123ED">
        <w:rPr>
          <w:b/>
          <w:bCs/>
          <w:color w:val="0D3E67" w:themeColor="accent3"/>
          <w:szCs w:val="21"/>
        </w:rPr>
        <w:t xml:space="preserve">Grant making and wrap-around support: </w:t>
      </w:r>
      <w:r w:rsidRPr="00B123ED">
        <w:rPr>
          <w:szCs w:val="21"/>
        </w:rPr>
        <w:t xml:space="preserve">Funds provided to partners for projects, programs, or core funding. SPC and the Women’s Funds have provided </w:t>
      </w:r>
      <w:r w:rsidR="002368E0">
        <w:rPr>
          <w:szCs w:val="21"/>
        </w:rPr>
        <w:t>wrap-around</w:t>
      </w:r>
      <w:r w:rsidRPr="00B123ED">
        <w:rPr>
          <w:szCs w:val="21"/>
        </w:rPr>
        <w:t xml:space="preserve"> support that extends this support and encompasses deep relationships, and a long-term approach based on the feminist principles of nurturing and care.</w:t>
      </w:r>
    </w:p>
    <w:p w14:paraId="40F5DF60" w14:textId="147FC3EE" w:rsidR="00C5168B" w:rsidRPr="00B123ED" w:rsidRDefault="00C5168B" w:rsidP="0093375E">
      <w:pPr>
        <w:spacing w:before="240"/>
        <w:rPr>
          <w:szCs w:val="21"/>
        </w:rPr>
      </w:pPr>
      <w:r w:rsidRPr="00B123ED">
        <w:rPr>
          <w:b/>
          <w:bCs/>
          <w:color w:val="0D3E67" w:themeColor="accent3"/>
          <w:szCs w:val="21"/>
        </w:rPr>
        <w:t>Convenings:</w:t>
      </w:r>
      <w:r w:rsidRPr="00B123ED">
        <w:rPr>
          <w:szCs w:val="21"/>
        </w:rPr>
        <w:t xml:space="preserve"> Bringing together gender equality partners and stakeholders for the purpose of collaboration and learning. This includes convenings of exclusively PWL partners, convenings of broader gender equality stakeholders and support that enables partners to attend convenings (including financial support).</w:t>
      </w:r>
    </w:p>
    <w:p w14:paraId="12DD4118" w14:textId="0D7234BE" w:rsidR="00C5168B" w:rsidRPr="00B123ED" w:rsidRDefault="00C5168B" w:rsidP="0093375E">
      <w:pPr>
        <w:spacing w:before="240"/>
        <w:rPr>
          <w:szCs w:val="21"/>
        </w:rPr>
      </w:pPr>
      <w:r w:rsidRPr="00B123ED">
        <w:rPr>
          <w:b/>
          <w:bCs/>
          <w:color w:val="0D3E67" w:themeColor="accent3"/>
          <w:szCs w:val="21"/>
        </w:rPr>
        <w:t>Technical support:</w:t>
      </w:r>
      <w:r w:rsidRPr="00B123ED">
        <w:rPr>
          <w:szCs w:val="21"/>
        </w:rPr>
        <w:t xml:space="preserve"> Capability building, advice, and input for the purposes of learning, social norms change, and gender mainstreaming. This includes awareness raising for PWL partners and broader gender equality stakeholders. Building trusted relationships with partners is a key component.</w:t>
      </w:r>
    </w:p>
    <w:p w14:paraId="2254C5CD" w14:textId="00D6322F" w:rsidR="00B123ED" w:rsidRPr="00B123ED" w:rsidRDefault="00B123ED" w:rsidP="0093375E">
      <w:pPr>
        <w:spacing w:before="240"/>
        <w:rPr>
          <w:szCs w:val="21"/>
        </w:rPr>
      </w:pPr>
      <w:r w:rsidRPr="00B123ED">
        <w:rPr>
          <w:b/>
          <w:bCs/>
          <w:color w:val="0D3E67" w:themeColor="accent3"/>
          <w:szCs w:val="21"/>
        </w:rPr>
        <w:t>Portfolio level MEL:</w:t>
      </w:r>
      <w:r w:rsidRPr="00B123ED">
        <w:rPr>
          <w:szCs w:val="21"/>
        </w:rPr>
        <w:t xml:space="preserve"> Supporting coordinated MEL across all PWL components and partners, synthesising all progress reporting to allow for aggregated reporting, the shared sensemaking and learning through ARAW, and technical MEL support to partners.</w:t>
      </w:r>
    </w:p>
    <w:p w14:paraId="55E56E4C" w14:textId="412B3D5A" w:rsidR="0093375E" w:rsidRDefault="0093375E" w:rsidP="0093375E">
      <w:pPr>
        <w:spacing w:before="240"/>
      </w:pPr>
      <w:r>
        <w:t>While these four strategies are considered separately in this report, it is notable that most component leads preferred to weave them together through their partnerships. For example, many partners do not receive grants in isolation – these grantees are provided wrap</w:t>
      </w:r>
      <w:r w:rsidR="00B70F06">
        <w:t>-</w:t>
      </w:r>
      <w:r>
        <w:t xml:space="preserve">around support, technical support, and invitations to convenings. Similarly, components supporting convenings often provide funds and technical support to follow up key action items agreed to in these convenings. This preferred approach to weave together the different strategies is an insight into the deep partnerships that the Pacific component leads seek to develop and nurture. </w:t>
      </w:r>
    </w:p>
    <w:p w14:paraId="1C6C2804" w14:textId="367353E4" w:rsidR="003E171B" w:rsidRPr="00EE243C" w:rsidRDefault="00286590" w:rsidP="00753A64">
      <w:pPr>
        <w:pStyle w:val="Subheading"/>
      </w:pPr>
      <w:r w:rsidRPr="00EE243C">
        <w:t>Effectiveness of</w:t>
      </w:r>
      <w:r w:rsidR="006C17F4" w:rsidRPr="00EE243C">
        <w:t xml:space="preserve"> </w:t>
      </w:r>
      <w:r w:rsidR="006E1B1E" w:rsidRPr="00EE243C">
        <w:t>grant making</w:t>
      </w:r>
      <w:r w:rsidR="006C17F4" w:rsidRPr="00EE243C">
        <w:t xml:space="preserve"> </w:t>
      </w:r>
      <w:r w:rsidR="004005BD" w:rsidRPr="00EE243C">
        <w:t xml:space="preserve">and </w:t>
      </w:r>
      <w:r w:rsidR="00B70F06" w:rsidRPr="00EE243C">
        <w:t>wrap</w:t>
      </w:r>
      <w:r w:rsidR="00B70F06">
        <w:t>-</w:t>
      </w:r>
      <w:r w:rsidR="004005BD" w:rsidRPr="00EE243C">
        <w:t>around suppor</w:t>
      </w:r>
      <w:r w:rsidR="003E171B" w:rsidRPr="00EE243C">
        <w:t>t</w:t>
      </w:r>
    </w:p>
    <w:p w14:paraId="2AD9A010" w14:textId="77777777" w:rsidR="00FB6962" w:rsidRDefault="00B93D27" w:rsidP="00B93D27">
      <w:pPr>
        <w:rPr>
          <w:rFonts w:cstheme="minorHAnsi"/>
        </w:rPr>
      </w:pPr>
      <w:r w:rsidRPr="00B93D27">
        <w:rPr>
          <w:rFonts w:cstheme="minorHAnsi"/>
        </w:rPr>
        <w:t>PWL's strategy of grant making paired with comprehensive wrap-around support has effectively mobili</w:t>
      </w:r>
      <w:r>
        <w:rPr>
          <w:rFonts w:cstheme="minorHAnsi"/>
        </w:rPr>
        <w:t>s</w:t>
      </w:r>
      <w:r w:rsidRPr="00B93D27">
        <w:rPr>
          <w:rFonts w:cstheme="minorHAnsi"/>
        </w:rPr>
        <w:t xml:space="preserve">ed diverse actors working toward </w:t>
      </w:r>
      <w:r w:rsidRPr="0019397A">
        <w:rPr>
          <w:rFonts w:cstheme="minorHAnsi"/>
        </w:rPr>
        <w:t xml:space="preserve">women's safety, </w:t>
      </w:r>
      <w:r>
        <w:rPr>
          <w:rFonts w:cstheme="minorHAnsi"/>
        </w:rPr>
        <w:t>SRH</w:t>
      </w:r>
      <w:r w:rsidRPr="0019397A">
        <w:rPr>
          <w:rFonts w:cstheme="minorHAnsi"/>
        </w:rPr>
        <w:t>, economic empowerment, feminist leadership, and amplifying women's and girls' voices</w:t>
      </w:r>
      <w:r w:rsidRPr="00B93D27">
        <w:rPr>
          <w:rFonts w:cstheme="minorHAnsi"/>
        </w:rPr>
        <w:t xml:space="preserve">. </w:t>
      </w:r>
      <w:r w:rsidR="00725986" w:rsidRPr="00725986">
        <w:rPr>
          <w:rFonts w:cstheme="minorHAnsi"/>
        </w:rPr>
        <w:t>This support extends beyond traditional grant maker-grantee relationships to encompass deep connections and long-term approaches grounded in feminist principles of nurturing and care. This MTR uses the term wrap-around support to refer to the wrap-around support offered by both the Women’s Funds and SPC, acknowledging that some Women’s Funds use the term ‘accompaniment’ to describe a similar practice.</w:t>
      </w:r>
      <w:r w:rsidR="00725986">
        <w:rPr>
          <w:rFonts w:cstheme="minorHAnsi"/>
        </w:rPr>
        <w:t xml:space="preserve"> </w:t>
      </w:r>
      <w:r w:rsidRPr="00B93D27">
        <w:rPr>
          <w:rFonts w:cstheme="minorHAnsi"/>
        </w:rPr>
        <w:t xml:space="preserve">This approach has successfully engaged 78 implementing partners across local, national, and regional levels, including CSOs, Pacific member governments, CROP agencies, UN programs, private sector entities, and universities. </w:t>
      </w:r>
    </w:p>
    <w:p w14:paraId="468F673C" w14:textId="613E373A" w:rsidR="00B93D27" w:rsidRDefault="00B93D27" w:rsidP="00B93D27">
      <w:pPr>
        <w:rPr>
          <w:rFonts w:cstheme="minorHAnsi"/>
        </w:rPr>
      </w:pPr>
      <w:r w:rsidRPr="00B93D27">
        <w:rPr>
          <w:rFonts w:cstheme="minorHAnsi"/>
        </w:rPr>
        <w:lastRenderedPageBreak/>
        <w:t>The effectiveness of this combined approach is particularly evident through SPC and Women's Funds, which have prioriti</w:t>
      </w:r>
      <w:r>
        <w:rPr>
          <w:rFonts w:cstheme="minorHAnsi"/>
        </w:rPr>
        <w:t>s</w:t>
      </w:r>
      <w:r w:rsidRPr="00B93D27">
        <w:rPr>
          <w:rFonts w:cstheme="minorHAnsi"/>
        </w:rPr>
        <w:t>ed underserved areas like the North Pacific a</w:t>
      </w:r>
      <w:r>
        <w:rPr>
          <w:rFonts w:cstheme="minorHAnsi"/>
        </w:rPr>
        <w:t>s well as Organisations of Persons with Disabilities (OPDs)</w:t>
      </w:r>
      <w:r w:rsidRPr="00B93D27">
        <w:rPr>
          <w:rFonts w:cstheme="minorHAnsi"/>
        </w:rPr>
        <w:t>. Novated and early grantees are already demonstrating contributions to program goals, with disability inclusion effectively integrated through targeted projects, mainstreaming requirements, and mandatory monitoring of outreach to people with disabilities. As implementation progresses with recently awarded grants, substantially more progress is anticipated across women's safety, sexual and reproductive health, economic empowerment, feminist leadership, and amplifying women's and girls' voices.</w:t>
      </w:r>
    </w:p>
    <w:p w14:paraId="75B7DD14" w14:textId="77777777" w:rsidR="00642C80" w:rsidRDefault="00B93D27" w:rsidP="00B93D27">
      <w:pPr>
        <w:spacing w:before="240"/>
        <w:rPr>
          <w:rFonts w:cstheme="minorHAnsi"/>
          <w:i/>
          <w:iCs/>
        </w:rPr>
      </w:pPr>
      <w:r w:rsidRPr="00B93D27">
        <w:rPr>
          <w:rFonts w:cstheme="minorHAnsi"/>
        </w:rPr>
        <w:t xml:space="preserve">While PWL's five distinct </w:t>
      </w:r>
      <w:r w:rsidR="00C860FD" w:rsidRPr="00B93D27">
        <w:rPr>
          <w:rFonts w:cstheme="minorHAnsi"/>
        </w:rPr>
        <w:t>grant makers</w:t>
      </w:r>
      <w:r w:rsidRPr="00B93D27">
        <w:rPr>
          <w:rFonts w:cstheme="minorHAnsi"/>
        </w:rPr>
        <w:t xml:space="preserve"> have made positive coordination efforts—such as SPC and DFAT harmoni</w:t>
      </w:r>
      <w:r>
        <w:rPr>
          <w:rFonts w:cstheme="minorHAnsi"/>
        </w:rPr>
        <w:t>s</w:t>
      </w:r>
      <w:r w:rsidRPr="00B93D27">
        <w:rPr>
          <w:rFonts w:cstheme="minorHAnsi"/>
        </w:rPr>
        <w:t xml:space="preserve">ing reporting requirements, PWLES supporting DFAT Posts on GBV grants coordination, and PWLES and SPC aligning reporting templates and timelines—challenges persist. Several CSOs receive funds from multiple PWL components simultaneously, creating administrative burdens that divert resources from program delivery. As one interviewee noted, partners struggle with </w:t>
      </w:r>
      <w:r w:rsidRPr="00B93D27">
        <w:rPr>
          <w:rFonts w:cstheme="minorHAnsi"/>
          <w:i/>
          <w:iCs/>
        </w:rPr>
        <w:t>"writing the report, and figuring out which work was for which donor. Even though it's all Australian money."</w:t>
      </w:r>
      <w:r w:rsidRPr="00B93D27">
        <w:rPr>
          <w:rFonts w:cstheme="minorHAnsi"/>
        </w:rPr>
        <w:t xml:space="preserve"> A Women's Funds interviewee highlighted the need for a </w:t>
      </w:r>
      <w:r w:rsidRPr="00B93D27">
        <w:rPr>
          <w:rFonts w:cstheme="minorHAnsi"/>
          <w:i/>
          <w:iCs/>
        </w:rPr>
        <w:t xml:space="preserve">"formal mechanism to discuss grants and grant mechanism and how they all complement each other." </w:t>
      </w:r>
    </w:p>
    <w:p w14:paraId="7A5EC20A" w14:textId="0542FB85" w:rsidR="00B93D27" w:rsidRPr="0019397A" w:rsidRDefault="00B93D27" w:rsidP="00B93D27">
      <w:pPr>
        <w:spacing w:before="240"/>
        <w:rPr>
          <w:rFonts w:cstheme="minorHAnsi"/>
        </w:rPr>
      </w:pPr>
      <w:r w:rsidRPr="00B93D27">
        <w:rPr>
          <w:rFonts w:cstheme="minorHAnsi"/>
        </w:rPr>
        <w:t xml:space="preserve">Despite coordination improvements that have enhanced regional coverage and streamlined some reporting requirements, the risk of funding duplication remains high across the five </w:t>
      </w:r>
      <w:r w:rsidR="00C860FD" w:rsidRPr="00B93D27">
        <w:rPr>
          <w:rFonts w:cstheme="minorHAnsi"/>
        </w:rPr>
        <w:t>grant makers</w:t>
      </w:r>
      <w:r w:rsidRPr="00B93D27">
        <w:rPr>
          <w:rFonts w:cstheme="minorHAnsi"/>
        </w:rPr>
        <w:t>, even when funds designated for different purposes flow to the same organi</w:t>
      </w:r>
      <w:r>
        <w:rPr>
          <w:rFonts w:cstheme="minorHAnsi"/>
        </w:rPr>
        <w:t>s</w:t>
      </w:r>
      <w:r w:rsidRPr="00B93D27">
        <w:rPr>
          <w:rFonts w:cstheme="minorHAnsi"/>
        </w:rPr>
        <w:t xml:space="preserve">ations. </w:t>
      </w:r>
      <w:bookmarkStart w:id="42" w:name="_Hlk200634465"/>
      <w:r w:rsidRPr="00B93D27">
        <w:rPr>
          <w:rFonts w:cstheme="minorHAnsi"/>
        </w:rPr>
        <w:t>This suggests an opportunity to develop more streamlined, fit-for-purpose, and sustainable funding mechanisms, particularly for women's crisis centres across the region.</w:t>
      </w:r>
      <w:bookmarkEnd w:id="42"/>
    </w:p>
    <w:p w14:paraId="0DC9D6D6" w14:textId="35517431" w:rsidR="003E171B" w:rsidRPr="00EE243C" w:rsidRDefault="003E171B" w:rsidP="003E171B">
      <w:pPr>
        <w:pStyle w:val="Caption"/>
      </w:pPr>
      <w:bookmarkStart w:id="43" w:name="_Ref184294945"/>
      <w:bookmarkStart w:id="44" w:name="_Toc181529389"/>
      <w:bookmarkStart w:id="45" w:name="_Toc210309448"/>
      <w:r w:rsidRPr="76958040">
        <w:t xml:space="preserve">Table </w:t>
      </w:r>
      <w:r>
        <w:fldChar w:fldCharType="begin"/>
      </w:r>
      <w:r>
        <w:instrText>SEQ Table \* ARABIC</w:instrText>
      </w:r>
      <w:r>
        <w:fldChar w:fldCharType="separate"/>
      </w:r>
      <w:r w:rsidR="00832B49">
        <w:rPr>
          <w:noProof/>
        </w:rPr>
        <w:t>1</w:t>
      </w:r>
      <w:r>
        <w:fldChar w:fldCharType="end"/>
      </w:r>
      <w:bookmarkEnd w:id="43"/>
      <w:r w:rsidR="00A97D26">
        <w:t>.</w:t>
      </w:r>
      <w:r w:rsidRPr="76958040">
        <w:t xml:space="preserve"> Overview of </w:t>
      </w:r>
      <w:r w:rsidR="001614BC" w:rsidRPr="76958040">
        <w:t>grant making</w:t>
      </w:r>
      <w:r w:rsidRPr="76958040">
        <w:t xml:space="preserve"> and </w:t>
      </w:r>
      <w:r w:rsidR="00A534F2" w:rsidRPr="76958040">
        <w:t>wrap</w:t>
      </w:r>
      <w:r w:rsidR="00B123ED">
        <w:t>-</w:t>
      </w:r>
      <w:r w:rsidR="00A534F2" w:rsidRPr="76958040">
        <w:t>around support</w:t>
      </w:r>
      <w:bookmarkEnd w:id="44"/>
      <w:bookmarkEnd w:id="45"/>
    </w:p>
    <w:tbl>
      <w:tblPr>
        <w:tblStyle w:val="TableGridwithOptions"/>
        <w:tblW w:w="5000" w:type="pct"/>
        <w:tblLook w:val="0620" w:firstRow="1" w:lastRow="0" w:firstColumn="0" w:lastColumn="0" w:noHBand="1" w:noVBand="1"/>
      </w:tblPr>
      <w:tblGrid>
        <w:gridCol w:w="3401"/>
        <w:gridCol w:w="6351"/>
      </w:tblGrid>
      <w:tr w:rsidR="003E171B" w:rsidRPr="006E1B1E" w14:paraId="55C325F2" w14:textId="77777777" w:rsidTr="00F00BFE">
        <w:trPr>
          <w:cnfStyle w:val="100000000000" w:firstRow="1" w:lastRow="0" w:firstColumn="0" w:lastColumn="0" w:oddVBand="0" w:evenVBand="0" w:oddHBand="0" w:evenHBand="0" w:firstRowFirstColumn="0" w:firstRowLastColumn="0" w:lastRowFirstColumn="0" w:lastRowLastColumn="0"/>
          <w:trHeight w:val="270"/>
          <w:tblHeader/>
        </w:trPr>
        <w:tc>
          <w:tcPr>
            <w:tcW w:w="1744" w:type="pct"/>
            <w:hideMark/>
          </w:tcPr>
          <w:p w14:paraId="13439A73" w14:textId="77777777" w:rsidR="003E171B" w:rsidRPr="00642C80" w:rsidRDefault="003E171B" w:rsidP="00524529">
            <w:pPr>
              <w:spacing w:before="0" w:after="210" w:line="276" w:lineRule="auto"/>
              <w:rPr>
                <w:sz w:val="20"/>
                <w:szCs w:val="20"/>
              </w:rPr>
            </w:pPr>
            <w:r w:rsidRPr="00642C80">
              <w:rPr>
                <w:sz w:val="20"/>
                <w:szCs w:val="20"/>
              </w:rPr>
              <w:t>Component</w:t>
            </w:r>
          </w:p>
        </w:tc>
        <w:tc>
          <w:tcPr>
            <w:tcW w:w="3256" w:type="pct"/>
            <w:hideMark/>
          </w:tcPr>
          <w:p w14:paraId="2388E4ED" w14:textId="77777777" w:rsidR="003E171B" w:rsidRPr="00642C80" w:rsidRDefault="003E171B" w:rsidP="00524529">
            <w:pPr>
              <w:spacing w:before="0" w:after="210" w:line="276" w:lineRule="auto"/>
              <w:rPr>
                <w:sz w:val="20"/>
                <w:szCs w:val="20"/>
              </w:rPr>
            </w:pPr>
            <w:r w:rsidRPr="00642C80">
              <w:rPr>
                <w:sz w:val="20"/>
                <w:szCs w:val="20"/>
              </w:rPr>
              <w:t>Grants and support</w:t>
            </w:r>
          </w:p>
        </w:tc>
      </w:tr>
      <w:tr w:rsidR="003E171B" w:rsidRPr="006E1B1E" w14:paraId="692DCFF8" w14:textId="77777777" w:rsidTr="00336C74">
        <w:trPr>
          <w:trHeight w:val="379"/>
        </w:trPr>
        <w:tc>
          <w:tcPr>
            <w:tcW w:w="1744" w:type="pct"/>
            <w:hideMark/>
          </w:tcPr>
          <w:p w14:paraId="7C558F4E" w14:textId="77777777" w:rsidR="00B00EBF" w:rsidRPr="00642C80" w:rsidRDefault="003E171B" w:rsidP="00B00EBF">
            <w:pPr>
              <w:rPr>
                <w:szCs w:val="20"/>
              </w:rPr>
            </w:pPr>
            <w:r w:rsidRPr="00642C80">
              <w:rPr>
                <w:b/>
                <w:szCs w:val="20"/>
              </w:rPr>
              <w:t>SPC</w:t>
            </w:r>
          </w:p>
          <w:p w14:paraId="3F410899" w14:textId="550E2AD1" w:rsidR="00B00EBF" w:rsidRPr="00642C80" w:rsidRDefault="00B5317D" w:rsidP="00B00EBF">
            <w:pPr>
              <w:rPr>
                <w:i/>
                <w:szCs w:val="20"/>
              </w:rPr>
            </w:pPr>
            <w:r w:rsidRPr="00642C80">
              <w:rPr>
                <w:i/>
                <w:szCs w:val="20"/>
              </w:rPr>
              <w:t>AUD</w:t>
            </w:r>
            <w:r w:rsidR="00ED7CBB" w:rsidRPr="00642C80">
              <w:rPr>
                <w:i/>
                <w:szCs w:val="20"/>
              </w:rPr>
              <w:t>58 million</w:t>
            </w:r>
          </w:p>
        </w:tc>
        <w:tc>
          <w:tcPr>
            <w:tcW w:w="3256" w:type="pct"/>
            <w:hideMark/>
          </w:tcPr>
          <w:p w14:paraId="3CF39F2A" w14:textId="01663018" w:rsidR="003E171B" w:rsidRPr="00642C80" w:rsidRDefault="003E171B" w:rsidP="00524529">
            <w:pPr>
              <w:spacing w:before="0" w:after="210" w:line="276" w:lineRule="auto"/>
              <w:rPr>
                <w:szCs w:val="20"/>
              </w:rPr>
            </w:pPr>
            <w:r w:rsidRPr="00642C80">
              <w:rPr>
                <w:szCs w:val="20"/>
              </w:rPr>
              <w:t xml:space="preserve">Funds and </w:t>
            </w:r>
            <w:r w:rsidR="00B70F06" w:rsidRPr="00642C80">
              <w:rPr>
                <w:szCs w:val="20"/>
              </w:rPr>
              <w:t>wrap-</w:t>
            </w:r>
            <w:r w:rsidR="00A534F2" w:rsidRPr="00642C80">
              <w:rPr>
                <w:szCs w:val="20"/>
              </w:rPr>
              <w:t>around support</w:t>
            </w:r>
            <w:r w:rsidRPr="00642C80">
              <w:rPr>
                <w:szCs w:val="20"/>
              </w:rPr>
              <w:t xml:space="preserve"> to CSOs, member governments, CROP agencies</w:t>
            </w:r>
            <w:r w:rsidR="00DC67C6" w:rsidRPr="00642C80">
              <w:rPr>
                <w:szCs w:val="20"/>
              </w:rPr>
              <w:t xml:space="preserve">, universities, </w:t>
            </w:r>
            <w:r w:rsidRPr="00642C80">
              <w:rPr>
                <w:szCs w:val="20"/>
              </w:rPr>
              <w:t xml:space="preserve">and other organisations, for </w:t>
            </w:r>
            <w:r w:rsidRPr="00642C80">
              <w:rPr>
                <w:rFonts w:ascii="Arial"/>
                <w:color w:val="auto"/>
                <w:szCs w:val="20"/>
              </w:rPr>
              <w:t>partner programs and core operations, convenings, and technical support.</w:t>
            </w:r>
          </w:p>
        </w:tc>
      </w:tr>
      <w:tr w:rsidR="003E171B" w:rsidRPr="006E1B1E" w14:paraId="7CAC0846" w14:textId="77777777" w:rsidTr="00336C74">
        <w:trPr>
          <w:trHeight w:val="332"/>
        </w:trPr>
        <w:tc>
          <w:tcPr>
            <w:tcW w:w="1744" w:type="pct"/>
            <w:hideMark/>
          </w:tcPr>
          <w:p w14:paraId="71C738C4" w14:textId="77777777" w:rsidR="003E171B" w:rsidRPr="00642C80" w:rsidRDefault="003E171B" w:rsidP="00BF474E">
            <w:pPr>
              <w:rPr>
                <w:b/>
                <w:szCs w:val="20"/>
              </w:rPr>
            </w:pPr>
            <w:r w:rsidRPr="00642C80">
              <w:rPr>
                <w:b/>
                <w:szCs w:val="20"/>
              </w:rPr>
              <w:t>DFAT Bilateral/ regional</w:t>
            </w:r>
          </w:p>
          <w:p w14:paraId="0551F812" w14:textId="1B8D7629" w:rsidR="00BF474E" w:rsidRPr="00642C80" w:rsidRDefault="00B5317D" w:rsidP="00BF474E">
            <w:pPr>
              <w:rPr>
                <w:i/>
                <w:szCs w:val="20"/>
              </w:rPr>
            </w:pPr>
            <w:r w:rsidRPr="00642C80">
              <w:rPr>
                <w:i/>
                <w:szCs w:val="20"/>
              </w:rPr>
              <w:t>AUD</w:t>
            </w:r>
            <w:r w:rsidR="00BF474E" w:rsidRPr="00642C80">
              <w:rPr>
                <w:i/>
                <w:szCs w:val="20"/>
              </w:rPr>
              <w:t>103 million (regional)</w:t>
            </w:r>
          </w:p>
          <w:p w14:paraId="1D904266" w14:textId="1CFABB65" w:rsidR="00BF474E" w:rsidRPr="00642C80" w:rsidRDefault="00B5317D" w:rsidP="00BF474E">
            <w:pPr>
              <w:rPr>
                <w:szCs w:val="20"/>
              </w:rPr>
            </w:pPr>
            <w:r w:rsidRPr="00642C80">
              <w:rPr>
                <w:i/>
                <w:szCs w:val="20"/>
              </w:rPr>
              <w:t>AUD</w:t>
            </w:r>
            <w:r w:rsidR="00B00EBF" w:rsidRPr="00642C80">
              <w:rPr>
                <w:i/>
                <w:szCs w:val="20"/>
              </w:rPr>
              <w:t>66</w:t>
            </w:r>
            <w:r w:rsidR="00BF474E" w:rsidRPr="00642C80">
              <w:rPr>
                <w:i/>
                <w:szCs w:val="20"/>
              </w:rPr>
              <w:t xml:space="preserve"> million (bilateral)</w:t>
            </w:r>
            <w:r w:rsidR="00ED7CBB" w:rsidRPr="00642C80">
              <w:rPr>
                <w:i/>
                <w:szCs w:val="20"/>
              </w:rPr>
              <w:t xml:space="preserve"> (</w:t>
            </w:r>
            <w:r w:rsidR="00814D6D" w:rsidRPr="00642C80">
              <w:rPr>
                <w:i/>
                <w:szCs w:val="20"/>
              </w:rPr>
              <w:t xml:space="preserve">funds </w:t>
            </w:r>
            <w:r w:rsidR="00ED7CBB" w:rsidRPr="00642C80">
              <w:rPr>
                <w:i/>
                <w:szCs w:val="20"/>
              </w:rPr>
              <w:t>not included in PWL</w:t>
            </w:r>
            <w:r w:rsidR="003526A8" w:rsidRPr="00642C80">
              <w:rPr>
                <w:i/>
                <w:szCs w:val="20"/>
              </w:rPr>
              <w:t>)</w:t>
            </w:r>
          </w:p>
        </w:tc>
        <w:tc>
          <w:tcPr>
            <w:tcW w:w="3256" w:type="pct"/>
            <w:hideMark/>
          </w:tcPr>
          <w:p w14:paraId="094DE732" w14:textId="27252F80" w:rsidR="007C2AA2" w:rsidRPr="00642C80" w:rsidRDefault="003E171B" w:rsidP="00524529">
            <w:pPr>
              <w:spacing w:before="0" w:after="210" w:line="276" w:lineRule="auto"/>
              <w:rPr>
                <w:szCs w:val="20"/>
              </w:rPr>
            </w:pPr>
            <w:r w:rsidRPr="00642C80">
              <w:rPr>
                <w:szCs w:val="20"/>
              </w:rPr>
              <w:t xml:space="preserve">Bilateral program fund to country-level </w:t>
            </w:r>
            <w:r w:rsidR="007C2AA2" w:rsidRPr="00642C80">
              <w:rPr>
                <w:szCs w:val="20"/>
              </w:rPr>
              <w:t xml:space="preserve">partners including CSOs and governments. </w:t>
            </w:r>
          </w:p>
          <w:p w14:paraId="0881F54C" w14:textId="264551DB" w:rsidR="003E171B" w:rsidRPr="00642C80" w:rsidRDefault="007C2AA2" w:rsidP="00524529">
            <w:pPr>
              <w:spacing w:before="0" w:after="210" w:line="276" w:lineRule="auto"/>
              <w:rPr>
                <w:szCs w:val="20"/>
              </w:rPr>
            </w:pPr>
            <w:r w:rsidRPr="00642C80">
              <w:rPr>
                <w:szCs w:val="20"/>
              </w:rPr>
              <w:t>Regional programs fund a range of partners including</w:t>
            </w:r>
            <w:r w:rsidR="003A3F19" w:rsidRPr="00642C80">
              <w:rPr>
                <w:szCs w:val="20"/>
              </w:rPr>
              <w:t xml:space="preserve"> UN agencies, INGOs,</w:t>
            </w:r>
            <w:r w:rsidRPr="00642C80">
              <w:rPr>
                <w:szCs w:val="20"/>
              </w:rPr>
              <w:t xml:space="preserve"> national governments, CSOs, and faith-based organisations.</w:t>
            </w:r>
          </w:p>
        </w:tc>
      </w:tr>
      <w:tr w:rsidR="00A27886" w:rsidRPr="006E1B1E" w14:paraId="2AE9DDB1" w14:textId="77777777" w:rsidTr="00336C74">
        <w:trPr>
          <w:trHeight w:val="288"/>
        </w:trPr>
        <w:tc>
          <w:tcPr>
            <w:tcW w:w="1744" w:type="pct"/>
            <w:hideMark/>
          </w:tcPr>
          <w:p w14:paraId="5E3FFB0E" w14:textId="77A09723" w:rsidR="00A27886" w:rsidRPr="00642C80" w:rsidRDefault="00A27886" w:rsidP="00524529">
            <w:pPr>
              <w:spacing w:before="0" w:after="210" w:line="276" w:lineRule="auto"/>
              <w:rPr>
                <w:szCs w:val="20"/>
              </w:rPr>
            </w:pPr>
            <w:r w:rsidRPr="00642C80">
              <w:rPr>
                <w:b/>
                <w:szCs w:val="20"/>
              </w:rPr>
              <w:t xml:space="preserve">Pacific </w:t>
            </w:r>
            <w:r w:rsidR="00834395" w:rsidRPr="00642C80">
              <w:rPr>
                <w:b/>
                <w:szCs w:val="20"/>
              </w:rPr>
              <w:t>Women’s Funds</w:t>
            </w:r>
            <w:r w:rsidRPr="00642C80">
              <w:rPr>
                <w:szCs w:val="20"/>
              </w:rPr>
              <w:br/>
            </w:r>
            <w:r w:rsidR="00B5317D" w:rsidRPr="00642C80">
              <w:rPr>
                <w:i/>
                <w:szCs w:val="20"/>
              </w:rPr>
              <w:t>AUD</w:t>
            </w:r>
            <w:r w:rsidR="00B16D82" w:rsidRPr="00642C80">
              <w:rPr>
                <w:i/>
                <w:szCs w:val="20"/>
              </w:rPr>
              <w:t>9.1</w:t>
            </w:r>
            <w:r w:rsidRPr="00642C80">
              <w:rPr>
                <w:i/>
                <w:szCs w:val="20"/>
              </w:rPr>
              <w:t xml:space="preserve"> million</w:t>
            </w:r>
          </w:p>
        </w:tc>
        <w:tc>
          <w:tcPr>
            <w:tcW w:w="3256" w:type="pct"/>
            <w:hideMark/>
          </w:tcPr>
          <w:p w14:paraId="578F2E23" w14:textId="0D40188F" w:rsidR="00A27886" w:rsidRPr="00642C80" w:rsidRDefault="00A27886" w:rsidP="00524529">
            <w:pPr>
              <w:spacing w:before="0" w:after="210" w:line="276" w:lineRule="auto"/>
              <w:rPr>
                <w:szCs w:val="20"/>
              </w:rPr>
            </w:pPr>
            <w:r w:rsidRPr="00642C80">
              <w:rPr>
                <w:szCs w:val="20"/>
              </w:rPr>
              <w:t xml:space="preserve">Flexible funds and </w:t>
            </w:r>
            <w:r w:rsidR="002368E0" w:rsidRPr="00642C80">
              <w:rPr>
                <w:szCs w:val="20"/>
              </w:rPr>
              <w:t>wrap-around</w:t>
            </w:r>
            <w:r w:rsidRPr="00642C80">
              <w:rPr>
                <w:szCs w:val="20"/>
              </w:rPr>
              <w:t xml:space="preserve"> support to CSOs, for partner programs, convenings, and technical support. </w:t>
            </w:r>
          </w:p>
        </w:tc>
      </w:tr>
      <w:tr w:rsidR="003E171B" w:rsidRPr="006E1B1E" w14:paraId="6299A931" w14:textId="77777777" w:rsidTr="00336C74">
        <w:trPr>
          <w:trHeight w:val="446"/>
        </w:trPr>
        <w:tc>
          <w:tcPr>
            <w:tcW w:w="1744" w:type="pct"/>
            <w:hideMark/>
          </w:tcPr>
          <w:p w14:paraId="6EC650F3" w14:textId="4C8BBBC3" w:rsidR="003E171B" w:rsidRPr="00642C80" w:rsidRDefault="003E171B" w:rsidP="61BDED99">
            <w:pPr>
              <w:rPr>
                <w:i/>
                <w:iCs/>
                <w:szCs w:val="20"/>
              </w:rPr>
            </w:pPr>
            <w:r w:rsidRPr="00642C80">
              <w:rPr>
                <w:b/>
                <w:szCs w:val="20"/>
              </w:rPr>
              <w:t>PWLE</w:t>
            </w:r>
            <w:r w:rsidR="003526A8" w:rsidRPr="00642C80">
              <w:rPr>
                <w:b/>
                <w:szCs w:val="20"/>
              </w:rPr>
              <w:t>S</w:t>
            </w:r>
            <w:r w:rsidR="00473418" w:rsidRPr="00642C80">
              <w:rPr>
                <w:b/>
                <w:szCs w:val="20"/>
              </w:rPr>
              <w:br/>
            </w:r>
            <w:r w:rsidR="00473418" w:rsidRPr="00642C80">
              <w:rPr>
                <w:i/>
                <w:szCs w:val="20"/>
              </w:rPr>
              <w:t>AUD32 million</w:t>
            </w:r>
          </w:p>
        </w:tc>
        <w:tc>
          <w:tcPr>
            <w:tcW w:w="3256" w:type="pct"/>
            <w:hideMark/>
          </w:tcPr>
          <w:p w14:paraId="491C6D4B" w14:textId="77777777" w:rsidR="003E171B" w:rsidRPr="00642C80" w:rsidRDefault="003E171B" w:rsidP="00524529">
            <w:pPr>
              <w:spacing w:before="0" w:after="210" w:line="276" w:lineRule="auto"/>
              <w:rPr>
                <w:szCs w:val="20"/>
              </w:rPr>
            </w:pPr>
            <w:r w:rsidRPr="00642C80">
              <w:rPr>
                <w:szCs w:val="20"/>
              </w:rPr>
              <w:t>Funds to programs and technical advisors</w:t>
            </w:r>
          </w:p>
        </w:tc>
      </w:tr>
      <w:tr w:rsidR="003E171B" w:rsidRPr="006E1B1E" w14:paraId="4F740960" w14:textId="77777777" w:rsidTr="00336C74">
        <w:trPr>
          <w:trHeight w:val="270"/>
        </w:trPr>
        <w:tc>
          <w:tcPr>
            <w:tcW w:w="1744" w:type="pct"/>
            <w:hideMark/>
          </w:tcPr>
          <w:p w14:paraId="6816AA54" w14:textId="76043D33" w:rsidR="003526A8" w:rsidRPr="00642C80" w:rsidRDefault="00311C2E" w:rsidP="003526A8">
            <w:pPr>
              <w:rPr>
                <w:b/>
                <w:szCs w:val="20"/>
              </w:rPr>
            </w:pPr>
            <w:r w:rsidRPr="00642C80">
              <w:rPr>
                <w:b/>
                <w:szCs w:val="20"/>
              </w:rPr>
              <w:t>PWL Governance Board</w:t>
            </w:r>
          </w:p>
          <w:p w14:paraId="3BFC9990" w14:textId="27AF0640" w:rsidR="003E171B" w:rsidRPr="00642C80" w:rsidRDefault="00B5317D" w:rsidP="003526A8">
            <w:pPr>
              <w:rPr>
                <w:i/>
                <w:szCs w:val="20"/>
              </w:rPr>
            </w:pPr>
            <w:r w:rsidRPr="00642C80">
              <w:rPr>
                <w:i/>
                <w:szCs w:val="20"/>
              </w:rPr>
              <w:t>AUD</w:t>
            </w:r>
            <w:r w:rsidR="003526A8" w:rsidRPr="00642C80">
              <w:rPr>
                <w:i/>
                <w:szCs w:val="20"/>
              </w:rPr>
              <w:t>5 million</w:t>
            </w:r>
          </w:p>
        </w:tc>
        <w:tc>
          <w:tcPr>
            <w:tcW w:w="3256" w:type="pct"/>
            <w:hideMark/>
          </w:tcPr>
          <w:p w14:paraId="649BFE34" w14:textId="77777777" w:rsidR="003E171B" w:rsidRPr="00642C80" w:rsidRDefault="003E171B" w:rsidP="00524529">
            <w:pPr>
              <w:spacing w:before="0" w:after="210" w:line="276" w:lineRule="auto"/>
              <w:rPr>
                <w:color w:val="auto"/>
                <w:szCs w:val="20"/>
              </w:rPr>
            </w:pPr>
            <w:r w:rsidRPr="00642C80">
              <w:rPr>
                <w:szCs w:val="20"/>
              </w:rPr>
              <w:t>Discretionary funds for partners (not yet disbursed)</w:t>
            </w:r>
          </w:p>
        </w:tc>
      </w:tr>
    </w:tbl>
    <w:p w14:paraId="03B907EF" w14:textId="77777777" w:rsidR="000231F3" w:rsidRDefault="000231F3" w:rsidP="00590D06">
      <w:pPr>
        <w:spacing w:after="120"/>
        <w:rPr>
          <w:rFonts w:asciiTheme="majorHAnsi" w:hAnsiTheme="majorHAnsi"/>
          <w:color w:val="984C00" w:themeColor="accent1" w:themeShade="BF"/>
        </w:rPr>
      </w:pPr>
    </w:p>
    <w:p w14:paraId="490BF086" w14:textId="77777777" w:rsidR="00336C74" w:rsidRDefault="00336C74">
      <w:pPr>
        <w:rPr>
          <w:rFonts w:ascii="Arial" w:eastAsia="Arial" w:hAnsi="Arial" w:cs="Arial"/>
          <w:b/>
          <w:bCs/>
        </w:rPr>
      </w:pPr>
      <w:r>
        <w:rPr>
          <w:b/>
          <w:bCs/>
        </w:rPr>
        <w:br w:type="page"/>
      </w:r>
    </w:p>
    <w:p w14:paraId="39620E59" w14:textId="576E99B7" w:rsidR="000231F3" w:rsidRPr="000231F3" w:rsidRDefault="000231F3" w:rsidP="000231F3">
      <w:pPr>
        <w:pStyle w:val="Orangeblocktext"/>
        <w:rPr>
          <w:b/>
          <w:bCs/>
        </w:rPr>
      </w:pPr>
      <w:r w:rsidRPr="000231F3">
        <w:rPr>
          <w:b/>
          <w:bCs/>
        </w:rPr>
        <w:lastRenderedPageBreak/>
        <w:t>Spotlight: Support for women’s crisis centres</w:t>
      </w:r>
    </w:p>
    <w:p w14:paraId="01CD30D2" w14:textId="77777777" w:rsidR="000231F3" w:rsidRPr="000231F3" w:rsidRDefault="000231F3" w:rsidP="000231F3">
      <w:pPr>
        <w:pStyle w:val="Orangeblocktext"/>
        <w:rPr>
          <w:sz w:val="22"/>
        </w:rPr>
      </w:pPr>
      <w:r w:rsidRPr="000231F3">
        <w:rPr>
          <w:sz w:val="22"/>
        </w:rPr>
        <w:t xml:space="preserve">Women’s crisis centres deliver critical services and require ongoing, long-term and reliable funding to ensure continued provision of services and responsive funding to support short-term surge needs. Currently, women’s crisis centres receive funding from multiple PWL components – some long-term core funding, some short-term project-based funding, which creates an administrative burden and raised concerns about lack of absorbative capacity to take on multiple grants at once, particularly for short-term projects. The review found the lack of coordinated funding also hinders long-term planning, creates inconsistency and unintended gaps in funding – with some centres having been forced to cease operations when funding lapses. </w:t>
      </w:r>
    </w:p>
    <w:p w14:paraId="37D69C84" w14:textId="77777777" w:rsidR="000231F3" w:rsidRPr="000231F3" w:rsidRDefault="000231F3" w:rsidP="000231F3">
      <w:pPr>
        <w:pStyle w:val="Orangeblocktext"/>
        <w:rPr>
          <w:i/>
          <w:iCs/>
          <w:sz w:val="22"/>
        </w:rPr>
      </w:pPr>
      <w:r w:rsidRPr="000231F3">
        <w:rPr>
          <w:i/>
          <w:iCs/>
          <w:sz w:val="22"/>
        </w:rPr>
        <w:t>“Particularly GBV services, it is so risky to start them up and close them down repeatedly. When you talk about trust and safety, getting women to go somewhere like that is huge, and suddenly it disappears for three months. Support the continuity in services. Services are continually applying for funding every 12 months. I think that PWL should commit to long term funding for critical services.” (PWLES advisor)</w:t>
      </w:r>
    </w:p>
    <w:p w14:paraId="3F3F3E96" w14:textId="77777777" w:rsidR="000231F3" w:rsidRPr="000231F3" w:rsidRDefault="000231F3" w:rsidP="000231F3">
      <w:pPr>
        <w:pStyle w:val="Orangeblocktext"/>
        <w:rPr>
          <w:sz w:val="22"/>
        </w:rPr>
      </w:pPr>
      <w:r w:rsidRPr="000231F3">
        <w:rPr>
          <w:sz w:val="22"/>
        </w:rPr>
        <w:t xml:space="preserve">Women’s Funds and DFAT partners interviewed identified the need for a single partnership-led funding model for women’s crisis centres that would allow these centres to stay open, work strategically, and receive wrap-around support from a single source. These partners further expressed need for fit for purpose, sustainable, flexible and responsive funding for crisis centres delivered through a central source which hold the relationships, understand risks and can accordingly respond efficiently and effectively.  </w:t>
      </w:r>
    </w:p>
    <w:p w14:paraId="7850C7AC" w14:textId="426EE177" w:rsidR="000231F3" w:rsidRPr="000231F3" w:rsidRDefault="000231F3" w:rsidP="000231F3">
      <w:pPr>
        <w:pStyle w:val="Orangeblocktext"/>
        <w:rPr>
          <w:i/>
          <w:iCs/>
          <w:sz w:val="22"/>
        </w:rPr>
      </w:pPr>
      <w:r w:rsidRPr="000231F3">
        <w:rPr>
          <w:i/>
          <w:iCs/>
          <w:sz w:val="22"/>
        </w:rPr>
        <w:t>“I think Women’s crisis centres have been missed. [The] Women’s Funds [and DFAT have] a brilliant way of working which is based on partnership principles. That model where we value them as partners, not as service providers needs to be adopted as a women’s crisis centres. They need the flexibility. We are going to continue to fund them, but they need to tell us what they need. We need to be a better partner to them.” (DFAT)</w:t>
      </w:r>
    </w:p>
    <w:p w14:paraId="2EB01D6B" w14:textId="354BD61E" w:rsidR="003E171B" w:rsidRPr="000231F3" w:rsidRDefault="003E171B" w:rsidP="00590D06">
      <w:pPr>
        <w:spacing w:after="120"/>
        <w:rPr>
          <w:rFonts w:asciiTheme="majorHAnsi" w:hAnsiTheme="majorHAnsi" w:cstheme="minorHAnsi"/>
          <w:color w:val="984C00" w:themeColor="accent1" w:themeShade="BF"/>
          <w:sz w:val="22"/>
          <w:szCs w:val="24"/>
        </w:rPr>
      </w:pPr>
      <w:r w:rsidRPr="000231F3">
        <w:rPr>
          <w:rFonts w:asciiTheme="majorHAnsi" w:hAnsiTheme="majorHAnsi"/>
          <w:color w:val="984C00" w:themeColor="accent1" w:themeShade="BF"/>
          <w:sz w:val="22"/>
          <w:szCs w:val="24"/>
        </w:rPr>
        <w:t>SPC</w:t>
      </w:r>
    </w:p>
    <w:p w14:paraId="50A7833A" w14:textId="484FA92A" w:rsidR="005E5550" w:rsidRDefault="005E5550" w:rsidP="00561403">
      <w:r w:rsidRPr="005E5550">
        <w:t xml:space="preserve">SPC has successfully implemented a grant novation process, ensuring the seamless transition of seven projects from </w:t>
      </w:r>
      <w:r>
        <w:t>PWSPD</w:t>
      </w:r>
      <w:r w:rsidRPr="005E5550">
        <w:t xml:space="preserve"> and allowing partners to continue delivering essential services without interruption. With extensive guidance and wrap-around support from SPC, these projects have contributed significantly to positive outcomes for women and girls, including economic empowerment, strengthened gender-based violence support services, and increased agency for adolescent girls. Though expanding SPC grant making faced challenges in ensuring fit-for-purpose organi</w:t>
      </w:r>
      <w:r>
        <w:t>s</w:t>
      </w:r>
      <w:r w:rsidRPr="005E5550">
        <w:t xml:space="preserve">ational policies and adequately resourced processes to support grant partners—leading to implementation delays and postponed outcomes from many CSO activities—SPC has responded with key reforms to policies and support structures, creating institutional benefits that extend beyond PWL grants to other SPC divisions. Current fund disbursement and early evidence suggest that SPC grant making will contribute substantially to outcomes in the program's second half, </w:t>
      </w:r>
      <w:r w:rsidR="007C5D04">
        <w:t>and that partners have valued SPC’s wrap</w:t>
      </w:r>
      <w:r w:rsidR="007B4D6F">
        <w:t>-</w:t>
      </w:r>
      <w:r w:rsidR="007C5D04">
        <w:t xml:space="preserve">around support. </w:t>
      </w:r>
    </w:p>
    <w:p w14:paraId="35655F0C" w14:textId="50567444" w:rsidR="003E171B" w:rsidRPr="001D78B4" w:rsidRDefault="003E171B" w:rsidP="00DB3298">
      <w:pPr>
        <w:rPr>
          <w:szCs w:val="21"/>
        </w:rPr>
      </w:pPr>
      <w:r w:rsidRPr="001D78B4">
        <w:rPr>
          <w:szCs w:val="21"/>
        </w:rPr>
        <w:t xml:space="preserve">SPC </w:t>
      </w:r>
      <w:r w:rsidR="00892E41" w:rsidRPr="001D78B4">
        <w:rPr>
          <w:szCs w:val="21"/>
        </w:rPr>
        <w:t>grant making</w:t>
      </w:r>
      <w:r w:rsidRPr="001D78B4">
        <w:rPr>
          <w:szCs w:val="21"/>
        </w:rPr>
        <w:t xml:space="preserve"> represents a comprehensive approach to advancing gender equality across the Pacific region. Grants have reached a range of:</w:t>
      </w:r>
    </w:p>
    <w:p w14:paraId="0CFC2CA6" w14:textId="008F9A00" w:rsidR="003E171B" w:rsidRPr="005E64ED" w:rsidRDefault="003E171B" w:rsidP="005E64ED">
      <w:pPr>
        <w:pStyle w:val="ListBullet3"/>
        <w:spacing w:line="276" w:lineRule="auto"/>
        <w:ind w:left="794"/>
        <w:contextualSpacing w:val="0"/>
        <w:rPr>
          <w:sz w:val="21"/>
          <w:szCs w:val="21"/>
        </w:rPr>
      </w:pPr>
      <w:r w:rsidRPr="005E64ED">
        <w:rPr>
          <w:sz w:val="21"/>
          <w:szCs w:val="21"/>
        </w:rPr>
        <w:t>Actors, including Pacific Island country member governments (Stream A)</w:t>
      </w:r>
      <w:r w:rsidR="00E66EA6" w:rsidRPr="005E64ED">
        <w:rPr>
          <w:sz w:val="21"/>
          <w:szCs w:val="21"/>
        </w:rPr>
        <w:t xml:space="preserve"> and </w:t>
      </w:r>
      <w:r w:rsidRPr="005E64ED">
        <w:rPr>
          <w:sz w:val="21"/>
          <w:szCs w:val="21"/>
        </w:rPr>
        <w:t>civil society organisations</w:t>
      </w:r>
      <w:r w:rsidR="00E66EA6" w:rsidRPr="005E64ED">
        <w:rPr>
          <w:sz w:val="21"/>
          <w:szCs w:val="21"/>
        </w:rPr>
        <w:t>, faith</w:t>
      </w:r>
      <w:r w:rsidR="00A456DF" w:rsidRPr="005E64ED">
        <w:rPr>
          <w:sz w:val="21"/>
          <w:szCs w:val="21"/>
        </w:rPr>
        <w:t>-</w:t>
      </w:r>
      <w:r w:rsidR="00E66EA6" w:rsidRPr="005E64ED">
        <w:rPr>
          <w:sz w:val="21"/>
          <w:szCs w:val="21"/>
        </w:rPr>
        <w:t xml:space="preserve">based organisations, </w:t>
      </w:r>
      <w:r w:rsidRPr="005E64ED">
        <w:rPr>
          <w:sz w:val="21"/>
          <w:szCs w:val="21"/>
        </w:rPr>
        <w:t xml:space="preserve">and </w:t>
      </w:r>
      <w:r w:rsidR="00E66EA6" w:rsidRPr="005E64ED">
        <w:rPr>
          <w:sz w:val="21"/>
          <w:szCs w:val="21"/>
        </w:rPr>
        <w:t xml:space="preserve">the </w:t>
      </w:r>
      <w:r w:rsidRPr="005E64ED">
        <w:rPr>
          <w:sz w:val="21"/>
          <w:szCs w:val="21"/>
        </w:rPr>
        <w:t>private sector (Stream B)</w:t>
      </w:r>
      <w:r w:rsidR="00DB3394" w:rsidRPr="005E64ED">
        <w:rPr>
          <w:sz w:val="21"/>
          <w:szCs w:val="21"/>
        </w:rPr>
        <w:t>.</w:t>
      </w:r>
      <w:r w:rsidRPr="005E64ED">
        <w:rPr>
          <w:sz w:val="21"/>
          <w:szCs w:val="21"/>
        </w:rPr>
        <w:t xml:space="preserve"> </w:t>
      </w:r>
    </w:p>
    <w:p w14:paraId="41499540" w14:textId="33197CB0" w:rsidR="003E171B" w:rsidRPr="005E64ED" w:rsidRDefault="003E171B" w:rsidP="005E64ED">
      <w:pPr>
        <w:pStyle w:val="ListBullet3"/>
        <w:spacing w:line="276" w:lineRule="auto"/>
        <w:ind w:left="794"/>
        <w:contextualSpacing w:val="0"/>
        <w:rPr>
          <w:sz w:val="21"/>
          <w:szCs w:val="21"/>
        </w:rPr>
      </w:pPr>
      <w:r w:rsidRPr="005E64ED">
        <w:rPr>
          <w:sz w:val="21"/>
          <w:szCs w:val="21"/>
        </w:rPr>
        <w:t xml:space="preserve">Subregions, </w:t>
      </w:r>
      <w:r w:rsidR="007B4D6F" w:rsidRPr="005E64ED">
        <w:rPr>
          <w:sz w:val="21"/>
          <w:szCs w:val="21"/>
        </w:rPr>
        <w:t>with</w:t>
      </w:r>
      <w:r w:rsidRPr="005E64ED">
        <w:rPr>
          <w:sz w:val="21"/>
          <w:szCs w:val="21"/>
        </w:rPr>
        <w:t xml:space="preserve"> </w:t>
      </w:r>
      <w:r w:rsidR="00F35540" w:rsidRPr="005E64ED">
        <w:rPr>
          <w:sz w:val="21"/>
          <w:szCs w:val="21"/>
        </w:rPr>
        <w:t>eight</w:t>
      </w:r>
      <w:r w:rsidRPr="005E64ED">
        <w:rPr>
          <w:sz w:val="21"/>
          <w:szCs w:val="21"/>
        </w:rPr>
        <w:t xml:space="preserve"> projects in Melanesia, </w:t>
      </w:r>
      <w:r w:rsidR="00F35540" w:rsidRPr="005E64ED">
        <w:rPr>
          <w:sz w:val="21"/>
          <w:szCs w:val="21"/>
        </w:rPr>
        <w:t>five</w:t>
      </w:r>
      <w:r w:rsidRPr="005E64ED">
        <w:rPr>
          <w:sz w:val="21"/>
          <w:szCs w:val="21"/>
        </w:rPr>
        <w:t xml:space="preserve"> in Micronesia, and </w:t>
      </w:r>
      <w:r w:rsidR="00F35540" w:rsidRPr="005E64ED">
        <w:rPr>
          <w:sz w:val="21"/>
          <w:szCs w:val="21"/>
        </w:rPr>
        <w:t>four</w:t>
      </w:r>
      <w:r w:rsidRPr="005E64ED">
        <w:rPr>
          <w:sz w:val="21"/>
          <w:szCs w:val="21"/>
        </w:rPr>
        <w:t xml:space="preserve"> in Polynesia, alongside </w:t>
      </w:r>
      <w:r w:rsidR="00F35540" w:rsidRPr="005E64ED">
        <w:rPr>
          <w:sz w:val="21"/>
          <w:szCs w:val="21"/>
        </w:rPr>
        <w:t>seven</w:t>
      </w:r>
      <w:r w:rsidRPr="005E64ED">
        <w:rPr>
          <w:sz w:val="21"/>
          <w:szCs w:val="21"/>
        </w:rPr>
        <w:t xml:space="preserve"> regional projects, reflecting broad reach across the Pacific.</w:t>
      </w:r>
    </w:p>
    <w:p w14:paraId="3EEF93E3" w14:textId="73D1355D" w:rsidR="003E171B" w:rsidRPr="005E64ED" w:rsidRDefault="003E171B" w:rsidP="005E64ED">
      <w:pPr>
        <w:pStyle w:val="ListBullet3"/>
        <w:spacing w:line="276" w:lineRule="auto"/>
        <w:ind w:left="794"/>
        <w:contextualSpacing w:val="0"/>
        <w:rPr>
          <w:sz w:val="21"/>
          <w:szCs w:val="21"/>
        </w:rPr>
      </w:pPr>
      <w:r w:rsidRPr="005E64ED">
        <w:rPr>
          <w:sz w:val="21"/>
          <w:szCs w:val="21"/>
        </w:rPr>
        <w:t xml:space="preserve">Outcome areas, with grants for rights-based initiatives, particularly around safety (11 projects). </w:t>
      </w:r>
      <w:r w:rsidR="007B4D6F" w:rsidRPr="005E64ED">
        <w:rPr>
          <w:sz w:val="21"/>
          <w:szCs w:val="21"/>
        </w:rPr>
        <w:t>WEE</w:t>
      </w:r>
      <w:r w:rsidRPr="005E64ED">
        <w:rPr>
          <w:sz w:val="21"/>
          <w:szCs w:val="21"/>
        </w:rPr>
        <w:t xml:space="preserve"> (</w:t>
      </w:r>
      <w:r w:rsidR="00F35540" w:rsidRPr="005E64ED">
        <w:rPr>
          <w:sz w:val="21"/>
          <w:szCs w:val="21"/>
        </w:rPr>
        <w:t>four</w:t>
      </w:r>
      <w:r w:rsidRPr="005E64ED">
        <w:rPr>
          <w:sz w:val="21"/>
          <w:szCs w:val="21"/>
        </w:rPr>
        <w:t xml:space="preserve"> grants), </w:t>
      </w:r>
      <w:r w:rsidR="00430369" w:rsidRPr="005E64ED">
        <w:rPr>
          <w:sz w:val="21"/>
          <w:szCs w:val="21"/>
        </w:rPr>
        <w:t>SRHR</w:t>
      </w:r>
      <w:r w:rsidRPr="005E64ED">
        <w:rPr>
          <w:sz w:val="21"/>
          <w:szCs w:val="21"/>
        </w:rPr>
        <w:t xml:space="preserve"> (</w:t>
      </w:r>
      <w:r w:rsidR="00F35540" w:rsidRPr="005E64ED">
        <w:rPr>
          <w:sz w:val="21"/>
          <w:szCs w:val="21"/>
        </w:rPr>
        <w:t>three</w:t>
      </w:r>
      <w:r w:rsidRPr="005E64ED">
        <w:rPr>
          <w:sz w:val="21"/>
          <w:szCs w:val="21"/>
        </w:rPr>
        <w:t xml:space="preserve"> grants), and women and girl’s leadership (</w:t>
      </w:r>
      <w:r w:rsidR="00F35540" w:rsidRPr="005E64ED">
        <w:rPr>
          <w:sz w:val="21"/>
          <w:szCs w:val="21"/>
        </w:rPr>
        <w:t>eight</w:t>
      </w:r>
      <w:r w:rsidRPr="005E64ED">
        <w:rPr>
          <w:sz w:val="21"/>
          <w:szCs w:val="21"/>
        </w:rPr>
        <w:t xml:space="preserve"> grants)</w:t>
      </w:r>
      <w:r w:rsidR="007B4D6F" w:rsidRPr="005E64ED">
        <w:rPr>
          <w:sz w:val="21"/>
          <w:szCs w:val="21"/>
        </w:rPr>
        <w:t>.</w:t>
      </w:r>
      <w:r w:rsidRPr="005E64ED">
        <w:rPr>
          <w:sz w:val="21"/>
          <w:szCs w:val="21"/>
        </w:rPr>
        <w:t xml:space="preserve"> </w:t>
      </w:r>
    </w:p>
    <w:p w14:paraId="1269F8FA" w14:textId="3BF9314A" w:rsidR="00B97FB9" w:rsidRPr="005E64ED" w:rsidRDefault="003E171B" w:rsidP="005E64ED">
      <w:pPr>
        <w:pStyle w:val="ListBullet3"/>
        <w:spacing w:line="276" w:lineRule="auto"/>
        <w:ind w:left="794"/>
        <w:contextualSpacing w:val="0"/>
        <w:rPr>
          <w:sz w:val="21"/>
          <w:szCs w:val="21"/>
        </w:rPr>
      </w:pPr>
      <w:r w:rsidRPr="005E64ED">
        <w:rPr>
          <w:sz w:val="21"/>
          <w:szCs w:val="21"/>
        </w:rPr>
        <w:lastRenderedPageBreak/>
        <w:t>Diverse peoples, with age-specific initiatives focu</w:t>
      </w:r>
      <w:r w:rsidR="00EF0AD9" w:rsidRPr="005E64ED">
        <w:rPr>
          <w:sz w:val="21"/>
          <w:szCs w:val="21"/>
        </w:rPr>
        <w:t>sed</w:t>
      </w:r>
      <w:r w:rsidRPr="005E64ED">
        <w:rPr>
          <w:sz w:val="21"/>
          <w:szCs w:val="21"/>
        </w:rPr>
        <w:t xml:space="preserve"> on both adolescent girls/young women (</w:t>
      </w:r>
      <w:r w:rsidR="00F53561" w:rsidRPr="005E64ED">
        <w:rPr>
          <w:sz w:val="21"/>
          <w:szCs w:val="21"/>
        </w:rPr>
        <w:t>four</w:t>
      </w:r>
      <w:r w:rsidRPr="005E64ED">
        <w:rPr>
          <w:sz w:val="21"/>
          <w:szCs w:val="21"/>
        </w:rPr>
        <w:t xml:space="preserve"> projects) and children (</w:t>
      </w:r>
      <w:r w:rsidR="00F53561" w:rsidRPr="005E64ED">
        <w:rPr>
          <w:sz w:val="21"/>
          <w:szCs w:val="21"/>
        </w:rPr>
        <w:t>three</w:t>
      </w:r>
      <w:r w:rsidRPr="005E64ED">
        <w:rPr>
          <w:sz w:val="21"/>
          <w:szCs w:val="21"/>
        </w:rPr>
        <w:t xml:space="preserve"> projects), and two projects focused on women with disabilities.</w:t>
      </w:r>
    </w:p>
    <w:p w14:paraId="6B91303F" w14:textId="5652B901" w:rsidR="00F948D9" w:rsidRPr="005E64ED" w:rsidRDefault="003E171B" w:rsidP="005E64ED">
      <w:pPr>
        <w:pStyle w:val="ListBullet3"/>
        <w:spacing w:line="276" w:lineRule="auto"/>
        <w:ind w:left="794"/>
        <w:contextualSpacing w:val="0"/>
        <w:rPr>
          <w:sz w:val="21"/>
          <w:szCs w:val="21"/>
        </w:rPr>
      </w:pPr>
      <w:r w:rsidRPr="005E64ED">
        <w:rPr>
          <w:sz w:val="21"/>
          <w:szCs w:val="21"/>
        </w:rPr>
        <w:t xml:space="preserve">Sectors, engaging diverse </w:t>
      </w:r>
      <w:r w:rsidR="00AC3869" w:rsidRPr="005E64ED">
        <w:rPr>
          <w:sz w:val="21"/>
          <w:szCs w:val="21"/>
        </w:rPr>
        <w:t>partners</w:t>
      </w:r>
      <w:r w:rsidRPr="005E64ED">
        <w:rPr>
          <w:sz w:val="21"/>
          <w:szCs w:val="21"/>
        </w:rPr>
        <w:t xml:space="preserve"> across education, health, sports, faith-based organisations, and economic sectors. This comprehensive approach is further enhanced by the holistic nature of many projects, which often address multiple thematic areas simultaneously, recognising the interconnected nature of gender equality challenges.</w:t>
      </w:r>
      <w:r w:rsidR="00BC6FC7" w:rsidRPr="005E64ED">
        <w:rPr>
          <w:sz w:val="21"/>
          <w:szCs w:val="21"/>
        </w:rPr>
        <w:t xml:space="preserve">SPC also provided funds for conferences and forums, </w:t>
      </w:r>
      <w:r w:rsidR="00BF3E5B" w:rsidRPr="005E64ED">
        <w:rPr>
          <w:sz w:val="21"/>
          <w:szCs w:val="21"/>
        </w:rPr>
        <w:t xml:space="preserve">and </w:t>
      </w:r>
      <w:r w:rsidR="00BC6FC7" w:rsidRPr="005E64ED">
        <w:rPr>
          <w:sz w:val="21"/>
          <w:szCs w:val="21"/>
        </w:rPr>
        <w:t>for governments to deliver 16 days of activism</w:t>
      </w:r>
      <w:r w:rsidR="00BF3E5B" w:rsidRPr="005E64ED">
        <w:rPr>
          <w:sz w:val="21"/>
          <w:szCs w:val="21"/>
        </w:rPr>
        <w:t xml:space="preserve"> and International Women’s Day activities in each country. </w:t>
      </w:r>
    </w:p>
    <w:p w14:paraId="38695CBE" w14:textId="5926A58E" w:rsidR="40D279E7" w:rsidRDefault="40D279E7">
      <w:r>
        <w:t>The PWL at SPC program implemented a process of grant novation to ensure the smooth transition of projects from Pacific Women Shaping Pacific Development to SPC. This process involved novating seven grants on 1 July 2022, covering projects in Chuuk</w:t>
      </w:r>
      <w:r w:rsidR="2E124044">
        <w:t xml:space="preserve"> (FSM)</w:t>
      </w:r>
      <w:r>
        <w:t>, Fiji, RMI, Tonga, and Vanuatu. The primary goal of this novation process was to allow partners to continue delivering essential services and programs without interruption. To facilitate a seamless transition, the SPC provided extensive support to partners in understanding and complying with the new grant management processes at SPC. This support included: familiarising partners with SPC's specific requirements, programmatic expectations, and management structures; offering guidance and advice on grant workplans, budgets, and monitoring and evaluation plans; and conducting informative sessions on the grant novation signing process and the updated arrangements under SPC.</w:t>
      </w:r>
    </w:p>
    <w:p w14:paraId="49737DC0" w14:textId="3E904FA7" w:rsidR="00892E41" w:rsidRDefault="00892E41" w:rsidP="003E171B">
      <w:r w:rsidRPr="00892E41">
        <w:t xml:space="preserve">SPC's novated grants have delivered substantial positive outcomes for women and girls across the Pacific. The Chuuk Women's Council has economically empowered women while its Tongen </w:t>
      </w:r>
      <w:proofErr w:type="spellStart"/>
      <w:r w:rsidRPr="00892E41">
        <w:t>Inepwineu</w:t>
      </w:r>
      <w:proofErr w:type="spellEnd"/>
      <w:r w:rsidRPr="00892E41">
        <w:t xml:space="preserve"> Counselling Centre, along with Women United Together Marshall Islands' </w:t>
      </w:r>
      <w:proofErr w:type="spellStart"/>
      <w:r w:rsidRPr="00892E41">
        <w:t>Weto</w:t>
      </w:r>
      <w:proofErr w:type="spellEnd"/>
      <w:r w:rsidRPr="00892E41">
        <w:t xml:space="preserve"> in Mour project, have strengthened gender-based violence support services and improved case management reporting and referral pathways. CARE Australia's Laef Blo Mi, Vois Blo Mi program has increased adolescent girls' agency by establishing an Advisory Group and engaging boys in </w:t>
      </w:r>
      <w:r w:rsidR="00C860FD" w:rsidRPr="00892E41">
        <w:t>behaviour</w:t>
      </w:r>
      <w:r w:rsidRPr="00892E41">
        <w:t xml:space="preserve"> change, with the program now adopted into Vanuatu's national school curriculum. Similarly, the Talitha Project's My Body! My Rights initiative has improved community perceptions of girls' value, while Fiji Women's Rights Movement's Girls Arise program has built life skills and confidence among girls while raising the profile of girls' issues with decision-makers. The Pacific Girl </w:t>
      </w:r>
      <w:r w:rsidR="003F517F">
        <w:t>MTR</w:t>
      </w:r>
      <w:r w:rsidRPr="00892E41">
        <w:t xml:space="preserve"> further confirmed notable progress in increasing adolescent girls' agency, particularly regarding </w:t>
      </w:r>
      <w:r w:rsidR="007B4D6F">
        <w:t>SRHR</w:t>
      </w:r>
      <w:r w:rsidRPr="00892E41">
        <w:t>.</w:t>
      </w:r>
    </w:p>
    <w:p w14:paraId="6095BA60" w14:textId="4CB4A6E5" w:rsidR="00892E41" w:rsidRPr="00892E41" w:rsidRDefault="00892E41" w:rsidP="003E171B">
      <w:pPr>
        <w:rPr>
          <w:i/>
          <w:iCs/>
        </w:rPr>
      </w:pPr>
      <w:r w:rsidRPr="00892E41">
        <w:t xml:space="preserve">SPC's new grant making approach under PWL encountered significant efficiency challenges that slowed progress toward program outcomes. </w:t>
      </w:r>
      <w:r>
        <w:t xml:space="preserve">SPC </w:t>
      </w:r>
      <w:r w:rsidRPr="00892E41">
        <w:t>needed to adapt its existing systems to accommodate multi-year funding at an unprecedented scale while simultaneously implementing a new grants framework. What began as a proposal for 10 grants expanded to 40 in response to overwhelming demand (evidenced by 300 initial Expressions of Interest), creating substantial strain on SPC's institutional capacity. The grant management process, originally envisioned as a three-month cycle, extended beyond 18 months for many organi</w:t>
      </w:r>
      <w:r>
        <w:t>s</w:t>
      </w:r>
      <w:r w:rsidRPr="00892E41">
        <w:t xml:space="preserve">ations. As one partner explained, it had </w:t>
      </w:r>
      <w:r w:rsidRPr="00892E41">
        <w:rPr>
          <w:i/>
          <w:iCs/>
        </w:rPr>
        <w:t>"been an enormously long process".</w:t>
      </w:r>
      <w:r w:rsidRPr="00892E41">
        <w:t xml:space="preserve"> These delays created cascading impacts, with another partner noting that "</w:t>
      </w:r>
      <w:r w:rsidRPr="00892E41">
        <w:rPr>
          <w:i/>
          <w:iCs/>
        </w:rPr>
        <w:t>there is a downstream impact when funding is delayed... disappointment to participants and stakeholders, which can lead to reputational damage for partners."</w:t>
      </w:r>
    </w:p>
    <w:p w14:paraId="25A50AD8" w14:textId="3139BA1B" w:rsidR="00892E41" w:rsidRDefault="00892E41" w:rsidP="003E171B">
      <w:r w:rsidRPr="00892E41">
        <w:t>In response to these challenges, SPC demonstrated institutional adaptability by implementing key policy reforms and enhancing support structures. The organi</w:t>
      </w:r>
      <w:r>
        <w:t>s</w:t>
      </w:r>
      <w:r w:rsidRPr="00892E41">
        <w:t>ation introduced a tiered granting system to accommodate varying organi</w:t>
      </w:r>
      <w:r>
        <w:t>s</w:t>
      </w:r>
      <w:r w:rsidRPr="00892E41">
        <w:t xml:space="preserve">ational capacities, developed clearer financial reporting guidelines, and streamlined processes with improved templates. One team member highlighted the shift from requiring </w:t>
      </w:r>
      <w:r w:rsidRPr="00892E41">
        <w:rPr>
          <w:i/>
          <w:iCs/>
        </w:rPr>
        <w:t>"100% acquittals on everything"</w:t>
      </w:r>
      <w:r w:rsidRPr="00892E41">
        <w:t xml:space="preserve"> to a more nuanced system that created </w:t>
      </w:r>
      <w:r w:rsidRPr="00892E41">
        <w:rPr>
          <w:i/>
          <w:iCs/>
        </w:rPr>
        <w:t>"fair provisions for INGOs and those that meet capabilities assessment and smaller CSOs."</w:t>
      </w:r>
      <w:r w:rsidRPr="00892E41">
        <w:t xml:space="preserve"> SPC also implemented a multi-team approach integrating communications, finance, and program focal points to provide coordinated assistance to grantees. To address resourcing issues for managing the increased volume of grants, two additional positions were </w:t>
      </w:r>
      <w:r w:rsidR="007B4D6F">
        <w:t>created</w:t>
      </w:r>
      <w:r w:rsidR="007B4D6F" w:rsidRPr="00892E41">
        <w:t xml:space="preserve"> </w:t>
      </w:r>
      <w:r w:rsidRPr="00892E41">
        <w:t>in the centrali</w:t>
      </w:r>
      <w:r>
        <w:t>s</w:t>
      </w:r>
      <w:r w:rsidRPr="00892E41">
        <w:t xml:space="preserve">ed grants team </w:t>
      </w:r>
      <w:r w:rsidR="007B4D6F">
        <w:t>with</w:t>
      </w:r>
      <w:r w:rsidR="007B4D6F" w:rsidRPr="00892E41">
        <w:t xml:space="preserve"> </w:t>
      </w:r>
      <w:r w:rsidRPr="00892E41">
        <w:t>PWL funding.</w:t>
      </w:r>
    </w:p>
    <w:p w14:paraId="15145951" w14:textId="77777777" w:rsidR="00336C74" w:rsidRDefault="00336C74" w:rsidP="003E171B"/>
    <w:p w14:paraId="2902BEFF" w14:textId="6A1725DC" w:rsidR="00892E41" w:rsidRDefault="00892E41" w:rsidP="003E171B">
      <w:r w:rsidRPr="00892E41">
        <w:lastRenderedPageBreak/>
        <w:t xml:space="preserve">Most SPC grants commenced </w:t>
      </w:r>
      <w:r>
        <w:t>at</w:t>
      </w:r>
      <w:r w:rsidRPr="00892E41">
        <w:t xml:space="preserve"> the </w:t>
      </w:r>
      <w:r>
        <w:t xml:space="preserve">end of this </w:t>
      </w:r>
      <w:r w:rsidRPr="00892E41">
        <w:t xml:space="preserve">review period, with the inaugural grantee orientation successfully delivered in September 2024, marking a significant milestone for the program. Despite the procedural inefficiencies, SPC maintained a committed approach to partner care and adverse outcome mitigation, with one team member noting it required a </w:t>
      </w:r>
      <w:r w:rsidRPr="00892E41">
        <w:rPr>
          <w:i/>
          <w:iCs/>
        </w:rPr>
        <w:t>"whole of team effort to balance out the strain on personal relationships."</w:t>
      </w:r>
      <w:r w:rsidRPr="00892E41">
        <w:t xml:space="preserve"> This dedication resonated strongly with most grant recipients, exemplified by one grantee's appreciation for the </w:t>
      </w:r>
      <w:r w:rsidRPr="00892E41">
        <w:rPr>
          <w:i/>
          <w:iCs/>
        </w:rPr>
        <w:t>"hand holding which we are grateful for and doesn't always happen."</w:t>
      </w:r>
      <w:r w:rsidRPr="00892E41">
        <w:t xml:space="preserve"> The pre-award phase also demonstrated high engagement levels, with grantees actively participating in various SPC activities, including the Triennial and ARAW. The institutional improvements made in response to PWL challenges have benefited other SPC divisions as well, reflecting the organi</w:t>
      </w:r>
      <w:r>
        <w:t>s</w:t>
      </w:r>
      <w:r w:rsidRPr="00892E41">
        <w:t>ation's commitment to continuous learning and enhancement of its grant management capabilities.</w:t>
      </w:r>
    </w:p>
    <w:p w14:paraId="08E141AC" w14:textId="44A111DD" w:rsidR="009A5CC5" w:rsidRDefault="009A5CC5" w:rsidP="003E171B">
      <w:r>
        <w:rPr>
          <w:noProof/>
        </w:rPr>
        <w:drawing>
          <wp:inline distT="0" distB="0" distL="0" distR="0" wp14:anchorId="723735D5" wp14:editId="13CF6829">
            <wp:extent cx="6111240" cy="2033586"/>
            <wp:effectExtent l="0" t="0" r="3810" b="5080"/>
            <wp:docPr id="1471060" name="Picture 6" descr="Quote: “We now have more clear-cut reporting guidelines, streamlined processes, and [are] implementing better tools and templates for grant management.&quot; – MTR interview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60" name="Picture 6" descr="Quote: “We now have more clear-cut reporting guidelines, streamlined processes, and [are] implementing better tools and templates for grant management.&quot; – MTR interviewee"/>
                    <pic:cNvPicPr/>
                  </pic:nvPicPr>
                  <pic:blipFill rotWithShape="1">
                    <a:blip r:embed="rId22" cstate="print">
                      <a:extLst>
                        <a:ext uri="{28A0092B-C50C-407E-A947-70E740481C1C}">
                          <a14:useLocalDpi xmlns:a14="http://schemas.microsoft.com/office/drawing/2010/main"/>
                        </a:ext>
                      </a:extLst>
                    </a:blip>
                    <a:srcRect/>
                    <a:stretch>
                      <a:fillRect/>
                    </a:stretch>
                  </pic:blipFill>
                  <pic:spPr bwMode="auto">
                    <a:xfrm>
                      <a:off x="0" y="0"/>
                      <a:ext cx="6124801" cy="2038099"/>
                    </a:xfrm>
                    <a:prstGeom prst="rect">
                      <a:avLst/>
                    </a:prstGeom>
                    <a:ln>
                      <a:noFill/>
                    </a:ln>
                    <a:extLst>
                      <a:ext uri="{53640926-AAD7-44D8-BBD7-CCE9431645EC}">
                        <a14:shadowObscured xmlns:a14="http://schemas.microsoft.com/office/drawing/2010/main"/>
                      </a:ext>
                    </a:extLst>
                  </pic:spPr>
                </pic:pic>
              </a:graphicData>
            </a:graphic>
          </wp:inline>
        </w:drawing>
      </w:r>
    </w:p>
    <w:p w14:paraId="757BDA09" w14:textId="3E89999B" w:rsidR="006653D6" w:rsidRPr="000231F3" w:rsidRDefault="006653D6" w:rsidP="00590D06">
      <w:pPr>
        <w:spacing w:after="120"/>
        <w:rPr>
          <w:rFonts w:asciiTheme="majorHAnsi" w:hAnsiTheme="majorHAnsi"/>
          <w:color w:val="984C00" w:themeColor="accent1" w:themeShade="BF"/>
          <w:sz w:val="22"/>
          <w:szCs w:val="24"/>
        </w:rPr>
      </w:pPr>
      <w:r w:rsidRPr="000231F3">
        <w:rPr>
          <w:rFonts w:asciiTheme="majorHAnsi" w:hAnsiTheme="majorHAnsi"/>
          <w:color w:val="984C00" w:themeColor="accent1" w:themeShade="BF"/>
          <w:sz w:val="22"/>
          <w:szCs w:val="24"/>
        </w:rPr>
        <w:t xml:space="preserve">DFAT </w:t>
      </w:r>
      <w:r w:rsidR="00832B49">
        <w:rPr>
          <w:rFonts w:asciiTheme="majorHAnsi" w:hAnsiTheme="majorHAnsi"/>
          <w:color w:val="984C00" w:themeColor="accent1" w:themeShade="BF"/>
          <w:sz w:val="22"/>
          <w:szCs w:val="24"/>
        </w:rPr>
        <w:t>regional</w:t>
      </w:r>
      <w:r w:rsidRPr="000231F3">
        <w:rPr>
          <w:rFonts w:asciiTheme="majorHAnsi" w:hAnsiTheme="majorHAnsi"/>
          <w:color w:val="984C00" w:themeColor="accent1" w:themeShade="BF"/>
          <w:sz w:val="22"/>
          <w:szCs w:val="24"/>
        </w:rPr>
        <w:t xml:space="preserve"> programs</w:t>
      </w:r>
    </w:p>
    <w:p w14:paraId="1507414E" w14:textId="73CC307B" w:rsidR="0090527B" w:rsidRPr="0090527B" w:rsidRDefault="0090527B" w:rsidP="0090527B">
      <w:r w:rsidRPr="0090527B">
        <w:t>DFAT regional grants have mobili</w:t>
      </w:r>
      <w:r w:rsidR="003F517F">
        <w:t>s</w:t>
      </w:r>
      <w:r w:rsidRPr="0090527B">
        <w:t>ed large UN agencies to deliver established programs in the Pacific, with five major programs accounting for over 40% of total PWL program funding. These initiatives align with the Women's Rights Reali</w:t>
      </w:r>
      <w:r>
        <w:t>s</w:t>
      </w:r>
      <w:r w:rsidRPr="0090527B">
        <w:t xml:space="preserve">ed and Women's Leadership Promoted outcomes and </w:t>
      </w:r>
      <w:r w:rsidR="00AE1928" w:rsidRPr="0090527B">
        <w:t>include</w:t>
      </w:r>
      <w:r w:rsidRPr="0090527B">
        <w:t xml:space="preserve"> </w:t>
      </w:r>
      <w:r w:rsidR="003F517F">
        <w:t>United Nations Population Fund (</w:t>
      </w:r>
      <w:r w:rsidRPr="0090527B">
        <w:t>UNFPA</w:t>
      </w:r>
      <w:r w:rsidR="003F517F">
        <w:t>)</w:t>
      </w:r>
      <w:r w:rsidRPr="0090527B">
        <w:t xml:space="preserve"> Transformative Agenda (SRHR), UN Women Pacific Partnerships to End Violence Against Women and Girls, UN Women Women's Resilience to Disasters Program, UN Women </w:t>
      </w:r>
      <w:r w:rsidR="003F517F">
        <w:t>M4C</w:t>
      </w:r>
      <w:r w:rsidRPr="0090527B">
        <w:t xml:space="preserve"> program (</w:t>
      </w:r>
      <w:r w:rsidR="003F517F">
        <w:t>WEE</w:t>
      </w:r>
      <w:r w:rsidRPr="0090527B">
        <w:t xml:space="preserve">), and </w:t>
      </w:r>
      <w:r w:rsidR="003F517F">
        <w:t>United Nations Children’s Fund (</w:t>
      </w:r>
      <w:r w:rsidRPr="0090527B">
        <w:t>UNICEF</w:t>
      </w:r>
      <w:r w:rsidR="003F517F">
        <w:t>)</w:t>
      </w:r>
      <w:r w:rsidRPr="0090527B">
        <w:t xml:space="preserve"> Child Protection Program (women's safety). While these programs represent significant investment, evidence regarding UN agency performance and delivery was mixed. Agency reports document activities, but five partners from across the PWL portfolio suggested some agencies lacked capacity and were underdelivering.</w:t>
      </w:r>
    </w:p>
    <w:p w14:paraId="5261120B" w14:textId="00922441" w:rsidR="0090527B" w:rsidRPr="0090527B" w:rsidRDefault="0090527B" w:rsidP="0090527B">
      <w:r w:rsidRPr="0090527B">
        <w:t xml:space="preserve">Despite substantial funding allocation, the UN programs operate relatively disconnected from the rest of the PWL portfolio, with minimal collaboration between UN partners and other program components. Two Posts, PWLES Advisors, and </w:t>
      </w:r>
      <w:r w:rsidR="003F517F">
        <w:t>Quality Technical Assurance Group (</w:t>
      </w:r>
      <w:r w:rsidRPr="0090527B">
        <w:t>QTAG</w:t>
      </w:r>
      <w:r w:rsidR="003F517F">
        <w:t>)</w:t>
      </w:r>
      <w:r w:rsidRPr="0090527B">
        <w:t xml:space="preserve"> staff reported having no visibility of regional programs and no clear mechanisms for collaboration with these partners. This sentiment was echoed by three regional partners who expressed feeling marginali</w:t>
      </w:r>
      <w:r w:rsidR="003F517F">
        <w:t>s</w:t>
      </w:r>
      <w:r w:rsidRPr="0090527B">
        <w:t>ed, with one noting</w:t>
      </w:r>
      <w:r w:rsidRPr="0090527B">
        <w:rPr>
          <w:i/>
          <w:iCs/>
        </w:rPr>
        <w:t>: "I feel we are on the margins, and we get invited once a year to these meetings [ARAW] and then we have to figure out what is happening."</w:t>
      </w:r>
    </w:p>
    <w:p w14:paraId="70FE1F7D" w14:textId="32D9F5D3" w:rsidR="0090527B" w:rsidRPr="0090527B" w:rsidRDefault="0090527B" w:rsidP="0090527B">
      <w:bookmarkStart w:id="46" w:name="_Hlk200635305"/>
      <w:r w:rsidRPr="0090527B">
        <w:t>The geographical distribution of DFAT's five largest regional programs reveals a strong focus on Melanesia with limited coverage of other Pacific subregions. All five programs operate in the Solomon Islands and Vanuatu, and four operate in Fiji. Only two programs operate in four countries, while two others operate in up to nine countries. This concentration has led some partners, particularly in the North Pacific, to question why these</w:t>
      </w:r>
      <w:r>
        <w:t xml:space="preserve"> regional</w:t>
      </w:r>
      <w:r w:rsidRPr="0090527B">
        <w:t xml:space="preserve"> programs aren't present in their countries, suggesting a need to reassess expectations and enhance monitoring to ensure appropriate scale and impact across the entire region.</w:t>
      </w:r>
    </w:p>
    <w:bookmarkEnd w:id="46"/>
    <w:p w14:paraId="1F4E7012" w14:textId="77777777" w:rsidR="00336C74" w:rsidRDefault="00336C74" w:rsidP="0090527B"/>
    <w:p w14:paraId="49B87EF7" w14:textId="77777777" w:rsidR="00336C74" w:rsidRDefault="00336C74" w:rsidP="0090527B"/>
    <w:p w14:paraId="7D56F78B" w14:textId="1F2E2E72" w:rsidR="0090527B" w:rsidRDefault="0090527B" w:rsidP="0090527B">
      <w:r w:rsidRPr="0090527B">
        <w:lastRenderedPageBreak/>
        <w:t>Sports programs supported through DFAT regional funding have enabled 119 women to assume leadership roles in sports contexts, though evidence for assessing their effectiveness was limited. These organi</w:t>
      </w:r>
      <w:r>
        <w:t>s</w:t>
      </w:r>
      <w:r w:rsidRPr="0090527B">
        <w:t>ations initially had minimal quality outcomes data, prompting PWLES to mobili</w:t>
      </w:r>
      <w:r>
        <w:t>s</w:t>
      </w:r>
      <w:r w:rsidRPr="0090527B">
        <w:t xml:space="preserve">e a QTAG advisor to strengthen their </w:t>
      </w:r>
      <w:r>
        <w:t>MEL</w:t>
      </w:r>
      <w:r w:rsidRPr="0090527B">
        <w:t xml:space="preserve"> capacity. Partners have reported improvements in outcomes reporting, which should provide more comprehensive evidence of program impacts by the </w:t>
      </w:r>
      <w:r>
        <w:t>end</w:t>
      </w:r>
      <w:r w:rsidRPr="0090527B">
        <w:t xml:space="preserve"> of the funding period.</w:t>
      </w:r>
    </w:p>
    <w:p w14:paraId="141B54DF" w14:textId="4BD1AFFE" w:rsidR="003E171B" w:rsidRPr="001B6998" w:rsidRDefault="00834395" w:rsidP="005E64ED">
      <w:pPr>
        <w:rPr>
          <w:rFonts w:asciiTheme="majorHAnsi" w:hAnsiTheme="majorHAnsi"/>
          <w:color w:val="984C00" w:themeColor="accent1" w:themeShade="BF"/>
          <w:sz w:val="22"/>
          <w:szCs w:val="24"/>
        </w:rPr>
      </w:pPr>
      <w:r w:rsidRPr="001B6998">
        <w:rPr>
          <w:rFonts w:asciiTheme="majorHAnsi" w:hAnsiTheme="majorHAnsi"/>
          <w:color w:val="984C00" w:themeColor="accent1" w:themeShade="BF"/>
          <w:sz w:val="22"/>
          <w:szCs w:val="24"/>
        </w:rPr>
        <w:t>Women’s Funds</w:t>
      </w:r>
      <w:r w:rsidR="003E171B" w:rsidRPr="001B6998">
        <w:rPr>
          <w:rFonts w:asciiTheme="majorHAnsi" w:hAnsiTheme="majorHAnsi"/>
          <w:color w:val="984C00" w:themeColor="accent1" w:themeShade="BF"/>
          <w:sz w:val="22"/>
          <w:szCs w:val="24"/>
        </w:rPr>
        <w:t xml:space="preserve"> </w:t>
      </w:r>
    </w:p>
    <w:p w14:paraId="050A96CF" w14:textId="018A9BCF" w:rsidR="00D64C1B" w:rsidRDefault="00D64C1B" w:rsidP="00D64C1B">
      <w:r>
        <w:t xml:space="preserve">The </w:t>
      </w:r>
      <w:r w:rsidR="004B676C">
        <w:t>W</w:t>
      </w:r>
      <w:r>
        <w:t xml:space="preserve">omen's </w:t>
      </w:r>
      <w:r w:rsidR="004B676C">
        <w:t>F</w:t>
      </w:r>
      <w:r>
        <w:t xml:space="preserve">unds have emerged as an effective grant-making and wrap-around support mechanism for CSOs across the Pacific region. Their funding processes are notably faster and more accessible to small CSOs that may lack the institutional capacity to successfully apply to other grant makers, with the </w:t>
      </w:r>
      <w:r w:rsidR="003F517F">
        <w:t>UAF</w:t>
      </w:r>
      <w:r>
        <w:t xml:space="preserve"> Asia &amp; Pacific providing urgent funding to individuals and organisations, and the </w:t>
      </w:r>
      <w:r w:rsidR="003F517F">
        <w:t>WFF</w:t>
      </w:r>
      <w:r>
        <w:t xml:space="preserve"> delivering core funding within relatively short timeframes. The </w:t>
      </w:r>
      <w:r w:rsidR="003F517F">
        <w:t>PFF</w:t>
      </w:r>
      <w:r>
        <w:t xml:space="preserve"> growing institutional capacity positions it well to provide grant funding to CSOs efficiently and at scale in the future, offering an alternative mechanism to fund CSOs quickly across the Pacific through a Pacific-owned organisation. Together, </w:t>
      </w:r>
      <w:r w:rsidR="004B676C">
        <w:t xml:space="preserve">Women's Funds </w:t>
      </w:r>
      <w:r>
        <w:t>have engaged more than 194 women's organisations, groups, or coalitions, demonstrating significant reach and impact potential.</w:t>
      </w:r>
    </w:p>
    <w:p w14:paraId="2826F3DB" w14:textId="015AB2EF" w:rsidR="00D64C1B" w:rsidRDefault="00D64C1B" w:rsidP="00D64C1B">
      <w:r>
        <w:t xml:space="preserve">The </w:t>
      </w:r>
      <w:r w:rsidR="004B676C">
        <w:t xml:space="preserve">Women's Funds </w:t>
      </w:r>
      <w:r>
        <w:t>have been particularly effective in reaching under</w:t>
      </w:r>
      <w:r w:rsidR="00A02D42">
        <w:t>-</w:t>
      </w:r>
      <w:r>
        <w:t xml:space="preserve">served areas where PWL coverage has been limited, especially feminist and women-led organisations in the North Pacific. PFF initiated its grant program in July 2024 with an invitation-based approach targeting feminist and women's organisations in small island states and territories. Additionally, the </w:t>
      </w:r>
      <w:r w:rsidR="004B676C">
        <w:t xml:space="preserve">Women's Funds’ </w:t>
      </w:r>
      <w:r>
        <w:t>grant making strategy has supported North Pacific-based feminists to attend significant regional and global events such as the Asia Pacific Feminist Forum and the upcoming Association for Women's Rights in Development (AWID) Forum, expanding Pacific women's representation in international spaces.</w:t>
      </w:r>
    </w:p>
    <w:p w14:paraId="0818B52D" w14:textId="0B41F297" w:rsidR="00D64C1B" w:rsidRPr="00D64C1B" w:rsidRDefault="00D64C1B" w:rsidP="00D64C1B">
      <w:r>
        <w:t xml:space="preserve">Output data indicates the </w:t>
      </w:r>
      <w:r w:rsidR="004B676C">
        <w:t xml:space="preserve">Women's Funds </w:t>
      </w:r>
      <w:r>
        <w:t>are on track to contribute to women's leadership promotion and rights realisation outcomes, supporting more than 2,700 women to participate in leadership training, providing financial and/or business development services to over 3,500 women, and delivering sessions on gender issues and women's equal rights to more than 8,000 women and 3,000 men. The Funds have also demonstrated a commitment to continuous improvement, engaging in research to better understand needs, challenges, and opportunities when lacking sufficient information about specific issues, regions, or communities. This proactive approach has helped the Funds design strategies and allocate resources that are responsive to on-the-ground realities, though outcomes from many CSO activities are still emerging.</w:t>
      </w:r>
    </w:p>
    <w:p w14:paraId="4F813D5A" w14:textId="77777777" w:rsidR="00D64C1B" w:rsidRPr="001B6998" w:rsidRDefault="00D64C1B" w:rsidP="00590D06">
      <w:pPr>
        <w:spacing w:after="120"/>
        <w:rPr>
          <w:rFonts w:asciiTheme="majorHAnsi" w:hAnsiTheme="majorHAnsi"/>
          <w:color w:val="984C00" w:themeColor="accent1" w:themeShade="BF"/>
          <w:sz w:val="22"/>
          <w:szCs w:val="24"/>
        </w:rPr>
      </w:pPr>
      <w:r w:rsidRPr="001B6998">
        <w:rPr>
          <w:rFonts w:asciiTheme="majorHAnsi" w:hAnsiTheme="majorHAnsi"/>
          <w:color w:val="984C00" w:themeColor="accent1" w:themeShade="BF"/>
          <w:sz w:val="22"/>
          <w:szCs w:val="24"/>
        </w:rPr>
        <w:t>Pacific Feminist Fund</w:t>
      </w:r>
    </w:p>
    <w:p w14:paraId="2C1B8DD9" w14:textId="77777777" w:rsidR="00D64C1B" w:rsidRPr="00EE243C" w:rsidRDefault="00D64C1B" w:rsidP="00D64C1B">
      <w:pPr>
        <w:rPr>
          <w:rFonts w:cstheme="minorHAnsi"/>
        </w:rPr>
      </w:pPr>
      <w:r w:rsidRPr="00EE243C">
        <w:rPr>
          <w:rFonts w:cstheme="minorHAnsi"/>
        </w:rPr>
        <w:t xml:space="preserve">PFF’s growing institutional capacity means it is well positioned to provide grant funding at much greater scale in the future. This provides a new mechanism to fund CSOs quickly, across the Pacific, by a Pacific-owned organisation. PFF was still in the establishment phase and had limited grant making experience at the time when PWL was designed. However, in the past two years PFF has undertaken several institutional building efforts and has delivered its first round of funding. Progress reports and consultations indicate these processes have proceeded well so far, and the final evaluation should provide more confidence about PFF’s capacity to deliver grants on a much greater scale. </w:t>
      </w:r>
    </w:p>
    <w:p w14:paraId="1CDF982A" w14:textId="7A46F484" w:rsidR="00D64C1B" w:rsidRDefault="00D64C1B" w:rsidP="00561403">
      <w:r w:rsidRPr="2D8F7E15">
        <w:t xml:space="preserve">PFF have reached new donors through the collective action of </w:t>
      </w:r>
      <w:r w:rsidR="00057807">
        <w:t>Amplify Invest Reach (</w:t>
      </w:r>
      <w:r w:rsidRPr="2D8F7E15">
        <w:t>AIR</w:t>
      </w:r>
      <w:r w:rsidR="00057807">
        <w:t>)</w:t>
      </w:r>
      <w:r w:rsidRPr="2D8F7E15">
        <w:t xml:space="preserve"> partners and other </w:t>
      </w:r>
      <w:r>
        <w:t>Women’s Funds</w:t>
      </w:r>
      <w:r w:rsidRPr="2D8F7E15">
        <w:t xml:space="preserve">. </w:t>
      </w:r>
      <w:r>
        <w:t>Women’s Funds</w:t>
      </w:r>
      <w:r w:rsidRPr="2D8F7E15">
        <w:t xml:space="preserve"> Asia connected PFF to the Foundation Chanel for a three-year grant. By linking and connecting, the AIR Partnership is demonstrating and fostering solidarity and amplifying the impact of gender equality movements.</w:t>
      </w:r>
    </w:p>
    <w:p w14:paraId="28C5B9DF" w14:textId="77777777" w:rsidR="00DB3697" w:rsidRDefault="00DB3697">
      <w:pPr>
        <w:rPr>
          <w:b/>
          <w:iCs/>
          <w:sz w:val="18"/>
          <w:szCs w:val="18"/>
        </w:rPr>
      </w:pPr>
      <w:bookmarkStart w:id="47" w:name="_Ref181337139"/>
      <w:bookmarkStart w:id="48" w:name="_Toc181529390"/>
      <w:r>
        <w:br w:type="page"/>
      </w:r>
    </w:p>
    <w:p w14:paraId="4ABC4D17" w14:textId="7F3ED6DC" w:rsidR="00F07CAA" w:rsidRPr="00EE243C" w:rsidRDefault="00F07CAA" w:rsidP="00F07CAA">
      <w:pPr>
        <w:pStyle w:val="Caption"/>
      </w:pPr>
      <w:bookmarkStart w:id="49" w:name="_Toc210309449"/>
      <w:r w:rsidRPr="2808D941">
        <w:lastRenderedPageBreak/>
        <w:t xml:space="preserve">Table </w:t>
      </w:r>
      <w:r>
        <w:fldChar w:fldCharType="begin"/>
      </w:r>
      <w:r>
        <w:instrText>SEQ Table \* ARABIC</w:instrText>
      </w:r>
      <w:r>
        <w:fldChar w:fldCharType="separate"/>
      </w:r>
      <w:r w:rsidR="00832B49">
        <w:rPr>
          <w:noProof/>
        </w:rPr>
        <w:t>2</w:t>
      </w:r>
      <w:r>
        <w:fldChar w:fldCharType="end"/>
      </w:r>
      <w:bookmarkEnd w:id="47"/>
      <w:r w:rsidR="00A97D26">
        <w:t>.</w:t>
      </w:r>
      <w:r w:rsidRPr="2808D941">
        <w:t xml:space="preserve"> </w:t>
      </w:r>
      <w:r w:rsidR="00834395">
        <w:t>Women’s Funds</w:t>
      </w:r>
      <w:r w:rsidRPr="2808D941">
        <w:t xml:space="preserve"> within the PWL modality</w:t>
      </w:r>
      <w:bookmarkEnd w:id="48"/>
      <w:bookmarkEnd w:id="49"/>
    </w:p>
    <w:tbl>
      <w:tblPr>
        <w:tblStyle w:val="TableGrid"/>
        <w:tblW w:w="5000" w:type="pct"/>
        <w:tblLook w:val="0620" w:firstRow="1" w:lastRow="0" w:firstColumn="0" w:lastColumn="0" w:noHBand="1" w:noVBand="1"/>
      </w:tblPr>
      <w:tblGrid>
        <w:gridCol w:w="1985"/>
        <w:gridCol w:w="1133"/>
        <w:gridCol w:w="1986"/>
        <w:gridCol w:w="4648"/>
      </w:tblGrid>
      <w:tr w:rsidR="00F07CAA" w:rsidRPr="0067023E" w14:paraId="4679AEAF" w14:textId="77777777" w:rsidTr="00F00BFE">
        <w:trPr>
          <w:cnfStyle w:val="100000000000" w:firstRow="1" w:lastRow="0" w:firstColumn="0" w:lastColumn="0" w:oddVBand="0" w:evenVBand="0" w:oddHBand="0" w:evenHBand="0" w:firstRowFirstColumn="0" w:firstRowLastColumn="0" w:lastRowFirstColumn="0" w:lastRowLastColumn="0"/>
          <w:trHeight w:val="624"/>
          <w:tblHeader/>
        </w:trPr>
        <w:tc>
          <w:tcPr>
            <w:tcW w:w="1018" w:type="pct"/>
          </w:tcPr>
          <w:p w14:paraId="34E65A8D" w14:textId="5DD58EAE" w:rsidR="00F07CAA" w:rsidRPr="00DB3697" w:rsidRDefault="00834395" w:rsidP="00524529">
            <w:pPr>
              <w:rPr>
                <w:szCs w:val="21"/>
              </w:rPr>
            </w:pPr>
            <w:r w:rsidRPr="00DB3697">
              <w:rPr>
                <w:szCs w:val="21"/>
              </w:rPr>
              <w:t>Women’s Funds</w:t>
            </w:r>
          </w:p>
        </w:tc>
        <w:tc>
          <w:tcPr>
            <w:tcW w:w="581" w:type="pct"/>
          </w:tcPr>
          <w:p w14:paraId="042C9BFB" w14:textId="77777777" w:rsidR="00F07CAA" w:rsidRPr="00DB3697" w:rsidRDefault="00F07CAA" w:rsidP="00524529">
            <w:pPr>
              <w:rPr>
                <w:szCs w:val="21"/>
              </w:rPr>
            </w:pPr>
            <w:r w:rsidRPr="00DB3697">
              <w:rPr>
                <w:szCs w:val="21"/>
              </w:rPr>
              <w:t>Reach</w:t>
            </w:r>
          </w:p>
        </w:tc>
        <w:tc>
          <w:tcPr>
            <w:tcW w:w="1018" w:type="pct"/>
          </w:tcPr>
          <w:p w14:paraId="3E68ADF9" w14:textId="59983C09" w:rsidR="00F07CAA" w:rsidRPr="00DB3697" w:rsidRDefault="0CCA59F4" w:rsidP="00524529">
            <w:pPr>
              <w:rPr>
                <w:szCs w:val="21"/>
              </w:rPr>
            </w:pPr>
            <w:r w:rsidRPr="00DB3697">
              <w:rPr>
                <w:szCs w:val="21"/>
              </w:rPr>
              <w:t xml:space="preserve">DFAT </w:t>
            </w:r>
            <w:r w:rsidR="72E573B7" w:rsidRPr="00DB3697">
              <w:rPr>
                <w:szCs w:val="21"/>
              </w:rPr>
              <w:t>investment</w:t>
            </w:r>
          </w:p>
        </w:tc>
        <w:tc>
          <w:tcPr>
            <w:tcW w:w="2383" w:type="pct"/>
          </w:tcPr>
          <w:p w14:paraId="50E6EF5D" w14:textId="77777777" w:rsidR="00F07CAA" w:rsidRPr="00DB3697" w:rsidRDefault="00F07CAA" w:rsidP="00524529">
            <w:pPr>
              <w:rPr>
                <w:szCs w:val="21"/>
              </w:rPr>
            </w:pPr>
            <w:r w:rsidRPr="00DB3697">
              <w:rPr>
                <w:szCs w:val="21"/>
              </w:rPr>
              <w:t>Description</w:t>
            </w:r>
          </w:p>
        </w:tc>
      </w:tr>
      <w:tr w:rsidR="00F07CAA" w:rsidRPr="0067023E" w14:paraId="27FC7195" w14:textId="77777777" w:rsidTr="00EA5FDA">
        <w:trPr>
          <w:trHeight w:val="793"/>
        </w:trPr>
        <w:tc>
          <w:tcPr>
            <w:tcW w:w="1018" w:type="pct"/>
          </w:tcPr>
          <w:p w14:paraId="58EA14CC" w14:textId="058C4CC5" w:rsidR="00F07CAA" w:rsidRPr="00DB3697" w:rsidRDefault="72E573B7" w:rsidP="3BBBFC65">
            <w:pPr>
              <w:spacing w:before="0" w:after="210"/>
              <w:rPr>
                <w:rFonts w:ascii="Arial" w:hAnsi="Arial" w:cs="Arial"/>
                <w:b/>
                <w:szCs w:val="20"/>
              </w:rPr>
            </w:pPr>
            <w:r w:rsidRPr="00DB3697">
              <w:rPr>
                <w:rFonts w:ascii="Arial" w:hAnsi="Arial" w:cs="Arial"/>
                <w:szCs w:val="20"/>
              </w:rPr>
              <w:t>Urgent Action Fund Asia and Pacific (UAF A&amp;P)</w:t>
            </w:r>
          </w:p>
          <w:p w14:paraId="452F38A1" w14:textId="3F283CAE" w:rsidR="00F07CAA" w:rsidRPr="00DB3697" w:rsidRDefault="241D008A" w:rsidP="00524529">
            <w:pPr>
              <w:spacing w:before="0" w:after="210"/>
              <w:rPr>
                <w:rFonts w:ascii="Arial" w:hAnsi="Arial" w:cs="Arial"/>
                <w:b/>
                <w:szCs w:val="20"/>
              </w:rPr>
            </w:pPr>
            <w:r w:rsidRPr="00DB3697">
              <w:rPr>
                <w:rFonts w:ascii="Arial" w:hAnsi="Arial" w:cs="Arial"/>
                <w:szCs w:val="20"/>
              </w:rPr>
              <w:t>(2021-2025)</w:t>
            </w:r>
          </w:p>
        </w:tc>
        <w:tc>
          <w:tcPr>
            <w:tcW w:w="581" w:type="pct"/>
          </w:tcPr>
          <w:p w14:paraId="3F9C5626" w14:textId="77777777" w:rsidR="00F07CAA" w:rsidRPr="00DB3697" w:rsidRDefault="00F07CAA" w:rsidP="00524529">
            <w:pPr>
              <w:rPr>
                <w:rFonts w:ascii="Arial" w:hAnsi="Arial" w:cs="Arial"/>
                <w:szCs w:val="20"/>
              </w:rPr>
            </w:pPr>
            <w:r w:rsidRPr="00DB3697">
              <w:rPr>
                <w:rFonts w:ascii="Arial" w:hAnsi="Arial" w:cs="Arial"/>
                <w:szCs w:val="20"/>
              </w:rPr>
              <w:t>Pacific</w:t>
            </w:r>
          </w:p>
        </w:tc>
        <w:tc>
          <w:tcPr>
            <w:tcW w:w="1018" w:type="pct"/>
          </w:tcPr>
          <w:p w14:paraId="6BA1CB97" w14:textId="40177D03" w:rsidR="00F07CAA" w:rsidRPr="00DB3697" w:rsidRDefault="59C929FC" w:rsidP="00524529">
            <w:pPr>
              <w:spacing w:before="0" w:after="210"/>
              <w:rPr>
                <w:rFonts w:ascii="Arial" w:hAnsi="Arial" w:cs="Arial"/>
                <w:szCs w:val="20"/>
              </w:rPr>
            </w:pPr>
            <w:r w:rsidRPr="00DB3697">
              <w:rPr>
                <w:rFonts w:ascii="Arial" w:hAnsi="Arial" w:cs="Arial"/>
                <w:szCs w:val="20"/>
              </w:rPr>
              <w:t>AUD</w:t>
            </w:r>
            <w:r w:rsidR="6A2D447B" w:rsidRPr="00DB3697">
              <w:rPr>
                <w:rFonts w:ascii="Arial" w:hAnsi="Arial" w:cs="Arial"/>
                <w:szCs w:val="20"/>
              </w:rPr>
              <w:t>4.3</w:t>
            </w:r>
            <w:r w:rsidR="72E573B7" w:rsidRPr="00DB3697">
              <w:rPr>
                <w:rFonts w:ascii="Arial" w:hAnsi="Arial" w:cs="Arial"/>
                <w:szCs w:val="20"/>
              </w:rPr>
              <w:t xml:space="preserve"> million</w:t>
            </w:r>
          </w:p>
        </w:tc>
        <w:tc>
          <w:tcPr>
            <w:tcW w:w="2383" w:type="pct"/>
          </w:tcPr>
          <w:p w14:paraId="390C4D40" w14:textId="77777777" w:rsidR="00F07CAA" w:rsidRPr="00DB3697" w:rsidRDefault="00F07CAA" w:rsidP="00524529">
            <w:pPr>
              <w:spacing w:before="0" w:after="210"/>
              <w:rPr>
                <w:rFonts w:ascii="Arial" w:hAnsi="Arial" w:cs="Arial"/>
                <w:szCs w:val="20"/>
              </w:rPr>
            </w:pPr>
            <w:r w:rsidRPr="00DB3697">
              <w:rPr>
                <w:rFonts w:ascii="Arial" w:hAnsi="Arial" w:cs="Arial"/>
                <w:szCs w:val="20"/>
              </w:rPr>
              <w:t xml:space="preserve">Rapid response and feminist fund that mobilises and distributes resources to women and non-binary human rights defenders, activists and their movements to continue their work. Grants are given to individuals and organisations whose funding needs are short-term and / or emergent. </w:t>
            </w:r>
          </w:p>
        </w:tc>
      </w:tr>
      <w:tr w:rsidR="00F07CAA" w:rsidRPr="0067023E" w14:paraId="7A8732F0" w14:textId="77777777" w:rsidTr="00EA5FDA">
        <w:trPr>
          <w:trHeight w:val="167"/>
        </w:trPr>
        <w:tc>
          <w:tcPr>
            <w:tcW w:w="1018" w:type="pct"/>
          </w:tcPr>
          <w:p w14:paraId="219826C3" w14:textId="66FBA436" w:rsidR="00F07CAA" w:rsidRPr="00DB3697" w:rsidRDefault="6A908948" w:rsidP="3BBBFC65">
            <w:pPr>
              <w:spacing w:before="0" w:after="210"/>
              <w:rPr>
                <w:rFonts w:ascii="Arial" w:hAnsi="Arial" w:cs="Arial"/>
                <w:b/>
                <w:szCs w:val="20"/>
              </w:rPr>
            </w:pPr>
            <w:r w:rsidRPr="00DB3697">
              <w:rPr>
                <w:rFonts w:ascii="Arial" w:hAnsi="Arial" w:cs="Arial"/>
                <w:szCs w:val="20"/>
              </w:rPr>
              <w:t>Women’s Funds</w:t>
            </w:r>
            <w:r w:rsidR="72E573B7" w:rsidRPr="00DB3697">
              <w:rPr>
                <w:rFonts w:ascii="Arial" w:hAnsi="Arial" w:cs="Arial"/>
                <w:szCs w:val="20"/>
              </w:rPr>
              <w:t xml:space="preserve"> Fiji (WFF)</w:t>
            </w:r>
          </w:p>
          <w:p w14:paraId="1A9E3919" w14:textId="765D8645" w:rsidR="00F07CAA" w:rsidRPr="00DB3697" w:rsidRDefault="403F017D" w:rsidP="00524529">
            <w:pPr>
              <w:spacing w:before="0" w:after="210"/>
              <w:rPr>
                <w:rFonts w:ascii="Arial" w:hAnsi="Arial" w:cs="Arial"/>
                <w:b/>
                <w:szCs w:val="20"/>
              </w:rPr>
            </w:pPr>
            <w:r w:rsidRPr="00DB3697">
              <w:rPr>
                <w:rFonts w:ascii="Arial" w:hAnsi="Arial" w:cs="Arial"/>
                <w:szCs w:val="20"/>
              </w:rPr>
              <w:t>(2022-2025)</w:t>
            </w:r>
          </w:p>
        </w:tc>
        <w:tc>
          <w:tcPr>
            <w:tcW w:w="581" w:type="pct"/>
          </w:tcPr>
          <w:p w14:paraId="43013100" w14:textId="77777777" w:rsidR="00F07CAA" w:rsidRPr="00DB3697" w:rsidRDefault="00F07CAA" w:rsidP="00524529">
            <w:pPr>
              <w:rPr>
                <w:rFonts w:ascii="Arial" w:hAnsi="Arial" w:cs="Arial"/>
                <w:szCs w:val="20"/>
              </w:rPr>
            </w:pPr>
            <w:r w:rsidRPr="00DB3697">
              <w:rPr>
                <w:rFonts w:ascii="Arial" w:hAnsi="Arial" w:cs="Arial"/>
                <w:szCs w:val="20"/>
              </w:rPr>
              <w:t>Fiji</w:t>
            </w:r>
          </w:p>
        </w:tc>
        <w:tc>
          <w:tcPr>
            <w:tcW w:w="1018" w:type="pct"/>
          </w:tcPr>
          <w:p w14:paraId="1FC19A54" w14:textId="0E73B569" w:rsidR="00F07CAA" w:rsidRPr="00DB3697" w:rsidRDefault="59C929FC" w:rsidP="00524529">
            <w:pPr>
              <w:spacing w:before="0" w:after="210"/>
              <w:rPr>
                <w:rFonts w:ascii="Arial" w:hAnsi="Arial" w:cs="Arial"/>
                <w:szCs w:val="20"/>
              </w:rPr>
            </w:pPr>
            <w:r w:rsidRPr="00DB3697">
              <w:rPr>
                <w:rFonts w:ascii="Arial" w:hAnsi="Arial" w:cs="Arial"/>
                <w:szCs w:val="20"/>
              </w:rPr>
              <w:t>AUD</w:t>
            </w:r>
            <w:r w:rsidR="7AE44777" w:rsidRPr="00DB3697">
              <w:rPr>
                <w:rFonts w:ascii="Arial" w:hAnsi="Arial" w:cs="Arial"/>
                <w:szCs w:val="20"/>
              </w:rPr>
              <w:t>5.4</w:t>
            </w:r>
            <w:r w:rsidR="72E573B7" w:rsidRPr="00DB3697">
              <w:rPr>
                <w:rFonts w:ascii="Arial" w:hAnsi="Arial" w:cs="Arial"/>
                <w:szCs w:val="20"/>
              </w:rPr>
              <w:t xml:space="preserve"> million</w:t>
            </w:r>
          </w:p>
        </w:tc>
        <w:tc>
          <w:tcPr>
            <w:tcW w:w="2383" w:type="pct"/>
          </w:tcPr>
          <w:p w14:paraId="614A4D5F" w14:textId="77777777" w:rsidR="00F07CAA" w:rsidRPr="00DB3697" w:rsidRDefault="00F07CAA" w:rsidP="00524529">
            <w:pPr>
              <w:spacing w:before="0" w:after="210"/>
              <w:rPr>
                <w:rFonts w:ascii="Arial" w:hAnsi="Arial" w:cs="Arial"/>
                <w:szCs w:val="20"/>
              </w:rPr>
            </w:pPr>
            <w:r w:rsidRPr="00DB3697">
              <w:rPr>
                <w:rFonts w:ascii="Arial" w:hAnsi="Arial" w:cs="Arial"/>
                <w:szCs w:val="20"/>
              </w:rPr>
              <w:t xml:space="preserve">Funds and builds the capacity of women’s groups, organisations and networks in Fiji to expand and enhance work on gender justice and human rights. Grants are provided for direct, core funding in support of the organisation’s independence to decide how and where to use resources. </w:t>
            </w:r>
          </w:p>
        </w:tc>
      </w:tr>
      <w:tr w:rsidR="00F07CAA" w:rsidRPr="0067023E" w14:paraId="1DE1B817" w14:textId="77777777" w:rsidTr="00EA5FDA">
        <w:trPr>
          <w:trHeight w:val="267"/>
        </w:trPr>
        <w:tc>
          <w:tcPr>
            <w:tcW w:w="1018" w:type="pct"/>
          </w:tcPr>
          <w:p w14:paraId="62F5A2AF" w14:textId="0D4B6C7C" w:rsidR="00F07CAA" w:rsidRPr="00DB3697" w:rsidRDefault="72E573B7" w:rsidP="3BBBFC65">
            <w:pPr>
              <w:spacing w:before="0" w:after="210"/>
              <w:rPr>
                <w:rFonts w:ascii="Arial" w:hAnsi="Arial" w:cs="Arial"/>
                <w:b/>
                <w:szCs w:val="20"/>
              </w:rPr>
            </w:pPr>
            <w:r w:rsidRPr="00DB3697">
              <w:rPr>
                <w:rFonts w:ascii="Arial" w:hAnsi="Arial" w:cs="Arial"/>
                <w:szCs w:val="20"/>
              </w:rPr>
              <w:t>Pacific Feminist Fund (PFF)</w:t>
            </w:r>
          </w:p>
          <w:p w14:paraId="2FBA23F0" w14:textId="0FD55E4D" w:rsidR="00F07CAA" w:rsidRPr="00DB3697" w:rsidRDefault="01B3EA1B" w:rsidP="00524529">
            <w:pPr>
              <w:spacing w:before="0" w:after="210"/>
              <w:rPr>
                <w:rFonts w:ascii="Arial" w:hAnsi="Arial" w:cs="Arial"/>
                <w:b/>
                <w:szCs w:val="20"/>
              </w:rPr>
            </w:pPr>
            <w:r w:rsidRPr="00DB3697">
              <w:rPr>
                <w:rFonts w:ascii="Arial" w:hAnsi="Arial" w:cs="Arial"/>
                <w:szCs w:val="20"/>
              </w:rPr>
              <w:t>(2023-2026)</w:t>
            </w:r>
          </w:p>
        </w:tc>
        <w:tc>
          <w:tcPr>
            <w:tcW w:w="581" w:type="pct"/>
          </w:tcPr>
          <w:p w14:paraId="130186AE" w14:textId="7CFF11DE" w:rsidR="00F07CAA" w:rsidRPr="00DB3697" w:rsidRDefault="72E573B7" w:rsidP="00524529">
            <w:pPr>
              <w:rPr>
                <w:rFonts w:ascii="Arial" w:hAnsi="Arial" w:cs="Arial"/>
                <w:szCs w:val="20"/>
              </w:rPr>
            </w:pPr>
            <w:r w:rsidRPr="00DB3697">
              <w:rPr>
                <w:rFonts w:ascii="Arial" w:hAnsi="Arial" w:cs="Arial"/>
                <w:szCs w:val="20"/>
              </w:rPr>
              <w:t>Pacific</w:t>
            </w:r>
          </w:p>
        </w:tc>
        <w:tc>
          <w:tcPr>
            <w:tcW w:w="1018" w:type="pct"/>
          </w:tcPr>
          <w:p w14:paraId="3C98888B" w14:textId="2FECFF1C" w:rsidR="00F07CAA" w:rsidRPr="00DB3697" w:rsidRDefault="00B5317D" w:rsidP="00524529">
            <w:pPr>
              <w:spacing w:before="0" w:after="210"/>
              <w:rPr>
                <w:rFonts w:ascii="Arial" w:hAnsi="Arial" w:cs="Arial"/>
                <w:szCs w:val="20"/>
              </w:rPr>
            </w:pPr>
            <w:r w:rsidRPr="00DB3697">
              <w:rPr>
                <w:rFonts w:ascii="Arial" w:hAnsi="Arial" w:cs="Arial"/>
                <w:szCs w:val="20"/>
              </w:rPr>
              <w:t>AUD</w:t>
            </w:r>
            <w:r w:rsidR="00F07CAA" w:rsidRPr="00DB3697">
              <w:rPr>
                <w:rFonts w:ascii="Arial" w:hAnsi="Arial" w:cs="Arial"/>
                <w:szCs w:val="20"/>
              </w:rPr>
              <w:t>1.2 million</w:t>
            </w:r>
          </w:p>
        </w:tc>
        <w:tc>
          <w:tcPr>
            <w:tcW w:w="2383" w:type="pct"/>
          </w:tcPr>
          <w:p w14:paraId="42BB1357" w14:textId="77777777" w:rsidR="00F07CAA" w:rsidRPr="00DB3697" w:rsidRDefault="00F07CAA" w:rsidP="00524529">
            <w:pPr>
              <w:spacing w:before="0" w:after="210"/>
              <w:rPr>
                <w:rFonts w:ascii="Arial" w:hAnsi="Arial" w:cs="Arial"/>
                <w:szCs w:val="20"/>
              </w:rPr>
            </w:pPr>
            <w:r w:rsidRPr="00DB3697">
              <w:rPr>
                <w:rFonts w:ascii="Arial" w:hAnsi="Arial" w:cs="Arial"/>
                <w:szCs w:val="20"/>
              </w:rPr>
              <w:t>The inaugural grants target small and smaller island states and territories through an invitation-based call to feminist and women’s organisations.</w:t>
            </w:r>
          </w:p>
        </w:tc>
      </w:tr>
    </w:tbl>
    <w:p w14:paraId="4E874285" w14:textId="535CF89F" w:rsidR="003E171B" w:rsidRPr="00590D06" w:rsidRDefault="003E171B" w:rsidP="001B6998">
      <w:pPr>
        <w:spacing w:before="240" w:after="120"/>
        <w:rPr>
          <w:rFonts w:asciiTheme="majorHAnsi" w:hAnsiTheme="majorHAnsi"/>
          <w:color w:val="984C00" w:themeColor="accent1" w:themeShade="BF"/>
        </w:rPr>
      </w:pPr>
      <w:r w:rsidRPr="00590D06">
        <w:rPr>
          <w:rFonts w:asciiTheme="majorHAnsi" w:hAnsiTheme="majorHAnsi"/>
          <w:color w:val="984C00" w:themeColor="accent1" w:themeShade="BF"/>
        </w:rPr>
        <w:t>PWLES</w:t>
      </w:r>
      <w:r w:rsidR="00024CCF" w:rsidRPr="00590D06">
        <w:rPr>
          <w:rFonts w:asciiTheme="majorHAnsi" w:hAnsiTheme="majorHAnsi"/>
          <w:color w:val="984C00" w:themeColor="accent1" w:themeShade="BF"/>
        </w:rPr>
        <w:t xml:space="preserve"> </w:t>
      </w:r>
    </w:p>
    <w:p w14:paraId="75653B55" w14:textId="6249A81E" w:rsidR="008F3106" w:rsidRDefault="002A5DAE" w:rsidP="008F3106">
      <w:pPr>
        <w:rPr>
          <w:noProof/>
        </w:rPr>
      </w:pPr>
      <w:r w:rsidRPr="00EE243C">
        <w:t>PWLES grants and wrap</w:t>
      </w:r>
      <w:r w:rsidR="00A02D42">
        <w:t>-</w:t>
      </w:r>
      <w:r w:rsidRPr="00EE243C">
        <w:t xml:space="preserve">around support has been effective and well received by partners. </w:t>
      </w:r>
      <w:r w:rsidR="003E171B" w:rsidRPr="61BDED99">
        <w:t xml:space="preserve">PWLES provides grants and </w:t>
      </w:r>
      <w:r w:rsidR="008F3106" w:rsidRPr="61BDED99">
        <w:t>wrap</w:t>
      </w:r>
      <w:r w:rsidR="00A02D42">
        <w:t>-</w:t>
      </w:r>
      <w:r w:rsidR="008F3106" w:rsidRPr="61BDED99">
        <w:t>around</w:t>
      </w:r>
      <w:r w:rsidR="003E171B" w:rsidRPr="61BDED99">
        <w:t xml:space="preserve"> support </w:t>
      </w:r>
      <w:r w:rsidR="00F40028" w:rsidRPr="61BDED99">
        <w:t xml:space="preserve">to the </w:t>
      </w:r>
      <w:r w:rsidR="003F517F">
        <w:t>BOP</w:t>
      </w:r>
      <w:r w:rsidR="00F40028" w:rsidRPr="61BDED99">
        <w:t xml:space="preserve"> program</w:t>
      </w:r>
      <w:r w:rsidR="00614433" w:rsidRPr="61BDED99">
        <w:t xml:space="preserve">, </w:t>
      </w:r>
      <w:r w:rsidR="00B16D82">
        <w:t>three</w:t>
      </w:r>
      <w:r w:rsidR="00B16D82" w:rsidRPr="61BDED99">
        <w:t xml:space="preserve"> </w:t>
      </w:r>
      <w:r w:rsidR="00445B4A" w:rsidRPr="61BDED99">
        <w:t>program</w:t>
      </w:r>
      <w:r w:rsidR="00B16D82">
        <w:t>s</w:t>
      </w:r>
      <w:r w:rsidR="00445B4A" w:rsidRPr="61BDED99">
        <w:t xml:space="preserve"> in Tuvalu, and (until November 2024) the We Rise Coalition. </w:t>
      </w:r>
      <w:r w:rsidR="008F3106" w:rsidRPr="2D8F7E15">
        <w:t xml:space="preserve">PWLES grant management and support to these partners has been highly effective. Partners from </w:t>
      </w:r>
      <w:r w:rsidR="004676A2">
        <w:t>BOP</w:t>
      </w:r>
      <w:r w:rsidR="00A268F0" w:rsidRPr="2D8F7E15">
        <w:t>, We Rise</w:t>
      </w:r>
      <w:r w:rsidR="00274199">
        <w:t xml:space="preserve"> Coalition</w:t>
      </w:r>
      <w:r w:rsidR="00A268F0" w:rsidRPr="2D8F7E15">
        <w:t xml:space="preserve">, and the </w:t>
      </w:r>
      <w:r w:rsidR="00C860FD" w:rsidRPr="2D8F7E15">
        <w:t>Long-Term</w:t>
      </w:r>
      <w:r w:rsidR="00A268F0" w:rsidRPr="2D8F7E15">
        <w:t xml:space="preserve"> Advisors</w:t>
      </w:r>
      <w:r w:rsidR="003F517F">
        <w:t xml:space="preserve"> (LTAs)</w:t>
      </w:r>
      <w:r w:rsidR="00A268F0" w:rsidRPr="2D8F7E15">
        <w:t xml:space="preserve"> </w:t>
      </w:r>
      <w:r w:rsidR="008F3106" w:rsidRPr="2D8F7E15">
        <w:t xml:space="preserve">were complementary about the grant management and timing, two-way communication, responsiveness and understanding. </w:t>
      </w:r>
      <w:r w:rsidRPr="2D8F7E15">
        <w:t xml:space="preserve">The </w:t>
      </w:r>
      <w:r w:rsidR="004676A2">
        <w:t>BOP</w:t>
      </w:r>
      <w:r w:rsidRPr="2D8F7E15">
        <w:t xml:space="preserve"> and PWLES teams share an office in Suva, which supports strong linkages and support where required.</w:t>
      </w:r>
      <w:r w:rsidR="00916C5A">
        <w:t xml:space="preserve"> The effectiveness of PWLES’ support was such that other </w:t>
      </w:r>
      <w:r w:rsidR="00AD5D13">
        <w:t>grantees</w:t>
      </w:r>
      <w:r w:rsidR="008D6B23">
        <w:t xml:space="preserve"> – particularly under DFAT regional programs </w:t>
      </w:r>
      <w:r w:rsidR="00D34014">
        <w:t>–</w:t>
      </w:r>
      <w:r w:rsidR="008D6B23">
        <w:t xml:space="preserve"> </w:t>
      </w:r>
      <w:r w:rsidR="00D34014">
        <w:t>have requested</w:t>
      </w:r>
      <w:r w:rsidR="00162830">
        <w:t xml:space="preserve"> PWLES’ support.</w:t>
      </w:r>
      <w:r w:rsidR="004D471D" w:rsidRPr="004D471D">
        <w:rPr>
          <w:noProof/>
        </w:rPr>
        <w:t xml:space="preserve"> </w:t>
      </w:r>
    </w:p>
    <w:p w14:paraId="1C515536" w14:textId="3AFDDF26" w:rsidR="009A5CC5" w:rsidRPr="00EE243C" w:rsidRDefault="009A5CC5" w:rsidP="008F3106">
      <w:r>
        <w:rPr>
          <w:noProof/>
        </w:rPr>
        <w:drawing>
          <wp:inline distT="0" distB="0" distL="0" distR="0" wp14:anchorId="38668DBF" wp14:editId="16DB9DD3">
            <wp:extent cx="6126480" cy="2066764"/>
            <wp:effectExtent l="0" t="0" r="7620" b="0"/>
            <wp:docPr id="99197381" name="Picture 7" descr="Quote: “‘Working with PWLES: we appreciate their support. There is two-way communication, and they help ensure our program meets the contractual side.” &#10;– We Rise Coalition, MTR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7381" name="Picture 7" descr="Quote: “‘Working with PWLES: we appreciate their support. There is two-way communication, and they help ensure our program meets the contractual side.” &#10;– We Rise Coalition, MTR consultation"/>
                    <pic:cNvPicPr/>
                  </pic:nvPicPr>
                  <pic:blipFill rotWithShape="1">
                    <a:blip r:embed="rId23" cstate="print">
                      <a:extLst>
                        <a:ext uri="{28A0092B-C50C-407E-A947-70E740481C1C}">
                          <a14:useLocalDpi xmlns:a14="http://schemas.microsoft.com/office/drawing/2010/main"/>
                        </a:ext>
                      </a:extLst>
                    </a:blip>
                    <a:srcRect/>
                    <a:stretch>
                      <a:fillRect/>
                    </a:stretch>
                  </pic:blipFill>
                  <pic:spPr bwMode="auto">
                    <a:xfrm>
                      <a:off x="0" y="0"/>
                      <a:ext cx="6144498" cy="2072842"/>
                    </a:xfrm>
                    <a:prstGeom prst="rect">
                      <a:avLst/>
                    </a:prstGeom>
                    <a:ln>
                      <a:noFill/>
                    </a:ln>
                    <a:extLst>
                      <a:ext uri="{53640926-AAD7-44D8-BBD7-CCE9431645EC}">
                        <a14:shadowObscured xmlns:a14="http://schemas.microsoft.com/office/drawing/2010/main"/>
                      </a:ext>
                    </a:extLst>
                  </pic:spPr>
                </pic:pic>
              </a:graphicData>
            </a:graphic>
          </wp:inline>
        </w:drawing>
      </w:r>
    </w:p>
    <w:p w14:paraId="42B9A4E6" w14:textId="797BCA8D" w:rsidR="00A86667" w:rsidRPr="00EE243C" w:rsidRDefault="008F1EF6" w:rsidP="00D27D95">
      <w:pPr>
        <w:rPr>
          <w:rFonts w:cstheme="minorHAnsi"/>
        </w:rPr>
      </w:pPr>
      <w:r w:rsidRPr="2808D941">
        <w:t>DT Global staff said that t</w:t>
      </w:r>
      <w:r w:rsidR="003E171B" w:rsidRPr="2808D941">
        <w:t>he design for PWLES, rather than SPC, to fund the</w:t>
      </w:r>
      <w:r w:rsidR="002A5DAE" w:rsidRPr="2808D941">
        <w:t xml:space="preserve"> </w:t>
      </w:r>
      <w:r w:rsidR="004676A2">
        <w:t>BOP</w:t>
      </w:r>
      <w:r w:rsidR="002A5DAE" w:rsidRPr="2808D941">
        <w:t xml:space="preserve"> </w:t>
      </w:r>
      <w:r w:rsidR="003E171B" w:rsidRPr="2808D941">
        <w:t xml:space="preserve">program worked well because the </w:t>
      </w:r>
      <w:r w:rsidR="002A5DAE" w:rsidRPr="2808D941">
        <w:t xml:space="preserve">program’s </w:t>
      </w:r>
      <w:r w:rsidR="003E171B" w:rsidRPr="2808D941">
        <w:t>political nature was more suited to a managing contractor rather than a regional organisation such as SPC</w:t>
      </w:r>
      <w:r w:rsidR="00D27D95">
        <w:t xml:space="preserve">: </w:t>
      </w:r>
      <w:r w:rsidR="003E171B" w:rsidRPr="00EE243C">
        <w:rPr>
          <w:rFonts w:cstheme="minorHAnsi"/>
        </w:rPr>
        <w:t>“</w:t>
      </w:r>
      <w:r w:rsidR="003E171B" w:rsidRPr="00D27D95">
        <w:rPr>
          <w:rFonts w:cstheme="minorHAnsi"/>
          <w:i/>
          <w:iCs/>
        </w:rPr>
        <w:t>When PWL started, BOP advocated for it to remain under ES. As the ES contractor mechanism allowed the program to continue to be political</w:t>
      </w:r>
      <w:r w:rsidR="00D27D95">
        <w:rPr>
          <w:rFonts w:cstheme="minorHAnsi"/>
          <w:i/>
          <w:iCs/>
        </w:rPr>
        <w:t xml:space="preserve">’’ - </w:t>
      </w:r>
      <w:r w:rsidR="003E171B" w:rsidRPr="00EE243C">
        <w:rPr>
          <w:rFonts w:cstheme="minorHAnsi"/>
        </w:rPr>
        <w:t>DT Global</w:t>
      </w:r>
      <w:r w:rsidR="00D27D95">
        <w:rPr>
          <w:rFonts w:cstheme="minorHAnsi"/>
        </w:rPr>
        <w:t xml:space="preserve"> MTR interviewee.</w:t>
      </w:r>
    </w:p>
    <w:p w14:paraId="2D9491F5" w14:textId="5C53DF00" w:rsidR="003E171B" w:rsidRPr="00590D06" w:rsidRDefault="00311C2E" w:rsidP="00590D06">
      <w:pPr>
        <w:spacing w:after="120"/>
        <w:rPr>
          <w:rFonts w:asciiTheme="majorHAnsi" w:hAnsiTheme="majorHAnsi"/>
          <w:color w:val="984C00" w:themeColor="accent1" w:themeShade="BF"/>
        </w:rPr>
      </w:pPr>
      <w:r w:rsidRPr="00590D06">
        <w:rPr>
          <w:rFonts w:asciiTheme="majorHAnsi" w:hAnsiTheme="majorHAnsi"/>
          <w:color w:val="984C00" w:themeColor="accent1" w:themeShade="BF"/>
        </w:rPr>
        <w:t>PWL Governance Board</w:t>
      </w:r>
      <w:r w:rsidR="00156F57" w:rsidRPr="00590D06">
        <w:rPr>
          <w:rFonts w:asciiTheme="majorHAnsi" w:hAnsiTheme="majorHAnsi"/>
          <w:color w:val="984C00" w:themeColor="accent1" w:themeShade="BF"/>
        </w:rPr>
        <w:t xml:space="preserve"> </w:t>
      </w:r>
    </w:p>
    <w:p w14:paraId="5FA32CBB" w14:textId="77777777" w:rsidR="006E5552" w:rsidRDefault="00717F37" w:rsidP="00717F37">
      <w:r w:rsidRPr="00717F37">
        <w:t xml:space="preserve">The PWL Governance Board's grant making processes have faced significant delays, preventing contribution to program outcomes during the </w:t>
      </w:r>
      <w:r>
        <w:t>MTR review</w:t>
      </w:r>
      <w:r w:rsidRPr="00717F37">
        <w:t xml:space="preserve"> period. With responsibility for distributing AUD 5 million in discretionary funding, the Board's Terms of Reference directed funds toward regional and multi-country initiatives or organi</w:t>
      </w:r>
      <w:r>
        <w:t>s</w:t>
      </w:r>
      <w:r w:rsidRPr="00717F37">
        <w:t>ational coalitions, with an emphasis on innovation</w:t>
      </w:r>
      <w:r>
        <w:t xml:space="preserve">. </w:t>
      </w:r>
    </w:p>
    <w:p w14:paraId="43BB72B1" w14:textId="760CAF04" w:rsidR="00717F37" w:rsidRPr="00717F37" w:rsidRDefault="00717F37" w:rsidP="00717F37">
      <w:pPr>
        <w:rPr>
          <w:lang w:val="en-US"/>
        </w:rPr>
      </w:pPr>
      <w:r>
        <w:lastRenderedPageBreak/>
        <w:t xml:space="preserve">The Secretariat and Board also co-produced a Guidance Note to assist in grant direction. </w:t>
      </w:r>
      <w:r w:rsidRPr="00717F37">
        <w:t xml:space="preserve">However, at the time of the </w:t>
      </w:r>
      <w:r>
        <w:t>MTR</w:t>
      </w:r>
      <w:r w:rsidRPr="00717F37">
        <w:t>, no grants had been announced, making it not possible to determine the extent to which Board funding complements other component grant making or fills existing gaps.</w:t>
      </w:r>
    </w:p>
    <w:p w14:paraId="610AC4B0" w14:textId="0475B0B8" w:rsidR="00717F37" w:rsidRDefault="00717F37" w:rsidP="00717F37">
      <w:r w:rsidRPr="00717F37">
        <w:t xml:space="preserve">Multiple factors </w:t>
      </w:r>
      <w:r>
        <w:t xml:space="preserve">were identified as </w:t>
      </w:r>
      <w:r w:rsidRPr="00717F37">
        <w:t>contribut</w:t>
      </w:r>
      <w:r>
        <w:t>ing</w:t>
      </w:r>
      <w:r w:rsidRPr="00717F37">
        <w:t xml:space="preserve"> to these delays, including</w:t>
      </w:r>
      <w:r>
        <w:t>:</w:t>
      </w:r>
    </w:p>
    <w:p w14:paraId="75286F54" w14:textId="40E010F1" w:rsidR="00717F37" w:rsidRPr="00EE243C" w:rsidRDefault="00717F37" w:rsidP="00717F37">
      <w:pPr>
        <w:pStyle w:val="ListBullet"/>
      </w:pPr>
      <w:r w:rsidRPr="00EE243C">
        <w:t xml:space="preserve">The Board was not equipped to deliver a grant making process. The Board appointed SPC to manage the grants as part of the secretariat role but did not align the grant making process to SPC’s Stream A or B grant processes. </w:t>
      </w:r>
    </w:p>
    <w:p w14:paraId="2B43E24D" w14:textId="75B1D31C" w:rsidR="00717F37" w:rsidRPr="00EE243C" w:rsidRDefault="00717F37" w:rsidP="00717F37">
      <w:pPr>
        <w:pStyle w:val="ListBullet"/>
      </w:pPr>
      <w:r w:rsidRPr="00EE243C">
        <w:t xml:space="preserve">The Board </w:t>
      </w:r>
      <w:r w:rsidR="00A02D42">
        <w:t>S</w:t>
      </w:r>
      <w:r w:rsidR="00A02D42" w:rsidRPr="00EE243C">
        <w:t xml:space="preserve">ecretariat </w:t>
      </w:r>
      <w:r w:rsidRPr="00EE243C">
        <w:t>did not provide enough information to support informed decision making.</w:t>
      </w:r>
    </w:p>
    <w:p w14:paraId="664D7651" w14:textId="214D4E8A" w:rsidR="00717F37" w:rsidRPr="00EE243C" w:rsidRDefault="00717F37" w:rsidP="00717F37">
      <w:pPr>
        <w:pStyle w:val="ListBullet"/>
      </w:pPr>
      <w:r w:rsidRPr="00EE243C">
        <w:t xml:space="preserve">Board meetings are infrequent, and the Board members made limited use of out-of-session meetings to speed up the grant making process. Some Board members felt that the infrequency of meetings hindered their ability to direct funds towards emerging issues, as the board meets twice per year, but other partners noted that out-of-session meetings were available to speed up the process. </w:t>
      </w:r>
    </w:p>
    <w:p w14:paraId="44C0F32B" w14:textId="4B7061E8" w:rsidR="00717F37" w:rsidRPr="00EE243C" w:rsidRDefault="00717F37" w:rsidP="00717F37">
      <w:pPr>
        <w:pStyle w:val="ListBullet"/>
      </w:pPr>
      <w:r w:rsidRPr="00EE243C">
        <w:t>The Board’s grant decisions</w:t>
      </w:r>
      <w:r w:rsidR="006570AB">
        <w:t xml:space="preserve"> </w:t>
      </w:r>
      <w:r w:rsidRPr="00EE243C">
        <w:t>triggered additional oversight to ensure transparency of the decision-making process, which contributed to the delays.</w:t>
      </w:r>
    </w:p>
    <w:p w14:paraId="5FC5FEBB" w14:textId="77777777" w:rsidR="00DD5F1A" w:rsidRDefault="00DD5F1A" w:rsidP="00256336">
      <w:r w:rsidRPr="00DD5F1A">
        <w:t xml:space="preserve">Furthermore, the review highlighted evidence of misaligned understanding regarding the funding's purpose. During the MTR, questions were raised about the appropriateness of Board members endorsing proposals linked to organisations with which they were affiliated. While these instances were managed within existing procedures, this wasn’t always publicly understood. Similarly, divergent views emerged regarding whether discretionary funding should be directed toward existing DFAT-supported programs, reflecting broader differences in opinion about how best to use these resources to drive innovation and progress gender equality across the region. </w:t>
      </w:r>
    </w:p>
    <w:p w14:paraId="6347D637" w14:textId="3DDD7A56" w:rsidR="00432745" w:rsidRDefault="00432745" w:rsidP="00256336">
      <w:r>
        <w:rPr>
          <w:noProof/>
        </w:rPr>
        <w:drawing>
          <wp:inline distT="0" distB="0" distL="0" distR="0" wp14:anchorId="74AAFFA5" wp14:editId="2F8ED633">
            <wp:extent cx="6065520" cy="2052945"/>
            <wp:effectExtent l="0" t="0" r="0" b="5080"/>
            <wp:docPr id="1510380278" name="Picture 8" descr="Quote: “Innovation means doing things differently and letting new voices come to the table. With the discretionary funds we must… look at what’s different.'' – MTR interview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80278" name="Picture 8" descr="Quote: “Innovation means doing things differently and letting new voices come to the table. With the discretionary funds we must… look at what’s different.'' – MTR interviewee"/>
                    <pic:cNvPicPr/>
                  </pic:nvPicPr>
                  <pic:blipFill rotWithShape="1">
                    <a:blip r:embed="rId24" cstate="print">
                      <a:extLst>
                        <a:ext uri="{28A0092B-C50C-407E-A947-70E740481C1C}">
                          <a14:useLocalDpi xmlns:a14="http://schemas.microsoft.com/office/drawing/2010/main" val="0"/>
                        </a:ext>
                      </a:extLst>
                    </a:blip>
                    <a:srcRect l="6152" t="18374" r="21862" b="38316"/>
                    <a:stretch>
                      <a:fillRect/>
                    </a:stretch>
                  </pic:blipFill>
                  <pic:spPr bwMode="auto">
                    <a:xfrm>
                      <a:off x="0" y="0"/>
                      <a:ext cx="6080158" cy="2057900"/>
                    </a:xfrm>
                    <a:prstGeom prst="rect">
                      <a:avLst/>
                    </a:prstGeom>
                    <a:ln>
                      <a:noFill/>
                    </a:ln>
                    <a:extLst>
                      <a:ext uri="{53640926-AAD7-44D8-BBD7-CCE9431645EC}">
                        <a14:shadowObscured xmlns:a14="http://schemas.microsoft.com/office/drawing/2010/main"/>
                      </a:ext>
                    </a:extLst>
                  </pic:spPr>
                </pic:pic>
              </a:graphicData>
            </a:graphic>
          </wp:inline>
        </w:drawing>
      </w:r>
    </w:p>
    <w:p w14:paraId="6C046B00" w14:textId="03AFFF7F" w:rsidR="003E171B" w:rsidRPr="00160210" w:rsidRDefault="003E171B" w:rsidP="00590D06">
      <w:pPr>
        <w:spacing w:after="120"/>
        <w:rPr>
          <w:rFonts w:asciiTheme="majorHAnsi" w:hAnsiTheme="majorHAnsi"/>
          <w:vanish/>
          <w:color w:val="984C00" w:themeColor="accent1" w:themeShade="BF"/>
          <w:sz w:val="22"/>
          <w:szCs w:val="24"/>
          <w:specVanish/>
        </w:rPr>
      </w:pPr>
      <w:r w:rsidRPr="00160210">
        <w:rPr>
          <w:rFonts w:asciiTheme="majorHAnsi" w:hAnsiTheme="majorHAnsi"/>
          <w:color w:val="984C00" w:themeColor="accent1" w:themeShade="BF"/>
          <w:sz w:val="22"/>
          <w:szCs w:val="24"/>
        </w:rPr>
        <w:t xml:space="preserve">DFAT </w:t>
      </w:r>
      <w:r w:rsidR="00832B49">
        <w:rPr>
          <w:rFonts w:asciiTheme="majorHAnsi" w:hAnsiTheme="majorHAnsi"/>
          <w:color w:val="984C00" w:themeColor="accent1" w:themeShade="BF"/>
          <w:sz w:val="22"/>
          <w:szCs w:val="24"/>
        </w:rPr>
        <w:t>bilateral</w:t>
      </w:r>
      <w:r w:rsidRPr="00160210">
        <w:rPr>
          <w:rFonts w:asciiTheme="majorHAnsi" w:hAnsiTheme="majorHAnsi"/>
          <w:color w:val="984C00" w:themeColor="accent1" w:themeShade="BF"/>
          <w:sz w:val="22"/>
          <w:szCs w:val="24"/>
        </w:rPr>
        <w:t xml:space="preserve"> program</w:t>
      </w:r>
      <w:r w:rsidR="00156F57" w:rsidRPr="00160210">
        <w:rPr>
          <w:rFonts w:asciiTheme="majorHAnsi" w:hAnsiTheme="majorHAnsi"/>
          <w:color w:val="984C00" w:themeColor="accent1" w:themeShade="BF"/>
          <w:sz w:val="22"/>
          <w:szCs w:val="24"/>
        </w:rPr>
        <w:t xml:space="preserve"> </w:t>
      </w:r>
    </w:p>
    <w:p w14:paraId="1D991946" w14:textId="77777777" w:rsidR="00160210" w:rsidRDefault="00254D40" w:rsidP="00DF5AB3">
      <w:r>
        <w:t xml:space="preserve"> </w:t>
      </w:r>
    </w:p>
    <w:p w14:paraId="6332AD35" w14:textId="354C10A3" w:rsidR="00370557" w:rsidRPr="00EE243C" w:rsidRDefault="0006117C" w:rsidP="00DF5AB3">
      <w:r w:rsidRPr="00EE243C">
        <w:t>Th</w:t>
      </w:r>
      <w:r w:rsidRPr="0079784A">
        <w:rPr>
          <w:color w:val="auto"/>
        </w:rPr>
        <w:t xml:space="preserve">e DFAT bilateral gender-targeted </w:t>
      </w:r>
      <w:r w:rsidR="00212269" w:rsidRPr="0079784A">
        <w:rPr>
          <w:color w:val="auto"/>
        </w:rPr>
        <w:t xml:space="preserve">grants </w:t>
      </w:r>
      <w:r w:rsidR="00FE3CD5" w:rsidRPr="0079784A">
        <w:rPr>
          <w:color w:val="auto"/>
        </w:rPr>
        <w:t>contribute significantly to PWL</w:t>
      </w:r>
      <w:r w:rsidR="007F7904" w:rsidRPr="0079784A">
        <w:rPr>
          <w:color w:val="auto"/>
        </w:rPr>
        <w:t xml:space="preserve"> outcomes</w:t>
      </w:r>
      <w:r w:rsidR="00FE3CD5" w:rsidRPr="0079784A">
        <w:rPr>
          <w:color w:val="auto"/>
        </w:rPr>
        <w:t xml:space="preserve">, </w:t>
      </w:r>
      <w:r w:rsidR="00212269" w:rsidRPr="0079784A">
        <w:rPr>
          <w:color w:val="auto"/>
        </w:rPr>
        <w:t xml:space="preserve">with more than </w:t>
      </w:r>
      <w:r w:rsidR="00294DF7" w:rsidRPr="0079784A">
        <w:rPr>
          <w:color w:val="auto"/>
        </w:rPr>
        <w:t>AUD</w:t>
      </w:r>
      <w:r w:rsidR="00212269" w:rsidRPr="0079784A">
        <w:rPr>
          <w:color w:val="auto"/>
        </w:rPr>
        <w:t xml:space="preserve">68 </w:t>
      </w:r>
      <w:r w:rsidR="00212269" w:rsidRPr="00C255D5">
        <w:rPr>
          <w:color w:val="auto"/>
        </w:rPr>
        <w:t xml:space="preserve">million </w:t>
      </w:r>
      <w:r w:rsidR="00440BC9" w:rsidRPr="00C255D5">
        <w:rPr>
          <w:color w:val="auto"/>
        </w:rPr>
        <w:t>(</w:t>
      </w:r>
      <w:r w:rsidR="00E46A03">
        <w:rPr>
          <w:color w:val="auto"/>
        </w:rPr>
        <w:fldChar w:fldCharType="begin"/>
      </w:r>
      <w:r w:rsidR="00E46A03">
        <w:rPr>
          <w:color w:val="auto"/>
        </w:rPr>
        <w:instrText xml:space="preserve"> REF _Ref210309526 \h </w:instrText>
      </w:r>
      <w:r w:rsidR="00E46A03">
        <w:rPr>
          <w:color w:val="auto"/>
        </w:rPr>
      </w:r>
      <w:r w:rsidR="00E46A03">
        <w:rPr>
          <w:color w:val="auto"/>
        </w:rPr>
        <w:fldChar w:fldCharType="separate"/>
      </w:r>
      <w:r w:rsidR="00E46A03">
        <w:t xml:space="preserve">Table </w:t>
      </w:r>
      <w:r w:rsidR="00E46A03">
        <w:rPr>
          <w:noProof/>
        </w:rPr>
        <w:t>3</w:t>
      </w:r>
      <w:r w:rsidR="00E46A03">
        <w:rPr>
          <w:color w:val="auto"/>
        </w:rPr>
        <w:fldChar w:fldCharType="end"/>
      </w:r>
      <w:r w:rsidR="00E46A03">
        <w:rPr>
          <w:color w:val="auto"/>
        </w:rPr>
        <w:t>)</w:t>
      </w:r>
      <w:r w:rsidR="007133DC">
        <w:rPr>
          <w:color w:val="auto"/>
        </w:rPr>
        <w:t xml:space="preserve"> </w:t>
      </w:r>
      <w:r w:rsidR="00212269" w:rsidRPr="00C255D5">
        <w:rPr>
          <w:color w:val="auto"/>
        </w:rPr>
        <w:t xml:space="preserve">allocated </w:t>
      </w:r>
      <w:r w:rsidR="00212269" w:rsidRPr="0079784A">
        <w:rPr>
          <w:color w:val="auto"/>
        </w:rPr>
        <w:t>so far. Bilateral grants are focused on eight countries with the most funding for PNG Women Lead</w:t>
      </w:r>
      <w:r w:rsidR="00212269" w:rsidRPr="00EE243C">
        <w:t xml:space="preserve">. Bilateral programs align well with the outcomes </w:t>
      </w:r>
      <w:r w:rsidR="00494167">
        <w:t>W</w:t>
      </w:r>
      <w:r w:rsidR="00212269" w:rsidRPr="00EE243C">
        <w:t xml:space="preserve">omen’s </w:t>
      </w:r>
      <w:r w:rsidR="00494167">
        <w:t>R</w:t>
      </w:r>
      <w:r w:rsidR="00212269" w:rsidRPr="00EE243C">
        <w:t xml:space="preserve">ights </w:t>
      </w:r>
      <w:r w:rsidR="00494167">
        <w:t>R</w:t>
      </w:r>
      <w:r w:rsidR="00212269" w:rsidRPr="00EE243C">
        <w:t xml:space="preserve">ealised and </w:t>
      </w:r>
      <w:r w:rsidR="00494167">
        <w:t>W</w:t>
      </w:r>
      <w:r w:rsidR="00212269" w:rsidRPr="00EE243C">
        <w:t xml:space="preserve">omen’s </w:t>
      </w:r>
      <w:r w:rsidR="00494167">
        <w:t>L</w:t>
      </w:r>
      <w:r w:rsidR="00212269" w:rsidRPr="00EE243C">
        <w:t xml:space="preserve">eadership </w:t>
      </w:r>
      <w:r w:rsidR="00494167">
        <w:t>P</w:t>
      </w:r>
      <w:r w:rsidR="00212269" w:rsidRPr="00EE243C">
        <w:t>romoted</w:t>
      </w:r>
      <w:r w:rsidR="00AD15D8" w:rsidRPr="00EE243C">
        <w:t xml:space="preserve">, and several large programs have demonstrated significant reach. </w:t>
      </w:r>
      <w:r w:rsidR="009A6459" w:rsidRPr="00EE243C">
        <w:t xml:space="preserve">This review did not assess the effectiveness of all </w:t>
      </w:r>
      <w:r w:rsidR="008B6E02" w:rsidRPr="00EE243C">
        <w:t xml:space="preserve">bilateral grants. </w:t>
      </w:r>
    </w:p>
    <w:p w14:paraId="5D55B9FB" w14:textId="186EBF92" w:rsidR="001B6551" w:rsidRDefault="003E171B" w:rsidP="003E171B">
      <w:pPr>
        <w:rPr>
          <w:rFonts w:cstheme="minorHAnsi"/>
        </w:rPr>
      </w:pPr>
      <w:r w:rsidRPr="00EE243C">
        <w:rPr>
          <w:rFonts w:cstheme="minorHAnsi"/>
        </w:rPr>
        <w:t xml:space="preserve">DFAT bilateral programs refer to </w:t>
      </w:r>
      <w:r w:rsidR="00B123B3" w:rsidRPr="00EE243C">
        <w:rPr>
          <w:rFonts w:cstheme="minorHAnsi"/>
        </w:rPr>
        <w:t>gender</w:t>
      </w:r>
      <w:r w:rsidR="006C66BF" w:rsidRPr="00EE243C">
        <w:rPr>
          <w:rFonts w:cstheme="minorHAnsi"/>
        </w:rPr>
        <w:t xml:space="preserve"> </w:t>
      </w:r>
      <w:r w:rsidRPr="00EE243C">
        <w:rPr>
          <w:rFonts w:cstheme="minorHAnsi"/>
        </w:rPr>
        <w:t xml:space="preserve">targeted programs (not </w:t>
      </w:r>
      <w:r w:rsidR="009D519D" w:rsidRPr="00EE243C">
        <w:rPr>
          <w:rFonts w:cstheme="minorHAnsi"/>
        </w:rPr>
        <w:t xml:space="preserve">bilateral programs where gender </w:t>
      </w:r>
      <w:r w:rsidR="006C66BF" w:rsidRPr="00EE243C">
        <w:rPr>
          <w:rFonts w:cstheme="minorHAnsi"/>
        </w:rPr>
        <w:t xml:space="preserve">inclusion </w:t>
      </w:r>
      <w:r w:rsidR="009D519D" w:rsidRPr="00EE243C">
        <w:rPr>
          <w:rFonts w:cstheme="minorHAnsi"/>
        </w:rPr>
        <w:t xml:space="preserve">is </w:t>
      </w:r>
      <w:r w:rsidRPr="00EE243C">
        <w:rPr>
          <w:rFonts w:cstheme="minorHAnsi"/>
        </w:rPr>
        <w:t>mainstream</w:t>
      </w:r>
      <w:r w:rsidR="009D519D" w:rsidRPr="00EE243C">
        <w:rPr>
          <w:rFonts w:cstheme="minorHAnsi"/>
        </w:rPr>
        <w:t>ed</w:t>
      </w:r>
      <w:r w:rsidRPr="00EE243C">
        <w:rPr>
          <w:rFonts w:cstheme="minorHAnsi"/>
        </w:rPr>
        <w:t xml:space="preserve">) </w:t>
      </w:r>
      <w:r w:rsidR="001B6551" w:rsidRPr="00EE243C">
        <w:rPr>
          <w:rFonts w:cstheme="minorHAnsi"/>
        </w:rPr>
        <w:t xml:space="preserve">funded and </w:t>
      </w:r>
      <w:r w:rsidRPr="00EE243C">
        <w:rPr>
          <w:rFonts w:cstheme="minorHAnsi"/>
        </w:rPr>
        <w:t>managed by DFAT Posts</w:t>
      </w:r>
      <w:r w:rsidR="001B6551" w:rsidRPr="00EE243C">
        <w:rPr>
          <w:rFonts w:cstheme="minorHAnsi"/>
        </w:rPr>
        <w:t xml:space="preserve">. </w:t>
      </w:r>
      <w:r w:rsidR="00637CD7" w:rsidRPr="00EE243C">
        <w:rPr>
          <w:rFonts w:cstheme="minorHAnsi"/>
        </w:rPr>
        <w:t xml:space="preserve">DFAT bilateral gender-targeted programs are considered within PWL, although the </w:t>
      </w:r>
      <w:r w:rsidR="00697B03" w:rsidRPr="00EE243C">
        <w:rPr>
          <w:rFonts w:cstheme="minorHAnsi"/>
        </w:rPr>
        <w:t>grants are not counted under the PWL funding amount (</w:t>
      </w:r>
      <w:r w:rsidR="00294DF7">
        <w:rPr>
          <w:rFonts w:cstheme="minorHAnsi"/>
        </w:rPr>
        <w:t>AUD</w:t>
      </w:r>
      <w:r w:rsidR="00697B03" w:rsidRPr="00EE243C">
        <w:rPr>
          <w:rFonts w:cstheme="minorHAnsi"/>
        </w:rPr>
        <w:t xml:space="preserve">170 million). </w:t>
      </w:r>
      <w:r w:rsidR="004201BA">
        <w:rPr>
          <w:rFonts w:cstheme="minorHAnsi"/>
        </w:rPr>
        <w:t>Data and</w:t>
      </w:r>
      <w:r w:rsidR="00531312">
        <w:rPr>
          <w:rFonts w:cstheme="minorHAnsi"/>
        </w:rPr>
        <w:t xml:space="preserve"> reporting from DFAT’s bilateral programs contribute to PWL’s MEL system and PWL’s annual progress reporting. </w:t>
      </w:r>
      <w:r w:rsidR="005A76FC" w:rsidRPr="00EE243C">
        <w:rPr>
          <w:rFonts w:cstheme="minorHAnsi"/>
        </w:rPr>
        <w:t>PWLES provides support to Posts upon request</w:t>
      </w:r>
      <w:r w:rsidR="00370557" w:rsidRPr="00162830">
        <w:rPr>
          <w:rFonts w:cstheme="minorHAnsi"/>
        </w:rPr>
        <w:t>.</w:t>
      </w:r>
    </w:p>
    <w:p w14:paraId="6C890EAB" w14:textId="77777777" w:rsidR="006E5552" w:rsidRDefault="00C07288" w:rsidP="00C07288">
      <w:pPr>
        <w:spacing w:before="240"/>
      </w:pPr>
      <w:r w:rsidRPr="00C07288">
        <w:t xml:space="preserve">Bilateral programs demonstrate strong alignment with PWL outcomes focused on Women's Rights Realised and Women's Leadership Promoted, with 70% of grants targeting women's safety, 11% supporting women's economic empowerment, and 13% funding leadership initiatives. </w:t>
      </w:r>
    </w:p>
    <w:p w14:paraId="7CA376B0" w14:textId="11F7DA94" w:rsidR="00590D06" w:rsidRDefault="00C07288" w:rsidP="00C07288">
      <w:pPr>
        <w:spacing w:before="240"/>
      </w:pPr>
      <w:r w:rsidRPr="00C07288">
        <w:lastRenderedPageBreak/>
        <w:t xml:space="preserve">While bilateral programs have reached over 135,000 people (with PNG Women Lead accounting for more than half </w:t>
      </w:r>
      <w:r w:rsidR="00967D86">
        <w:t xml:space="preserve">of </w:t>
      </w:r>
      <w:r w:rsidRPr="00C07288">
        <w:t xml:space="preserve">these outputs), most outcomes to date have come from novated programs that existed before PWL. Facility interviewees noted that these continued programs have progressed noticeably and delivered many activities. Although many Posts have developed Gender Country Plans to ensure coordination and inform future funding decisions, QTAG members, Advisors, and Facilities indicated it's too early to attribute outcomes to these plans. </w:t>
      </w:r>
    </w:p>
    <w:p w14:paraId="10F7440B" w14:textId="5EFF210A" w:rsidR="00C07288" w:rsidRDefault="00C07288" w:rsidP="00C07288">
      <w:pPr>
        <w:spacing w:before="240"/>
      </w:pPr>
      <w:bookmarkStart w:id="50" w:name="_Hlk200636357"/>
      <w:r w:rsidRPr="00C07288">
        <w:t>Interviews with staff from three Posts suggested that many would have developed women's safety service programs regardless of PWL guidance, raising questions about the extent of PWL's influence on Post programming decisions.</w:t>
      </w:r>
    </w:p>
    <w:p w14:paraId="3DFB7E78" w14:textId="22D3088B" w:rsidR="00832B49" w:rsidRDefault="00832B49" w:rsidP="00832B49">
      <w:pPr>
        <w:pStyle w:val="Caption"/>
        <w:keepNext/>
      </w:pPr>
      <w:bookmarkStart w:id="51" w:name="_Ref210309526"/>
      <w:bookmarkStart w:id="52" w:name="_Toc210309450"/>
      <w:r>
        <w:t xml:space="preserve">Table </w:t>
      </w:r>
      <w:r>
        <w:fldChar w:fldCharType="begin"/>
      </w:r>
      <w:r>
        <w:instrText xml:space="preserve"> SEQ Table \* ARABIC </w:instrText>
      </w:r>
      <w:r>
        <w:fldChar w:fldCharType="separate"/>
      </w:r>
      <w:r>
        <w:rPr>
          <w:noProof/>
        </w:rPr>
        <w:t>3</w:t>
      </w:r>
      <w:r>
        <w:rPr>
          <w:noProof/>
        </w:rPr>
        <w:fldChar w:fldCharType="end"/>
      </w:r>
      <w:bookmarkEnd w:id="51"/>
      <w:r>
        <w:t xml:space="preserve">. </w:t>
      </w:r>
      <w:r w:rsidRPr="00553475">
        <w:t>Overview of DFAT bilateral grants for gender-targeted programs (Source: PWLES database)</w:t>
      </w:r>
      <w:bookmarkEnd w:id="52"/>
    </w:p>
    <w:tbl>
      <w:tblPr>
        <w:tblStyle w:val="TableGridwithOptions"/>
        <w:tblW w:w="9639" w:type="dxa"/>
        <w:tblLayout w:type="fixed"/>
        <w:tblLook w:val="0620" w:firstRow="1" w:lastRow="0" w:firstColumn="0" w:lastColumn="0" w:noHBand="1" w:noVBand="1"/>
      </w:tblPr>
      <w:tblGrid>
        <w:gridCol w:w="3213"/>
        <w:gridCol w:w="3213"/>
        <w:gridCol w:w="3213"/>
      </w:tblGrid>
      <w:tr w:rsidR="00D11BEE" w:rsidRPr="00C07288" w14:paraId="06ACC668" w14:textId="77777777" w:rsidTr="00F00BFE">
        <w:trPr>
          <w:cnfStyle w:val="100000000000" w:firstRow="1" w:lastRow="0" w:firstColumn="0" w:lastColumn="0" w:oddVBand="0" w:evenVBand="0" w:oddHBand="0" w:evenHBand="0" w:firstRowFirstColumn="0" w:firstRowLastColumn="0" w:lastRowFirstColumn="0" w:lastRowLastColumn="0"/>
          <w:trHeight w:val="310"/>
          <w:tblHeader/>
        </w:trPr>
        <w:tc>
          <w:tcPr>
            <w:tcW w:w="3213" w:type="dxa"/>
            <w:noWrap/>
            <w:hideMark/>
          </w:tcPr>
          <w:p w14:paraId="2DE97FB4" w14:textId="77777777" w:rsidR="00D11BEE" w:rsidRPr="00DB3697" w:rsidRDefault="00D11BEE" w:rsidP="00DE1341">
            <w:pPr>
              <w:rPr>
                <w:sz w:val="20"/>
                <w:szCs w:val="20"/>
              </w:rPr>
            </w:pPr>
            <w:r w:rsidRPr="00DB3697">
              <w:rPr>
                <w:sz w:val="20"/>
                <w:szCs w:val="20"/>
              </w:rPr>
              <w:t>Country</w:t>
            </w:r>
          </w:p>
        </w:tc>
        <w:tc>
          <w:tcPr>
            <w:tcW w:w="3213" w:type="dxa"/>
            <w:noWrap/>
            <w:hideMark/>
          </w:tcPr>
          <w:p w14:paraId="71D4D94E" w14:textId="77777777" w:rsidR="00D11BEE" w:rsidRPr="00DB3697" w:rsidRDefault="00D11BEE" w:rsidP="00DE1341">
            <w:pPr>
              <w:rPr>
                <w:sz w:val="20"/>
                <w:szCs w:val="20"/>
              </w:rPr>
            </w:pPr>
            <w:r w:rsidRPr="00DB3697">
              <w:rPr>
                <w:sz w:val="20"/>
                <w:szCs w:val="20"/>
              </w:rPr>
              <w:t>Projects</w:t>
            </w:r>
          </w:p>
        </w:tc>
        <w:tc>
          <w:tcPr>
            <w:tcW w:w="3213" w:type="dxa"/>
            <w:noWrap/>
            <w:hideMark/>
          </w:tcPr>
          <w:p w14:paraId="0DA17907" w14:textId="77777777" w:rsidR="00D11BEE" w:rsidRPr="00DB3697" w:rsidRDefault="00D11BEE" w:rsidP="00DE1341">
            <w:pPr>
              <w:rPr>
                <w:sz w:val="20"/>
                <w:szCs w:val="20"/>
              </w:rPr>
            </w:pPr>
            <w:r w:rsidRPr="00DB3697">
              <w:rPr>
                <w:sz w:val="20"/>
                <w:szCs w:val="20"/>
              </w:rPr>
              <w:t>Grants (all AUD)</w:t>
            </w:r>
          </w:p>
        </w:tc>
      </w:tr>
      <w:tr w:rsidR="00D11BEE" w:rsidRPr="00C07288" w14:paraId="2D0C4863" w14:textId="77777777" w:rsidTr="00832B49">
        <w:trPr>
          <w:trHeight w:val="310"/>
        </w:trPr>
        <w:tc>
          <w:tcPr>
            <w:tcW w:w="3213" w:type="dxa"/>
            <w:noWrap/>
            <w:hideMark/>
          </w:tcPr>
          <w:p w14:paraId="2D44347C" w14:textId="77777777" w:rsidR="00D11BEE" w:rsidRPr="00DB3697" w:rsidRDefault="00D11BEE" w:rsidP="00DE1341">
            <w:pPr>
              <w:rPr>
                <w:szCs w:val="20"/>
              </w:rPr>
            </w:pPr>
            <w:r w:rsidRPr="00DB3697">
              <w:rPr>
                <w:szCs w:val="20"/>
              </w:rPr>
              <w:t>Papua New Guinea</w:t>
            </w:r>
          </w:p>
        </w:tc>
        <w:tc>
          <w:tcPr>
            <w:tcW w:w="3213" w:type="dxa"/>
            <w:noWrap/>
            <w:hideMark/>
          </w:tcPr>
          <w:p w14:paraId="2C9E556F" w14:textId="77777777" w:rsidR="00D11BEE" w:rsidRPr="00DB3697" w:rsidRDefault="00D11BEE" w:rsidP="00DE1341">
            <w:pPr>
              <w:rPr>
                <w:szCs w:val="20"/>
              </w:rPr>
            </w:pPr>
            <w:r w:rsidRPr="00DB3697">
              <w:rPr>
                <w:szCs w:val="20"/>
              </w:rPr>
              <w:t>17</w:t>
            </w:r>
          </w:p>
        </w:tc>
        <w:tc>
          <w:tcPr>
            <w:tcW w:w="3213" w:type="dxa"/>
            <w:noWrap/>
            <w:hideMark/>
          </w:tcPr>
          <w:p w14:paraId="51405BBD" w14:textId="77777777" w:rsidR="00D11BEE" w:rsidRPr="00DB3697" w:rsidRDefault="00D11BEE" w:rsidP="00DE1341">
            <w:pPr>
              <w:rPr>
                <w:szCs w:val="20"/>
              </w:rPr>
            </w:pPr>
            <w:r w:rsidRPr="00DB3697">
              <w:rPr>
                <w:szCs w:val="20"/>
              </w:rPr>
              <w:t>$28.3 million</w:t>
            </w:r>
          </w:p>
        </w:tc>
      </w:tr>
      <w:tr w:rsidR="00D11BEE" w:rsidRPr="00C07288" w14:paraId="775215A9" w14:textId="77777777" w:rsidTr="00832B49">
        <w:trPr>
          <w:trHeight w:val="310"/>
        </w:trPr>
        <w:tc>
          <w:tcPr>
            <w:tcW w:w="3213" w:type="dxa"/>
            <w:noWrap/>
            <w:hideMark/>
          </w:tcPr>
          <w:p w14:paraId="4B41D8ED" w14:textId="77777777" w:rsidR="00D11BEE" w:rsidRPr="00DB3697" w:rsidRDefault="00D11BEE" w:rsidP="00DE1341">
            <w:pPr>
              <w:rPr>
                <w:szCs w:val="20"/>
              </w:rPr>
            </w:pPr>
            <w:r w:rsidRPr="00DB3697">
              <w:rPr>
                <w:szCs w:val="20"/>
              </w:rPr>
              <w:t>Tonga</w:t>
            </w:r>
          </w:p>
        </w:tc>
        <w:tc>
          <w:tcPr>
            <w:tcW w:w="3213" w:type="dxa"/>
            <w:noWrap/>
            <w:hideMark/>
          </w:tcPr>
          <w:p w14:paraId="382BE992" w14:textId="77777777" w:rsidR="00D11BEE" w:rsidRPr="00DB3697" w:rsidRDefault="00D11BEE" w:rsidP="00DE1341">
            <w:pPr>
              <w:rPr>
                <w:szCs w:val="20"/>
              </w:rPr>
            </w:pPr>
            <w:r w:rsidRPr="00DB3697">
              <w:rPr>
                <w:szCs w:val="20"/>
              </w:rPr>
              <w:t>9</w:t>
            </w:r>
          </w:p>
        </w:tc>
        <w:tc>
          <w:tcPr>
            <w:tcW w:w="3213" w:type="dxa"/>
            <w:noWrap/>
            <w:hideMark/>
          </w:tcPr>
          <w:p w14:paraId="07AC47FB" w14:textId="77777777" w:rsidR="00D11BEE" w:rsidRPr="00DB3697" w:rsidRDefault="00D11BEE" w:rsidP="00DE1341">
            <w:pPr>
              <w:rPr>
                <w:szCs w:val="20"/>
              </w:rPr>
            </w:pPr>
            <w:r w:rsidRPr="00DB3697">
              <w:rPr>
                <w:szCs w:val="20"/>
              </w:rPr>
              <w:t>$9.1 million</w:t>
            </w:r>
          </w:p>
        </w:tc>
      </w:tr>
      <w:tr w:rsidR="00D11BEE" w:rsidRPr="00C07288" w14:paraId="7F6768EE" w14:textId="77777777" w:rsidTr="00832B49">
        <w:trPr>
          <w:trHeight w:val="310"/>
        </w:trPr>
        <w:tc>
          <w:tcPr>
            <w:tcW w:w="3213" w:type="dxa"/>
            <w:noWrap/>
            <w:hideMark/>
          </w:tcPr>
          <w:p w14:paraId="2315FE6A" w14:textId="77777777" w:rsidR="00D11BEE" w:rsidRPr="00DB3697" w:rsidRDefault="00D11BEE" w:rsidP="00DE1341">
            <w:pPr>
              <w:rPr>
                <w:szCs w:val="20"/>
              </w:rPr>
            </w:pPr>
            <w:r w:rsidRPr="00DB3697">
              <w:rPr>
                <w:szCs w:val="20"/>
              </w:rPr>
              <w:t>Vanuatu</w:t>
            </w:r>
          </w:p>
        </w:tc>
        <w:tc>
          <w:tcPr>
            <w:tcW w:w="3213" w:type="dxa"/>
            <w:noWrap/>
            <w:hideMark/>
          </w:tcPr>
          <w:p w14:paraId="1DCDF277" w14:textId="77777777" w:rsidR="00D11BEE" w:rsidRPr="00DB3697" w:rsidRDefault="00D11BEE" w:rsidP="00DE1341">
            <w:pPr>
              <w:rPr>
                <w:szCs w:val="20"/>
              </w:rPr>
            </w:pPr>
            <w:r w:rsidRPr="00DB3697">
              <w:rPr>
                <w:szCs w:val="20"/>
              </w:rPr>
              <w:t>2</w:t>
            </w:r>
          </w:p>
        </w:tc>
        <w:tc>
          <w:tcPr>
            <w:tcW w:w="3213" w:type="dxa"/>
            <w:noWrap/>
            <w:hideMark/>
          </w:tcPr>
          <w:p w14:paraId="00DB7D6D" w14:textId="77777777" w:rsidR="00D11BEE" w:rsidRPr="00DB3697" w:rsidRDefault="00D11BEE" w:rsidP="00DE1341">
            <w:pPr>
              <w:rPr>
                <w:szCs w:val="20"/>
              </w:rPr>
            </w:pPr>
            <w:r w:rsidRPr="00DB3697">
              <w:rPr>
                <w:szCs w:val="20"/>
              </w:rPr>
              <w:t>$9.1 million</w:t>
            </w:r>
          </w:p>
        </w:tc>
      </w:tr>
      <w:tr w:rsidR="00D11BEE" w:rsidRPr="00C07288" w14:paraId="0443255C" w14:textId="77777777" w:rsidTr="00832B49">
        <w:trPr>
          <w:trHeight w:val="310"/>
        </w:trPr>
        <w:tc>
          <w:tcPr>
            <w:tcW w:w="3213" w:type="dxa"/>
            <w:noWrap/>
            <w:hideMark/>
          </w:tcPr>
          <w:p w14:paraId="3D31645B" w14:textId="77777777" w:rsidR="00D11BEE" w:rsidRPr="00DB3697" w:rsidRDefault="00D11BEE" w:rsidP="00DE1341">
            <w:pPr>
              <w:rPr>
                <w:szCs w:val="20"/>
              </w:rPr>
            </w:pPr>
            <w:r w:rsidRPr="00DB3697">
              <w:rPr>
                <w:szCs w:val="20"/>
              </w:rPr>
              <w:t>Solomon Islands</w:t>
            </w:r>
          </w:p>
        </w:tc>
        <w:tc>
          <w:tcPr>
            <w:tcW w:w="3213" w:type="dxa"/>
            <w:noWrap/>
            <w:hideMark/>
          </w:tcPr>
          <w:p w14:paraId="2AE3B9AC" w14:textId="77777777" w:rsidR="00D11BEE" w:rsidRPr="00DB3697" w:rsidRDefault="00D11BEE" w:rsidP="00DE1341">
            <w:pPr>
              <w:rPr>
                <w:szCs w:val="20"/>
              </w:rPr>
            </w:pPr>
            <w:r w:rsidRPr="00DB3697">
              <w:rPr>
                <w:szCs w:val="20"/>
              </w:rPr>
              <w:t>8</w:t>
            </w:r>
          </w:p>
        </w:tc>
        <w:tc>
          <w:tcPr>
            <w:tcW w:w="3213" w:type="dxa"/>
            <w:noWrap/>
            <w:hideMark/>
          </w:tcPr>
          <w:p w14:paraId="7D56C150" w14:textId="77777777" w:rsidR="00D11BEE" w:rsidRPr="00DB3697" w:rsidRDefault="00D11BEE" w:rsidP="00DE1341">
            <w:pPr>
              <w:rPr>
                <w:szCs w:val="20"/>
              </w:rPr>
            </w:pPr>
            <w:r w:rsidRPr="00DB3697">
              <w:rPr>
                <w:szCs w:val="20"/>
              </w:rPr>
              <w:t>$8.5 million</w:t>
            </w:r>
          </w:p>
        </w:tc>
      </w:tr>
      <w:tr w:rsidR="00D11BEE" w:rsidRPr="00C07288" w14:paraId="3D76EF07" w14:textId="77777777" w:rsidTr="00832B49">
        <w:trPr>
          <w:trHeight w:val="310"/>
        </w:trPr>
        <w:tc>
          <w:tcPr>
            <w:tcW w:w="3213" w:type="dxa"/>
            <w:noWrap/>
            <w:hideMark/>
          </w:tcPr>
          <w:p w14:paraId="1EFCE150" w14:textId="77777777" w:rsidR="00D11BEE" w:rsidRPr="00DB3697" w:rsidRDefault="00D11BEE" w:rsidP="00DE1341">
            <w:pPr>
              <w:rPr>
                <w:szCs w:val="20"/>
              </w:rPr>
            </w:pPr>
            <w:r w:rsidRPr="00DB3697">
              <w:rPr>
                <w:szCs w:val="20"/>
              </w:rPr>
              <w:t>Fiji</w:t>
            </w:r>
          </w:p>
        </w:tc>
        <w:tc>
          <w:tcPr>
            <w:tcW w:w="3213" w:type="dxa"/>
            <w:noWrap/>
            <w:hideMark/>
          </w:tcPr>
          <w:p w14:paraId="665C77F4" w14:textId="77777777" w:rsidR="00D11BEE" w:rsidRPr="00DB3697" w:rsidRDefault="00D11BEE" w:rsidP="00DE1341">
            <w:pPr>
              <w:rPr>
                <w:szCs w:val="20"/>
              </w:rPr>
            </w:pPr>
            <w:r w:rsidRPr="00DB3697">
              <w:rPr>
                <w:szCs w:val="20"/>
              </w:rPr>
              <w:t>29</w:t>
            </w:r>
          </w:p>
        </w:tc>
        <w:tc>
          <w:tcPr>
            <w:tcW w:w="3213" w:type="dxa"/>
            <w:noWrap/>
            <w:hideMark/>
          </w:tcPr>
          <w:p w14:paraId="0472A6D5" w14:textId="77777777" w:rsidR="00D11BEE" w:rsidRPr="00DB3697" w:rsidRDefault="00D11BEE" w:rsidP="00DE1341">
            <w:pPr>
              <w:rPr>
                <w:szCs w:val="20"/>
              </w:rPr>
            </w:pPr>
            <w:r w:rsidRPr="00DB3697">
              <w:rPr>
                <w:szCs w:val="20"/>
              </w:rPr>
              <w:t>$7.9 million</w:t>
            </w:r>
          </w:p>
        </w:tc>
      </w:tr>
      <w:tr w:rsidR="00D11BEE" w:rsidRPr="00C07288" w14:paraId="78D03030" w14:textId="77777777" w:rsidTr="00832B49">
        <w:trPr>
          <w:trHeight w:val="310"/>
        </w:trPr>
        <w:tc>
          <w:tcPr>
            <w:tcW w:w="3213" w:type="dxa"/>
            <w:noWrap/>
            <w:hideMark/>
          </w:tcPr>
          <w:p w14:paraId="16BCBB7C" w14:textId="77777777" w:rsidR="00D11BEE" w:rsidRPr="00DB3697" w:rsidRDefault="00D11BEE" w:rsidP="00DE1341">
            <w:pPr>
              <w:rPr>
                <w:szCs w:val="20"/>
              </w:rPr>
            </w:pPr>
            <w:r w:rsidRPr="00DB3697">
              <w:rPr>
                <w:szCs w:val="20"/>
              </w:rPr>
              <w:t>Samoa</w:t>
            </w:r>
          </w:p>
        </w:tc>
        <w:tc>
          <w:tcPr>
            <w:tcW w:w="3213" w:type="dxa"/>
            <w:noWrap/>
            <w:hideMark/>
          </w:tcPr>
          <w:p w14:paraId="617132A7" w14:textId="77777777" w:rsidR="00D11BEE" w:rsidRPr="00DB3697" w:rsidRDefault="00D11BEE" w:rsidP="00DE1341">
            <w:pPr>
              <w:rPr>
                <w:szCs w:val="20"/>
              </w:rPr>
            </w:pPr>
            <w:r w:rsidRPr="00DB3697">
              <w:rPr>
                <w:szCs w:val="20"/>
              </w:rPr>
              <w:t>6</w:t>
            </w:r>
          </w:p>
        </w:tc>
        <w:tc>
          <w:tcPr>
            <w:tcW w:w="3213" w:type="dxa"/>
            <w:noWrap/>
            <w:hideMark/>
          </w:tcPr>
          <w:p w14:paraId="4EB109C2" w14:textId="77777777" w:rsidR="00D11BEE" w:rsidRPr="00DB3697" w:rsidRDefault="00D11BEE" w:rsidP="00DE1341">
            <w:pPr>
              <w:rPr>
                <w:szCs w:val="20"/>
              </w:rPr>
            </w:pPr>
            <w:r w:rsidRPr="00DB3697">
              <w:rPr>
                <w:szCs w:val="20"/>
              </w:rPr>
              <w:t>$3.8 million</w:t>
            </w:r>
          </w:p>
        </w:tc>
      </w:tr>
      <w:tr w:rsidR="00D11BEE" w:rsidRPr="00C07288" w14:paraId="7B9DF42E" w14:textId="77777777" w:rsidTr="00832B49">
        <w:trPr>
          <w:trHeight w:val="310"/>
        </w:trPr>
        <w:tc>
          <w:tcPr>
            <w:tcW w:w="3213" w:type="dxa"/>
            <w:noWrap/>
            <w:hideMark/>
          </w:tcPr>
          <w:p w14:paraId="65D5A409" w14:textId="77777777" w:rsidR="00D11BEE" w:rsidRPr="00DB3697" w:rsidRDefault="00D11BEE" w:rsidP="00DE1341">
            <w:pPr>
              <w:rPr>
                <w:szCs w:val="20"/>
              </w:rPr>
            </w:pPr>
            <w:r w:rsidRPr="00DB3697">
              <w:rPr>
                <w:szCs w:val="20"/>
              </w:rPr>
              <w:t>Kiribati</w:t>
            </w:r>
          </w:p>
        </w:tc>
        <w:tc>
          <w:tcPr>
            <w:tcW w:w="3213" w:type="dxa"/>
            <w:noWrap/>
            <w:hideMark/>
          </w:tcPr>
          <w:p w14:paraId="5002DE30" w14:textId="77777777" w:rsidR="00D11BEE" w:rsidRPr="00DB3697" w:rsidRDefault="00D11BEE" w:rsidP="00DE1341">
            <w:pPr>
              <w:rPr>
                <w:szCs w:val="20"/>
              </w:rPr>
            </w:pPr>
            <w:r w:rsidRPr="00DB3697">
              <w:rPr>
                <w:szCs w:val="20"/>
              </w:rPr>
              <w:t>7</w:t>
            </w:r>
          </w:p>
        </w:tc>
        <w:tc>
          <w:tcPr>
            <w:tcW w:w="3213" w:type="dxa"/>
            <w:noWrap/>
            <w:hideMark/>
          </w:tcPr>
          <w:p w14:paraId="1912A704" w14:textId="77777777" w:rsidR="00D11BEE" w:rsidRPr="00DB3697" w:rsidRDefault="00D11BEE" w:rsidP="00DE1341">
            <w:pPr>
              <w:rPr>
                <w:szCs w:val="20"/>
              </w:rPr>
            </w:pPr>
            <w:r w:rsidRPr="00DB3697">
              <w:rPr>
                <w:szCs w:val="20"/>
              </w:rPr>
              <w:t>$2 million</w:t>
            </w:r>
          </w:p>
        </w:tc>
      </w:tr>
      <w:tr w:rsidR="00D11BEE" w:rsidRPr="00C07288" w14:paraId="1465496D" w14:textId="77777777" w:rsidTr="00832B49">
        <w:trPr>
          <w:trHeight w:val="310"/>
        </w:trPr>
        <w:tc>
          <w:tcPr>
            <w:tcW w:w="3213" w:type="dxa"/>
            <w:noWrap/>
            <w:hideMark/>
          </w:tcPr>
          <w:p w14:paraId="75AD7D99" w14:textId="77777777" w:rsidR="00D11BEE" w:rsidRPr="00DB3697" w:rsidRDefault="00D11BEE" w:rsidP="00DE1341">
            <w:pPr>
              <w:rPr>
                <w:szCs w:val="20"/>
              </w:rPr>
            </w:pPr>
            <w:r w:rsidRPr="00DB3697">
              <w:rPr>
                <w:szCs w:val="20"/>
              </w:rPr>
              <w:t>Tuvalu</w:t>
            </w:r>
          </w:p>
        </w:tc>
        <w:tc>
          <w:tcPr>
            <w:tcW w:w="3213" w:type="dxa"/>
            <w:noWrap/>
            <w:hideMark/>
          </w:tcPr>
          <w:p w14:paraId="1BB83E36" w14:textId="77777777" w:rsidR="00D11BEE" w:rsidRPr="00DB3697" w:rsidRDefault="00D11BEE" w:rsidP="00DE1341">
            <w:pPr>
              <w:rPr>
                <w:szCs w:val="20"/>
              </w:rPr>
            </w:pPr>
            <w:r w:rsidRPr="00DB3697">
              <w:rPr>
                <w:szCs w:val="20"/>
              </w:rPr>
              <w:t>3</w:t>
            </w:r>
          </w:p>
        </w:tc>
        <w:tc>
          <w:tcPr>
            <w:tcW w:w="3213" w:type="dxa"/>
            <w:noWrap/>
            <w:hideMark/>
          </w:tcPr>
          <w:p w14:paraId="06375930" w14:textId="77777777" w:rsidR="00D11BEE" w:rsidRPr="00DB3697" w:rsidRDefault="00D11BEE" w:rsidP="00DE1341">
            <w:pPr>
              <w:rPr>
                <w:szCs w:val="20"/>
              </w:rPr>
            </w:pPr>
            <w:r w:rsidRPr="00DB3697">
              <w:rPr>
                <w:szCs w:val="20"/>
              </w:rPr>
              <w:t>$0.1 million</w:t>
            </w:r>
          </w:p>
        </w:tc>
      </w:tr>
      <w:tr w:rsidR="00D11BEE" w:rsidRPr="00C07288" w14:paraId="7F93E21E" w14:textId="77777777" w:rsidTr="00832B49">
        <w:trPr>
          <w:trHeight w:val="297"/>
        </w:trPr>
        <w:tc>
          <w:tcPr>
            <w:tcW w:w="3213" w:type="dxa"/>
            <w:noWrap/>
          </w:tcPr>
          <w:p w14:paraId="0CBE9CEA" w14:textId="77777777" w:rsidR="00D11BEE" w:rsidRPr="00DB3697" w:rsidRDefault="00D11BEE" w:rsidP="00DE1341">
            <w:pPr>
              <w:rPr>
                <w:b/>
                <w:szCs w:val="20"/>
              </w:rPr>
            </w:pPr>
            <w:r w:rsidRPr="00DB3697">
              <w:rPr>
                <w:b/>
                <w:szCs w:val="20"/>
              </w:rPr>
              <w:t>Total</w:t>
            </w:r>
          </w:p>
        </w:tc>
        <w:tc>
          <w:tcPr>
            <w:tcW w:w="3213" w:type="dxa"/>
            <w:noWrap/>
          </w:tcPr>
          <w:p w14:paraId="079666F9" w14:textId="77777777" w:rsidR="00D11BEE" w:rsidRPr="00DB3697" w:rsidRDefault="00D11BEE" w:rsidP="00DE1341">
            <w:pPr>
              <w:rPr>
                <w:b/>
                <w:szCs w:val="20"/>
              </w:rPr>
            </w:pPr>
            <w:r w:rsidRPr="00DB3697">
              <w:rPr>
                <w:b/>
                <w:szCs w:val="20"/>
              </w:rPr>
              <w:t>81</w:t>
            </w:r>
          </w:p>
        </w:tc>
        <w:tc>
          <w:tcPr>
            <w:tcW w:w="3213" w:type="dxa"/>
            <w:noWrap/>
          </w:tcPr>
          <w:p w14:paraId="2FF90725" w14:textId="77777777" w:rsidR="00D11BEE" w:rsidRPr="00DB3697" w:rsidRDefault="00D11BEE" w:rsidP="00DE1341">
            <w:pPr>
              <w:rPr>
                <w:b/>
                <w:szCs w:val="20"/>
              </w:rPr>
            </w:pPr>
            <w:r w:rsidRPr="00DB3697">
              <w:rPr>
                <w:b/>
                <w:szCs w:val="20"/>
              </w:rPr>
              <w:t>$68.8 million</w:t>
            </w:r>
          </w:p>
        </w:tc>
      </w:tr>
    </w:tbl>
    <w:bookmarkEnd w:id="50"/>
    <w:p w14:paraId="4AEA1367" w14:textId="662C480B" w:rsidR="00C07288" w:rsidRPr="00C07288" w:rsidRDefault="00C07288" w:rsidP="00832B49">
      <w:pPr>
        <w:spacing w:before="240"/>
        <w:rPr>
          <w:lang w:val="en-US"/>
        </w:rPr>
      </w:pPr>
      <w:r w:rsidRPr="2D8F7E15">
        <w:rPr>
          <w:lang w:val="en-US"/>
        </w:rPr>
        <w:t>Bilateral funding to the North Pacific is limited. Just 3% of bilateral grants for gender programs went to the North Pacific (</w:t>
      </w:r>
      <w:r>
        <w:rPr>
          <w:lang w:val="en-US"/>
        </w:rPr>
        <w:t>AUD</w:t>
      </w:r>
      <w:r w:rsidRPr="2D8F7E15">
        <w:rPr>
          <w:lang w:val="en-US"/>
        </w:rPr>
        <w:t xml:space="preserve">0.1 million outside of Kiribati). Posts and Advisors in the North Pacific said there are limited funds and services available in the North Pacific for gender, and these governments generally relied on donor funds for programming and activities. SPC and the </w:t>
      </w:r>
      <w:r>
        <w:rPr>
          <w:lang w:val="en-US"/>
        </w:rPr>
        <w:t>Women’s Funds</w:t>
      </w:r>
      <w:r w:rsidR="00967D86">
        <w:rPr>
          <w:lang w:val="en-US"/>
        </w:rPr>
        <w:t>’</w:t>
      </w:r>
      <w:r w:rsidRPr="2D8F7E15">
        <w:rPr>
          <w:lang w:val="en-US"/>
        </w:rPr>
        <w:t xml:space="preserve"> strategies to focus on the North Pacific had the effect of complementarity by filling a gap in bilateral funding to this region.</w:t>
      </w:r>
    </w:p>
    <w:p w14:paraId="3CDD6BFB" w14:textId="09962FE5" w:rsidR="005C181C" w:rsidRDefault="007E1453" w:rsidP="00753A64">
      <w:pPr>
        <w:pStyle w:val="Subheading"/>
        <w:rPr>
          <w:noProof/>
        </w:rPr>
      </w:pPr>
      <w:r>
        <w:t>Effectiveness of c</w:t>
      </w:r>
      <w:r w:rsidR="00BD79F1">
        <w:t>onvenings</w:t>
      </w:r>
      <w:r w:rsidR="005B25BB" w:rsidRPr="005B25BB">
        <w:rPr>
          <w:noProof/>
        </w:rPr>
        <w:t xml:space="preserve"> </w:t>
      </w:r>
    </w:p>
    <w:p w14:paraId="071916C7" w14:textId="3A7D1948" w:rsidR="45AC18CE" w:rsidRDefault="006570AB" w:rsidP="45AC18CE">
      <w:r w:rsidRPr="006570AB">
        <w:t xml:space="preserve">Convenings have been a critical strategy for gender mainstreaming, women's leadership, and women's rights advancement at regional and local levels. The evidence confirms these gatherings are both relevant and effective, enabling shared collaboration, learning, inclusion, and supporting transformational change. </w:t>
      </w:r>
      <w:r>
        <w:t>PWL</w:t>
      </w:r>
      <w:r w:rsidRPr="006570AB">
        <w:t xml:space="preserve"> has demonstrated commitment to diversity by bringing together a wide range of participants and presenters, including government ministries, </w:t>
      </w:r>
      <w:r>
        <w:t>CSOs</w:t>
      </w:r>
      <w:r w:rsidRPr="006570AB">
        <w:t xml:space="preserve">, CROP agencies, </w:t>
      </w:r>
      <w:r>
        <w:t>w</w:t>
      </w:r>
      <w:r w:rsidRPr="006570AB">
        <w:t xml:space="preserve">omen's </w:t>
      </w:r>
      <w:r>
        <w:t>f</w:t>
      </w:r>
      <w:r w:rsidRPr="006570AB">
        <w:t>unds, and representatives from disability, youth, and LGBTQIA+ communities. This inclusive approach promotes valuable linkages between key stakeholders and serves as a critical enabler of the program's effectiveness</w:t>
      </w:r>
      <w:r w:rsidR="6BBEF641">
        <w:t>.</w:t>
      </w:r>
    </w:p>
    <w:p w14:paraId="522CF6B1" w14:textId="39ADEF6C" w:rsidR="005C181C" w:rsidRPr="00832B49" w:rsidRDefault="001E63AF" w:rsidP="00590D06">
      <w:pPr>
        <w:spacing w:after="120"/>
        <w:rPr>
          <w:rFonts w:asciiTheme="majorHAnsi" w:hAnsiTheme="majorHAnsi"/>
          <w:color w:val="984C00" w:themeColor="accent1" w:themeShade="BF"/>
          <w:sz w:val="22"/>
          <w:szCs w:val="24"/>
        </w:rPr>
      </w:pPr>
      <w:r w:rsidRPr="00832B49">
        <w:rPr>
          <w:rFonts w:asciiTheme="majorHAnsi" w:hAnsiTheme="majorHAnsi"/>
          <w:color w:val="984C00" w:themeColor="accent1" w:themeShade="BF"/>
          <w:sz w:val="22"/>
          <w:szCs w:val="24"/>
        </w:rPr>
        <w:t>SPC</w:t>
      </w:r>
    </w:p>
    <w:p w14:paraId="2200B59A" w14:textId="55747CA9" w:rsidR="005C181C" w:rsidRDefault="005C181C" w:rsidP="005C181C">
      <w:pPr>
        <w:rPr>
          <w:i/>
          <w:iCs/>
        </w:rPr>
      </w:pPr>
      <w:r w:rsidRPr="2D8F7E15">
        <w:rPr>
          <w:lang w:val="en-US"/>
        </w:rPr>
        <w:t xml:space="preserve">SPC was widely regarded throughout consultations as holding a unique convening power in the region, attributed to its mandate, geographical reach, reputation, and trusted relationships with member governments and CSOs. </w:t>
      </w:r>
      <w:r w:rsidR="00B76ECB" w:rsidRPr="00B76ECB">
        <w:t xml:space="preserve">This unique position enables SPC to bring together diverse partners, fostering collaboration and knowledge sharing across the region. As one interviewee noted, </w:t>
      </w:r>
      <w:r w:rsidR="00B76ECB" w:rsidRPr="00B76ECB">
        <w:rPr>
          <w:i/>
          <w:iCs/>
        </w:rPr>
        <w:t>"SPC's ability to bring member governments together as well as CSOs from the PWL arm to talk about gender equality efforts in the region"</w:t>
      </w:r>
      <w:r w:rsidR="00B76ECB" w:rsidRPr="00B76ECB">
        <w:t xml:space="preserve"> represents a key strength. With PWL funding support and the integration of the PWSPD team, SPC's convening role has been enhanced, with another interviewee observing that "</w:t>
      </w:r>
      <w:r w:rsidR="00B76ECB" w:rsidRPr="00B76ECB">
        <w:rPr>
          <w:i/>
          <w:iCs/>
        </w:rPr>
        <w:t>Requests are coming through knowing that PWL is [integrated] here."</w:t>
      </w:r>
    </w:p>
    <w:p w14:paraId="31691E79" w14:textId="34CA4ACC" w:rsidR="00B76ECB" w:rsidRPr="00EE243C" w:rsidRDefault="005C181C" w:rsidP="005C181C">
      <w:pPr>
        <w:rPr>
          <w:lang w:val="en-US"/>
        </w:rPr>
      </w:pPr>
      <w:r w:rsidRPr="2D8F7E15">
        <w:rPr>
          <w:lang w:val="en-US"/>
        </w:rPr>
        <w:lastRenderedPageBreak/>
        <w:t>SPC has supported, hosted and contributed to critical conversations and convenings around gender equality in the region</w:t>
      </w:r>
      <w:r w:rsidR="003577CB" w:rsidRPr="2D8F7E15">
        <w:rPr>
          <w:lang w:val="en-US"/>
        </w:rPr>
        <w:t xml:space="preserve"> in line with gender mainstreaming</w:t>
      </w:r>
      <w:r w:rsidR="00992EEB" w:rsidRPr="2D8F7E15">
        <w:rPr>
          <w:lang w:val="en-US"/>
        </w:rPr>
        <w:t xml:space="preserve">, </w:t>
      </w:r>
      <w:r w:rsidR="00FD143C" w:rsidRPr="2D8F7E15">
        <w:rPr>
          <w:lang w:val="en-US"/>
        </w:rPr>
        <w:t>women’s leadership</w:t>
      </w:r>
      <w:r w:rsidR="00992EEB" w:rsidRPr="2D8F7E15">
        <w:rPr>
          <w:lang w:val="en-US"/>
        </w:rPr>
        <w:t>,</w:t>
      </w:r>
      <w:r w:rsidR="00FD143C" w:rsidRPr="2D8F7E15">
        <w:rPr>
          <w:lang w:val="en-US"/>
        </w:rPr>
        <w:t xml:space="preserve"> and women’s </w:t>
      </w:r>
      <w:r w:rsidR="00992EEB" w:rsidRPr="2D8F7E15">
        <w:rPr>
          <w:lang w:val="en-US"/>
        </w:rPr>
        <w:t>rights realised</w:t>
      </w:r>
      <w:r w:rsidRPr="2D8F7E15">
        <w:rPr>
          <w:lang w:val="en-US"/>
        </w:rPr>
        <w:t xml:space="preserve">. Examples include the three-day symposium on 'Safe and Equal Online Spaces' held in September 2023 in collaboration with Australia’s </w:t>
      </w:r>
      <w:proofErr w:type="spellStart"/>
      <w:r w:rsidRPr="2D8F7E15">
        <w:rPr>
          <w:lang w:val="en-US"/>
        </w:rPr>
        <w:t>eSafety</w:t>
      </w:r>
      <w:proofErr w:type="spellEnd"/>
      <w:r w:rsidRPr="2D8F7E15">
        <w:rPr>
          <w:lang w:val="en-US"/>
        </w:rPr>
        <w:t xml:space="preserve"> Commissioner, which brought together over 130 participants from various Pacific countries and organisations, support for the 15</w:t>
      </w:r>
      <w:r>
        <w:rPr>
          <w:lang w:val="en-US"/>
        </w:rPr>
        <w:t>th</w:t>
      </w:r>
      <w:r w:rsidRPr="2D8F7E15">
        <w:rPr>
          <w:lang w:val="en-US"/>
        </w:rPr>
        <w:t xml:space="preserve"> Triennial Conference of Pacific Women and 8</w:t>
      </w:r>
      <w:r>
        <w:rPr>
          <w:lang w:val="en-US"/>
        </w:rPr>
        <w:t>th</w:t>
      </w:r>
      <w:r w:rsidRPr="2D8F7E15">
        <w:rPr>
          <w:lang w:val="en-US"/>
        </w:rPr>
        <w:t xml:space="preserve"> Pacific Ministers for Women Meeting, 2nd Micronesian Ministers for Women Conference, 7th Pacific Regional Conference on Disability, 3rd Pacific Human Rights Conference on SOGIESC</w:t>
      </w:r>
      <w:r w:rsidR="008613B0">
        <w:rPr>
          <w:lang w:val="en-US"/>
        </w:rPr>
        <w:t xml:space="preserve"> (s</w:t>
      </w:r>
      <w:r w:rsidR="008613B0" w:rsidRPr="008613B0">
        <w:rPr>
          <w:lang w:val="en-US"/>
        </w:rPr>
        <w:t xml:space="preserve">exual </w:t>
      </w:r>
      <w:r w:rsidR="008613B0">
        <w:rPr>
          <w:lang w:val="en-US"/>
        </w:rPr>
        <w:t>o</w:t>
      </w:r>
      <w:r w:rsidR="008613B0" w:rsidRPr="008613B0">
        <w:rPr>
          <w:lang w:val="en-US"/>
        </w:rPr>
        <w:t>rientation</w:t>
      </w:r>
      <w:r w:rsidR="005E0227">
        <w:rPr>
          <w:lang w:val="en-US"/>
        </w:rPr>
        <w:t>,</w:t>
      </w:r>
      <w:r w:rsidR="008613B0" w:rsidRPr="008613B0">
        <w:rPr>
          <w:lang w:val="en-US"/>
        </w:rPr>
        <w:t xml:space="preserve"> </w:t>
      </w:r>
      <w:r w:rsidR="008613B0">
        <w:rPr>
          <w:lang w:val="en-US"/>
        </w:rPr>
        <w:t>g</w:t>
      </w:r>
      <w:r w:rsidR="008613B0" w:rsidRPr="008613B0">
        <w:rPr>
          <w:lang w:val="en-US"/>
        </w:rPr>
        <w:t xml:space="preserve">ender </w:t>
      </w:r>
      <w:r w:rsidR="008613B0">
        <w:rPr>
          <w:lang w:val="en-US"/>
        </w:rPr>
        <w:t>i</w:t>
      </w:r>
      <w:r w:rsidR="008613B0" w:rsidRPr="008613B0">
        <w:rPr>
          <w:lang w:val="en-US"/>
        </w:rPr>
        <w:t xml:space="preserve">dentify and </w:t>
      </w:r>
      <w:r w:rsidR="008613B0">
        <w:rPr>
          <w:lang w:val="en-US"/>
        </w:rPr>
        <w:t>e</w:t>
      </w:r>
      <w:r w:rsidR="008613B0" w:rsidRPr="008613B0">
        <w:rPr>
          <w:lang w:val="en-US"/>
        </w:rPr>
        <w:t xml:space="preserve">xpression, and </w:t>
      </w:r>
      <w:r w:rsidR="008613B0">
        <w:rPr>
          <w:lang w:val="en-US"/>
        </w:rPr>
        <w:t>s</w:t>
      </w:r>
      <w:r w:rsidR="008613B0" w:rsidRPr="008613B0">
        <w:rPr>
          <w:lang w:val="en-US"/>
        </w:rPr>
        <w:t xml:space="preserve">ex </w:t>
      </w:r>
      <w:r w:rsidR="008613B0">
        <w:rPr>
          <w:lang w:val="en-US"/>
        </w:rPr>
        <w:t>c</w:t>
      </w:r>
      <w:r w:rsidR="008613B0" w:rsidRPr="008613B0">
        <w:rPr>
          <w:lang w:val="en-US"/>
        </w:rPr>
        <w:t>haracteristics</w:t>
      </w:r>
      <w:r w:rsidR="008613B0">
        <w:rPr>
          <w:lang w:val="en-US"/>
        </w:rPr>
        <w:t>)</w:t>
      </w:r>
      <w:r w:rsidR="00373D7C" w:rsidRPr="2D8F7E15">
        <w:rPr>
          <w:lang w:val="en-US"/>
        </w:rPr>
        <w:t xml:space="preserve">, </w:t>
      </w:r>
      <w:r w:rsidRPr="2D8F7E15">
        <w:rPr>
          <w:lang w:val="en-US"/>
        </w:rPr>
        <w:t>biannual WEE Roundtables</w:t>
      </w:r>
      <w:r w:rsidR="00373D7C" w:rsidRPr="2D8F7E15">
        <w:rPr>
          <w:lang w:val="en-US"/>
        </w:rPr>
        <w:t>, Women Deliver, and the Pacific Feminist Forum</w:t>
      </w:r>
      <w:r w:rsidRPr="2D8F7E15">
        <w:rPr>
          <w:lang w:val="en-US"/>
        </w:rPr>
        <w:t xml:space="preserve">. The impact of SPC's convening role is evident in the outcomes of these gatherings. For instance, the 'Safe and Equal Online Spaces' symposium resulted in the development and endorsement of the region's first </w:t>
      </w:r>
      <w:r w:rsidR="00B82331">
        <w:rPr>
          <w:lang w:val="en-US"/>
        </w:rPr>
        <w:t>TFGBV</w:t>
      </w:r>
      <w:r w:rsidRPr="2D8F7E15">
        <w:rPr>
          <w:lang w:val="en-US"/>
        </w:rPr>
        <w:t xml:space="preserve"> Priorities Document, which has since been integrated into </w:t>
      </w:r>
      <w:proofErr w:type="spellStart"/>
      <w:r w:rsidRPr="2D8F7E15">
        <w:rPr>
          <w:lang w:val="en-US"/>
        </w:rPr>
        <w:t>eSafety</w:t>
      </w:r>
      <w:proofErr w:type="spellEnd"/>
      <w:r w:rsidRPr="2D8F7E15">
        <w:rPr>
          <w:lang w:val="en-US"/>
        </w:rPr>
        <w:t xml:space="preserve"> Commissioner’s TFGBV training for frontline workers in the </w:t>
      </w:r>
      <w:r w:rsidR="006A7116" w:rsidRPr="2D8F7E15">
        <w:rPr>
          <w:lang w:val="en-US"/>
        </w:rPr>
        <w:t>Pacific and</w:t>
      </w:r>
      <w:r w:rsidR="000012CA" w:rsidRPr="2D8F7E15">
        <w:rPr>
          <w:lang w:val="en-US"/>
        </w:rPr>
        <w:t xml:space="preserve"> endorsed as a key regional priority by Pacific Ministers for Women at Triennial</w:t>
      </w:r>
      <w:r w:rsidRPr="2D8F7E15">
        <w:rPr>
          <w:lang w:val="en-US"/>
        </w:rPr>
        <w:t>.</w:t>
      </w:r>
    </w:p>
    <w:p w14:paraId="18C88FF6" w14:textId="703CB0B0" w:rsidR="00865E22" w:rsidRPr="0049257C" w:rsidRDefault="00865E22" w:rsidP="00865E22">
      <w:r w:rsidRPr="00EE243C">
        <w:rPr>
          <w:rFonts w:cstheme="minorHAnsi"/>
        </w:rPr>
        <w:t xml:space="preserve">SPC contributed </w:t>
      </w:r>
      <w:r w:rsidR="00920E2D" w:rsidRPr="00EE243C">
        <w:rPr>
          <w:rFonts w:cstheme="minorHAnsi"/>
        </w:rPr>
        <w:t xml:space="preserve">to collaborative </w:t>
      </w:r>
      <w:r w:rsidR="00601C9B" w:rsidRPr="00EE243C">
        <w:rPr>
          <w:rFonts w:cstheme="minorHAnsi"/>
        </w:rPr>
        <w:t>women’s leadership</w:t>
      </w:r>
      <w:r w:rsidR="00920E2D" w:rsidRPr="00EE243C">
        <w:rPr>
          <w:rFonts w:cstheme="minorHAnsi"/>
        </w:rPr>
        <w:t xml:space="preserve"> initiatives such as</w:t>
      </w:r>
      <w:r w:rsidR="00F8326E">
        <w:rPr>
          <w:rFonts w:cstheme="minorHAnsi"/>
        </w:rPr>
        <w:t xml:space="preserve"> collaborating with </w:t>
      </w:r>
      <w:r w:rsidR="00C1511B">
        <w:rPr>
          <w:rFonts w:cstheme="minorHAnsi"/>
        </w:rPr>
        <w:t>PIFS</w:t>
      </w:r>
      <w:r w:rsidR="00F8326E">
        <w:rPr>
          <w:rFonts w:cstheme="minorHAnsi"/>
        </w:rPr>
        <w:t xml:space="preserve"> and </w:t>
      </w:r>
      <w:r w:rsidR="00DF5AB3">
        <w:rPr>
          <w:rFonts w:cstheme="minorHAnsi"/>
        </w:rPr>
        <w:t>the</w:t>
      </w:r>
      <w:r w:rsidR="00F8326E">
        <w:rPr>
          <w:rFonts w:cstheme="minorHAnsi"/>
        </w:rPr>
        <w:t xml:space="preserve"> Pacific Islands Development Programme to establish</w:t>
      </w:r>
      <w:r w:rsidR="00920E2D" w:rsidRPr="00EE243C">
        <w:rPr>
          <w:rFonts w:cstheme="minorHAnsi"/>
        </w:rPr>
        <w:t xml:space="preserve"> the </w:t>
      </w:r>
      <w:r w:rsidR="002F183F">
        <w:rPr>
          <w:rFonts w:cstheme="minorHAnsi"/>
        </w:rPr>
        <w:t xml:space="preserve">CROP </w:t>
      </w:r>
      <w:r w:rsidR="00B82331">
        <w:rPr>
          <w:rFonts w:cstheme="minorHAnsi"/>
        </w:rPr>
        <w:t>WOW</w:t>
      </w:r>
      <w:r w:rsidRPr="00EE243C">
        <w:rPr>
          <w:rFonts w:cstheme="minorHAnsi"/>
        </w:rPr>
        <w:t xml:space="preserve"> </w:t>
      </w:r>
      <w:r w:rsidR="00B82331">
        <w:rPr>
          <w:rFonts w:cstheme="minorHAnsi"/>
        </w:rPr>
        <w:t>n</w:t>
      </w:r>
      <w:r w:rsidRPr="00EE243C">
        <w:rPr>
          <w:rFonts w:cstheme="minorHAnsi"/>
        </w:rPr>
        <w:t>etwork, which fosters leadership among women employees in the CROP agencies. This network has inspired similar initiatives, and SPC’s engagement has strengthened understanding of gender mainstreaming practices across CROP institutions through sharing the experience of the Gender Equality Flagship.</w:t>
      </w:r>
      <w:r w:rsidR="0049257C" w:rsidRPr="0049257C">
        <w:t xml:space="preserve"> </w:t>
      </w:r>
      <w:r w:rsidR="0049257C" w:rsidRPr="61BDED99">
        <w:t>Internally, the SPC Gender COP has been pivotal in breaking down silos and enabling cross-divisional resource-</w:t>
      </w:r>
      <w:r w:rsidR="00F8326E">
        <w:t>sharing.</w:t>
      </w:r>
      <w:r w:rsidR="0049257C" w:rsidRPr="61BDED99">
        <w:t xml:space="preserve"> SPC has also made strides in fostering internal advocacy for gender equality. </w:t>
      </w:r>
    </w:p>
    <w:p w14:paraId="40C3ED2F" w14:textId="6ACFE865" w:rsidR="003D4C16" w:rsidRDefault="005C181C" w:rsidP="005C181C">
      <w:pPr>
        <w:rPr>
          <w:lang w:val="en-US"/>
        </w:rPr>
      </w:pPr>
      <w:r w:rsidRPr="2D8F7E15">
        <w:rPr>
          <w:lang w:val="en-US"/>
        </w:rPr>
        <w:t>SPC has co-</w:t>
      </w:r>
      <w:proofErr w:type="spellStart"/>
      <w:r w:rsidRPr="2D8F7E15">
        <w:rPr>
          <w:lang w:val="en-US"/>
        </w:rPr>
        <w:t>funded</w:t>
      </w:r>
      <w:proofErr w:type="spellEnd"/>
      <w:r w:rsidRPr="2D8F7E15">
        <w:rPr>
          <w:lang w:val="en-US"/>
        </w:rPr>
        <w:t xml:space="preserve"> and co-convened the ARAW with PWLES. While the positive outcomes from ARAW are undeniable</w:t>
      </w:r>
      <w:r w:rsidR="00B82331">
        <w:rPr>
          <w:lang w:val="en-US"/>
        </w:rPr>
        <w:t xml:space="preserve"> and were shared widely throughout consultations</w:t>
      </w:r>
      <w:r w:rsidRPr="2D8F7E15">
        <w:rPr>
          <w:lang w:val="en-US"/>
        </w:rPr>
        <w:t xml:space="preserve">, it has led many partners to reflect on the need for strengthening national-level coordination in gender equality initiatives. SPC's mandate for responding to this need is by </w:t>
      </w:r>
      <w:r w:rsidRPr="2D8F7E15">
        <w:rPr>
          <w:i/>
          <w:lang w:val="en-US"/>
        </w:rPr>
        <w:t xml:space="preserve">"enabling rather than directing, with a clear transition plan towards national funding and ownership", </w:t>
      </w:r>
      <w:r w:rsidRPr="2D8F7E15">
        <w:rPr>
          <w:lang w:val="en-US"/>
        </w:rPr>
        <w:t xml:space="preserve">and only by request or invitation by a national government. </w:t>
      </w:r>
      <w:r w:rsidR="003D4C16">
        <w:rPr>
          <w:lang w:val="en-US"/>
        </w:rPr>
        <w:t xml:space="preserve"> </w:t>
      </w:r>
    </w:p>
    <w:p w14:paraId="046D5B31" w14:textId="19995F6C" w:rsidR="005C181C" w:rsidRPr="00EE243C" w:rsidRDefault="005C181C" w:rsidP="005C181C">
      <w:pPr>
        <w:rPr>
          <w:lang w:val="en-US"/>
        </w:rPr>
      </w:pPr>
      <w:r w:rsidRPr="2D8F7E15">
        <w:rPr>
          <w:lang w:val="en-US"/>
        </w:rPr>
        <w:t xml:space="preserve">SPC is also credited by several interviewees as being able to create safe spaces for unpacking complex questions related to gender equality and culture in the Pacific context, for example during the </w:t>
      </w:r>
      <w:r w:rsidR="00823468">
        <w:rPr>
          <w:lang w:val="en-US"/>
        </w:rPr>
        <w:t>t</w:t>
      </w:r>
      <w:r w:rsidRPr="2D8F7E15">
        <w:rPr>
          <w:lang w:val="en-US"/>
        </w:rPr>
        <w:t xml:space="preserve">echnical </w:t>
      </w:r>
      <w:r w:rsidR="00823468">
        <w:rPr>
          <w:lang w:val="en-US"/>
        </w:rPr>
        <w:t>p</w:t>
      </w:r>
      <w:r w:rsidRPr="2D8F7E15">
        <w:rPr>
          <w:lang w:val="en-US"/>
        </w:rPr>
        <w:t xml:space="preserve">anels on </w:t>
      </w:r>
      <w:r w:rsidR="00823468">
        <w:rPr>
          <w:lang w:val="en-US"/>
        </w:rPr>
        <w:t>g</w:t>
      </w:r>
      <w:r w:rsidRPr="2D8F7E15">
        <w:rPr>
          <w:lang w:val="en-US"/>
        </w:rPr>
        <w:t xml:space="preserve">ender and </w:t>
      </w:r>
      <w:r w:rsidR="00823468">
        <w:rPr>
          <w:lang w:val="en-US"/>
        </w:rPr>
        <w:t>c</w:t>
      </w:r>
      <w:r w:rsidRPr="2D8F7E15">
        <w:rPr>
          <w:lang w:val="en-US"/>
        </w:rPr>
        <w:t>ulture at the Festival of Pacific Arts and Culture (</w:t>
      </w:r>
      <w:proofErr w:type="spellStart"/>
      <w:r w:rsidRPr="2D8F7E15">
        <w:rPr>
          <w:lang w:val="en-US"/>
        </w:rPr>
        <w:t>FestPAC</w:t>
      </w:r>
      <w:proofErr w:type="spellEnd"/>
      <w:r w:rsidRPr="2D8F7E15">
        <w:rPr>
          <w:lang w:val="en-US"/>
        </w:rPr>
        <w:t xml:space="preserve">). This </w:t>
      </w:r>
      <w:r w:rsidR="00512C04">
        <w:rPr>
          <w:lang w:val="en-US"/>
        </w:rPr>
        <w:t>capability</w:t>
      </w:r>
      <w:r w:rsidRPr="2D8F7E15">
        <w:rPr>
          <w:lang w:val="en-US"/>
        </w:rPr>
        <w:t xml:space="preserve"> </w:t>
      </w:r>
      <w:r w:rsidR="00C860FD" w:rsidRPr="2D8F7E15">
        <w:rPr>
          <w:lang w:val="en-US"/>
        </w:rPr>
        <w:t>too</w:t>
      </w:r>
      <w:r w:rsidR="006806F7">
        <w:rPr>
          <w:lang w:val="en-US"/>
        </w:rPr>
        <w:t>l</w:t>
      </w:r>
      <w:r w:rsidRPr="2D8F7E15">
        <w:rPr>
          <w:lang w:val="en-US"/>
        </w:rPr>
        <w:t xml:space="preserve"> is particularly valuable given the region's diversit</w:t>
      </w:r>
      <w:r w:rsidR="00512C04">
        <w:rPr>
          <w:lang w:val="en-US"/>
        </w:rPr>
        <w:t>y, contributing to inclusivity</w:t>
      </w:r>
      <w:r w:rsidRPr="2D8F7E15">
        <w:rPr>
          <w:lang w:val="en-US"/>
        </w:rPr>
        <w:t xml:space="preserve">. SPC enhances connections between CSOs and governments, which can influence mindsets, policy agendas, and rhetoric. The </w:t>
      </w:r>
      <w:proofErr w:type="spellStart"/>
      <w:r w:rsidRPr="2D8F7E15">
        <w:rPr>
          <w:lang w:val="en-US"/>
        </w:rPr>
        <w:t>organisation's</w:t>
      </w:r>
      <w:proofErr w:type="spellEnd"/>
      <w:r w:rsidRPr="2D8F7E15">
        <w:rPr>
          <w:lang w:val="en-US"/>
        </w:rPr>
        <w:t xml:space="preserve"> approach </w:t>
      </w:r>
      <w:r w:rsidRPr="2D8F7E15">
        <w:rPr>
          <w:i/>
          <w:lang w:val="en-US"/>
        </w:rPr>
        <w:t xml:space="preserve">"Facilitating key discussions and using these to enhance connections between CSOs and Governments, and subsequently influence mindsets, policy agendas and rhetoric" </w:t>
      </w:r>
      <w:r w:rsidRPr="2D8F7E15">
        <w:rPr>
          <w:lang w:val="en-US"/>
        </w:rPr>
        <w:t>demonstrates its role in bridging the gap between civil society and governmental bodies.</w:t>
      </w:r>
    </w:p>
    <w:p w14:paraId="069CA101" w14:textId="0A25B5A5" w:rsidR="005C181C" w:rsidRPr="00832B49" w:rsidRDefault="00C1511B" w:rsidP="00590D06">
      <w:pPr>
        <w:spacing w:after="120"/>
        <w:rPr>
          <w:rFonts w:asciiTheme="majorHAnsi" w:hAnsiTheme="majorHAnsi"/>
          <w:color w:val="984C00" w:themeColor="accent1" w:themeShade="BF"/>
          <w:sz w:val="22"/>
          <w:szCs w:val="24"/>
        </w:rPr>
      </w:pPr>
      <w:r w:rsidRPr="00832B49">
        <w:rPr>
          <w:rFonts w:asciiTheme="majorHAnsi" w:hAnsiTheme="majorHAnsi"/>
          <w:color w:val="984C00" w:themeColor="accent1" w:themeShade="BF"/>
          <w:sz w:val="22"/>
          <w:szCs w:val="24"/>
        </w:rPr>
        <w:t>PIFS</w:t>
      </w:r>
    </w:p>
    <w:p w14:paraId="17DF42E2" w14:textId="33C6060A" w:rsidR="004C64DB" w:rsidRPr="004C64DB" w:rsidRDefault="00C1511B" w:rsidP="004C64DB">
      <w:r>
        <w:t>PIFS</w:t>
      </w:r>
      <w:r w:rsidR="004C64DB" w:rsidRPr="004C64DB">
        <w:t xml:space="preserve"> plays a crucial regional convening role for gender mainstreaming across the Pacific, with PWL providing support for several key initiatives. As custodian of the </w:t>
      </w:r>
      <w:r w:rsidR="00B82331">
        <w:t>r</w:t>
      </w:r>
      <w:r w:rsidR="004C64DB" w:rsidRPr="004C64DB">
        <w:t>evitali</w:t>
      </w:r>
      <w:r w:rsidR="004C64DB">
        <w:t>s</w:t>
      </w:r>
      <w:r w:rsidR="004C64DB" w:rsidRPr="004C64DB">
        <w:t xml:space="preserve">ed </w:t>
      </w:r>
      <w:r w:rsidR="004C64DB">
        <w:t>PLGED</w:t>
      </w:r>
      <w:r w:rsidR="004C64DB" w:rsidRPr="004C64DB">
        <w:t xml:space="preserve">, </w:t>
      </w:r>
      <w:r>
        <w:t>PIFS</w:t>
      </w:r>
      <w:r w:rsidR="004C64DB" w:rsidRPr="004C64DB">
        <w:t xml:space="preserve"> convenes the </w:t>
      </w:r>
      <w:r>
        <w:t>PIF</w:t>
      </w:r>
      <w:r w:rsidR="004C64DB" w:rsidRPr="004C64DB">
        <w:t xml:space="preserve">WLM and leads on the 2050 Strategy for the Blue Pacific Continent. PWL funding enables </w:t>
      </w:r>
      <w:r>
        <w:t>PIFS</w:t>
      </w:r>
      <w:r w:rsidR="004C64DB" w:rsidRPr="004C64DB">
        <w:t xml:space="preserve"> to organi</w:t>
      </w:r>
      <w:r w:rsidR="00B82331">
        <w:t>s</w:t>
      </w:r>
      <w:r w:rsidR="004C64DB" w:rsidRPr="004C64DB">
        <w:t xml:space="preserve">e the </w:t>
      </w:r>
      <w:r>
        <w:t>PIF</w:t>
      </w:r>
      <w:r w:rsidR="004C64DB" w:rsidRPr="004C64DB">
        <w:t xml:space="preserve">WLM, the Pacific Regional Disability Conference, implement outcomes from these meetings, and engage at significant multilateral forums including the </w:t>
      </w:r>
      <w:r w:rsidR="00B82331">
        <w:t>CSW</w:t>
      </w:r>
      <w:r w:rsidR="004C64DB" w:rsidRPr="004C64DB">
        <w:t>, CEDAW, and the Conference of States Parties to the Convention on the Rights of Persons with Disabilities</w:t>
      </w:r>
      <w:r w:rsidR="00B82331">
        <w:t xml:space="preserve"> (CRPD)</w:t>
      </w:r>
      <w:r w:rsidR="004C64DB" w:rsidRPr="004C64DB">
        <w:t xml:space="preserve">. A notable achievement in 2024 was the first-ever co-convening of the Triennial Conference of Pacific Women and 8th Pacific Ministers for Women Meeting with the </w:t>
      </w:r>
      <w:r>
        <w:t>PIF</w:t>
      </w:r>
      <w:r w:rsidR="00B82331">
        <w:t>WLM</w:t>
      </w:r>
      <w:r w:rsidR="004C64DB" w:rsidRPr="004C64DB">
        <w:t xml:space="preserve">, as a partnership between SPC and </w:t>
      </w:r>
      <w:r>
        <w:t>PIFS</w:t>
      </w:r>
      <w:r w:rsidR="004C64DB" w:rsidRPr="004C64DB">
        <w:t>.</w:t>
      </w:r>
      <w:r w:rsidR="004C64DB" w:rsidRPr="00EE243C">
        <w:rPr>
          <w:rFonts w:cstheme="minorHAnsi"/>
        </w:rPr>
        <w:t xml:space="preserve"> All of these activities contribute to PWL outcomes.</w:t>
      </w:r>
    </w:p>
    <w:p w14:paraId="0B24334D" w14:textId="77777777" w:rsidR="006E5552" w:rsidRDefault="004C64DB" w:rsidP="005C181C">
      <w:r w:rsidRPr="004C64DB">
        <w:t xml:space="preserve">Despite these coordinated efforts, </w:t>
      </w:r>
      <w:r>
        <w:t>there was</w:t>
      </w:r>
      <w:r w:rsidRPr="004C64DB">
        <w:t xml:space="preserve"> disappointment regarding the absence of gender-related outcomes in the </w:t>
      </w:r>
      <w:r w:rsidR="00C1511B">
        <w:t>PIFS</w:t>
      </w:r>
      <w:r w:rsidRPr="004C64DB">
        <w:t xml:space="preserve"> Leaders Communiqué</w:t>
      </w:r>
      <w:r>
        <w:t xml:space="preserve"> despite strong partnerships on gender equality at the social policy level</w:t>
      </w:r>
      <w:r w:rsidRPr="004C64DB">
        <w:t>, which failed to acknowledge the significant work accomplished at the Triennial, including health outcomes for women and girls. This omission occurred despite gender being reflected on the agenda in the previous two years and the endorsement of the revitali</w:t>
      </w:r>
      <w:r>
        <w:t>s</w:t>
      </w:r>
      <w:r w:rsidRPr="004C64DB">
        <w:t xml:space="preserve">ed PLGED in 2023. </w:t>
      </w:r>
      <w:bookmarkStart w:id="53" w:name="_Hlk200636969"/>
    </w:p>
    <w:p w14:paraId="666B14F7" w14:textId="6104AB15" w:rsidR="005C181C" w:rsidRPr="004C64DB" w:rsidRDefault="004C64DB" w:rsidP="005C181C">
      <w:r w:rsidRPr="004C64DB">
        <w:lastRenderedPageBreak/>
        <w:t xml:space="preserve">While the efforts of SPC, the </w:t>
      </w:r>
      <w:r w:rsidR="00C1511B">
        <w:t>PIFS</w:t>
      </w:r>
      <w:r w:rsidRPr="004C64DB">
        <w:t xml:space="preserve"> social policy team, and stakeholders were commendable, the lack of visibility </w:t>
      </w:r>
      <w:r w:rsidR="006806F7">
        <w:t>of</w:t>
      </w:r>
      <w:r w:rsidR="006806F7" w:rsidRPr="004C64DB">
        <w:t xml:space="preserve"> </w:t>
      </w:r>
      <w:r w:rsidRPr="004C64DB">
        <w:t xml:space="preserve">gender priorities in </w:t>
      </w:r>
      <w:r w:rsidR="00C1511B">
        <w:t>PIFS</w:t>
      </w:r>
      <w:r w:rsidRPr="004C64DB">
        <w:t xml:space="preserve"> Leaders' communications suggests a need to reexamine how the program </w:t>
      </w:r>
      <w:r>
        <w:t xml:space="preserve">and key partners </w:t>
      </w:r>
      <w:r w:rsidRPr="004C64DB">
        <w:t>can better support the elevation of gender priorities through key forums, particularly through integration into the Leaders' agenda.</w:t>
      </w:r>
      <w:bookmarkEnd w:id="53"/>
    </w:p>
    <w:p w14:paraId="4B9ED944" w14:textId="0E52F892" w:rsidR="005C181C" w:rsidRPr="00832B49" w:rsidRDefault="00834395" w:rsidP="00590D06">
      <w:pPr>
        <w:spacing w:after="120"/>
        <w:rPr>
          <w:rFonts w:asciiTheme="majorHAnsi" w:hAnsiTheme="majorHAnsi"/>
          <w:color w:val="984C00" w:themeColor="accent1" w:themeShade="BF"/>
          <w:sz w:val="22"/>
          <w:szCs w:val="24"/>
        </w:rPr>
      </w:pPr>
      <w:r w:rsidRPr="00832B49">
        <w:rPr>
          <w:rFonts w:asciiTheme="majorHAnsi" w:hAnsiTheme="majorHAnsi"/>
          <w:color w:val="984C00" w:themeColor="accent1" w:themeShade="BF"/>
          <w:sz w:val="22"/>
          <w:szCs w:val="24"/>
        </w:rPr>
        <w:t>Women’s Funds</w:t>
      </w:r>
    </w:p>
    <w:p w14:paraId="16BCF6D7" w14:textId="38F83EF7" w:rsidR="00291437" w:rsidRPr="00EE243C" w:rsidRDefault="00487D5B" w:rsidP="00291437">
      <w:pPr>
        <w:rPr>
          <w:lang w:val="en-US"/>
        </w:rPr>
      </w:pPr>
      <w:r w:rsidRPr="2D8F7E15">
        <w:t xml:space="preserve">PFF </w:t>
      </w:r>
      <w:r w:rsidR="00291437" w:rsidRPr="2D8F7E15">
        <w:t xml:space="preserve">also supported convening of Women Deliver 2023. As part of </w:t>
      </w:r>
      <w:r w:rsidRPr="2D8F7E15">
        <w:t>the Oceanic Pacific Organising Committee</w:t>
      </w:r>
      <w:r w:rsidR="00291437" w:rsidRPr="2D8F7E15">
        <w:t xml:space="preserve">, PFF actively participated in the program development, identification of Pacific delegates and in drafting the outcomes documents for the two meetings that took place in Fiji and in Australia. </w:t>
      </w:r>
      <w:r w:rsidR="007F5054" w:rsidRPr="2D8F7E15">
        <w:t>This support was in collaboration with SPC’s Principal Strategic Lead</w:t>
      </w:r>
      <w:r w:rsidR="00213E3E">
        <w:t xml:space="preserve"> – Pacific Women and Girls as co-chair of the Pacific Regional Convening Committee</w:t>
      </w:r>
      <w:r w:rsidR="007F5054" w:rsidRPr="2D8F7E15">
        <w:t xml:space="preserve">. </w:t>
      </w:r>
      <w:r w:rsidR="006806F7">
        <w:t>This collaboration led to</w:t>
      </w:r>
      <w:r w:rsidR="00291437" w:rsidRPr="2D8F7E15">
        <w:t xml:space="preserve">a cohesive set of messages that the Pacific delegates </w:t>
      </w:r>
      <w:r w:rsidR="006806F7">
        <w:t>used</w:t>
      </w:r>
      <w:r w:rsidR="006806F7" w:rsidRPr="2D8F7E15">
        <w:t xml:space="preserve"> </w:t>
      </w:r>
      <w:r w:rsidR="00291437" w:rsidRPr="2D8F7E15">
        <w:t>to engage in the Women Deliver conference in Rwanda.</w:t>
      </w:r>
      <w:r w:rsidR="008A0069" w:rsidRPr="008A0069">
        <w:rPr>
          <w:rFonts w:cstheme="minorHAnsi"/>
          <w:noProof/>
        </w:rPr>
        <w:t xml:space="preserve"> </w:t>
      </w:r>
    </w:p>
    <w:p w14:paraId="5E76057B" w14:textId="48B6D429" w:rsidR="00E06531" w:rsidRDefault="00E06531" w:rsidP="00E06531">
      <w:r w:rsidRPr="13565C63">
        <w:t xml:space="preserve">The </w:t>
      </w:r>
      <w:r w:rsidR="00834395">
        <w:t>Women’s Funds</w:t>
      </w:r>
      <w:r w:rsidRPr="13565C63">
        <w:t xml:space="preserve"> are supporting linking of Feminist activists across Pacific and Global platforms. For example, the </w:t>
      </w:r>
      <w:r w:rsidR="00834395">
        <w:t>Women’s Funds</w:t>
      </w:r>
      <w:r w:rsidRPr="13565C63">
        <w:t xml:space="preserve">’ grant making strategy has supported Northern Pacific based feminists to attend the Asia Pacific Feminist Forum (Sept 2024) and the upcoming AWID Forum (Dec 2024). The inclusion of North Pacific based organisations in the partnership’s strategy enabled the </w:t>
      </w:r>
      <w:r w:rsidR="00834395">
        <w:t>Women’s Funds</w:t>
      </w:r>
      <w:r w:rsidRPr="13565C63">
        <w:t xml:space="preserve"> to find specific regional and global spaces to support the inclusion of northern based organisations. </w:t>
      </w:r>
    </w:p>
    <w:p w14:paraId="61797A7F" w14:textId="2BD5B45F" w:rsidR="00CC2552" w:rsidRPr="00EE243C" w:rsidRDefault="00CC585A" w:rsidP="00E06531">
      <w:r>
        <w:rPr>
          <w:noProof/>
        </w:rPr>
        <w:drawing>
          <wp:inline distT="0" distB="0" distL="0" distR="0" wp14:anchorId="40755D94" wp14:editId="02427296">
            <wp:extent cx="6057900" cy="1878716"/>
            <wp:effectExtent l="0" t="0" r="0" b="7620"/>
            <wp:docPr id="2024798562" name="Picture 9" descr="Quote: “I think the one thing that I like about [this forum] is that it’s creating this big powerful movement where feminists can come together and express challenges… and how we can move forward.” – National Feminist Forum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98562" name="Picture 9" descr="Quote: “I think the one thing that I like about [this forum] is that it’s creating this big powerful movement where feminists can come together and express challenges… and how we can move forward.” – National Feminist Forum participant"/>
                    <pic:cNvPicPr/>
                  </pic:nvPicPr>
                  <pic:blipFill rotWithShape="1">
                    <a:blip r:embed="rId25" cstate="print">
                      <a:extLst>
                        <a:ext uri="{28A0092B-C50C-407E-A947-70E740481C1C}">
                          <a14:useLocalDpi xmlns:a14="http://schemas.microsoft.com/office/drawing/2010/main"/>
                        </a:ext>
                      </a:extLst>
                    </a:blip>
                    <a:srcRect/>
                    <a:stretch>
                      <a:fillRect/>
                    </a:stretch>
                  </pic:blipFill>
                  <pic:spPr bwMode="auto">
                    <a:xfrm>
                      <a:off x="0" y="0"/>
                      <a:ext cx="6082202" cy="1886253"/>
                    </a:xfrm>
                    <a:prstGeom prst="rect">
                      <a:avLst/>
                    </a:prstGeom>
                    <a:ln>
                      <a:noFill/>
                    </a:ln>
                    <a:extLst>
                      <a:ext uri="{53640926-AAD7-44D8-BBD7-CCE9431645EC}">
                        <a14:shadowObscured xmlns:a14="http://schemas.microsoft.com/office/drawing/2010/main"/>
                      </a:ext>
                    </a:extLst>
                  </pic:spPr>
                </pic:pic>
              </a:graphicData>
            </a:graphic>
          </wp:inline>
        </w:drawing>
      </w:r>
    </w:p>
    <w:p w14:paraId="495A48C8" w14:textId="2B0C927E" w:rsidR="005C181C" w:rsidRPr="00832B49" w:rsidRDefault="006B3F82" w:rsidP="00832B49">
      <w:pPr>
        <w:spacing w:after="120"/>
        <w:rPr>
          <w:rFonts w:asciiTheme="majorHAnsi" w:hAnsiTheme="majorHAnsi"/>
          <w:color w:val="984C00" w:themeColor="accent1" w:themeShade="BF"/>
          <w:sz w:val="22"/>
          <w:szCs w:val="24"/>
        </w:rPr>
      </w:pPr>
      <w:r w:rsidRPr="00832B49">
        <w:rPr>
          <w:rFonts w:asciiTheme="majorHAnsi" w:hAnsiTheme="majorHAnsi"/>
          <w:color w:val="984C00" w:themeColor="accent1" w:themeShade="BF"/>
          <w:sz w:val="22"/>
          <w:szCs w:val="24"/>
        </w:rPr>
        <w:t xml:space="preserve">DFAT </w:t>
      </w:r>
      <w:r w:rsidR="00832B49">
        <w:rPr>
          <w:rFonts w:asciiTheme="majorHAnsi" w:hAnsiTheme="majorHAnsi"/>
          <w:color w:val="984C00" w:themeColor="accent1" w:themeShade="BF"/>
          <w:sz w:val="22"/>
          <w:szCs w:val="24"/>
        </w:rPr>
        <w:t>regional</w:t>
      </w:r>
      <w:r w:rsidRPr="00832B49">
        <w:rPr>
          <w:rFonts w:asciiTheme="majorHAnsi" w:hAnsiTheme="majorHAnsi"/>
          <w:color w:val="984C00" w:themeColor="accent1" w:themeShade="BF"/>
          <w:sz w:val="22"/>
          <w:szCs w:val="24"/>
        </w:rPr>
        <w:t xml:space="preserve"> </w:t>
      </w:r>
      <w:r w:rsidR="005438E2" w:rsidRPr="00832B49">
        <w:rPr>
          <w:rFonts w:asciiTheme="majorHAnsi" w:hAnsiTheme="majorHAnsi"/>
          <w:color w:val="984C00" w:themeColor="accent1" w:themeShade="BF"/>
          <w:sz w:val="22"/>
          <w:szCs w:val="24"/>
        </w:rPr>
        <w:t>and bilateral programs</w:t>
      </w:r>
    </w:p>
    <w:p w14:paraId="21051E4B" w14:textId="4E3C71BE" w:rsidR="006B0CE5" w:rsidRPr="006B0CE5" w:rsidRDefault="006B0CE5" w:rsidP="006B0CE5">
      <w:r w:rsidRPr="006B0CE5">
        <w:t xml:space="preserve">DFAT regional programs have supported a range of strategic convening efforts throughout the Pacific, enhancing coordination across different thematic areas. The </w:t>
      </w:r>
      <w:r w:rsidR="003844CB">
        <w:t xml:space="preserve">UNFPA </w:t>
      </w:r>
      <w:r w:rsidRPr="006B0CE5">
        <w:t xml:space="preserve">Transformative Agenda supported country SRHR committees and comprehensive sexual education steering committees in four countries, while the </w:t>
      </w:r>
      <w:r w:rsidR="00B82331" w:rsidRPr="00804FEE">
        <w:rPr>
          <w:rFonts w:ascii="Arial" w:hAnsi="Arial" w:cs="Arial"/>
        </w:rPr>
        <w:t>Pacific Partnership to End Violence Against Women and Girls</w:t>
      </w:r>
      <w:r w:rsidR="00B82331" w:rsidRPr="006B0CE5">
        <w:t xml:space="preserve"> </w:t>
      </w:r>
      <w:r w:rsidR="00B82331">
        <w:t>(</w:t>
      </w:r>
      <w:r w:rsidRPr="006B0CE5">
        <w:t>PPEVAWG</w:t>
      </w:r>
      <w:r w:rsidR="00B82331">
        <w:t>)</w:t>
      </w:r>
      <w:r w:rsidRPr="006B0CE5">
        <w:t xml:space="preserve"> program delivered the Regional Services Symposium for women's crisis centres with over 100 representatives and coordinated emergency preparedness between services, CSOs, and national women's machineries in four countries. Additionally, the </w:t>
      </w:r>
      <w:r w:rsidR="00B82331" w:rsidRPr="00804FEE">
        <w:rPr>
          <w:rFonts w:ascii="Arial" w:hAnsi="Arial" w:cs="Arial"/>
        </w:rPr>
        <w:t>Women’s Resilience to Disasters</w:t>
      </w:r>
      <w:r w:rsidR="00B82331" w:rsidRPr="006B0CE5">
        <w:t xml:space="preserve"> </w:t>
      </w:r>
      <w:r w:rsidR="00B82331">
        <w:t>(</w:t>
      </w:r>
      <w:r w:rsidRPr="006B0CE5">
        <w:t>WRD</w:t>
      </w:r>
      <w:r w:rsidR="00B82331">
        <w:t xml:space="preserve">) </w:t>
      </w:r>
      <w:r w:rsidRPr="006B0CE5">
        <w:t>program convened a gender and social inclusion technical working group supporting the Framework for Resilient Development in the Pacific, and the M4C program facilitated convenings of market vendor associations, local councils, and governments at provincial and national levels in four countries.</w:t>
      </w:r>
    </w:p>
    <w:p w14:paraId="6DACA140" w14:textId="1A39A34C" w:rsidR="00A56804" w:rsidRDefault="006B0CE5" w:rsidP="00CD36A3">
      <w:r w:rsidRPr="006B0CE5">
        <w:t>While this review didn't specifically examine DFAT Posts' contributions to gender equality convenings at the national level, interviews revealed a notable example from Samoa, where the bilateral investment facility convened a roundtable meeting with the Ministry of Finance, key ministries, and CEOs to discuss Gender Equality, Disability and Social Inclusion (GEDSI) in the Samoan context. These convenings demonstrate DFAT's multilevel approach to facilitating dialogue and coordination on gender equality initiatives across the Pacific region.</w:t>
      </w:r>
    </w:p>
    <w:p w14:paraId="13AE0EB3" w14:textId="77777777" w:rsidR="006E5552" w:rsidRDefault="006E5552">
      <w:pPr>
        <w:rPr>
          <w:rFonts w:asciiTheme="majorHAnsi" w:hAnsiTheme="majorHAnsi"/>
          <w:color w:val="0D3E67" w:themeColor="accent3"/>
          <w:sz w:val="32"/>
        </w:rPr>
      </w:pPr>
      <w:r>
        <w:br w:type="page"/>
      </w:r>
    </w:p>
    <w:p w14:paraId="28488070" w14:textId="06D0CF51" w:rsidR="005720C3" w:rsidRDefault="007B6093" w:rsidP="00753A64">
      <w:pPr>
        <w:pStyle w:val="Subheading"/>
      </w:pPr>
      <w:r>
        <w:lastRenderedPageBreak/>
        <w:t>T</w:t>
      </w:r>
      <w:r w:rsidR="00107669">
        <w:t>echnical</w:t>
      </w:r>
      <w:r w:rsidR="00107669" w:rsidRPr="00EE243C">
        <w:t xml:space="preserve"> support</w:t>
      </w:r>
      <w:r w:rsidR="00EF4AED" w:rsidRPr="00EE243C">
        <w:t xml:space="preserve"> and gender mainstreaming</w:t>
      </w:r>
    </w:p>
    <w:p w14:paraId="26D7CE5E" w14:textId="6E2F9203" w:rsidR="00EF6DB6" w:rsidRDefault="00674BA9" w:rsidP="00EF6DB6">
      <w:r w:rsidRPr="00674BA9">
        <w:t xml:space="preserve">Note that this focuses on technical support provided by the component leads (such as SPC’s support to member governments) and does not focus on partner technical support to Pacific communities (such as a SPC grantees’ technical support through their projects). </w:t>
      </w:r>
      <w:r w:rsidR="00FF6144">
        <w:t>Technical advice and support</w:t>
      </w:r>
      <w:r w:rsidR="00662A9D">
        <w:t xml:space="preserve"> f</w:t>
      </w:r>
      <w:r w:rsidR="00FF6144">
        <w:t xml:space="preserve">or </w:t>
      </w:r>
      <w:r w:rsidR="00EF6DB6">
        <w:t xml:space="preserve">gender </w:t>
      </w:r>
      <w:r w:rsidR="00FF6144">
        <w:t>mainstreaming</w:t>
      </w:r>
      <w:r w:rsidR="00EF6DB6" w:rsidRPr="00EF6DB6">
        <w:t xml:space="preserve"> across the Pacific has been highly effective through </w:t>
      </w:r>
      <w:r w:rsidR="00EF6DB6">
        <w:t>PWL</w:t>
      </w:r>
      <w:r w:rsidR="00EF6DB6" w:rsidRPr="00EF6DB6">
        <w:t xml:space="preserve"> </w:t>
      </w:r>
      <w:r w:rsidR="00EF6DB6">
        <w:t>components</w:t>
      </w:r>
      <w:r w:rsidR="00EF6DB6" w:rsidRPr="00EF6DB6">
        <w:t xml:space="preserve">, with SPC, </w:t>
      </w:r>
      <w:r w:rsidR="00C1511B">
        <w:t>PIF</w:t>
      </w:r>
      <w:r w:rsidR="00EF6DB6" w:rsidRPr="00EF6DB6">
        <w:t xml:space="preserve">S, PWLES, and DFAT programs all providing tailored assistance that has strengthened institutional capacity, supported policy development, and enhanced government engagement. </w:t>
      </w:r>
      <w:bookmarkStart w:id="54" w:name="_Hlk200637408"/>
      <w:r w:rsidR="00EF6DB6" w:rsidRPr="00EF6DB6">
        <w:t xml:space="preserve">The evidence demonstrates significant improvements in gender mainstreaming capabilities at both regional and national levels, with concrete examples of changed attitudes, policies, processes, and resourcing that respond to partners' specific needs. These coordinated efforts have embedded gender equality considerations in key regional frameworks </w:t>
      </w:r>
      <w:r w:rsidR="00EF6DB6">
        <w:t>and</w:t>
      </w:r>
      <w:r w:rsidR="00EF6DB6" w:rsidRPr="00EF6DB6">
        <w:t xml:space="preserve"> strengthened the capacity of Pacific Island country governments to contribute gender perspectives in decision-making processes.</w:t>
      </w:r>
    </w:p>
    <w:bookmarkEnd w:id="54"/>
    <w:p w14:paraId="10BD54B8" w14:textId="51946744" w:rsidR="008E4939" w:rsidRPr="00832B49" w:rsidRDefault="008E4939" w:rsidP="00590D06">
      <w:pPr>
        <w:spacing w:after="120"/>
        <w:rPr>
          <w:rStyle w:val="Strong"/>
          <w:rFonts w:asciiTheme="majorHAnsi" w:hAnsiTheme="majorHAnsi"/>
          <w:b w:val="0"/>
          <w:bCs w:val="0"/>
          <w:color w:val="984C00" w:themeColor="accent1" w:themeShade="BF"/>
          <w:sz w:val="22"/>
          <w:szCs w:val="24"/>
        </w:rPr>
      </w:pPr>
      <w:r w:rsidRPr="00832B49">
        <w:rPr>
          <w:rStyle w:val="Strong"/>
          <w:rFonts w:asciiTheme="majorHAnsi" w:hAnsiTheme="majorHAnsi"/>
          <w:b w:val="0"/>
          <w:bCs w:val="0"/>
          <w:color w:val="984C00" w:themeColor="accent1" w:themeShade="BF"/>
          <w:sz w:val="22"/>
          <w:szCs w:val="24"/>
        </w:rPr>
        <w:t>SPC</w:t>
      </w:r>
    </w:p>
    <w:p w14:paraId="7E916246" w14:textId="62DA6138" w:rsidR="00A145E2" w:rsidRPr="003261BC" w:rsidRDefault="006A7116" w:rsidP="003261BC">
      <w:pPr>
        <w:spacing w:after="120"/>
        <w:rPr>
          <w:rFonts w:asciiTheme="majorHAnsi" w:hAnsiTheme="majorHAnsi"/>
          <w:color w:val="auto"/>
        </w:rPr>
      </w:pPr>
      <w:r w:rsidRPr="003261BC">
        <w:rPr>
          <w:rFonts w:asciiTheme="majorHAnsi" w:hAnsiTheme="majorHAnsi"/>
          <w:color w:val="auto"/>
        </w:rPr>
        <w:t xml:space="preserve">Support for SPC </w:t>
      </w:r>
      <w:r w:rsidR="002F0577" w:rsidRPr="003261BC">
        <w:rPr>
          <w:rFonts w:asciiTheme="majorHAnsi" w:hAnsiTheme="majorHAnsi"/>
          <w:color w:val="auto"/>
        </w:rPr>
        <w:t>gender mainstreaming</w:t>
      </w:r>
    </w:p>
    <w:p w14:paraId="4983964A" w14:textId="7F893681" w:rsidR="001A272D" w:rsidRDefault="001A272D" w:rsidP="0069066A">
      <w:pPr>
        <w:rPr>
          <w:rFonts w:cstheme="minorHAnsi"/>
        </w:rPr>
      </w:pPr>
      <w:r w:rsidRPr="001A272D">
        <w:rPr>
          <w:rFonts w:cstheme="minorHAnsi"/>
        </w:rPr>
        <w:t>SPC has implemented comprehensive internal measures to improve technical capacity and mainstream gender across its organi</w:t>
      </w:r>
      <w:r>
        <w:rPr>
          <w:rFonts w:cstheme="minorHAnsi"/>
        </w:rPr>
        <w:t>s</w:t>
      </w:r>
      <w:r w:rsidRPr="001A272D">
        <w:rPr>
          <w:rFonts w:cstheme="minorHAnsi"/>
        </w:rPr>
        <w:t>ational structure. Central to these efforts is the establishment of the Principal Strategic Lead – Pacific Women and Girls role and the SPC Gender Equality Flagship, which follows a two-pronged approach: internal institutional strengthening and gender equality initiatives across divisions to serve SPC members. As one staff member noted, SPC's tailored technical support approach is "</w:t>
      </w:r>
      <w:r w:rsidRPr="001A272D">
        <w:rPr>
          <w:rFonts w:cstheme="minorHAnsi"/>
          <w:i/>
          <w:iCs/>
        </w:rPr>
        <w:t xml:space="preserve">fit for purpose," </w:t>
      </w:r>
      <w:r w:rsidRPr="001A272D">
        <w:rPr>
          <w:rFonts w:cstheme="minorHAnsi"/>
        </w:rPr>
        <w:t>building vital capabilities within the organi</w:t>
      </w:r>
      <w:r>
        <w:rPr>
          <w:rFonts w:cstheme="minorHAnsi"/>
        </w:rPr>
        <w:t>s</w:t>
      </w:r>
      <w:r w:rsidRPr="001A272D">
        <w:rPr>
          <w:rFonts w:cstheme="minorHAnsi"/>
        </w:rPr>
        <w:t>ation with evidence of changes in attitudes, policies, processes, and resourcing to respond to partner needs.</w:t>
      </w:r>
    </w:p>
    <w:p w14:paraId="6E14A6DE" w14:textId="2C78D71A" w:rsidR="008E4939" w:rsidRDefault="001A272D" w:rsidP="0069066A">
      <w:r>
        <w:t xml:space="preserve">Through PWL funding, </w:t>
      </w:r>
      <w:r w:rsidR="008E4939" w:rsidRPr="4885E3A3">
        <w:t xml:space="preserve">SPC has strengthened its operational capacity for gender mainstreaming </w:t>
      </w:r>
      <w:r>
        <w:t>by</w:t>
      </w:r>
      <w:r w:rsidR="008E4939" w:rsidRPr="4885E3A3">
        <w:t xml:space="preserve"> supporting in part or in full over 50 positions across its programs, including advisors in the Maritime and Energy sectors. This support extends to policy and procedural enhancements, including the development of a tiered grant system with Protection from Sexual Exploitation, Abuse, and Harassment criteria to support safe partnerships. SPC has further invested in capability-building for its staff through CEDAW workshops and policy sessions. Intersectional inclusion is integral to SPC’s approach, with partnerships with the Pacific Youth Council and National Youth Council to elevate voices of adolescent girls and marginalised groups, such as SOGIESC and disability communities</w:t>
      </w:r>
      <w:r w:rsidR="00B03DB2" w:rsidRPr="4885E3A3">
        <w:t>, and feeding through existing SPC initiatives such as Funding with Intent and Pacific Peoples Advancing Change</w:t>
      </w:r>
      <w:r w:rsidR="005F015F" w:rsidRPr="4885E3A3">
        <w:t xml:space="preserve">. </w:t>
      </w:r>
    </w:p>
    <w:p w14:paraId="63ADEDC9" w14:textId="5A6C87B8" w:rsidR="006457B1" w:rsidRPr="00EE243C" w:rsidRDefault="006457B1" w:rsidP="0069066A">
      <w:pPr>
        <w:rPr>
          <w:rFonts w:eastAsia="Arial"/>
        </w:rPr>
      </w:pPr>
      <w:r>
        <w:rPr>
          <w:rFonts w:eastAsia="Arial"/>
          <w:noProof/>
        </w:rPr>
        <w:drawing>
          <wp:inline distT="0" distB="0" distL="0" distR="0" wp14:anchorId="109F900A" wp14:editId="4A328A2E">
            <wp:extent cx="6073140" cy="2007137"/>
            <wp:effectExtent l="0" t="0" r="3810" b="0"/>
            <wp:docPr id="1622057230" name="Picture 10" descr="Quote: “I’ve seen the support that SPC is providing to other CROP agencies… SPC is bringing an integrated approach and bringing synergies across those sectors.” – MTR interview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57230" name="Picture 10" descr="Quote: “I’ve seen the support that SPC is providing to other CROP agencies… SPC is bringing an integrated approach and bringing synergies across those sectors.” – MTR interviewee"/>
                    <pic:cNvPicPr/>
                  </pic:nvPicPr>
                  <pic:blipFill rotWithShape="1">
                    <a:blip r:embed="rId26" cstate="print">
                      <a:extLst>
                        <a:ext uri="{28A0092B-C50C-407E-A947-70E740481C1C}">
                          <a14:useLocalDpi xmlns:a14="http://schemas.microsoft.com/office/drawing/2010/main"/>
                        </a:ext>
                      </a:extLst>
                    </a:blip>
                    <a:srcRect/>
                    <a:stretch>
                      <a:fillRect/>
                    </a:stretch>
                  </pic:blipFill>
                  <pic:spPr bwMode="auto">
                    <a:xfrm>
                      <a:off x="0" y="0"/>
                      <a:ext cx="6087547" cy="2011898"/>
                    </a:xfrm>
                    <a:prstGeom prst="rect">
                      <a:avLst/>
                    </a:prstGeom>
                    <a:ln>
                      <a:noFill/>
                    </a:ln>
                    <a:extLst>
                      <a:ext uri="{53640926-AAD7-44D8-BBD7-CCE9431645EC}">
                        <a14:shadowObscured xmlns:a14="http://schemas.microsoft.com/office/drawing/2010/main"/>
                      </a:ext>
                    </a:extLst>
                  </pic:spPr>
                </pic:pic>
              </a:graphicData>
            </a:graphic>
          </wp:inline>
        </w:drawing>
      </w:r>
    </w:p>
    <w:p w14:paraId="4EF8B121" w14:textId="41DEC569" w:rsidR="00B777A0" w:rsidRPr="003261BC" w:rsidRDefault="00913852" w:rsidP="003261BC">
      <w:pPr>
        <w:spacing w:after="120"/>
        <w:rPr>
          <w:rFonts w:asciiTheme="majorHAnsi" w:hAnsiTheme="majorHAnsi"/>
          <w:color w:val="auto"/>
        </w:rPr>
      </w:pPr>
      <w:r w:rsidRPr="003261BC">
        <w:rPr>
          <w:rFonts w:asciiTheme="majorHAnsi" w:hAnsiTheme="majorHAnsi"/>
          <w:color w:val="auto"/>
        </w:rPr>
        <w:t xml:space="preserve">Technical advice and support to </w:t>
      </w:r>
      <w:r w:rsidR="0096386B" w:rsidRPr="003261BC">
        <w:rPr>
          <w:rFonts w:asciiTheme="majorHAnsi" w:hAnsiTheme="majorHAnsi"/>
          <w:color w:val="auto"/>
        </w:rPr>
        <w:t>external stakeholders</w:t>
      </w:r>
    </w:p>
    <w:p w14:paraId="745B86E5" w14:textId="2F2F44C3" w:rsidR="00A56804" w:rsidRPr="00A56804" w:rsidRDefault="00A56804" w:rsidP="00A56804">
      <w:r w:rsidRPr="00A56804">
        <w:t xml:space="preserve">SPC serves as the custodian of the Pacific Platform for Action for Gender Equality and Women's Human Rights (PPA), a critical roadmap for advancing gender equality in the Pacific. </w:t>
      </w:r>
      <w:r w:rsidR="00444530" w:rsidRPr="00444530">
        <w:t>The PPA serves as a guiding framework for policy and actions in Pacific Island countries and territories, supporting the implementation of national, regional, and international commitments to gender equality. It provides a structure for prioritising strategic approaches and is reviewed and updated regularly to reflect the evolving needs of the region.</w:t>
      </w:r>
      <w:r w:rsidR="0073609D">
        <w:t xml:space="preserve"> </w:t>
      </w:r>
      <w:r w:rsidRPr="00A56804">
        <w:t xml:space="preserve">This responsibility aligns with SPC's broader mandate to support regional </w:t>
      </w:r>
      <w:r w:rsidRPr="00A56804">
        <w:lastRenderedPageBreak/>
        <w:t xml:space="preserve">gender equality goals and complements other significant frameworks including the Revitalised PLGED and the Sustainable Development Goals. SPC actively uses the PPA to benchmark progress through the Triennial Conference of Pacific Women and </w:t>
      </w:r>
      <w:r>
        <w:t>works</w:t>
      </w:r>
      <w:r w:rsidRPr="00A56804">
        <w:t xml:space="preserve"> with </w:t>
      </w:r>
      <w:r w:rsidR="00C1511B">
        <w:t>PIFS</w:t>
      </w:r>
      <w:r w:rsidRPr="00A56804">
        <w:t xml:space="preserve"> on</w:t>
      </w:r>
      <w:r>
        <w:t xml:space="preserve"> collaborative reporting processes to</w:t>
      </w:r>
      <w:r w:rsidRPr="00A56804">
        <w:t xml:space="preserve"> implement the PLGED MEL Plan. This partnership approach has successfully increased engagement from </w:t>
      </w:r>
      <w:r>
        <w:t>CSOs</w:t>
      </w:r>
      <w:r w:rsidRPr="00A56804">
        <w:t xml:space="preserve"> and strengthened regional coordination on gender equality initiatives.</w:t>
      </w:r>
    </w:p>
    <w:p w14:paraId="7652FEF1" w14:textId="2DA7E9B5" w:rsidR="00A56804" w:rsidRPr="00A56804" w:rsidRDefault="00A56804" w:rsidP="00A56804">
      <w:r w:rsidRPr="00A56804">
        <w:t>SPC provides essential support to Pacific national governments through relationship building, technical assistance, and targeted funding. Through Stream A grants, SPC works directly with member governments to understand their specific needs and tailor support accordingly. Notable examples include assisting governments with Beijing Platform for Action (BPA)+30 reporting and providing technical assistance for developing gender-responsive policies and legislation that promote women's human rights</w:t>
      </w:r>
      <w:r>
        <w:t xml:space="preserve"> in alignment with key regional and international agreements</w:t>
      </w:r>
      <w:r w:rsidRPr="00A56804">
        <w:t>. As one government interviewee emphasi</w:t>
      </w:r>
      <w:r>
        <w:t>s</w:t>
      </w:r>
      <w:r w:rsidRPr="00A56804">
        <w:t xml:space="preserve">ed, </w:t>
      </w:r>
      <w:r w:rsidRPr="00A56804">
        <w:rPr>
          <w:i/>
          <w:iCs/>
        </w:rPr>
        <w:t>"the PWL program's proportion that is sitting in SPC is purposeful. It has the most reach into government spaces."</w:t>
      </w:r>
    </w:p>
    <w:p w14:paraId="690B63C0" w14:textId="74A1F107" w:rsidR="00A56804" w:rsidRPr="00A56804" w:rsidRDefault="00A56804" w:rsidP="00A56804">
      <w:r>
        <w:t>SPC’s</w:t>
      </w:r>
      <w:r w:rsidRPr="00A56804">
        <w:t xml:space="preserve"> comprehensive approach includes funding Country Focal Points for EVAWG in member governments, facilitating collaboration between communities and state governments to address gender-based violence. SPC has also significantly advanced gender research and data accessibility by transitioning over 300 datasets to the Pacific Data Hub and managing the </w:t>
      </w:r>
      <w:proofErr w:type="spellStart"/>
      <w:r w:rsidRPr="00A56804">
        <w:t>Toksave</w:t>
      </w:r>
      <w:proofErr w:type="spellEnd"/>
      <w:r w:rsidRPr="00A56804">
        <w:t xml:space="preserve"> Pacific Gender Resource portal. Additionally, SPC funds a gender statistics advisor who developed a gender dashboard aligned with the regional gender statistics roadmap, strengthening evidence-based decision-making across the region.</w:t>
      </w:r>
    </w:p>
    <w:p w14:paraId="2DCB6DF9" w14:textId="3A435139" w:rsidR="00C51D14" w:rsidRPr="00EE243C" w:rsidRDefault="00A56804" w:rsidP="00C51D14">
      <w:pPr>
        <w:rPr>
          <w:rFonts w:cstheme="minorHAnsi"/>
        </w:rPr>
      </w:pPr>
      <w:r w:rsidRPr="00A56804">
        <w:t xml:space="preserve">SPC facilitates national and regional engagement through supporting initiatives like the </w:t>
      </w:r>
      <w:proofErr w:type="spellStart"/>
      <w:r w:rsidRPr="00A56804">
        <w:t>Ainikien</w:t>
      </w:r>
      <w:proofErr w:type="spellEnd"/>
      <w:r w:rsidRPr="00A56804">
        <w:t xml:space="preserve"> Kora Forum in the Republic of Marshall Islands as they prepared to chair the 15th Triennial Conference in 2024, and regional learning exchanges on gender legislation including the CEDAW</w:t>
      </w:r>
      <w:r w:rsidR="0081230E">
        <w:t xml:space="preserve"> (</w:t>
      </w:r>
      <w:r w:rsidR="0081230E" w:rsidRPr="0081230E">
        <w:t>Convention on the Elimination of All Forms of Discrimination Against Women</w:t>
      </w:r>
      <w:r w:rsidR="0081230E">
        <w:t>)</w:t>
      </w:r>
      <w:r w:rsidRPr="00A56804">
        <w:t xml:space="preserve"> Learning Exchange and Regional Working Group on Family Protection Legislation. They also supported the 2nd Micronesian Ministers for Women Conference in Nauru under the theme '</w:t>
      </w:r>
      <w:proofErr w:type="spellStart"/>
      <w:r w:rsidRPr="00A56804">
        <w:t>Eõ</w:t>
      </w:r>
      <w:proofErr w:type="spellEnd"/>
      <w:r w:rsidRPr="00A56804">
        <w:t xml:space="preserve"> </w:t>
      </w:r>
      <w:proofErr w:type="spellStart"/>
      <w:r w:rsidRPr="00A56804">
        <w:t>Ngage</w:t>
      </w:r>
      <w:proofErr w:type="spellEnd"/>
      <w:r w:rsidRPr="00A56804">
        <w:t xml:space="preserve"> - </w:t>
      </w:r>
      <w:proofErr w:type="spellStart"/>
      <w:r w:rsidRPr="00A56804">
        <w:t>Eõ</w:t>
      </w:r>
      <w:proofErr w:type="spellEnd"/>
      <w:r w:rsidRPr="00A56804">
        <w:t xml:space="preserve"> Yaran - </w:t>
      </w:r>
      <w:proofErr w:type="spellStart"/>
      <w:r w:rsidRPr="00A56804">
        <w:t>Añ</w:t>
      </w:r>
      <w:proofErr w:type="spellEnd"/>
      <w:r w:rsidRPr="00A56804">
        <w:t xml:space="preserve"> </w:t>
      </w:r>
      <w:proofErr w:type="spellStart"/>
      <w:r w:rsidRPr="00A56804">
        <w:t>Towepo</w:t>
      </w:r>
      <w:proofErr w:type="spellEnd"/>
      <w:r w:rsidRPr="00A56804">
        <w:t xml:space="preserve">.' These efforts reinforce regional </w:t>
      </w:r>
      <w:r w:rsidR="00C860FD" w:rsidRPr="00A56804">
        <w:t>commitments</w:t>
      </w:r>
      <w:r w:rsidR="00C860FD">
        <w:t xml:space="preserve"> and</w:t>
      </w:r>
      <w:r>
        <w:t xml:space="preserve"> strengthen a collective approach</w:t>
      </w:r>
      <w:r w:rsidRPr="00A56804">
        <w:t xml:space="preserve"> while promoting </w:t>
      </w:r>
      <w:r>
        <w:t>integration</w:t>
      </w:r>
      <w:r w:rsidRPr="00A56804">
        <w:t xml:space="preserve"> across sector</w:t>
      </w:r>
      <w:r>
        <w:t xml:space="preserve">s. </w:t>
      </w:r>
      <w:r w:rsidR="008E4939" w:rsidRPr="00EE243C">
        <w:rPr>
          <w:rFonts w:cstheme="minorHAnsi"/>
        </w:rPr>
        <w:t xml:space="preserve">All interviewees from national governments reported responsive and efficient engagement at the </w:t>
      </w:r>
      <w:r w:rsidR="00C51D14" w:rsidRPr="00EE243C">
        <w:rPr>
          <w:rFonts w:cstheme="minorHAnsi"/>
        </w:rPr>
        <w:t>national</w:t>
      </w:r>
      <w:r w:rsidR="008E4939" w:rsidRPr="00EE243C">
        <w:rPr>
          <w:rFonts w:cstheme="minorHAnsi"/>
        </w:rPr>
        <w:t xml:space="preserve"> level</w:t>
      </w:r>
      <w:r>
        <w:rPr>
          <w:rFonts w:cstheme="minorHAnsi"/>
        </w:rPr>
        <w:t>.</w:t>
      </w:r>
      <w:r w:rsidR="00C51D14" w:rsidRPr="00EE243C">
        <w:rPr>
          <w:rFonts w:cstheme="minorHAnsi"/>
        </w:rPr>
        <w:t xml:space="preserve"> </w:t>
      </w:r>
    </w:p>
    <w:p w14:paraId="558CDC5F" w14:textId="7FC7830C" w:rsidR="006B151F" w:rsidRPr="00832B49" w:rsidRDefault="00C1511B" w:rsidP="003261BC">
      <w:pPr>
        <w:spacing w:after="120"/>
        <w:rPr>
          <w:rFonts w:asciiTheme="majorHAnsi" w:hAnsiTheme="majorHAnsi"/>
          <w:color w:val="984C00" w:themeColor="accent1" w:themeShade="BF"/>
          <w:sz w:val="22"/>
          <w:szCs w:val="24"/>
        </w:rPr>
      </w:pPr>
      <w:r w:rsidRPr="00832B49">
        <w:rPr>
          <w:rFonts w:asciiTheme="majorHAnsi" w:hAnsiTheme="majorHAnsi"/>
          <w:color w:val="984C00" w:themeColor="accent1" w:themeShade="BF"/>
          <w:sz w:val="22"/>
          <w:szCs w:val="24"/>
        </w:rPr>
        <w:t>PIFS</w:t>
      </w:r>
    </w:p>
    <w:p w14:paraId="7F3F7FA2" w14:textId="21418E42" w:rsidR="00CA41C2" w:rsidRPr="00CA41C2" w:rsidRDefault="00C1511B" w:rsidP="00CA41C2">
      <w:r>
        <w:t>PIFS</w:t>
      </w:r>
      <w:r w:rsidR="00CA41C2" w:rsidRPr="00CA41C2">
        <w:t xml:space="preserve"> plays a critical role in providing technical support for gender mainstreaming in regional and national initiatives across the Pacific. As the custodian of the PLGED and convenor of the</w:t>
      </w:r>
      <w:r w:rsidR="00A855EA">
        <w:t xml:space="preserve"> </w:t>
      </w:r>
      <w:r>
        <w:t>PIF</w:t>
      </w:r>
      <w:r w:rsidR="00A855EA">
        <w:t>WLM</w:t>
      </w:r>
      <w:r w:rsidR="00CA41C2" w:rsidRPr="00CA41C2">
        <w:t xml:space="preserve">, </w:t>
      </w:r>
      <w:r>
        <w:t>PIFS</w:t>
      </w:r>
      <w:r w:rsidR="00CA41C2" w:rsidRPr="00CA41C2">
        <w:t xml:space="preserve"> leads on the 2050 Strategy for the Blue Pacific Continent while ensuring alignment of regional gender equality policy work. Their efforts have successfully mainstreamed gender equality and embedded social inclusion in both the 2050 Strategy and its Implementation Plan, while also aligning </w:t>
      </w:r>
      <w:r w:rsidR="009B10A8">
        <w:t>PPA</w:t>
      </w:r>
      <w:r w:rsidR="00CA41C2" w:rsidRPr="00CA41C2">
        <w:t xml:space="preserve"> with PLGED efforts. </w:t>
      </w:r>
      <w:r>
        <w:t>PIFS</w:t>
      </w:r>
      <w:r w:rsidR="00CA41C2" w:rsidRPr="00CA41C2">
        <w:t xml:space="preserve"> engages directly with Ministers for Women, who are instrumental in mainstreaming gender equality within their respective countries and has notably supported an increased number of male Ministers who now champion gender equality action throughout the region.</w:t>
      </w:r>
    </w:p>
    <w:p w14:paraId="3F853B49" w14:textId="77777777" w:rsidR="00290E54" w:rsidRPr="00832B49" w:rsidRDefault="00290E54" w:rsidP="003261BC">
      <w:pPr>
        <w:spacing w:after="120"/>
        <w:rPr>
          <w:rFonts w:asciiTheme="majorHAnsi" w:hAnsiTheme="majorHAnsi"/>
          <w:color w:val="984C00" w:themeColor="accent1" w:themeShade="BF"/>
          <w:sz w:val="22"/>
          <w:szCs w:val="24"/>
        </w:rPr>
      </w:pPr>
      <w:r w:rsidRPr="00832B49">
        <w:rPr>
          <w:rFonts w:asciiTheme="majorHAnsi" w:hAnsiTheme="majorHAnsi"/>
          <w:color w:val="984C00" w:themeColor="accent1" w:themeShade="BF"/>
          <w:sz w:val="22"/>
          <w:szCs w:val="24"/>
        </w:rPr>
        <w:t>PWLES</w:t>
      </w:r>
    </w:p>
    <w:p w14:paraId="5217EAD0" w14:textId="115CAF12" w:rsidR="00A9761E" w:rsidRDefault="00A9761E" w:rsidP="00A9761E">
      <w:r w:rsidRPr="00A9761E">
        <w:t xml:space="preserve">PWLES has effectively supported gender mainstreaming through the QTAG and three embedded technical advisors. </w:t>
      </w:r>
      <w:r w:rsidR="00A855EA">
        <w:t>The LTAs</w:t>
      </w:r>
      <w:r w:rsidRPr="00A9761E">
        <w:t xml:space="preserve"> have successfully targeted and responded to capacity gaps in Pacific Island country governments, providing ongoing technical support to Tuvalu and the</w:t>
      </w:r>
      <w:r w:rsidR="00A855EA">
        <w:t xml:space="preserve"> FSM</w:t>
      </w:r>
      <w:r w:rsidRPr="00A9761E">
        <w:t xml:space="preserve"> for both gender mainstreaming and targeted gender programming. This support has significantly enhanced local capacity, as evidenced by feedback from Tuvalu officials: </w:t>
      </w:r>
      <w:r w:rsidRPr="003543AB">
        <w:rPr>
          <w:i/>
          <w:iCs/>
        </w:rPr>
        <w:t xml:space="preserve">"Technical support is very helpful and the capacity building for the Gender Affairs Department in Government. Before [the support], when we were invited to meetings, we were just there to attend before, we didn't contribute because we did not understand but [the LTA] has helped us so much and now we are able to contribute and give gender perspectives." </w:t>
      </w:r>
      <w:r w:rsidRPr="00A9761E">
        <w:t>Multiple partners acknowledged the need for increased support, noting the early stage of appreciation for gender mainstreaming objectives across Pacific ministries.</w:t>
      </w:r>
    </w:p>
    <w:p w14:paraId="5FF24388" w14:textId="77777777" w:rsidR="003D35B5" w:rsidRDefault="00A9761E" w:rsidP="00A9761E">
      <w:r w:rsidRPr="00A9761E">
        <w:lastRenderedPageBreak/>
        <w:t xml:space="preserve">The QTAG has proven to be an effective mechanism for responding to technical support requests from diverse partners. Comprising 55 advisors and regularly updated to meet emerging needs, the QTAG complements SPC's capacity by providing independent technical advice to SPC and DFAT streams of PWL. </w:t>
      </w:r>
    </w:p>
    <w:p w14:paraId="52182870" w14:textId="2587A5D9" w:rsidR="00A9761E" w:rsidRDefault="00A9761E" w:rsidP="00A9761E">
      <w:pPr>
        <w:rPr>
          <w:i/>
          <w:iCs/>
        </w:rPr>
      </w:pPr>
      <w:r w:rsidRPr="00A9761E">
        <w:t>Since the program's inception, QTAG specialists have delivered over 43 projects in a timely manner, including Gender Country Plans for eight countries, GEDSI analysis and strategy work, gender mainstreaming training, annual work planning, technical support to governments, and assistance to sports program partners. All interviewed partners, including sports organi</w:t>
      </w:r>
      <w:r>
        <w:t>s</w:t>
      </w:r>
      <w:r w:rsidRPr="00A9761E">
        <w:t xml:space="preserve">ations, spoke positively about QTAG support and their engagements with the PWLES team. As noted in the DT Global Effectiveness review: </w:t>
      </w:r>
      <w:r w:rsidRPr="00A9761E">
        <w:rPr>
          <w:i/>
          <w:iCs/>
        </w:rPr>
        <w:t>"The QTAG has been effectively managed, including having a dedicated coordinator who is supported by a GEDSI specialist. QTAG's implementation strategically embodies principles of collaboration, contextual appropriateness, and engagement, recognising the value of working with diverse experts to deliver culturally responsive and programmatically relevant support to partners across the Pacific."</w:t>
      </w:r>
    </w:p>
    <w:p w14:paraId="02607D32" w14:textId="4AD85944" w:rsidR="00F246E5" w:rsidRDefault="00F246E5" w:rsidP="00A9761E">
      <w:pPr>
        <w:rPr>
          <w:i/>
          <w:iCs/>
        </w:rPr>
      </w:pPr>
      <w:r>
        <w:rPr>
          <w:i/>
          <w:iCs/>
          <w:noProof/>
        </w:rPr>
        <w:drawing>
          <wp:inline distT="0" distB="0" distL="0" distR="0" wp14:anchorId="68E55965" wp14:editId="0FEBEE91">
            <wp:extent cx="6134100" cy="1901669"/>
            <wp:effectExtent l="0" t="0" r="0" b="3810"/>
            <wp:docPr id="795661107" name="Picture 11" descr="Quote: “QTAG came in for consultation and developed the GEDSI analysis and completion of the GEDSI High Level Brief for Post which fed into the Development Partnership Plan. This helped identify gaps for GEDSI at Post.&quot; – MTR interview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61107" name="Picture 11" descr="Quote: “QTAG came in for consultation and developed the GEDSI analysis and completion of the GEDSI High Level Brief for Post which fed into the Development Partnership Plan. This helped identify gaps for GEDSI at Post.&quot; – MTR interviewee"/>
                    <pic:cNvPicPr/>
                  </pic:nvPicPr>
                  <pic:blipFill rotWithShape="1">
                    <a:blip r:embed="rId27" cstate="print">
                      <a:extLst>
                        <a:ext uri="{28A0092B-C50C-407E-A947-70E740481C1C}">
                          <a14:useLocalDpi xmlns:a14="http://schemas.microsoft.com/office/drawing/2010/main"/>
                        </a:ext>
                      </a:extLst>
                    </a:blip>
                    <a:srcRect/>
                    <a:stretch>
                      <a:fillRect/>
                    </a:stretch>
                  </pic:blipFill>
                  <pic:spPr bwMode="auto">
                    <a:xfrm>
                      <a:off x="0" y="0"/>
                      <a:ext cx="6151784" cy="1907151"/>
                    </a:xfrm>
                    <a:prstGeom prst="rect">
                      <a:avLst/>
                    </a:prstGeom>
                    <a:ln>
                      <a:noFill/>
                    </a:ln>
                    <a:extLst>
                      <a:ext uri="{53640926-AAD7-44D8-BBD7-CCE9431645EC}">
                        <a14:shadowObscured xmlns:a14="http://schemas.microsoft.com/office/drawing/2010/main"/>
                      </a:ext>
                    </a:extLst>
                  </pic:spPr>
                </pic:pic>
              </a:graphicData>
            </a:graphic>
          </wp:inline>
        </w:drawing>
      </w:r>
    </w:p>
    <w:p w14:paraId="233DF057" w14:textId="43CB2B32" w:rsidR="00A9761E" w:rsidRDefault="00A9761E" w:rsidP="00A9761E">
      <w:r w:rsidRPr="00A9761E">
        <w:t xml:space="preserve">PWLES has demonstrated a commitment to increasing Pacific representation within the QTAG, aligning with the program's Pacific ownership outcome. Currently, 40% of QTAG members are Pacific Islanders, with PWLES actively working to increase this proportion. </w:t>
      </w:r>
      <w:r>
        <w:t>PWL</w:t>
      </w:r>
      <w:r w:rsidRPr="00A9761E">
        <w:t xml:space="preserve"> has thoughtfully reflected on the challenges of increasing Pacific representation, recogni</w:t>
      </w:r>
      <w:r>
        <w:t>s</w:t>
      </w:r>
      <w:r w:rsidRPr="00A9761E">
        <w:t>ing both the strategic need for Pacific insights and the practical difficulties faced by Pacific-based gender specialists when committing to short-term advisory engagements with irregular income. This intentional approach to improving representation has resonated with partners, with one Women's Funds partner reporting an increased likelihood of engaging the QTAG as a result of these efforts.</w:t>
      </w:r>
    </w:p>
    <w:p w14:paraId="66126DAD" w14:textId="230AC8C0" w:rsidR="00A9761E" w:rsidRDefault="00A9761E" w:rsidP="00A9761E">
      <w:r w:rsidRPr="00A9761E">
        <w:t xml:space="preserve">PWLES has evolved its approach to Pacific representation, moving away from the early design proposal of an </w:t>
      </w:r>
      <w:r w:rsidRPr="00A9761E">
        <w:rPr>
          <w:i/>
          <w:iCs/>
        </w:rPr>
        <w:t>"emerging panel</w:t>
      </w:r>
      <w:r w:rsidRPr="00A9761E">
        <w:t xml:space="preserve">" of Pacific specialists that they felt problematically </w:t>
      </w:r>
      <w:r w:rsidRPr="00A9761E">
        <w:rPr>
          <w:i/>
          <w:iCs/>
        </w:rPr>
        <w:t xml:space="preserve">"designated Pacific-nationals as 'emerging' [and] did not reflect their extensive experience or cultural competence." </w:t>
      </w:r>
      <w:r w:rsidRPr="00A9761E">
        <w:t xml:space="preserve">Instead, PWLES now includes professional development </w:t>
      </w:r>
      <w:r w:rsidR="00B13A4E">
        <w:t>opportunities</w:t>
      </w:r>
      <w:r w:rsidR="00B13A4E" w:rsidRPr="00A9761E">
        <w:t xml:space="preserve"> </w:t>
      </w:r>
      <w:r w:rsidRPr="00A9761E">
        <w:t xml:space="preserve">in Terms of References. Two Pacific QTAG members have acknowledged PWLES' contribution to their professional development, including opportunities to take leadership roles on projects, collaborate with QTAG staff for peer-to-peer learning, and participate in peer reviews. Additionally, PWLES has provided effective technical support to DFAT Posts through the QTAG, country briefs, and ongoing advice in response to specific requests, though it's worth noting that </w:t>
      </w:r>
      <w:bookmarkStart w:id="55" w:name="_Hlk200637981"/>
      <w:r w:rsidRPr="00A9761E">
        <w:t>PWLES has no oversight on the extent to which Posts implement the Gender Country Plans</w:t>
      </w:r>
      <w:bookmarkEnd w:id="55"/>
      <w:r w:rsidRPr="00A9761E">
        <w:t>.</w:t>
      </w:r>
    </w:p>
    <w:p w14:paraId="4C686829" w14:textId="2E35D356" w:rsidR="001F216A" w:rsidRPr="00832B49" w:rsidRDefault="00A86EB8" w:rsidP="003261BC">
      <w:pPr>
        <w:spacing w:after="120"/>
        <w:rPr>
          <w:rFonts w:asciiTheme="majorHAnsi" w:hAnsiTheme="majorHAnsi"/>
          <w:color w:val="984C00" w:themeColor="accent1" w:themeShade="BF"/>
          <w:sz w:val="22"/>
          <w:szCs w:val="24"/>
        </w:rPr>
      </w:pPr>
      <w:r w:rsidRPr="00832B49">
        <w:rPr>
          <w:rFonts w:asciiTheme="majorHAnsi" w:hAnsiTheme="majorHAnsi"/>
          <w:color w:val="984C00" w:themeColor="accent1" w:themeShade="BF"/>
          <w:sz w:val="22"/>
          <w:szCs w:val="24"/>
        </w:rPr>
        <w:t>DFAT</w:t>
      </w:r>
      <w:r w:rsidR="00FF1234" w:rsidRPr="00832B49">
        <w:rPr>
          <w:rFonts w:asciiTheme="majorHAnsi" w:hAnsiTheme="majorHAnsi"/>
          <w:color w:val="984C00" w:themeColor="accent1" w:themeShade="BF"/>
          <w:sz w:val="22"/>
          <w:szCs w:val="24"/>
        </w:rPr>
        <w:t xml:space="preserve"> bilateral and regional </w:t>
      </w:r>
      <w:r w:rsidRPr="00832B49">
        <w:rPr>
          <w:rFonts w:asciiTheme="majorHAnsi" w:hAnsiTheme="majorHAnsi"/>
          <w:color w:val="984C00" w:themeColor="accent1" w:themeShade="BF"/>
          <w:sz w:val="22"/>
          <w:szCs w:val="24"/>
        </w:rPr>
        <w:t>programs</w:t>
      </w:r>
    </w:p>
    <w:p w14:paraId="14AC14A3" w14:textId="3BF358E5" w:rsidR="003D35B5" w:rsidRDefault="00662A9D" w:rsidP="0069066A">
      <w:r w:rsidRPr="00662A9D">
        <w:t>Technical support for gender mainstreaming has been delivered through various DFAT channels with notable impact.</w:t>
      </w:r>
      <w:r>
        <w:t xml:space="preserve"> </w:t>
      </w:r>
      <w:r w:rsidRPr="0F52F0CC">
        <w:t xml:space="preserve">There was </w:t>
      </w:r>
      <w:r>
        <w:t>moderate</w:t>
      </w:r>
      <w:r w:rsidRPr="0F52F0CC">
        <w:t xml:space="preserve"> evidence of Posts delivering technical support. Two bilateral programs interviewed have provided training on gender mainstreaming for key government departments, and several Posts developed Gender Country Plans (GCP) which include support for mainstreaming gender at the country level. PWLES and SPC supported GCP development for some Posts. </w:t>
      </w:r>
      <w:r w:rsidRPr="00662A9D">
        <w:t xml:space="preserve">DFAT regional programs have delivered substantial technical advice to drive both service improvement and </w:t>
      </w:r>
      <w:r w:rsidRPr="00662A9D">
        <w:lastRenderedPageBreak/>
        <w:t>social norms change, including training, resources, and behaviour change communication that have demonstrated wide uptake and positive outcomes for service providers and communities</w:t>
      </w:r>
      <w:r>
        <w:t xml:space="preserve"> </w:t>
      </w:r>
      <w:r w:rsidRPr="00EE243C">
        <w:rPr>
          <w:rFonts w:cstheme="minorHAnsi"/>
        </w:rPr>
        <w:t>(</w:t>
      </w:r>
      <w:r w:rsidRPr="00EE243C">
        <w:rPr>
          <w:rFonts w:cstheme="minorHAnsi"/>
        </w:rPr>
        <w:fldChar w:fldCharType="begin"/>
      </w:r>
      <w:r w:rsidRPr="00EE243C">
        <w:rPr>
          <w:rFonts w:cstheme="minorHAnsi"/>
        </w:rPr>
        <w:instrText xml:space="preserve"> REF _Ref183196840 \h </w:instrText>
      </w:r>
      <w:r w:rsidRPr="00EE243C">
        <w:rPr>
          <w:rFonts w:cstheme="minorHAnsi"/>
        </w:rPr>
      </w:r>
      <w:r w:rsidRPr="00EE243C">
        <w:rPr>
          <w:rFonts w:cstheme="minorHAnsi"/>
        </w:rPr>
        <w:fldChar w:fldCharType="separate"/>
      </w:r>
      <w:r w:rsidR="001B4456">
        <w:t xml:space="preserve">Table </w:t>
      </w:r>
      <w:r w:rsidR="001B4456">
        <w:rPr>
          <w:noProof/>
        </w:rPr>
        <w:t>4</w:t>
      </w:r>
      <w:r w:rsidRPr="00EE243C">
        <w:rPr>
          <w:rFonts w:cstheme="minorHAnsi"/>
        </w:rPr>
        <w:fldChar w:fldCharType="end"/>
      </w:r>
      <w:r w:rsidRPr="00EE243C">
        <w:rPr>
          <w:rFonts w:cstheme="minorHAnsi"/>
        </w:rPr>
        <w:t>).</w:t>
      </w:r>
      <w:r>
        <w:t xml:space="preserve"> </w:t>
      </w:r>
    </w:p>
    <w:p w14:paraId="2CF02437" w14:textId="77777777" w:rsidR="003D35B5" w:rsidRDefault="003D35B5" w:rsidP="0069066A"/>
    <w:p w14:paraId="6DA67100" w14:textId="28A06930" w:rsidR="006C27E8" w:rsidRDefault="00662A9D" w:rsidP="0069066A">
      <w:pPr>
        <w:rPr>
          <w:rFonts w:cstheme="minorHAnsi"/>
        </w:rPr>
      </w:pPr>
      <w:r w:rsidRPr="00662A9D">
        <w:t xml:space="preserve">Additionally, </w:t>
      </w:r>
      <w:r>
        <w:t>t</w:t>
      </w:r>
      <w:r w:rsidR="00803B41" w:rsidRPr="00EE243C">
        <w:rPr>
          <w:rFonts w:cstheme="minorHAnsi"/>
        </w:rPr>
        <w:t xml:space="preserve">he WRD program also supports gender mainstreaming within </w:t>
      </w:r>
      <w:r w:rsidR="00B93D2B" w:rsidRPr="00EE243C">
        <w:rPr>
          <w:rFonts w:cstheme="minorHAnsi"/>
        </w:rPr>
        <w:t xml:space="preserve">global </w:t>
      </w:r>
      <w:r w:rsidR="00803B41" w:rsidRPr="00EE243C">
        <w:rPr>
          <w:rFonts w:cstheme="minorHAnsi"/>
        </w:rPr>
        <w:t>UN system</w:t>
      </w:r>
      <w:r w:rsidR="00B93D2B" w:rsidRPr="00EE243C">
        <w:rPr>
          <w:rFonts w:cstheme="minorHAnsi"/>
        </w:rPr>
        <w:t>s, strengthen</w:t>
      </w:r>
      <w:r w:rsidR="007A3D7A" w:rsidRPr="00EE243C">
        <w:rPr>
          <w:rFonts w:cstheme="minorHAnsi"/>
        </w:rPr>
        <w:t>ing</w:t>
      </w:r>
      <w:r w:rsidR="00B93D2B" w:rsidRPr="00EE243C">
        <w:rPr>
          <w:rFonts w:cstheme="minorHAnsi"/>
        </w:rPr>
        <w:t xml:space="preserve"> gender integration in </w:t>
      </w:r>
      <w:r w:rsidR="00B13A4E">
        <w:rPr>
          <w:rFonts w:cstheme="minorHAnsi"/>
        </w:rPr>
        <w:t>DRR</w:t>
      </w:r>
      <w:r w:rsidR="00B93D2B" w:rsidRPr="00EE243C">
        <w:rPr>
          <w:rFonts w:cstheme="minorHAnsi"/>
        </w:rPr>
        <w:t xml:space="preserve"> mechanisms such as UN system’s plan of action on </w:t>
      </w:r>
      <w:r w:rsidR="00B13A4E">
        <w:rPr>
          <w:rFonts w:cstheme="minorHAnsi"/>
        </w:rPr>
        <w:t>DRR</w:t>
      </w:r>
      <w:r w:rsidR="00B93D2B" w:rsidRPr="00EE243C">
        <w:rPr>
          <w:rFonts w:cstheme="minorHAnsi"/>
        </w:rPr>
        <w:t>.</w:t>
      </w:r>
      <w:r w:rsidR="00803B41" w:rsidRPr="00EE243C">
        <w:rPr>
          <w:rFonts w:cstheme="minorHAnsi"/>
        </w:rPr>
        <w:t xml:space="preserve"> </w:t>
      </w:r>
    </w:p>
    <w:p w14:paraId="351C01D1" w14:textId="25526BB6" w:rsidR="004D4E4C" w:rsidRPr="00EE243C" w:rsidRDefault="33A5347B" w:rsidP="004D4E4C">
      <w:pPr>
        <w:pStyle w:val="Caption"/>
        <w:keepNext/>
      </w:pPr>
      <w:bookmarkStart w:id="56" w:name="_Ref183196840"/>
      <w:bookmarkStart w:id="57" w:name="_Toc210309451"/>
      <w:r>
        <w:t xml:space="preserve">Table </w:t>
      </w:r>
      <w:r w:rsidR="004D4E4C">
        <w:fldChar w:fldCharType="begin"/>
      </w:r>
      <w:r w:rsidR="004D4E4C">
        <w:instrText>SEQ Table \* ARABIC</w:instrText>
      </w:r>
      <w:r w:rsidR="004D4E4C">
        <w:fldChar w:fldCharType="separate"/>
      </w:r>
      <w:r w:rsidR="00832B49">
        <w:rPr>
          <w:noProof/>
        </w:rPr>
        <w:t>4</w:t>
      </w:r>
      <w:r w:rsidR="004D4E4C">
        <w:fldChar w:fldCharType="end"/>
      </w:r>
      <w:bookmarkEnd w:id="56"/>
      <w:r w:rsidR="0A23FFC5" w:rsidRPr="3BBBFC65">
        <w:rPr>
          <w:noProof/>
        </w:rPr>
        <w:t>.</w:t>
      </w:r>
      <w:r>
        <w:t xml:space="preserve"> Overview of technical assistance delivered by large UN programs</w:t>
      </w:r>
      <w:bookmarkEnd w:id="57"/>
    </w:p>
    <w:tbl>
      <w:tblPr>
        <w:tblStyle w:val="TableGrid"/>
        <w:tblW w:w="0" w:type="auto"/>
        <w:tblLayout w:type="fixed"/>
        <w:tblLook w:val="04A0" w:firstRow="1" w:lastRow="0" w:firstColumn="1" w:lastColumn="0" w:noHBand="0" w:noVBand="1"/>
      </w:tblPr>
      <w:tblGrid>
        <w:gridCol w:w="2127"/>
        <w:gridCol w:w="3685"/>
        <w:gridCol w:w="3940"/>
      </w:tblGrid>
      <w:tr w:rsidR="00C67C0D" w:rsidRPr="002251FC" w14:paraId="0A543BF0" w14:textId="77777777" w:rsidTr="00F00BF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127" w:type="dxa"/>
          </w:tcPr>
          <w:p w14:paraId="221EED70" w14:textId="5572027E" w:rsidR="00C67C0D" w:rsidRPr="00DB3697" w:rsidRDefault="00C67C0D" w:rsidP="0069066A">
            <w:pPr>
              <w:rPr>
                <w:rFonts w:cstheme="minorHAnsi"/>
                <w:sz w:val="20"/>
                <w:szCs w:val="20"/>
              </w:rPr>
            </w:pPr>
            <w:r w:rsidRPr="00DB3697">
              <w:rPr>
                <w:rFonts w:cstheme="minorHAnsi"/>
                <w:sz w:val="20"/>
                <w:szCs w:val="20"/>
              </w:rPr>
              <w:t>Program</w:t>
            </w:r>
          </w:p>
        </w:tc>
        <w:tc>
          <w:tcPr>
            <w:tcW w:w="3685" w:type="dxa"/>
          </w:tcPr>
          <w:p w14:paraId="1787A221" w14:textId="01FA44A6" w:rsidR="00C67C0D" w:rsidRPr="00DB3697" w:rsidRDefault="0018278C" w:rsidP="0069066A">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B3697">
              <w:rPr>
                <w:rFonts w:cstheme="minorHAnsi"/>
                <w:sz w:val="20"/>
                <w:szCs w:val="20"/>
              </w:rPr>
              <w:t>To service providers</w:t>
            </w:r>
          </w:p>
        </w:tc>
        <w:tc>
          <w:tcPr>
            <w:tcW w:w="3940" w:type="dxa"/>
          </w:tcPr>
          <w:p w14:paraId="4963878E" w14:textId="32A0338A" w:rsidR="00C67C0D" w:rsidRPr="00DB3697" w:rsidRDefault="0018278C" w:rsidP="0069066A">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B3697">
              <w:rPr>
                <w:rFonts w:cstheme="minorHAnsi"/>
                <w:sz w:val="20"/>
                <w:szCs w:val="20"/>
              </w:rPr>
              <w:t>Social norms change</w:t>
            </w:r>
          </w:p>
        </w:tc>
      </w:tr>
      <w:tr w:rsidR="00C67C0D" w:rsidRPr="002251FC" w14:paraId="451A9411" w14:textId="77777777" w:rsidTr="00EA5FDA">
        <w:trPr>
          <w:trHeight w:val="300"/>
        </w:trPr>
        <w:tc>
          <w:tcPr>
            <w:cnfStyle w:val="001000000000" w:firstRow="0" w:lastRow="0" w:firstColumn="1" w:lastColumn="0" w:oddVBand="0" w:evenVBand="0" w:oddHBand="0" w:evenHBand="0" w:firstRowFirstColumn="0" w:firstRowLastColumn="0" w:lastRowFirstColumn="0" w:lastRowLastColumn="0"/>
            <w:tcW w:w="2127" w:type="dxa"/>
          </w:tcPr>
          <w:p w14:paraId="5C8C287F" w14:textId="17CF4DE2" w:rsidR="00C67C0D" w:rsidRPr="00DB3697" w:rsidRDefault="66B1EC80" w:rsidP="3BBBFC65">
            <w:pPr>
              <w:rPr>
                <w:szCs w:val="20"/>
              </w:rPr>
            </w:pPr>
            <w:r w:rsidRPr="00DB3697">
              <w:rPr>
                <w:szCs w:val="20"/>
              </w:rPr>
              <w:t>Transformati</w:t>
            </w:r>
            <w:r w:rsidR="668E3026" w:rsidRPr="00DB3697">
              <w:rPr>
                <w:szCs w:val="20"/>
              </w:rPr>
              <w:t>ve</w:t>
            </w:r>
            <w:r w:rsidRPr="00DB3697">
              <w:rPr>
                <w:szCs w:val="20"/>
              </w:rPr>
              <w:t xml:space="preserve"> Agenda</w:t>
            </w:r>
            <w:r w:rsidR="7782D3CD" w:rsidRPr="00DB3697">
              <w:rPr>
                <w:szCs w:val="20"/>
              </w:rPr>
              <w:t xml:space="preserve"> (UNFPA) </w:t>
            </w:r>
          </w:p>
        </w:tc>
        <w:tc>
          <w:tcPr>
            <w:tcW w:w="3685" w:type="dxa"/>
          </w:tcPr>
          <w:p w14:paraId="07FA86D4" w14:textId="6D38A19F" w:rsidR="00C67C0D" w:rsidRPr="00DB3697" w:rsidRDefault="00991526" w:rsidP="0069066A">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B3697">
              <w:rPr>
                <w:rFonts w:cstheme="minorHAnsi"/>
                <w:szCs w:val="20"/>
              </w:rPr>
              <w:t>Develop and deliver training, service guidelines, and resources for health care workers and midwives in family planning.</w:t>
            </w:r>
          </w:p>
        </w:tc>
        <w:tc>
          <w:tcPr>
            <w:tcW w:w="3940" w:type="dxa"/>
          </w:tcPr>
          <w:p w14:paraId="31131BB4" w14:textId="21FC0179" w:rsidR="00F22A34" w:rsidRPr="00DB3697" w:rsidRDefault="00F22A34" w:rsidP="0067149F">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B3697">
              <w:rPr>
                <w:rFonts w:cstheme="minorHAnsi"/>
                <w:szCs w:val="20"/>
              </w:rPr>
              <w:t xml:space="preserve">Training for schoolteachers in </w:t>
            </w:r>
            <w:r w:rsidR="0067149F" w:rsidRPr="00DB3697">
              <w:rPr>
                <w:rFonts w:cstheme="minorHAnsi"/>
                <w:szCs w:val="20"/>
              </w:rPr>
              <w:t>family life education (</w:t>
            </w:r>
            <w:r w:rsidRPr="00DB3697">
              <w:rPr>
                <w:rFonts w:cstheme="minorHAnsi"/>
                <w:szCs w:val="20"/>
              </w:rPr>
              <w:t>FLE</w:t>
            </w:r>
            <w:r w:rsidR="0067149F" w:rsidRPr="00DB3697">
              <w:rPr>
                <w:rFonts w:cstheme="minorHAnsi"/>
                <w:szCs w:val="20"/>
              </w:rPr>
              <w:t xml:space="preserve">) and </w:t>
            </w:r>
            <w:r w:rsidRPr="00DB3697">
              <w:rPr>
                <w:rFonts w:cstheme="minorHAnsi"/>
                <w:szCs w:val="20"/>
              </w:rPr>
              <w:t>comprehensive sexuality education</w:t>
            </w:r>
            <w:r w:rsidR="0067149F" w:rsidRPr="00DB3697">
              <w:rPr>
                <w:rFonts w:cstheme="minorHAnsi"/>
                <w:szCs w:val="20"/>
              </w:rPr>
              <w:t xml:space="preserve"> (CSE)</w:t>
            </w:r>
            <w:r w:rsidR="009D4EEF" w:rsidRPr="00DB3697">
              <w:rPr>
                <w:rFonts w:cstheme="minorHAnsi"/>
                <w:szCs w:val="20"/>
              </w:rPr>
              <w:t>.</w:t>
            </w:r>
            <w:r w:rsidR="006C27E8" w:rsidRPr="00DB3697">
              <w:rPr>
                <w:rFonts w:cstheme="minorHAnsi"/>
                <w:szCs w:val="20"/>
              </w:rPr>
              <w:t xml:space="preserve"> </w:t>
            </w:r>
            <w:r w:rsidR="009048D8" w:rsidRPr="00DB3697">
              <w:rPr>
                <w:rFonts w:cstheme="minorHAnsi"/>
                <w:szCs w:val="20"/>
              </w:rPr>
              <w:t xml:space="preserve">Behaviour change communication, radio messaging, and strategies to engage influencers within communities around family planning. </w:t>
            </w:r>
          </w:p>
        </w:tc>
      </w:tr>
      <w:tr w:rsidR="00C67C0D" w:rsidRPr="002251FC" w14:paraId="4A797D20" w14:textId="77777777" w:rsidTr="00EA5FDA">
        <w:trPr>
          <w:trHeight w:val="300"/>
        </w:trPr>
        <w:tc>
          <w:tcPr>
            <w:cnfStyle w:val="001000000000" w:firstRow="0" w:lastRow="0" w:firstColumn="1" w:lastColumn="0" w:oddVBand="0" w:evenVBand="0" w:oddHBand="0" w:evenHBand="0" w:firstRowFirstColumn="0" w:firstRowLastColumn="0" w:lastRowFirstColumn="0" w:lastRowLastColumn="0"/>
            <w:tcW w:w="2127" w:type="dxa"/>
          </w:tcPr>
          <w:p w14:paraId="27AF3B8D" w14:textId="069A1BCE" w:rsidR="00C67C0D" w:rsidRPr="00DB3697" w:rsidRDefault="2D6F1668" w:rsidP="3BBBFC65">
            <w:pPr>
              <w:rPr>
                <w:szCs w:val="20"/>
              </w:rPr>
            </w:pPr>
            <w:r w:rsidRPr="00DB3697">
              <w:rPr>
                <w:szCs w:val="20"/>
              </w:rPr>
              <w:t>Pacific Partnership to end violence against women and girls</w:t>
            </w:r>
            <w:r w:rsidR="0AB01328" w:rsidRPr="00DB3697">
              <w:rPr>
                <w:szCs w:val="20"/>
              </w:rPr>
              <w:t xml:space="preserve"> (UN Women)</w:t>
            </w:r>
          </w:p>
        </w:tc>
        <w:tc>
          <w:tcPr>
            <w:tcW w:w="3685" w:type="dxa"/>
          </w:tcPr>
          <w:p w14:paraId="088C4EDE" w14:textId="4224B17A" w:rsidR="00C67C0D" w:rsidRPr="00DB3697" w:rsidRDefault="002B1EFA" w:rsidP="006C27E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B3697">
              <w:rPr>
                <w:rFonts w:cstheme="minorHAnsi"/>
                <w:szCs w:val="20"/>
              </w:rPr>
              <w:t xml:space="preserve">Develop and deliver training for </w:t>
            </w:r>
            <w:r w:rsidR="009767C8" w:rsidRPr="00DB3697">
              <w:rPr>
                <w:rFonts w:cstheme="minorHAnsi"/>
                <w:szCs w:val="20"/>
              </w:rPr>
              <w:t xml:space="preserve">crisis centre </w:t>
            </w:r>
            <w:r w:rsidRPr="00DB3697">
              <w:rPr>
                <w:rFonts w:cstheme="minorHAnsi"/>
                <w:szCs w:val="20"/>
              </w:rPr>
              <w:t xml:space="preserve">service providers, </w:t>
            </w:r>
            <w:r w:rsidR="009767C8" w:rsidRPr="00DB3697">
              <w:rPr>
                <w:rFonts w:cstheme="minorHAnsi"/>
                <w:szCs w:val="20"/>
              </w:rPr>
              <w:t>domestic violence counsellors.</w:t>
            </w:r>
            <w:r w:rsidR="006C27E8" w:rsidRPr="00DB3697">
              <w:rPr>
                <w:rFonts w:cstheme="minorHAnsi"/>
                <w:szCs w:val="20"/>
              </w:rPr>
              <w:t xml:space="preserve"> </w:t>
            </w:r>
            <w:r w:rsidR="009767C8" w:rsidRPr="00DB3697">
              <w:rPr>
                <w:rFonts w:cstheme="minorHAnsi"/>
                <w:szCs w:val="20"/>
              </w:rPr>
              <w:t xml:space="preserve">Develop policies and decision-making processes for </w:t>
            </w:r>
            <w:r w:rsidR="00E27478" w:rsidRPr="00DB3697">
              <w:rPr>
                <w:rFonts w:cstheme="minorHAnsi"/>
                <w:szCs w:val="20"/>
              </w:rPr>
              <w:t>the Ministry of Education and schools on violence against women.</w:t>
            </w:r>
          </w:p>
        </w:tc>
        <w:tc>
          <w:tcPr>
            <w:tcW w:w="3940" w:type="dxa"/>
          </w:tcPr>
          <w:p w14:paraId="09BA486F" w14:textId="657D6BF6" w:rsidR="00C67C0D" w:rsidRPr="00DB3697" w:rsidRDefault="002B1EFA" w:rsidP="0069066A">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B3697">
              <w:rPr>
                <w:rFonts w:cstheme="minorHAnsi"/>
                <w:szCs w:val="20"/>
              </w:rPr>
              <w:t xml:space="preserve">Social </w:t>
            </w:r>
            <w:r w:rsidR="00E45792" w:rsidRPr="00DB3697">
              <w:rPr>
                <w:rFonts w:cstheme="minorHAnsi"/>
                <w:szCs w:val="20"/>
              </w:rPr>
              <w:t>c</w:t>
            </w:r>
            <w:r w:rsidRPr="00DB3697">
              <w:rPr>
                <w:rFonts w:cstheme="minorHAnsi"/>
                <w:szCs w:val="20"/>
              </w:rPr>
              <w:t xml:space="preserve">itizenship </w:t>
            </w:r>
            <w:r w:rsidR="00E45792" w:rsidRPr="00DB3697">
              <w:rPr>
                <w:rFonts w:cstheme="minorHAnsi"/>
                <w:szCs w:val="20"/>
              </w:rPr>
              <w:t>e</w:t>
            </w:r>
            <w:r w:rsidRPr="00DB3697">
              <w:rPr>
                <w:rFonts w:cstheme="minorHAnsi"/>
                <w:szCs w:val="20"/>
              </w:rPr>
              <w:t xml:space="preserve">ducation, </w:t>
            </w:r>
            <w:r w:rsidR="00E27478" w:rsidRPr="00DB3697">
              <w:rPr>
                <w:rFonts w:cstheme="minorHAnsi"/>
                <w:szCs w:val="20"/>
              </w:rPr>
              <w:t xml:space="preserve">training, toolkits and </w:t>
            </w:r>
            <w:r w:rsidRPr="00DB3697">
              <w:rPr>
                <w:rFonts w:cstheme="minorHAnsi"/>
                <w:szCs w:val="20"/>
              </w:rPr>
              <w:t>community mobilisation including whole of school programs to address gender norms</w:t>
            </w:r>
            <w:r w:rsidR="00E27478" w:rsidRPr="00DB3697">
              <w:rPr>
                <w:rFonts w:cstheme="minorHAnsi"/>
                <w:szCs w:val="20"/>
              </w:rPr>
              <w:t>.</w:t>
            </w:r>
          </w:p>
        </w:tc>
      </w:tr>
      <w:tr w:rsidR="00C67C0D" w:rsidRPr="002251FC" w14:paraId="6B99EBD0" w14:textId="77777777" w:rsidTr="00EA5FDA">
        <w:trPr>
          <w:trHeight w:val="300"/>
        </w:trPr>
        <w:tc>
          <w:tcPr>
            <w:cnfStyle w:val="001000000000" w:firstRow="0" w:lastRow="0" w:firstColumn="1" w:lastColumn="0" w:oddVBand="0" w:evenVBand="0" w:oddHBand="0" w:evenHBand="0" w:firstRowFirstColumn="0" w:firstRowLastColumn="0" w:lastRowFirstColumn="0" w:lastRowLastColumn="0"/>
            <w:tcW w:w="2127" w:type="dxa"/>
          </w:tcPr>
          <w:p w14:paraId="31C2144F" w14:textId="78252686" w:rsidR="00C67C0D" w:rsidRPr="00DB3697" w:rsidRDefault="2D6F1668" w:rsidP="3BBBFC65">
            <w:pPr>
              <w:rPr>
                <w:szCs w:val="20"/>
              </w:rPr>
            </w:pPr>
            <w:r w:rsidRPr="00DB3697">
              <w:rPr>
                <w:szCs w:val="20"/>
              </w:rPr>
              <w:t>Women’s Resilience to Disasters</w:t>
            </w:r>
            <w:r w:rsidR="17D5EE7F" w:rsidRPr="00DB3697">
              <w:rPr>
                <w:szCs w:val="20"/>
              </w:rPr>
              <w:t xml:space="preserve"> (UN Women)</w:t>
            </w:r>
          </w:p>
        </w:tc>
        <w:tc>
          <w:tcPr>
            <w:tcW w:w="3685" w:type="dxa"/>
          </w:tcPr>
          <w:p w14:paraId="7D91F2D0" w14:textId="14B96B31" w:rsidR="00C67C0D" w:rsidRPr="00DB3697" w:rsidRDefault="00BC0212" w:rsidP="006C27E8">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B3697">
              <w:rPr>
                <w:rFonts w:cstheme="minorHAnsi"/>
                <w:szCs w:val="20"/>
              </w:rPr>
              <w:t xml:space="preserve">Targeted training for government, CSOs, businesses and community on early warning systems, resilient businesses, and inclusive disaster management. General resources including the global WRD Knowledge Hub. </w:t>
            </w:r>
          </w:p>
        </w:tc>
        <w:tc>
          <w:tcPr>
            <w:tcW w:w="3940" w:type="dxa"/>
          </w:tcPr>
          <w:p w14:paraId="631D06C7" w14:textId="18C522A2" w:rsidR="00C67C0D" w:rsidRPr="00DB3697" w:rsidRDefault="004D4E4C" w:rsidP="0069066A">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B3697">
              <w:rPr>
                <w:rFonts w:cstheme="minorHAnsi"/>
                <w:szCs w:val="20"/>
              </w:rPr>
              <w:t>Resources and training to support advocacy efforts.</w:t>
            </w:r>
          </w:p>
        </w:tc>
      </w:tr>
      <w:tr w:rsidR="00C67C0D" w:rsidRPr="002251FC" w14:paraId="5DC67178" w14:textId="77777777" w:rsidTr="00EA5FDA">
        <w:trPr>
          <w:trHeight w:val="300"/>
        </w:trPr>
        <w:tc>
          <w:tcPr>
            <w:cnfStyle w:val="001000000000" w:firstRow="0" w:lastRow="0" w:firstColumn="1" w:lastColumn="0" w:oddVBand="0" w:evenVBand="0" w:oddHBand="0" w:evenHBand="0" w:firstRowFirstColumn="0" w:firstRowLastColumn="0" w:lastRowFirstColumn="0" w:lastRowLastColumn="0"/>
            <w:tcW w:w="2127" w:type="dxa"/>
          </w:tcPr>
          <w:p w14:paraId="0AF87D82" w14:textId="46E5D2AA" w:rsidR="00C67C0D" w:rsidRPr="00DB3697" w:rsidRDefault="2D6F1668" w:rsidP="3BBBFC65">
            <w:pPr>
              <w:rPr>
                <w:szCs w:val="20"/>
              </w:rPr>
            </w:pPr>
            <w:r w:rsidRPr="00DB3697">
              <w:rPr>
                <w:szCs w:val="20"/>
              </w:rPr>
              <w:t>Markets for Change</w:t>
            </w:r>
            <w:r w:rsidR="54DE4C34" w:rsidRPr="00DB3697">
              <w:rPr>
                <w:szCs w:val="20"/>
              </w:rPr>
              <w:t xml:space="preserve"> (UN Women) </w:t>
            </w:r>
          </w:p>
        </w:tc>
        <w:tc>
          <w:tcPr>
            <w:tcW w:w="3685" w:type="dxa"/>
          </w:tcPr>
          <w:p w14:paraId="79F389EA" w14:textId="0E72E2C5" w:rsidR="00C67C0D" w:rsidRPr="00DB3697" w:rsidRDefault="004D4E4C" w:rsidP="0069066A">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B3697">
              <w:rPr>
                <w:rFonts w:cstheme="minorHAnsi"/>
                <w:szCs w:val="20"/>
              </w:rPr>
              <w:t>C</w:t>
            </w:r>
            <w:r w:rsidR="000F1E30" w:rsidRPr="00DB3697">
              <w:rPr>
                <w:rFonts w:cstheme="minorHAnsi"/>
                <w:szCs w:val="20"/>
              </w:rPr>
              <w:t>apacity building and resources for market vendors</w:t>
            </w:r>
            <w:r w:rsidRPr="00DB3697">
              <w:rPr>
                <w:rFonts w:cstheme="minorHAnsi"/>
                <w:szCs w:val="20"/>
              </w:rPr>
              <w:t>.</w:t>
            </w:r>
          </w:p>
        </w:tc>
        <w:tc>
          <w:tcPr>
            <w:tcW w:w="3940" w:type="dxa"/>
          </w:tcPr>
          <w:p w14:paraId="0EFEBDDD" w14:textId="2E445BE9" w:rsidR="00C67C0D" w:rsidRPr="00DB3697" w:rsidRDefault="00F14A2D" w:rsidP="0069066A">
            <w:pPr>
              <w:cnfStyle w:val="000000000000" w:firstRow="0" w:lastRow="0" w:firstColumn="0" w:lastColumn="0" w:oddVBand="0" w:evenVBand="0" w:oddHBand="0" w:evenHBand="0" w:firstRowFirstColumn="0" w:firstRowLastColumn="0" w:lastRowFirstColumn="0" w:lastRowLastColumn="0"/>
              <w:rPr>
                <w:rFonts w:cstheme="minorHAnsi"/>
                <w:szCs w:val="20"/>
              </w:rPr>
            </w:pPr>
            <w:r w:rsidRPr="00DB3697">
              <w:rPr>
                <w:rFonts w:cstheme="minorHAnsi"/>
                <w:szCs w:val="20"/>
              </w:rPr>
              <w:t>-</w:t>
            </w:r>
          </w:p>
        </w:tc>
      </w:tr>
    </w:tbl>
    <w:p w14:paraId="099F60C4" w14:textId="653910C4" w:rsidR="00876A32" w:rsidRPr="00832B49" w:rsidRDefault="00834395" w:rsidP="0041232D">
      <w:pPr>
        <w:spacing w:before="480" w:after="120"/>
        <w:rPr>
          <w:rFonts w:asciiTheme="majorHAnsi" w:hAnsiTheme="majorHAnsi"/>
          <w:color w:val="984C00" w:themeColor="accent1" w:themeShade="BF"/>
          <w:sz w:val="22"/>
          <w:szCs w:val="24"/>
        </w:rPr>
      </w:pPr>
      <w:r w:rsidRPr="00832B49">
        <w:rPr>
          <w:rFonts w:asciiTheme="majorHAnsi" w:hAnsiTheme="majorHAnsi"/>
          <w:color w:val="984C00" w:themeColor="accent1" w:themeShade="BF"/>
          <w:sz w:val="22"/>
          <w:szCs w:val="24"/>
        </w:rPr>
        <w:t>Women’s Funds</w:t>
      </w:r>
    </w:p>
    <w:p w14:paraId="709019C8" w14:textId="309D3C6F" w:rsidR="00876A32" w:rsidRPr="00EE243C" w:rsidRDefault="00876A32" w:rsidP="00876A32">
      <w:pPr>
        <w:rPr>
          <w:rFonts w:cstheme="minorHAnsi"/>
        </w:rPr>
      </w:pPr>
      <w:r w:rsidRPr="00EE243C">
        <w:rPr>
          <w:rFonts w:cstheme="minorHAnsi"/>
        </w:rPr>
        <w:t xml:space="preserve">The </w:t>
      </w:r>
      <w:r w:rsidR="00834395">
        <w:rPr>
          <w:rFonts w:cstheme="minorHAnsi"/>
        </w:rPr>
        <w:t>Women’s Funds</w:t>
      </w:r>
      <w:r w:rsidRPr="00EE243C">
        <w:rPr>
          <w:rFonts w:cstheme="minorHAnsi"/>
        </w:rPr>
        <w:t xml:space="preserve"> and their partners have advocated for and supported delivery of agreed commitments, such as the Fiji Ministry of Women’s National Action Plan. The </w:t>
      </w:r>
      <w:r w:rsidR="00512C04">
        <w:rPr>
          <w:rFonts w:cstheme="minorHAnsi"/>
        </w:rPr>
        <w:t xml:space="preserve">Women’s </w:t>
      </w:r>
      <w:r w:rsidRPr="00EE243C">
        <w:rPr>
          <w:rFonts w:cstheme="minorHAnsi"/>
        </w:rPr>
        <w:t xml:space="preserve">Funds and partners have also engaged and advocated in select forums, including </w:t>
      </w:r>
      <w:r w:rsidR="00B13A4E">
        <w:rPr>
          <w:rFonts w:cstheme="minorHAnsi"/>
        </w:rPr>
        <w:t>CSW</w:t>
      </w:r>
      <w:r w:rsidRPr="00EE243C">
        <w:rPr>
          <w:rFonts w:cstheme="minorHAnsi"/>
        </w:rPr>
        <w:t xml:space="preserve"> and Women Deliver. </w:t>
      </w:r>
    </w:p>
    <w:p w14:paraId="63387AD0" w14:textId="512713D9" w:rsidR="004172F8" w:rsidRPr="00832B49" w:rsidRDefault="00311C2E" w:rsidP="0041232D">
      <w:pPr>
        <w:spacing w:after="120"/>
        <w:rPr>
          <w:rFonts w:asciiTheme="majorHAnsi" w:hAnsiTheme="majorHAnsi"/>
          <w:color w:val="984C00" w:themeColor="accent1" w:themeShade="BF"/>
          <w:sz w:val="22"/>
          <w:szCs w:val="24"/>
        </w:rPr>
      </w:pPr>
      <w:r w:rsidRPr="00832B49">
        <w:rPr>
          <w:rFonts w:asciiTheme="majorHAnsi" w:hAnsiTheme="majorHAnsi"/>
          <w:color w:val="984C00" w:themeColor="accent1" w:themeShade="BF"/>
          <w:sz w:val="22"/>
          <w:szCs w:val="24"/>
        </w:rPr>
        <w:t>PWL Governance Board</w:t>
      </w:r>
    </w:p>
    <w:p w14:paraId="1127BF18" w14:textId="1EA7A3EE" w:rsidR="00626A00" w:rsidRPr="00EE243C" w:rsidRDefault="00B63DAE" w:rsidP="00905D91">
      <w:pPr>
        <w:rPr>
          <w:lang w:val="en-US"/>
        </w:rPr>
      </w:pPr>
      <w:r w:rsidRPr="2D8F7E15">
        <w:t xml:space="preserve">The </w:t>
      </w:r>
      <w:r w:rsidR="00311C2E">
        <w:t>PWL Governance Board</w:t>
      </w:r>
      <w:r w:rsidRPr="2D8F7E15">
        <w:t xml:space="preserve"> </w:t>
      </w:r>
      <w:r w:rsidR="00512C04">
        <w:t>Terms of Reference</w:t>
      </w:r>
      <w:r w:rsidRPr="2D8F7E15">
        <w:t xml:space="preserve"> indicated that the Board would </w:t>
      </w:r>
      <w:r w:rsidR="00F637CB">
        <w:rPr>
          <w:i/>
        </w:rPr>
        <w:t>“</w:t>
      </w:r>
      <w:r w:rsidR="00905D91" w:rsidRPr="00F637CB">
        <w:rPr>
          <w:i/>
        </w:rPr>
        <w:t>Receive reporting on outcomes, share learning, provide advice</w:t>
      </w:r>
      <w:r w:rsidR="00F637CB">
        <w:rPr>
          <w:i/>
        </w:rPr>
        <w:t>”</w:t>
      </w:r>
      <w:r w:rsidR="00905D91" w:rsidRPr="00F637CB">
        <w:rPr>
          <w:i/>
        </w:rPr>
        <w:t xml:space="preserve"> </w:t>
      </w:r>
      <w:r w:rsidR="00905D91" w:rsidRPr="2D8F7E15">
        <w:t xml:space="preserve">to </w:t>
      </w:r>
      <w:r w:rsidR="00834395">
        <w:t>Women’s Funds</w:t>
      </w:r>
      <w:r w:rsidR="00070D4E" w:rsidRPr="2D8F7E15">
        <w:t xml:space="preserve">, SPC, DFAT partnerships with UN agencies, and DFAT bilateral programs. </w:t>
      </w:r>
      <w:r w:rsidR="00626A00" w:rsidRPr="2D8F7E15">
        <w:t>The review found that the board has not issued any advice</w:t>
      </w:r>
      <w:r w:rsidR="00E27927" w:rsidRPr="2D8F7E15">
        <w:t xml:space="preserve"> to partners in line with this intent. </w:t>
      </w:r>
    </w:p>
    <w:p w14:paraId="319664E2" w14:textId="5648914B" w:rsidR="00E42276" w:rsidRPr="00C91F1E" w:rsidRDefault="007B6093" w:rsidP="00753A64">
      <w:pPr>
        <w:pStyle w:val="Subheading"/>
      </w:pPr>
      <w:r>
        <w:t>Portfolio-</w:t>
      </w:r>
      <w:r w:rsidR="00E42276" w:rsidRPr="00C91F1E">
        <w:t>level MEL</w:t>
      </w:r>
    </w:p>
    <w:p w14:paraId="4D4C3834" w14:textId="1C5CBB20" w:rsidR="007B6093" w:rsidRPr="007B6093" w:rsidRDefault="007B6093" w:rsidP="007B6093">
      <w:r w:rsidRPr="007B6093">
        <w:t>The Portfolio-level MEL system, designed in 2022 with input from over 60 stakeholders and refined in 2023, has become an essential driver of PWL stakeholders' ownership of evidence and strategic direction. The ARAW has supported Pacific ownership by authentically involving partners in shared sensemaking and generating recommendations that inform the program's future direction. This approach has streamlined reporting requirements for partners, enabling them to dedicate more time to project delivery while fostering learning, collaboration, and increased awareness of disability inclusion needs.</w:t>
      </w:r>
    </w:p>
    <w:p w14:paraId="60C8BD71" w14:textId="77777777" w:rsidR="00B12D5B" w:rsidRDefault="00B12D5B" w:rsidP="007B6093"/>
    <w:p w14:paraId="17F1CE95" w14:textId="17EC56C0" w:rsidR="00EA5FDA" w:rsidRDefault="643F9C1E" w:rsidP="007B6093">
      <w:r>
        <w:lastRenderedPageBreak/>
        <w:t xml:space="preserve">The system effectively integrates diverse data through component-specific templates into a comprehensive database, with critical support from PWLES and SPC ensuring high-quality inputs. The ARAW has grown from a small pilot in 2023 to engaging over 120 partners by 2024, establishing itself as a vital collaboration forum. </w:t>
      </w:r>
    </w:p>
    <w:p w14:paraId="00150A98" w14:textId="4FDE2301" w:rsidR="007B6093" w:rsidRPr="007B6093" w:rsidRDefault="643F9C1E" w:rsidP="007B6093">
      <w:r>
        <w:t xml:space="preserve">Concrete impacts </w:t>
      </w:r>
      <w:r w:rsidR="5715D838">
        <w:t>include</w:t>
      </w:r>
      <w:r>
        <w:t xml:space="preserve"> identifying North Pacific funding gaps in the 2023 ARAW, leading to increased attention from Women's Fun</w:t>
      </w:r>
      <w:r w:rsidRPr="3BBBFC65">
        <w:rPr>
          <w:rFonts w:eastAsiaTheme="minorEastAsia"/>
          <w:szCs w:val="21"/>
        </w:rPr>
        <w:t xml:space="preserve">ds </w:t>
      </w:r>
      <w:r w:rsidR="53F9DB99" w:rsidRPr="3BBBFC65">
        <w:rPr>
          <w:rFonts w:eastAsiaTheme="minorEastAsia"/>
          <w:szCs w:val="21"/>
        </w:rPr>
        <w:t xml:space="preserve">through the AIR partnership investment </w:t>
      </w:r>
      <w:r w:rsidRPr="3BBBFC65">
        <w:rPr>
          <w:rFonts w:eastAsiaTheme="minorEastAsia"/>
          <w:szCs w:val="21"/>
        </w:rPr>
        <w:t>and targeted engagement processes</w:t>
      </w:r>
      <w:r w:rsidR="0F228DE9" w:rsidRPr="3BBBFC65">
        <w:rPr>
          <w:rFonts w:eastAsiaTheme="minorEastAsia"/>
          <w:szCs w:val="21"/>
        </w:rPr>
        <w:t>; driving</w:t>
      </w:r>
      <w:r>
        <w:t xml:space="preserve"> disability inclusion by requiring partners to measure and report on reach to people with disabilities and adopt inclusive tools like the Washington Group Short Set of questions. The Pacific-authored PWL Formative Situational Analysis exemplifies how portfolio MEL grounds evidence and strategic planning in Pacific knowledge and context.</w:t>
      </w:r>
    </w:p>
    <w:p w14:paraId="71198D28" w14:textId="6944E2DB" w:rsidR="0041232D" w:rsidRDefault="007B6093" w:rsidP="007B6093">
      <w:r w:rsidRPr="007B6093">
        <w:t>Despite successes, some partners have noted areas for improvement, particularly regarding enhanced representation of contexts like Papua New Guinea, which has significant engagement across program streams including Women's Funds, government grants, CEDAW initiatives, and Pacific Girl partnerships. Overall, this responsive, collaborative approach has proven to be a powerful mechanism for advancing program objectives while maintaining Pacific ownership.</w:t>
      </w:r>
    </w:p>
    <w:p w14:paraId="12BFE5D8" w14:textId="77777777" w:rsidR="0041232D" w:rsidRDefault="0041232D">
      <w:r>
        <w:br w:type="page"/>
      </w:r>
    </w:p>
    <w:p w14:paraId="70ED6E84" w14:textId="44AD7AD6" w:rsidR="008E4939" w:rsidRPr="00EE243C" w:rsidRDefault="00753A64" w:rsidP="00753A64">
      <w:pPr>
        <w:pStyle w:val="Tealblockheading"/>
      </w:pPr>
      <w:bookmarkStart w:id="58" w:name="_Toc181604014"/>
      <w:bookmarkStart w:id="59" w:name="_Hlk193735818"/>
      <w:r>
        <w:lastRenderedPageBreak/>
        <w:t xml:space="preserve">KRQ3. </w:t>
      </w:r>
      <w:r w:rsidR="008E4939" w:rsidRPr="00EE243C">
        <w:t>What are key opportunities and barriers for the PWL program to achieve transformational change?</w:t>
      </w:r>
      <w:bookmarkEnd w:id="58"/>
    </w:p>
    <w:p w14:paraId="272E65D1" w14:textId="49DC9673" w:rsidR="003036C8" w:rsidRDefault="00EA60F7" w:rsidP="00384259">
      <w:pPr>
        <w:pStyle w:val="Tealblocktext"/>
      </w:pPr>
      <w:r>
        <w:t>This</w:t>
      </w:r>
      <w:r w:rsidR="003036C8" w:rsidRPr="00391684">
        <w:t xml:space="preserve"> review highlighted considerable work done against all four quadrants</w:t>
      </w:r>
      <w:r>
        <w:t xml:space="preserve"> of the Gender at Work framework</w:t>
      </w:r>
      <w:r w:rsidR="003036C8" w:rsidRPr="00391684">
        <w:t>. The most work has focused on improving capabilities and supporting resources. Partners have delivered lots of work to address social norms but there is limited evidence of social norms change at this stage. PWL is delivering many efforts to contribute to formal rules and policy efforts, and there are opportunities to further strengthen these efforts.</w:t>
      </w:r>
      <w:r w:rsidR="00391684" w:rsidRPr="00391684">
        <w:t xml:space="preserve"> </w:t>
      </w:r>
      <w:r w:rsidR="00391684">
        <w:t>I</w:t>
      </w:r>
      <w:r w:rsidR="00391684" w:rsidRPr="00391684">
        <w:t xml:space="preserve">n particular, </w:t>
      </w:r>
      <w:r w:rsidR="00391684">
        <w:t>t</w:t>
      </w:r>
      <w:r w:rsidR="00391684" w:rsidRPr="00391684">
        <w:t>he lack of formal country</w:t>
      </w:r>
      <w:r w:rsidR="00757FB7">
        <w:t>-</w:t>
      </w:r>
      <w:r w:rsidR="00391684" w:rsidRPr="00391684">
        <w:t xml:space="preserve">level coordination has limited visibility and </w:t>
      </w:r>
      <w:r w:rsidR="00757FB7">
        <w:t xml:space="preserve">the </w:t>
      </w:r>
      <w:r w:rsidR="00391684" w:rsidRPr="00391684">
        <w:t>collaborative impact necessary for transformative change.</w:t>
      </w:r>
    </w:p>
    <w:bookmarkEnd w:id="59"/>
    <w:p w14:paraId="356E5303" w14:textId="048F65DE" w:rsidR="00011B4B" w:rsidRDefault="007A47DD" w:rsidP="0069066A">
      <w:r w:rsidRPr="776C5177">
        <w:t xml:space="preserve">PWL understands transformational change through the lens of the Gender at Work Framework </w:t>
      </w:r>
      <w:r>
        <w:t xml:space="preserve">by </w:t>
      </w:r>
      <w:r w:rsidRPr="007C14F0">
        <w:t>Rao and Kelleher</w:t>
      </w:r>
      <w:r w:rsidR="008470AB">
        <w:t xml:space="preserve"> (</w:t>
      </w:r>
      <w:hyperlink r:id="rId28" w:history="1">
        <w:r w:rsidR="008470AB" w:rsidRPr="00AE0F31">
          <w:rPr>
            <w:rStyle w:val="Hyperlink"/>
          </w:rPr>
          <w:t>https://genderatwork.org/analytical-framework/</w:t>
        </w:r>
      </w:hyperlink>
      <w:r w:rsidR="008470AB">
        <w:t>)</w:t>
      </w:r>
      <w:r w:rsidRPr="776C5177">
        <w:t>, which identifies drivers and conditions for transformational change in gender equality and social inclusion. This framework highlights four interconnected areas: consciousness and capabilities, resources, informal norms and exclusionary practices, and formal rules and policies</w:t>
      </w:r>
      <w:r>
        <w:t xml:space="preserve">, as shown in </w:t>
      </w:r>
      <w:r>
        <w:fldChar w:fldCharType="begin"/>
      </w:r>
      <w:r>
        <w:instrText xml:space="preserve"> REF _Ref193706555 \h </w:instrText>
      </w:r>
      <w:r>
        <w:fldChar w:fldCharType="separate"/>
      </w:r>
      <w:r w:rsidR="005F3FB6">
        <w:t xml:space="preserve">Figure </w:t>
      </w:r>
      <w:r w:rsidR="005F3FB6">
        <w:rPr>
          <w:noProof/>
        </w:rPr>
        <w:t>3</w:t>
      </w:r>
      <w:r>
        <w:fldChar w:fldCharType="end"/>
      </w:r>
      <w:r w:rsidRPr="776C5177">
        <w:t xml:space="preserve">. PWL's central logic is that strategies targeting all four areas are necessary for achieving long-term, sustainable positive impacts on the lives of diverse women and girls in the Pacific. </w:t>
      </w:r>
      <w:bookmarkStart w:id="60" w:name="_Hlk200638315"/>
      <w:r w:rsidRPr="776C5177">
        <w:t xml:space="preserve">While PWL acknowledges the framework's usefulness, it advises against rigid application, instead suggesting it should inform the design of new activities and guide monitoring and evaluation efforts. </w:t>
      </w:r>
    </w:p>
    <w:p w14:paraId="3B306083" w14:textId="77777777" w:rsidR="002D6519" w:rsidRDefault="002D6519" w:rsidP="002D6519">
      <w:pPr>
        <w:keepNext/>
        <w:spacing w:after="0"/>
      </w:pPr>
      <w:r>
        <w:rPr>
          <w:noProof/>
        </w:rPr>
        <w:drawing>
          <wp:inline distT="0" distB="0" distL="0" distR="0" wp14:anchorId="2DCEDBCE" wp14:editId="00893A30">
            <wp:extent cx="6179820" cy="3265170"/>
            <wp:effectExtent l="0" t="0" r="0" b="0"/>
            <wp:docPr id="1139521321" name="Picture 44" descr="Four squares are labelled Consciousness capabilities, Resources, Informal norms, and Formal rules. Two double-ended arrows intersect forming a compass point. The compass labels are Individual, Formal, Systemic and In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21321" name="Picture 44" descr="Four squares are labelled Consciousness capabilities, Resources, Informal norms, and Formal rules. Two double-ended arrows intersect forming a compass point. The compass labels are Individual, Formal, Systemic and Informal."/>
                    <pic:cNvPicPr/>
                  </pic:nvPicPr>
                  <pic:blipFill rotWithShape="1">
                    <a:blip r:embed="rId29">
                      <a:extLst>
                        <a:ext uri="{28A0092B-C50C-407E-A947-70E740481C1C}">
                          <a14:useLocalDpi xmlns:a14="http://schemas.microsoft.com/office/drawing/2010/main" val="0"/>
                        </a:ext>
                      </a:extLst>
                    </a:blip>
                    <a:srcRect l="-514" r="-932"/>
                    <a:stretch>
                      <a:fillRect/>
                    </a:stretch>
                  </pic:blipFill>
                  <pic:spPr bwMode="auto">
                    <a:xfrm>
                      <a:off x="0" y="0"/>
                      <a:ext cx="6180825" cy="3265701"/>
                    </a:xfrm>
                    <a:prstGeom prst="rect">
                      <a:avLst/>
                    </a:prstGeom>
                    <a:ln>
                      <a:noFill/>
                    </a:ln>
                    <a:extLst>
                      <a:ext uri="{53640926-AAD7-44D8-BBD7-CCE9431645EC}">
                        <a14:shadowObscured xmlns:a14="http://schemas.microsoft.com/office/drawing/2010/main"/>
                      </a:ext>
                    </a:extLst>
                  </pic:spPr>
                </pic:pic>
              </a:graphicData>
            </a:graphic>
          </wp:inline>
        </w:drawing>
      </w:r>
    </w:p>
    <w:p w14:paraId="63630E3B" w14:textId="5EC0B436" w:rsidR="00011B4B" w:rsidRPr="008E3F32" w:rsidRDefault="002D6519" w:rsidP="002D6519">
      <w:pPr>
        <w:pStyle w:val="Caption"/>
        <w:spacing w:before="0"/>
      </w:pPr>
      <w:bookmarkStart w:id="61" w:name="_Toc210309576"/>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9B2334">
        <w:t>Gender at Work Framework (Source: PWL)</w:t>
      </w:r>
      <w:bookmarkEnd w:id="61"/>
    </w:p>
    <w:bookmarkEnd w:id="60"/>
    <w:p w14:paraId="12AA28CC" w14:textId="77777777" w:rsidR="006F5F21" w:rsidRPr="002D6519" w:rsidRDefault="006F5F21" w:rsidP="002D6519">
      <w:pPr>
        <w:spacing w:before="240" w:after="120"/>
        <w:rPr>
          <w:rFonts w:asciiTheme="majorHAnsi" w:hAnsiTheme="majorHAnsi"/>
          <w:color w:val="984C00" w:themeColor="accent1" w:themeShade="BF"/>
          <w:sz w:val="22"/>
          <w:szCs w:val="24"/>
        </w:rPr>
      </w:pPr>
      <w:r w:rsidRPr="002D6519">
        <w:rPr>
          <w:rFonts w:asciiTheme="majorHAnsi" w:hAnsiTheme="majorHAnsi"/>
          <w:color w:val="984C00" w:themeColor="accent1" w:themeShade="BF"/>
          <w:sz w:val="22"/>
          <w:szCs w:val="24"/>
        </w:rPr>
        <w:t>Key overarching barriers to transformational change</w:t>
      </w:r>
    </w:p>
    <w:p w14:paraId="24EBE052" w14:textId="77777777" w:rsidR="006F5F21" w:rsidRPr="004865F5" w:rsidRDefault="006F5F21" w:rsidP="006F5F21">
      <w:pPr>
        <w:pStyle w:val="ListBullet"/>
      </w:pPr>
      <w:r w:rsidRPr="004865F5">
        <w:rPr>
          <w:b/>
          <w:bCs/>
        </w:rPr>
        <w:t xml:space="preserve">Lack of </w:t>
      </w:r>
      <w:r>
        <w:rPr>
          <w:b/>
          <w:bCs/>
        </w:rPr>
        <w:t>f</w:t>
      </w:r>
      <w:r w:rsidRPr="004865F5">
        <w:rPr>
          <w:b/>
          <w:bCs/>
        </w:rPr>
        <w:t xml:space="preserve">ormal </w:t>
      </w:r>
      <w:r>
        <w:rPr>
          <w:b/>
          <w:bCs/>
        </w:rPr>
        <w:t>c</w:t>
      </w:r>
      <w:r w:rsidRPr="004865F5">
        <w:rPr>
          <w:b/>
          <w:bCs/>
        </w:rPr>
        <w:t>ountry-</w:t>
      </w:r>
      <w:r>
        <w:rPr>
          <w:b/>
          <w:bCs/>
        </w:rPr>
        <w:t>l</w:t>
      </w:r>
      <w:r w:rsidRPr="004865F5">
        <w:rPr>
          <w:b/>
          <w:bCs/>
        </w:rPr>
        <w:t xml:space="preserve">evel </w:t>
      </w:r>
      <w:r>
        <w:rPr>
          <w:b/>
          <w:bCs/>
        </w:rPr>
        <w:t>c</w:t>
      </w:r>
      <w:r w:rsidRPr="004865F5">
        <w:rPr>
          <w:b/>
          <w:bCs/>
        </w:rPr>
        <w:t>oordination:</w:t>
      </w:r>
      <w:r w:rsidRPr="004865F5">
        <w:t xml:space="preserve"> The absence of a dedicated mechanism for national coordination limits collaboration and visibility. This has led to fragmented efforts and duplication of gender equality initiatives.</w:t>
      </w:r>
    </w:p>
    <w:p w14:paraId="080964D6" w14:textId="77777777" w:rsidR="006F5F21" w:rsidRPr="004865F5" w:rsidRDefault="006F5F21" w:rsidP="006F5F21">
      <w:pPr>
        <w:pStyle w:val="ListBullet"/>
      </w:pPr>
      <w:r w:rsidRPr="004865F5">
        <w:rPr>
          <w:b/>
          <w:bCs/>
        </w:rPr>
        <w:t xml:space="preserve">Limited </w:t>
      </w:r>
      <w:r>
        <w:rPr>
          <w:b/>
          <w:bCs/>
        </w:rPr>
        <w:t>a</w:t>
      </w:r>
      <w:r w:rsidRPr="004865F5">
        <w:rPr>
          <w:b/>
          <w:bCs/>
        </w:rPr>
        <w:t xml:space="preserve">wareness </w:t>
      </w:r>
      <w:r>
        <w:rPr>
          <w:b/>
          <w:bCs/>
        </w:rPr>
        <w:t>a</w:t>
      </w:r>
      <w:r w:rsidRPr="004865F5">
        <w:rPr>
          <w:b/>
          <w:bCs/>
        </w:rPr>
        <w:t xml:space="preserve">mong </w:t>
      </w:r>
      <w:r>
        <w:rPr>
          <w:b/>
          <w:bCs/>
        </w:rPr>
        <w:t>s</w:t>
      </w:r>
      <w:r w:rsidRPr="004865F5">
        <w:rPr>
          <w:b/>
          <w:bCs/>
        </w:rPr>
        <w:t>takeholders:</w:t>
      </w:r>
      <w:r w:rsidRPr="004865F5">
        <w:t xml:space="preserve"> Some DFAT Posts and partners are unaware of available country briefs and MEL dashboards. This has resulted in missed opportunities for leveraging existing data.</w:t>
      </w:r>
    </w:p>
    <w:p w14:paraId="6B6E1E50" w14:textId="77777777" w:rsidR="006F5F21" w:rsidRPr="004865F5" w:rsidRDefault="006F5F21" w:rsidP="006F5F21">
      <w:pPr>
        <w:pStyle w:val="ListBullet"/>
      </w:pPr>
      <w:r w:rsidRPr="004865F5">
        <w:rPr>
          <w:b/>
          <w:bCs/>
        </w:rPr>
        <w:t xml:space="preserve">Need for a </w:t>
      </w:r>
      <w:r>
        <w:rPr>
          <w:b/>
          <w:bCs/>
        </w:rPr>
        <w:t>n</w:t>
      </w:r>
      <w:r w:rsidRPr="004865F5">
        <w:rPr>
          <w:b/>
          <w:bCs/>
        </w:rPr>
        <w:t xml:space="preserve">ational </w:t>
      </w:r>
      <w:r>
        <w:rPr>
          <w:b/>
          <w:bCs/>
        </w:rPr>
        <w:t>c</w:t>
      </w:r>
      <w:r w:rsidRPr="004865F5">
        <w:rPr>
          <w:b/>
          <w:bCs/>
        </w:rPr>
        <w:t xml:space="preserve">onvening </w:t>
      </w:r>
      <w:r>
        <w:rPr>
          <w:b/>
          <w:bCs/>
        </w:rPr>
        <w:t>b</w:t>
      </w:r>
      <w:r w:rsidRPr="004865F5">
        <w:rPr>
          <w:b/>
          <w:bCs/>
        </w:rPr>
        <w:t>ody:</w:t>
      </w:r>
      <w:r w:rsidRPr="004865F5">
        <w:t xml:space="preserve"> Ministries of Women and DFAT Posts may not have the capacity or intent to act as national coordinators for gender equality efforts. Without a clear convener, collaboration across sectors remains inconsistent.</w:t>
      </w:r>
    </w:p>
    <w:p w14:paraId="7A8DC238" w14:textId="77777777" w:rsidR="006F5F21" w:rsidRPr="004865F5" w:rsidRDefault="006F5F21" w:rsidP="006F5F21">
      <w:pPr>
        <w:pStyle w:val="ListBullet"/>
      </w:pPr>
      <w:r w:rsidRPr="004865F5">
        <w:rPr>
          <w:b/>
          <w:bCs/>
        </w:rPr>
        <w:lastRenderedPageBreak/>
        <w:t xml:space="preserve">Disconnection </w:t>
      </w:r>
      <w:r>
        <w:rPr>
          <w:b/>
          <w:bCs/>
        </w:rPr>
        <w:t>b</w:t>
      </w:r>
      <w:r w:rsidRPr="004865F5">
        <w:rPr>
          <w:b/>
          <w:bCs/>
        </w:rPr>
        <w:t xml:space="preserve">etween </w:t>
      </w:r>
      <w:r>
        <w:rPr>
          <w:b/>
          <w:bCs/>
        </w:rPr>
        <w:t>r</w:t>
      </w:r>
      <w:r w:rsidRPr="004865F5">
        <w:rPr>
          <w:b/>
          <w:bCs/>
        </w:rPr>
        <w:t xml:space="preserve">egional and </w:t>
      </w:r>
      <w:r>
        <w:rPr>
          <w:b/>
          <w:bCs/>
        </w:rPr>
        <w:t>b</w:t>
      </w:r>
      <w:r w:rsidRPr="004865F5">
        <w:rPr>
          <w:b/>
          <w:bCs/>
        </w:rPr>
        <w:t xml:space="preserve">ilateral </w:t>
      </w:r>
      <w:r>
        <w:rPr>
          <w:b/>
          <w:bCs/>
        </w:rPr>
        <w:t>e</w:t>
      </w:r>
      <w:r w:rsidRPr="004865F5">
        <w:rPr>
          <w:b/>
          <w:bCs/>
        </w:rPr>
        <w:t>fforts:</w:t>
      </w:r>
      <w:r w:rsidRPr="004865F5">
        <w:t xml:space="preserve"> DFAT regional partners and PWL initiatives operate in silos, reducing synergy. Improved coordination could enhance cross-country learning and program effectiveness.</w:t>
      </w:r>
    </w:p>
    <w:p w14:paraId="2B60D28F" w14:textId="77777777" w:rsidR="006F5F21" w:rsidRPr="002D6519" w:rsidRDefault="006F5F21" w:rsidP="0041232D">
      <w:pPr>
        <w:spacing w:after="120"/>
        <w:rPr>
          <w:rFonts w:asciiTheme="majorHAnsi" w:hAnsiTheme="majorHAnsi"/>
          <w:color w:val="984C00" w:themeColor="accent1" w:themeShade="BF"/>
          <w:sz w:val="22"/>
          <w:szCs w:val="24"/>
        </w:rPr>
      </w:pPr>
      <w:bookmarkStart w:id="62" w:name="_Hlk200638513"/>
      <w:r w:rsidRPr="002D6519">
        <w:rPr>
          <w:rFonts w:asciiTheme="majorHAnsi" w:hAnsiTheme="majorHAnsi"/>
          <w:color w:val="984C00" w:themeColor="accent1" w:themeShade="BF"/>
          <w:sz w:val="22"/>
          <w:szCs w:val="24"/>
        </w:rPr>
        <w:t>Key overarching opportunities for transformational change</w:t>
      </w:r>
    </w:p>
    <w:p w14:paraId="3C7A874C" w14:textId="52F77691" w:rsidR="006F5F21" w:rsidRPr="00411918" w:rsidRDefault="006F5F21" w:rsidP="006F5F21">
      <w:pPr>
        <w:pStyle w:val="ListBullet"/>
      </w:pPr>
      <w:r w:rsidRPr="00411918">
        <w:rPr>
          <w:b/>
          <w:bCs/>
        </w:rPr>
        <w:t xml:space="preserve">PWL </w:t>
      </w:r>
      <w:r>
        <w:rPr>
          <w:b/>
          <w:bCs/>
        </w:rPr>
        <w:t>s</w:t>
      </w:r>
      <w:r w:rsidRPr="00411918">
        <w:rPr>
          <w:b/>
          <w:bCs/>
        </w:rPr>
        <w:t xml:space="preserve">hould </w:t>
      </w:r>
      <w:r w:rsidR="00FA6AEC">
        <w:rPr>
          <w:b/>
          <w:bCs/>
        </w:rPr>
        <w:t>i</w:t>
      </w:r>
      <w:r w:rsidRPr="00411918">
        <w:rPr>
          <w:b/>
          <w:bCs/>
        </w:rPr>
        <w:t xml:space="preserve">ntegrate into the </w:t>
      </w:r>
      <w:r>
        <w:rPr>
          <w:b/>
          <w:bCs/>
        </w:rPr>
        <w:t>b</w:t>
      </w:r>
      <w:r w:rsidRPr="00411918">
        <w:rPr>
          <w:b/>
          <w:bCs/>
        </w:rPr>
        <w:t xml:space="preserve">roader </w:t>
      </w:r>
      <w:r>
        <w:rPr>
          <w:b/>
          <w:bCs/>
        </w:rPr>
        <w:t>g</w:t>
      </w:r>
      <w:r w:rsidRPr="00411918">
        <w:rPr>
          <w:b/>
          <w:bCs/>
        </w:rPr>
        <w:t xml:space="preserve">ender </w:t>
      </w:r>
      <w:r>
        <w:rPr>
          <w:b/>
          <w:bCs/>
        </w:rPr>
        <w:t>e</w:t>
      </w:r>
      <w:r w:rsidRPr="00411918">
        <w:rPr>
          <w:b/>
          <w:bCs/>
        </w:rPr>
        <w:t xml:space="preserve">quality </w:t>
      </w:r>
      <w:r>
        <w:rPr>
          <w:b/>
          <w:bCs/>
        </w:rPr>
        <w:t>e</w:t>
      </w:r>
      <w:r w:rsidRPr="00411918">
        <w:rPr>
          <w:b/>
          <w:bCs/>
        </w:rPr>
        <w:t>cosystem:</w:t>
      </w:r>
      <w:r w:rsidRPr="00411918">
        <w:t xml:space="preserve"> A holistic view beyond DFAT-funded initiatives is necessary for impact. Engaging with regional feminist movements and other donors can enhance program sustainability.</w:t>
      </w:r>
    </w:p>
    <w:p w14:paraId="43A55629" w14:textId="77777777" w:rsidR="006F5F21" w:rsidRPr="00411918" w:rsidRDefault="006F5F21" w:rsidP="006F5F21">
      <w:pPr>
        <w:pStyle w:val="ListBullet"/>
      </w:pPr>
      <w:r w:rsidRPr="00411918">
        <w:rPr>
          <w:b/>
          <w:bCs/>
        </w:rPr>
        <w:t xml:space="preserve">Need for </w:t>
      </w:r>
      <w:r>
        <w:rPr>
          <w:b/>
          <w:bCs/>
        </w:rPr>
        <w:t>n</w:t>
      </w:r>
      <w:r w:rsidRPr="00411918">
        <w:rPr>
          <w:b/>
          <w:bCs/>
        </w:rPr>
        <w:t>ational-</w:t>
      </w:r>
      <w:r>
        <w:rPr>
          <w:b/>
          <w:bCs/>
        </w:rPr>
        <w:t>l</w:t>
      </w:r>
      <w:r w:rsidRPr="00411918">
        <w:rPr>
          <w:b/>
          <w:bCs/>
        </w:rPr>
        <w:t xml:space="preserve">evel </w:t>
      </w:r>
      <w:r>
        <w:rPr>
          <w:b/>
          <w:bCs/>
        </w:rPr>
        <w:t>c</w:t>
      </w:r>
      <w:r w:rsidRPr="00411918">
        <w:rPr>
          <w:b/>
          <w:bCs/>
        </w:rPr>
        <w:t xml:space="preserve">onvening and </w:t>
      </w:r>
      <w:r>
        <w:rPr>
          <w:b/>
          <w:bCs/>
        </w:rPr>
        <w:t>c</w:t>
      </w:r>
      <w:r w:rsidRPr="00411918">
        <w:rPr>
          <w:b/>
          <w:bCs/>
        </w:rPr>
        <w:t>oordination:</w:t>
      </w:r>
      <w:r w:rsidRPr="00411918">
        <w:t xml:space="preserve"> Strengthening local structures would enhance Pacific ownership and collaboration. For example, establishing national gender equality roundtables could facilitate better coordination.</w:t>
      </w:r>
    </w:p>
    <w:p w14:paraId="38E73DC9" w14:textId="2B2DC5D8" w:rsidR="006F5F21" w:rsidRPr="00411918" w:rsidRDefault="006F5F21" w:rsidP="006F5F21">
      <w:pPr>
        <w:pStyle w:val="ListBullet"/>
      </w:pPr>
      <w:r w:rsidRPr="00411918">
        <w:rPr>
          <w:b/>
          <w:bCs/>
        </w:rPr>
        <w:t xml:space="preserve">Better </w:t>
      </w:r>
      <w:r>
        <w:rPr>
          <w:b/>
          <w:bCs/>
        </w:rPr>
        <w:t>a</w:t>
      </w:r>
      <w:r w:rsidRPr="00411918">
        <w:rPr>
          <w:b/>
          <w:bCs/>
        </w:rPr>
        <w:t xml:space="preserve">lignment of </w:t>
      </w:r>
      <w:r>
        <w:rPr>
          <w:b/>
          <w:bCs/>
        </w:rPr>
        <w:t>r</w:t>
      </w:r>
      <w:r w:rsidRPr="00411918">
        <w:rPr>
          <w:b/>
          <w:bCs/>
        </w:rPr>
        <w:t xml:space="preserve">egional and </w:t>
      </w:r>
      <w:r>
        <w:rPr>
          <w:b/>
          <w:bCs/>
        </w:rPr>
        <w:t>b</w:t>
      </w:r>
      <w:r w:rsidRPr="00411918">
        <w:rPr>
          <w:b/>
          <w:bCs/>
        </w:rPr>
        <w:t xml:space="preserve">ilateral </w:t>
      </w:r>
      <w:r>
        <w:rPr>
          <w:b/>
          <w:bCs/>
        </w:rPr>
        <w:t>e</w:t>
      </w:r>
      <w:r w:rsidRPr="00411918">
        <w:rPr>
          <w:b/>
          <w:bCs/>
        </w:rPr>
        <w:t>fforts:</w:t>
      </w:r>
      <w:r w:rsidRPr="00411918">
        <w:t xml:space="preserve"> Improved coordination between UN partners, SPC, and </w:t>
      </w:r>
      <w:r w:rsidR="00C1511B">
        <w:t>PIFS</w:t>
      </w:r>
      <w:r w:rsidRPr="00411918">
        <w:t xml:space="preserve"> can enhance impact. This includes aligning regional programs with national action plans for gender equality.</w:t>
      </w:r>
    </w:p>
    <w:p w14:paraId="247A2B6D" w14:textId="2B56CE08" w:rsidR="002D6519" w:rsidRDefault="006F5F21" w:rsidP="002D6519">
      <w:pPr>
        <w:pStyle w:val="ListBullet"/>
      </w:pPr>
      <w:r w:rsidRPr="00411918">
        <w:rPr>
          <w:b/>
          <w:bCs/>
        </w:rPr>
        <w:t xml:space="preserve">Strengthening </w:t>
      </w:r>
      <w:r>
        <w:rPr>
          <w:b/>
          <w:bCs/>
        </w:rPr>
        <w:t>r</w:t>
      </w:r>
      <w:r w:rsidRPr="00411918">
        <w:rPr>
          <w:b/>
          <w:bCs/>
        </w:rPr>
        <w:t xml:space="preserve">egional </w:t>
      </w:r>
      <w:r>
        <w:rPr>
          <w:b/>
          <w:bCs/>
        </w:rPr>
        <w:t>l</w:t>
      </w:r>
      <w:r w:rsidRPr="00411918">
        <w:rPr>
          <w:b/>
          <w:bCs/>
        </w:rPr>
        <w:t>inkages:</w:t>
      </w:r>
      <w:r w:rsidRPr="00411918">
        <w:t xml:space="preserve"> Aligning with sub-regional mechanisms such as the Melanesian Spearhead Group </w:t>
      </w:r>
      <w:r w:rsidR="00057807">
        <w:t xml:space="preserve">(MSG) </w:t>
      </w:r>
      <w:r w:rsidRPr="00411918">
        <w:t>can provide further strategic direction. For instance, leveraging MSG networks to share best practices in gender-responsive budgeting could improve policy outcomes.</w:t>
      </w:r>
    </w:p>
    <w:p w14:paraId="3BF98DA7" w14:textId="77777777" w:rsidR="002D6519" w:rsidRPr="00EE243C" w:rsidRDefault="002D6519" w:rsidP="002D6519">
      <w:pPr>
        <w:pStyle w:val="Heading4nonumber"/>
        <w:outlineLvl w:val="9"/>
      </w:pPr>
      <w:r>
        <w:t>Summary of PWL work within each quadrant:</w:t>
      </w:r>
    </w:p>
    <w:p w14:paraId="29BEEA2C" w14:textId="77777777" w:rsidR="002D6519" w:rsidRPr="0085567D" w:rsidRDefault="002D6519" w:rsidP="00AB5DCC">
      <w:pPr>
        <w:spacing w:after="120"/>
        <w:rPr>
          <w:rFonts w:asciiTheme="majorHAnsi" w:hAnsiTheme="majorHAnsi"/>
          <w:color w:val="984C00" w:themeColor="accent1" w:themeShade="BF"/>
          <w:sz w:val="22"/>
          <w:szCs w:val="24"/>
        </w:rPr>
      </w:pPr>
      <w:r w:rsidRPr="0085567D">
        <w:rPr>
          <w:rFonts w:asciiTheme="majorHAnsi" w:hAnsiTheme="majorHAnsi"/>
          <w:color w:val="984C00" w:themeColor="accent1" w:themeShade="BF"/>
          <w:sz w:val="22"/>
          <w:szCs w:val="24"/>
        </w:rPr>
        <w:t>Consciousness and capabilities</w:t>
      </w:r>
    </w:p>
    <w:p w14:paraId="5340818E" w14:textId="0F07CED3" w:rsidR="002D6519" w:rsidRDefault="002D6519" w:rsidP="002D6519">
      <w:pPr>
        <w:spacing w:before="120" w:after="120"/>
        <w:rPr>
          <w:szCs w:val="21"/>
        </w:rPr>
      </w:pPr>
      <w:r w:rsidRPr="00E32EDF">
        <w:rPr>
          <w:szCs w:val="21"/>
        </w:rPr>
        <w:t>PWL employs diverse strategies to enhance consciousness and capabilities in the gender equality field, including targeted training programs on leadership, advocacy, disability inclusion, and policy analysis. It has supported the development of a regional counselling framework for GBV, strengthening survivor-centred approaches. Through platforms like ARAW, PWL fosters continuous learning, collaboration, and evidence-based adaptation. Its initiatives have bolstered confidence and leadership among women and girls, raised awareness of key gender issues, and strengthened national women’s machineries in integrating gender perspectives into policies and programs. Additionally, PWL has been instrumental in building partnerships and networks that drive collective action for gender equality.</w:t>
      </w:r>
    </w:p>
    <w:p w14:paraId="424F585A" w14:textId="77777777" w:rsidR="002D6519" w:rsidRPr="0085567D" w:rsidRDefault="002D6519" w:rsidP="00AB5DCC">
      <w:pPr>
        <w:spacing w:after="120"/>
        <w:rPr>
          <w:rFonts w:asciiTheme="majorHAnsi" w:hAnsiTheme="majorHAnsi"/>
          <w:color w:val="984C00" w:themeColor="accent1" w:themeShade="BF"/>
          <w:sz w:val="22"/>
          <w:szCs w:val="24"/>
        </w:rPr>
      </w:pPr>
      <w:r w:rsidRPr="0085567D">
        <w:rPr>
          <w:rFonts w:asciiTheme="majorHAnsi" w:hAnsiTheme="majorHAnsi"/>
          <w:color w:val="984C00" w:themeColor="accent1" w:themeShade="BF"/>
          <w:sz w:val="22"/>
          <w:szCs w:val="24"/>
        </w:rPr>
        <w:t>Access to resources</w:t>
      </w:r>
    </w:p>
    <w:p w14:paraId="78FD4564" w14:textId="77777777" w:rsidR="002D6519" w:rsidRDefault="002D6519" w:rsidP="002D6519">
      <w:pPr>
        <w:spacing w:before="120" w:after="120"/>
        <w:rPr>
          <w:szCs w:val="21"/>
        </w:rPr>
      </w:pPr>
      <w:r w:rsidRPr="00E32EDF">
        <w:rPr>
          <w:szCs w:val="21"/>
        </w:rPr>
        <w:t>PWL strategically allocates resources to improve women's access to financial capital, healthcare, and economic opportunities, recognising these as essential for empowerment. It invests in expanding access to quality SRHR services, including contraception, safe abortion, maternal healthcare, and advocacy efforts. Additionally, PWL promotes women's economic empowerment by supporting entrepreneurship, financial inclusion, and access to decent work through training, mentoring, and financial support. However, delays in grant disbursement from SPC and the PWL Governance Board have hindered resource distribution to service providers in the program's early phase.</w:t>
      </w:r>
    </w:p>
    <w:p w14:paraId="4EB4665E" w14:textId="77777777" w:rsidR="002D6519" w:rsidRPr="0085567D" w:rsidRDefault="002D6519" w:rsidP="00AB5DCC">
      <w:pPr>
        <w:spacing w:after="120"/>
        <w:rPr>
          <w:rFonts w:asciiTheme="majorHAnsi" w:hAnsiTheme="majorHAnsi"/>
          <w:color w:val="984C00" w:themeColor="accent1" w:themeShade="BF"/>
          <w:sz w:val="22"/>
          <w:szCs w:val="24"/>
        </w:rPr>
      </w:pPr>
      <w:r w:rsidRPr="0085567D">
        <w:rPr>
          <w:rFonts w:asciiTheme="majorHAnsi" w:hAnsiTheme="majorHAnsi"/>
          <w:color w:val="984C00" w:themeColor="accent1" w:themeShade="BF"/>
          <w:sz w:val="22"/>
          <w:szCs w:val="24"/>
        </w:rPr>
        <w:t xml:space="preserve">Social norms </w:t>
      </w:r>
    </w:p>
    <w:p w14:paraId="4FF42147" w14:textId="476B1400" w:rsidR="002D6519" w:rsidRDefault="002D6519" w:rsidP="002D6519">
      <w:pPr>
        <w:spacing w:before="120" w:after="120"/>
        <w:rPr>
          <w:szCs w:val="21"/>
        </w:rPr>
      </w:pPr>
      <w:r w:rsidRPr="00E32EDF">
        <w:rPr>
          <w:szCs w:val="21"/>
        </w:rPr>
        <w:t xml:space="preserve">PWL implements activities to challenge harmful social norms and promote inclusive practices, using strong evidence to guide change while authentically engaging with Pacific culture. Rather than viewing culture as a barrier, PWL harnesses its strengths to advance gender equality, as seen in events like the </w:t>
      </w:r>
      <w:proofErr w:type="spellStart"/>
      <w:r w:rsidRPr="00E32EDF">
        <w:rPr>
          <w:szCs w:val="21"/>
        </w:rPr>
        <w:t>Ainikien</w:t>
      </w:r>
      <w:proofErr w:type="spellEnd"/>
      <w:r w:rsidRPr="00E32EDF">
        <w:rPr>
          <w:szCs w:val="21"/>
        </w:rPr>
        <w:t xml:space="preserve"> Kora Forum in </w:t>
      </w:r>
      <w:r w:rsidR="009A6508">
        <w:rPr>
          <w:szCs w:val="21"/>
        </w:rPr>
        <w:t>RMI</w:t>
      </w:r>
      <w:r w:rsidRPr="00E32EDF">
        <w:rPr>
          <w:szCs w:val="21"/>
        </w:rPr>
        <w:t>. The program also supports disability inclusion through initiatives like Girls Arise, which fosters leadership among Deaf girls. While there is some evidence of social norms change, particularly in programs like Balance of Power and shifting attitudes toward SRHR services, inconsistent data collection and mixed findings highlight the need for clearer measurement frameworks.</w:t>
      </w:r>
    </w:p>
    <w:p w14:paraId="065E30F1" w14:textId="77777777" w:rsidR="002D6519" w:rsidRPr="0085567D" w:rsidRDefault="002D6519" w:rsidP="00AB5DCC">
      <w:pPr>
        <w:spacing w:after="120"/>
        <w:rPr>
          <w:rFonts w:asciiTheme="majorHAnsi" w:hAnsiTheme="majorHAnsi"/>
          <w:color w:val="984C00" w:themeColor="accent1" w:themeShade="BF"/>
          <w:sz w:val="22"/>
          <w:szCs w:val="24"/>
        </w:rPr>
      </w:pPr>
      <w:r w:rsidRPr="0085567D">
        <w:rPr>
          <w:rFonts w:asciiTheme="majorHAnsi" w:hAnsiTheme="majorHAnsi"/>
          <w:color w:val="984C00" w:themeColor="accent1" w:themeShade="BF"/>
          <w:sz w:val="22"/>
          <w:szCs w:val="24"/>
        </w:rPr>
        <w:t>Formal rules and policies</w:t>
      </w:r>
    </w:p>
    <w:p w14:paraId="41D79439" w14:textId="6688460B" w:rsidR="002D6519" w:rsidRPr="00E32EDF" w:rsidRDefault="002D6519" w:rsidP="002D6519">
      <w:pPr>
        <w:spacing w:before="120" w:after="120"/>
        <w:rPr>
          <w:szCs w:val="21"/>
        </w:rPr>
      </w:pPr>
      <w:r w:rsidRPr="00E32EDF">
        <w:rPr>
          <w:szCs w:val="21"/>
        </w:rPr>
        <w:t xml:space="preserve">PWL employs multiple strategies to promote gender-responsive laws, policies, and institutional mechanisms, supporting national women's machineries through grants, technical assistance, and regional learning exchanges. The program also contributes to key gender equality forums and supports the implementation of gender policies, ensuring they translate into practice. PWL has played a role in policy advancements such as the Micronesian Gender Equality Framework and legal reforms in </w:t>
      </w:r>
      <w:r w:rsidRPr="00E32EDF">
        <w:rPr>
          <w:szCs w:val="21"/>
        </w:rPr>
        <w:lastRenderedPageBreak/>
        <w:t>Vanuatu, Samoa, Solomon Islands, and Kiribati. However, weak accountability mechanisms and limited authority of national women’s machineries remain barriers to implementation, highlighting the need for stronger enforcement and improved MEL frameworks to track policy impact.</w:t>
      </w:r>
    </w:p>
    <w:p w14:paraId="5BFBCB7F" w14:textId="7652C2D0" w:rsidR="00D20E1A" w:rsidRDefault="00D20E1A" w:rsidP="00D20E1A">
      <w:pPr>
        <w:pStyle w:val="Heading1"/>
      </w:pPr>
      <w:bookmarkStart w:id="63" w:name="_Toc201840797"/>
      <w:bookmarkEnd w:id="62"/>
      <w:r>
        <w:lastRenderedPageBreak/>
        <w:t xml:space="preserve">Findings </w:t>
      </w:r>
      <w:r w:rsidR="0099789A">
        <w:t>–</w:t>
      </w:r>
      <w:r>
        <w:t xml:space="preserve"> </w:t>
      </w:r>
      <w:r w:rsidRPr="00D20E1A">
        <w:rPr>
          <w:color w:val="0D8577" w:themeColor="accent5"/>
        </w:rPr>
        <w:t>Relevance</w:t>
      </w:r>
      <w:bookmarkEnd w:id="63"/>
    </w:p>
    <w:p w14:paraId="2B132688" w14:textId="65BE749B" w:rsidR="008E4939" w:rsidRPr="00EE243C" w:rsidRDefault="00D20E1A" w:rsidP="00D20E1A">
      <w:pPr>
        <w:pStyle w:val="Tealblockheading"/>
      </w:pPr>
      <w:bookmarkStart w:id="64" w:name="_Toc181604015"/>
      <w:bookmarkStart w:id="65" w:name="_Hlk193735825"/>
      <w:r>
        <w:t xml:space="preserve">KRQ4. </w:t>
      </w:r>
      <w:r w:rsidR="008E4939" w:rsidRPr="00EE243C">
        <w:t xml:space="preserve">How relevant is the whole of portfolio modality and the five components to addressing gender inequality across the Pacific region? </w:t>
      </w:r>
      <w:bookmarkEnd w:id="64"/>
    </w:p>
    <w:p w14:paraId="06FE4CC6" w14:textId="33343BFB" w:rsidR="00AE3D5A" w:rsidRPr="00C4277A" w:rsidRDefault="00AE3D5A" w:rsidP="00384259">
      <w:pPr>
        <w:pStyle w:val="Tealblocktext"/>
        <w:rPr>
          <w:rStyle w:val="Strong"/>
          <w:b w:val="0"/>
          <w:bCs w:val="0"/>
        </w:rPr>
      </w:pPr>
      <w:r w:rsidRPr="00C4277A">
        <w:rPr>
          <w:rStyle w:val="Strong"/>
          <w:b w:val="0"/>
          <w:bCs w:val="0"/>
        </w:rPr>
        <w:t xml:space="preserve">PWL remains a critical investment into addressing Pacific gender inequality particularly due to the changing global, regional and national contexts in which the program operates. </w:t>
      </w:r>
      <w:r w:rsidR="003E4DEE" w:rsidRPr="00C4277A">
        <w:rPr>
          <w:rStyle w:val="Strong"/>
          <w:b w:val="0"/>
          <w:bCs w:val="0"/>
        </w:rPr>
        <w:t>The modality</w:t>
      </w:r>
      <w:r w:rsidR="00D7170E">
        <w:rPr>
          <w:rStyle w:val="Strong"/>
          <w:b w:val="0"/>
          <w:bCs w:val="0"/>
        </w:rPr>
        <w:t xml:space="preserve"> and the five comp</w:t>
      </w:r>
      <w:r w:rsidR="00314813">
        <w:rPr>
          <w:rStyle w:val="Strong"/>
          <w:b w:val="0"/>
          <w:bCs w:val="0"/>
        </w:rPr>
        <w:t xml:space="preserve">onents are </w:t>
      </w:r>
      <w:r w:rsidR="003E4DEE" w:rsidRPr="00C4277A">
        <w:rPr>
          <w:rStyle w:val="Strong"/>
          <w:b w:val="0"/>
          <w:bCs w:val="0"/>
        </w:rPr>
        <w:t xml:space="preserve">well-suited for tackling the deeply rooted issue of gender inequality across the Pacific because it acknowledges the need for </w:t>
      </w:r>
      <w:r w:rsidR="000B2971">
        <w:rPr>
          <w:rStyle w:val="Strong"/>
          <w:b w:val="0"/>
          <w:bCs w:val="0"/>
        </w:rPr>
        <w:t xml:space="preserve">a </w:t>
      </w:r>
      <w:r w:rsidR="003E4DEE" w:rsidRPr="00C4277A">
        <w:rPr>
          <w:rStyle w:val="Strong"/>
          <w:b w:val="0"/>
          <w:bCs w:val="0"/>
        </w:rPr>
        <w:t xml:space="preserve">sustained, long-term investment and approach. </w:t>
      </w:r>
      <w:r w:rsidR="00EA3A11">
        <w:rPr>
          <w:rStyle w:val="Strong"/>
          <w:b w:val="0"/>
          <w:bCs w:val="0"/>
        </w:rPr>
        <w:t>The</w:t>
      </w:r>
      <w:r w:rsidR="00314813">
        <w:rPr>
          <w:rStyle w:val="Strong"/>
          <w:b w:val="0"/>
          <w:bCs w:val="0"/>
        </w:rPr>
        <w:t xml:space="preserve"> components </w:t>
      </w:r>
      <w:r w:rsidR="00EA3A11">
        <w:rPr>
          <w:rStyle w:val="Strong"/>
          <w:b w:val="0"/>
          <w:bCs w:val="0"/>
        </w:rPr>
        <w:t>have</w:t>
      </w:r>
      <w:r w:rsidR="00314813">
        <w:rPr>
          <w:rStyle w:val="Strong"/>
          <w:b w:val="0"/>
          <w:bCs w:val="0"/>
        </w:rPr>
        <w:t xml:space="preserve"> demonstrated appropriate levels of adaptation </w:t>
      </w:r>
      <w:r w:rsidR="0047782E">
        <w:rPr>
          <w:rStyle w:val="Strong"/>
          <w:b w:val="0"/>
          <w:bCs w:val="0"/>
        </w:rPr>
        <w:t xml:space="preserve">to contextual shifts and </w:t>
      </w:r>
      <w:r w:rsidR="00EA3A11">
        <w:rPr>
          <w:rStyle w:val="Strong"/>
          <w:b w:val="0"/>
          <w:bCs w:val="0"/>
        </w:rPr>
        <w:t>learnings</w:t>
      </w:r>
      <w:r w:rsidR="00DE2838">
        <w:rPr>
          <w:rStyle w:val="Strong"/>
          <w:b w:val="0"/>
          <w:bCs w:val="0"/>
        </w:rPr>
        <w:t xml:space="preserve">, </w:t>
      </w:r>
      <w:r w:rsidR="000A0F2C">
        <w:rPr>
          <w:rStyle w:val="Strong"/>
          <w:b w:val="0"/>
          <w:bCs w:val="0"/>
        </w:rPr>
        <w:t xml:space="preserve">assisted by evidence produced by the MEL system and </w:t>
      </w:r>
      <w:r w:rsidR="00C220D1">
        <w:rPr>
          <w:rStyle w:val="Strong"/>
          <w:b w:val="0"/>
          <w:bCs w:val="0"/>
        </w:rPr>
        <w:t xml:space="preserve">various </w:t>
      </w:r>
      <w:r w:rsidR="000A0F2C">
        <w:rPr>
          <w:rStyle w:val="Strong"/>
          <w:b w:val="0"/>
          <w:bCs w:val="0"/>
        </w:rPr>
        <w:t xml:space="preserve">coordination </w:t>
      </w:r>
      <w:r w:rsidR="00C220D1">
        <w:rPr>
          <w:rStyle w:val="Strong"/>
          <w:b w:val="0"/>
          <w:bCs w:val="0"/>
        </w:rPr>
        <w:t>efforts</w:t>
      </w:r>
      <w:r w:rsidR="00EA3A11">
        <w:rPr>
          <w:rStyle w:val="Strong"/>
          <w:b w:val="0"/>
          <w:bCs w:val="0"/>
        </w:rPr>
        <w:t>.</w:t>
      </w:r>
      <w:r w:rsidR="003E4DEE" w:rsidRPr="00C4277A">
        <w:rPr>
          <w:rStyle w:val="Strong"/>
          <w:b w:val="0"/>
          <w:bCs w:val="0"/>
        </w:rPr>
        <w:t xml:space="preserve"> PWL has furthermore fostered alignment with existing international gender equality priorities and frameworks through its active engagement in international forums, strategic partnerships with global organisations, and consistent efforts to promote regional perspectives and leadership in global discussions. </w:t>
      </w:r>
    </w:p>
    <w:bookmarkEnd w:id="65"/>
    <w:p w14:paraId="4573CC62" w14:textId="3479356C" w:rsidR="00385B50" w:rsidRPr="00184257" w:rsidRDefault="00385B50" w:rsidP="00431ECA">
      <w:pPr>
        <w:spacing w:after="120"/>
        <w:rPr>
          <w:rFonts w:asciiTheme="majorHAnsi" w:hAnsiTheme="majorHAnsi"/>
          <w:color w:val="984C00" w:themeColor="accent1" w:themeShade="BF"/>
          <w:sz w:val="22"/>
          <w:szCs w:val="24"/>
        </w:rPr>
      </w:pPr>
      <w:r w:rsidRPr="00184257">
        <w:rPr>
          <w:rFonts w:asciiTheme="majorHAnsi" w:hAnsiTheme="majorHAnsi"/>
          <w:color w:val="984C00" w:themeColor="accent1" w:themeShade="BF"/>
          <w:sz w:val="22"/>
          <w:szCs w:val="24"/>
        </w:rPr>
        <w:t>PWLs response to the global, regional and national contexts in which it operates</w:t>
      </w:r>
    </w:p>
    <w:p w14:paraId="53F05E38" w14:textId="1FF7A938" w:rsidR="004A1CBD" w:rsidRDefault="382FEC11" w:rsidP="00690BB5">
      <w:r w:rsidRPr="3BBBFC65">
        <w:t xml:space="preserve">The global context for PWL has undergone significant changes, with increased backlash against women's rights presenting substantial challenges. The PWL Formative Situational Analysis describes how gender equality is increasingly equated with a loss of Pacific identity and culture, contributing to reduced funding for progressive gender equality programming—with less than 1% of </w:t>
      </w:r>
      <w:r w:rsidR="04A3E388" w:rsidRPr="3BBBFC65">
        <w:t>Organisation for Economic Cooperation and Development (</w:t>
      </w:r>
      <w:hyperlink r:id="rId30" w:history="1">
        <w:r w:rsidR="008A07A8" w:rsidRPr="008A07A8">
          <w:rPr>
            <w:rStyle w:val="Hyperlink"/>
          </w:rPr>
          <w:t>https://womensfundfiji.org/wp-content/uploads/2021/11/FULL-SCOPING-STUDY.pdf</w:t>
        </w:r>
      </w:hyperlink>
      <w:r w:rsidR="006E4769">
        <w:t>)</w:t>
      </w:r>
      <w:r w:rsidR="008A07A8">
        <w:t>.</w:t>
      </w:r>
      <w:r w:rsidR="006E4769">
        <w:t xml:space="preserve"> </w:t>
      </w:r>
      <w:r w:rsidRPr="3BBBFC65">
        <w:t xml:space="preserve">Implementation of gender-responsive laws and policies remains slow due to low political will and active resistance from senior decision-makers. Australia's continued support, particularly funding to civil society and women's government machineries via the Women's Funds and SPC, is crucial to challenge this backlash through locally directed strategies. </w:t>
      </w:r>
      <w:r w:rsidR="0EDCF2F3" w:rsidRPr="5611F956">
        <w:t>Some Pacific</w:t>
      </w:r>
      <w:r w:rsidR="0EDCF2F3" w:rsidRPr="00DF414B">
        <w:t xml:space="preserve"> countries are currently reviewing their policies</w:t>
      </w:r>
      <w:r w:rsidR="74C105EB" w:rsidRPr="5611F956">
        <w:t xml:space="preserve"> through a gender lens</w:t>
      </w:r>
      <w:r w:rsidR="0EDCF2F3" w:rsidRPr="00DF414B">
        <w:t xml:space="preserve">, but they often lack baseline data or evidence for context-specific </w:t>
      </w:r>
      <w:r w:rsidR="74C105EB" w:rsidRPr="5611F956">
        <w:t xml:space="preserve">gender </w:t>
      </w:r>
      <w:r w:rsidR="0EDCF2F3" w:rsidRPr="00DF414B">
        <w:t>analysis</w:t>
      </w:r>
      <w:r w:rsidR="74C105EB" w:rsidRPr="5611F956">
        <w:t xml:space="preserve">. </w:t>
      </w:r>
      <w:r w:rsidR="21BEFBE7" w:rsidRPr="5611F956">
        <w:t xml:space="preserve">This gap emphasises the relevance of </w:t>
      </w:r>
      <w:r w:rsidR="74C105EB" w:rsidRPr="5611F956">
        <w:t>PWLES’</w:t>
      </w:r>
      <w:r w:rsidR="21BEFBE7" w:rsidRPr="5611F956">
        <w:t xml:space="preserve">s LTA and QTAG support to ensure sustainable and progressive policy reform. </w:t>
      </w:r>
    </w:p>
    <w:p w14:paraId="4DA089D9" w14:textId="0081BDE7" w:rsidR="00CE0084" w:rsidRDefault="00803C18" w:rsidP="00690BB5">
      <w:pPr>
        <w:rPr>
          <w:rFonts w:eastAsia="Aptos"/>
        </w:rPr>
      </w:pPr>
      <w:r w:rsidRPr="00803C18">
        <w:rPr>
          <w:rFonts w:eastAsia="Aptos"/>
        </w:rPr>
        <w:t>National elections across multiple Pacific countries have resulted in persistently low levels of female participation in government, underscoring the continued need for women's leadership programs. In Fiji, the percentage of female parliamentarians decreased from 20% to 11% after recent elections, while in PNG, PWL supported two women in winning seats in the 118-seat Parliament.</w:t>
      </w:r>
      <w:r w:rsidR="006A1FDF">
        <w:rPr>
          <w:rFonts w:eastAsia="Aptos"/>
        </w:rPr>
        <w:t xml:space="preserve"> While</w:t>
      </w:r>
      <w:r w:rsidRPr="00803C18">
        <w:rPr>
          <w:rFonts w:eastAsia="Aptos"/>
        </w:rPr>
        <w:t xml:space="preserve"> </w:t>
      </w:r>
      <w:r w:rsidR="006A1FDF" w:rsidRPr="772AFB6A">
        <w:rPr>
          <w:rFonts w:eastAsia="Aptos"/>
        </w:rPr>
        <w:t>a significant success for the program, the overwhelming minority position of women remains a challenge for gender equality policy reform and progress throughout the region</w:t>
      </w:r>
      <w:r w:rsidR="006A1FDF">
        <w:rPr>
          <w:rFonts w:eastAsia="Aptos"/>
        </w:rPr>
        <w:t xml:space="preserve">, and </w:t>
      </w:r>
      <w:r w:rsidR="006A1FDF" w:rsidRPr="772AFB6A">
        <w:rPr>
          <w:rFonts w:eastAsia="Aptos"/>
        </w:rPr>
        <w:t>challenges of leadership extend beyond official setting</w:t>
      </w:r>
      <w:r w:rsidR="006A1FDF">
        <w:rPr>
          <w:rFonts w:eastAsia="Aptos"/>
        </w:rPr>
        <w:t>s.</w:t>
      </w:r>
      <w:r w:rsidR="006A1FDF" w:rsidRPr="00803C18">
        <w:rPr>
          <w:rFonts w:eastAsia="Aptos"/>
        </w:rPr>
        <w:t xml:space="preserve"> </w:t>
      </w:r>
      <w:bookmarkStart w:id="66" w:name="_Hlk200638707"/>
      <w:r w:rsidR="006A18FE" w:rsidRPr="772AFB6A">
        <w:rPr>
          <w:rFonts w:eastAsia="Aptos"/>
        </w:rPr>
        <w:t xml:space="preserve">The </w:t>
      </w:r>
      <w:r w:rsidR="3EDC7890" w:rsidRPr="772AFB6A">
        <w:rPr>
          <w:rFonts w:eastAsia="Aptos"/>
        </w:rPr>
        <w:t xml:space="preserve">PWL Formative Situational Analysis </w:t>
      </w:r>
      <w:r w:rsidR="00BB4C16">
        <w:rPr>
          <w:rFonts w:eastAsia="Aptos"/>
        </w:rPr>
        <w:t>on</w:t>
      </w:r>
      <w:r w:rsidR="006A18FE" w:rsidRPr="772AFB6A">
        <w:rPr>
          <w:rFonts w:eastAsia="Aptos"/>
        </w:rPr>
        <w:t xml:space="preserve"> Pacific Ownership highlights the importance of broadening </w:t>
      </w:r>
      <w:r w:rsidR="00256FF5" w:rsidRPr="772AFB6A">
        <w:rPr>
          <w:rFonts w:eastAsia="Aptos"/>
        </w:rPr>
        <w:t>the program’s definition of women’s leadership</w:t>
      </w:r>
      <w:r w:rsidR="00E753C8" w:rsidRPr="772AFB6A">
        <w:rPr>
          <w:rFonts w:eastAsia="Aptos"/>
        </w:rPr>
        <w:t xml:space="preserve"> to improve advocacy for gender equality at the </w:t>
      </w:r>
      <w:r w:rsidR="005E34EE" w:rsidRPr="772AFB6A">
        <w:rPr>
          <w:rFonts w:eastAsia="Aptos"/>
        </w:rPr>
        <w:t>sub-national or provincial as well as informal spaces</w:t>
      </w:r>
      <w:r w:rsidR="00E8037F" w:rsidRPr="772AFB6A">
        <w:rPr>
          <w:rFonts w:eastAsia="Aptos"/>
        </w:rPr>
        <w:t xml:space="preserve"> in recognition of the diverse areas where women can occupy leadership roles. </w:t>
      </w:r>
    </w:p>
    <w:bookmarkEnd w:id="66"/>
    <w:p w14:paraId="4DECEC46" w14:textId="77777777" w:rsidR="007417E0" w:rsidRDefault="005F0037" w:rsidP="00690BB5">
      <w:pPr>
        <w:rPr>
          <w:rFonts w:eastAsia="Aptos"/>
        </w:rPr>
      </w:pPr>
      <w:r w:rsidRPr="005F0037">
        <w:rPr>
          <w:rFonts w:eastAsia="Aptos"/>
        </w:rPr>
        <w:t xml:space="preserve">The changing context further justifies continued investment in </w:t>
      </w:r>
      <w:r w:rsidR="00FA6AEC">
        <w:rPr>
          <w:rFonts w:eastAsia="Aptos"/>
        </w:rPr>
        <w:t>WEE</w:t>
      </w:r>
      <w:r w:rsidRPr="005F0037">
        <w:rPr>
          <w:rFonts w:eastAsia="Aptos"/>
        </w:rPr>
        <w:t xml:space="preserve">, </w:t>
      </w:r>
      <w:r w:rsidR="00DC2E00">
        <w:rPr>
          <w:rFonts w:eastAsia="Aptos"/>
        </w:rPr>
        <w:t>SRHR</w:t>
      </w:r>
      <w:r w:rsidRPr="005F0037">
        <w:rPr>
          <w:rFonts w:eastAsia="Aptos"/>
        </w:rPr>
        <w:t xml:space="preserve">, and women's safety programs. Labor mobility initiatives like the Seasonal Worker Programme and Pacific Labour Scheme are adopting strategies to address gender disparities by diversifying beyond male-dominated industries, though these efforts introduce potential unintended consequences including family communication breakdowns and conflicts related to finances that have sometimes led to gender-based violence. Additionally, as noted in PWLES's 2023 annual report, while COVID-19 sparked examples of women's innovation and entrepreneurship, it also triggered </w:t>
      </w:r>
      <w:r w:rsidRPr="005F0037">
        <w:rPr>
          <w:rFonts w:eastAsia="Aptos"/>
          <w:i/>
          <w:iCs/>
        </w:rPr>
        <w:t>"profound changes and setbacks"</w:t>
      </w:r>
      <w:r w:rsidRPr="005F0037">
        <w:rPr>
          <w:rFonts w:eastAsia="Aptos"/>
        </w:rPr>
        <w:t xml:space="preserve"> in gender equality, with increased rates of gender-based violence alongside decreased availability of health services.</w:t>
      </w:r>
      <w:r w:rsidR="00C138C0">
        <w:rPr>
          <w:rFonts w:eastAsia="Aptos"/>
        </w:rPr>
        <w:t xml:space="preserve"> </w:t>
      </w:r>
    </w:p>
    <w:p w14:paraId="15C01B1F" w14:textId="77777777" w:rsidR="007417E0" w:rsidRDefault="007417E0" w:rsidP="00690BB5">
      <w:pPr>
        <w:rPr>
          <w:rFonts w:eastAsia="Aptos"/>
        </w:rPr>
      </w:pPr>
    </w:p>
    <w:p w14:paraId="7FE394C6" w14:textId="15310CAE" w:rsidR="00E8037F" w:rsidRDefault="00394BBC" w:rsidP="00690BB5">
      <w:pPr>
        <w:rPr>
          <w:rFonts w:eastAsia="Aptos" w:cstheme="minorHAnsi"/>
        </w:rPr>
      </w:pPr>
      <w:r>
        <w:rPr>
          <w:rFonts w:eastAsia="Aptos" w:cstheme="minorHAnsi"/>
        </w:rPr>
        <w:lastRenderedPageBreak/>
        <w:t xml:space="preserve">Leveraging </w:t>
      </w:r>
      <w:r w:rsidR="00D752A0">
        <w:rPr>
          <w:rFonts w:eastAsia="Aptos" w:cstheme="minorHAnsi"/>
        </w:rPr>
        <w:t xml:space="preserve">SPC’s relationship with participating governments as well as DFAT’s </w:t>
      </w:r>
      <w:r>
        <w:rPr>
          <w:rFonts w:eastAsia="Aptos" w:cstheme="minorHAnsi"/>
        </w:rPr>
        <w:t xml:space="preserve">oversight of the </w:t>
      </w:r>
      <w:bookmarkStart w:id="67" w:name="_Hlk200638752"/>
      <w:r>
        <w:rPr>
          <w:rFonts w:eastAsia="Aptos" w:cstheme="minorHAnsi"/>
        </w:rPr>
        <w:t>Pacific Australia</w:t>
      </w:r>
      <w:r w:rsidR="00786002">
        <w:rPr>
          <w:rFonts w:eastAsia="Aptos" w:cstheme="minorHAnsi"/>
        </w:rPr>
        <w:t xml:space="preserve"> Labour Mobility </w:t>
      </w:r>
      <w:bookmarkEnd w:id="67"/>
      <w:r w:rsidR="00786002">
        <w:rPr>
          <w:rFonts w:eastAsia="Aptos" w:cstheme="minorHAnsi"/>
        </w:rPr>
        <w:t>scheme could help ensure that PWL</w:t>
      </w:r>
      <w:r w:rsidR="00CC6B95">
        <w:rPr>
          <w:rFonts w:eastAsia="Aptos" w:cstheme="minorHAnsi"/>
        </w:rPr>
        <w:t xml:space="preserve"> gains deeper understanding of </w:t>
      </w:r>
      <w:r w:rsidR="009470F3">
        <w:rPr>
          <w:rFonts w:eastAsia="Aptos" w:cstheme="minorHAnsi"/>
        </w:rPr>
        <w:t xml:space="preserve">relevant issues </w:t>
      </w:r>
      <w:r w:rsidR="00A92B3B">
        <w:rPr>
          <w:rFonts w:eastAsia="Aptos" w:cstheme="minorHAnsi"/>
        </w:rPr>
        <w:t>to</w:t>
      </w:r>
      <w:r w:rsidR="009470F3">
        <w:rPr>
          <w:rFonts w:eastAsia="Aptos" w:cstheme="minorHAnsi"/>
        </w:rPr>
        <w:t xml:space="preserve"> support women</w:t>
      </w:r>
      <w:r w:rsidR="00A92B3B">
        <w:rPr>
          <w:rFonts w:eastAsia="Aptos" w:cstheme="minorHAnsi"/>
        </w:rPr>
        <w:t xml:space="preserve">’s movement into non-traditional roles while protecting them from unintended harm.  </w:t>
      </w:r>
    </w:p>
    <w:p w14:paraId="14DFAA1D" w14:textId="42F5D1E3" w:rsidR="0024410A" w:rsidRDefault="00C138C0" w:rsidP="00947B8A">
      <w:pPr>
        <w:rPr>
          <w:rFonts w:cstheme="minorHAnsi"/>
        </w:rPr>
      </w:pPr>
      <w:r>
        <w:rPr>
          <w:rFonts w:eastAsia="Aptos" w:cstheme="minorHAnsi"/>
        </w:rPr>
        <w:t>Finally, t</w:t>
      </w:r>
      <w:r w:rsidRPr="00C138C0">
        <w:rPr>
          <w:rFonts w:eastAsia="Aptos" w:cstheme="minorHAnsi"/>
        </w:rPr>
        <w:t xml:space="preserve">he Pacific region faces ongoing risks from extreme weather events that disproportionately increase vulnerabilities for women and girls. These unpredictable incidents highlight the importance of the Women's Funds' ability to provide responsive, flexible, and emergency funding to </w:t>
      </w:r>
      <w:r>
        <w:rPr>
          <w:rFonts w:eastAsia="Aptos" w:cstheme="minorHAnsi"/>
        </w:rPr>
        <w:t xml:space="preserve">CSOs </w:t>
      </w:r>
      <w:r w:rsidRPr="00C138C0">
        <w:rPr>
          <w:rFonts w:eastAsia="Aptos" w:cstheme="minorHAnsi"/>
        </w:rPr>
        <w:t xml:space="preserve">supporting disaster response efforts. </w:t>
      </w:r>
      <w:bookmarkStart w:id="68" w:name="_Hlk200638828"/>
      <w:r w:rsidRPr="00C138C0">
        <w:rPr>
          <w:rFonts w:eastAsia="Aptos" w:cstheme="minorHAnsi"/>
        </w:rPr>
        <w:t>The likelihood of climate-related events across the Pacific underscores the need for PWL to develop a comprehensive climate resilience strategy and integrate climate change approaches throughout its programming to address the unique challenges faced by women and girls during environmental crises.</w:t>
      </w:r>
      <w:r w:rsidR="00091223">
        <w:rPr>
          <w:rFonts w:cstheme="minorHAnsi"/>
        </w:rPr>
        <w:t xml:space="preserve"> </w:t>
      </w:r>
      <w:bookmarkEnd w:id="68"/>
    </w:p>
    <w:p w14:paraId="0F6A6CB1" w14:textId="0E9ABD65" w:rsidR="00352CEC" w:rsidRPr="00C138C0" w:rsidRDefault="00352CEC" w:rsidP="00947B8A">
      <w:pPr>
        <w:rPr>
          <w:rFonts w:eastAsia="Aptos" w:cstheme="minorHAnsi"/>
        </w:rPr>
      </w:pPr>
      <w:r>
        <w:rPr>
          <w:rFonts w:eastAsia="Aptos" w:cstheme="minorHAnsi"/>
          <w:noProof/>
        </w:rPr>
        <w:drawing>
          <wp:inline distT="0" distB="0" distL="0" distR="0" wp14:anchorId="616083AA" wp14:editId="692BF1B6">
            <wp:extent cx="5974080" cy="2096723"/>
            <wp:effectExtent l="0" t="0" r="7620" b="0"/>
            <wp:docPr id="761352179" name="Picture 12" descr="Quote: &quot;I think the current modality is appropriate given that we know that gender equality is a massive issue that we can’t change overnight.” – MTR interview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52179" name="Picture 12" descr="Quote: &quot;I think the current modality is appropriate given that we know that gender equality is a massive issue that we can’t change overnight.” – MTR interviewee"/>
                    <pic:cNvPicPr/>
                  </pic:nvPicPr>
                  <pic:blipFill rotWithShape="1">
                    <a:blip r:embed="rId31" cstate="print">
                      <a:extLst>
                        <a:ext uri="{28A0092B-C50C-407E-A947-70E740481C1C}">
                          <a14:useLocalDpi xmlns:a14="http://schemas.microsoft.com/office/drawing/2010/main"/>
                        </a:ext>
                      </a:extLst>
                    </a:blip>
                    <a:srcRect/>
                    <a:stretch>
                      <a:fillRect/>
                    </a:stretch>
                  </pic:blipFill>
                  <pic:spPr bwMode="auto">
                    <a:xfrm>
                      <a:off x="0" y="0"/>
                      <a:ext cx="5982613" cy="2099718"/>
                    </a:xfrm>
                    <a:prstGeom prst="rect">
                      <a:avLst/>
                    </a:prstGeom>
                    <a:ln>
                      <a:noFill/>
                    </a:ln>
                    <a:extLst>
                      <a:ext uri="{53640926-AAD7-44D8-BBD7-CCE9431645EC}">
                        <a14:shadowObscured xmlns:a14="http://schemas.microsoft.com/office/drawing/2010/main"/>
                      </a:ext>
                    </a:extLst>
                  </pic:spPr>
                </pic:pic>
              </a:graphicData>
            </a:graphic>
          </wp:inline>
        </w:drawing>
      </w:r>
    </w:p>
    <w:p w14:paraId="35853AE0" w14:textId="1BB3148B" w:rsidR="008E4939" w:rsidRPr="00184257" w:rsidRDefault="008E4939" w:rsidP="00431ECA">
      <w:pPr>
        <w:spacing w:after="120"/>
        <w:rPr>
          <w:rFonts w:asciiTheme="majorHAnsi" w:hAnsiTheme="majorHAnsi"/>
          <w:color w:val="984C00" w:themeColor="accent1" w:themeShade="BF"/>
          <w:sz w:val="22"/>
          <w:szCs w:val="24"/>
        </w:rPr>
      </w:pPr>
      <w:r w:rsidRPr="00184257">
        <w:rPr>
          <w:rFonts w:asciiTheme="majorHAnsi" w:hAnsiTheme="majorHAnsi"/>
          <w:color w:val="984C00" w:themeColor="accent1" w:themeShade="BF"/>
          <w:sz w:val="22"/>
          <w:szCs w:val="24"/>
        </w:rPr>
        <w:t xml:space="preserve">Alignment with </w:t>
      </w:r>
      <w:r w:rsidR="410D75B2" w:rsidRPr="00184257">
        <w:rPr>
          <w:rFonts w:asciiTheme="majorHAnsi" w:hAnsiTheme="majorHAnsi"/>
          <w:color w:val="984C00" w:themeColor="accent1" w:themeShade="BF"/>
          <w:sz w:val="22"/>
          <w:szCs w:val="24"/>
        </w:rPr>
        <w:t xml:space="preserve">international and </w:t>
      </w:r>
      <w:r w:rsidRPr="00184257">
        <w:rPr>
          <w:rFonts w:asciiTheme="majorHAnsi" w:hAnsiTheme="majorHAnsi"/>
          <w:color w:val="984C00" w:themeColor="accent1" w:themeShade="BF"/>
          <w:sz w:val="22"/>
          <w:szCs w:val="24"/>
        </w:rPr>
        <w:t>regional context and priorities</w:t>
      </w:r>
    </w:p>
    <w:p w14:paraId="5BF3FBC3" w14:textId="2EDDAE66" w:rsidR="15D5743C" w:rsidRDefault="15D5743C" w:rsidP="61BDED99">
      <w:pPr>
        <w:rPr>
          <w:rFonts w:ascii="Arial" w:eastAsia="Arial" w:hAnsi="Arial" w:cs="Arial"/>
        </w:rPr>
      </w:pPr>
      <w:r>
        <w:t xml:space="preserve">PWL has </w:t>
      </w:r>
      <w:r w:rsidR="003E4DEE">
        <w:t>fostered</w:t>
      </w:r>
      <w:r>
        <w:t xml:space="preserve"> alignment with existing international gender equality priorities and frameworks</w:t>
      </w:r>
      <w:r w:rsidR="3E61306C">
        <w:t xml:space="preserve">. </w:t>
      </w:r>
      <w:r w:rsidR="3E61306C" w:rsidRPr="61BDED99">
        <w:rPr>
          <w:rFonts w:ascii="Arial" w:eastAsia="Arial" w:hAnsi="Arial" w:cs="Arial"/>
          <w:color w:val="131314"/>
        </w:rPr>
        <w:t>This commitment is demonstrated through its active engagement in international forums, strategic partnerships with global organisations, and consistent efforts to promote regional perspectives and leadership in global discussions.</w:t>
      </w:r>
      <w:r w:rsidR="700293FC" w:rsidRPr="61BDED99">
        <w:rPr>
          <w:rFonts w:ascii="Arial" w:eastAsia="Arial" w:hAnsi="Arial" w:cs="Arial"/>
          <w:color w:val="131314"/>
        </w:rPr>
        <w:t xml:space="preserve"> </w:t>
      </w:r>
      <w:r w:rsidR="00DA28AE">
        <w:t>As discussed,</w:t>
      </w:r>
      <w:r w:rsidR="3E61306C">
        <w:t xml:space="preserve"> SPC</w:t>
      </w:r>
      <w:r w:rsidR="3E61306C" w:rsidRPr="61BDED99">
        <w:rPr>
          <w:rFonts w:ascii="Arial" w:eastAsia="Arial" w:hAnsi="Arial" w:cs="Arial"/>
          <w:color w:val="131314"/>
        </w:rPr>
        <w:t xml:space="preserve"> </w:t>
      </w:r>
      <w:r w:rsidR="006059DD" w:rsidRPr="61BDED99">
        <w:rPr>
          <w:rFonts w:ascii="Arial" w:eastAsia="Arial" w:hAnsi="Arial" w:cs="Arial"/>
          <w:color w:val="131314"/>
        </w:rPr>
        <w:t xml:space="preserve">and others </w:t>
      </w:r>
      <w:r w:rsidR="3E61306C" w:rsidRPr="61BDED99">
        <w:rPr>
          <w:rFonts w:ascii="Arial" w:eastAsia="Arial" w:hAnsi="Arial" w:cs="Arial"/>
          <w:color w:val="131314"/>
        </w:rPr>
        <w:t xml:space="preserve">play a significant role in supporting Pacific governments to prepare for and effectively participate in the CSW. This support includes capacity building, increasing understanding of related international events like COP27, and providing technical and financial assistance to government delegations attending CSW sessions. Collaborative efforts between PWL, </w:t>
      </w:r>
      <w:r w:rsidR="00C1511B">
        <w:rPr>
          <w:rFonts w:ascii="Arial" w:eastAsia="Arial" w:hAnsi="Arial" w:cs="Arial"/>
          <w:color w:val="131314"/>
        </w:rPr>
        <w:t>PIFS</w:t>
      </w:r>
      <w:r w:rsidR="3E61306C" w:rsidRPr="61BDED99">
        <w:rPr>
          <w:rFonts w:ascii="Arial" w:eastAsia="Arial" w:hAnsi="Arial" w:cs="Arial"/>
          <w:color w:val="131314"/>
        </w:rPr>
        <w:t xml:space="preserve">, Pacific governments, and CSOs during CSW67 led to the inclusion of language in the final outcome document that specifically addresses Pacific priorities. For example, the region successfully advocated for the inclusion of “maritime areas” and “islands” to highlight specific vulnerabilities faced by Pacific Island nations. </w:t>
      </w:r>
    </w:p>
    <w:p w14:paraId="378A320B" w14:textId="6BE4313E" w:rsidR="3B486E9E" w:rsidRDefault="3E61306C" w:rsidP="3B486E9E">
      <w:pPr>
        <w:rPr>
          <w:rFonts w:ascii="Arial" w:eastAsia="Arial" w:hAnsi="Arial" w:cs="Arial"/>
          <w:szCs w:val="21"/>
        </w:rPr>
      </w:pPr>
      <w:r w:rsidRPr="4CD37DE6">
        <w:rPr>
          <w:rFonts w:ascii="Arial" w:eastAsia="Arial" w:hAnsi="Arial" w:cs="Arial"/>
          <w:color w:val="131314"/>
          <w:szCs w:val="21"/>
        </w:rPr>
        <w:t>SPC also works with Pacific governments to fulfil their obligations u</w:t>
      </w:r>
      <w:r w:rsidR="1AF7BA6C" w:rsidRPr="4CD37DE6">
        <w:rPr>
          <w:rFonts w:ascii="Arial" w:eastAsia="Arial" w:hAnsi="Arial" w:cs="Arial"/>
          <w:color w:val="131314"/>
          <w:szCs w:val="21"/>
        </w:rPr>
        <w:t xml:space="preserve">nder </w:t>
      </w:r>
      <w:r w:rsidR="1AF7BA6C" w:rsidRPr="1A7B0CE4">
        <w:rPr>
          <w:rFonts w:ascii="Arial" w:eastAsia="Arial" w:hAnsi="Arial" w:cs="Arial"/>
          <w:color w:val="131314"/>
          <w:szCs w:val="21"/>
        </w:rPr>
        <w:t>CEDAW.</w:t>
      </w:r>
      <w:r w:rsidR="1AF7BA6C" w:rsidRPr="3C53C101">
        <w:rPr>
          <w:rFonts w:ascii="Arial" w:eastAsia="Arial" w:hAnsi="Arial" w:cs="Arial"/>
          <w:color w:val="131314"/>
          <w:szCs w:val="21"/>
        </w:rPr>
        <w:t xml:space="preserve"> This includes organising a learning exchange with CEDAW committee members to strengthen the capacity of government officials in implementing CEDAW recommendations. This engagement underscores PWL at SPC’s dedication to supporting the implementation of international conventions and treaties at the regional level.</w:t>
      </w:r>
      <w:r w:rsidR="71848F0D" w:rsidRPr="6C2DD130">
        <w:rPr>
          <w:rFonts w:ascii="Arial" w:eastAsia="Arial" w:hAnsi="Arial" w:cs="Arial"/>
          <w:color w:val="131314"/>
          <w:szCs w:val="21"/>
        </w:rPr>
        <w:t xml:space="preserve"> Through these various engagements, SPC effectively bridges regional and international levels, ensuring Pacific voices contribute to global gender equality frameworks and agendas.</w:t>
      </w:r>
    </w:p>
    <w:p w14:paraId="5330865B" w14:textId="55A7DABF" w:rsidR="008E4939" w:rsidRPr="00EE243C" w:rsidRDefault="008E4939" w:rsidP="0069066A">
      <w:pPr>
        <w:rPr>
          <w:rFonts w:cstheme="minorHAnsi"/>
        </w:rPr>
      </w:pPr>
      <w:r w:rsidRPr="00EE243C">
        <w:rPr>
          <w:rFonts w:cstheme="minorHAnsi"/>
        </w:rPr>
        <w:t>PWL has demonstrated alignment with and responsiveness to existing Pacific regional gender equality priorities and frameworks. PWL supports the implementation of major regional gender equality commitments, including</w:t>
      </w:r>
      <w:r w:rsidR="004955F4">
        <w:rPr>
          <w:rFonts w:cstheme="minorHAnsi"/>
        </w:rPr>
        <w:t xml:space="preserve"> the</w:t>
      </w:r>
      <w:r w:rsidRPr="00EE243C">
        <w:rPr>
          <w:rFonts w:cstheme="minorHAnsi"/>
        </w:rPr>
        <w:t>:</w:t>
      </w:r>
    </w:p>
    <w:p w14:paraId="38BB0B62" w14:textId="659FDB11" w:rsidR="00615F51" w:rsidRPr="00EE243C" w:rsidRDefault="00615F51" w:rsidP="0069066A">
      <w:pPr>
        <w:pStyle w:val="ListBullet"/>
      </w:pPr>
      <w:r w:rsidRPr="00EE243C">
        <w:t>2050 Strategy Implementation Plan</w:t>
      </w:r>
      <w:r w:rsidR="00A346DB" w:rsidRPr="00EE243C">
        <w:t xml:space="preserve"> regional collective actions on gender equality</w:t>
      </w:r>
    </w:p>
    <w:p w14:paraId="079F28E1" w14:textId="4563530C" w:rsidR="008E4939" w:rsidRPr="00EE243C" w:rsidRDefault="008E4939" w:rsidP="0069066A">
      <w:pPr>
        <w:pStyle w:val="ListBullet"/>
      </w:pPr>
      <w:r w:rsidRPr="00EE243C">
        <w:t>Pacific Leaders' Gender Equality Declaration (PLGED)</w:t>
      </w:r>
    </w:p>
    <w:p w14:paraId="7FEFEEB7" w14:textId="0E75C868" w:rsidR="008E4939" w:rsidRPr="00EE243C" w:rsidRDefault="008E4939" w:rsidP="0069066A">
      <w:pPr>
        <w:pStyle w:val="ListBullet"/>
      </w:pPr>
      <w:r w:rsidRPr="00EE243C">
        <w:t>Pacific Platform for Action on Gender Equality and Women's Human Rights (PPA)</w:t>
      </w:r>
      <w:r w:rsidR="0070790D">
        <w:t>.</w:t>
      </w:r>
    </w:p>
    <w:p w14:paraId="32A5DE6A" w14:textId="75BDA2E2" w:rsidR="008E4939" w:rsidRPr="00EE243C" w:rsidRDefault="008E4939" w:rsidP="0069066A">
      <w:pPr>
        <w:rPr>
          <w:rFonts w:cstheme="minorHAnsi"/>
        </w:rPr>
      </w:pPr>
      <w:r w:rsidRPr="00EE243C">
        <w:rPr>
          <w:rFonts w:cstheme="minorHAnsi"/>
        </w:rPr>
        <w:lastRenderedPageBreak/>
        <w:t xml:space="preserve">The program's focus on promoting women's leadership and advancing women's rights in safety, economic empowerment, and health directly corresponds with the priorities outlined in these regional commitments. Both the PLGED and PPA emphasise increasing women's participation in decision-making at all levels and commit to ending violence against women, improving women's economic opportunities, and addressing health issues. PWL's efforts to enhance the effectiveness of regional gender equality initiatives further support these commitments by strengthening regional action, backing key initiatives, and improving coordination among various stakeholders. This alignment ensures that PWL's work is supportive of the broader Pacific gender equality agenda. </w:t>
      </w:r>
    </w:p>
    <w:p w14:paraId="20524CC5" w14:textId="2388774C" w:rsidR="008E4939" w:rsidRPr="00EE243C" w:rsidRDefault="008E4939" w:rsidP="0069066A">
      <w:r w:rsidRPr="004500A4">
        <w:t>PWL also aims to complement and enhance other regional gender equality initiatives.</w:t>
      </w:r>
      <w:r w:rsidRPr="1D18EAF1">
        <w:t xml:space="preserve"> Crucially, PWL engages SPC as the key implementing partner and </w:t>
      </w:r>
      <w:r w:rsidR="00C1511B">
        <w:t>PIF</w:t>
      </w:r>
      <w:r w:rsidR="606B2A38" w:rsidRPr="7DABA3F5">
        <w:t>S.</w:t>
      </w:r>
      <w:r w:rsidR="606B2A38" w:rsidRPr="27E8E8EB">
        <w:t xml:space="preserve"> </w:t>
      </w:r>
      <w:r w:rsidRPr="7DABA3F5">
        <w:t>These</w:t>
      </w:r>
      <w:r w:rsidRPr="1D18EAF1">
        <w:t xml:space="preserve"> organisations play complementary but distinct roles in advancing gender equality in the region, with </w:t>
      </w:r>
      <w:r w:rsidR="00C1511B">
        <w:t>PIF</w:t>
      </w:r>
      <w:r w:rsidR="245E8412" w:rsidRPr="1D18EAF1">
        <w:t>S</w:t>
      </w:r>
      <w:r w:rsidRPr="1D18EAF1">
        <w:t xml:space="preserve"> the custodian of the PLGED and SPC being the custodian of the PPA and convening the Triennial Conference of Women, which serves as the primary mechanism for monitoring progress outlined in the PPA. This contributes towards a continued strong strategic and operational alignment to regional priorities and complement of existing regional processes. </w:t>
      </w:r>
    </w:p>
    <w:p w14:paraId="1057E741" w14:textId="39C8CE93" w:rsidR="008E4939" w:rsidRDefault="008E4939" w:rsidP="0069066A">
      <w:pPr>
        <w:rPr>
          <w:rFonts w:eastAsiaTheme="minorEastAsia"/>
        </w:rPr>
      </w:pPr>
      <w:r w:rsidRPr="7492C01A">
        <w:t xml:space="preserve">PWL also works alongside </w:t>
      </w:r>
      <w:r w:rsidR="00834395">
        <w:t>Women’s Funds</w:t>
      </w:r>
      <w:r w:rsidR="004D7221" w:rsidRPr="7492C01A">
        <w:t>, women</w:t>
      </w:r>
      <w:r w:rsidR="004E4CF6" w:rsidRPr="7492C01A">
        <w:t>’</w:t>
      </w:r>
      <w:r w:rsidR="004D7221" w:rsidRPr="7492C01A">
        <w:t>s rights organisations and crisis centres</w:t>
      </w:r>
      <w:r w:rsidR="008D1F72" w:rsidRPr="7492C01A">
        <w:t xml:space="preserve"> </w:t>
      </w:r>
      <w:r w:rsidRPr="7492C01A">
        <w:t xml:space="preserve">who are </w:t>
      </w:r>
      <w:r w:rsidR="003F0AC9" w:rsidRPr="7492C01A">
        <w:t xml:space="preserve">leading Pacific feminists and </w:t>
      </w:r>
      <w:r w:rsidRPr="7492C01A">
        <w:t xml:space="preserve">connected with </w:t>
      </w:r>
      <w:r w:rsidR="003F0AC9" w:rsidRPr="7492C01A">
        <w:t>the broader Pacific feminist movements</w:t>
      </w:r>
      <w:r w:rsidRPr="7492C01A">
        <w:rPr>
          <w:rFonts w:eastAsia="Arial"/>
        </w:rPr>
        <w:t xml:space="preserve">, national women's machinery, </w:t>
      </w:r>
      <w:r w:rsidR="003F0AC9" w:rsidRPr="7492C01A">
        <w:rPr>
          <w:rFonts w:eastAsia="Arial"/>
        </w:rPr>
        <w:t xml:space="preserve">international </w:t>
      </w:r>
      <w:r w:rsidRPr="7492C01A">
        <w:rPr>
          <w:rFonts w:eastAsia="Arial"/>
        </w:rPr>
        <w:t>bodies such as the UN</w:t>
      </w:r>
      <w:r w:rsidR="00664776" w:rsidRPr="7492C01A">
        <w:rPr>
          <w:rFonts w:eastAsia="Arial"/>
        </w:rPr>
        <w:t xml:space="preserve"> agencies</w:t>
      </w:r>
      <w:r w:rsidRPr="7492C01A">
        <w:rPr>
          <w:rFonts w:eastAsia="Arial"/>
        </w:rPr>
        <w:t xml:space="preserve">, local women's organisations, and civil society as well as </w:t>
      </w:r>
      <w:r w:rsidRPr="7492C01A">
        <w:t>bilateral Australian investments in gender equality in Pacific countries. It supports mainstreaming of gender equality across development programs in all sectors and facilitates collaboration between civil society, government, and intergovernmental organisations. By taking this coordinated approach, PWL complements and strengthens overall regional efforts towards gender equality.</w:t>
      </w:r>
      <w:r w:rsidRPr="7492C01A">
        <w:rPr>
          <w:rFonts w:eastAsiaTheme="minorEastAsia"/>
        </w:rPr>
        <w:t xml:space="preserve"> </w:t>
      </w:r>
    </w:p>
    <w:p w14:paraId="67CA1B83" w14:textId="255C1B00" w:rsidR="006E4769" w:rsidRPr="00EE243C" w:rsidRDefault="006E4769" w:rsidP="0069066A">
      <w:pPr>
        <w:rPr>
          <w:rFonts w:eastAsiaTheme="minorEastAsia"/>
        </w:rPr>
      </w:pPr>
      <w:r>
        <w:rPr>
          <w:rFonts w:eastAsiaTheme="minorEastAsia"/>
          <w:noProof/>
        </w:rPr>
        <w:drawing>
          <wp:inline distT="0" distB="0" distL="0" distR="0" wp14:anchorId="59848CBD" wp14:editId="102358C1">
            <wp:extent cx="6057900" cy="2121358"/>
            <wp:effectExtent l="0" t="0" r="0" b="0"/>
            <wp:docPr id="327648424" name="Picture 2" descr="Quote: “PWL is a transformation from the previous program... It is looking at the priority needs of Pacific women… diversity is acknowledged but also the need to move in unison…”&#10;– MTR interview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48424" name="Picture 2" descr="Quote: “PWL is a transformation from the previous program... It is looking at the priority needs of Pacific women… diversity is acknowledged but also the need to move in unison…”&#10;– MTR interviewee"/>
                    <pic:cNvPicPr/>
                  </pic:nvPicPr>
                  <pic:blipFill rotWithShape="1">
                    <a:blip r:embed="rId32" cstate="print">
                      <a:extLst>
                        <a:ext uri="{28A0092B-C50C-407E-A947-70E740481C1C}">
                          <a14:useLocalDpi xmlns:a14="http://schemas.microsoft.com/office/drawing/2010/main"/>
                        </a:ext>
                      </a:extLst>
                    </a:blip>
                    <a:srcRect/>
                    <a:stretch>
                      <a:fillRect/>
                    </a:stretch>
                  </pic:blipFill>
                  <pic:spPr bwMode="auto">
                    <a:xfrm>
                      <a:off x="0" y="0"/>
                      <a:ext cx="6080762" cy="2129364"/>
                    </a:xfrm>
                    <a:prstGeom prst="rect">
                      <a:avLst/>
                    </a:prstGeom>
                    <a:ln>
                      <a:noFill/>
                    </a:ln>
                    <a:extLst>
                      <a:ext uri="{53640926-AAD7-44D8-BBD7-CCE9431645EC}">
                        <a14:shadowObscured xmlns:a14="http://schemas.microsoft.com/office/drawing/2010/main"/>
                      </a:ext>
                    </a:extLst>
                  </pic:spPr>
                </pic:pic>
              </a:graphicData>
            </a:graphic>
          </wp:inline>
        </w:drawing>
      </w:r>
    </w:p>
    <w:p w14:paraId="68E92BDA" w14:textId="486854A7" w:rsidR="008E4939" w:rsidRPr="00184257" w:rsidRDefault="008E4939" w:rsidP="00431ECA">
      <w:pPr>
        <w:spacing w:after="120"/>
        <w:rPr>
          <w:rFonts w:asciiTheme="majorHAnsi" w:hAnsiTheme="majorHAnsi"/>
          <w:color w:val="984C00" w:themeColor="accent1" w:themeShade="BF"/>
          <w:sz w:val="22"/>
          <w:szCs w:val="24"/>
        </w:rPr>
      </w:pPr>
      <w:r w:rsidRPr="00184257">
        <w:rPr>
          <w:rFonts w:asciiTheme="majorHAnsi" w:hAnsiTheme="majorHAnsi"/>
          <w:color w:val="984C00" w:themeColor="accent1" w:themeShade="BF"/>
          <w:sz w:val="22"/>
          <w:szCs w:val="24"/>
        </w:rPr>
        <w:t xml:space="preserve">Long-term investment built on lessons from previous </w:t>
      </w:r>
      <w:r w:rsidR="003D738E" w:rsidRPr="00184257">
        <w:rPr>
          <w:rFonts w:asciiTheme="majorHAnsi" w:hAnsiTheme="majorHAnsi"/>
          <w:color w:val="984C00" w:themeColor="accent1" w:themeShade="BF"/>
          <w:sz w:val="22"/>
          <w:szCs w:val="24"/>
        </w:rPr>
        <w:t>and current programs</w:t>
      </w:r>
    </w:p>
    <w:p w14:paraId="5444309F" w14:textId="47FB1668" w:rsidR="008E4939" w:rsidRPr="00EE243C" w:rsidRDefault="008E4939" w:rsidP="0069066A">
      <w:pPr>
        <w:rPr>
          <w:rFonts w:cstheme="minorHAnsi"/>
        </w:rPr>
      </w:pPr>
      <w:r w:rsidRPr="00EE243C">
        <w:rPr>
          <w:rFonts w:cstheme="minorHAnsi"/>
        </w:rPr>
        <w:t xml:space="preserve">The modality is well-suited for tackling the deeply rooted issue of gender inequality across the Pacific because it acknowledges the need for </w:t>
      </w:r>
      <w:r w:rsidR="00AE1928" w:rsidRPr="00EE243C">
        <w:rPr>
          <w:rFonts w:cstheme="minorHAnsi"/>
        </w:rPr>
        <w:t>sustained</w:t>
      </w:r>
      <w:r w:rsidRPr="00EE243C">
        <w:rPr>
          <w:rFonts w:cstheme="minorHAnsi"/>
        </w:rPr>
        <w:t xml:space="preserve"> long-term investment and approach. Gender equality is a complex challenge that cannot be resolved with short-term programs; it demands continuous, evolving efforts that adapt to the region's changing needs and challenges. PWL is built from the investments, lessons and learning of </w:t>
      </w:r>
      <w:r w:rsidR="003B1A1F">
        <w:rPr>
          <w:rFonts w:cstheme="minorHAnsi"/>
        </w:rPr>
        <w:t>PWSPD</w:t>
      </w:r>
      <w:r w:rsidR="00FA6AEC">
        <w:rPr>
          <w:rFonts w:cstheme="minorHAnsi"/>
        </w:rPr>
        <w:t>,</w:t>
      </w:r>
      <w:r w:rsidRPr="00EE243C">
        <w:rPr>
          <w:rFonts w:cstheme="minorHAnsi"/>
        </w:rPr>
        <w:t xml:space="preserve"> ensuring the modality is relevant to addressing the current context and gender inequality. </w:t>
      </w:r>
    </w:p>
    <w:p w14:paraId="728E4B8F" w14:textId="2595981A" w:rsidR="0013142A" w:rsidRDefault="00705369">
      <w:r>
        <w:t>These lessons have resulted i</w:t>
      </w:r>
      <w:r w:rsidR="003D738E">
        <w:t>n the current modality comprised of five</w:t>
      </w:r>
      <w:r w:rsidR="00353DBC">
        <w:t xml:space="preserve"> components that have been selected to serve </w:t>
      </w:r>
      <w:r w:rsidR="00E211C7">
        <w:t xml:space="preserve">diverse needs and sectors across the Pacific gender equality ecosystem. </w:t>
      </w:r>
      <w:r w:rsidR="001F3C17">
        <w:t>As discussed at length throughout this report, i</w:t>
      </w:r>
      <w:r w:rsidR="00E211C7">
        <w:t>mprovements in targeting, outreach and scope continue to evolve through coordinated efforts and entrenched evidence generating systems to ensure that learnings about un</w:t>
      </w:r>
      <w:r w:rsidR="001F3C17">
        <w:t>derserviced areas or poorly performing sectors receive necessary support.</w:t>
      </w:r>
    </w:p>
    <w:p w14:paraId="4C1EF121" w14:textId="68E9B0DA" w:rsidR="002F196D" w:rsidRDefault="002F196D" w:rsidP="002F196D">
      <w:pPr>
        <w:pStyle w:val="Heading1"/>
      </w:pPr>
      <w:bookmarkStart w:id="69" w:name="_Toc201840798"/>
      <w:r>
        <w:lastRenderedPageBreak/>
        <w:t xml:space="preserve">Findings </w:t>
      </w:r>
      <w:r w:rsidR="0099789A">
        <w:t>–</w:t>
      </w:r>
      <w:r>
        <w:t xml:space="preserve"> </w:t>
      </w:r>
      <w:r w:rsidRPr="002F196D">
        <w:rPr>
          <w:color w:val="0D8577" w:themeColor="accent5"/>
        </w:rPr>
        <w:t>Efficiency</w:t>
      </w:r>
      <w:bookmarkEnd w:id="69"/>
    </w:p>
    <w:p w14:paraId="191D0905" w14:textId="20047848" w:rsidR="008E4939" w:rsidRDefault="00754BA0" w:rsidP="00F4604A">
      <w:pPr>
        <w:pStyle w:val="Tealblockheading"/>
      </w:pPr>
      <w:bookmarkStart w:id="70" w:name="_Toc181604016"/>
      <w:bookmarkStart w:id="71" w:name="_Hlk193735835"/>
      <w:r>
        <w:t xml:space="preserve">KRQ5. </w:t>
      </w:r>
      <w:r w:rsidR="008E4939" w:rsidRPr="00EE243C">
        <w:t>To what extent are PWL components efficiently supporting delivery of outcomes?</w:t>
      </w:r>
      <w:bookmarkEnd w:id="70"/>
      <w:r w:rsidR="008E4939" w:rsidRPr="00EE243C">
        <w:t xml:space="preserve"> </w:t>
      </w:r>
    </w:p>
    <w:p w14:paraId="2F9166CB" w14:textId="56F8EF82" w:rsidR="004E36DC" w:rsidRPr="004E36DC" w:rsidRDefault="004E36DC" w:rsidP="00384259">
      <w:pPr>
        <w:pStyle w:val="Tealblocktext"/>
      </w:pPr>
      <w:r w:rsidRPr="004E36DC">
        <w:t>PWL components demonstrate strong alignment with DFAT's efficiency principles through evidence-based decision making and proportionality, with efficiency particularly evident in dynamic and relational aspects including leadership by outstanding women with deep Pacific feminist connections, strategic knowledge transfer from PWSPD, and a robust whole-of-portfolio MEL system. Despite managing a complex mandate across all five components that includes regional scaling, thematic deepening, and enabling Pacific ownership pathways, the program could benefit from increased coordination and trust between components to establish more cohesive working methods and enhance information sharing—improvements that would further strengthen the already proportional approach to delivering outcomes across the Pacific.</w:t>
      </w:r>
    </w:p>
    <w:bookmarkEnd w:id="71"/>
    <w:p w14:paraId="22408106" w14:textId="3C3593BB" w:rsidR="00812824" w:rsidRPr="00184257" w:rsidRDefault="00812824" w:rsidP="00431ECA">
      <w:pPr>
        <w:spacing w:after="120"/>
        <w:rPr>
          <w:rFonts w:asciiTheme="majorHAnsi" w:hAnsiTheme="majorHAnsi"/>
          <w:color w:val="984C00" w:themeColor="accent1" w:themeShade="BF"/>
          <w:sz w:val="22"/>
          <w:szCs w:val="24"/>
        </w:rPr>
      </w:pPr>
      <w:r w:rsidRPr="00184257">
        <w:rPr>
          <w:rFonts w:asciiTheme="majorHAnsi" w:hAnsiTheme="majorHAnsi"/>
          <w:color w:val="984C00" w:themeColor="accent1" w:themeShade="BF"/>
          <w:sz w:val="22"/>
          <w:szCs w:val="24"/>
        </w:rPr>
        <w:t>Dynamic efficiency</w:t>
      </w:r>
    </w:p>
    <w:p w14:paraId="430C8FCC" w14:textId="3E01FDAB" w:rsidR="00A40B12" w:rsidRPr="00EE243C" w:rsidRDefault="00A87B0D" w:rsidP="00A40B12">
      <w:r w:rsidRPr="00A87B0D">
        <w:t xml:space="preserve">Dynamic efficiency considers the extent to which a program is improving over time through processes related to adaptive management, innovation and learning. </w:t>
      </w:r>
      <w:r w:rsidR="00A40B12" w:rsidRPr="00945699">
        <w:t xml:space="preserve">The </w:t>
      </w:r>
      <w:r w:rsidR="00A40B12">
        <w:t>MTR</w:t>
      </w:r>
      <w:r w:rsidR="00A40B12" w:rsidRPr="00945699">
        <w:t xml:space="preserve"> demonstrates significant learning and improvement in the PWL program</w:t>
      </w:r>
      <w:r w:rsidR="00A40B12">
        <w:t xml:space="preserve"> at this mid-point</w:t>
      </w:r>
      <w:r w:rsidR="00A40B12" w:rsidRPr="00945699">
        <w:t xml:space="preserve">, building on lessons from PWSPD. Key improvements include a deeper commitment to Pacific Ownership </w:t>
      </w:r>
      <w:r w:rsidR="00A40B12" w:rsidRPr="2D8F7E15">
        <w:t>both in terms of its components as well as the regional coherence as a way to achieve transformational progress towards gender equality.</w:t>
      </w:r>
      <w:r w:rsidR="00A40B12">
        <w:t xml:space="preserve"> </w:t>
      </w:r>
      <w:r w:rsidR="00A40B12" w:rsidRPr="2D8F7E15">
        <w:t xml:space="preserve">Examples of this include shifting from a conventional MC-led model to a model which embraces partnerships with key Pacific organisations as well as the evolution to a </w:t>
      </w:r>
      <w:r w:rsidR="00A40B12">
        <w:t>PWL Governance Board</w:t>
      </w:r>
      <w:r w:rsidR="00A40B12" w:rsidRPr="2D8F7E15">
        <w:t xml:space="preserve"> which was intended to infuse strong Pacific influence over the program’s strategy and approach to achieving progress towards Pacific gender equality. </w:t>
      </w:r>
    </w:p>
    <w:p w14:paraId="53F5537C" w14:textId="172AA4E5" w:rsidR="00A40B12" w:rsidRPr="00EE243C" w:rsidRDefault="0C2D991E" w:rsidP="3BBBFC65">
      <w:r w:rsidRPr="3BBBFC65">
        <w:t xml:space="preserve">The MEL system has contributed significantly to PWL’s dynamic efficiency. MEL related data from each component is inputted into a PWLES-managed database and then summarised by the PWLES MEL team into results charts for stakeholders to review and validate during the ARAW. This evidence is used not only to assess progress towards outcomes but also supports identification of learnings about opportunities and gaps for further PWL focus. This evidence-based approach to learning contributed to increased targeted support to the North Pacific and greater disability inclusion. However, diverse reporting requirements across components cause some challenges for compiling evidence about programmatic effectiveness and opportunities for improvement. </w:t>
      </w:r>
      <w:r w:rsidR="00A40B12" w:rsidRPr="3BBBFC65">
        <w:t xml:space="preserve">For example, CSO grantees spoke about the relative informality of the reporting requirements from the Women’s Funds. </w:t>
      </w:r>
      <w:r w:rsidRPr="3BBBFC65">
        <w:t xml:space="preserve">Bilateral programs report primarily on outreach and outputs whereas the regional programs provide significant detail about their broader programs, which provides an obscure understanding of PWL-specific influences.  </w:t>
      </w:r>
    </w:p>
    <w:p w14:paraId="57ED3B66" w14:textId="5795F77A" w:rsidR="00A40B12" w:rsidRDefault="00A40B12" w:rsidP="00945699">
      <w:r w:rsidRPr="7CC68CD2">
        <w:t xml:space="preserve">Staff and members across various components supported the previous PWSPD program and brought extensive knowledge about the previous program, organisations and components. These individuals include the support unit staff that transferred to SPC, leadership of UAF-AP and PFF, two board members and one of the MEL staff in PWLES. The infusion of the support unit staff into SPC brought learnings about the program that </w:t>
      </w:r>
      <w:r w:rsidR="00192979">
        <w:t>have</w:t>
      </w:r>
      <w:r w:rsidR="00192979" w:rsidRPr="7CC68CD2">
        <w:t xml:space="preserve"> </w:t>
      </w:r>
      <w:r w:rsidRPr="7CC68CD2">
        <w:t xml:space="preserve">helped embed PWL into SPC. However, as discussed </w:t>
      </w:r>
      <w:r>
        <w:t>previously</w:t>
      </w:r>
      <w:r w:rsidRPr="7CC68CD2">
        <w:t xml:space="preserve">, challenges resulted from a lack of understanding about the operational differences between SPC and the </w:t>
      </w:r>
      <w:r>
        <w:t>Managing Contractor</w:t>
      </w:r>
      <w:r w:rsidRPr="7CC68CD2">
        <w:t xml:space="preserve"> which previously ran the S</w:t>
      </w:r>
      <w:r>
        <w:t>upport Unit</w:t>
      </w:r>
      <w:r w:rsidRPr="7CC68CD2">
        <w:t xml:space="preserve"> that resulted in delays in grants distributed to CSOs. </w:t>
      </w:r>
    </w:p>
    <w:p w14:paraId="12D3F21C" w14:textId="77777777" w:rsidR="007417E0" w:rsidRDefault="007417E0">
      <w:pPr>
        <w:rPr>
          <w:rFonts w:asciiTheme="majorHAnsi" w:hAnsiTheme="majorHAnsi"/>
          <w:color w:val="984C00" w:themeColor="accent1" w:themeShade="BF"/>
          <w:sz w:val="22"/>
          <w:szCs w:val="24"/>
          <w:lang w:val="en-US"/>
        </w:rPr>
      </w:pPr>
      <w:r>
        <w:rPr>
          <w:rFonts w:asciiTheme="majorHAnsi" w:hAnsiTheme="majorHAnsi"/>
          <w:color w:val="984C00" w:themeColor="accent1" w:themeShade="BF"/>
          <w:sz w:val="22"/>
          <w:szCs w:val="24"/>
          <w:lang w:val="en-US"/>
        </w:rPr>
        <w:br w:type="page"/>
      </w:r>
    </w:p>
    <w:p w14:paraId="4E4F91F7" w14:textId="05DD38AD" w:rsidR="008E4939" w:rsidRPr="00FB7991" w:rsidRDefault="008E4939" w:rsidP="00431ECA">
      <w:pPr>
        <w:spacing w:after="120"/>
        <w:rPr>
          <w:rFonts w:asciiTheme="majorHAnsi" w:hAnsiTheme="majorHAnsi"/>
          <w:color w:val="984C00" w:themeColor="accent1" w:themeShade="BF"/>
          <w:sz w:val="22"/>
          <w:szCs w:val="24"/>
          <w:lang w:val="en-US"/>
        </w:rPr>
      </w:pPr>
      <w:r w:rsidRPr="00FB7991">
        <w:rPr>
          <w:rFonts w:asciiTheme="majorHAnsi" w:hAnsiTheme="majorHAnsi"/>
          <w:color w:val="984C00" w:themeColor="accent1" w:themeShade="BF"/>
          <w:sz w:val="22"/>
          <w:szCs w:val="24"/>
          <w:lang w:val="en-US"/>
        </w:rPr>
        <w:lastRenderedPageBreak/>
        <w:t>Relational efficiency</w:t>
      </w:r>
    </w:p>
    <w:p w14:paraId="0169B795" w14:textId="79448588" w:rsidR="00B9540D" w:rsidRPr="00B9540D" w:rsidRDefault="00A87B0D" w:rsidP="00B9540D">
      <w:r w:rsidRPr="00A87B0D">
        <w:t xml:space="preserve">Relational efficiency describes efficiencies that result from relationships that protect resources and reduce time and budgetary requirements due to the strength of networks, relationships and trust between parties. </w:t>
      </w:r>
      <w:r w:rsidR="00B9540D">
        <w:t>PWL</w:t>
      </w:r>
      <w:r w:rsidR="00B9540D" w:rsidRPr="00B9540D">
        <w:t xml:space="preserve"> represents a collaboration of outstanding women with deep connections, experience, and authority in the Pacific feminist space, forming the foundation of its success. Key figures like SPC's Principal Strategic Lead, who supported drafting the Micronesian Islands Forum Gender Equality Framework, and PWLES's team leader, with trusted relationships across SPC, have been instrumental to PWL's effectiveness. The Women's Funds leaders, respected figures in the Pacific Feminist Movement, further strengthen this collaborative foundation. Good communication and working relationships exist between SPC, PWLES, DFAT Canberra, and the Women's Funds through regular engagement pathways like the </w:t>
      </w:r>
      <w:r w:rsidR="00B9540D">
        <w:t>ARAW</w:t>
      </w:r>
      <w:r w:rsidR="00B9540D" w:rsidRPr="00B9540D">
        <w:t xml:space="preserve"> which facilitates portfolio-wide learning and informal communications. Collaborative efforts such as the Women's Funds and SPC working through Women Deliver demonstrate effective partnerships toward shared advocacy goals.</w:t>
      </w:r>
    </w:p>
    <w:p w14:paraId="4FB48706" w14:textId="55AEC382" w:rsidR="00B9540D" w:rsidRPr="00B9540D" w:rsidRDefault="00B9540D" w:rsidP="00B9540D">
      <w:r w:rsidRPr="00B9540D">
        <w:t xml:space="preserve">Despite these strengths, challenges in communication and cohesion persist across the program. Communications between the PWL Governance Board and other program components have been notably weak, as highlighted during stakeholder consultations. One focus group discussion participant noted, </w:t>
      </w:r>
      <w:r w:rsidRPr="00B9540D">
        <w:rPr>
          <w:i/>
          <w:iCs/>
        </w:rPr>
        <w:t xml:space="preserve">"We have not had much engagement with the board." </w:t>
      </w:r>
      <w:r w:rsidRPr="00B9540D">
        <w:t>Board members themselves acknowledge this issue, with one stating, "</w:t>
      </w:r>
      <w:r w:rsidRPr="00B9540D">
        <w:rPr>
          <w:i/>
          <w:iCs/>
        </w:rPr>
        <w:t>We need a bit more visibility so people can understand the role of the Board, so people can demand accountability."</w:t>
      </w:r>
      <w:r w:rsidRPr="00B9540D">
        <w:t xml:space="preserve"> Similarly, DFAT UN regional programs remain comparatively disconnected from the rest of the PWL portfolio, with regional partners feeling marginali</w:t>
      </w:r>
      <w:r w:rsidR="00960051">
        <w:t>s</w:t>
      </w:r>
      <w:r w:rsidRPr="00B9540D">
        <w:t>ed, though they find value in ARAW attendance for networking and peer learning.</w:t>
      </w:r>
    </w:p>
    <w:p w14:paraId="61C76922" w14:textId="04C8DE1F" w:rsidR="00B9540D" w:rsidRDefault="00B9540D" w:rsidP="00436346">
      <w:r w:rsidRPr="00B9540D">
        <w:t>The wrap-around support provided by SPC, Women's Funds, and PWLES demonstrates relational efficiency through care-focused relationships that establish effective feedback loops between funders and partners. This approach has led to tangible improvements, with information about administrative burdens influencing streamlined grant reporting processes by SPC and PWLES, while UAF-AP updated grant application processes after identifying language barriers in their forms. The collaborative work has produced concrete results, such as connections made during the 2023 ARAW leading to SPC and UNFPA working together on programming to support adolescent girls. Though regional partners recommend additional mechanisms to facilitate intra-program connections, grantee interviewees generally support these intentional, if slower, ways of working as appropriate for contributing to deep, sustainable outcomes associated with transformational change.</w:t>
      </w:r>
    </w:p>
    <w:p w14:paraId="5E3FBCF3" w14:textId="77777777" w:rsidR="00926621" w:rsidRPr="00926621" w:rsidRDefault="00926621" w:rsidP="00926621">
      <w:pPr>
        <w:pStyle w:val="Orangeblocktext"/>
        <w:rPr>
          <w:b/>
          <w:bCs/>
        </w:rPr>
      </w:pPr>
      <w:r w:rsidRPr="00926621">
        <w:rPr>
          <w:b/>
          <w:bCs/>
        </w:rPr>
        <w:t>Spotlight: Integration of DFAT bilateral programs</w:t>
      </w:r>
    </w:p>
    <w:p w14:paraId="3422C72A" w14:textId="4E4096EF" w:rsidR="00FB7991" w:rsidRPr="00436346" w:rsidRDefault="00926621" w:rsidP="00926621">
      <w:pPr>
        <w:pStyle w:val="Orangeblocktext"/>
      </w:pPr>
      <w:r>
        <w:t>PWL's bilateral programs operate with substantial autonomy under direct DFAT post management and different managing contractors (including Tatua, TASP, and PNG PWL), creating ambiguity about their connection to the broader initiative and challenging program coherence. Despite integration efforts through PWLES-convened Communities of Practice and ARAW participation, the program would benefit from more direct engagement between bilateral stakeholders and other gender-focused actors within the same country contexts to enhance collaboration and coordination, potentially through country-level convenings.</w:t>
      </w:r>
    </w:p>
    <w:p w14:paraId="13A36AE7" w14:textId="578E2493" w:rsidR="00136C7C" w:rsidRPr="00FB7991" w:rsidRDefault="00136C7C" w:rsidP="00431ECA">
      <w:pPr>
        <w:spacing w:after="120"/>
        <w:rPr>
          <w:rFonts w:asciiTheme="majorHAnsi" w:hAnsiTheme="majorHAnsi"/>
          <w:color w:val="984C00" w:themeColor="accent1" w:themeShade="BF"/>
          <w:sz w:val="22"/>
          <w:szCs w:val="24"/>
        </w:rPr>
      </w:pPr>
      <w:r w:rsidRPr="00FB7991">
        <w:rPr>
          <w:rFonts w:asciiTheme="majorHAnsi" w:hAnsiTheme="majorHAnsi"/>
          <w:color w:val="984C00" w:themeColor="accent1" w:themeShade="BF"/>
          <w:sz w:val="22"/>
          <w:szCs w:val="24"/>
        </w:rPr>
        <w:t>Technical efficiency</w:t>
      </w:r>
    </w:p>
    <w:p w14:paraId="40B0781E" w14:textId="77777777" w:rsidR="007417E0" w:rsidRDefault="00A87B0D" w:rsidP="00D2350B">
      <w:r w:rsidRPr="00A87B0D">
        <w:t xml:space="preserve">Technical efficiency describes a state of maximising what is possible within a given level of resources or inputs. </w:t>
      </w:r>
      <w:r w:rsidR="00D77DF7" w:rsidRPr="00D77DF7">
        <w:t xml:space="preserve">PWL operates with an ambitious five-year budget of AUD170 million across five components serving thirteen Pacific countries, pursuing three key outcomes while adhering to Pacific-led development principles. </w:t>
      </w:r>
    </w:p>
    <w:p w14:paraId="1E059BD6" w14:textId="77777777" w:rsidR="007417E0" w:rsidRDefault="007417E0">
      <w:r>
        <w:br w:type="page"/>
      </w:r>
    </w:p>
    <w:p w14:paraId="4F9A8D07" w14:textId="031B6B59" w:rsidR="00D77DF7" w:rsidRDefault="00D77DF7" w:rsidP="00D2350B">
      <w:r w:rsidRPr="00D77DF7">
        <w:lastRenderedPageBreak/>
        <w:t>Despite this scope, the program has managed several cost-intensive initiatives, including North Pacific engagement requiring two-day travel with overnight stays in Honolulu for FSM participants attending the ARAW, increased travel by Women's Funds stakeholders for regional outreach, support for organi</w:t>
      </w:r>
      <w:r>
        <w:t>s</w:t>
      </w:r>
      <w:r w:rsidRPr="00D77DF7">
        <w:t xml:space="preserve">ations attending the Triennial Conference in Marshall Islands, and substantial funding and technical support from PWL at SPC to the RMI government for hosting the </w:t>
      </w:r>
      <w:proofErr w:type="spellStart"/>
      <w:r w:rsidRPr="00D77DF7">
        <w:t>Ainikien</w:t>
      </w:r>
      <w:proofErr w:type="spellEnd"/>
      <w:r w:rsidRPr="00D77DF7">
        <w:t xml:space="preserve"> Kora Forum (National Women's Forum).</w:t>
      </w:r>
      <w:r w:rsidR="006E4769" w:rsidRPr="006E4769">
        <w:t xml:space="preserve"> This included support to prepare RMI for their role, raise awareness and facilitate discussions about the outcomes and recommendations of the previous triennial, and prepare for the next.</w:t>
      </w:r>
    </w:p>
    <w:p w14:paraId="56AD2BA7" w14:textId="514D3E21" w:rsidR="00D77DF7" w:rsidRDefault="00D77DF7" w:rsidP="00D2350B">
      <w:r w:rsidRPr="00D77DF7">
        <w:t>The portfolio-wide MEL system has required significant investment to enable greater Pacific ownership, with extensive advisory and technical support from both PWLES and SPC, alongside a sizeable budget for the ARAW. High demand for these services resulted in PWLES reaching its funding ceiling, necessitating increased selectivity in partner support. As anticipated in the design, which acknowledged early inefficiencies due to "multiple sets of fixed costs to set up multiple arrangements," these challenges have been largely addressed through structural integration and improved systems, including SPC's significant internal reforms to enhance grant policies and processes. Interviewees generally supported this intentional, slower approach as appropriate for contributing to the deep, sustainable outcomes associated with transformational change.</w:t>
      </w:r>
    </w:p>
    <w:p w14:paraId="41C22DC3" w14:textId="7657CEAB" w:rsidR="00EB09D0" w:rsidRPr="00FB7991" w:rsidRDefault="008E4939" w:rsidP="00431ECA">
      <w:pPr>
        <w:spacing w:after="120"/>
        <w:rPr>
          <w:rFonts w:asciiTheme="majorHAnsi" w:hAnsiTheme="majorHAnsi"/>
          <w:color w:val="984C00" w:themeColor="accent1" w:themeShade="BF"/>
          <w:sz w:val="22"/>
          <w:szCs w:val="24"/>
        </w:rPr>
      </w:pPr>
      <w:r w:rsidRPr="00FB7991">
        <w:rPr>
          <w:rFonts w:asciiTheme="majorHAnsi" w:hAnsiTheme="majorHAnsi"/>
          <w:color w:val="984C00" w:themeColor="accent1" w:themeShade="BF"/>
          <w:sz w:val="22"/>
          <w:szCs w:val="24"/>
        </w:rPr>
        <w:t>Allocative efficiency</w:t>
      </w:r>
    </w:p>
    <w:p w14:paraId="7C259F06" w14:textId="4F014091" w:rsidR="008D32A1" w:rsidRPr="008D32A1" w:rsidRDefault="00A87B0D" w:rsidP="008D32A1">
      <w:r w:rsidRPr="00A87B0D">
        <w:t>Allocative efficiency points to an appropriate mix of inputs and activities to meet programmatic needs and strategic objectives.</w:t>
      </w:r>
      <w:r>
        <w:t xml:space="preserve"> </w:t>
      </w:r>
      <w:r w:rsidR="008D32A1" w:rsidRPr="008D32A1">
        <w:t xml:space="preserve">PWL's diverse component outreach demonstrates high allocative efficiency with appropriate resource balance across its design. However, implementation has revealed key considerations for future funding rounds. The demand for MEL and gender technical advisory from PWLES and SPC exceeded expectations, with PWLES reaching funding limits that restrict partner support until 2026 and constrain innovation possibilities like country-level analyses. While </w:t>
      </w:r>
      <w:r w:rsidR="00EA77E4" w:rsidRPr="008D32A1">
        <w:t>grant making</w:t>
      </w:r>
      <w:r w:rsidR="008D32A1" w:rsidRPr="008D32A1">
        <w:t xml:space="preserve"> with wrap-around support has effectively advanced Women's Leadership and Women's Rights, evidence indicates a need for more flexible, multi-year core funding, and notably less funding was allocated to Women's Economic Empowerment compared to other objectives. Strengths-based adjustments have been made, with SPC and Women's Funds directing resources to fill gaps for smaller CSOs, including those in the under</w:t>
      </w:r>
      <w:r w:rsidR="00192979">
        <w:t>-</w:t>
      </w:r>
      <w:r w:rsidR="008D32A1" w:rsidRPr="008D32A1">
        <w:t>served North Pacific.</w:t>
      </w:r>
    </w:p>
    <w:p w14:paraId="4A52A184" w14:textId="4BCB466D" w:rsidR="008D32A1" w:rsidRPr="008D32A1" w:rsidRDefault="008D32A1" w:rsidP="008D32A1">
      <w:r w:rsidRPr="008D32A1">
        <w:t xml:space="preserve">The risk of funding duplication remains significant with five </w:t>
      </w:r>
      <w:r w:rsidR="00C860FD" w:rsidRPr="008D32A1">
        <w:t>grant makers</w:t>
      </w:r>
      <w:r w:rsidRPr="008D32A1">
        <w:t xml:space="preserve"> providing funds and setting administrative requirements, though coordination efforts have improved regional coverage and streamlined reporting. Despite these challenges, some CSOs still receive funding from multiple grant makers simultaneously. Convenings and technical advisory have proven particularly appropriate strategies, especially through SPC and </w:t>
      </w:r>
      <w:r w:rsidR="00C1511B">
        <w:t>PIFS</w:t>
      </w:r>
      <w:r w:rsidRPr="008D32A1">
        <w:t xml:space="preserve"> given their regional mandate and networks, contributing to progress in gender equality frameworks, convenings, and mainstreaming at national and regional levels. UN agencies have similarly driven change at national and local levels, with all evidence from this review confirming that convenings and technical advice were effective approaches for advancing program objectives.</w:t>
      </w:r>
    </w:p>
    <w:p w14:paraId="2867F8D3" w14:textId="23FC6621" w:rsidR="005F665C" w:rsidRDefault="005F665C" w:rsidP="005F665C">
      <w:pPr>
        <w:pStyle w:val="Heading1"/>
      </w:pPr>
      <w:bookmarkStart w:id="72" w:name="_Toc201840799"/>
      <w:bookmarkStart w:id="73" w:name="_Toc181604017"/>
      <w:r>
        <w:lastRenderedPageBreak/>
        <w:t>F</w:t>
      </w:r>
      <w:r w:rsidR="00256336">
        <w:t>indings</w:t>
      </w:r>
      <w:r w:rsidR="002F196D">
        <w:t xml:space="preserve"> </w:t>
      </w:r>
      <w:r w:rsidR="00256336">
        <w:t>–</w:t>
      </w:r>
      <w:r>
        <w:t xml:space="preserve"> </w:t>
      </w:r>
      <w:r w:rsidRPr="002F196D">
        <w:rPr>
          <w:color w:val="0D8577" w:themeColor="accent5"/>
        </w:rPr>
        <w:t>C</w:t>
      </w:r>
      <w:r w:rsidR="00256336">
        <w:rPr>
          <w:color w:val="0D8577" w:themeColor="accent5"/>
        </w:rPr>
        <w:t>ross cutting</w:t>
      </w:r>
      <w:bookmarkEnd w:id="72"/>
    </w:p>
    <w:p w14:paraId="2B2DF838" w14:textId="6E0E31E5" w:rsidR="008E4939" w:rsidRPr="00EE243C" w:rsidRDefault="004D6F45" w:rsidP="004D6F45">
      <w:pPr>
        <w:pStyle w:val="Tealblockheading"/>
      </w:pPr>
      <w:bookmarkStart w:id="74" w:name="_Hlk193735879"/>
      <w:r>
        <w:t xml:space="preserve">KRQ6. </w:t>
      </w:r>
      <w:r w:rsidR="008E4939" w:rsidRPr="00EE243C">
        <w:t>How well is the program integrating GEDSI and climate change?</w:t>
      </w:r>
      <w:bookmarkEnd w:id="73"/>
      <w:r w:rsidR="008E4939" w:rsidRPr="00EE243C">
        <w:t xml:space="preserve"> </w:t>
      </w:r>
    </w:p>
    <w:p w14:paraId="0C0E6ABF" w14:textId="6D7A2ED0" w:rsidR="00000909" w:rsidRPr="002627CF" w:rsidRDefault="00000909" w:rsidP="00384259">
      <w:pPr>
        <w:pStyle w:val="Tealblocktext"/>
      </w:pPr>
      <w:r w:rsidRPr="00000909">
        <w:t xml:space="preserve">PWL demonstrates strong integration of disability </w:t>
      </w:r>
      <w:r>
        <w:t>inclusion</w:t>
      </w:r>
      <w:r w:rsidRPr="00000909">
        <w:t xml:space="preserve"> and </w:t>
      </w:r>
      <w:r>
        <w:t>intersectional gender equality</w:t>
      </w:r>
      <w:r w:rsidRPr="00000909">
        <w:t xml:space="preserve"> through systematic approaches, targeted funding, and strategic partnerships, with disability and SOGIESC representation on its Governance Board </w:t>
      </w:r>
      <w:r>
        <w:t>contributing to more</w:t>
      </w:r>
      <w:r w:rsidRPr="00000909">
        <w:t xml:space="preserve"> inclusive decision-making. Social inclusion shows good progress in supporting SOGIESC communities through networks and events, though more work is needed to address social norms that create barriers for girls and adolescents. Climate change integration remains moderate, relying primarily on technical support rather than dedicated funding, with opportunities </w:t>
      </w:r>
      <w:r>
        <w:t xml:space="preserve">in the second half of the program </w:t>
      </w:r>
      <w:r w:rsidRPr="00000909">
        <w:t>to develop a program-wide climate strategy and strengthen collaborations with climate-focused organi</w:t>
      </w:r>
      <w:r>
        <w:t>s</w:t>
      </w:r>
      <w:r w:rsidRPr="00000909">
        <w:t>ations.</w:t>
      </w:r>
    </w:p>
    <w:bookmarkEnd w:id="74"/>
    <w:p w14:paraId="21B9D56E" w14:textId="2631D142" w:rsidR="00AC76D1" w:rsidRDefault="008E4939" w:rsidP="00EC186F">
      <w:pPr>
        <w:pStyle w:val="Subheading"/>
      </w:pPr>
      <w:r w:rsidRPr="00E47C7D">
        <w:t>Disability inclusion</w:t>
      </w:r>
    </w:p>
    <w:p w14:paraId="344D6B70" w14:textId="460254F1" w:rsidR="0014152F" w:rsidRDefault="0014152F" w:rsidP="00633649">
      <w:pPr>
        <w:rPr>
          <w:rFonts w:cstheme="minorHAnsi"/>
        </w:rPr>
      </w:pPr>
      <w:r w:rsidRPr="0014152F">
        <w:rPr>
          <w:rFonts w:cstheme="minorHAnsi"/>
        </w:rPr>
        <w:t xml:space="preserve">PWL has systematically integrated disability inclusion across its operations through strategic investments and partnerships. The program strengthened disability-inclusive MEL systems by incorporating the Washington Group Short Set questions, developing the Disability Inclusion Guidance Note, and establishing a formal partnership with </w:t>
      </w:r>
      <w:r w:rsidR="00382682">
        <w:rPr>
          <w:rFonts w:cstheme="minorHAnsi"/>
        </w:rPr>
        <w:t>the Pacific Disability Forum (PDF)</w:t>
      </w:r>
      <w:r w:rsidR="004D1CB1">
        <w:rPr>
          <w:rFonts w:cstheme="minorHAnsi"/>
        </w:rPr>
        <w:t xml:space="preserve"> </w:t>
      </w:r>
      <w:r w:rsidRPr="0014152F">
        <w:rPr>
          <w:rFonts w:cstheme="minorHAnsi"/>
        </w:rPr>
        <w:t>through MOUs with both PWLES and SPC. This collaboration produced significant outcomes including disability inclusion learning sessions at the 2023 and 2024 ARAWs, speciali</w:t>
      </w:r>
      <w:r>
        <w:rPr>
          <w:rFonts w:cstheme="minorHAnsi"/>
        </w:rPr>
        <w:t>s</w:t>
      </w:r>
      <w:r w:rsidRPr="0014152F">
        <w:rPr>
          <w:rFonts w:cstheme="minorHAnsi"/>
        </w:rPr>
        <w:t xml:space="preserve">ed staff training, improved data collection methods, and the development of SPC's </w:t>
      </w:r>
      <w:r w:rsidR="00057807">
        <w:rPr>
          <w:rFonts w:cstheme="minorHAnsi"/>
        </w:rPr>
        <w:t>Human Rights and Social Development (HRSD)</w:t>
      </w:r>
      <w:r w:rsidRPr="0014152F">
        <w:rPr>
          <w:rFonts w:cstheme="minorHAnsi"/>
        </w:rPr>
        <w:t xml:space="preserve"> Disability Inclusion Strategy.</w:t>
      </w:r>
      <w:r w:rsidR="004D1CB1">
        <w:rPr>
          <w:rFonts w:cstheme="minorHAnsi"/>
        </w:rPr>
        <w:t xml:space="preserve"> C</w:t>
      </w:r>
      <w:r w:rsidRPr="0014152F">
        <w:rPr>
          <w:rFonts w:cstheme="minorHAnsi"/>
        </w:rPr>
        <w:t xml:space="preserve">ollaboration with PDF's Women with Disability Network enabled tailored life skills training for women and girls with disabilities and increased their representation at events like the </w:t>
      </w:r>
      <w:proofErr w:type="spellStart"/>
      <w:r w:rsidRPr="0014152F">
        <w:rPr>
          <w:rFonts w:cstheme="minorHAnsi"/>
        </w:rPr>
        <w:t>eSafety</w:t>
      </w:r>
      <w:proofErr w:type="spellEnd"/>
      <w:r w:rsidRPr="0014152F">
        <w:rPr>
          <w:rFonts w:cstheme="minorHAnsi"/>
        </w:rPr>
        <w:t xml:space="preserve"> Symposium.</w:t>
      </w:r>
    </w:p>
    <w:p w14:paraId="10075231" w14:textId="33BA82B8" w:rsidR="0014152F" w:rsidRDefault="0014152F" w:rsidP="00E46871">
      <w:pPr>
        <w:rPr>
          <w:rFonts w:cstheme="minorHAnsi"/>
        </w:rPr>
      </w:pPr>
      <w:r w:rsidRPr="0014152F">
        <w:rPr>
          <w:rFonts w:cstheme="minorHAnsi"/>
        </w:rPr>
        <w:t>Grant partners have implemented targeted initiatives that meaningfully include women and girls with disabilities at the project level. The Fiji Women's Rights Movement's Girls Arise program partnered with deaf organi</w:t>
      </w:r>
      <w:r w:rsidR="00337907">
        <w:rPr>
          <w:rFonts w:cstheme="minorHAnsi"/>
        </w:rPr>
        <w:t>s</w:t>
      </w:r>
      <w:r w:rsidRPr="0014152F">
        <w:rPr>
          <w:rFonts w:cstheme="minorHAnsi"/>
        </w:rPr>
        <w:t>ations to increase deaf girls' participation in advocacy forums</w:t>
      </w:r>
      <w:r w:rsidR="00337907">
        <w:rPr>
          <w:rFonts w:cstheme="minorHAnsi"/>
        </w:rPr>
        <w:t xml:space="preserve"> and</w:t>
      </w:r>
      <w:r w:rsidRPr="0014152F">
        <w:rPr>
          <w:rFonts w:cstheme="minorHAnsi"/>
        </w:rPr>
        <w:t xml:space="preserve"> I</w:t>
      </w:r>
      <w:r w:rsidR="00057807">
        <w:rPr>
          <w:rFonts w:cstheme="minorHAnsi"/>
        </w:rPr>
        <w:t>nternational Women’s Development Agency’s (I</w:t>
      </w:r>
      <w:r w:rsidRPr="0014152F">
        <w:rPr>
          <w:rFonts w:cstheme="minorHAnsi"/>
        </w:rPr>
        <w:t>WDA</w:t>
      </w:r>
      <w:r w:rsidR="00057807">
        <w:rPr>
          <w:rFonts w:cstheme="minorHAnsi"/>
        </w:rPr>
        <w:t>)</w:t>
      </w:r>
      <w:r w:rsidRPr="0014152F">
        <w:rPr>
          <w:rFonts w:cstheme="minorHAnsi"/>
        </w:rPr>
        <w:t xml:space="preserve"> project collaborated with People with Disabilities Solomon Islands to enhance GBV service accessibility. Most PWL partners now routinely serve women and girls with disabilities within their mainstream projects, particularly in women's safety services where people with disabilities are overrepresented. Additionally, a PWLES Advisor provided support for developing disability policies and engagement strategies with </w:t>
      </w:r>
      <w:r>
        <w:rPr>
          <w:rFonts w:cstheme="minorHAnsi"/>
        </w:rPr>
        <w:t>OPDs</w:t>
      </w:r>
      <w:r w:rsidRPr="0014152F">
        <w:rPr>
          <w:rFonts w:cstheme="minorHAnsi"/>
        </w:rPr>
        <w:t xml:space="preserve"> in Tuvalu.</w:t>
      </w:r>
    </w:p>
    <w:p w14:paraId="7829A3E3" w14:textId="465C7857" w:rsidR="0014152F" w:rsidRDefault="0014152F" w:rsidP="0014152F">
      <w:r w:rsidRPr="0014152F">
        <w:t>Regional collaborations have expanded disability inclusion efforts across the Pacific through strategic assessments and capacity building. UNFPA</w:t>
      </w:r>
      <w:r w:rsidR="006E0093">
        <w:t>-</w:t>
      </w:r>
      <w:r w:rsidRPr="0014152F">
        <w:t>commissioned needs assessments on women and young people with disabilities in Samoa, Fiji, and Vanuatu cataly</w:t>
      </w:r>
      <w:r w:rsidR="00720636">
        <w:t>s</w:t>
      </w:r>
      <w:r w:rsidRPr="0014152F">
        <w:t>ed concrete actions</w:t>
      </w:r>
      <w:r w:rsidR="006E0093">
        <w:t>,</w:t>
      </w:r>
      <w:r w:rsidRPr="0014152F">
        <w:t xml:space="preserve"> including training persons with disabilities as community-based SRHR officer</w:t>
      </w:r>
      <w:r w:rsidR="00337907">
        <w:t>s</w:t>
      </w:r>
      <w:r w:rsidRPr="0014152F">
        <w:t>. Urgent Action Fund Asia &amp; Pacific is conducting a disability landscape mapping across the region to identify OPDs, understand their specific challenges, and determine appropriate support mechanisms to inform future granting approaches and engagement strategies with OPDs throughout the Pacific.</w:t>
      </w:r>
    </w:p>
    <w:p w14:paraId="7D960714" w14:textId="77777777" w:rsidR="00E701FB" w:rsidRPr="00E701FB" w:rsidRDefault="00E701FB" w:rsidP="00E701FB">
      <w:pPr>
        <w:spacing w:after="120"/>
        <w:rPr>
          <w:rFonts w:asciiTheme="majorHAnsi" w:hAnsiTheme="majorHAnsi"/>
          <w:color w:val="984C00" w:themeColor="accent1" w:themeShade="BF"/>
          <w:sz w:val="22"/>
          <w:szCs w:val="24"/>
        </w:rPr>
      </w:pPr>
      <w:r w:rsidRPr="00E701FB">
        <w:rPr>
          <w:rFonts w:asciiTheme="majorHAnsi" w:hAnsiTheme="majorHAnsi"/>
          <w:color w:val="984C00" w:themeColor="accent1" w:themeShade="BF"/>
          <w:sz w:val="22"/>
          <w:szCs w:val="24"/>
        </w:rPr>
        <w:t>Key achievements</w:t>
      </w:r>
    </w:p>
    <w:p w14:paraId="7F9A7556" w14:textId="77777777" w:rsidR="00E701FB" w:rsidRPr="00E701FB" w:rsidRDefault="00E701FB" w:rsidP="00E701FB">
      <w:pPr>
        <w:pStyle w:val="ListBullet"/>
        <w:rPr>
          <w:szCs w:val="21"/>
        </w:rPr>
      </w:pPr>
      <w:r w:rsidRPr="00E701FB">
        <w:rPr>
          <w:b/>
          <w:szCs w:val="21"/>
        </w:rPr>
        <w:t xml:space="preserve">79 </w:t>
      </w:r>
      <w:r w:rsidRPr="00E701FB">
        <w:rPr>
          <w:bCs/>
          <w:szCs w:val="21"/>
        </w:rPr>
        <w:t>Pacific OPDs actively engaged in projects</w:t>
      </w:r>
      <w:r>
        <w:rPr>
          <w:szCs w:val="21"/>
        </w:rPr>
        <w:t>.</w:t>
      </w:r>
    </w:p>
    <w:p w14:paraId="639453CF" w14:textId="77777777" w:rsidR="00E701FB" w:rsidRPr="00E701FB" w:rsidRDefault="00E701FB" w:rsidP="00E701FB">
      <w:pPr>
        <w:pStyle w:val="ListBullet"/>
        <w:rPr>
          <w:szCs w:val="21"/>
        </w:rPr>
      </w:pPr>
      <w:r w:rsidRPr="00E701FB">
        <w:rPr>
          <w:b/>
          <w:bCs/>
          <w:szCs w:val="21"/>
        </w:rPr>
        <w:t>Integration of Washington Group Short Set questions in the MEL system</w:t>
      </w:r>
      <w:r w:rsidRPr="00E701FB">
        <w:rPr>
          <w:szCs w:val="21"/>
        </w:rPr>
        <w:t>. Establishment of systematic measurement of disability inclusion across programs, enabling accurate tracking of needs and experiences of women and girls with disabilities.</w:t>
      </w:r>
    </w:p>
    <w:p w14:paraId="4C6017DF" w14:textId="77777777" w:rsidR="00E701FB" w:rsidRPr="00E701FB" w:rsidRDefault="00E701FB" w:rsidP="00E701FB">
      <w:pPr>
        <w:pStyle w:val="ListBullet"/>
        <w:rPr>
          <w:szCs w:val="21"/>
        </w:rPr>
      </w:pPr>
      <w:r w:rsidRPr="00E701FB">
        <w:rPr>
          <w:b/>
          <w:bCs/>
          <w:szCs w:val="21"/>
        </w:rPr>
        <w:t>Strategic partnership with PDF.</w:t>
      </w:r>
      <w:r w:rsidRPr="00E701FB">
        <w:rPr>
          <w:szCs w:val="21"/>
        </w:rPr>
        <w:t xml:space="preserve"> Formalised collaboration providing technical guidance that has strengthened disability inclusion through learning sessions, specialised training, and improved data collection methods.</w:t>
      </w:r>
    </w:p>
    <w:p w14:paraId="1D80A087" w14:textId="77777777" w:rsidR="00E701FB" w:rsidRPr="00E701FB" w:rsidRDefault="00E701FB" w:rsidP="00E701FB">
      <w:pPr>
        <w:pStyle w:val="ListBullet"/>
        <w:rPr>
          <w:szCs w:val="21"/>
        </w:rPr>
      </w:pPr>
      <w:r w:rsidRPr="00E701FB">
        <w:rPr>
          <w:b/>
          <w:bCs/>
          <w:szCs w:val="21"/>
        </w:rPr>
        <w:lastRenderedPageBreak/>
        <w:t>Girls Arise program partnership with deaf organisations</w:t>
      </w:r>
      <w:r w:rsidRPr="00E701FB">
        <w:rPr>
          <w:szCs w:val="21"/>
        </w:rPr>
        <w:t>. Increased deaf girls' participation in advocacy forums, including representation at the 51st Pacific Islands Forum Leaders Meeting.</w:t>
      </w:r>
    </w:p>
    <w:p w14:paraId="6A9B1EB3" w14:textId="77777777" w:rsidR="00E701FB" w:rsidRPr="00E701FB" w:rsidRDefault="00E701FB" w:rsidP="00E701FB">
      <w:pPr>
        <w:pStyle w:val="ListBullet"/>
        <w:rPr>
          <w:szCs w:val="21"/>
        </w:rPr>
      </w:pPr>
      <w:r w:rsidRPr="00E701FB">
        <w:rPr>
          <w:b/>
          <w:bCs/>
          <w:szCs w:val="21"/>
        </w:rPr>
        <w:t>Enhanced accessibility of GBV services in Solomon Islands</w:t>
      </w:r>
      <w:r w:rsidRPr="00E701FB">
        <w:rPr>
          <w:szCs w:val="21"/>
        </w:rPr>
        <w:t xml:space="preserve">. Improved physical accessibility and created specialised materials in braille and </w:t>
      </w:r>
      <w:proofErr w:type="spellStart"/>
      <w:r w:rsidRPr="00E701FB">
        <w:rPr>
          <w:szCs w:val="21"/>
        </w:rPr>
        <w:t>Pijin</w:t>
      </w:r>
      <w:proofErr w:type="spellEnd"/>
      <w:r w:rsidRPr="00E701FB">
        <w:rPr>
          <w:szCs w:val="21"/>
        </w:rPr>
        <w:t xml:space="preserve"> for deaf clients at the Family Support Centre.</w:t>
      </w:r>
    </w:p>
    <w:p w14:paraId="5BF5BA0D" w14:textId="77777777" w:rsidR="00E701FB" w:rsidRPr="00E701FB" w:rsidRDefault="00E701FB" w:rsidP="00E701FB">
      <w:pPr>
        <w:pStyle w:val="ListBullet"/>
        <w:rPr>
          <w:szCs w:val="21"/>
        </w:rPr>
      </w:pPr>
      <w:r w:rsidRPr="00E701FB">
        <w:rPr>
          <w:b/>
          <w:bCs/>
          <w:szCs w:val="21"/>
        </w:rPr>
        <w:t>Regional needs assessments on women and young people with disabilities</w:t>
      </w:r>
      <w:r w:rsidRPr="00E701FB">
        <w:rPr>
          <w:szCs w:val="21"/>
        </w:rPr>
        <w:t>. Catalysed concrete actions including training persons with disabilities as community-based SRHR officers who now co-lead outreach on disability rights.</w:t>
      </w:r>
    </w:p>
    <w:p w14:paraId="7242B9A9" w14:textId="70022D5C" w:rsidR="00D904E7" w:rsidRPr="00E47C7D" w:rsidRDefault="003F49F0" w:rsidP="00EC186F">
      <w:pPr>
        <w:pStyle w:val="Subheading"/>
      </w:pPr>
      <w:r w:rsidRPr="00E47C7D">
        <w:t>Inclusion of women and girls in all their diversities</w:t>
      </w:r>
    </w:p>
    <w:p w14:paraId="6C919DC2" w14:textId="5C99E75A" w:rsidR="006128C8" w:rsidRDefault="006128C8" w:rsidP="00D904E7">
      <w:pPr>
        <w:rPr>
          <w:rFonts w:cstheme="minorHAnsi"/>
        </w:rPr>
      </w:pPr>
      <w:r w:rsidRPr="006128C8">
        <w:rPr>
          <w:rFonts w:cstheme="minorHAnsi"/>
        </w:rPr>
        <w:t>PWL has systematically integrated inclusion of diverse women and girls across its initiatives and funding approach, demonstrating significant progress in social inclusion. Partners routinely provide inclusive services through mainstream projects, particularly in women's safety services, while targeted initiatives like SPC's Pacific Girl, UNICEF's child protection program, and various awareness-raising projects address specific needs of young girls. The program has established an inclusive governance structure with diverse representation, including youth, disability, and SOGIESC advocates on the PWL Governance Board</w:t>
      </w:r>
      <w:r w:rsidR="00DA6FB1">
        <w:rPr>
          <w:rFonts w:cstheme="minorHAnsi"/>
        </w:rPr>
        <w:t xml:space="preserve"> </w:t>
      </w:r>
      <w:r w:rsidRPr="006128C8">
        <w:rPr>
          <w:rFonts w:cstheme="minorHAnsi"/>
        </w:rPr>
        <w:t>ensuring diverse perspectives inform program direction.</w:t>
      </w:r>
    </w:p>
    <w:p w14:paraId="4EBAD46A" w14:textId="4AF7B027" w:rsidR="006128C8" w:rsidRDefault="006128C8" w:rsidP="00D904E7">
      <w:r w:rsidRPr="006128C8">
        <w:t xml:space="preserve">The Pacific Girl program exemplifies PWL's commitment to youth inclusion </w:t>
      </w:r>
      <w:r w:rsidR="001B2058">
        <w:t>and</w:t>
      </w:r>
      <w:r w:rsidRPr="006128C8">
        <w:t xml:space="preserve"> has created pathways for girls' participation in national policy discussions and regional forums including the </w:t>
      </w:r>
      <w:r w:rsidR="006E0093">
        <w:t xml:space="preserve">PIFWLM </w:t>
      </w:r>
      <w:r w:rsidRPr="006128C8">
        <w:t xml:space="preserve">and </w:t>
      </w:r>
      <w:r w:rsidR="006E0093">
        <w:t>PFF</w:t>
      </w:r>
      <w:r w:rsidRPr="006128C8">
        <w:t xml:space="preserve">. Adolescent girl advisory groups established at the project level ensure youth voices directly influence programs, while SPC provides mentoring for the Pacific Girl Reference Group and </w:t>
      </w:r>
      <w:r w:rsidR="006E0093">
        <w:t xml:space="preserve">provides </w:t>
      </w:r>
      <w:r w:rsidRPr="006128C8">
        <w:t>PWL Youth Working Group members with capacity building in work planning, budgeting, reporting, and M&amp;E. This commitment to youth leadership culminated in establishing a Youth Working Group in late 2023, chaired by the youth representative on the PWL Governance Board.</w:t>
      </w:r>
    </w:p>
    <w:p w14:paraId="29E89931" w14:textId="11B4953A" w:rsidR="006128C8" w:rsidRDefault="006128C8" w:rsidP="00D904E7">
      <w:r w:rsidRPr="006128C8">
        <w:t xml:space="preserve">PWL has advanced SOGIESC inclusion through strategic civil society partnerships that leverage the flexibility of CSOs and Women's Funds to advocate independently from government mandates. Collaboration with the Pacific Sexual and Gender Diversity Network </w:t>
      </w:r>
      <w:r w:rsidR="00710957">
        <w:t xml:space="preserve">(PSGDN) </w:t>
      </w:r>
      <w:r w:rsidRPr="006128C8">
        <w:t xml:space="preserve">and the </w:t>
      </w:r>
      <w:proofErr w:type="spellStart"/>
      <w:r w:rsidRPr="006128C8">
        <w:t>Boutokaan</w:t>
      </w:r>
      <w:proofErr w:type="spellEnd"/>
      <w:r w:rsidRPr="006128C8">
        <w:t xml:space="preserve"> </w:t>
      </w:r>
      <w:proofErr w:type="spellStart"/>
      <w:r w:rsidRPr="006128C8">
        <w:t>Inaomataia</w:t>
      </w:r>
      <w:proofErr w:type="spellEnd"/>
      <w:r w:rsidRPr="006128C8">
        <w:t xml:space="preserve"> </w:t>
      </w:r>
      <w:proofErr w:type="spellStart"/>
      <w:r w:rsidRPr="006128C8">
        <w:t>ao</w:t>
      </w:r>
      <w:proofErr w:type="spellEnd"/>
      <w:r w:rsidRPr="006128C8">
        <w:t xml:space="preserve"> </w:t>
      </w:r>
      <w:proofErr w:type="spellStart"/>
      <w:r w:rsidRPr="006128C8">
        <w:t>Mauriia</w:t>
      </w:r>
      <w:proofErr w:type="spellEnd"/>
      <w:r w:rsidRPr="006128C8">
        <w:t xml:space="preserve"> </w:t>
      </w:r>
      <w:proofErr w:type="spellStart"/>
      <w:r w:rsidRPr="006128C8">
        <w:t>Binabinaine</w:t>
      </w:r>
      <w:proofErr w:type="spellEnd"/>
      <w:r w:rsidRPr="006128C8">
        <w:t xml:space="preserve"> Association in Kiribati has supported critical events including the Pacific Human Rights Conference on SOGIESC and Fiji's Pride Parade. A notable achievement emerged from the PSGDN-led 3rd Pacific Human Rights Conference, where an SPC speaker's presentation on T</w:t>
      </w:r>
      <w:r w:rsidR="00710957">
        <w:t>FGBV</w:t>
      </w:r>
      <w:r w:rsidRPr="006128C8">
        <w:t xml:space="preserve"> led to its inclusion in the Regional Strategy on Ending Violence and Discrimination Against Pacific Islanders of diverse SOGIESC. The program's influence expanded through DIVA's learning sessions on SOGIESC and climate justice at the 2023 and 2024 ARAWs, while Women's Funds participation in ARAW 2023 resulted in UAF</w:t>
      </w:r>
      <w:r w:rsidR="006E0093">
        <w:t>-</w:t>
      </w:r>
      <w:r w:rsidRPr="006128C8">
        <w:t xml:space="preserve">AP </w:t>
      </w:r>
      <w:r w:rsidR="006E0093">
        <w:t>awarding</w:t>
      </w:r>
      <w:r w:rsidR="006E0093" w:rsidRPr="006128C8">
        <w:t xml:space="preserve"> </w:t>
      </w:r>
      <w:r w:rsidRPr="006128C8">
        <w:t>a grant to a foundation working with the SOGIESC community and people living with HIV. Despite these achievements, challenges remain in addressing social norms that create barriers for adolescent girls and in sharing evidence on effective transformative programming across the Pacific.</w:t>
      </w:r>
    </w:p>
    <w:p w14:paraId="69B375C7" w14:textId="77777777" w:rsidR="00E701FB" w:rsidRPr="00E701FB" w:rsidRDefault="00E701FB" w:rsidP="00E701FB">
      <w:pPr>
        <w:spacing w:after="120"/>
        <w:rPr>
          <w:rFonts w:asciiTheme="majorHAnsi" w:hAnsiTheme="majorHAnsi"/>
          <w:color w:val="984C00" w:themeColor="accent1" w:themeShade="BF"/>
          <w:sz w:val="22"/>
          <w:szCs w:val="24"/>
        </w:rPr>
      </w:pPr>
      <w:r w:rsidRPr="00E701FB">
        <w:rPr>
          <w:rFonts w:asciiTheme="majorHAnsi" w:hAnsiTheme="majorHAnsi"/>
          <w:color w:val="984C00" w:themeColor="accent1" w:themeShade="BF"/>
          <w:sz w:val="22"/>
          <w:szCs w:val="24"/>
        </w:rPr>
        <w:t>Key achievements</w:t>
      </w:r>
    </w:p>
    <w:p w14:paraId="13E2DB26" w14:textId="77777777" w:rsidR="00E701FB" w:rsidRPr="00E701FB" w:rsidRDefault="00E701FB" w:rsidP="00E701FB">
      <w:pPr>
        <w:pStyle w:val="ListBullet"/>
        <w:rPr>
          <w:szCs w:val="21"/>
        </w:rPr>
      </w:pPr>
      <w:r w:rsidRPr="00E701FB">
        <w:rPr>
          <w:b/>
          <w:bCs/>
          <w:szCs w:val="21"/>
        </w:rPr>
        <w:t>11,832</w:t>
      </w:r>
      <w:r w:rsidRPr="00E701FB">
        <w:rPr>
          <w:szCs w:val="21"/>
        </w:rPr>
        <w:t xml:space="preserve"> girls have participated in sessions on gender issues and women’s equal rights.</w:t>
      </w:r>
    </w:p>
    <w:p w14:paraId="00FE0A77" w14:textId="77777777" w:rsidR="00E701FB" w:rsidRPr="00E701FB" w:rsidRDefault="00E701FB" w:rsidP="00E701FB">
      <w:pPr>
        <w:pStyle w:val="ListBullet"/>
        <w:rPr>
          <w:szCs w:val="21"/>
        </w:rPr>
      </w:pPr>
      <w:r w:rsidRPr="00E701FB">
        <w:rPr>
          <w:b/>
          <w:bCs/>
          <w:szCs w:val="21"/>
        </w:rPr>
        <w:t>3,446</w:t>
      </w:r>
      <w:r w:rsidRPr="00E701FB">
        <w:rPr>
          <w:szCs w:val="21"/>
        </w:rPr>
        <w:t xml:space="preserve"> services have been provided to girls as survivors of violence.</w:t>
      </w:r>
    </w:p>
    <w:p w14:paraId="2CE4198D" w14:textId="77777777" w:rsidR="00E701FB" w:rsidRPr="00E701FB" w:rsidRDefault="00E701FB" w:rsidP="00E701FB">
      <w:pPr>
        <w:pStyle w:val="ListBullet"/>
        <w:rPr>
          <w:szCs w:val="21"/>
        </w:rPr>
      </w:pPr>
      <w:r w:rsidRPr="00E701FB">
        <w:rPr>
          <w:b/>
          <w:bCs/>
          <w:szCs w:val="21"/>
        </w:rPr>
        <w:t xml:space="preserve">93 </w:t>
      </w:r>
      <w:r w:rsidRPr="00E701FB">
        <w:rPr>
          <w:szCs w:val="21"/>
        </w:rPr>
        <w:t>girls have been supported to assume a leadership role at a community, provincial, or national level.</w:t>
      </w:r>
    </w:p>
    <w:p w14:paraId="45B4F10B" w14:textId="77777777" w:rsidR="00E701FB" w:rsidRPr="00E701FB" w:rsidRDefault="00E701FB" w:rsidP="00E701FB">
      <w:pPr>
        <w:pStyle w:val="ListBullet"/>
        <w:rPr>
          <w:szCs w:val="21"/>
        </w:rPr>
      </w:pPr>
      <w:r w:rsidRPr="00E701FB">
        <w:rPr>
          <w:b/>
          <w:bCs/>
          <w:szCs w:val="21"/>
        </w:rPr>
        <w:t>Diverse representation in governance.</w:t>
      </w:r>
      <w:r w:rsidRPr="00E701FB">
        <w:rPr>
          <w:szCs w:val="21"/>
        </w:rPr>
        <w:t xml:space="preserve"> Inclusion of youth, disability, and SOGIESC advocates on the PWL Governance Board positions diverse voices to influence program direction and decision-making, creating greater accountability to women and girls in all their diversities.</w:t>
      </w:r>
    </w:p>
    <w:p w14:paraId="49900887" w14:textId="77777777" w:rsidR="00E701FB" w:rsidRPr="00E701FB" w:rsidRDefault="00E701FB" w:rsidP="00E701FB">
      <w:pPr>
        <w:pStyle w:val="ListBullet"/>
        <w:rPr>
          <w:szCs w:val="21"/>
        </w:rPr>
      </w:pPr>
      <w:r w:rsidRPr="00E701FB">
        <w:rPr>
          <w:b/>
          <w:bCs/>
          <w:szCs w:val="21"/>
        </w:rPr>
        <w:t>Pacific Girl’s youth empowerment approach.</w:t>
      </w:r>
      <w:r w:rsidRPr="00E701FB">
        <w:rPr>
          <w:szCs w:val="21"/>
        </w:rPr>
        <w:t xml:space="preserve"> Implementation of the "nothing about us without us" principle through adolescent girl advisory groups has created pathways for young women's meaningful participation in national policy discussions and regional forums, establishing a foundation for intergenerational leadership.</w:t>
      </w:r>
    </w:p>
    <w:p w14:paraId="35A3F6D0" w14:textId="77777777" w:rsidR="00E701FB" w:rsidRPr="00E701FB" w:rsidRDefault="00E701FB" w:rsidP="00E701FB">
      <w:pPr>
        <w:pStyle w:val="ListBullet"/>
        <w:rPr>
          <w:szCs w:val="21"/>
        </w:rPr>
      </w:pPr>
      <w:r w:rsidRPr="00E701FB">
        <w:rPr>
          <w:b/>
          <w:bCs/>
          <w:szCs w:val="21"/>
        </w:rPr>
        <w:t>Strategic SOGIESC partnerships and advocacy</w:t>
      </w:r>
      <w:r w:rsidRPr="00E701FB">
        <w:rPr>
          <w:szCs w:val="21"/>
        </w:rPr>
        <w:t xml:space="preserve">. Collaboration with the PSGDN and other organisations has strengthened SOGIESC inclusion, with concrete outcomes like the incorporation of </w:t>
      </w:r>
      <w:r w:rsidRPr="00E701FB">
        <w:rPr>
          <w:szCs w:val="21"/>
        </w:rPr>
        <w:lastRenderedPageBreak/>
        <w:t>TFGBV in regional strategies addressing discrimination against Pacific Islanders of diverse SOGIESC.</w:t>
      </w:r>
    </w:p>
    <w:p w14:paraId="6E40663F" w14:textId="77777777" w:rsidR="00E701FB" w:rsidRPr="00E701FB" w:rsidRDefault="00E701FB" w:rsidP="00E701FB">
      <w:pPr>
        <w:pStyle w:val="ListBullet"/>
        <w:rPr>
          <w:szCs w:val="21"/>
        </w:rPr>
      </w:pPr>
      <w:r w:rsidRPr="00E701FB">
        <w:rPr>
          <w:b/>
          <w:bCs/>
          <w:szCs w:val="21"/>
        </w:rPr>
        <w:t>Mainstreaming inclusive services across partner programming</w:t>
      </w:r>
      <w:r w:rsidRPr="00E701FB">
        <w:rPr>
          <w:szCs w:val="21"/>
        </w:rPr>
        <w:t>. Integration of services for diverse women and girls within mainstream projects, particularly in women's safety services, has helped normalise inclusion rather than treating it as separate or specialised programming.</w:t>
      </w:r>
    </w:p>
    <w:p w14:paraId="74D7BFB8" w14:textId="2B4F94E8" w:rsidR="00E701FB" w:rsidRPr="00E701FB" w:rsidRDefault="00E701FB" w:rsidP="00D904E7">
      <w:pPr>
        <w:pStyle w:val="ListBullet"/>
        <w:rPr>
          <w:szCs w:val="21"/>
        </w:rPr>
      </w:pPr>
      <w:r w:rsidRPr="00E701FB">
        <w:rPr>
          <w:b/>
          <w:bCs/>
          <w:szCs w:val="21"/>
        </w:rPr>
        <w:t>Capacity building for youth leadership.</w:t>
      </w:r>
      <w:r w:rsidRPr="00E701FB">
        <w:rPr>
          <w:szCs w:val="21"/>
        </w:rPr>
        <w:t xml:space="preserve"> SPC's mentoring for the Pacific Girl Reference Group and PWL Youth Working Group members on work planning, budgeting, reporting, and M&amp;E has built sustainable leadership capacity among young women, supporting their effective participation in decision-making spaces.</w:t>
      </w:r>
    </w:p>
    <w:p w14:paraId="76D4BB85" w14:textId="2EC6ABDF" w:rsidR="008E4939" w:rsidRPr="00E47C7D" w:rsidRDefault="008E4939" w:rsidP="00EC186F">
      <w:pPr>
        <w:pStyle w:val="Subheading"/>
      </w:pPr>
      <w:r w:rsidRPr="00E47C7D">
        <w:t>Climate change</w:t>
      </w:r>
    </w:p>
    <w:p w14:paraId="7836EC5F" w14:textId="57CD8911" w:rsidR="00655DE2" w:rsidRDefault="00F43A5E" w:rsidP="00D904E7">
      <w:r>
        <w:t>PWL</w:t>
      </w:r>
      <w:r w:rsidR="00655DE2" w:rsidRPr="00655DE2">
        <w:t xml:space="preserve"> demonstrates moderate integration of climate considerations across its programming, primarily through technical support and collaborative efforts focused on gender-responsive approaches. </w:t>
      </w:r>
      <w:r w:rsidR="00C7136F">
        <w:t>PWL</w:t>
      </w:r>
      <w:r w:rsidR="00655DE2" w:rsidRPr="00655DE2">
        <w:t xml:space="preserve"> has developed climate change and disaster risk resilience tools</w:t>
      </w:r>
      <w:r>
        <w:t xml:space="preserve"> which have been</w:t>
      </w:r>
      <w:r w:rsidR="00655DE2" w:rsidRPr="00655DE2">
        <w:t xml:space="preserve"> </w:t>
      </w:r>
      <w:r>
        <w:t xml:space="preserve">adopted by partners. </w:t>
      </w:r>
      <w:r w:rsidR="00655DE2" w:rsidRPr="00655DE2">
        <w:t xml:space="preserve">Additionally, DFAT's support to the Women's Environment and Development Organisation has built capacity for National Gender and Climate Change Focal Points in the Pacific, while PWL funding for the </w:t>
      </w:r>
      <w:r w:rsidR="00F83891" w:rsidRPr="00F83891">
        <w:t xml:space="preserve">Shifting the Power Coalition </w:t>
      </w:r>
      <w:r w:rsidR="002E77BF">
        <w:t>(</w:t>
      </w:r>
      <w:proofErr w:type="spellStart"/>
      <w:r>
        <w:t>StPC</w:t>
      </w:r>
      <w:proofErr w:type="spellEnd"/>
      <w:r w:rsidR="002E77BF">
        <w:t>)</w:t>
      </w:r>
      <w:r w:rsidR="00655DE2" w:rsidRPr="00655DE2">
        <w:t xml:space="preserve"> has enabled crisis preparedness training for over 6,520 women across Samoa, Tonga, and Vanuatu. PWL has also supported collaborative work between disability and women's rights organi</w:t>
      </w:r>
      <w:r>
        <w:t>s</w:t>
      </w:r>
      <w:r w:rsidR="00655DE2" w:rsidRPr="00655DE2">
        <w:t>ations to develop inclusive responses to humanitarian emergencies.</w:t>
      </w:r>
    </w:p>
    <w:p w14:paraId="024D7670" w14:textId="599EDE5C" w:rsidR="00655DE2" w:rsidRDefault="00655DE2" w:rsidP="00D904E7">
      <w:r w:rsidRPr="00655DE2">
        <w:t xml:space="preserve">PWL's work addresses issues that natural disasters exacerbate, including increased violence against women, diminished economic opportunities, and interrupted health services. Many partners likely have disaster management planning in place, with PWLES and SPC positioned to provide additional support where needed. </w:t>
      </w:r>
      <w:r w:rsidR="00F43A5E">
        <w:t xml:space="preserve">ARAW </w:t>
      </w:r>
      <w:r w:rsidRPr="00655DE2">
        <w:t>discussions have enhanced understanding of intersections between gender equality and climate resilience, as evidenced by support to the Kiribati Ministry of Women for consultations on their National Climate Change Policy. Gender mainstreaming in disaster resilience is also evident in CARE Vanuatu's work with the Department of Women's Affairs co-leading the Gender and Protection Cluster following the March 2023 cyclones, which amplified adolescent girls' voices in humanitarian spaces.</w:t>
      </w:r>
    </w:p>
    <w:p w14:paraId="3DD5D465" w14:textId="03103775" w:rsidR="00655DE2" w:rsidRDefault="00655DE2" w:rsidP="00D904E7">
      <w:r w:rsidRPr="00655DE2">
        <w:t xml:space="preserve">Despite these initiatives, PWL currently lacks a program-wide climate change integration strategy, though steps are being taken to address this gap through convening partner discussions and panels on gender program climate change integration. The </w:t>
      </w:r>
      <w:proofErr w:type="spellStart"/>
      <w:r w:rsidR="00F43A5E">
        <w:t>StPC</w:t>
      </w:r>
      <w:proofErr w:type="spellEnd"/>
      <w:r w:rsidRPr="00655DE2">
        <w:t xml:space="preserve"> specifically addresses gender equality and climate change through the Pacific Owned Women-Led Early Warning and Resilience Systems project, recogni</w:t>
      </w:r>
      <w:r w:rsidR="00F43A5E">
        <w:t>s</w:t>
      </w:r>
      <w:r w:rsidRPr="00655DE2">
        <w:t>ing women's disproportionate vulnerability to climate impacts. Stakeholders acknowledge the need for stronger collaboration between PWL and climate-focused organi</w:t>
      </w:r>
      <w:r w:rsidR="00F43A5E">
        <w:t>s</w:t>
      </w:r>
      <w:r w:rsidRPr="00655DE2">
        <w:t>ations like SPREP, with PWL establishing a two-year Gender Adviser role within SPREP to enhance connections. Opportunities exist through SPC's Gender Equality and Climate Change flagship projects to complement PWL interventions by providing technical support to partners accessing climate funding and facilitating knowledge sharing on gendered climate impacts.</w:t>
      </w:r>
    </w:p>
    <w:p w14:paraId="399CBBED" w14:textId="2B2DC0FE" w:rsidR="00E701FB" w:rsidRPr="00E701FB" w:rsidRDefault="00E701FB" w:rsidP="00E701FB">
      <w:pPr>
        <w:spacing w:after="120"/>
        <w:rPr>
          <w:rFonts w:asciiTheme="majorHAnsi" w:hAnsiTheme="majorHAnsi"/>
          <w:color w:val="984C00" w:themeColor="accent1" w:themeShade="BF"/>
          <w:sz w:val="22"/>
          <w:szCs w:val="24"/>
        </w:rPr>
      </w:pPr>
      <w:r w:rsidRPr="00E701FB">
        <w:rPr>
          <w:rFonts w:asciiTheme="majorHAnsi" w:hAnsiTheme="majorHAnsi"/>
          <w:color w:val="984C00" w:themeColor="accent1" w:themeShade="BF"/>
          <w:sz w:val="22"/>
          <w:szCs w:val="24"/>
        </w:rPr>
        <w:t>Key achievements</w:t>
      </w:r>
    </w:p>
    <w:p w14:paraId="436F514D" w14:textId="77777777" w:rsidR="00E701FB" w:rsidRPr="00E701FB" w:rsidRDefault="00E701FB" w:rsidP="00E701FB">
      <w:pPr>
        <w:pStyle w:val="ListBullet"/>
        <w:rPr>
          <w:szCs w:val="21"/>
        </w:rPr>
      </w:pPr>
      <w:r w:rsidRPr="00E701FB">
        <w:rPr>
          <w:b/>
          <w:bCs/>
          <w:szCs w:val="21"/>
        </w:rPr>
        <w:t>Integration of gender into climate resilience initiatives</w:t>
      </w:r>
      <w:r w:rsidRPr="00E701FB">
        <w:rPr>
          <w:szCs w:val="21"/>
        </w:rPr>
        <w:t xml:space="preserve">. PNG Women </w:t>
      </w:r>
      <w:proofErr w:type="gramStart"/>
      <w:r w:rsidRPr="00E701FB">
        <w:rPr>
          <w:szCs w:val="21"/>
        </w:rPr>
        <w:t>Lead</w:t>
      </w:r>
      <w:proofErr w:type="gramEnd"/>
      <w:r w:rsidRPr="00E701FB">
        <w:rPr>
          <w:szCs w:val="21"/>
        </w:rPr>
        <w:t xml:space="preserve"> has developed climate change and disaster risk resilience approaches and tools which have been adopted by partner projects; capacity building of Pacific National Gender and Climate Change Focal Points through Women’s Environment and Development Organisation (WEDO) collaboration.</w:t>
      </w:r>
    </w:p>
    <w:p w14:paraId="208EE186" w14:textId="77777777" w:rsidR="00E701FB" w:rsidRPr="00E701FB" w:rsidRDefault="00E701FB" w:rsidP="00E701FB">
      <w:pPr>
        <w:pStyle w:val="ListBullet"/>
        <w:rPr>
          <w:szCs w:val="21"/>
        </w:rPr>
      </w:pPr>
      <w:r w:rsidRPr="00E701FB">
        <w:rPr>
          <w:b/>
          <w:bCs/>
          <w:szCs w:val="21"/>
        </w:rPr>
        <w:t>Crisis preparedness training</w:t>
      </w:r>
      <w:r w:rsidRPr="00E701FB">
        <w:rPr>
          <w:szCs w:val="21"/>
        </w:rPr>
        <w:t xml:space="preserve">. The </w:t>
      </w:r>
      <w:proofErr w:type="spellStart"/>
      <w:r w:rsidRPr="00E701FB">
        <w:rPr>
          <w:szCs w:val="21"/>
        </w:rPr>
        <w:t>StPC</w:t>
      </w:r>
      <w:proofErr w:type="spellEnd"/>
      <w:r w:rsidRPr="00E701FB">
        <w:rPr>
          <w:szCs w:val="21"/>
        </w:rPr>
        <w:t xml:space="preserve"> has delivered national crisis preparedness training to over 6,520 women across Samoa, Tonga, and Vanuatu, significantly strengthening women's leadership in disaster response and recovery efforts across the region.</w:t>
      </w:r>
    </w:p>
    <w:p w14:paraId="0277A7DC" w14:textId="6D20BE11" w:rsidR="00E701FB" w:rsidRPr="006F63DC" w:rsidRDefault="00E701FB" w:rsidP="00D904E7">
      <w:pPr>
        <w:pStyle w:val="ListBullet"/>
        <w:rPr>
          <w:szCs w:val="21"/>
        </w:rPr>
      </w:pPr>
      <w:r w:rsidRPr="00E701FB">
        <w:rPr>
          <w:b/>
          <w:bCs/>
          <w:szCs w:val="21"/>
        </w:rPr>
        <w:t>Strategic collaboration between disability and women's rights organisations</w:t>
      </w:r>
      <w:r w:rsidRPr="00E701FB">
        <w:rPr>
          <w:szCs w:val="21"/>
        </w:rPr>
        <w:t>. PWL has facilitated partnerships that develop inclusive responses to humanitarian emergencies, ensuring that disaster planning and response mechanisms address the specific needs of women with disabilities and other marginalised groups in climate-vulnerable communities.</w:t>
      </w:r>
    </w:p>
    <w:p w14:paraId="44784AC0" w14:textId="621BCF7E" w:rsidR="00D928AE" w:rsidRPr="00EE243C" w:rsidRDefault="00181914" w:rsidP="003F49F0">
      <w:pPr>
        <w:pStyle w:val="Heading1"/>
      </w:pPr>
      <w:bookmarkStart w:id="75" w:name="_Toc201840800"/>
      <w:r w:rsidRPr="00EE243C">
        <w:lastRenderedPageBreak/>
        <w:t>Recommendations</w:t>
      </w:r>
      <w:bookmarkEnd w:id="75"/>
    </w:p>
    <w:p w14:paraId="52DFC4BE" w14:textId="5E35A2BA" w:rsidR="00A958DD" w:rsidRPr="007417E0" w:rsidRDefault="003E3B7E" w:rsidP="00A958DD">
      <w:pPr>
        <w:rPr>
          <w:rFonts w:cstheme="minorHAnsi"/>
          <w:szCs w:val="21"/>
        </w:rPr>
      </w:pPr>
      <w:bookmarkStart w:id="76" w:name="_Hlk193790443"/>
      <w:r w:rsidRPr="007417E0">
        <w:rPr>
          <w:rFonts w:cstheme="minorHAnsi"/>
          <w:szCs w:val="21"/>
        </w:rPr>
        <w:t>The</w:t>
      </w:r>
      <w:r w:rsidR="00A958DD" w:rsidRPr="007417E0">
        <w:rPr>
          <w:rFonts w:cstheme="minorHAnsi"/>
          <w:szCs w:val="21"/>
        </w:rPr>
        <w:t xml:space="preserve"> MTR team </w:t>
      </w:r>
      <w:r w:rsidRPr="007417E0">
        <w:rPr>
          <w:rFonts w:cstheme="minorHAnsi"/>
          <w:szCs w:val="21"/>
        </w:rPr>
        <w:t>proposes the following</w:t>
      </w:r>
      <w:r w:rsidR="00A958DD" w:rsidRPr="007417E0">
        <w:rPr>
          <w:rFonts w:cstheme="minorHAnsi"/>
          <w:szCs w:val="21"/>
        </w:rPr>
        <w:t xml:space="preserve"> recommendations to support further progress towards outcomes for the remainder of the current phase</w:t>
      </w:r>
      <w:r w:rsidR="00142F3F" w:rsidRPr="007417E0">
        <w:rPr>
          <w:rFonts w:cstheme="minorHAnsi"/>
          <w:szCs w:val="21"/>
        </w:rPr>
        <w:t xml:space="preserve"> (until </w:t>
      </w:r>
      <w:r w:rsidR="00563686" w:rsidRPr="007417E0">
        <w:rPr>
          <w:rFonts w:cstheme="minorHAnsi"/>
          <w:szCs w:val="21"/>
        </w:rPr>
        <w:t xml:space="preserve">end of </w:t>
      </w:r>
      <w:r w:rsidR="003E56FE" w:rsidRPr="007417E0">
        <w:rPr>
          <w:rFonts w:cstheme="minorHAnsi"/>
          <w:szCs w:val="21"/>
        </w:rPr>
        <w:t xml:space="preserve">June </w:t>
      </w:r>
      <w:r w:rsidR="00142F3F" w:rsidRPr="007417E0">
        <w:rPr>
          <w:rFonts w:cstheme="minorHAnsi"/>
          <w:szCs w:val="21"/>
        </w:rPr>
        <w:t>2026)</w:t>
      </w:r>
      <w:r w:rsidR="00A958DD" w:rsidRPr="007417E0">
        <w:rPr>
          <w:rFonts w:cstheme="minorHAnsi"/>
          <w:szCs w:val="21"/>
        </w:rPr>
        <w:t xml:space="preserve"> </w:t>
      </w:r>
      <w:r w:rsidR="00655FAA" w:rsidRPr="007417E0">
        <w:rPr>
          <w:rFonts w:cstheme="minorHAnsi"/>
          <w:szCs w:val="21"/>
        </w:rPr>
        <w:t>and</w:t>
      </w:r>
      <w:r w:rsidR="00A958DD" w:rsidRPr="007417E0">
        <w:rPr>
          <w:rFonts w:cstheme="minorHAnsi"/>
          <w:szCs w:val="21"/>
        </w:rPr>
        <w:t xml:space="preserve"> the next phase</w:t>
      </w:r>
      <w:r w:rsidR="00142F3F" w:rsidRPr="007417E0">
        <w:rPr>
          <w:rFonts w:cstheme="minorHAnsi"/>
          <w:szCs w:val="21"/>
        </w:rPr>
        <w:t xml:space="preserve"> (</w:t>
      </w:r>
      <w:r w:rsidR="0043104F" w:rsidRPr="007417E0">
        <w:rPr>
          <w:rFonts w:cstheme="minorHAnsi"/>
          <w:szCs w:val="21"/>
        </w:rPr>
        <w:t>from</w:t>
      </w:r>
      <w:r w:rsidR="00303660" w:rsidRPr="007417E0">
        <w:rPr>
          <w:rFonts w:cstheme="minorHAnsi"/>
          <w:szCs w:val="21"/>
        </w:rPr>
        <w:t xml:space="preserve"> </w:t>
      </w:r>
      <w:r w:rsidR="003E56FE" w:rsidRPr="007417E0">
        <w:rPr>
          <w:rFonts w:cstheme="minorHAnsi"/>
          <w:szCs w:val="21"/>
        </w:rPr>
        <w:t>July</w:t>
      </w:r>
      <w:r w:rsidR="00142F3F" w:rsidRPr="007417E0">
        <w:rPr>
          <w:rFonts w:cstheme="minorHAnsi"/>
          <w:szCs w:val="21"/>
        </w:rPr>
        <w:t xml:space="preserve"> 2026). </w:t>
      </w:r>
    </w:p>
    <w:p w14:paraId="6D8B7DDE" w14:textId="1CED1CCA" w:rsidR="00A958DD" w:rsidRPr="00362900" w:rsidRDefault="00A958DD" w:rsidP="00256336">
      <w:pPr>
        <w:pStyle w:val="Heading3nonumber"/>
        <w:outlineLvl w:val="9"/>
        <w:rPr>
          <w:color w:val="984C00" w:themeColor="accent1" w:themeShade="BF"/>
        </w:rPr>
      </w:pPr>
      <w:r w:rsidRPr="00362900">
        <w:rPr>
          <w:color w:val="984C00" w:themeColor="accent1" w:themeShade="BF"/>
        </w:rPr>
        <w:t>For remainder of current phase</w:t>
      </w:r>
      <w:r w:rsidR="00B928EB" w:rsidRPr="00362900">
        <w:rPr>
          <w:color w:val="984C00" w:themeColor="accent1" w:themeShade="BF"/>
        </w:rPr>
        <w:t xml:space="preserve"> (until end of June 2026)</w:t>
      </w:r>
    </w:p>
    <w:p w14:paraId="3B4BDEEB" w14:textId="202C34A9" w:rsidR="00852C53" w:rsidRPr="007417E0" w:rsidRDefault="00852C53" w:rsidP="000C7F52">
      <w:pPr>
        <w:pStyle w:val="ListNumber"/>
        <w:numPr>
          <w:ilvl w:val="0"/>
          <w:numId w:val="18"/>
        </w:numPr>
        <w:rPr>
          <w:b/>
          <w:bCs/>
          <w:szCs w:val="21"/>
        </w:rPr>
      </w:pPr>
      <w:r w:rsidRPr="007417E0">
        <w:rPr>
          <w:b/>
          <w:bCs/>
          <w:szCs w:val="21"/>
        </w:rPr>
        <w:t>Improve coordination between PWL components to enhance efficiency and effectiveness</w:t>
      </w:r>
    </w:p>
    <w:p w14:paraId="4ADFE4C1" w14:textId="6AFB504B" w:rsidR="00852C53" w:rsidRPr="007417E0" w:rsidRDefault="00852C53">
      <w:pPr>
        <w:pStyle w:val="ListNumber2"/>
        <w:numPr>
          <w:ilvl w:val="1"/>
          <w:numId w:val="12"/>
        </w:numPr>
        <w:rPr>
          <w:szCs w:val="21"/>
          <w:lang w:val="en-US"/>
        </w:rPr>
      </w:pPr>
      <w:r w:rsidRPr="007417E0">
        <w:rPr>
          <w:szCs w:val="21"/>
          <w:lang w:val="en-US"/>
        </w:rPr>
        <w:t xml:space="preserve">Initiate quarterly strategic convenings with component leads and key stakeholders, including SPC, </w:t>
      </w:r>
      <w:r w:rsidR="00C1511B" w:rsidRPr="007417E0">
        <w:rPr>
          <w:szCs w:val="21"/>
          <w:lang w:val="en-US"/>
        </w:rPr>
        <w:t>PIFS</w:t>
      </w:r>
      <w:r w:rsidRPr="007417E0">
        <w:rPr>
          <w:szCs w:val="21"/>
          <w:lang w:val="en-US"/>
        </w:rPr>
        <w:t xml:space="preserve">, PWLES, Women’s Funds, DFAT and the PWL Governance Board. These convenings should: </w:t>
      </w:r>
    </w:p>
    <w:p w14:paraId="0A578C05" w14:textId="4EE14B57" w:rsidR="00852C53" w:rsidRPr="007417E0" w:rsidRDefault="002E77BF" w:rsidP="00852C53">
      <w:pPr>
        <w:pStyle w:val="ListBullet3"/>
        <w:ind w:left="1078"/>
        <w:rPr>
          <w:sz w:val="21"/>
          <w:szCs w:val="21"/>
          <w:lang w:val="en-US"/>
        </w:rPr>
      </w:pPr>
      <w:r w:rsidRPr="007417E0">
        <w:rPr>
          <w:sz w:val="21"/>
          <w:szCs w:val="21"/>
          <w:lang w:val="en-US"/>
        </w:rPr>
        <w:t xml:space="preserve">provide </w:t>
      </w:r>
      <w:r w:rsidR="00852C53" w:rsidRPr="007417E0">
        <w:rPr>
          <w:sz w:val="21"/>
          <w:szCs w:val="21"/>
          <w:lang w:val="en-US"/>
        </w:rPr>
        <w:t>a formal platform for high-level coordination, strategic planning, and oversight of the Whole of Program (WOP)</w:t>
      </w:r>
    </w:p>
    <w:p w14:paraId="5BA34F5E" w14:textId="0463169D" w:rsidR="00852C53" w:rsidRPr="007417E0" w:rsidRDefault="002E77BF" w:rsidP="00852C53">
      <w:pPr>
        <w:pStyle w:val="ListBullet3"/>
        <w:ind w:left="1078"/>
        <w:rPr>
          <w:sz w:val="21"/>
          <w:szCs w:val="21"/>
          <w:lang w:val="en-US"/>
        </w:rPr>
      </w:pPr>
      <w:r w:rsidRPr="007417E0">
        <w:rPr>
          <w:sz w:val="21"/>
          <w:szCs w:val="21"/>
          <w:lang w:val="en-US"/>
        </w:rPr>
        <w:t xml:space="preserve">align </w:t>
      </w:r>
      <w:r w:rsidR="00852C53" w:rsidRPr="007417E0">
        <w:rPr>
          <w:sz w:val="21"/>
          <w:szCs w:val="21"/>
          <w:lang w:val="en-US"/>
        </w:rPr>
        <w:t xml:space="preserve">with existing regional convenings organised by SPC and </w:t>
      </w:r>
      <w:r w:rsidR="00C1511B" w:rsidRPr="007417E0">
        <w:rPr>
          <w:sz w:val="21"/>
          <w:szCs w:val="21"/>
          <w:lang w:val="en-US"/>
        </w:rPr>
        <w:t>PIFS</w:t>
      </w:r>
      <w:r w:rsidR="00852C53" w:rsidRPr="007417E0">
        <w:rPr>
          <w:sz w:val="21"/>
          <w:szCs w:val="21"/>
          <w:lang w:val="en-US"/>
        </w:rPr>
        <w:t xml:space="preserve"> to ensure logistical efficienc</w:t>
      </w:r>
      <w:r w:rsidRPr="007417E0">
        <w:rPr>
          <w:sz w:val="21"/>
          <w:szCs w:val="21"/>
          <w:lang w:val="en-US"/>
        </w:rPr>
        <w:t>y</w:t>
      </w:r>
    </w:p>
    <w:p w14:paraId="2328A1CA" w14:textId="68674386" w:rsidR="00852C53" w:rsidRPr="007417E0" w:rsidRDefault="002E77BF" w:rsidP="00852C53">
      <w:pPr>
        <w:pStyle w:val="ListBullet3"/>
        <w:ind w:left="1078"/>
        <w:rPr>
          <w:sz w:val="21"/>
          <w:szCs w:val="21"/>
          <w:lang w:val="en-US"/>
        </w:rPr>
      </w:pPr>
      <w:r w:rsidRPr="007417E0">
        <w:rPr>
          <w:sz w:val="21"/>
          <w:szCs w:val="21"/>
          <w:lang w:val="en-US"/>
        </w:rPr>
        <w:t xml:space="preserve">establish </w:t>
      </w:r>
      <w:r w:rsidR="00852C53" w:rsidRPr="007417E0">
        <w:rPr>
          <w:sz w:val="21"/>
          <w:szCs w:val="21"/>
          <w:lang w:val="en-US"/>
        </w:rPr>
        <w:t>clear mechanisms</w:t>
      </w:r>
      <w:r w:rsidR="000C7F52" w:rsidRPr="007417E0">
        <w:rPr>
          <w:sz w:val="21"/>
          <w:szCs w:val="21"/>
          <w:lang w:val="en-US"/>
        </w:rPr>
        <w:t xml:space="preserve"> within these quarterly strategic convenings</w:t>
      </w:r>
      <w:r w:rsidR="00852C53" w:rsidRPr="007417E0">
        <w:rPr>
          <w:sz w:val="21"/>
          <w:szCs w:val="21"/>
          <w:lang w:val="en-US"/>
        </w:rPr>
        <w:t xml:space="preserve"> for tracking and acting on key decisions</w:t>
      </w:r>
      <w:r w:rsidR="000C7F52" w:rsidRPr="007417E0">
        <w:rPr>
          <w:sz w:val="21"/>
          <w:szCs w:val="21"/>
          <w:lang w:val="en-US"/>
        </w:rPr>
        <w:t xml:space="preserve"> made by component leads and key stakeholders to enhance effectiveness</w:t>
      </w:r>
      <w:r w:rsidR="00852C53" w:rsidRPr="007417E0">
        <w:rPr>
          <w:sz w:val="21"/>
          <w:szCs w:val="21"/>
          <w:lang w:val="en-US"/>
        </w:rPr>
        <w:t xml:space="preserve">. </w:t>
      </w:r>
    </w:p>
    <w:p w14:paraId="68D397A6" w14:textId="77777777" w:rsidR="00852C53" w:rsidRPr="007417E0" w:rsidRDefault="00852C53">
      <w:pPr>
        <w:pStyle w:val="ListNumber2"/>
        <w:numPr>
          <w:ilvl w:val="1"/>
          <w:numId w:val="12"/>
        </w:numPr>
        <w:rPr>
          <w:szCs w:val="21"/>
          <w:lang w:val="en-US"/>
        </w:rPr>
      </w:pPr>
      <w:r w:rsidRPr="007417E0">
        <w:rPr>
          <w:szCs w:val="21"/>
          <w:lang w:val="en-US"/>
        </w:rPr>
        <w:t xml:space="preserve">Enhance the visibility and engagement of UN agency programs by: </w:t>
      </w:r>
    </w:p>
    <w:p w14:paraId="186DB045" w14:textId="0EC470A9" w:rsidR="00852C53" w:rsidRPr="007417E0" w:rsidRDefault="002E77BF" w:rsidP="00852C53">
      <w:pPr>
        <w:pStyle w:val="ListBullet3"/>
        <w:ind w:left="1078"/>
        <w:rPr>
          <w:sz w:val="21"/>
          <w:szCs w:val="21"/>
          <w:lang w:val="en-US"/>
        </w:rPr>
      </w:pPr>
      <w:r w:rsidRPr="007417E0">
        <w:rPr>
          <w:sz w:val="21"/>
          <w:szCs w:val="21"/>
          <w:lang w:val="en-US"/>
        </w:rPr>
        <w:t>i</w:t>
      </w:r>
      <w:r w:rsidR="00852C53" w:rsidRPr="007417E0">
        <w:rPr>
          <w:sz w:val="21"/>
          <w:szCs w:val="21"/>
          <w:lang w:val="en-US"/>
        </w:rPr>
        <w:t>nviting UN representatives to regular PWL convenings</w:t>
      </w:r>
    </w:p>
    <w:p w14:paraId="43100F4C" w14:textId="4C91D1E4" w:rsidR="00852C53" w:rsidRPr="007417E0" w:rsidRDefault="002E77BF" w:rsidP="00852C53">
      <w:pPr>
        <w:pStyle w:val="ListBullet3"/>
        <w:ind w:left="1078"/>
        <w:rPr>
          <w:sz w:val="21"/>
          <w:szCs w:val="21"/>
          <w:lang w:val="en-US"/>
        </w:rPr>
      </w:pPr>
      <w:r w:rsidRPr="007417E0">
        <w:rPr>
          <w:sz w:val="21"/>
          <w:szCs w:val="21"/>
          <w:lang w:val="en-US"/>
        </w:rPr>
        <w:t xml:space="preserve">establishing </w:t>
      </w:r>
      <w:r w:rsidR="00852C53" w:rsidRPr="007417E0">
        <w:rPr>
          <w:sz w:val="21"/>
          <w:szCs w:val="21"/>
          <w:lang w:val="en-US"/>
        </w:rPr>
        <w:t>regular information-sharing mechanisms between UN agencies and other PWL components</w:t>
      </w:r>
    </w:p>
    <w:p w14:paraId="3B2AFBFC" w14:textId="112DE588" w:rsidR="00852C53" w:rsidRPr="007417E0" w:rsidRDefault="002E77BF" w:rsidP="00852C53">
      <w:pPr>
        <w:pStyle w:val="ListBullet3"/>
        <w:ind w:left="1078"/>
        <w:rPr>
          <w:sz w:val="21"/>
          <w:szCs w:val="21"/>
          <w:lang w:val="en-US"/>
        </w:rPr>
      </w:pPr>
      <w:r w:rsidRPr="007417E0">
        <w:rPr>
          <w:sz w:val="21"/>
          <w:szCs w:val="21"/>
          <w:lang w:val="en-US"/>
        </w:rPr>
        <w:t xml:space="preserve">mapping </w:t>
      </w:r>
      <w:r w:rsidR="00852C53" w:rsidRPr="007417E0">
        <w:rPr>
          <w:sz w:val="21"/>
          <w:szCs w:val="21"/>
          <w:lang w:val="en-US"/>
        </w:rPr>
        <w:t xml:space="preserve">UN-funded initiatives alongside PWL grants to </w:t>
      </w:r>
      <w:proofErr w:type="spellStart"/>
      <w:r w:rsidR="00852C53" w:rsidRPr="007417E0">
        <w:rPr>
          <w:sz w:val="21"/>
          <w:szCs w:val="21"/>
          <w:lang w:val="en-US"/>
        </w:rPr>
        <w:t>minimise</w:t>
      </w:r>
      <w:proofErr w:type="spellEnd"/>
      <w:r w:rsidR="00852C53" w:rsidRPr="007417E0">
        <w:rPr>
          <w:sz w:val="21"/>
          <w:szCs w:val="21"/>
          <w:lang w:val="en-US"/>
        </w:rPr>
        <w:t xml:space="preserve"> duplication and identify collaboration opportunities.</w:t>
      </w:r>
    </w:p>
    <w:p w14:paraId="202E48B3" w14:textId="00586097" w:rsidR="00852C53" w:rsidRPr="007417E0" w:rsidRDefault="001A09A6">
      <w:pPr>
        <w:pStyle w:val="ListNumber"/>
        <w:numPr>
          <w:ilvl w:val="0"/>
          <w:numId w:val="12"/>
        </w:numPr>
        <w:rPr>
          <w:b/>
          <w:bCs/>
          <w:szCs w:val="21"/>
        </w:rPr>
      </w:pPr>
      <w:r w:rsidRPr="007417E0">
        <w:rPr>
          <w:b/>
          <w:bCs/>
          <w:szCs w:val="21"/>
        </w:rPr>
        <w:t>Strengthen the strategic value of the PWL Governance Board</w:t>
      </w:r>
    </w:p>
    <w:p w14:paraId="7BB91D1D" w14:textId="77777777" w:rsidR="001A09A6" w:rsidRPr="007417E0" w:rsidRDefault="00852C53" w:rsidP="001A09A6">
      <w:pPr>
        <w:pStyle w:val="ListNumber2"/>
        <w:rPr>
          <w:szCs w:val="21"/>
        </w:rPr>
      </w:pPr>
      <w:r w:rsidRPr="007417E0">
        <w:rPr>
          <w:szCs w:val="21"/>
        </w:rPr>
        <w:t xml:space="preserve"> </w:t>
      </w:r>
      <w:r w:rsidR="001A09A6" w:rsidRPr="007417E0">
        <w:rPr>
          <w:szCs w:val="21"/>
        </w:rPr>
        <w:t>Redesign the Board’s Terms of Reference (</w:t>
      </w:r>
      <w:proofErr w:type="spellStart"/>
      <w:r w:rsidR="001A09A6" w:rsidRPr="007417E0">
        <w:rPr>
          <w:szCs w:val="21"/>
        </w:rPr>
        <w:t>ToR</w:t>
      </w:r>
      <w:proofErr w:type="spellEnd"/>
      <w:r w:rsidR="001A09A6" w:rsidRPr="007417E0">
        <w:rPr>
          <w:szCs w:val="21"/>
        </w:rPr>
        <w:t xml:space="preserve">) to clarify its role in: </w:t>
      </w:r>
    </w:p>
    <w:p w14:paraId="079ECD96" w14:textId="1B5888DA" w:rsidR="001A09A6" w:rsidRPr="007417E0" w:rsidRDefault="002E77BF" w:rsidP="001A09A6">
      <w:pPr>
        <w:pStyle w:val="ListBullet3"/>
        <w:ind w:left="1078"/>
        <w:rPr>
          <w:sz w:val="21"/>
          <w:szCs w:val="21"/>
          <w:lang w:val="en-US"/>
        </w:rPr>
      </w:pPr>
      <w:r w:rsidRPr="007417E0">
        <w:rPr>
          <w:sz w:val="21"/>
          <w:szCs w:val="21"/>
          <w:lang w:val="en-US"/>
        </w:rPr>
        <w:t xml:space="preserve">providing </w:t>
      </w:r>
      <w:r w:rsidR="001A09A6" w:rsidRPr="007417E0">
        <w:rPr>
          <w:sz w:val="21"/>
          <w:szCs w:val="21"/>
          <w:lang w:val="en-US"/>
        </w:rPr>
        <w:t>strategic advice and oversight</w:t>
      </w:r>
    </w:p>
    <w:p w14:paraId="7241A445" w14:textId="042A1E88" w:rsidR="001A09A6" w:rsidRPr="007417E0" w:rsidRDefault="002E77BF" w:rsidP="001A09A6">
      <w:pPr>
        <w:pStyle w:val="ListBullet3"/>
        <w:ind w:left="1078"/>
        <w:rPr>
          <w:sz w:val="21"/>
          <w:szCs w:val="21"/>
          <w:lang w:val="en-US"/>
        </w:rPr>
      </w:pPr>
      <w:r w:rsidRPr="007417E0">
        <w:rPr>
          <w:sz w:val="21"/>
          <w:szCs w:val="21"/>
          <w:lang w:val="en-US"/>
        </w:rPr>
        <w:t xml:space="preserve">strengthening </w:t>
      </w:r>
      <w:r w:rsidR="001A09A6" w:rsidRPr="007417E0">
        <w:rPr>
          <w:sz w:val="21"/>
          <w:szCs w:val="21"/>
          <w:lang w:val="en-US"/>
        </w:rPr>
        <w:t>communication channels with DFAT and program components</w:t>
      </w:r>
    </w:p>
    <w:p w14:paraId="5B47CE6C" w14:textId="1C5FF8ED" w:rsidR="001A09A6" w:rsidRPr="007417E0" w:rsidRDefault="002E77BF" w:rsidP="001A09A6">
      <w:pPr>
        <w:pStyle w:val="ListBullet3"/>
        <w:ind w:left="1078"/>
        <w:rPr>
          <w:sz w:val="21"/>
          <w:szCs w:val="21"/>
          <w:lang w:val="en-US"/>
        </w:rPr>
      </w:pPr>
      <w:r w:rsidRPr="007417E0">
        <w:rPr>
          <w:sz w:val="21"/>
          <w:szCs w:val="21"/>
          <w:lang w:val="en-US"/>
        </w:rPr>
        <w:t xml:space="preserve">aligning </w:t>
      </w:r>
      <w:r w:rsidR="001A09A6" w:rsidRPr="007417E0">
        <w:rPr>
          <w:sz w:val="21"/>
          <w:szCs w:val="21"/>
          <w:lang w:val="en-US"/>
        </w:rPr>
        <w:t xml:space="preserve">with principles of Pacific-led </w:t>
      </w:r>
      <w:r w:rsidR="00670B45" w:rsidRPr="007417E0">
        <w:rPr>
          <w:sz w:val="21"/>
          <w:szCs w:val="21"/>
          <w:lang w:val="en-US"/>
        </w:rPr>
        <w:t>programming and ownership</w:t>
      </w:r>
      <w:r w:rsidR="001A09A6" w:rsidRPr="007417E0">
        <w:rPr>
          <w:sz w:val="21"/>
          <w:szCs w:val="21"/>
          <w:lang w:val="en-US"/>
        </w:rPr>
        <w:t xml:space="preserve">. </w:t>
      </w:r>
    </w:p>
    <w:p w14:paraId="6CC6D9AD" w14:textId="77777777" w:rsidR="001A09A6" w:rsidRPr="007417E0" w:rsidRDefault="001A09A6" w:rsidP="001A09A6">
      <w:pPr>
        <w:pStyle w:val="ListNumber2"/>
        <w:rPr>
          <w:szCs w:val="21"/>
        </w:rPr>
      </w:pPr>
      <w:r w:rsidRPr="007417E0">
        <w:rPr>
          <w:szCs w:val="21"/>
        </w:rPr>
        <w:t xml:space="preserve">Revise the Secretariat’s role to ensure effective support for the Board, including: </w:t>
      </w:r>
    </w:p>
    <w:p w14:paraId="2399B6E3" w14:textId="4E819DB8" w:rsidR="001A09A6" w:rsidRPr="007417E0" w:rsidRDefault="002E77BF" w:rsidP="001A09A6">
      <w:pPr>
        <w:pStyle w:val="ListBullet3"/>
        <w:ind w:left="1078"/>
        <w:rPr>
          <w:sz w:val="21"/>
          <w:szCs w:val="21"/>
          <w:lang w:val="en-US"/>
        </w:rPr>
      </w:pPr>
      <w:r w:rsidRPr="007417E0">
        <w:rPr>
          <w:sz w:val="21"/>
          <w:szCs w:val="21"/>
          <w:lang w:val="en-US"/>
        </w:rPr>
        <w:t xml:space="preserve">reviewing </w:t>
      </w:r>
      <w:r w:rsidR="001A09A6" w:rsidRPr="007417E0">
        <w:rPr>
          <w:sz w:val="21"/>
          <w:szCs w:val="21"/>
          <w:lang w:val="en-US"/>
        </w:rPr>
        <w:t>its selection and management to align with the Board’s revised mandate</w:t>
      </w:r>
    </w:p>
    <w:p w14:paraId="5892807A" w14:textId="5D8C7827" w:rsidR="00852C53" w:rsidRPr="007417E0" w:rsidRDefault="002E77BF" w:rsidP="001A09A6">
      <w:pPr>
        <w:pStyle w:val="ListBullet3"/>
        <w:ind w:left="1078"/>
        <w:rPr>
          <w:sz w:val="21"/>
          <w:szCs w:val="21"/>
          <w:lang w:val="en-US"/>
        </w:rPr>
      </w:pPr>
      <w:r w:rsidRPr="007417E0">
        <w:rPr>
          <w:sz w:val="21"/>
          <w:szCs w:val="21"/>
          <w:lang w:val="en-US"/>
        </w:rPr>
        <w:t xml:space="preserve">establishing </w:t>
      </w:r>
      <w:r w:rsidR="001A09A6" w:rsidRPr="007417E0">
        <w:rPr>
          <w:sz w:val="21"/>
          <w:szCs w:val="21"/>
          <w:lang w:val="en-US"/>
        </w:rPr>
        <w:t>clear performance expectations and accountability mechanisms.</w:t>
      </w:r>
    </w:p>
    <w:p w14:paraId="0FFF3DAA" w14:textId="3176FEC5" w:rsidR="00852C53" w:rsidRPr="007417E0" w:rsidRDefault="009E6388">
      <w:pPr>
        <w:pStyle w:val="ListNumber"/>
        <w:numPr>
          <w:ilvl w:val="0"/>
          <w:numId w:val="12"/>
        </w:numPr>
        <w:rPr>
          <w:b/>
          <w:bCs/>
          <w:szCs w:val="21"/>
        </w:rPr>
      </w:pPr>
      <w:r w:rsidRPr="007417E0">
        <w:rPr>
          <w:b/>
          <w:bCs/>
          <w:szCs w:val="21"/>
        </w:rPr>
        <w:t xml:space="preserve">Ensure continuity and minimise disruptions in SPC grants by </w:t>
      </w:r>
      <w:r w:rsidRPr="007417E0">
        <w:rPr>
          <w:szCs w:val="21"/>
        </w:rPr>
        <w:t>signing a no cost extension to enable SPC grantees to implement their full contract budgets and developing a transition plan to bridge grants into the next phase</w:t>
      </w:r>
      <w:r w:rsidR="008C0FF5" w:rsidRPr="007417E0">
        <w:rPr>
          <w:szCs w:val="21"/>
        </w:rPr>
        <w:t>.</w:t>
      </w:r>
    </w:p>
    <w:p w14:paraId="5E3AF0E7" w14:textId="6E2A73C7" w:rsidR="00852C53" w:rsidRPr="007417E0" w:rsidRDefault="005A59DA">
      <w:pPr>
        <w:pStyle w:val="ListNumber"/>
        <w:numPr>
          <w:ilvl w:val="0"/>
          <w:numId w:val="12"/>
        </w:numPr>
        <w:rPr>
          <w:b/>
          <w:bCs/>
          <w:szCs w:val="21"/>
        </w:rPr>
      </w:pPr>
      <w:r w:rsidRPr="007417E0">
        <w:rPr>
          <w:b/>
          <w:bCs/>
          <w:szCs w:val="21"/>
        </w:rPr>
        <w:t xml:space="preserve">Develop a PWL climate change strategy to integrate </w:t>
      </w:r>
      <w:r w:rsidR="000C7F52" w:rsidRPr="007417E0">
        <w:rPr>
          <w:b/>
          <w:bCs/>
          <w:szCs w:val="21"/>
        </w:rPr>
        <w:t>climate change</w:t>
      </w:r>
      <w:r w:rsidRPr="007417E0">
        <w:rPr>
          <w:b/>
          <w:bCs/>
          <w:szCs w:val="21"/>
        </w:rPr>
        <w:t xml:space="preserve"> considerations </w:t>
      </w:r>
      <w:r w:rsidR="000C7F52" w:rsidRPr="007417E0">
        <w:rPr>
          <w:b/>
          <w:bCs/>
          <w:szCs w:val="21"/>
        </w:rPr>
        <w:t>across PWL programming</w:t>
      </w:r>
      <w:r w:rsidR="00B7554F" w:rsidRPr="007417E0">
        <w:rPr>
          <w:b/>
          <w:bCs/>
          <w:szCs w:val="21"/>
        </w:rPr>
        <w:t xml:space="preserve"> to</w:t>
      </w:r>
      <w:r w:rsidRPr="007417E0">
        <w:rPr>
          <w:b/>
          <w:bCs/>
          <w:szCs w:val="21"/>
        </w:rPr>
        <w:t>:</w:t>
      </w:r>
    </w:p>
    <w:p w14:paraId="326378AC" w14:textId="05EF96DD" w:rsidR="005A59DA" w:rsidRPr="007417E0" w:rsidRDefault="00B7554F" w:rsidP="005E64ED">
      <w:pPr>
        <w:pStyle w:val="ListBullet3"/>
        <w:ind w:left="1078"/>
        <w:rPr>
          <w:sz w:val="21"/>
          <w:szCs w:val="21"/>
          <w:lang w:val="en-US"/>
        </w:rPr>
      </w:pPr>
      <w:r w:rsidRPr="007417E0">
        <w:rPr>
          <w:sz w:val="21"/>
          <w:szCs w:val="21"/>
          <w:lang w:val="en-US"/>
        </w:rPr>
        <w:t>i</w:t>
      </w:r>
      <w:r w:rsidR="005A59DA" w:rsidRPr="007417E0">
        <w:rPr>
          <w:sz w:val="21"/>
          <w:szCs w:val="21"/>
          <w:lang w:val="en-US"/>
        </w:rPr>
        <w:t xml:space="preserve">dentify key entry points for </w:t>
      </w:r>
      <w:r w:rsidR="000C7F52" w:rsidRPr="007417E0">
        <w:rPr>
          <w:sz w:val="21"/>
          <w:szCs w:val="21"/>
          <w:lang w:val="en-US"/>
        </w:rPr>
        <w:t>climate change considerations across PWL programming</w:t>
      </w:r>
      <w:r w:rsidR="005A59DA" w:rsidRPr="007417E0">
        <w:rPr>
          <w:sz w:val="21"/>
          <w:szCs w:val="21"/>
          <w:lang w:val="en-US"/>
        </w:rPr>
        <w:t xml:space="preserve"> </w:t>
      </w:r>
    </w:p>
    <w:p w14:paraId="2D193853" w14:textId="589F85BA" w:rsidR="005A59DA" w:rsidRPr="007417E0" w:rsidRDefault="00B7554F" w:rsidP="005E64ED">
      <w:pPr>
        <w:pStyle w:val="ListBullet3"/>
        <w:ind w:left="1078"/>
        <w:rPr>
          <w:sz w:val="21"/>
          <w:szCs w:val="21"/>
          <w:lang w:val="en-US"/>
        </w:rPr>
      </w:pPr>
      <w:r w:rsidRPr="007417E0">
        <w:rPr>
          <w:sz w:val="21"/>
          <w:szCs w:val="21"/>
          <w:lang w:val="en-US"/>
        </w:rPr>
        <w:t>s</w:t>
      </w:r>
      <w:r w:rsidR="005A59DA" w:rsidRPr="007417E0">
        <w:rPr>
          <w:sz w:val="21"/>
          <w:szCs w:val="21"/>
          <w:lang w:val="en-US"/>
        </w:rPr>
        <w:t>trengthen collaboration between PWL and climate-focused organisations</w:t>
      </w:r>
    </w:p>
    <w:p w14:paraId="3E14789A" w14:textId="683DD21A" w:rsidR="005A59DA" w:rsidRPr="007417E0" w:rsidRDefault="00B7554F" w:rsidP="005E64ED">
      <w:pPr>
        <w:pStyle w:val="ListBullet3"/>
        <w:ind w:left="1078"/>
        <w:rPr>
          <w:sz w:val="21"/>
          <w:szCs w:val="21"/>
          <w:lang w:val="en-US"/>
        </w:rPr>
      </w:pPr>
      <w:r w:rsidRPr="007417E0">
        <w:rPr>
          <w:sz w:val="21"/>
          <w:szCs w:val="21"/>
          <w:lang w:val="en-US"/>
        </w:rPr>
        <w:t>a</w:t>
      </w:r>
      <w:r w:rsidR="005A59DA" w:rsidRPr="007417E0">
        <w:rPr>
          <w:sz w:val="21"/>
          <w:szCs w:val="21"/>
          <w:lang w:val="en-US"/>
        </w:rPr>
        <w:t>lign the strategy with regional climate policies and funding mechanisms.</w:t>
      </w:r>
    </w:p>
    <w:p w14:paraId="66AB042E" w14:textId="6910F91F" w:rsidR="007417E0" w:rsidRPr="007417E0" w:rsidRDefault="005A59DA" w:rsidP="00256336">
      <w:pPr>
        <w:pStyle w:val="ListNumber"/>
        <w:rPr>
          <w:szCs w:val="21"/>
        </w:rPr>
      </w:pPr>
      <w:r w:rsidRPr="007417E0">
        <w:rPr>
          <w:b/>
          <w:bCs/>
          <w:szCs w:val="21"/>
        </w:rPr>
        <w:t xml:space="preserve">Ensure continuity of PWLES’ support </w:t>
      </w:r>
      <w:r w:rsidRPr="007417E0">
        <w:rPr>
          <w:szCs w:val="21"/>
        </w:rPr>
        <w:t>by</w:t>
      </w:r>
      <w:r w:rsidRPr="007417E0">
        <w:rPr>
          <w:b/>
          <w:bCs/>
          <w:szCs w:val="21"/>
        </w:rPr>
        <w:t xml:space="preserve"> </w:t>
      </w:r>
      <w:r w:rsidRPr="007417E0">
        <w:rPr>
          <w:szCs w:val="21"/>
        </w:rPr>
        <w:t>DFAT initiating a procurement process with an expanded scope of services to engage a PWL Enabling Services Contractor for the next phase of the PWL program. This will enable the PWL Enabling Services Contractor to sustain and expand technical advisory, MEL, and program management support for partners, ensuring the program continues to benefit from technical expertise and trusted relationships in the region.</w:t>
      </w:r>
    </w:p>
    <w:p w14:paraId="19DA6DB5" w14:textId="77777777" w:rsidR="00563CFF" w:rsidRDefault="00563CFF">
      <w:pPr>
        <w:rPr>
          <w:rFonts w:asciiTheme="majorHAnsi" w:eastAsiaTheme="majorEastAsia" w:hAnsiTheme="majorHAnsi" w:cstheme="majorBidi"/>
          <w:color w:val="984C00" w:themeColor="accent1" w:themeShade="BF"/>
          <w:sz w:val="28"/>
          <w:szCs w:val="24"/>
        </w:rPr>
      </w:pPr>
      <w:r>
        <w:rPr>
          <w:color w:val="984C00" w:themeColor="accent1" w:themeShade="BF"/>
        </w:rPr>
        <w:br w:type="page"/>
      </w:r>
    </w:p>
    <w:p w14:paraId="18D31D87" w14:textId="43B1DF90" w:rsidR="00EA3AC1" w:rsidRPr="00362900" w:rsidRDefault="00EA3AC1" w:rsidP="00256336">
      <w:pPr>
        <w:pStyle w:val="Heading3nonumber"/>
        <w:outlineLvl w:val="9"/>
        <w:rPr>
          <w:color w:val="984C00" w:themeColor="accent1" w:themeShade="BF"/>
        </w:rPr>
      </w:pPr>
      <w:r w:rsidRPr="00362900">
        <w:rPr>
          <w:color w:val="984C00" w:themeColor="accent1" w:themeShade="BF"/>
        </w:rPr>
        <w:lastRenderedPageBreak/>
        <w:t>For the next phase (from July 2026)</w:t>
      </w:r>
    </w:p>
    <w:p w14:paraId="406DC6B9" w14:textId="78CB0EFF" w:rsidR="00695CE3" w:rsidRPr="00563CFF" w:rsidRDefault="00695CE3">
      <w:pPr>
        <w:pStyle w:val="ListNumber"/>
        <w:numPr>
          <w:ilvl w:val="0"/>
          <w:numId w:val="12"/>
        </w:numPr>
        <w:rPr>
          <w:b/>
          <w:bCs/>
          <w:szCs w:val="21"/>
        </w:rPr>
      </w:pPr>
      <w:r w:rsidRPr="00563CFF">
        <w:rPr>
          <w:b/>
          <w:bCs/>
          <w:szCs w:val="21"/>
        </w:rPr>
        <w:t>Maintain Pacific-led ownership as a core principle of PWL and cross-cutting driver of impact</w:t>
      </w:r>
    </w:p>
    <w:p w14:paraId="4B0834FC" w14:textId="07447FDF" w:rsidR="00695CE3" w:rsidRPr="00563CFF" w:rsidRDefault="00695CE3">
      <w:pPr>
        <w:pStyle w:val="ListNumber2"/>
        <w:numPr>
          <w:ilvl w:val="1"/>
          <w:numId w:val="12"/>
        </w:numPr>
        <w:rPr>
          <w:szCs w:val="21"/>
        </w:rPr>
      </w:pPr>
      <w:r w:rsidRPr="00563CFF">
        <w:rPr>
          <w:szCs w:val="21"/>
        </w:rPr>
        <w:t xml:space="preserve">DFAT to continue supporting Pacific-owned programming by: </w:t>
      </w:r>
    </w:p>
    <w:p w14:paraId="0DFE0EFA" w14:textId="26B21FB1" w:rsidR="00695CE3" w:rsidRPr="00563CFF" w:rsidRDefault="00553FB7" w:rsidP="00695CE3">
      <w:pPr>
        <w:pStyle w:val="ListBullet3"/>
        <w:ind w:left="1078"/>
        <w:rPr>
          <w:sz w:val="21"/>
          <w:szCs w:val="21"/>
          <w:lang w:val="en-US"/>
        </w:rPr>
      </w:pPr>
      <w:r w:rsidRPr="00563CFF">
        <w:rPr>
          <w:sz w:val="21"/>
          <w:szCs w:val="21"/>
          <w:lang w:val="en-US"/>
        </w:rPr>
        <w:t xml:space="preserve">embedding </w:t>
      </w:r>
      <w:r w:rsidR="00695CE3" w:rsidRPr="00563CFF">
        <w:rPr>
          <w:sz w:val="21"/>
          <w:szCs w:val="21"/>
          <w:lang w:val="en-US"/>
        </w:rPr>
        <w:t>lessons learned from this phase into future program design.</w:t>
      </w:r>
    </w:p>
    <w:p w14:paraId="32514AC3" w14:textId="77777777" w:rsidR="00695CE3" w:rsidRPr="00563CFF" w:rsidRDefault="00695CE3">
      <w:pPr>
        <w:pStyle w:val="ListNumber2"/>
        <w:numPr>
          <w:ilvl w:val="1"/>
          <w:numId w:val="12"/>
        </w:numPr>
        <w:rPr>
          <w:szCs w:val="21"/>
        </w:rPr>
      </w:pPr>
      <w:r w:rsidRPr="00563CFF">
        <w:rPr>
          <w:szCs w:val="21"/>
        </w:rPr>
        <w:t xml:space="preserve">Retain SPC as the key implementing partner, ensuring: </w:t>
      </w:r>
    </w:p>
    <w:p w14:paraId="305AC2E8" w14:textId="4F2D697F" w:rsidR="002947CC" w:rsidRPr="00563CFF" w:rsidRDefault="00553FB7" w:rsidP="00695CE3">
      <w:pPr>
        <w:pStyle w:val="ListBullet3"/>
        <w:ind w:left="1078"/>
        <w:rPr>
          <w:sz w:val="21"/>
          <w:szCs w:val="21"/>
          <w:lang w:val="en-US"/>
        </w:rPr>
      </w:pPr>
      <w:r w:rsidRPr="00563CFF">
        <w:rPr>
          <w:sz w:val="21"/>
          <w:szCs w:val="21"/>
          <w:lang w:val="en-US"/>
        </w:rPr>
        <w:t xml:space="preserve">clearer </w:t>
      </w:r>
      <w:r w:rsidR="002947CC" w:rsidRPr="00563CFF">
        <w:rPr>
          <w:sz w:val="21"/>
          <w:szCs w:val="21"/>
          <w:lang w:val="en-US"/>
        </w:rPr>
        <w:t>alignment of expectations between SPC and DFAT</w:t>
      </w:r>
    </w:p>
    <w:p w14:paraId="215262E2" w14:textId="3CE5CDA0" w:rsidR="002947CC" w:rsidRPr="00563CFF" w:rsidRDefault="00553FB7" w:rsidP="00695CE3">
      <w:pPr>
        <w:pStyle w:val="ListBullet3"/>
        <w:ind w:left="1078"/>
        <w:rPr>
          <w:sz w:val="21"/>
          <w:szCs w:val="21"/>
          <w:lang w:val="en-US"/>
        </w:rPr>
      </w:pPr>
      <w:r w:rsidRPr="00563CFF">
        <w:rPr>
          <w:sz w:val="21"/>
          <w:szCs w:val="21"/>
          <w:lang w:val="en-US"/>
        </w:rPr>
        <w:t xml:space="preserve">increased </w:t>
      </w:r>
      <w:r w:rsidR="002947CC" w:rsidRPr="00563CFF">
        <w:rPr>
          <w:sz w:val="21"/>
          <w:szCs w:val="21"/>
          <w:lang w:val="en-US"/>
        </w:rPr>
        <w:t>visibility and strategic positioning of the Gender Equality Flagship</w:t>
      </w:r>
    </w:p>
    <w:p w14:paraId="4BC62D02" w14:textId="570E4E9D" w:rsidR="00695CE3" w:rsidRPr="00563CFF" w:rsidRDefault="00553FB7" w:rsidP="00695CE3">
      <w:pPr>
        <w:pStyle w:val="ListBullet3"/>
        <w:ind w:left="1078"/>
        <w:rPr>
          <w:sz w:val="21"/>
          <w:szCs w:val="21"/>
          <w:lang w:val="en-US"/>
        </w:rPr>
      </w:pPr>
      <w:r w:rsidRPr="00563CFF">
        <w:rPr>
          <w:sz w:val="21"/>
          <w:szCs w:val="21"/>
          <w:lang w:val="en-US"/>
        </w:rPr>
        <w:t xml:space="preserve">strengthened </w:t>
      </w:r>
      <w:r w:rsidR="002947CC" w:rsidRPr="00563CFF">
        <w:rPr>
          <w:sz w:val="21"/>
          <w:szCs w:val="21"/>
          <w:lang w:val="en-US"/>
        </w:rPr>
        <w:t>grant management processes.</w:t>
      </w:r>
    </w:p>
    <w:p w14:paraId="13606243" w14:textId="627D11C0" w:rsidR="00695CE3" w:rsidRPr="00563CFF" w:rsidRDefault="002947CC">
      <w:pPr>
        <w:pStyle w:val="ListNumber2"/>
        <w:numPr>
          <w:ilvl w:val="1"/>
          <w:numId w:val="12"/>
        </w:numPr>
        <w:rPr>
          <w:szCs w:val="21"/>
        </w:rPr>
      </w:pPr>
      <w:r w:rsidRPr="00563CFF">
        <w:rPr>
          <w:szCs w:val="21"/>
        </w:rPr>
        <w:t>Sustain and enhance PWLES’ MEL and technical advisory roles, ensuring</w:t>
      </w:r>
      <w:r w:rsidR="00E8171C" w:rsidRPr="00563CFF">
        <w:rPr>
          <w:szCs w:val="21"/>
        </w:rPr>
        <w:t>:</w:t>
      </w:r>
    </w:p>
    <w:p w14:paraId="3E7312B9" w14:textId="5AEAAE8E" w:rsidR="002947CC" w:rsidRPr="00563CFF" w:rsidRDefault="00C30B1D" w:rsidP="002947CC">
      <w:pPr>
        <w:pStyle w:val="ListBullet3"/>
        <w:ind w:left="1078"/>
        <w:rPr>
          <w:sz w:val="21"/>
          <w:szCs w:val="21"/>
          <w:lang w:val="en-US"/>
        </w:rPr>
      </w:pPr>
      <w:r w:rsidRPr="00563CFF">
        <w:rPr>
          <w:sz w:val="21"/>
          <w:szCs w:val="21"/>
          <w:lang w:val="en-US"/>
        </w:rPr>
        <w:t>PW</w:t>
      </w:r>
      <w:r w:rsidR="00E8171C" w:rsidRPr="00563CFF">
        <w:rPr>
          <w:sz w:val="21"/>
          <w:szCs w:val="21"/>
          <w:lang w:val="en-US"/>
        </w:rPr>
        <w:t>LES</w:t>
      </w:r>
      <w:r w:rsidRPr="00563CFF">
        <w:rPr>
          <w:sz w:val="21"/>
          <w:szCs w:val="21"/>
          <w:lang w:val="en-US"/>
        </w:rPr>
        <w:t xml:space="preserve"> team composition continues to demonstrate Pacific ownership in Phase II.</w:t>
      </w:r>
    </w:p>
    <w:p w14:paraId="63039386" w14:textId="78376F66" w:rsidR="00594610" w:rsidRPr="00563CFF" w:rsidRDefault="00594610">
      <w:pPr>
        <w:pStyle w:val="ListNumber"/>
        <w:numPr>
          <w:ilvl w:val="0"/>
          <w:numId w:val="12"/>
        </w:numPr>
        <w:rPr>
          <w:szCs w:val="21"/>
        </w:rPr>
      </w:pPr>
      <w:r w:rsidRPr="00563CFF">
        <w:rPr>
          <w:b/>
          <w:bCs/>
          <w:szCs w:val="21"/>
        </w:rPr>
        <w:t>Refine PWL’s funding and support mechanisms based on program strengths and demand</w:t>
      </w:r>
    </w:p>
    <w:p w14:paraId="013173C6" w14:textId="72C3E074" w:rsidR="00594610" w:rsidRPr="00563CFF" w:rsidRDefault="00594610">
      <w:pPr>
        <w:pStyle w:val="ListNumber2"/>
        <w:numPr>
          <w:ilvl w:val="1"/>
          <w:numId w:val="12"/>
        </w:numPr>
        <w:rPr>
          <w:szCs w:val="21"/>
        </w:rPr>
      </w:pPr>
      <w:r w:rsidRPr="00563CFF">
        <w:rPr>
          <w:szCs w:val="21"/>
        </w:rPr>
        <w:t xml:space="preserve">Increase funding to the Women’s Funds, in particular increasing funds to </w:t>
      </w:r>
      <w:r w:rsidR="00C45060" w:rsidRPr="00563CFF">
        <w:rPr>
          <w:szCs w:val="21"/>
        </w:rPr>
        <w:t>PFF</w:t>
      </w:r>
      <w:r w:rsidR="0056343F" w:rsidRPr="00563CFF">
        <w:rPr>
          <w:szCs w:val="21"/>
        </w:rPr>
        <w:t xml:space="preserve"> to:</w:t>
      </w:r>
    </w:p>
    <w:p w14:paraId="747147E3" w14:textId="35D0195C" w:rsidR="00594610" w:rsidRPr="00563CFF" w:rsidRDefault="0056343F" w:rsidP="00594610">
      <w:pPr>
        <w:pStyle w:val="ListBullet3"/>
        <w:ind w:left="1078"/>
        <w:rPr>
          <w:sz w:val="21"/>
          <w:szCs w:val="21"/>
          <w:lang w:val="en-US"/>
        </w:rPr>
      </w:pPr>
      <w:r w:rsidRPr="00563CFF">
        <w:rPr>
          <w:sz w:val="21"/>
          <w:szCs w:val="21"/>
          <w:lang w:val="en-US"/>
        </w:rPr>
        <w:t xml:space="preserve">expand </w:t>
      </w:r>
      <w:r w:rsidR="00594610" w:rsidRPr="00563CFF">
        <w:rPr>
          <w:sz w:val="21"/>
          <w:szCs w:val="21"/>
          <w:lang w:val="en-US"/>
        </w:rPr>
        <w:t>regional reach and flexible support for women’s CSO</w:t>
      </w:r>
      <w:r w:rsidRPr="00563CFF">
        <w:rPr>
          <w:sz w:val="21"/>
          <w:szCs w:val="21"/>
          <w:lang w:val="en-US"/>
        </w:rPr>
        <w:t>s</w:t>
      </w:r>
    </w:p>
    <w:p w14:paraId="240BB736" w14:textId="0B69AA8D" w:rsidR="00594610" w:rsidRPr="00563CFF" w:rsidRDefault="0056343F" w:rsidP="00594610">
      <w:pPr>
        <w:pStyle w:val="ListBullet3"/>
        <w:ind w:left="1078"/>
        <w:rPr>
          <w:sz w:val="21"/>
          <w:szCs w:val="21"/>
          <w:lang w:val="en-US"/>
        </w:rPr>
      </w:pPr>
      <w:r w:rsidRPr="00563CFF">
        <w:rPr>
          <w:sz w:val="21"/>
          <w:szCs w:val="21"/>
          <w:lang w:val="en-US"/>
        </w:rPr>
        <w:t xml:space="preserve">enhance </w:t>
      </w:r>
      <w:r w:rsidR="00594610" w:rsidRPr="00563CFF">
        <w:rPr>
          <w:sz w:val="21"/>
          <w:szCs w:val="21"/>
          <w:lang w:val="en-US"/>
        </w:rPr>
        <w:t xml:space="preserve">flexibility in responding to emerging gender equality </w:t>
      </w:r>
      <w:r w:rsidR="00C860FD" w:rsidRPr="00563CFF">
        <w:rPr>
          <w:sz w:val="21"/>
          <w:szCs w:val="21"/>
          <w:lang w:val="en-US"/>
        </w:rPr>
        <w:t>challenges.</w:t>
      </w:r>
    </w:p>
    <w:p w14:paraId="2661EEBC" w14:textId="6FC0ABAD" w:rsidR="00594610" w:rsidRPr="00563CFF" w:rsidRDefault="00594610">
      <w:pPr>
        <w:pStyle w:val="ListNumber2"/>
        <w:numPr>
          <w:ilvl w:val="1"/>
          <w:numId w:val="12"/>
        </w:numPr>
        <w:rPr>
          <w:szCs w:val="21"/>
        </w:rPr>
      </w:pPr>
      <w:r w:rsidRPr="00563CFF">
        <w:rPr>
          <w:szCs w:val="21"/>
        </w:rPr>
        <w:t xml:space="preserve">Focus SPC grants on areas of unique strategic value, ensuring: </w:t>
      </w:r>
    </w:p>
    <w:p w14:paraId="65AE50A1" w14:textId="4EDDD7F4" w:rsidR="00594610" w:rsidRPr="00563CFF" w:rsidRDefault="0056343F" w:rsidP="00594610">
      <w:pPr>
        <w:pStyle w:val="ListBullet3"/>
        <w:ind w:left="1078"/>
        <w:rPr>
          <w:sz w:val="21"/>
          <w:szCs w:val="21"/>
          <w:lang w:val="en-US"/>
        </w:rPr>
      </w:pPr>
      <w:r w:rsidRPr="00563CFF">
        <w:rPr>
          <w:sz w:val="21"/>
          <w:szCs w:val="21"/>
        </w:rPr>
        <w:t>prioritisation</w:t>
      </w:r>
      <w:r w:rsidRPr="00563CFF">
        <w:rPr>
          <w:sz w:val="21"/>
          <w:szCs w:val="21"/>
          <w:lang w:val="en-US"/>
        </w:rPr>
        <w:t xml:space="preserve"> </w:t>
      </w:r>
      <w:r w:rsidR="00594610" w:rsidRPr="00563CFF">
        <w:rPr>
          <w:sz w:val="21"/>
          <w:szCs w:val="21"/>
          <w:lang w:val="en-US"/>
        </w:rPr>
        <w:t>of national government partnerships and strategic CSO engagement</w:t>
      </w:r>
    </w:p>
    <w:p w14:paraId="21DE12D9" w14:textId="2FB27D9D" w:rsidR="00594610" w:rsidRPr="00563CFF" w:rsidRDefault="0056343F" w:rsidP="00594610">
      <w:pPr>
        <w:pStyle w:val="ListBullet3"/>
        <w:ind w:left="1078"/>
        <w:rPr>
          <w:sz w:val="21"/>
          <w:szCs w:val="21"/>
          <w:lang w:val="en-US"/>
        </w:rPr>
      </w:pPr>
      <w:r w:rsidRPr="00563CFF">
        <w:rPr>
          <w:sz w:val="21"/>
          <w:szCs w:val="21"/>
          <w:lang w:val="en-US"/>
        </w:rPr>
        <w:t xml:space="preserve">better </w:t>
      </w:r>
      <w:r w:rsidR="00594610" w:rsidRPr="00563CFF">
        <w:rPr>
          <w:sz w:val="21"/>
          <w:szCs w:val="21"/>
          <w:lang w:val="en-US"/>
        </w:rPr>
        <w:t>alignment with SPC’s operational capacity and mandate.</w:t>
      </w:r>
    </w:p>
    <w:p w14:paraId="58914F3A" w14:textId="3315D615" w:rsidR="00594610" w:rsidRPr="00563CFF" w:rsidRDefault="00594610">
      <w:pPr>
        <w:pStyle w:val="ListNumber2"/>
        <w:numPr>
          <w:ilvl w:val="1"/>
          <w:numId w:val="12"/>
        </w:numPr>
        <w:rPr>
          <w:szCs w:val="21"/>
        </w:rPr>
      </w:pPr>
      <w:r w:rsidRPr="00563CFF">
        <w:rPr>
          <w:szCs w:val="21"/>
        </w:rPr>
        <w:t xml:space="preserve">Expand and improve the coordination of technical advisory and MEL support by: </w:t>
      </w:r>
    </w:p>
    <w:p w14:paraId="08F8E10C" w14:textId="586EBAED" w:rsidR="0018196F" w:rsidRPr="00563CFF" w:rsidRDefault="00FD5FB0" w:rsidP="0018196F">
      <w:pPr>
        <w:pStyle w:val="ListBullet3"/>
        <w:ind w:left="1078"/>
        <w:rPr>
          <w:sz w:val="21"/>
          <w:szCs w:val="21"/>
          <w:lang w:val="en-US"/>
        </w:rPr>
      </w:pPr>
      <w:r w:rsidRPr="00563CFF">
        <w:rPr>
          <w:sz w:val="21"/>
          <w:szCs w:val="21"/>
          <w:lang w:val="en-US"/>
        </w:rPr>
        <w:t xml:space="preserve">expanding </w:t>
      </w:r>
      <w:r w:rsidR="0018196F" w:rsidRPr="00563CFF">
        <w:rPr>
          <w:sz w:val="21"/>
          <w:szCs w:val="21"/>
          <w:lang w:val="en-US"/>
        </w:rPr>
        <w:t>PWLES’ role in MEL, advisory support, communications and program management, where required by DFAT bilateral posts</w:t>
      </w:r>
    </w:p>
    <w:p w14:paraId="54790DF5" w14:textId="21AF6F60" w:rsidR="0018196F" w:rsidRPr="00563CFF" w:rsidRDefault="00FD5FB0" w:rsidP="0018196F">
      <w:pPr>
        <w:pStyle w:val="ListBullet3"/>
        <w:ind w:left="1078"/>
        <w:rPr>
          <w:sz w:val="21"/>
          <w:szCs w:val="21"/>
          <w:lang w:val="en-US"/>
        </w:rPr>
      </w:pPr>
      <w:r w:rsidRPr="00563CFF">
        <w:rPr>
          <w:sz w:val="21"/>
          <w:szCs w:val="21"/>
          <w:lang w:val="en-US"/>
        </w:rPr>
        <w:t>i</w:t>
      </w:r>
      <w:r w:rsidR="00594610" w:rsidRPr="00563CFF">
        <w:rPr>
          <w:sz w:val="21"/>
          <w:szCs w:val="21"/>
          <w:lang w:val="en-US"/>
        </w:rPr>
        <w:t>ncreasing funding for PWLES based on assessed demand</w:t>
      </w:r>
    </w:p>
    <w:p w14:paraId="478D3B6F" w14:textId="62506AB3" w:rsidR="00594610" w:rsidRPr="00563CFF" w:rsidRDefault="00FD5FB0" w:rsidP="00594610">
      <w:pPr>
        <w:pStyle w:val="ListBullet3"/>
        <w:ind w:left="1078"/>
        <w:rPr>
          <w:sz w:val="21"/>
          <w:szCs w:val="21"/>
          <w:lang w:val="en-US"/>
        </w:rPr>
      </w:pPr>
      <w:r w:rsidRPr="00563CFF">
        <w:rPr>
          <w:sz w:val="21"/>
          <w:szCs w:val="21"/>
          <w:lang w:val="en-US"/>
        </w:rPr>
        <w:t>s</w:t>
      </w:r>
      <w:r w:rsidR="00594610" w:rsidRPr="00563CFF">
        <w:rPr>
          <w:sz w:val="21"/>
          <w:szCs w:val="21"/>
          <w:lang w:val="en-US"/>
        </w:rPr>
        <w:t>trengthening collaboration between SPC, PWLES, and UN agencies.</w:t>
      </w:r>
    </w:p>
    <w:p w14:paraId="109370CD" w14:textId="421A310A" w:rsidR="00664F21" w:rsidRPr="00563CFF" w:rsidRDefault="00664F21">
      <w:pPr>
        <w:pStyle w:val="ListNumber"/>
        <w:numPr>
          <w:ilvl w:val="0"/>
          <w:numId w:val="12"/>
        </w:numPr>
        <w:rPr>
          <w:szCs w:val="21"/>
        </w:rPr>
      </w:pPr>
      <w:r w:rsidRPr="00563CFF">
        <w:rPr>
          <w:b/>
          <w:bCs/>
          <w:szCs w:val="21"/>
          <w:lang w:val="en-US"/>
        </w:rPr>
        <w:t xml:space="preserve">Strengthen national-level </w:t>
      </w:r>
      <w:r w:rsidR="00CF0750" w:rsidRPr="00563CFF">
        <w:rPr>
          <w:b/>
          <w:bCs/>
          <w:szCs w:val="21"/>
          <w:lang w:val="en-US"/>
        </w:rPr>
        <w:t xml:space="preserve">and sub-regional level </w:t>
      </w:r>
      <w:r w:rsidRPr="00563CFF">
        <w:rPr>
          <w:b/>
          <w:bCs/>
          <w:szCs w:val="21"/>
          <w:lang w:val="en-US"/>
        </w:rPr>
        <w:t>engagement to drive transformational change</w:t>
      </w:r>
    </w:p>
    <w:p w14:paraId="630EF080" w14:textId="04615A10" w:rsidR="00664F21" w:rsidRPr="00563CFF" w:rsidRDefault="00664F21">
      <w:pPr>
        <w:pStyle w:val="ListNumber2"/>
        <w:numPr>
          <w:ilvl w:val="1"/>
          <w:numId w:val="12"/>
        </w:numPr>
        <w:rPr>
          <w:szCs w:val="21"/>
        </w:rPr>
      </w:pPr>
      <w:r w:rsidRPr="00563CFF">
        <w:rPr>
          <w:szCs w:val="21"/>
          <w:lang w:val="en-US"/>
        </w:rPr>
        <w:t>Support national-</w:t>
      </w:r>
      <w:r w:rsidR="00CF0750" w:rsidRPr="00563CFF">
        <w:rPr>
          <w:szCs w:val="21"/>
          <w:lang w:val="en-US"/>
        </w:rPr>
        <w:t xml:space="preserve">level and sub-regional level </w:t>
      </w:r>
      <w:r w:rsidRPr="00563CFF">
        <w:rPr>
          <w:szCs w:val="21"/>
          <w:lang w:val="en-US"/>
        </w:rPr>
        <w:t>coordination mechanism</w:t>
      </w:r>
      <w:r w:rsidR="00CF0750" w:rsidRPr="00563CFF">
        <w:rPr>
          <w:szCs w:val="21"/>
          <w:lang w:val="en-US"/>
        </w:rPr>
        <w:t>s</w:t>
      </w:r>
      <w:r w:rsidRPr="00563CFF">
        <w:rPr>
          <w:szCs w:val="21"/>
          <w:lang w:val="en-US"/>
        </w:rPr>
        <w:t xml:space="preserve"> for gender equality by: </w:t>
      </w:r>
    </w:p>
    <w:p w14:paraId="37461E3B" w14:textId="5C993E02" w:rsidR="00664F21" w:rsidRPr="00563CFF" w:rsidRDefault="00FD5FB0" w:rsidP="00664F21">
      <w:pPr>
        <w:pStyle w:val="ListBullet3"/>
        <w:ind w:left="1078"/>
        <w:rPr>
          <w:sz w:val="21"/>
          <w:szCs w:val="21"/>
          <w:lang w:val="en-US"/>
        </w:rPr>
      </w:pPr>
      <w:r w:rsidRPr="00563CFF">
        <w:rPr>
          <w:sz w:val="21"/>
          <w:szCs w:val="21"/>
          <w:lang w:val="en-US"/>
        </w:rPr>
        <w:t>i</w:t>
      </w:r>
      <w:r w:rsidR="00664F21" w:rsidRPr="00563CFF">
        <w:rPr>
          <w:sz w:val="21"/>
          <w:szCs w:val="21"/>
          <w:lang w:val="en-US"/>
        </w:rPr>
        <w:t>dentifying and reinforcing existing convenings rather than creating new ones</w:t>
      </w:r>
    </w:p>
    <w:p w14:paraId="18027E40" w14:textId="7DECABD1" w:rsidR="00664F21" w:rsidRPr="00563CFF" w:rsidRDefault="00FD5FB0" w:rsidP="00664F21">
      <w:pPr>
        <w:pStyle w:val="ListBullet3"/>
        <w:ind w:left="1078"/>
        <w:rPr>
          <w:sz w:val="21"/>
          <w:szCs w:val="21"/>
          <w:lang w:val="en-US"/>
        </w:rPr>
      </w:pPr>
      <w:r w:rsidRPr="00563CFF">
        <w:rPr>
          <w:sz w:val="21"/>
          <w:szCs w:val="21"/>
          <w:lang w:val="en-US"/>
        </w:rPr>
        <w:t>e</w:t>
      </w:r>
      <w:r w:rsidR="00664F21" w:rsidRPr="00563CFF">
        <w:rPr>
          <w:sz w:val="21"/>
          <w:szCs w:val="21"/>
          <w:lang w:val="en-US"/>
        </w:rPr>
        <w:t xml:space="preserve">nhancing collaboration between SPC, UN agencies, </w:t>
      </w:r>
      <w:r w:rsidR="00C1511B" w:rsidRPr="00563CFF">
        <w:rPr>
          <w:sz w:val="21"/>
          <w:szCs w:val="21"/>
          <w:lang w:val="en-US"/>
        </w:rPr>
        <w:t>PIF</w:t>
      </w:r>
      <w:r w:rsidR="00664F21" w:rsidRPr="00563CFF">
        <w:rPr>
          <w:sz w:val="21"/>
          <w:szCs w:val="21"/>
          <w:lang w:val="en-US"/>
        </w:rPr>
        <w:t>S and government bodies. </w:t>
      </w:r>
    </w:p>
    <w:p w14:paraId="39F7A4B9" w14:textId="77777777" w:rsidR="00664F21" w:rsidRPr="00563CFF" w:rsidRDefault="00EA3AC1">
      <w:pPr>
        <w:pStyle w:val="ListNumber2"/>
        <w:numPr>
          <w:ilvl w:val="1"/>
          <w:numId w:val="12"/>
        </w:numPr>
        <w:rPr>
          <w:szCs w:val="21"/>
        </w:rPr>
      </w:pPr>
      <w:r w:rsidRPr="00563CFF">
        <w:rPr>
          <w:szCs w:val="21"/>
          <w:lang w:val="en-US"/>
        </w:rPr>
        <w:t>Introduce national-</w:t>
      </w:r>
      <w:r w:rsidRPr="00563CFF">
        <w:rPr>
          <w:szCs w:val="21"/>
        </w:rPr>
        <w:t>level</w:t>
      </w:r>
      <w:r w:rsidRPr="00563CFF">
        <w:rPr>
          <w:szCs w:val="21"/>
          <w:lang w:val="en-US"/>
        </w:rPr>
        <w:t xml:space="preserve"> PWL outcomes reporting to:</w:t>
      </w:r>
      <w:r w:rsidRPr="00563CFF">
        <w:rPr>
          <w:szCs w:val="21"/>
        </w:rPr>
        <w:t xml:space="preserve"> </w:t>
      </w:r>
    </w:p>
    <w:p w14:paraId="4B2142AD" w14:textId="7B8860A4" w:rsidR="00664F21" w:rsidRPr="00563CFF" w:rsidRDefault="00FD5FB0" w:rsidP="00664F21">
      <w:pPr>
        <w:pStyle w:val="ListBullet3"/>
        <w:ind w:left="1078"/>
        <w:rPr>
          <w:sz w:val="21"/>
          <w:szCs w:val="21"/>
          <w:lang w:val="en-US"/>
        </w:rPr>
      </w:pPr>
      <w:r w:rsidRPr="00563CFF">
        <w:rPr>
          <w:sz w:val="21"/>
          <w:szCs w:val="21"/>
          <w:lang w:val="en-US"/>
        </w:rPr>
        <w:t>i</w:t>
      </w:r>
      <w:r w:rsidR="00EA3AC1" w:rsidRPr="00563CFF">
        <w:rPr>
          <w:sz w:val="21"/>
          <w:szCs w:val="21"/>
          <w:lang w:val="en-US"/>
        </w:rPr>
        <w:t>mprove visibility of country-level progress into regional reporting</w:t>
      </w:r>
      <w:r w:rsidR="00664F21" w:rsidRPr="00563CFF">
        <w:rPr>
          <w:sz w:val="21"/>
          <w:szCs w:val="21"/>
          <w:lang w:val="en-US"/>
        </w:rPr>
        <w:t>.</w:t>
      </w:r>
    </w:p>
    <w:p w14:paraId="6C3717C2" w14:textId="39F06D30" w:rsidR="00852C53" w:rsidRPr="00563CFF" w:rsidRDefault="00FD5FB0" w:rsidP="00664F21">
      <w:pPr>
        <w:pStyle w:val="ListBullet3"/>
        <w:ind w:left="1078"/>
        <w:rPr>
          <w:sz w:val="21"/>
          <w:szCs w:val="21"/>
          <w:lang w:val="en-US"/>
        </w:rPr>
      </w:pPr>
      <w:r w:rsidRPr="00563CFF">
        <w:rPr>
          <w:sz w:val="21"/>
          <w:szCs w:val="21"/>
          <w:lang w:val="en-US"/>
        </w:rPr>
        <w:t>s</w:t>
      </w:r>
      <w:r w:rsidR="00EA3AC1" w:rsidRPr="00563CFF">
        <w:rPr>
          <w:sz w:val="21"/>
          <w:szCs w:val="21"/>
          <w:lang w:val="en-US"/>
        </w:rPr>
        <w:t>trengthen national-level coordination and collaboration between gender partners at the national-level.</w:t>
      </w:r>
    </w:p>
    <w:p w14:paraId="478DC121" w14:textId="57999CC8" w:rsidR="00EA3AC1" w:rsidRPr="00563CFF" w:rsidRDefault="00EA3AC1">
      <w:pPr>
        <w:pStyle w:val="ListNumber"/>
        <w:numPr>
          <w:ilvl w:val="0"/>
          <w:numId w:val="12"/>
        </w:numPr>
        <w:rPr>
          <w:b/>
          <w:szCs w:val="21"/>
        </w:rPr>
      </w:pPr>
      <w:r w:rsidRPr="00563CFF">
        <w:rPr>
          <w:b/>
          <w:szCs w:val="21"/>
          <w:lang w:val="en-US"/>
        </w:rPr>
        <w:t>Update the PWL program logic to reflect key lessons and strategic priorities</w:t>
      </w:r>
    </w:p>
    <w:p w14:paraId="2436DD11" w14:textId="77777777" w:rsidR="00EA3AC1" w:rsidRPr="00563CFF" w:rsidRDefault="00EA3AC1">
      <w:pPr>
        <w:pStyle w:val="ListNumber2"/>
        <w:numPr>
          <w:ilvl w:val="1"/>
          <w:numId w:val="12"/>
        </w:numPr>
        <w:rPr>
          <w:szCs w:val="21"/>
        </w:rPr>
      </w:pPr>
      <w:r w:rsidRPr="00563CFF">
        <w:rPr>
          <w:szCs w:val="21"/>
        </w:rPr>
        <w:t xml:space="preserve">Integrate Pacific-led programming and ownership as a cross-cutting driver of impact rather than a standalone outcome. </w:t>
      </w:r>
    </w:p>
    <w:p w14:paraId="67CB92FD" w14:textId="77777777" w:rsidR="00EA3AC1" w:rsidRPr="00563CFF" w:rsidRDefault="00EA3AC1">
      <w:pPr>
        <w:pStyle w:val="ListNumber2"/>
        <w:numPr>
          <w:ilvl w:val="1"/>
          <w:numId w:val="12"/>
        </w:numPr>
        <w:rPr>
          <w:szCs w:val="21"/>
        </w:rPr>
      </w:pPr>
      <w:r w:rsidRPr="00563CFF">
        <w:rPr>
          <w:szCs w:val="21"/>
        </w:rPr>
        <w:t xml:space="preserve">Strengthen national and subregional coordination as a pathway to aligning regional and country-level priorities. </w:t>
      </w:r>
    </w:p>
    <w:p w14:paraId="7EE6783E" w14:textId="3B209666" w:rsidR="00EA3AC1" w:rsidRPr="00563CFF" w:rsidRDefault="00EA3AC1">
      <w:pPr>
        <w:pStyle w:val="ListNumber2"/>
        <w:numPr>
          <w:ilvl w:val="1"/>
          <w:numId w:val="12"/>
        </w:numPr>
        <w:rPr>
          <w:szCs w:val="21"/>
        </w:rPr>
      </w:pPr>
      <w:r w:rsidRPr="00563CFF">
        <w:rPr>
          <w:szCs w:val="21"/>
        </w:rPr>
        <w:t>Expand the regional programs WEE focus beyond women market vendors to include micro and medium-sized enterprises (SMEs). While the regional program has successfully supported women market vendors, there is an opportunity to broaden support to women-led micro and medium-sized enterprises (</w:t>
      </w:r>
      <w:r w:rsidR="00D22DCE" w:rsidRPr="00563CFF">
        <w:rPr>
          <w:szCs w:val="21"/>
        </w:rPr>
        <w:t>MSEs</w:t>
      </w:r>
      <w:r w:rsidRPr="00563CFF">
        <w:rPr>
          <w:szCs w:val="21"/>
        </w:rPr>
        <w:t xml:space="preserve">). Expanding the program’s focus will enhance economic opportunities for a wider range of women entrepreneurs, fostering greater financial independence and outcomes.  </w:t>
      </w:r>
    </w:p>
    <w:p w14:paraId="7A6014E6" w14:textId="10A60B01" w:rsidR="00D928AE" w:rsidRPr="00563CFF" w:rsidRDefault="00EA3AC1">
      <w:pPr>
        <w:pStyle w:val="ListNumber2"/>
        <w:numPr>
          <w:ilvl w:val="1"/>
          <w:numId w:val="12"/>
        </w:numPr>
        <w:rPr>
          <w:rFonts w:cstheme="minorHAnsi"/>
          <w:szCs w:val="21"/>
        </w:rPr>
        <w:sectPr w:rsidR="00D928AE" w:rsidRPr="00563CFF" w:rsidSect="00590D06">
          <w:footerReference w:type="default" r:id="rId33"/>
          <w:pgSz w:w="11906" w:h="16838"/>
          <w:pgMar w:top="993" w:right="1077" w:bottom="851" w:left="1077" w:header="567" w:footer="567" w:gutter="0"/>
          <w:cols w:space="708"/>
          <w:titlePg/>
          <w:docGrid w:linePitch="360"/>
        </w:sectPr>
      </w:pPr>
      <w:r w:rsidRPr="00563CFF">
        <w:rPr>
          <w:szCs w:val="21"/>
        </w:rPr>
        <w:t>Maintain the broad focus on quality health services while keeping SRHR as a priority area. </w:t>
      </w:r>
      <w:bookmarkEnd w:id="76"/>
      <w:r w:rsidR="00E262E3" w:rsidRPr="00563CFF">
        <w:rPr>
          <w:rStyle w:val="Strong"/>
          <w:szCs w:val="21"/>
        </w:rPr>
        <w:t xml:space="preserve"> </w:t>
      </w:r>
    </w:p>
    <w:p w14:paraId="334FE55F" w14:textId="32CC88E1" w:rsidR="00570F77" w:rsidRDefault="00074B99" w:rsidP="00074B99">
      <w:pPr>
        <w:pStyle w:val="Heading1"/>
        <w:numPr>
          <w:ilvl w:val="0"/>
          <w:numId w:val="0"/>
        </w:numPr>
      </w:pPr>
      <w:bookmarkStart w:id="77" w:name="_Ref193653041"/>
      <w:bookmarkStart w:id="78" w:name="_Ref193653045"/>
      <w:bookmarkStart w:id="79" w:name="_Toc201840801"/>
      <w:r>
        <w:lastRenderedPageBreak/>
        <w:t xml:space="preserve">Appendix A </w:t>
      </w:r>
      <w:r w:rsidR="00D928AE" w:rsidRPr="00EE243C">
        <w:t>PWL Program Logic</w:t>
      </w:r>
      <w:bookmarkEnd w:id="77"/>
      <w:bookmarkEnd w:id="78"/>
      <w:bookmarkEnd w:id="79"/>
    </w:p>
    <w:p w14:paraId="35C449FD" w14:textId="79934CD7" w:rsidR="00FD3672" w:rsidRPr="00606B84" w:rsidRDefault="00482511" w:rsidP="00FD3672">
      <w:pPr>
        <w:rPr>
          <w:sz w:val="20"/>
          <w:szCs w:val="20"/>
        </w:rPr>
      </w:pPr>
      <w:r w:rsidRPr="00606B84">
        <w:rPr>
          <w:b/>
          <w:bCs/>
          <w:color w:val="002465"/>
          <w:sz w:val="20"/>
          <w:szCs w:val="20"/>
        </w:rPr>
        <w:t xml:space="preserve">Goal: </w:t>
      </w:r>
      <w:r w:rsidRPr="00606B84">
        <w:rPr>
          <w:sz w:val="20"/>
          <w:szCs w:val="20"/>
        </w:rPr>
        <w:t>Pacific Women and girls, in all their diversity, are safe and equitably share in resources, opportunities and decision making with men and boys.</w:t>
      </w:r>
    </w:p>
    <w:tbl>
      <w:tblPr>
        <w:tblStyle w:val="TableGrid"/>
        <w:tblW w:w="5000" w:type="pct"/>
        <w:tblCellMar>
          <w:top w:w="85" w:type="dxa"/>
          <w:bottom w:w="85" w:type="dxa"/>
        </w:tblCellMar>
        <w:tblLook w:val="04A0" w:firstRow="1" w:lastRow="0" w:firstColumn="1" w:lastColumn="0" w:noHBand="0" w:noVBand="1"/>
      </w:tblPr>
      <w:tblGrid>
        <w:gridCol w:w="1408"/>
        <w:gridCol w:w="3169"/>
        <w:gridCol w:w="5771"/>
        <w:gridCol w:w="3610"/>
      </w:tblGrid>
      <w:tr w:rsidR="000D163E" w:rsidRPr="00EE243C" w14:paraId="6ED2E3F5" w14:textId="77777777" w:rsidTr="00F00BF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04" w:type="pct"/>
            <w:hideMark/>
          </w:tcPr>
          <w:p w14:paraId="7495CFA1" w14:textId="77777777" w:rsidR="000D163E" w:rsidRPr="00606B84" w:rsidRDefault="000D163E" w:rsidP="0069066A">
            <w:pPr>
              <w:spacing w:after="0"/>
              <w:jc w:val="center"/>
              <w:textAlignment w:val="baseline"/>
              <w:rPr>
                <w:rFonts w:ascii="Arial" w:eastAsia="Times New Roman" w:hAnsi="Arial" w:cs="Arial"/>
                <w:sz w:val="18"/>
                <w:szCs w:val="18"/>
              </w:rPr>
            </w:pPr>
            <w:r w:rsidRPr="00606B84">
              <w:rPr>
                <w:rFonts w:ascii="Arial" w:eastAsia="Times New Roman" w:hAnsi="Arial" w:cs="Arial"/>
                <w:sz w:val="18"/>
                <w:szCs w:val="18"/>
              </w:rPr>
              <w:t>Thematic Outcome Areas </w:t>
            </w:r>
          </w:p>
        </w:tc>
        <w:tc>
          <w:tcPr>
            <w:tcW w:w="1135" w:type="pct"/>
            <w:hideMark/>
          </w:tcPr>
          <w:p w14:paraId="324B5185" w14:textId="77777777" w:rsidR="000D163E" w:rsidRPr="00606B84" w:rsidRDefault="000D163E" w:rsidP="0069066A">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Women’s Leadership Promoted </w:t>
            </w:r>
          </w:p>
        </w:tc>
        <w:tc>
          <w:tcPr>
            <w:tcW w:w="2067" w:type="pct"/>
            <w:hideMark/>
          </w:tcPr>
          <w:p w14:paraId="0E8322E0" w14:textId="77777777" w:rsidR="000D163E" w:rsidRPr="00606B84" w:rsidRDefault="000D163E" w:rsidP="0069066A">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Women’s Rights Realised </w:t>
            </w:r>
          </w:p>
        </w:tc>
        <w:tc>
          <w:tcPr>
            <w:tcW w:w="1293" w:type="pct"/>
            <w:hideMark/>
          </w:tcPr>
          <w:p w14:paraId="57DDB0C2" w14:textId="77777777" w:rsidR="000D163E" w:rsidRPr="00606B84" w:rsidRDefault="000D163E" w:rsidP="0069066A">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Partners are supported to increase pacific ownership and effectiveness of regional gender equality efforts </w:t>
            </w:r>
          </w:p>
        </w:tc>
      </w:tr>
      <w:tr w:rsidR="009A1C57" w:rsidRPr="00EE243C" w14:paraId="150BC588" w14:textId="77777777" w:rsidTr="00606B84">
        <w:trPr>
          <w:trHeight w:val="300"/>
        </w:trPr>
        <w:tc>
          <w:tcPr>
            <w:cnfStyle w:val="001000000000" w:firstRow="0" w:lastRow="0" w:firstColumn="1" w:lastColumn="0" w:oddVBand="0" w:evenVBand="0" w:oddHBand="0" w:evenHBand="0" w:firstRowFirstColumn="0" w:firstRowLastColumn="0" w:lastRowFirstColumn="0" w:lastRowLastColumn="0"/>
            <w:tcW w:w="504" w:type="pct"/>
            <w:hideMark/>
          </w:tcPr>
          <w:p w14:paraId="6F95C5DD" w14:textId="77777777" w:rsidR="009A1C57" w:rsidRPr="00606B84" w:rsidRDefault="009A1C57" w:rsidP="0069066A">
            <w:pPr>
              <w:spacing w:after="0"/>
              <w:jc w:val="center"/>
              <w:textAlignment w:val="baseline"/>
              <w:rPr>
                <w:rFonts w:ascii="Arial" w:eastAsia="Times New Roman" w:hAnsi="Arial" w:cs="Arial"/>
                <w:sz w:val="18"/>
                <w:szCs w:val="18"/>
              </w:rPr>
            </w:pPr>
            <w:r w:rsidRPr="00606B84">
              <w:rPr>
                <w:rFonts w:ascii="Arial" w:eastAsia="Times New Roman" w:hAnsi="Arial" w:cs="Arial"/>
                <w:sz w:val="18"/>
                <w:szCs w:val="18"/>
              </w:rPr>
              <w:t>End of Program Outcomes (Year 5-6 of the program) </w:t>
            </w:r>
          </w:p>
        </w:tc>
        <w:tc>
          <w:tcPr>
            <w:tcW w:w="1135" w:type="pct"/>
            <w:hideMark/>
          </w:tcPr>
          <w:p w14:paraId="43664392" w14:textId="77777777" w:rsidR="00FD3672"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More women and girls, in all their diversity, are respected, listened to and are influencing decision-making at all levels </w:t>
            </w:r>
          </w:p>
          <w:p w14:paraId="792FD043" w14:textId="6B7A06DD" w:rsidR="009A1C57" w:rsidRPr="00606B84" w:rsidRDefault="009A1C57" w:rsidP="00FD3672">
            <w:pPr>
              <w:pStyle w:val="ListParagraph"/>
              <w:numPr>
                <w:ilvl w:val="0"/>
                <w:numId w:val="23"/>
              </w:numPr>
              <w:spacing w:after="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The Pacific Feminist movement has grown in depth, is better connected, and their expertise is drawn upon by Pacific partners </w:t>
            </w:r>
          </w:p>
        </w:tc>
        <w:tc>
          <w:tcPr>
            <w:tcW w:w="2067" w:type="pct"/>
            <w:hideMark/>
          </w:tcPr>
          <w:p w14:paraId="4CEDA162" w14:textId="77777777"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Diverse women and adolescent girls have improved access to quality health services, especially sexual and reproductive health </w:t>
            </w:r>
          </w:p>
          <w:p w14:paraId="5354FFD9" w14:textId="77777777"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Diverse women have more equitable access to resilient economic opportunities, including increased voice in economic decision making </w:t>
            </w:r>
          </w:p>
          <w:p w14:paraId="374BF96D" w14:textId="7EE7FA1A"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Violence against women and children is reduced and survivors of gender-based violence have access to quality support services, including in times of disasters </w:t>
            </w:r>
          </w:p>
        </w:tc>
        <w:tc>
          <w:tcPr>
            <w:tcW w:w="1293" w:type="pct"/>
            <w:hideMark/>
          </w:tcPr>
          <w:p w14:paraId="77A3F9CF" w14:textId="77777777"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Pacific Governments and development partners are implementing programs and policies that support gender equality </w:t>
            </w:r>
          </w:p>
          <w:p w14:paraId="12F67C50" w14:textId="68B36E43"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There is robust engagement, cooperation and mutual sharing between regional agencies and intergovernmental organisations to deliver on gender equality commitments </w:t>
            </w:r>
          </w:p>
        </w:tc>
      </w:tr>
      <w:tr w:rsidR="009A1C57" w:rsidRPr="00EE243C" w14:paraId="0FBDF3D5" w14:textId="77777777" w:rsidTr="00606B84">
        <w:trPr>
          <w:trHeight w:val="300"/>
        </w:trPr>
        <w:tc>
          <w:tcPr>
            <w:cnfStyle w:val="001000000000" w:firstRow="0" w:lastRow="0" w:firstColumn="1" w:lastColumn="0" w:oddVBand="0" w:evenVBand="0" w:oddHBand="0" w:evenHBand="0" w:firstRowFirstColumn="0" w:firstRowLastColumn="0" w:lastRowFirstColumn="0" w:lastRowLastColumn="0"/>
            <w:tcW w:w="504" w:type="pct"/>
            <w:hideMark/>
          </w:tcPr>
          <w:p w14:paraId="543752B4" w14:textId="77777777" w:rsidR="009A1C57" w:rsidRPr="00606B84" w:rsidRDefault="009A1C57" w:rsidP="0069066A">
            <w:pPr>
              <w:spacing w:after="0"/>
              <w:jc w:val="center"/>
              <w:textAlignment w:val="baseline"/>
              <w:rPr>
                <w:rFonts w:ascii="Arial" w:eastAsia="Times New Roman" w:hAnsi="Arial" w:cs="Arial"/>
                <w:sz w:val="18"/>
                <w:szCs w:val="18"/>
              </w:rPr>
            </w:pPr>
            <w:r w:rsidRPr="00606B84">
              <w:rPr>
                <w:rFonts w:ascii="Arial" w:eastAsia="Times New Roman" w:hAnsi="Arial" w:cs="Arial"/>
                <w:sz w:val="18"/>
                <w:szCs w:val="18"/>
              </w:rPr>
              <w:t>Intermediate Outcomes </w:t>
            </w:r>
          </w:p>
          <w:p w14:paraId="696C9583" w14:textId="77777777" w:rsidR="009A1C57" w:rsidRPr="00606B84" w:rsidRDefault="009A1C57" w:rsidP="0069066A">
            <w:pPr>
              <w:spacing w:after="0"/>
              <w:jc w:val="center"/>
              <w:textAlignment w:val="baseline"/>
              <w:rPr>
                <w:rFonts w:ascii="Arial" w:eastAsia="Times New Roman" w:hAnsi="Arial" w:cs="Arial"/>
                <w:sz w:val="18"/>
                <w:szCs w:val="18"/>
              </w:rPr>
            </w:pPr>
            <w:r w:rsidRPr="00606B84">
              <w:rPr>
                <w:rFonts w:ascii="Arial" w:eastAsia="Times New Roman" w:hAnsi="Arial" w:cs="Arial"/>
                <w:sz w:val="18"/>
                <w:szCs w:val="18"/>
              </w:rPr>
              <w:t>(Year 2-4 of the program) </w:t>
            </w:r>
          </w:p>
        </w:tc>
        <w:tc>
          <w:tcPr>
            <w:tcW w:w="1135" w:type="pct"/>
            <w:hideMark/>
          </w:tcPr>
          <w:p w14:paraId="679ED018" w14:textId="77777777"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Women and girls, in all their diversity, take on and practice their leadership skills in decision making spaces (household, communities, business, sporting, local, national, regional and global spheres) </w:t>
            </w:r>
          </w:p>
          <w:p w14:paraId="52A21CC8" w14:textId="77777777"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Pacific Governments, civil society, private sector, and communities work to tackle social norms that limit diverse women and girls’ leadership opportunities at all levels </w:t>
            </w:r>
          </w:p>
          <w:p w14:paraId="480F20DE" w14:textId="30370C5C"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There is recognition and amplification of the leadership of Pacific feminist civil society </w:t>
            </w:r>
          </w:p>
        </w:tc>
        <w:tc>
          <w:tcPr>
            <w:tcW w:w="2067" w:type="pct"/>
            <w:hideMark/>
          </w:tcPr>
          <w:p w14:paraId="6DF2EF38" w14:textId="77777777"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Health sectors across the Pacific provide quality and inclusive SRHR services </w:t>
            </w:r>
          </w:p>
          <w:p w14:paraId="1BD035C0" w14:textId="77777777"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Pacific Governments, civil society, private sector, and communities work to address social norms that limit diverse women and adolescent girls' access to SRHR services </w:t>
            </w:r>
          </w:p>
          <w:p w14:paraId="1DAACAB6" w14:textId="77777777"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Pacific Government, civil society and private sector provide quality equitable and inclusive economic opportunities for diverse women </w:t>
            </w:r>
          </w:p>
          <w:p w14:paraId="3C2F784B" w14:textId="77777777"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Pacific Governments, civil society, private sector, and communities work to address social norms that limit diverse women’s economic empowerment </w:t>
            </w:r>
          </w:p>
          <w:p w14:paraId="0426965D" w14:textId="77777777"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Pacific Government, civil society and private sector provide access to quality support services for diverse women and girls </w:t>
            </w:r>
          </w:p>
          <w:p w14:paraId="6568B14C" w14:textId="57631B57"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Pacific Governments, civil society, private sector, and communities work to address social norms that contribute to diverse women and girls’ experience of violence </w:t>
            </w:r>
          </w:p>
        </w:tc>
        <w:tc>
          <w:tcPr>
            <w:tcW w:w="1293" w:type="pct"/>
            <w:hideMark/>
          </w:tcPr>
          <w:p w14:paraId="2020F7DA" w14:textId="77777777"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 xml:space="preserve">Pacific Governments and development partners are mainstreaming gender through sector programs </w:t>
            </w:r>
          </w:p>
          <w:p w14:paraId="072774F1" w14:textId="2BD12D3B"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The PWL Governance Board and regional partners are collaborating and contributing to the Pacific region’s gender equality commitments  </w:t>
            </w:r>
          </w:p>
        </w:tc>
      </w:tr>
      <w:tr w:rsidR="009A1C57" w:rsidRPr="00EE243C" w14:paraId="74E2FCA6" w14:textId="77777777" w:rsidTr="00606B84">
        <w:trPr>
          <w:trHeight w:val="300"/>
        </w:trPr>
        <w:tc>
          <w:tcPr>
            <w:cnfStyle w:val="001000000000" w:firstRow="0" w:lastRow="0" w:firstColumn="1" w:lastColumn="0" w:oddVBand="0" w:evenVBand="0" w:oddHBand="0" w:evenHBand="0" w:firstRowFirstColumn="0" w:firstRowLastColumn="0" w:lastRowFirstColumn="0" w:lastRowLastColumn="0"/>
            <w:tcW w:w="504" w:type="pct"/>
            <w:hideMark/>
          </w:tcPr>
          <w:p w14:paraId="2050797F" w14:textId="77777777" w:rsidR="009A1C57" w:rsidRPr="00606B84" w:rsidRDefault="009A1C57" w:rsidP="0069066A">
            <w:pPr>
              <w:spacing w:after="0"/>
              <w:jc w:val="center"/>
              <w:textAlignment w:val="baseline"/>
              <w:rPr>
                <w:rFonts w:ascii="Arial" w:eastAsia="Times New Roman" w:hAnsi="Arial" w:cs="Arial"/>
                <w:sz w:val="18"/>
                <w:szCs w:val="18"/>
              </w:rPr>
            </w:pPr>
            <w:r w:rsidRPr="00606B84">
              <w:rPr>
                <w:rFonts w:ascii="Arial" w:eastAsia="Times New Roman" w:hAnsi="Arial" w:cs="Arial"/>
                <w:sz w:val="18"/>
                <w:szCs w:val="18"/>
              </w:rPr>
              <w:lastRenderedPageBreak/>
              <w:t>Program outputs </w:t>
            </w:r>
          </w:p>
          <w:p w14:paraId="4A51B482" w14:textId="77777777" w:rsidR="009A1C57" w:rsidRPr="00606B84" w:rsidRDefault="009A1C57" w:rsidP="0069066A">
            <w:pPr>
              <w:spacing w:after="0"/>
              <w:jc w:val="center"/>
              <w:textAlignment w:val="baseline"/>
              <w:rPr>
                <w:rFonts w:ascii="Arial" w:eastAsia="Times New Roman" w:hAnsi="Arial" w:cs="Arial"/>
                <w:sz w:val="18"/>
                <w:szCs w:val="18"/>
              </w:rPr>
            </w:pPr>
            <w:r w:rsidRPr="00606B84">
              <w:rPr>
                <w:rFonts w:ascii="Arial" w:eastAsia="Times New Roman" w:hAnsi="Arial" w:cs="Arial"/>
                <w:sz w:val="18"/>
                <w:szCs w:val="18"/>
              </w:rPr>
              <w:t>(Year 1-2 of the program) </w:t>
            </w:r>
          </w:p>
        </w:tc>
        <w:tc>
          <w:tcPr>
            <w:tcW w:w="1135" w:type="pct"/>
            <w:hideMark/>
          </w:tcPr>
          <w:p w14:paraId="799232AF" w14:textId="77777777"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PWL partners implement gender transformative projects that increase diverse women and girls' leadership opportunities and capabilities, and which address the norms and perceptions which limit those opportunities </w:t>
            </w:r>
          </w:p>
          <w:p w14:paraId="3BCCA375" w14:textId="78AF5264"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Women’s Funds provide long-term and flexible funding to agendas set by the Pacific Feminist movement </w:t>
            </w:r>
          </w:p>
        </w:tc>
        <w:tc>
          <w:tcPr>
            <w:tcW w:w="2067" w:type="pct"/>
            <w:hideMark/>
          </w:tcPr>
          <w:p w14:paraId="5CA625E6" w14:textId="77777777"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PWL partners implement transformative programs and projects to address diverse women’s priorities in SRHR </w:t>
            </w:r>
          </w:p>
          <w:p w14:paraId="6D08BD85" w14:textId="77777777"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PWL partners implement gender transformative projects that address diverse women’s WEE priorities </w:t>
            </w:r>
          </w:p>
          <w:p w14:paraId="452B597D" w14:textId="035B96C6"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PWL partners implement gender transformative programs and projects that address diverse women’s needs and priorities in safety </w:t>
            </w:r>
          </w:p>
        </w:tc>
        <w:tc>
          <w:tcPr>
            <w:tcW w:w="1293" w:type="pct"/>
            <w:hideMark/>
          </w:tcPr>
          <w:p w14:paraId="6F30B263" w14:textId="77777777"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Pacific Governments and development partners request and utilise support provided to build capacity in gender analysis and mainstreaming </w:t>
            </w:r>
          </w:p>
          <w:p w14:paraId="5AD33D49" w14:textId="3A387A06" w:rsidR="009A1C57" w:rsidRPr="00606B84" w:rsidRDefault="009A1C57" w:rsidP="00FD3672">
            <w:pPr>
              <w:pStyle w:val="ListParagraph"/>
              <w:numPr>
                <w:ilvl w:val="0"/>
                <w:numId w:val="23"/>
              </w:numPr>
              <w:ind w:left="357" w:hanging="357"/>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606B84">
              <w:rPr>
                <w:rFonts w:ascii="Arial" w:eastAsia="Times New Roman" w:hAnsi="Arial" w:cs="Arial"/>
                <w:sz w:val="18"/>
                <w:szCs w:val="18"/>
              </w:rPr>
              <w:t>There is effective collaboration between regional organisations on regional gender equality commitments </w:t>
            </w:r>
          </w:p>
        </w:tc>
      </w:tr>
    </w:tbl>
    <w:p w14:paraId="20DA20EE" w14:textId="77777777" w:rsidR="00482511" w:rsidRDefault="00482511" w:rsidP="00482511">
      <w:pPr>
        <w:rPr>
          <w:rFonts w:cstheme="minorHAnsi"/>
        </w:rPr>
      </w:pPr>
    </w:p>
    <w:p w14:paraId="046DCE36" w14:textId="038CAEBC" w:rsidR="00482511" w:rsidRPr="00482511" w:rsidRDefault="00482511" w:rsidP="00482511">
      <w:pPr>
        <w:rPr>
          <w:rFonts w:cstheme="minorHAnsi"/>
          <w:b/>
          <w:bCs/>
          <w:color w:val="002465"/>
        </w:rPr>
      </w:pPr>
      <w:r w:rsidRPr="00482511">
        <w:rPr>
          <w:rFonts w:cstheme="minorHAnsi"/>
          <w:b/>
          <w:bCs/>
          <w:color w:val="002465"/>
        </w:rPr>
        <w:t>Strategies</w:t>
      </w:r>
    </w:p>
    <w:p w14:paraId="2C064F6C" w14:textId="4609E39D" w:rsidR="00482511" w:rsidRPr="00606B84" w:rsidRDefault="00482511" w:rsidP="00482511">
      <w:pPr>
        <w:pStyle w:val="ListParagraph"/>
        <w:numPr>
          <w:ilvl w:val="0"/>
          <w:numId w:val="24"/>
        </w:numPr>
        <w:rPr>
          <w:rFonts w:cstheme="minorHAnsi"/>
          <w:sz w:val="20"/>
          <w:szCs w:val="20"/>
        </w:rPr>
      </w:pPr>
      <w:r w:rsidRPr="00606B84">
        <w:rPr>
          <w:rFonts w:cstheme="minorHAnsi"/>
          <w:sz w:val="20"/>
          <w:szCs w:val="20"/>
        </w:rPr>
        <w:t xml:space="preserve">Grant making in thematic areas of leadership, health (SRHR), women’s economic empowerment and safety </w:t>
      </w:r>
    </w:p>
    <w:p w14:paraId="0921B7CE" w14:textId="77777777" w:rsidR="00482511" w:rsidRPr="00606B84" w:rsidRDefault="00482511" w:rsidP="00482511">
      <w:pPr>
        <w:pStyle w:val="ListParagraph"/>
        <w:numPr>
          <w:ilvl w:val="0"/>
          <w:numId w:val="24"/>
        </w:numPr>
        <w:rPr>
          <w:rFonts w:cstheme="minorHAnsi"/>
          <w:sz w:val="20"/>
          <w:szCs w:val="20"/>
        </w:rPr>
      </w:pPr>
      <w:r w:rsidRPr="00606B84">
        <w:rPr>
          <w:rFonts w:cstheme="minorHAnsi"/>
          <w:sz w:val="20"/>
          <w:szCs w:val="20"/>
        </w:rPr>
        <w:t xml:space="preserve">Linking and learning and collective action that supports genuine partnerships and strategies for change in social norms and gender equally outcomes </w:t>
      </w:r>
    </w:p>
    <w:p w14:paraId="6D951DF1" w14:textId="77777777" w:rsidR="00482511" w:rsidRPr="00606B84" w:rsidRDefault="00482511" w:rsidP="00482511">
      <w:pPr>
        <w:pStyle w:val="ListParagraph"/>
        <w:numPr>
          <w:ilvl w:val="0"/>
          <w:numId w:val="24"/>
        </w:numPr>
        <w:rPr>
          <w:rFonts w:cstheme="minorHAnsi"/>
          <w:sz w:val="20"/>
          <w:szCs w:val="20"/>
        </w:rPr>
      </w:pPr>
      <w:r w:rsidRPr="00606B84">
        <w:rPr>
          <w:rFonts w:cstheme="minorHAnsi"/>
          <w:sz w:val="20"/>
          <w:szCs w:val="20"/>
        </w:rPr>
        <w:t xml:space="preserve">Technical support, training, coaching, and mentoring to support greater gender mainstreaming and gender equality outcomes for Pacific governments and development partner sector programs </w:t>
      </w:r>
    </w:p>
    <w:p w14:paraId="6253D74A" w14:textId="0CAAAB07" w:rsidR="000D163E" w:rsidRPr="00606B84" w:rsidRDefault="00482511" w:rsidP="00482511">
      <w:pPr>
        <w:pStyle w:val="ListParagraph"/>
        <w:numPr>
          <w:ilvl w:val="0"/>
          <w:numId w:val="24"/>
        </w:numPr>
        <w:rPr>
          <w:rFonts w:cstheme="minorHAnsi"/>
          <w:sz w:val="20"/>
          <w:szCs w:val="20"/>
        </w:rPr>
        <w:sectPr w:rsidR="000D163E" w:rsidRPr="00606B84" w:rsidSect="00852CE1">
          <w:pgSz w:w="16838" w:h="11906" w:orient="landscape"/>
          <w:pgMar w:top="1077" w:right="1440" w:bottom="1077" w:left="1440" w:header="567" w:footer="567" w:gutter="0"/>
          <w:cols w:space="708"/>
          <w:docGrid w:linePitch="360"/>
        </w:sectPr>
      </w:pPr>
      <w:r w:rsidRPr="00606B84">
        <w:rPr>
          <w:rFonts w:cstheme="minorHAnsi"/>
          <w:sz w:val="20"/>
          <w:szCs w:val="20"/>
        </w:rPr>
        <w:t>Collaborative portfolio-level monitoring, evaluation and learning sense-making spaces to inform PWL decision-making</w:t>
      </w:r>
    </w:p>
    <w:p w14:paraId="6D5468CC" w14:textId="12FBDE45" w:rsidR="002A782C" w:rsidRDefault="00074B99" w:rsidP="00074B99">
      <w:pPr>
        <w:pStyle w:val="Heading1"/>
        <w:numPr>
          <w:ilvl w:val="0"/>
          <w:numId w:val="0"/>
        </w:numPr>
      </w:pPr>
      <w:bookmarkStart w:id="80" w:name="_Ref193376646"/>
      <w:bookmarkStart w:id="81" w:name="_Toc201840802"/>
      <w:r>
        <w:lastRenderedPageBreak/>
        <w:t>Appendix B</w:t>
      </w:r>
      <w:r w:rsidR="008C1279">
        <w:t xml:space="preserve"> </w:t>
      </w:r>
      <w:r w:rsidR="006E585A">
        <w:t xml:space="preserve">MTR </w:t>
      </w:r>
      <w:r w:rsidR="00EC186F">
        <w:t>m</w:t>
      </w:r>
      <w:r w:rsidR="006E585A">
        <w:t>ethodology</w:t>
      </w:r>
      <w:bookmarkEnd w:id="80"/>
      <w:bookmarkEnd w:id="81"/>
      <w:r w:rsidR="006E585A">
        <w:t xml:space="preserve"> </w:t>
      </w:r>
      <w:r w:rsidR="000D163E" w:rsidRPr="00EE243C">
        <w:t xml:space="preserve"> </w:t>
      </w:r>
    </w:p>
    <w:p w14:paraId="5CB32CA6" w14:textId="77777777" w:rsidR="00BB34D6" w:rsidRPr="00EE243C" w:rsidRDefault="00BB34D6" w:rsidP="00074B99">
      <w:pPr>
        <w:pStyle w:val="Heading3nonumber"/>
        <w:outlineLvl w:val="9"/>
      </w:pPr>
      <w:r w:rsidRPr="00EE243C">
        <w:t>Purpose, scope and audience</w:t>
      </w:r>
    </w:p>
    <w:p w14:paraId="60C4BE3C" w14:textId="77777777" w:rsidR="00BB34D6" w:rsidRPr="00EE243C" w:rsidRDefault="00BB34D6" w:rsidP="00BB34D6">
      <w:pPr>
        <w:rPr>
          <w:rFonts w:cstheme="minorHAnsi"/>
        </w:rPr>
      </w:pPr>
      <w:r w:rsidRPr="00EE243C">
        <w:rPr>
          <w:rFonts w:cstheme="minorHAnsi"/>
        </w:rPr>
        <w:t>This MTR is a standard requirement for large DFAT development programs. The review aims to:</w:t>
      </w:r>
    </w:p>
    <w:p w14:paraId="76C2ED25" w14:textId="63694D2A" w:rsidR="00BB34D6" w:rsidRPr="00EE243C" w:rsidRDefault="00BB34D6" w:rsidP="00BB34D6">
      <w:pPr>
        <w:pStyle w:val="ListBullet"/>
      </w:pPr>
      <w:r w:rsidRPr="00EE243C">
        <w:t xml:space="preserve">identify achievements and challenges in meeting End of Program Outcomes (EOPOs) </w:t>
      </w:r>
    </w:p>
    <w:p w14:paraId="2F108D1E" w14:textId="4FE58CD6" w:rsidR="00BB34D6" w:rsidRPr="00EE243C" w:rsidRDefault="00BB34D6" w:rsidP="00BB34D6">
      <w:pPr>
        <w:pStyle w:val="ListBullet"/>
      </w:pPr>
      <w:r w:rsidRPr="00EE243C">
        <w:t xml:space="preserve">provide recommendations for maximising impact over the remaining two years </w:t>
      </w:r>
    </w:p>
    <w:p w14:paraId="2902884C" w14:textId="6A097314" w:rsidR="00BB34D6" w:rsidRPr="00EE243C" w:rsidRDefault="00BB34D6" w:rsidP="00BB34D6">
      <w:pPr>
        <w:pStyle w:val="ListBullet"/>
      </w:pPr>
      <w:r w:rsidRPr="00EE243C">
        <w:t xml:space="preserve">extract learnings about key drivers of transformational change for gender equality across the Pacific to inform the next program phase. </w:t>
      </w:r>
    </w:p>
    <w:p w14:paraId="6133A1A0" w14:textId="33DAC22A" w:rsidR="00BB34D6" w:rsidRPr="00EE243C" w:rsidRDefault="00BB34D6" w:rsidP="00BB34D6">
      <w:r w:rsidRPr="67AE505B">
        <w:t xml:space="preserve">The review seeks to provide information for both primary audiences (DFAT, SPC, PWLES, </w:t>
      </w:r>
      <w:r>
        <w:t>PWL Governance Board</w:t>
      </w:r>
      <w:r w:rsidRPr="67AE505B">
        <w:t>, and implementing partners) who require evaluative information for decision-making, and secondary audiences (donors, NGOs, and other DFAT investments) who may benefit from the findings.</w:t>
      </w:r>
    </w:p>
    <w:p w14:paraId="1F9CB291" w14:textId="77777777" w:rsidR="009A1F11" w:rsidRDefault="00BB34D6" w:rsidP="00BB34D6">
      <w:r w:rsidRPr="67AE505B">
        <w:t xml:space="preserve">To achieve this, the MTR focuses on the </w:t>
      </w:r>
      <w:r w:rsidR="009A1F11">
        <w:t>following key review questions</w:t>
      </w:r>
      <w:r w:rsidRPr="67AE505B">
        <w:t>, as agreed in the MTR Plan and addressing all questions from the Terms of Reference (TOR) for this review</w:t>
      </w:r>
      <w:r w:rsidR="009A1F11">
        <w:t xml:space="preserve">: </w:t>
      </w:r>
    </w:p>
    <w:p w14:paraId="1F45D212" w14:textId="77777777" w:rsidR="009A1F11" w:rsidRPr="00CA1A6D" w:rsidRDefault="009A1F11" w:rsidP="009A1F11">
      <w:pPr>
        <w:pStyle w:val="ListNumber"/>
        <w:numPr>
          <w:ilvl w:val="0"/>
          <w:numId w:val="13"/>
        </w:numPr>
        <w:spacing w:before="60" w:line="240" w:lineRule="auto"/>
      </w:pPr>
      <w:r w:rsidRPr="00CA1A6D">
        <w:t>To what extent is there evidence of progress in the areas of: Women and girls’ leadership and Women’s rights realised?</w:t>
      </w:r>
    </w:p>
    <w:p w14:paraId="5498B855" w14:textId="77777777" w:rsidR="009A1F11" w:rsidRPr="00EE243C" w:rsidRDefault="009A1F11" w:rsidP="009A1F11">
      <w:pPr>
        <w:pStyle w:val="ListNumber"/>
        <w:numPr>
          <w:ilvl w:val="0"/>
          <w:numId w:val="8"/>
        </w:numPr>
        <w:spacing w:before="60" w:line="240" w:lineRule="auto"/>
      </w:pPr>
      <w:r w:rsidRPr="00EE243C">
        <w:t>To what extent is there evidence of progress in the area of: Pacific ownership and effectiveness of regional gender equality efforts?</w:t>
      </w:r>
    </w:p>
    <w:p w14:paraId="72F37E1D" w14:textId="261FCE60" w:rsidR="009A1F11" w:rsidRDefault="009A1F11" w:rsidP="009A1F11">
      <w:pPr>
        <w:pStyle w:val="ListNumber"/>
        <w:numPr>
          <w:ilvl w:val="0"/>
          <w:numId w:val="19"/>
        </w:numPr>
      </w:pPr>
      <w:r w:rsidRPr="009A1F11">
        <w:t>What are key opportunities and barriers for the PWL program to achieve transformational change?</w:t>
      </w:r>
    </w:p>
    <w:p w14:paraId="75FE20D5" w14:textId="2D3CFA10" w:rsidR="009A1F11" w:rsidRDefault="009A1F11" w:rsidP="009A1F11">
      <w:pPr>
        <w:pStyle w:val="ListNumber"/>
      </w:pPr>
      <w:r w:rsidRPr="009A1F11">
        <w:t>How relevant is the whole of portfolio modality and the five components to addressing gender inequality across the Pacific region?</w:t>
      </w:r>
    </w:p>
    <w:p w14:paraId="75A31DBA" w14:textId="3C9AB034" w:rsidR="009A1F11" w:rsidRDefault="009A1F11" w:rsidP="009A1F11">
      <w:pPr>
        <w:pStyle w:val="ListNumber"/>
      </w:pPr>
      <w:r w:rsidRPr="009A1F11">
        <w:t>To what extent are PWL components efficiently supporting delivery of outcomes?</w:t>
      </w:r>
    </w:p>
    <w:p w14:paraId="14CC650C" w14:textId="597B3273" w:rsidR="00BB34D6" w:rsidRPr="00EE243C" w:rsidRDefault="0A624EE1" w:rsidP="00BB34D6">
      <w:r>
        <w:t>The MTR covers the whole portfolio, with particular focus on SPC, PWLES, and the PWL Governance Board. The review draws on a separate MTR report for Pacific Women Lead at SPC. Note that the MTR has an intentional focus on understanding program effectiveness, rather than impact, acknowledging the limited time that has lapsed since inception in 2021.</w:t>
      </w:r>
    </w:p>
    <w:p w14:paraId="27ACFFD4" w14:textId="57E17331" w:rsidR="00BB34D6" w:rsidRPr="00EE243C" w:rsidRDefault="00BB34D6" w:rsidP="00074B99">
      <w:pPr>
        <w:pStyle w:val="Heading3nonumber"/>
        <w:outlineLvl w:val="9"/>
        <w:rPr>
          <w:rFonts w:eastAsia="Arial" w:cs="Arial"/>
        </w:rPr>
      </w:pPr>
      <w:r w:rsidRPr="00EE243C">
        <w:t xml:space="preserve">Methodology </w:t>
      </w:r>
    </w:p>
    <w:p w14:paraId="5B1A3585" w14:textId="19AD9B6F" w:rsidR="00BB34D6" w:rsidRDefault="00BB34D6" w:rsidP="00BB34D6">
      <w:pPr>
        <w:rPr>
          <w:rFonts w:cstheme="minorHAnsi"/>
        </w:rPr>
      </w:pPr>
      <w:r w:rsidRPr="00EE243C">
        <w:rPr>
          <w:rFonts w:cstheme="minorHAnsi"/>
        </w:rPr>
        <w:t xml:space="preserve">The </w:t>
      </w:r>
      <w:r>
        <w:rPr>
          <w:rFonts w:cstheme="minorHAnsi"/>
        </w:rPr>
        <w:t xml:space="preserve">MTR’s </w:t>
      </w:r>
      <w:r w:rsidRPr="00EE243C">
        <w:rPr>
          <w:rFonts w:cstheme="minorHAnsi"/>
        </w:rPr>
        <w:t xml:space="preserve">methodological approach was guided by The </w:t>
      </w:r>
      <w:proofErr w:type="spellStart"/>
      <w:r w:rsidRPr="00EE243C">
        <w:rPr>
          <w:rFonts w:cstheme="minorHAnsi"/>
        </w:rPr>
        <w:t>Kakala</w:t>
      </w:r>
      <w:proofErr w:type="spellEnd"/>
      <w:r w:rsidRPr="00EE243C">
        <w:rPr>
          <w:rFonts w:cstheme="minorHAnsi"/>
        </w:rPr>
        <w:t xml:space="preserve"> Framewor</w:t>
      </w:r>
      <w:r w:rsidR="009A1F11">
        <w:rPr>
          <w:rFonts w:cstheme="minorHAnsi"/>
        </w:rPr>
        <w:t xml:space="preserve">k. </w:t>
      </w:r>
      <w:r>
        <w:rPr>
          <w:rFonts w:cstheme="minorHAnsi"/>
        </w:rPr>
        <w:t>This approach</w:t>
      </w:r>
      <w:r w:rsidRPr="00EE243C">
        <w:rPr>
          <w:rFonts w:cstheme="minorHAnsi"/>
        </w:rPr>
        <w:t xml:space="preserve"> </w:t>
      </w:r>
      <w:r>
        <w:rPr>
          <w:rFonts w:cstheme="minorHAnsi"/>
        </w:rPr>
        <w:t>emphasises</w:t>
      </w:r>
      <w:r w:rsidRPr="00EE243C">
        <w:rPr>
          <w:rFonts w:cstheme="minorHAnsi"/>
        </w:rPr>
        <w:t xml:space="preserve"> both meaningful stakeholder inclusion and valuable outputs</w:t>
      </w:r>
      <w:r>
        <w:rPr>
          <w:rFonts w:cstheme="minorHAnsi"/>
        </w:rPr>
        <w:t xml:space="preserve">. The MTR approach also incorporates </w:t>
      </w:r>
      <w:r w:rsidRPr="00EE243C">
        <w:rPr>
          <w:rFonts w:cstheme="minorHAnsi"/>
        </w:rPr>
        <w:t>good practice</w:t>
      </w:r>
      <w:r>
        <w:rPr>
          <w:rFonts w:cstheme="minorHAnsi"/>
        </w:rPr>
        <w:t xml:space="preserve">s across feminist and disability inclusive research and evaluation and ensures alignment with </w:t>
      </w:r>
      <w:r w:rsidRPr="00EE243C">
        <w:rPr>
          <w:rFonts w:cstheme="minorHAnsi"/>
        </w:rPr>
        <w:t xml:space="preserve">DFAT’s </w:t>
      </w:r>
      <w:r>
        <w:rPr>
          <w:rFonts w:cstheme="minorHAnsi"/>
        </w:rPr>
        <w:t>s</w:t>
      </w:r>
      <w:r w:rsidRPr="00EE243C">
        <w:rPr>
          <w:rFonts w:cstheme="minorHAnsi"/>
        </w:rPr>
        <w:t xml:space="preserve">tandards for independent evaluation reports. </w:t>
      </w:r>
    </w:p>
    <w:p w14:paraId="17840A35" w14:textId="7490D676" w:rsidR="00BB34D6" w:rsidRPr="00EE243C" w:rsidRDefault="0A624EE1" w:rsidP="3BBBFC65">
      <w:r w:rsidRPr="3BBBFC65">
        <w:t xml:space="preserve">This evaluation report has drawn on the data sources summarised in </w:t>
      </w:r>
      <w:r w:rsidR="00BB34D6" w:rsidRPr="3BBBFC65">
        <w:fldChar w:fldCharType="begin"/>
      </w:r>
      <w:r w:rsidR="00BB34D6" w:rsidRPr="3BBBFC65">
        <w:instrText xml:space="preserve"> REF _Ref181182009 \h </w:instrText>
      </w:r>
      <w:r w:rsidR="00BB34D6" w:rsidRPr="3BBBFC65">
        <w:fldChar w:fldCharType="separate"/>
      </w:r>
      <w:r w:rsidR="00A27DC6" w:rsidRPr="1732CC5B">
        <w:t xml:space="preserve">Table </w:t>
      </w:r>
      <w:r w:rsidR="00A27DC6">
        <w:rPr>
          <w:noProof/>
        </w:rPr>
        <w:t>5</w:t>
      </w:r>
      <w:r w:rsidR="00BB34D6" w:rsidRPr="3BBBFC65">
        <w:fldChar w:fldCharType="end"/>
      </w:r>
      <w:r w:rsidRPr="3BBBFC65">
        <w:t>. The review team conducted a review of internal PWL materials</w:t>
      </w:r>
      <w:r w:rsidR="0A0EC715" w:rsidRPr="3BBBFC65">
        <w:t xml:space="preserve">, </w:t>
      </w:r>
      <w:r w:rsidRPr="3BBBFC65">
        <w:t xml:space="preserve">41 consultations with more than 100 individual partners, notes from interactive sessions at the PWL Annual Reflection and Analysis Workshop (ARAW), and findings from a parallel Pacific Women Lead at SPC-specific MTR. </w:t>
      </w:r>
    </w:p>
    <w:p w14:paraId="3F885365" w14:textId="1AAF4B60" w:rsidR="00BB34D6" w:rsidRPr="00EE243C" w:rsidRDefault="0A624EE1" w:rsidP="00BB34D6">
      <w:r>
        <w:t xml:space="preserve">The MTR team conducted thematic analysis of documents and consultation responses for each stakeholder group against the key review questions, through a systematic process that prioritised both technical rigour and cultural sensitivity. This analytical process culminated in a synthesis of findings against key questions, which were then validated through an online workshop with key partners to ensure collective interpretation and understanding of the results. The MTR team coordinated with the </w:t>
      </w:r>
      <w:r>
        <w:lastRenderedPageBreak/>
        <w:t xml:space="preserve">parallel Pacific Women Lead at SPC review to ensure shared sensemaking. The MTR team also tested the key recommendations with representatives from DFAT, SPC, and PWLES to gain feedback and refine the findings.  </w:t>
      </w:r>
    </w:p>
    <w:p w14:paraId="6BF40FBF" w14:textId="77777777" w:rsidR="00BB34D6" w:rsidRDefault="00BB34D6" w:rsidP="00BB34D6">
      <w:pPr>
        <w:rPr>
          <w:rFonts w:cstheme="minorHAnsi"/>
        </w:rPr>
      </w:pPr>
      <w:r>
        <w:rPr>
          <w:rFonts w:cstheme="minorHAnsi"/>
        </w:rPr>
        <w:t xml:space="preserve">The MTR team </w:t>
      </w:r>
      <w:r w:rsidRPr="00E22C40">
        <w:rPr>
          <w:rFonts w:cstheme="minorHAnsi"/>
        </w:rPr>
        <w:t>use</w:t>
      </w:r>
      <w:r>
        <w:rPr>
          <w:rFonts w:cstheme="minorHAnsi"/>
        </w:rPr>
        <w:t>d</w:t>
      </w:r>
      <w:r w:rsidRPr="00E22C40">
        <w:rPr>
          <w:rFonts w:cstheme="minorHAnsi"/>
        </w:rPr>
        <w:t xml:space="preserve"> strength of evidence rubrics to gauge the quality and reliability of the data and information used to support findings.</w:t>
      </w:r>
      <w:r w:rsidRPr="000A1AE5">
        <w:rPr>
          <w:rFonts w:cstheme="minorHAnsi"/>
        </w:rPr>
        <w:t xml:space="preserve"> </w:t>
      </w:r>
      <w:r>
        <w:rPr>
          <w:rFonts w:cstheme="minorHAnsi"/>
        </w:rPr>
        <w:t xml:space="preserve">Strong evidence was required to have documented evidence, preferably from independent evaluation reports, which was triangulated by qualitative responses from different stakeholders who had direct experience and expertise in the topic. The team identified the areas of strong evidence against each intermediate outcome, and stated findings supported by strong evidence. </w:t>
      </w:r>
    </w:p>
    <w:p w14:paraId="0D0D0C39" w14:textId="2960633B" w:rsidR="00BB34D6" w:rsidRPr="00EE243C" w:rsidRDefault="00BB34D6" w:rsidP="00BB34D6">
      <w:pPr>
        <w:pStyle w:val="Caption"/>
      </w:pPr>
      <w:bookmarkStart w:id="82" w:name="_Ref181182009"/>
      <w:bookmarkStart w:id="83" w:name="_Toc181529388"/>
      <w:bookmarkStart w:id="84" w:name="_Toc185597906"/>
      <w:bookmarkStart w:id="85" w:name="_Toc193745544"/>
      <w:bookmarkStart w:id="86" w:name="_Toc193790926"/>
      <w:bookmarkStart w:id="87" w:name="_Toc210309452"/>
      <w:r w:rsidRPr="1732CC5B">
        <w:t xml:space="preserve">Table </w:t>
      </w:r>
      <w:r>
        <w:fldChar w:fldCharType="begin"/>
      </w:r>
      <w:r>
        <w:instrText>SEQ Table \* ARABIC</w:instrText>
      </w:r>
      <w:r>
        <w:fldChar w:fldCharType="separate"/>
      </w:r>
      <w:r w:rsidR="00832B49">
        <w:rPr>
          <w:noProof/>
        </w:rPr>
        <w:t>5</w:t>
      </w:r>
      <w:r>
        <w:fldChar w:fldCharType="end"/>
      </w:r>
      <w:bookmarkEnd w:id="82"/>
      <w:r w:rsidR="0005456D">
        <w:t>.</w:t>
      </w:r>
      <w:r w:rsidRPr="1732CC5B">
        <w:t xml:space="preserve"> Summary of data sources for this review</w:t>
      </w:r>
      <w:bookmarkEnd w:id="83"/>
      <w:bookmarkEnd w:id="84"/>
      <w:bookmarkEnd w:id="85"/>
      <w:bookmarkEnd w:id="86"/>
      <w:bookmarkEnd w:id="87"/>
    </w:p>
    <w:tbl>
      <w:tblPr>
        <w:tblStyle w:val="TableGridwithOptions"/>
        <w:tblW w:w="5000" w:type="pct"/>
        <w:tblLook w:val="0620" w:firstRow="1" w:lastRow="0" w:firstColumn="0" w:lastColumn="0" w:noHBand="1" w:noVBand="1"/>
      </w:tblPr>
      <w:tblGrid>
        <w:gridCol w:w="4506"/>
        <w:gridCol w:w="5246"/>
      </w:tblGrid>
      <w:tr w:rsidR="00BB34D6" w:rsidRPr="00BB34D6" w14:paraId="789FC318" w14:textId="77777777" w:rsidTr="00F00BFE">
        <w:trPr>
          <w:cnfStyle w:val="100000000000" w:firstRow="1" w:lastRow="0" w:firstColumn="0" w:lastColumn="0" w:oddVBand="0" w:evenVBand="0" w:oddHBand="0" w:evenHBand="0" w:firstRowFirstColumn="0" w:firstRowLastColumn="0" w:lastRowFirstColumn="0" w:lastRowLastColumn="0"/>
          <w:trHeight w:val="409"/>
          <w:tblHeader/>
        </w:trPr>
        <w:tc>
          <w:tcPr>
            <w:tcW w:w="0" w:type="pct"/>
          </w:tcPr>
          <w:p w14:paraId="489AA7AB" w14:textId="77777777" w:rsidR="00BB34D6" w:rsidRPr="00BB34D6" w:rsidRDefault="00BB34D6">
            <w:pPr>
              <w:rPr>
                <w:sz w:val="18"/>
                <w:szCs w:val="18"/>
              </w:rPr>
            </w:pPr>
            <w:r w:rsidRPr="00BB34D6">
              <w:rPr>
                <w:sz w:val="18"/>
                <w:szCs w:val="18"/>
              </w:rPr>
              <w:t>Component/ data source</w:t>
            </w:r>
          </w:p>
        </w:tc>
        <w:tc>
          <w:tcPr>
            <w:tcW w:w="0" w:type="pct"/>
          </w:tcPr>
          <w:p w14:paraId="701F3777" w14:textId="77777777" w:rsidR="00BB34D6" w:rsidRPr="00BB34D6" w:rsidRDefault="00BB34D6">
            <w:pPr>
              <w:rPr>
                <w:sz w:val="18"/>
                <w:szCs w:val="18"/>
              </w:rPr>
            </w:pPr>
            <w:r w:rsidRPr="00BB34D6">
              <w:rPr>
                <w:sz w:val="18"/>
                <w:szCs w:val="18"/>
              </w:rPr>
              <w:t>Description of data sources</w:t>
            </w:r>
          </w:p>
        </w:tc>
      </w:tr>
      <w:tr w:rsidR="00BB34D6" w:rsidRPr="00BB34D6" w14:paraId="2ED98B70" w14:textId="77777777" w:rsidTr="00AE1928">
        <w:trPr>
          <w:trHeight w:val="409"/>
        </w:trPr>
        <w:tc>
          <w:tcPr>
            <w:tcW w:w="0" w:type="pct"/>
            <w:shd w:val="clear" w:color="auto" w:fill="auto"/>
          </w:tcPr>
          <w:p w14:paraId="240C5B18" w14:textId="77777777" w:rsidR="00BB34D6" w:rsidRPr="00BB34D6" w:rsidRDefault="00BB34D6">
            <w:pPr>
              <w:spacing w:after="0"/>
              <w:textAlignment w:val="baseline"/>
              <w:rPr>
                <w:rFonts w:ascii="Arial" w:hAnsi="Arial" w:cs="Arial"/>
                <w:b/>
                <w:color w:val="222222"/>
                <w:sz w:val="18"/>
                <w:szCs w:val="18"/>
              </w:rPr>
            </w:pPr>
            <w:r w:rsidRPr="00BB34D6">
              <w:rPr>
                <w:rFonts w:ascii="Arial" w:hAnsi="Arial" w:cs="Arial"/>
                <w:b/>
                <w:sz w:val="18"/>
                <w:szCs w:val="18"/>
              </w:rPr>
              <w:t>DFAT Staff</w:t>
            </w:r>
          </w:p>
        </w:tc>
        <w:tc>
          <w:tcPr>
            <w:tcW w:w="0" w:type="pct"/>
            <w:shd w:val="clear" w:color="auto" w:fill="auto"/>
          </w:tcPr>
          <w:p w14:paraId="090F6670" w14:textId="77777777" w:rsidR="00BB34D6" w:rsidRPr="00BB34D6" w:rsidRDefault="00BB34D6">
            <w:pPr>
              <w:pStyle w:val="ListBullet"/>
              <w:rPr>
                <w:color w:val="222222"/>
                <w:sz w:val="18"/>
                <w:szCs w:val="18"/>
              </w:rPr>
            </w:pPr>
            <w:r w:rsidRPr="00BB34D6">
              <w:rPr>
                <w:b/>
                <w:sz w:val="18"/>
                <w:szCs w:val="18"/>
              </w:rPr>
              <w:t xml:space="preserve">15 </w:t>
            </w:r>
            <w:r w:rsidRPr="00BB34D6">
              <w:rPr>
                <w:sz w:val="18"/>
                <w:szCs w:val="18"/>
              </w:rPr>
              <w:t>DFAT Canberra staff consulted, including GEDSI Branch and program managers.</w:t>
            </w:r>
          </w:p>
        </w:tc>
      </w:tr>
      <w:tr w:rsidR="00BB34D6" w:rsidRPr="00BB34D6" w14:paraId="3C1DDAF3" w14:textId="77777777" w:rsidTr="00AE1928">
        <w:trPr>
          <w:trHeight w:val="496"/>
        </w:trPr>
        <w:tc>
          <w:tcPr>
            <w:tcW w:w="0" w:type="pct"/>
            <w:shd w:val="clear" w:color="auto" w:fill="auto"/>
            <w:hideMark/>
          </w:tcPr>
          <w:p w14:paraId="6AC71CBB" w14:textId="77777777" w:rsidR="00BB34D6" w:rsidRPr="00BB34D6" w:rsidRDefault="00BB34D6">
            <w:pPr>
              <w:spacing w:before="0" w:after="0"/>
              <w:textAlignment w:val="baseline"/>
              <w:rPr>
                <w:rFonts w:ascii="Segoe UI" w:hAnsi="Segoe UI" w:cs="Segoe UI"/>
                <w:b/>
                <w:color w:val="222222"/>
                <w:sz w:val="18"/>
                <w:szCs w:val="18"/>
              </w:rPr>
            </w:pPr>
            <w:r w:rsidRPr="00BB34D6">
              <w:rPr>
                <w:rFonts w:ascii="Arial" w:hAnsi="Arial" w:cs="Arial"/>
                <w:b/>
                <w:sz w:val="18"/>
                <w:szCs w:val="18"/>
              </w:rPr>
              <w:t>DFAT bilateral</w:t>
            </w:r>
          </w:p>
        </w:tc>
        <w:tc>
          <w:tcPr>
            <w:tcW w:w="0" w:type="pct"/>
            <w:shd w:val="clear" w:color="auto" w:fill="auto"/>
            <w:hideMark/>
          </w:tcPr>
          <w:p w14:paraId="73A611FD" w14:textId="77777777" w:rsidR="00BB34D6" w:rsidRPr="00BB34D6" w:rsidRDefault="00BB34D6">
            <w:pPr>
              <w:pStyle w:val="ListBullet"/>
              <w:rPr>
                <w:color w:val="222222"/>
                <w:sz w:val="18"/>
                <w:szCs w:val="18"/>
              </w:rPr>
            </w:pPr>
            <w:r w:rsidRPr="00BB34D6">
              <w:rPr>
                <w:b/>
                <w:sz w:val="18"/>
                <w:szCs w:val="18"/>
              </w:rPr>
              <w:t xml:space="preserve">11 </w:t>
            </w:r>
            <w:r w:rsidRPr="00BB34D6">
              <w:rPr>
                <w:sz w:val="18"/>
                <w:szCs w:val="18"/>
              </w:rPr>
              <w:t>people consulted from seven DFAT Posts, including three Posts in the North Pacific.</w:t>
            </w:r>
          </w:p>
          <w:p w14:paraId="450D1204" w14:textId="77777777" w:rsidR="00BB34D6" w:rsidRPr="00BB34D6" w:rsidRDefault="00BB34D6">
            <w:pPr>
              <w:pStyle w:val="ListBullet"/>
              <w:rPr>
                <w:color w:val="222222"/>
                <w:sz w:val="18"/>
                <w:szCs w:val="18"/>
              </w:rPr>
            </w:pPr>
            <w:r w:rsidRPr="00BB34D6">
              <w:rPr>
                <w:b/>
                <w:sz w:val="18"/>
                <w:szCs w:val="18"/>
              </w:rPr>
              <w:t>4</w:t>
            </w:r>
            <w:r w:rsidRPr="00BB34D6">
              <w:rPr>
                <w:sz w:val="18"/>
                <w:szCs w:val="18"/>
              </w:rPr>
              <w:t xml:space="preserve"> staff consulted from three DFAT Facilities</w:t>
            </w:r>
          </w:p>
          <w:p w14:paraId="21790E14" w14:textId="77777777" w:rsidR="00BB34D6" w:rsidRPr="00BB34D6" w:rsidRDefault="00BB34D6">
            <w:pPr>
              <w:pStyle w:val="ListBullet"/>
              <w:rPr>
                <w:color w:val="222222"/>
                <w:sz w:val="18"/>
                <w:szCs w:val="18"/>
              </w:rPr>
            </w:pPr>
            <w:r w:rsidRPr="00BB34D6">
              <w:rPr>
                <w:sz w:val="18"/>
                <w:szCs w:val="18"/>
              </w:rPr>
              <w:t>Country briefs</w:t>
            </w:r>
          </w:p>
        </w:tc>
      </w:tr>
      <w:tr w:rsidR="00BB34D6" w:rsidRPr="00BB34D6" w14:paraId="41D6127B" w14:textId="77777777" w:rsidTr="00AE1928">
        <w:trPr>
          <w:trHeight w:val="321"/>
        </w:trPr>
        <w:tc>
          <w:tcPr>
            <w:tcW w:w="0" w:type="pct"/>
            <w:shd w:val="clear" w:color="auto" w:fill="auto"/>
            <w:hideMark/>
          </w:tcPr>
          <w:p w14:paraId="60657344" w14:textId="77777777" w:rsidR="00BB34D6" w:rsidRPr="00BB34D6" w:rsidRDefault="00BB34D6">
            <w:pPr>
              <w:spacing w:before="0" w:after="0"/>
              <w:textAlignment w:val="baseline"/>
              <w:rPr>
                <w:rFonts w:ascii="Segoe UI" w:hAnsi="Segoe UI" w:cs="Segoe UI"/>
                <w:b/>
                <w:color w:val="222222"/>
                <w:sz w:val="18"/>
                <w:szCs w:val="18"/>
              </w:rPr>
            </w:pPr>
            <w:r w:rsidRPr="00BB34D6">
              <w:rPr>
                <w:rFonts w:ascii="Arial" w:hAnsi="Arial" w:cs="Arial"/>
                <w:b/>
                <w:sz w:val="18"/>
                <w:szCs w:val="18"/>
              </w:rPr>
              <w:t>DFAT regional partners</w:t>
            </w:r>
          </w:p>
        </w:tc>
        <w:tc>
          <w:tcPr>
            <w:tcW w:w="0" w:type="pct"/>
            <w:shd w:val="clear" w:color="auto" w:fill="auto"/>
            <w:hideMark/>
          </w:tcPr>
          <w:p w14:paraId="2F03F37C" w14:textId="5585FA00" w:rsidR="00BB34D6" w:rsidRPr="00BB34D6" w:rsidRDefault="00857C16">
            <w:pPr>
              <w:pStyle w:val="ListBullet"/>
              <w:rPr>
                <w:color w:val="222222"/>
                <w:sz w:val="18"/>
                <w:szCs w:val="18"/>
              </w:rPr>
            </w:pPr>
            <w:r>
              <w:rPr>
                <w:b/>
                <w:sz w:val="18"/>
                <w:szCs w:val="18"/>
              </w:rPr>
              <w:t>10</w:t>
            </w:r>
            <w:r w:rsidR="00BB34D6" w:rsidRPr="00BB34D6">
              <w:rPr>
                <w:b/>
                <w:sz w:val="18"/>
                <w:szCs w:val="18"/>
              </w:rPr>
              <w:t xml:space="preserve"> </w:t>
            </w:r>
            <w:r w:rsidR="00BB34D6" w:rsidRPr="00BB34D6">
              <w:rPr>
                <w:sz w:val="18"/>
                <w:szCs w:val="18"/>
              </w:rPr>
              <w:t xml:space="preserve">people consulted from DFAT regional partners, including </w:t>
            </w:r>
            <w:r w:rsidR="00C1511B">
              <w:rPr>
                <w:sz w:val="18"/>
                <w:szCs w:val="18"/>
              </w:rPr>
              <w:t>PIFS</w:t>
            </w:r>
            <w:r w:rsidR="00BB34D6" w:rsidRPr="00BB34D6">
              <w:rPr>
                <w:sz w:val="18"/>
                <w:szCs w:val="18"/>
              </w:rPr>
              <w:t xml:space="preserve">, UN Women, and Sports Programs. </w:t>
            </w:r>
          </w:p>
          <w:p w14:paraId="45A0B895" w14:textId="77777777" w:rsidR="00BB34D6" w:rsidRPr="00BB34D6" w:rsidRDefault="00BB34D6">
            <w:pPr>
              <w:pStyle w:val="ListBullet"/>
              <w:rPr>
                <w:color w:val="222222"/>
                <w:sz w:val="18"/>
                <w:szCs w:val="18"/>
              </w:rPr>
            </w:pPr>
            <w:r w:rsidRPr="00BB34D6">
              <w:rPr>
                <w:sz w:val="18"/>
                <w:szCs w:val="18"/>
              </w:rPr>
              <w:t>Evaluations and progress reports for regional programs.</w:t>
            </w:r>
          </w:p>
        </w:tc>
      </w:tr>
      <w:tr w:rsidR="00BB34D6" w:rsidRPr="00BB34D6" w14:paraId="4A6274CA" w14:textId="77777777" w:rsidTr="00AE1928">
        <w:trPr>
          <w:trHeight w:val="584"/>
        </w:trPr>
        <w:tc>
          <w:tcPr>
            <w:tcW w:w="0" w:type="pct"/>
            <w:shd w:val="clear" w:color="auto" w:fill="auto"/>
            <w:hideMark/>
          </w:tcPr>
          <w:p w14:paraId="4C8FD72B" w14:textId="77777777" w:rsidR="00BB34D6" w:rsidRPr="00BB34D6" w:rsidRDefault="00BB34D6">
            <w:pPr>
              <w:spacing w:before="0" w:after="0"/>
              <w:textAlignment w:val="baseline"/>
              <w:rPr>
                <w:rFonts w:ascii="Segoe UI" w:hAnsi="Segoe UI" w:cs="Segoe UI"/>
                <w:b/>
                <w:color w:val="222222"/>
                <w:sz w:val="18"/>
                <w:szCs w:val="18"/>
              </w:rPr>
            </w:pPr>
            <w:r w:rsidRPr="00BB34D6">
              <w:rPr>
                <w:rFonts w:ascii="Arial" w:hAnsi="Arial" w:cs="Arial"/>
                <w:b/>
                <w:sz w:val="18"/>
                <w:szCs w:val="18"/>
              </w:rPr>
              <w:t>PWL Governance Board</w:t>
            </w:r>
          </w:p>
        </w:tc>
        <w:tc>
          <w:tcPr>
            <w:tcW w:w="0" w:type="pct"/>
            <w:shd w:val="clear" w:color="auto" w:fill="auto"/>
            <w:hideMark/>
          </w:tcPr>
          <w:p w14:paraId="453E6855" w14:textId="4C7C4C4C" w:rsidR="00BB34D6" w:rsidRPr="00BB34D6" w:rsidRDefault="00BB34D6">
            <w:pPr>
              <w:pStyle w:val="ListBullet"/>
              <w:rPr>
                <w:color w:val="222222"/>
                <w:sz w:val="18"/>
                <w:szCs w:val="18"/>
              </w:rPr>
            </w:pPr>
            <w:r w:rsidRPr="00BB34D6">
              <w:rPr>
                <w:b/>
                <w:sz w:val="18"/>
                <w:szCs w:val="18"/>
              </w:rPr>
              <w:t>1</w:t>
            </w:r>
            <w:r w:rsidR="003D27A9">
              <w:rPr>
                <w:b/>
                <w:sz w:val="18"/>
                <w:szCs w:val="18"/>
              </w:rPr>
              <w:t>4</w:t>
            </w:r>
            <w:r w:rsidRPr="00BB34D6">
              <w:rPr>
                <w:b/>
                <w:sz w:val="18"/>
                <w:szCs w:val="18"/>
              </w:rPr>
              <w:t xml:space="preserve"> </w:t>
            </w:r>
            <w:r w:rsidRPr="00BB34D6">
              <w:rPr>
                <w:sz w:val="18"/>
                <w:szCs w:val="18"/>
              </w:rPr>
              <w:t>PWL Governance Board members consulted, including co-Chairs.</w:t>
            </w:r>
          </w:p>
          <w:p w14:paraId="06356B4F" w14:textId="77777777" w:rsidR="00BB34D6" w:rsidRPr="00BB34D6" w:rsidRDefault="00BB34D6">
            <w:pPr>
              <w:pStyle w:val="ListBullet"/>
              <w:rPr>
                <w:color w:val="222222"/>
                <w:sz w:val="18"/>
                <w:szCs w:val="18"/>
              </w:rPr>
            </w:pPr>
            <w:r w:rsidRPr="00BB34D6">
              <w:rPr>
                <w:sz w:val="18"/>
                <w:szCs w:val="18"/>
              </w:rPr>
              <w:t>PWL Governance Board TOR and meeting minutes.</w:t>
            </w:r>
          </w:p>
        </w:tc>
      </w:tr>
      <w:tr w:rsidR="00BB34D6" w:rsidRPr="00BB34D6" w14:paraId="6A7FADA1" w14:textId="77777777" w:rsidTr="00AE1928">
        <w:trPr>
          <w:trHeight w:val="684"/>
        </w:trPr>
        <w:tc>
          <w:tcPr>
            <w:tcW w:w="0" w:type="pct"/>
            <w:shd w:val="clear" w:color="auto" w:fill="auto"/>
            <w:hideMark/>
          </w:tcPr>
          <w:p w14:paraId="3E2740F9" w14:textId="77777777" w:rsidR="00BB34D6" w:rsidRPr="00BB34D6" w:rsidRDefault="00BB34D6">
            <w:pPr>
              <w:spacing w:before="0" w:after="0"/>
              <w:textAlignment w:val="baseline"/>
              <w:rPr>
                <w:rFonts w:ascii="Segoe UI" w:hAnsi="Segoe UI" w:cs="Segoe UI"/>
                <w:b/>
                <w:color w:val="222222"/>
                <w:sz w:val="18"/>
                <w:szCs w:val="18"/>
              </w:rPr>
            </w:pPr>
            <w:r w:rsidRPr="00BB34D6">
              <w:rPr>
                <w:rFonts w:ascii="Arial" w:hAnsi="Arial" w:cs="Arial"/>
                <w:b/>
                <w:sz w:val="18"/>
                <w:szCs w:val="18"/>
              </w:rPr>
              <w:t>SPC</w:t>
            </w:r>
          </w:p>
        </w:tc>
        <w:tc>
          <w:tcPr>
            <w:tcW w:w="0" w:type="pct"/>
            <w:shd w:val="clear" w:color="auto" w:fill="auto"/>
            <w:hideMark/>
          </w:tcPr>
          <w:p w14:paraId="02F47743" w14:textId="4DC807F3" w:rsidR="00BB34D6" w:rsidRPr="00BB34D6" w:rsidRDefault="00CF4EE6">
            <w:pPr>
              <w:pStyle w:val="ListBullet"/>
              <w:rPr>
                <w:color w:val="222222"/>
                <w:sz w:val="18"/>
                <w:szCs w:val="18"/>
              </w:rPr>
            </w:pPr>
            <w:r>
              <w:rPr>
                <w:b/>
                <w:sz w:val="18"/>
                <w:szCs w:val="18"/>
              </w:rPr>
              <w:t>15</w:t>
            </w:r>
            <w:r w:rsidR="00BB34D6" w:rsidRPr="00BB34D6">
              <w:rPr>
                <w:sz w:val="18"/>
                <w:szCs w:val="18"/>
              </w:rPr>
              <w:t xml:space="preserve"> SPC staff consulted</w:t>
            </w:r>
          </w:p>
          <w:p w14:paraId="779000E8" w14:textId="77777777" w:rsidR="00BB34D6" w:rsidRPr="00BB34D6" w:rsidRDefault="0A624EE1">
            <w:pPr>
              <w:pStyle w:val="ListBullet"/>
              <w:rPr>
                <w:color w:val="222222"/>
                <w:sz w:val="18"/>
                <w:szCs w:val="18"/>
              </w:rPr>
            </w:pPr>
            <w:r w:rsidRPr="3BBBFC65">
              <w:rPr>
                <w:sz w:val="18"/>
                <w:szCs w:val="18"/>
              </w:rPr>
              <w:t xml:space="preserve">(Also includes contributions from the </w:t>
            </w:r>
            <w:r w:rsidRPr="3BBBFC65">
              <w:rPr>
                <w:b/>
                <w:bCs/>
                <w:sz w:val="18"/>
                <w:szCs w:val="18"/>
              </w:rPr>
              <w:t>75</w:t>
            </w:r>
            <w:r w:rsidRPr="3BBBFC65">
              <w:rPr>
                <w:sz w:val="18"/>
                <w:szCs w:val="18"/>
              </w:rPr>
              <w:t xml:space="preserve"> people consulted for the concurrent SPC MTR that informed this report, including 28 SPC staff)</w:t>
            </w:r>
          </w:p>
        </w:tc>
      </w:tr>
      <w:tr w:rsidR="00BB34D6" w:rsidRPr="00BB34D6" w14:paraId="7A6182EA" w14:textId="77777777" w:rsidTr="00AE1928">
        <w:trPr>
          <w:trHeight w:val="584"/>
        </w:trPr>
        <w:tc>
          <w:tcPr>
            <w:tcW w:w="0" w:type="pct"/>
            <w:shd w:val="clear" w:color="auto" w:fill="auto"/>
            <w:hideMark/>
          </w:tcPr>
          <w:p w14:paraId="3F34F93E" w14:textId="77777777" w:rsidR="00BB34D6" w:rsidRPr="00BB34D6" w:rsidRDefault="00BB34D6">
            <w:pPr>
              <w:spacing w:before="0" w:after="0"/>
              <w:textAlignment w:val="baseline"/>
              <w:rPr>
                <w:rFonts w:ascii="Segoe UI" w:hAnsi="Segoe UI" w:cs="Segoe UI"/>
                <w:b/>
                <w:color w:val="222222"/>
                <w:sz w:val="18"/>
                <w:szCs w:val="18"/>
              </w:rPr>
            </w:pPr>
            <w:r w:rsidRPr="00BB34D6">
              <w:rPr>
                <w:rFonts w:ascii="Arial" w:hAnsi="Arial" w:cs="Arial"/>
                <w:b/>
                <w:sz w:val="18"/>
                <w:szCs w:val="18"/>
              </w:rPr>
              <w:t>Women’s Funds</w:t>
            </w:r>
          </w:p>
        </w:tc>
        <w:tc>
          <w:tcPr>
            <w:tcW w:w="0" w:type="pct"/>
            <w:shd w:val="clear" w:color="auto" w:fill="auto"/>
            <w:hideMark/>
          </w:tcPr>
          <w:p w14:paraId="6E4A8DBF" w14:textId="77777777" w:rsidR="00BB34D6" w:rsidRPr="00BB34D6" w:rsidRDefault="00BB34D6">
            <w:pPr>
              <w:pStyle w:val="ListBullet"/>
              <w:rPr>
                <w:color w:val="222222"/>
                <w:sz w:val="18"/>
                <w:szCs w:val="18"/>
              </w:rPr>
            </w:pPr>
            <w:r w:rsidRPr="00BB34D6">
              <w:rPr>
                <w:b/>
                <w:sz w:val="18"/>
                <w:szCs w:val="18"/>
              </w:rPr>
              <w:t>8</w:t>
            </w:r>
            <w:r w:rsidRPr="00BB34D6">
              <w:rPr>
                <w:sz w:val="18"/>
                <w:szCs w:val="18"/>
              </w:rPr>
              <w:t xml:space="preserve"> people consulted from AIR partners</w:t>
            </w:r>
          </w:p>
          <w:p w14:paraId="3D2CCA81" w14:textId="77777777" w:rsidR="00BB34D6" w:rsidRPr="00BB34D6" w:rsidRDefault="00BB34D6">
            <w:pPr>
              <w:pStyle w:val="ListBullet"/>
              <w:rPr>
                <w:color w:val="222222"/>
                <w:sz w:val="18"/>
                <w:szCs w:val="18"/>
              </w:rPr>
            </w:pPr>
            <w:r w:rsidRPr="00BB34D6">
              <w:rPr>
                <w:sz w:val="18"/>
                <w:szCs w:val="18"/>
              </w:rPr>
              <w:t>Partner progress reports</w:t>
            </w:r>
          </w:p>
        </w:tc>
      </w:tr>
      <w:tr w:rsidR="00BB34D6" w:rsidRPr="00BB34D6" w14:paraId="5B63A544" w14:textId="77777777" w:rsidTr="00AE1928">
        <w:trPr>
          <w:trHeight w:val="373"/>
        </w:trPr>
        <w:tc>
          <w:tcPr>
            <w:tcW w:w="0" w:type="pct"/>
            <w:shd w:val="clear" w:color="auto" w:fill="auto"/>
            <w:hideMark/>
          </w:tcPr>
          <w:p w14:paraId="09E832DD" w14:textId="77777777" w:rsidR="00BB34D6" w:rsidRPr="00BB34D6" w:rsidRDefault="00BB34D6">
            <w:pPr>
              <w:spacing w:before="0" w:after="0"/>
              <w:textAlignment w:val="baseline"/>
              <w:rPr>
                <w:rFonts w:ascii="Segoe UI" w:hAnsi="Segoe UI" w:cs="Segoe UI"/>
                <w:b/>
                <w:color w:val="222222"/>
                <w:sz w:val="18"/>
                <w:szCs w:val="18"/>
              </w:rPr>
            </w:pPr>
            <w:r w:rsidRPr="00BB34D6">
              <w:rPr>
                <w:rFonts w:ascii="Arial" w:hAnsi="Arial" w:cs="Arial"/>
                <w:b/>
                <w:sz w:val="18"/>
                <w:szCs w:val="18"/>
              </w:rPr>
              <w:t>PWLES</w:t>
            </w:r>
          </w:p>
        </w:tc>
        <w:tc>
          <w:tcPr>
            <w:tcW w:w="0" w:type="pct"/>
            <w:shd w:val="clear" w:color="auto" w:fill="auto"/>
            <w:hideMark/>
          </w:tcPr>
          <w:p w14:paraId="2BF3F279" w14:textId="77777777" w:rsidR="00BB34D6" w:rsidRPr="00BB34D6" w:rsidRDefault="00BB34D6">
            <w:pPr>
              <w:pStyle w:val="ListBullet"/>
              <w:rPr>
                <w:color w:val="222222"/>
                <w:sz w:val="18"/>
                <w:szCs w:val="18"/>
              </w:rPr>
            </w:pPr>
            <w:r w:rsidRPr="00BB34D6">
              <w:rPr>
                <w:b/>
                <w:sz w:val="18"/>
                <w:szCs w:val="18"/>
              </w:rPr>
              <w:t>23</w:t>
            </w:r>
            <w:r w:rsidRPr="00BB34D6">
              <w:rPr>
                <w:sz w:val="18"/>
                <w:szCs w:val="18"/>
              </w:rPr>
              <w:t xml:space="preserve"> people consulted, including eight PWLES and DT Global staff, eight QTAG advisors, three PWLES advisors, two partnership brokers, and representatives from DIVA for Equality (DIVA) and Pacific Disability Forum.</w:t>
            </w:r>
          </w:p>
          <w:p w14:paraId="48A9C98C" w14:textId="77777777" w:rsidR="00BB34D6" w:rsidRPr="00BB34D6" w:rsidRDefault="00BB34D6">
            <w:pPr>
              <w:pStyle w:val="ListBullet"/>
              <w:rPr>
                <w:color w:val="222222"/>
                <w:sz w:val="18"/>
                <w:szCs w:val="18"/>
              </w:rPr>
            </w:pPr>
            <w:r w:rsidRPr="00BB34D6">
              <w:rPr>
                <w:b/>
                <w:sz w:val="18"/>
                <w:szCs w:val="18"/>
              </w:rPr>
              <w:t xml:space="preserve">9 </w:t>
            </w:r>
            <w:r w:rsidRPr="00BB34D6">
              <w:rPr>
                <w:sz w:val="18"/>
                <w:szCs w:val="18"/>
              </w:rPr>
              <w:t>people from regional programs, including We Rise and Balance of Power.</w:t>
            </w:r>
          </w:p>
          <w:p w14:paraId="34A5E58A" w14:textId="77777777" w:rsidR="00BB34D6" w:rsidRPr="00BB34D6" w:rsidRDefault="00BB34D6">
            <w:pPr>
              <w:pStyle w:val="ListBullet"/>
              <w:rPr>
                <w:color w:val="222222"/>
                <w:sz w:val="18"/>
                <w:szCs w:val="18"/>
              </w:rPr>
            </w:pPr>
            <w:r w:rsidRPr="00BB34D6">
              <w:rPr>
                <w:sz w:val="18"/>
                <w:szCs w:val="18"/>
              </w:rPr>
              <w:t>Key documents: Annual workplans, Quarterly reports, PPAs and country briefs.</w:t>
            </w:r>
          </w:p>
        </w:tc>
      </w:tr>
      <w:tr w:rsidR="00BB34D6" w:rsidRPr="00BB34D6" w14:paraId="4576FB23" w14:textId="77777777" w:rsidTr="00AE1928">
        <w:trPr>
          <w:trHeight w:val="130"/>
        </w:trPr>
        <w:tc>
          <w:tcPr>
            <w:tcW w:w="0" w:type="pct"/>
            <w:shd w:val="clear" w:color="auto" w:fill="auto"/>
          </w:tcPr>
          <w:p w14:paraId="18C7FC25" w14:textId="77777777" w:rsidR="00BB34D6" w:rsidRPr="00BB34D6" w:rsidRDefault="00BB34D6">
            <w:pPr>
              <w:spacing w:after="0"/>
              <w:textAlignment w:val="baseline"/>
              <w:rPr>
                <w:rFonts w:ascii="Arial" w:hAnsi="Arial" w:cs="Arial"/>
                <w:b/>
                <w:bCs/>
                <w:sz w:val="18"/>
                <w:szCs w:val="18"/>
              </w:rPr>
            </w:pPr>
            <w:r w:rsidRPr="00BB34D6">
              <w:rPr>
                <w:rFonts w:ascii="Arial" w:hAnsi="Arial" w:cs="Arial"/>
                <w:b/>
                <w:bCs/>
                <w:sz w:val="18"/>
                <w:szCs w:val="18"/>
              </w:rPr>
              <w:t>Grantees</w:t>
            </w:r>
          </w:p>
        </w:tc>
        <w:tc>
          <w:tcPr>
            <w:tcW w:w="0" w:type="pct"/>
            <w:shd w:val="clear" w:color="auto" w:fill="auto"/>
          </w:tcPr>
          <w:p w14:paraId="4B20D422" w14:textId="77777777" w:rsidR="00BB34D6" w:rsidRPr="00BB34D6" w:rsidRDefault="00BB34D6">
            <w:pPr>
              <w:pStyle w:val="ListBullet"/>
              <w:rPr>
                <w:sz w:val="18"/>
                <w:szCs w:val="18"/>
              </w:rPr>
            </w:pPr>
            <w:r w:rsidRPr="00BB34D6">
              <w:rPr>
                <w:sz w:val="18"/>
                <w:szCs w:val="18"/>
              </w:rPr>
              <w:t>Facilitated group discussions with grantees during the ARAW.</w:t>
            </w:r>
          </w:p>
        </w:tc>
      </w:tr>
      <w:tr w:rsidR="00BB34D6" w:rsidRPr="00BB34D6" w14:paraId="5F989585" w14:textId="77777777" w:rsidTr="00AE1928">
        <w:trPr>
          <w:trHeight w:val="130"/>
        </w:trPr>
        <w:tc>
          <w:tcPr>
            <w:tcW w:w="0" w:type="pct"/>
            <w:shd w:val="clear" w:color="auto" w:fill="auto"/>
          </w:tcPr>
          <w:p w14:paraId="008D3EF1" w14:textId="77777777" w:rsidR="00BB34D6" w:rsidRPr="00BB34D6" w:rsidRDefault="00BB34D6">
            <w:pPr>
              <w:spacing w:after="0"/>
              <w:textAlignment w:val="baseline"/>
              <w:rPr>
                <w:rFonts w:ascii="Arial" w:hAnsi="Arial" w:cs="Arial"/>
                <w:b/>
                <w:color w:val="222222"/>
                <w:sz w:val="18"/>
                <w:szCs w:val="18"/>
              </w:rPr>
            </w:pPr>
            <w:r w:rsidRPr="00BB34D6">
              <w:rPr>
                <w:rFonts w:ascii="Arial" w:hAnsi="Arial" w:cs="Arial"/>
                <w:b/>
                <w:sz w:val="18"/>
                <w:szCs w:val="18"/>
              </w:rPr>
              <w:t>All/ other</w:t>
            </w:r>
          </w:p>
        </w:tc>
        <w:tc>
          <w:tcPr>
            <w:tcW w:w="0" w:type="pct"/>
            <w:shd w:val="clear" w:color="auto" w:fill="auto"/>
          </w:tcPr>
          <w:p w14:paraId="45B45321" w14:textId="77777777" w:rsidR="00BB34D6" w:rsidRPr="00BB34D6" w:rsidRDefault="00BB34D6">
            <w:pPr>
              <w:pStyle w:val="ListBullet"/>
              <w:rPr>
                <w:color w:val="222222"/>
                <w:sz w:val="18"/>
                <w:szCs w:val="18"/>
              </w:rPr>
            </w:pPr>
            <w:r w:rsidRPr="00BB34D6">
              <w:rPr>
                <w:sz w:val="18"/>
                <w:szCs w:val="18"/>
              </w:rPr>
              <w:t>Key documents: PWL Formative Situational Analysis, program dashboard and design documents, impact stories and results charts, recommendations tracker and annual report.</w:t>
            </w:r>
          </w:p>
          <w:p w14:paraId="31E5FFF1" w14:textId="77777777" w:rsidR="00BB34D6" w:rsidRPr="00BB34D6" w:rsidRDefault="00BB34D6">
            <w:pPr>
              <w:pStyle w:val="ListBullet"/>
              <w:rPr>
                <w:color w:val="222222"/>
                <w:sz w:val="18"/>
                <w:szCs w:val="18"/>
              </w:rPr>
            </w:pPr>
            <w:r w:rsidRPr="00BB34D6">
              <w:rPr>
                <w:sz w:val="18"/>
                <w:szCs w:val="18"/>
              </w:rPr>
              <w:t>Notes from MTR validation workshop</w:t>
            </w:r>
          </w:p>
        </w:tc>
      </w:tr>
    </w:tbl>
    <w:p w14:paraId="7BACE867" w14:textId="77777777" w:rsidR="00BB34D6" w:rsidRPr="00EE243C" w:rsidRDefault="00BB34D6" w:rsidP="00074B99">
      <w:pPr>
        <w:pStyle w:val="Heading3nonumber"/>
        <w:outlineLvl w:val="9"/>
      </w:pPr>
      <w:r w:rsidRPr="00EE243C">
        <w:t>Limitations and considerations in reading this report</w:t>
      </w:r>
    </w:p>
    <w:p w14:paraId="335CB67F" w14:textId="77777777" w:rsidR="00BB34D6" w:rsidRDefault="00BB34D6" w:rsidP="00BB34D6">
      <w:r w:rsidRPr="00EE243C">
        <w:t xml:space="preserve">The review encountered several key limitations that influenced data collection and analysis. </w:t>
      </w:r>
    </w:p>
    <w:p w14:paraId="06D20261" w14:textId="77777777" w:rsidR="00BB34D6" w:rsidRPr="00EE243C" w:rsidRDefault="00BB34D6" w:rsidP="00BB34D6">
      <w:pPr>
        <w:rPr>
          <w:rFonts w:cstheme="minorHAnsi"/>
        </w:rPr>
      </w:pPr>
      <w:r w:rsidRPr="00EE243C">
        <w:rPr>
          <w:rFonts w:cstheme="minorHAnsi"/>
        </w:rPr>
        <w:lastRenderedPageBreak/>
        <w:t>M</w:t>
      </w:r>
      <w:r w:rsidRPr="00EE243C">
        <w:rPr>
          <w:rFonts w:cstheme="minorHAnsi"/>
          <w:szCs w:val="21"/>
        </w:rPr>
        <w:t xml:space="preserve">ethodological limitations had minimal impact on the review process, with only a small number of key partners remaining unreachable despite </w:t>
      </w:r>
      <w:r>
        <w:rPr>
          <w:rFonts w:cstheme="minorHAnsi"/>
          <w:szCs w:val="21"/>
        </w:rPr>
        <w:t xml:space="preserve">multiple and </w:t>
      </w:r>
      <w:r w:rsidRPr="00EE243C">
        <w:rPr>
          <w:rFonts w:cstheme="minorHAnsi"/>
          <w:szCs w:val="21"/>
        </w:rPr>
        <w:t>flexible consultation efforts</w:t>
      </w:r>
      <w:r>
        <w:rPr>
          <w:rFonts w:cstheme="minorHAnsi"/>
          <w:szCs w:val="21"/>
        </w:rPr>
        <w:t>.</w:t>
      </w:r>
      <w:r w:rsidRPr="00EE243C">
        <w:rPr>
          <w:rFonts w:cstheme="minorHAnsi"/>
          <w:szCs w:val="21"/>
        </w:rPr>
        <w:t xml:space="preserve"> </w:t>
      </w:r>
      <w:r>
        <w:rPr>
          <w:rFonts w:cstheme="minorHAnsi"/>
          <w:szCs w:val="21"/>
        </w:rPr>
        <w:t>T</w:t>
      </w:r>
      <w:r w:rsidRPr="00EE243C">
        <w:rPr>
          <w:rFonts w:cstheme="minorHAnsi"/>
          <w:szCs w:val="21"/>
        </w:rPr>
        <w:t>he team</w:t>
      </w:r>
      <w:r>
        <w:rPr>
          <w:rFonts w:cstheme="minorHAnsi"/>
          <w:szCs w:val="21"/>
        </w:rPr>
        <w:t xml:space="preserve"> nevertheless</w:t>
      </w:r>
      <w:r w:rsidRPr="00EE243C">
        <w:rPr>
          <w:rFonts w:cstheme="minorHAnsi"/>
          <w:szCs w:val="21"/>
        </w:rPr>
        <w:t xml:space="preserve"> ensured </w:t>
      </w:r>
      <w:r>
        <w:rPr>
          <w:rFonts w:cstheme="minorHAnsi"/>
          <w:szCs w:val="21"/>
        </w:rPr>
        <w:t xml:space="preserve">appropriate levels of </w:t>
      </w:r>
      <w:r w:rsidRPr="00EE243C">
        <w:rPr>
          <w:rFonts w:cstheme="minorHAnsi"/>
          <w:szCs w:val="21"/>
        </w:rPr>
        <w:t>representation from all stakeholder groups</w:t>
      </w:r>
      <w:r>
        <w:rPr>
          <w:rFonts w:cstheme="minorHAnsi"/>
          <w:szCs w:val="21"/>
        </w:rPr>
        <w:t>, bringing in alternative voices when the nominated stakeholder was unavailable</w:t>
      </w:r>
      <w:r w:rsidRPr="00EE243C">
        <w:rPr>
          <w:rFonts w:cstheme="minorHAnsi"/>
          <w:szCs w:val="21"/>
        </w:rPr>
        <w:t>.</w:t>
      </w:r>
    </w:p>
    <w:p w14:paraId="41B1E75B" w14:textId="63D28B33" w:rsidR="00BB34D6" w:rsidRDefault="0A624EE1" w:rsidP="00BB34D6">
      <w:r>
        <w:t xml:space="preserve">A primary consideration in interpreting this report's findings is the imbalanced depth of analysis across program components. The MTR intentionally focuses more attention on SPC, PWLES and the PWL Governance Board in line with agreed MTR </w:t>
      </w:r>
      <w:proofErr w:type="spellStart"/>
      <w:r>
        <w:t>ToR</w:t>
      </w:r>
      <w:proofErr w:type="spellEnd"/>
      <w:r>
        <w:t xml:space="preserve"> and Plan, as an upcoming evaluation will explore the Women’s Funds in depth and separate previous evaluations explored the effectiveness of the UN programs supported under PWL’s regional program and </w:t>
      </w:r>
      <w:r w:rsidR="00832B49">
        <w:t>bilateral</w:t>
      </w:r>
      <w:r>
        <w:t xml:space="preserve"> programs supported by Posts. The focus on selected components influenced stakeholders selected for consultation and resulted in fewer interviews (particularly with grantees) directly related to the Women’s Funds and DFAT regional and bilateral programs. The findings on these components instead draw heavily from consultations with leadership and staff from the relevant components, observations and discussions during the 2024 ARAW, and feedback gathered from the validation workshops. The SPC component, having undertaken its own process-focused MTR, benefits from substantially more comprehensive data collection and analysis compared to other program areas. This results in a more thorough exploration of the SPC component's opportunities, challenges, strengths, and weaknesses, while other components may not be examined with the same level of detail. </w:t>
      </w:r>
    </w:p>
    <w:p w14:paraId="610556AA" w14:textId="77777777" w:rsidR="00BB34D6" w:rsidRPr="00EE243C" w:rsidRDefault="00BB34D6" w:rsidP="00BB34D6">
      <w:pPr>
        <w:rPr>
          <w:rFonts w:cstheme="minorHAnsi"/>
        </w:rPr>
      </w:pPr>
      <w:r w:rsidRPr="00EE243C">
        <w:rPr>
          <w:rFonts w:cstheme="minorHAnsi"/>
        </w:rPr>
        <w:t xml:space="preserve">Additionally, while the team made every effort to facilitate group conversations in a safe and inclusive way, power dynamics within focus group discussions and limited opportunity to engage with the draft findings prior to the validation workshops may have influenced participation levels and response content, </w:t>
      </w:r>
      <w:bookmarkStart w:id="88" w:name="_Int_1Gf5ltKO"/>
      <w:r w:rsidRPr="00EE243C">
        <w:rPr>
          <w:rFonts w:cstheme="minorHAnsi"/>
        </w:rPr>
        <w:t>which warrant</w:t>
      </w:r>
      <w:bookmarkEnd w:id="88"/>
      <w:r w:rsidRPr="00EE243C">
        <w:rPr>
          <w:rFonts w:cstheme="minorHAnsi"/>
        </w:rPr>
        <w:t>s consideration when interpreting the findings. The draft report was circulated to partners for written comments which were addressed prior to finalising this report.</w:t>
      </w:r>
    </w:p>
    <w:p w14:paraId="75EB3DEA" w14:textId="77777777" w:rsidR="00BB34D6" w:rsidRPr="00BB34D6" w:rsidRDefault="00BB34D6" w:rsidP="00BB34D6"/>
    <w:p w14:paraId="449E6B4F" w14:textId="1A25C5A5" w:rsidR="009A1F11" w:rsidRDefault="00074B99" w:rsidP="00074B99">
      <w:pPr>
        <w:pStyle w:val="Heading1"/>
        <w:numPr>
          <w:ilvl w:val="0"/>
          <w:numId w:val="0"/>
        </w:numPr>
      </w:pPr>
      <w:bookmarkStart w:id="89" w:name="_Toc201840803"/>
      <w:bookmarkStart w:id="90" w:name="_Ref193731530"/>
      <w:r>
        <w:lastRenderedPageBreak/>
        <w:t xml:space="preserve">Appendix C </w:t>
      </w:r>
      <w:r w:rsidR="009A1F11">
        <w:t>Data sources</w:t>
      </w:r>
      <w:bookmarkEnd w:id="89"/>
    </w:p>
    <w:p w14:paraId="7AB4DE44" w14:textId="60E8A410" w:rsidR="001607E7" w:rsidRDefault="001607E7" w:rsidP="00074B99">
      <w:pPr>
        <w:pStyle w:val="Heading2nonumber"/>
        <w:outlineLvl w:val="9"/>
      </w:pPr>
      <w:bookmarkStart w:id="91" w:name="_Toc198806465"/>
      <w:r>
        <w:t>Documents reviewed</w:t>
      </w:r>
      <w:bookmarkEnd w:id="91"/>
    </w:p>
    <w:tbl>
      <w:tblPr>
        <w:tblStyle w:val="TableGrid"/>
        <w:tblW w:w="9781" w:type="dxa"/>
        <w:tblLook w:val="04A0" w:firstRow="1" w:lastRow="0" w:firstColumn="1" w:lastColumn="0" w:noHBand="0" w:noVBand="1"/>
      </w:tblPr>
      <w:tblGrid>
        <w:gridCol w:w="7797"/>
        <w:gridCol w:w="1984"/>
      </w:tblGrid>
      <w:tr w:rsidR="00A30841" w:rsidRPr="003405CC" w14:paraId="27708AF6" w14:textId="77777777" w:rsidTr="006D46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7" w:type="dxa"/>
          </w:tcPr>
          <w:p w14:paraId="79D120F0" w14:textId="5A64D59F" w:rsidR="00A30841" w:rsidRPr="003405CC" w:rsidRDefault="00A30841" w:rsidP="001607E7">
            <w:pPr>
              <w:rPr>
                <w:sz w:val="18"/>
                <w:szCs w:val="18"/>
              </w:rPr>
            </w:pPr>
            <w:r w:rsidRPr="003405CC">
              <w:rPr>
                <w:sz w:val="18"/>
                <w:szCs w:val="18"/>
              </w:rPr>
              <w:t>Documents</w:t>
            </w:r>
          </w:p>
        </w:tc>
        <w:tc>
          <w:tcPr>
            <w:tcW w:w="1984" w:type="dxa"/>
          </w:tcPr>
          <w:p w14:paraId="66E983C2" w14:textId="1718D9AF" w:rsidR="00A30841" w:rsidRPr="003405CC" w:rsidRDefault="00A30841" w:rsidP="001F35AD">
            <w:pPr>
              <w:ind w:right="-109"/>
              <w:cnfStyle w:val="100000000000" w:firstRow="1" w:lastRow="0" w:firstColumn="0" w:lastColumn="0" w:oddVBand="0" w:evenVBand="0" w:oddHBand="0" w:evenHBand="0" w:firstRowFirstColumn="0" w:firstRowLastColumn="0" w:lastRowFirstColumn="0" w:lastRowLastColumn="0"/>
              <w:rPr>
                <w:sz w:val="18"/>
                <w:szCs w:val="18"/>
              </w:rPr>
            </w:pPr>
            <w:r w:rsidRPr="003405CC">
              <w:rPr>
                <w:sz w:val="18"/>
                <w:szCs w:val="18"/>
              </w:rPr>
              <w:t>No. Documents</w:t>
            </w:r>
          </w:p>
        </w:tc>
      </w:tr>
      <w:tr w:rsidR="00A30841" w:rsidRPr="003405CC" w14:paraId="66BAEA76"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5C9BA551" w14:textId="3EBA30CF" w:rsidR="00A30841" w:rsidRPr="003D7DCE" w:rsidRDefault="00A30841" w:rsidP="001607E7">
            <w:pPr>
              <w:rPr>
                <w:sz w:val="18"/>
                <w:szCs w:val="18"/>
              </w:rPr>
            </w:pPr>
            <w:r w:rsidRPr="003D7DCE">
              <w:rPr>
                <w:sz w:val="18"/>
                <w:szCs w:val="18"/>
              </w:rPr>
              <w:t>Baseline assessments including Formative Situational Analysis</w:t>
            </w:r>
          </w:p>
        </w:tc>
        <w:tc>
          <w:tcPr>
            <w:tcW w:w="1984" w:type="dxa"/>
          </w:tcPr>
          <w:p w14:paraId="5A2208DD" w14:textId="29BDCEC7"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8</w:t>
            </w:r>
          </w:p>
        </w:tc>
      </w:tr>
      <w:tr w:rsidR="00A30841" w:rsidRPr="003405CC" w14:paraId="55C641BE"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3FDB3AE9" w14:textId="4777C669" w:rsidR="00A30841" w:rsidRPr="003D7DCE" w:rsidRDefault="00A30841" w:rsidP="001607E7">
            <w:pPr>
              <w:rPr>
                <w:sz w:val="18"/>
                <w:szCs w:val="18"/>
              </w:rPr>
            </w:pPr>
            <w:r w:rsidRPr="003D7DCE">
              <w:rPr>
                <w:sz w:val="18"/>
                <w:szCs w:val="18"/>
              </w:rPr>
              <w:t>Investment design document</w:t>
            </w:r>
          </w:p>
        </w:tc>
        <w:tc>
          <w:tcPr>
            <w:tcW w:w="1984" w:type="dxa"/>
          </w:tcPr>
          <w:p w14:paraId="586FD835" w14:textId="320CD897"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1</w:t>
            </w:r>
          </w:p>
        </w:tc>
      </w:tr>
      <w:tr w:rsidR="00A30841" w:rsidRPr="003405CC" w14:paraId="23E098A7"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53FC80AF" w14:textId="3BB95223" w:rsidR="00A30841" w:rsidRPr="003D7DCE" w:rsidRDefault="00A30841" w:rsidP="001607E7">
            <w:pPr>
              <w:rPr>
                <w:sz w:val="18"/>
                <w:szCs w:val="18"/>
              </w:rPr>
            </w:pPr>
            <w:r w:rsidRPr="003D7DCE">
              <w:rPr>
                <w:sz w:val="18"/>
                <w:szCs w:val="18"/>
              </w:rPr>
              <w:t>List of projects</w:t>
            </w:r>
          </w:p>
        </w:tc>
        <w:tc>
          <w:tcPr>
            <w:tcW w:w="1984" w:type="dxa"/>
          </w:tcPr>
          <w:p w14:paraId="18E1A76C" w14:textId="63C9068A"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1</w:t>
            </w:r>
          </w:p>
        </w:tc>
      </w:tr>
      <w:tr w:rsidR="00A30841" w:rsidRPr="003405CC" w14:paraId="2D29EE1B"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76B592CE" w14:textId="7DC177E3" w:rsidR="00A30841" w:rsidRPr="003D7DCE" w:rsidRDefault="00A30841" w:rsidP="001607E7">
            <w:pPr>
              <w:rPr>
                <w:sz w:val="18"/>
                <w:szCs w:val="18"/>
              </w:rPr>
            </w:pPr>
            <w:r w:rsidRPr="003D7DCE">
              <w:rPr>
                <w:sz w:val="18"/>
                <w:szCs w:val="18"/>
              </w:rPr>
              <w:t>Annual progress reports and recommendations tracker</w:t>
            </w:r>
          </w:p>
        </w:tc>
        <w:tc>
          <w:tcPr>
            <w:tcW w:w="1984" w:type="dxa"/>
          </w:tcPr>
          <w:p w14:paraId="2ECDEDD6" w14:textId="4F8CB358"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2</w:t>
            </w:r>
          </w:p>
        </w:tc>
      </w:tr>
      <w:tr w:rsidR="00A30841" w:rsidRPr="003405CC" w14:paraId="781D9CA4"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6ADB0FA9" w14:textId="23925503" w:rsidR="00A30841" w:rsidRPr="003D7DCE" w:rsidRDefault="00A30841" w:rsidP="001607E7">
            <w:pPr>
              <w:rPr>
                <w:sz w:val="18"/>
                <w:szCs w:val="18"/>
              </w:rPr>
            </w:pPr>
            <w:r w:rsidRPr="003D7DCE">
              <w:rPr>
                <w:sz w:val="18"/>
                <w:szCs w:val="18"/>
              </w:rPr>
              <w:t>PWLES Annual work plans</w:t>
            </w:r>
          </w:p>
        </w:tc>
        <w:tc>
          <w:tcPr>
            <w:tcW w:w="1984" w:type="dxa"/>
          </w:tcPr>
          <w:p w14:paraId="70F4BDAD" w14:textId="5D5F8FA4"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6</w:t>
            </w:r>
          </w:p>
        </w:tc>
      </w:tr>
      <w:tr w:rsidR="00A30841" w:rsidRPr="003405CC" w14:paraId="2988DAD6"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47BE94EF" w14:textId="7A7658F0" w:rsidR="00A30841" w:rsidRPr="003D7DCE" w:rsidRDefault="00A30841" w:rsidP="001607E7">
            <w:pPr>
              <w:rPr>
                <w:sz w:val="18"/>
                <w:szCs w:val="18"/>
              </w:rPr>
            </w:pPr>
            <w:r w:rsidRPr="003D7DCE">
              <w:rPr>
                <w:sz w:val="18"/>
                <w:szCs w:val="18"/>
              </w:rPr>
              <w:t>PWLES Partner Performance Assessments</w:t>
            </w:r>
          </w:p>
        </w:tc>
        <w:tc>
          <w:tcPr>
            <w:tcW w:w="1984" w:type="dxa"/>
          </w:tcPr>
          <w:p w14:paraId="7564727B" w14:textId="412AE739"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3</w:t>
            </w:r>
          </w:p>
        </w:tc>
      </w:tr>
      <w:tr w:rsidR="00A30841" w:rsidRPr="003405CC" w14:paraId="58DC8A3A"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44BF3EB6" w14:textId="783D2288" w:rsidR="00A30841" w:rsidRPr="003D7DCE" w:rsidRDefault="00A30841" w:rsidP="001607E7">
            <w:pPr>
              <w:rPr>
                <w:sz w:val="18"/>
                <w:szCs w:val="18"/>
              </w:rPr>
            </w:pPr>
            <w:r w:rsidRPr="003D7DCE">
              <w:rPr>
                <w:sz w:val="18"/>
                <w:szCs w:val="18"/>
              </w:rPr>
              <w:t>PWLES MEL Plan</w:t>
            </w:r>
          </w:p>
        </w:tc>
        <w:tc>
          <w:tcPr>
            <w:tcW w:w="1984" w:type="dxa"/>
          </w:tcPr>
          <w:p w14:paraId="77D59C5D" w14:textId="6ED773D2"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1</w:t>
            </w:r>
          </w:p>
        </w:tc>
      </w:tr>
      <w:tr w:rsidR="00A30841" w:rsidRPr="003405CC" w14:paraId="51191385"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3DEF346D" w14:textId="68716699" w:rsidR="00A30841" w:rsidRPr="003D7DCE" w:rsidRDefault="00A30841" w:rsidP="001607E7">
            <w:pPr>
              <w:rPr>
                <w:sz w:val="18"/>
                <w:szCs w:val="18"/>
              </w:rPr>
            </w:pPr>
            <w:r w:rsidRPr="003D7DCE">
              <w:rPr>
                <w:sz w:val="18"/>
                <w:szCs w:val="18"/>
              </w:rPr>
              <w:t>PWLES Quarterly Reports</w:t>
            </w:r>
          </w:p>
        </w:tc>
        <w:tc>
          <w:tcPr>
            <w:tcW w:w="1984" w:type="dxa"/>
          </w:tcPr>
          <w:p w14:paraId="1CBB1B75" w14:textId="2449D1FD"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 xml:space="preserve">8 </w:t>
            </w:r>
          </w:p>
        </w:tc>
      </w:tr>
      <w:tr w:rsidR="00A30841" w:rsidRPr="003405CC" w14:paraId="2197E422"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636B0290" w14:textId="105B1C5C" w:rsidR="00A30841" w:rsidRPr="003D7DCE" w:rsidRDefault="00A30841" w:rsidP="001607E7">
            <w:pPr>
              <w:rPr>
                <w:sz w:val="18"/>
                <w:szCs w:val="18"/>
              </w:rPr>
            </w:pPr>
            <w:r w:rsidRPr="003D7DCE">
              <w:rPr>
                <w:sz w:val="18"/>
                <w:szCs w:val="18"/>
              </w:rPr>
              <w:t>Impact stories</w:t>
            </w:r>
          </w:p>
        </w:tc>
        <w:tc>
          <w:tcPr>
            <w:tcW w:w="1984" w:type="dxa"/>
          </w:tcPr>
          <w:p w14:paraId="1B4E3019" w14:textId="60997AAA"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20</w:t>
            </w:r>
          </w:p>
        </w:tc>
      </w:tr>
      <w:tr w:rsidR="00A30841" w:rsidRPr="003405CC" w14:paraId="7E2DD9D4"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0A9771A7" w14:textId="08A2517B" w:rsidR="00A30841" w:rsidRPr="003D7DCE" w:rsidRDefault="00A30841" w:rsidP="001607E7">
            <w:pPr>
              <w:rPr>
                <w:sz w:val="18"/>
                <w:szCs w:val="18"/>
              </w:rPr>
            </w:pPr>
            <w:r w:rsidRPr="003D7DCE">
              <w:rPr>
                <w:sz w:val="18"/>
                <w:szCs w:val="18"/>
              </w:rPr>
              <w:t>Results charts</w:t>
            </w:r>
          </w:p>
        </w:tc>
        <w:tc>
          <w:tcPr>
            <w:tcW w:w="1984" w:type="dxa"/>
          </w:tcPr>
          <w:p w14:paraId="6EEFBCE0" w14:textId="561C7FB9"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8</w:t>
            </w:r>
          </w:p>
        </w:tc>
      </w:tr>
      <w:tr w:rsidR="00A30841" w:rsidRPr="003405CC" w14:paraId="185325B2"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408C2C38" w14:textId="0F916B1F" w:rsidR="00A30841" w:rsidRPr="003D7DCE" w:rsidRDefault="00A30841" w:rsidP="001607E7">
            <w:pPr>
              <w:rPr>
                <w:sz w:val="18"/>
                <w:szCs w:val="18"/>
              </w:rPr>
            </w:pPr>
            <w:r w:rsidRPr="003D7DCE">
              <w:rPr>
                <w:sz w:val="18"/>
                <w:szCs w:val="18"/>
              </w:rPr>
              <w:t>Whole of portfolio dashboard</w:t>
            </w:r>
          </w:p>
        </w:tc>
        <w:tc>
          <w:tcPr>
            <w:tcW w:w="1984" w:type="dxa"/>
          </w:tcPr>
          <w:p w14:paraId="5C893F6D" w14:textId="58C7411A"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1</w:t>
            </w:r>
          </w:p>
        </w:tc>
      </w:tr>
      <w:tr w:rsidR="00A30841" w:rsidRPr="003405CC" w14:paraId="0E706829"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03E79718" w14:textId="18122866" w:rsidR="00A30841" w:rsidRPr="003D7DCE" w:rsidRDefault="00A30841" w:rsidP="001607E7">
            <w:pPr>
              <w:rPr>
                <w:sz w:val="18"/>
                <w:szCs w:val="18"/>
              </w:rPr>
            </w:pPr>
            <w:r w:rsidRPr="003D7DCE">
              <w:rPr>
                <w:sz w:val="18"/>
                <w:szCs w:val="18"/>
              </w:rPr>
              <w:t>Independent partner evaluations</w:t>
            </w:r>
          </w:p>
        </w:tc>
        <w:tc>
          <w:tcPr>
            <w:tcW w:w="1984" w:type="dxa"/>
          </w:tcPr>
          <w:p w14:paraId="669C1F7A" w14:textId="26356A7F"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4</w:t>
            </w:r>
          </w:p>
        </w:tc>
      </w:tr>
      <w:tr w:rsidR="00A30841" w:rsidRPr="003405CC" w14:paraId="21E348D6"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348EFDBB" w14:textId="6AD1D438" w:rsidR="00A30841" w:rsidRPr="003D7DCE" w:rsidRDefault="00A30841" w:rsidP="001607E7">
            <w:pPr>
              <w:rPr>
                <w:sz w:val="18"/>
                <w:szCs w:val="18"/>
              </w:rPr>
            </w:pPr>
            <w:r w:rsidRPr="003D7DCE">
              <w:rPr>
                <w:sz w:val="18"/>
                <w:szCs w:val="18"/>
              </w:rPr>
              <w:t>DFAT regional, Women’s Funds progress reports</w:t>
            </w:r>
          </w:p>
        </w:tc>
        <w:tc>
          <w:tcPr>
            <w:tcW w:w="1984" w:type="dxa"/>
          </w:tcPr>
          <w:p w14:paraId="6CA8C6E6" w14:textId="1008D6F5"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11</w:t>
            </w:r>
          </w:p>
        </w:tc>
      </w:tr>
      <w:tr w:rsidR="00A30841" w:rsidRPr="003405CC" w14:paraId="2D2E095C"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4F80071E" w14:textId="232C4529" w:rsidR="00A30841" w:rsidRPr="003D7DCE" w:rsidRDefault="00A30841" w:rsidP="001607E7">
            <w:pPr>
              <w:rPr>
                <w:sz w:val="18"/>
                <w:szCs w:val="18"/>
              </w:rPr>
            </w:pPr>
            <w:r w:rsidRPr="003D7DCE">
              <w:rPr>
                <w:sz w:val="18"/>
                <w:szCs w:val="18"/>
              </w:rPr>
              <w:t>Governance Board Terms of reference</w:t>
            </w:r>
          </w:p>
        </w:tc>
        <w:tc>
          <w:tcPr>
            <w:tcW w:w="1984" w:type="dxa"/>
          </w:tcPr>
          <w:p w14:paraId="7D9DE383" w14:textId="1BE3D66A"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1</w:t>
            </w:r>
          </w:p>
        </w:tc>
      </w:tr>
      <w:tr w:rsidR="00A30841" w:rsidRPr="003405CC" w14:paraId="3E6C1EF0"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3AEA17A3" w14:textId="61E9FA2B" w:rsidR="00A30841" w:rsidRPr="003D7DCE" w:rsidRDefault="00A30841" w:rsidP="001607E7">
            <w:pPr>
              <w:rPr>
                <w:sz w:val="18"/>
                <w:szCs w:val="18"/>
              </w:rPr>
            </w:pPr>
            <w:r w:rsidRPr="003D7DCE">
              <w:rPr>
                <w:sz w:val="18"/>
                <w:szCs w:val="18"/>
              </w:rPr>
              <w:t xml:space="preserve">Governance Board Minutes </w:t>
            </w:r>
          </w:p>
        </w:tc>
        <w:tc>
          <w:tcPr>
            <w:tcW w:w="1984" w:type="dxa"/>
          </w:tcPr>
          <w:p w14:paraId="4199A56D" w14:textId="0EA56346"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3</w:t>
            </w:r>
          </w:p>
        </w:tc>
      </w:tr>
      <w:tr w:rsidR="00A30841" w:rsidRPr="003405CC" w14:paraId="3D09EC53"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1E82CAA4" w14:textId="2633E576" w:rsidR="00A30841" w:rsidRPr="003D7DCE" w:rsidRDefault="00A30841" w:rsidP="001607E7">
            <w:pPr>
              <w:rPr>
                <w:sz w:val="18"/>
                <w:szCs w:val="18"/>
              </w:rPr>
            </w:pPr>
            <w:r w:rsidRPr="003D7DCE">
              <w:rPr>
                <w:sz w:val="18"/>
                <w:szCs w:val="18"/>
              </w:rPr>
              <w:t>DFAT Guidance Notes</w:t>
            </w:r>
          </w:p>
        </w:tc>
        <w:tc>
          <w:tcPr>
            <w:tcW w:w="1984" w:type="dxa"/>
          </w:tcPr>
          <w:p w14:paraId="1AA4BD96" w14:textId="5407A235"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3</w:t>
            </w:r>
          </w:p>
        </w:tc>
      </w:tr>
      <w:tr w:rsidR="00A30841" w:rsidRPr="003405CC" w14:paraId="572DF397"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28CDFE6A" w14:textId="78A775FD" w:rsidR="00A30841" w:rsidRPr="003D7DCE" w:rsidRDefault="00A30841" w:rsidP="001607E7">
            <w:pPr>
              <w:rPr>
                <w:sz w:val="18"/>
                <w:szCs w:val="18"/>
              </w:rPr>
            </w:pPr>
            <w:r w:rsidRPr="003D7DCE">
              <w:rPr>
                <w:sz w:val="18"/>
                <w:szCs w:val="18"/>
              </w:rPr>
              <w:t xml:space="preserve">MEL Framework </w:t>
            </w:r>
          </w:p>
        </w:tc>
        <w:tc>
          <w:tcPr>
            <w:tcW w:w="1984" w:type="dxa"/>
          </w:tcPr>
          <w:p w14:paraId="01A5F829" w14:textId="43E69FFF"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3</w:t>
            </w:r>
          </w:p>
        </w:tc>
      </w:tr>
      <w:tr w:rsidR="00A30841" w:rsidRPr="003405CC" w14:paraId="44BD3B86"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5F657830" w14:textId="4017FB84" w:rsidR="00A30841" w:rsidRPr="003D7DCE" w:rsidRDefault="00A30841" w:rsidP="001607E7">
            <w:pPr>
              <w:rPr>
                <w:sz w:val="18"/>
                <w:szCs w:val="18"/>
              </w:rPr>
            </w:pPr>
            <w:r w:rsidRPr="003D7DCE">
              <w:rPr>
                <w:sz w:val="18"/>
                <w:szCs w:val="18"/>
              </w:rPr>
              <w:t>Context</w:t>
            </w:r>
          </w:p>
        </w:tc>
        <w:tc>
          <w:tcPr>
            <w:tcW w:w="1984" w:type="dxa"/>
          </w:tcPr>
          <w:p w14:paraId="52C0AD17" w14:textId="0194E430"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4</w:t>
            </w:r>
          </w:p>
        </w:tc>
      </w:tr>
      <w:tr w:rsidR="00A30841" w:rsidRPr="003405CC" w14:paraId="19157D9C"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1EC5DE6B" w14:textId="1F1BE5A1" w:rsidR="00A30841" w:rsidRPr="003D7DCE" w:rsidRDefault="00A30841" w:rsidP="001607E7">
            <w:pPr>
              <w:rPr>
                <w:sz w:val="18"/>
                <w:szCs w:val="18"/>
              </w:rPr>
            </w:pPr>
            <w:r w:rsidRPr="003D7DCE">
              <w:rPr>
                <w:sz w:val="18"/>
                <w:szCs w:val="18"/>
              </w:rPr>
              <w:t xml:space="preserve">Country briefs </w:t>
            </w:r>
          </w:p>
        </w:tc>
        <w:tc>
          <w:tcPr>
            <w:tcW w:w="1984" w:type="dxa"/>
          </w:tcPr>
          <w:p w14:paraId="27F264E5" w14:textId="2D2BE749"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12</w:t>
            </w:r>
          </w:p>
        </w:tc>
      </w:tr>
      <w:tr w:rsidR="00A30841" w:rsidRPr="003405CC" w14:paraId="513138B1" w14:textId="77777777" w:rsidTr="001F35AD">
        <w:tc>
          <w:tcPr>
            <w:cnfStyle w:val="001000000000" w:firstRow="0" w:lastRow="0" w:firstColumn="1" w:lastColumn="0" w:oddVBand="0" w:evenVBand="0" w:oddHBand="0" w:evenHBand="0" w:firstRowFirstColumn="0" w:firstRowLastColumn="0" w:lastRowFirstColumn="0" w:lastRowLastColumn="0"/>
            <w:tcW w:w="7797" w:type="dxa"/>
          </w:tcPr>
          <w:p w14:paraId="65A44BAE" w14:textId="230A2DA8" w:rsidR="00A30841" w:rsidRPr="003D7DCE" w:rsidRDefault="00A30841" w:rsidP="001607E7">
            <w:pPr>
              <w:rPr>
                <w:sz w:val="18"/>
                <w:szCs w:val="18"/>
              </w:rPr>
            </w:pPr>
            <w:r w:rsidRPr="003D7DCE">
              <w:rPr>
                <w:sz w:val="18"/>
                <w:szCs w:val="18"/>
              </w:rPr>
              <w:t>Knowledge products</w:t>
            </w:r>
          </w:p>
        </w:tc>
        <w:tc>
          <w:tcPr>
            <w:tcW w:w="1984" w:type="dxa"/>
          </w:tcPr>
          <w:p w14:paraId="6AF8430D" w14:textId="085495AB"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3</w:t>
            </w:r>
          </w:p>
        </w:tc>
      </w:tr>
      <w:tr w:rsidR="00A30841" w:rsidRPr="003405CC" w14:paraId="498CAA3F" w14:textId="77777777" w:rsidTr="001F35AD">
        <w:tc>
          <w:tcPr>
            <w:cnfStyle w:val="001000000000" w:firstRow="0" w:lastRow="0" w:firstColumn="1" w:lastColumn="0" w:oddVBand="0" w:evenVBand="0" w:oddHBand="0" w:evenHBand="0" w:firstRowFirstColumn="0" w:firstRowLastColumn="0" w:lastRowFirstColumn="0" w:lastRowLastColumn="0"/>
            <w:tcW w:w="7797" w:type="dxa"/>
            <w:tcBorders>
              <w:left w:val="single" w:sz="4" w:space="0" w:color="FFFFFF" w:themeColor="background1"/>
            </w:tcBorders>
          </w:tcPr>
          <w:p w14:paraId="4F5B5F93" w14:textId="7298A262" w:rsidR="00A30841" w:rsidRPr="00362900" w:rsidRDefault="00A30841" w:rsidP="00362900">
            <w:pPr>
              <w:jc w:val="right"/>
              <w:rPr>
                <w:b w:val="0"/>
                <w:bCs/>
                <w:sz w:val="18"/>
                <w:szCs w:val="18"/>
              </w:rPr>
            </w:pPr>
            <w:r w:rsidRPr="00362900">
              <w:rPr>
                <w:bCs/>
                <w:sz w:val="18"/>
                <w:szCs w:val="18"/>
              </w:rPr>
              <w:t>Total</w:t>
            </w:r>
          </w:p>
        </w:tc>
        <w:tc>
          <w:tcPr>
            <w:tcW w:w="1984" w:type="dxa"/>
          </w:tcPr>
          <w:p w14:paraId="7F6E67AF" w14:textId="5E4DA880" w:rsidR="00A30841" w:rsidRPr="003405CC" w:rsidRDefault="00A30841" w:rsidP="001607E7">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103</w:t>
            </w:r>
          </w:p>
        </w:tc>
      </w:tr>
    </w:tbl>
    <w:p w14:paraId="340BD8F4" w14:textId="77777777" w:rsidR="001607E7" w:rsidRDefault="001607E7" w:rsidP="001607E7"/>
    <w:p w14:paraId="1514E00C" w14:textId="3539E364" w:rsidR="001607E7" w:rsidRDefault="000A701C" w:rsidP="00074B99">
      <w:pPr>
        <w:pStyle w:val="Heading2nonumber"/>
        <w:outlineLvl w:val="9"/>
      </w:pPr>
      <w:bookmarkStart w:id="92" w:name="_Toc198806466"/>
      <w:r>
        <w:t>Consultations</w:t>
      </w:r>
      <w:bookmarkEnd w:id="92"/>
      <w:r>
        <w:t xml:space="preserve"> </w:t>
      </w:r>
    </w:p>
    <w:p w14:paraId="475F3AB4" w14:textId="49061CC6" w:rsidR="00D04A74" w:rsidRPr="003D1A15" w:rsidRDefault="00D04A74" w:rsidP="00D04A74">
      <w:r>
        <w:t>41 consultations were undertaken in support of the PWL MTR, involving 120 individuals across all stakeholder groups</w:t>
      </w:r>
      <w:r w:rsidR="009B24DE">
        <w:t xml:space="preserve">: </w:t>
      </w:r>
    </w:p>
    <w:tbl>
      <w:tblPr>
        <w:tblStyle w:val="TableGrid"/>
        <w:tblW w:w="0" w:type="auto"/>
        <w:tblLook w:val="04A0" w:firstRow="1" w:lastRow="0" w:firstColumn="1" w:lastColumn="0" w:noHBand="0" w:noVBand="1"/>
      </w:tblPr>
      <w:tblGrid>
        <w:gridCol w:w="7371"/>
        <w:gridCol w:w="2381"/>
      </w:tblGrid>
      <w:tr w:rsidR="003D1A15" w:rsidRPr="003405CC" w14:paraId="0EE7938E" w14:textId="77777777" w:rsidTr="006D46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71" w:type="dxa"/>
          </w:tcPr>
          <w:p w14:paraId="5336EB00" w14:textId="04F00083" w:rsidR="003D1A15" w:rsidRPr="003405CC" w:rsidRDefault="003D1A15" w:rsidP="003D1A15">
            <w:pPr>
              <w:rPr>
                <w:sz w:val="18"/>
                <w:szCs w:val="18"/>
              </w:rPr>
            </w:pPr>
            <w:r w:rsidRPr="003405CC">
              <w:rPr>
                <w:sz w:val="18"/>
                <w:szCs w:val="18"/>
              </w:rPr>
              <w:t>Stakeholder Group</w:t>
            </w:r>
          </w:p>
        </w:tc>
        <w:tc>
          <w:tcPr>
            <w:tcW w:w="2381" w:type="dxa"/>
          </w:tcPr>
          <w:p w14:paraId="7CE24114" w14:textId="0A201E67" w:rsidR="003D1A15" w:rsidRPr="003405CC" w:rsidRDefault="003D1A15" w:rsidP="00C76F8D">
            <w:pPr>
              <w:tabs>
                <w:tab w:val="left" w:pos="1990"/>
              </w:tabs>
              <w:cnfStyle w:val="100000000000" w:firstRow="1" w:lastRow="0" w:firstColumn="0" w:lastColumn="0" w:oddVBand="0" w:evenVBand="0" w:oddHBand="0" w:evenHBand="0" w:firstRowFirstColumn="0" w:firstRowLastColumn="0" w:lastRowFirstColumn="0" w:lastRowLastColumn="0"/>
              <w:rPr>
                <w:sz w:val="18"/>
                <w:szCs w:val="18"/>
              </w:rPr>
            </w:pPr>
            <w:r w:rsidRPr="003405CC">
              <w:rPr>
                <w:sz w:val="18"/>
                <w:szCs w:val="18"/>
              </w:rPr>
              <w:t xml:space="preserve">Number of people consulted </w:t>
            </w:r>
          </w:p>
        </w:tc>
      </w:tr>
      <w:tr w:rsidR="003D1A15" w:rsidRPr="003405CC" w14:paraId="215FC1D1" w14:textId="77777777" w:rsidTr="008D6CA1">
        <w:tc>
          <w:tcPr>
            <w:cnfStyle w:val="001000000000" w:firstRow="0" w:lastRow="0" w:firstColumn="1" w:lastColumn="0" w:oddVBand="0" w:evenVBand="0" w:oddHBand="0" w:evenHBand="0" w:firstRowFirstColumn="0" w:firstRowLastColumn="0" w:lastRowFirstColumn="0" w:lastRowLastColumn="0"/>
            <w:tcW w:w="7371" w:type="dxa"/>
          </w:tcPr>
          <w:p w14:paraId="651468A7" w14:textId="2CB860AC" w:rsidR="003D1A15" w:rsidRPr="003405CC" w:rsidRDefault="00C519E3" w:rsidP="003D1A15">
            <w:pPr>
              <w:rPr>
                <w:sz w:val="18"/>
                <w:szCs w:val="18"/>
              </w:rPr>
            </w:pPr>
            <w:r w:rsidRPr="003405CC">
              <w:rPr>
                <w:sz w:val="18"/>
                <w:szCs w:val="18"/>
              </w:rPr>
              <w:t>DFAT (Canberra, Bilateral, Regional, Posts)</w:t>
            </w:r>
          </w:p>
        </w:tc>
        <w:tc>
          <w:tcPr>
            <w:tcW w:w="2381" w:type="dxa"/>
          </w:tcPr>
          <w:p w14:paraId="5AFFC61A" w14:textId="2C892E19" w:rsidR="003D1A15" w:rsidRPr="003405CC" w:rsidRDefault="00C519E3" w:rsidP="003D1A15">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2</w:t>
            </w:r>
            <w:r w:rsidR="003D27A9" w:rsidRPr="003405CC">
              <w:rPr>
                <w:sz w:val="18"/>
                <w:szCs w:val="18"/>
              </w:rPr>
              <w:t>6</w:t>
            </w:r>
          </w:p>
        </w:tc>
      </w:tr>
      <w:tr w:rsidR="00FE3C9B" w:rsidRPr="003405CC" w14:paraId="74E7163F" w14:textId="77777777" w:rsidTr="008D6CA1">
        <w:tc>
          <w:tcPr>
            <w:cnfStyle w:val="001000000000" w:firstRow="0" w:lastRow="0" w:firstColumn="1" w:lastColumn="0" w:oddVBand="0" w:evenVBand="0" w:oddHBand="0" w:evenHBand="0" w:firstRowFirstColumn="0" w:firstRowLastColumn="0" w:lastRowFirstColumn="0" w:lastRowLastColumn="0"/>
            <w:tcW w:w="7371" w:type="dxa"/>
          </w:tcPr>
          <w:p w14:paraId="4B6B1082" w14:textId="1571F99F" w:rsidR="00FE3C9B" w:rsidRPr="003405CC" w:rsidRDefault="00FE3C9B" w:rsidP="00FE3C9B">
            <w:pPr>
              <w:rPr>
                <w:sz w:val="18"/>
                <w:szCs w:val="18"/>
              </w:rPr>
            </w:pPr>
            <w:r w:rsidRPr="003405CC">
              <w:rPr>
                <w:sz w:val="18"/>
                <w:szCs w:val="18"/>
              </w:rPr>
              <w:t xml:space="preserve">PWL at SPC, and SPC staff </w:t>
            </w:r>
          </w:p>
        </w:tc>
        <w:tc>
          <w:tcPr>
            <w:tcW w:w="2381" w:type="dxa"/>
          </w:tcPr>
          <w:p w14:paraId="6565291C" w14:textId="508210EB" w:rsidR="00FE3C9B" w:rsidRPr="003405CC" w:rsidRDefault="00FE3C9B" w:rsidP="00FE3C9B">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15</w:t>
            </w:r>
          </w:p>
        </w:tc>
      </w:tr>
      <w:tr w:rsidR="00FE3C9B" w:rsidRPr="003405CC" w14:paraId="03457DAA" w14:textId="77777777" w:rsidTr="008D6CA1">
        <w:tc>
          <w:tcPr>
            <w:cnfStyle w:val="001000000000" w:firstRow="0" w:lastRow="0" w:firstColumn="1" w:lastColumn="0" w:oddVBand="0" w:evenVBand="0" w:oddHBand="0" w:evenHBand="0" w:firstRowFirstColumn="0" w:firstRowLastColumn="0" w:lastRowFirstColumn="0" w:lastRowLastColumn="0"/>
            <w:tcW w:w="7371" w:type="dxa"/>
          </w:tcPr>
          <w:p w14:paraId="719B37C1" w14:textId="37368642" w:rsidR="00FE3C9B" w:rsidRPr="003405CC" w:rsidRDefault="00FE3C9B" w:rsidP="00FE3C9B">
            <w:pPr>
              <w:rPr>
                <w:sz w:val="18"/>
                <w:szCs w:val="18"/>
              </w:rPr>
            </w:pPr>
            <w:r w:rsidRPr="003405CC">
              <w:rPr>
                <w:sz w:val="18"/>
                <w:szCs w:val="18"/>
              </w:rPr>
              <w:t xml:space="preserve">Governance Board </w:t>
            </w:r>
          </w:p>
        </w:tc>
        <w:tc>
          <w:tcPr>
            <w:tcW w:w="2381" w:type="dxa"/>
          </w:tcPr>
          <w:p w14:paraId="6AB6D63B" w14:textId="21EE8664" w:rsidR="00FE3C9B" w:rsidRPr="003405CC" w:rsidRDefault="00FE3C9B" w:rsidP="00FE3C9B">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14</w:t>
            </w:r>
          </w:p>
        </w:tc>
      </w:tr>
      <w:tr w:rsidR="00FE3C9B" w:rsidRPr="003405CC" w14:paraId="338833CD" w14:textId="77777777" w:rsidTr="008D6CA1">
        <w:tc>
          <w:tcPr>
            <w:cnfStyle w:val="001000000000" w:firstRow="0" w:lastRow="0" w:firstColumn="1" w:lastColumn="0" w:oddVBand="0" w:evenVBand="0" w:oddHBand="0" w:evenHBand="0" w:firstRowFirstColumn="0" w:firstRowLastColumn="0" w:lastRowFirstColumn="0" w:lastRowLastColumn="0"/>
            <w:tcW w:w="7371" w:type="dxa"/>
          </w:tcPr>
          <w:p w14:paraId="53C1F653" w14:textId="5D3A36F8" w:rsidR="00FE3C9B" w:rsidRPr="003405CC" w:rsidRDefault="00FE3C9B" w:rsidP="00FE3C9B">
            <w:pPr>
              <w:rPr>
                <w:sz w:val="18"/>
                <w:szCs w:val="18"/>
              </w:rPr>
            </w:pPr>
            <w:r w:rsidRPr="003405CC">
              <w:rPr>
                <w:sz w:val="18"/>
                <w:szCs w:val="18"/>
              </w:rPr>
              <w:t xml:space="preserve">Regional Partners (PIFs, Sports Program, UN Women) </w:t>
            </w:r>
          </w:p>
        </w:tc>
        <w:tc>
          <w:tcPr>
            <w:tcW w:w="2381" w:type="dxa"/>
          </w:tcPr>
          <w:p w14:paraId="5313A405" w14:textId="1D5BA90E" w:rsidR="00FE3C9B" w:rsidRPr="003405CC" w:rsidRDefault="00FE3C9B" w:rsidP="00FE3C9B">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10</w:t>
            </w:r>
          </w:p>
        </w:tc>
      </w:tr>
      <w:tr w:rsidR="00FE3C9B" w:rsidRPr="003405CC" w14:paraId="1D6555E7" w14:textId="77777777" w:rsidTr="008D6CA1">
        <w:tc>
          <w:tcPr>
            <w:cnfStyle w:val="001000000000" w:firstRow="0" w:lastRow="0" w:firstColumn="1" w:lastColumn="0" w:oddVBand="0" w:evenVBand="0" w:oddHBand="0" w:evenHBand="0" w:firstRowFirstColumn="0" w:firstRowLastColumn="0" w:lastRowFirstColumn="0" w:lastRowLastColumn="0"/>
            <w:tcW w:w="7371" w:type="dxa"/>
          </w:tcPr>
          <w:p w14:paraId="1BF28946" w14:textId="7ECF058B" w:rsidR="00FE3C9B" w:rsidRPr="003405CC" w:rsidRDefault="00FE3C9B" w:rsidP="00FE3C9B">
            <w:pPr>
              <w:rPr>
                <w:sz w:val="18"/>
                <w:szCs w:val="18"/>
              </w:rPr>
            </w:pPr>
            <w:r w:rsidRPr="003405CC">
              <w:rPr>
                <w:sz w:val="18"/>
                <w:szCs w:val="18"/>
              </w:rPr>
              <w:t xml:space="preserve">DT Global including PWLES </w:t>
            </w:r>
          </w:p>
        </w:tc>
        <w:tc>
          <w:tcPr>
            <w:tcW w:w="2381" w:type="dxa"/>
          </w:tcPr>
          <w:p w14:paraId="428903D8" w14:textId="67148F38" w:rsidR="00FE3C9B" w:rsidRPr="003405CC" w:rsidRDefault="00FE3C9B" w:rsidP="00FE3C9B">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9</w:t>
            </w:r>
          </w:p>
        </w:tc>
      </w:tr>
      <w:tr w:rsidR="00FE3C9B" w:rsidRPr="003405CC" w14:paraId="53780463" w14:textId="77777777" w:rsidTr="008D6CA1">
        <w:tc>
          <w:tcPr>
            <w:cnfStyle w:val="001000000000" w:firstRow="0" w:lastRow="0" w:firstColumn="1" w:lastColumn="0" w:oddVBand="0" w:evenVBand="0" w:oddHBand="0" w:evenHBand="0" w:firstRowFirstColumn="0" w:firstRowLastColumn="0" w:lastRowFirstColumn="0" w:lastRowLastColumn="0"/>
            <w:tcW w:w="7371" w:type="dxa"/>
          </w:tcPr>
          <w:p w14:paraId="47BCB402" w14:textId="28D40E63" w:rsidR="00FE3C9B" w:rsidRPr="003405CC" w:rsidRDefault="00FE3C9B" w:rsidP="00FE3C9B">
            <w:pPr>
              <w:rPr>
                <w:sz w:val="18"/>
                <w:szCs w:val="18"/>
              </w:rPr>
            </w:pPr>
            <w:r w:rsidRPr="003405CC">
              <w:rPr>
                <w:sz w:val="18"/>
                <w:szCs w:val="18"/>
              </w:rPr>
              <w:t>Amplify Invest Reach Partnership</w:t>
            </w:r>
          </w:p>
        </w:tc>
        <w:tc>
          <w:tcPr>
            <w:tcW w:w="2381" w:type="dxa"/>
          </w:tcPr>
          <w:p w14:paraId="2D529056" w14:textId="6A38B3F9" w:rsidR="00FE3C9B" w:rsidRPr="003405CC" w:rsidRDefault="00FE3C9B" w:rsidP="00FE3C9B">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8</w:t>
            </w:r>
          </w:p>
        </w:tc>
      </w:tr>
      <w:tr w:rsidR="00FE3C9B" w:rsidRPr="003405CC" w14:paraId="369D3F29" w14:textId="77777777" w:rsidTr="008D6CA1">
        <w:tc>
          <w:tcPr>
            <w:cnfStyle w:val="001000000000" w:firstRow="0" w:lastRow="0" w:firstColumn="1" w:lastColumn="0" w:oddVBand="0" w:evenVBand="0" w:oddHBand="0" w:evenHBand="0" w:firstRowFirstColumn="0" w:firstRowLastColumn="0" w:lastRowFirstColumn="0" w:lastRowLastColumn="0"/>
            <w:tcW w:w="7371" w:type="dxa"/>
          </w:tcPr>
          <w:p w14:paraId="0269BD29" w14:textId="7A5124BB" w:rsidR="00FE3C9B" w:rsidRPr="003405CC" w:rsidRDefault="00FE3C9B" w:rsidP="00FE3C9B">
            <w:pPr>
              <w:rPr>
                <w:sz w:val="18"/>
                <w:szCs w:val="18"/>
              </w:rPr>
            </w:pPr>
            <w:r w:rsidRPr="003405CC">
              <w:rPr>
                <w:sz w:val="18"/>
                <w:szCs w:val="18"/>
              </w:rPr>
              <w:t>QTAG Advisers</w:t>
            </w:r>
          </w:p>
        </w:tc>
        <w:tc>
          <w:tcPr>
            <w:tcW w:w="2381" w:type="dxa"/>
          </w:tcPr>
          <w:p w14:paraId="2D8A8857" w14:textId="15FB15A5" w:rsidR="00FE3C9B" w:rsidRPr="003405CC" w:rsidRDefault="00FE3C9B" w:rsidP="00FE3C9B">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 xml:space="preserve">8 </w:t>
            </w:r>
          </w:p>
        </w:tc>
      </w:tr>
      <w:tr w:rsidR="00FE3C9B" w:rsidRPr="003405CC" w14:paraId="437611FD" w14:textId="77777777" w:rsidTr="008D6CA1">
        <w:tc>
          <w:tcPr>
            <w:cnfStyle w:val="001000000000" w:firstRow="0" w:lastRow="0" w:firstColumn="1" w:lastColumn="0" w:oddVBand="0" w:evenVBand="0" w:oddHBand="0" w:evenHBand="0" w:firstRowFirstColumn="0" w:firstRowLastColumn="0" w:lastRowFirstColumn="0" w:lastRowLastColumn="0"/>
            <w:tcW w:w="7371" w:type="dxa"/>
          </w:tcPr>
          <w:p w14:paraId="539D4FFD" w14:textId="23C9CAD1" w:rsidR="00FE3C9B" w:rsidRPr="003405CC" w:rsidRDefault="00FE3C9B" w:rsidP="00FE3C9B">
            <w:pPr>
              <w:rPr>
                <w:sz w:val="18"/>
                <w:szCs w:val="18"/>
              </w:rPr>
            </w:pPr>
            <w:r w:rsidRPr="003405CC">
              <w:rPr>
                <w:sz w:val="18"/>
                <w:szCs w:val="18"/>
              </w:rPr>
              <w:lastRenderedPageBreak/>
              <w:t>Grantees managed by PWLES</w:t>
            </w:r>
          </w:p>
        </w:tc>
        <w:tc>
          <w:tcPr>
            <w:tcW w:w="2381" w:type="dxa"/>
          </w:tcPr>
          <w:p w14:paraId="55128B47" w14:textId="4E0A7956" w:rsidR="00FE3C9B" w:rsidRPr="003405CC" w:rsidRDefault="00FE3C9B" w:rsidP="00FE3C9B">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 xml:space="preserve">8 </w:t>
            </w:r>
          </w:p>
        </w:tc>
      </w:tr>
      <w:tr w:rsidR="00FE3C9B" w:rsidRPr="003405CC" w14:paraId="628B1E55" w14:textId="77777777" w:rsidTr="008D6CA1">
        <w:tc>
          <w:tcPr>
            <w:cnfStyle w:val="001000000000" w:firstRow="0" w:lastRow="0" w:firstColumn="1" w:lastColumn="0" w:oddVBand="0" w:evenVBand="0" w:oddHBand="0" w:evenHBand="0" w:firstRowFirstColumn="0" w:firstRowLastColumn="0" w:lastRowFirstColumn="0" w:lastRowLastColumn="0"/>
            <w:tcW w:w="7371" w:type="dxa"/>
          </w:tcPr>
          <w:p w14:paraId="060AA57F" w14:textId="5EFB64B8" w:rsidR="00FE3C9B" w:rsidRPr="003405CC" w:rsidRDefault="00FE3C9B" w:rsidP="00FE3C9B">
            <w:pPr>
              <w:rPr>
                <w:sz w:val="18"/>
                <w:szCs w:val="18"/>
              </w:rPr>
            </w:pPr>
            <w:r w:rsidRPr="003405CC">
              <w:rPr>
                <w:sz w:val="18"/>
                <w:szCs w:val="18"/>
              </w:rPr>
              <w:t>PWL Managing Contractors (TASP, Tautua, PNG Women Lead)</w:t>
            </w:r>
          </w:p>
        </w:tc>
        <w:tc>
          <w:tcPr>
            <w:tcW w:w="2381" w:type="dxa"/>
          </w:tcPr>
          <w:p w14:paraId="617BB993" w14:textId="36057CD9" w:rsidR="00FE3C9B" w:rsidRPr="003405CC" w:rsidRDefault="00FE3C9B" w:rsidP="00FE3C9B">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7</w:t>
            </w:r>
          </w:p>
        </w:tc>
      </w:tr>
      <w:tr w:rsidR="00FE3C9B" w:rsidRPr="003405CC" w14:paraId="4110BAD6" w14:textId="77777777" w:rsidTr="008D6CA1">
        <w:tc>
          <w:tcPr>
            <w:cnfStyle w:val="001000000000" w:firstRow="0" w:lastRow="0" w:firstColumn="1" w:lastColumn="0" w:oddVBand="0" w:evenVBand="0" w:oddHBand="0" w:evenHBand="0" w:firstRowFirstColumn="0" w:firstRowLastColumn="0" w:lastRowFirstColumn="0" w:lastRowLastColumn="0"/>
            <w:tcW w:w="7371" w:type="dxa"/>
          </w:tcPr>
          <w:p w14:paraId="5467FD74" w14:textId="1547C98B" w:rsidR="00FE3C9B" w:rsidRPr="003405CC" w:rsidRDefault="00FE3C9B" w:rsidP="00FE3C9B">
            <w:pPr>
              <w:rPr>
                <w:sz w:val="18"/>
                <w:szCs w:val="18"/>
              </w:rPr>
            </w:pPr>
            <w:r w:rsidRPr="003405CC">
              <w:rPr>
                <w:sz w:val="18"/>
                <w:szCs w:val="18"/>
              </w:rPr>
              <w:t>SPC Regional Programs (We Rise Coalition, Crisis Centre, Balance of Power)</w:t>
            </w:r>
          </w:p>
        </w:tc>
        <w:tc>
          <w:tcPr>
            <w:tcW w:w="2381" w:type="dxa"/>
          </w:tcPr>
          <w:p w14:paraId="347329A0" w14:textId="7E0B931D" w:rsidR="00FE3C9B" w:rsidRPr="003405CC" w:rsidRDefault="00FE3C9B" w:rsidP="00FE3C9B">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7</w:t>
            </w:r>
          </w:p>
        </w:tc>
      </w:tr>
      <w:tr w:rsidR="00FE3C9B" w:rsidRPr="003405CC" w14:paraId="79B14DF8" w14:textId="77777777" w:rsidTr="008D6CA1">
        <w:tc>
          <w:tcPr>
            <w:cnfStyle w:val="001000000000" w:firstRow="0" w:lastRow="0" w:firstColumn="1" w:lastColumn="0" w:oddVBand="0" w:evenVBand="0" w:oddHBand="0" w:evenHBand="0" w:firstRowFirstColumn="0" w:firstRowLastColumn="0" w:lastRowFirstColumn="0" w:lastRowLastColumn="0"/>
            <w:tcW w:w="7371" w:type="dxa"/>
          </w:tcPr>
          <w:p w14:paraId="189D737C" w14:textId="31AB9D93" w:rsidR="00FE3C9B" w:rsidRPr="003405CC" w:rsidRDefault="00FE3C9B" w:rsidP="00FE3C9B">
            <w:pPr>
              <w:rPr>
                <w:sz w:val="18"/>
                <w:szCs w:val="18"/>
              </w:rPr>
            </w:pPr>
            <w:r w:rsidRPr="003405CC">
              <w:rPr>
                <w:sz w:val="18"/>
                <w:szCs w:val="18"/>
              </w:rPr>
              <w:t>PWLES Advisers</w:t>
            </w:r>
          </w:p>
        </w:tc>
        <w:tc>
          <w:tcPr>
            <w:tcW w:w="2381" w:type="dxa"/>
          </w:tcPr>
          <w:p w14:paraId="6B64161D" w14:textId="1FC8F0FD" w:rsidR="00FE3C9B" w:rsidRPr="003405CC" w:rsidRDefault="00FE3C9B" w:rsidP="00FE3C9B">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4</w:t>
            </w:r>
          </w:p>
        </w:tc>
      </w:tr>
      <w:tr w:rsidR="00FE3C9B" w:rsidRPr="003405CC" w14:paraId="60E84E60" w14:textId="77777777" w:rsidTr="008D6CA1">
        <w:tc>
          <w:tcPr>
            <w:cnfStyle w:val="001000000000" w:firstRow="0" w:lastRow="0" w:firstColumn="1" w:lastColumn="0" w:oddVBand="0" w:evenVBand="0" w:oddHBand="0" w:evenHBand="0" w:firstRowFirstColumn="0" w:firstRowLastColumn="0" w:lastRowFirstColumn="0" w:lastRowLastColumn="0"/>
            <w:tcW w:w="7371" w:type="dxa"/>
          </w:tcPr>
          <w:p w14:paraId="34C5AE26" w14:textId="45A218B4" w:rsidR="00FE3C9B" w:rsidRPr="003405CC" w:rsidRDefault="00FE3C9B" w:rsidP="00FE3C9B">
            <w:pPr>
              <w:rPr>
                <w:sz w:val="18"/>
                <w:szCs w:val="18"/>
              </w:rPr>
            </w:pPr>
            <w:r w:rsidRPr="003405CC">
              <w:rPr>
                <w:sz w:val="18"/>
                <w:szCs w:val="18"/>
              </w:rPr>
              <w:t xml:space="preserve">PWLES Partners (Diva for Equality and Pacific Disability Forum) </w:t>
            </w:r>
          </w:p>
        </w:tc>
        <w:tc>
          <w:tcPr>
            <w:tcW w:w="2381" w:type="dxa"/>
          </w:tcPr>
          <w:p w14:paraId="1EB6ABC4" w14:textId="73A5357E" w:rsidR="00FE3C9B" w:rsidRPr="003405CC" w:rsidRDefault="00FE3C9B" w:rsidP="00FE3C9B">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2</w:t>
            </w:r>
          </w:p>
        </w:tc>
      </w:tr>
      <w:tr w:rsidR="00FE3C9B" w:rsidRPr="003405CC" w14:paraId="2B9660F1" w14:textId="77777777" w:rsidTr="008D6CA1">
        <w:tc>
          <w:tcPr>
            <w:cnfStyle w:val="001000000000" w:firstRow="0" w:lastRow="0" w:firstColumn="1" w:lastColumn="0" w:oddVBand="0" w:evenVBand="0" w:oddHBand="0" w:evenHBand="0" w:firstRowFirstColumn="0" w:firstRowLastColumn="0" w:lastRowFirstColumn="0" w:lastRowLastColumn="0"/>
            <w:tcW w:w="7371" w:type="dxa"/>
          </w:tcPr>
          <w:p w14:paraId="35E5170A" w14:textId="69A2FF4C" w:rsidR="00FE3C9B" w:rsidRPr="003405CC" w:rsidRDefault="00FE3C9B" w:rsidP="00FE3C9B">
            <w:pPr>
              <w:rPr>
                <w:sz w:val="18"/>
                <w:szCs w:val="18"/>
              </w:rPr>
            </w:pPr>
            <w:r w:rsidRPr="003405CC">
              <w:rPr>
                <w:sz w:val="18"/>
                <w:szCs w:val="18"/>
              </w:rPr>
              <w:t>Partnership brokering</w:t>
            </w:r>
          </w:p>
        </w:tc>
        <w:tc>
          <w:tcPr>
            <w:tcW w:w="2381" w:type="dxa"/>
          </w:tcPr>
          <w:p w14:paraId="30B1AF14" w14:textId="2D28FB6D" w:rsidR="00FE3C9B" w:rsidRPr="003405CC" w:rsidRDefault="00FE3C9B" w:rsidP="00FE3C9B">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2</w:t>
            </w:r>
          </w:p>
        </w:tc>
      </w:tr>
      <w:tr w:rsidR="00FE3C9B" w:rsidRPr="003405CC" w14:paraId="04CB1BAA" w14:textId="77777777" w:rsidTr="008D6CA1">
        <w:tc>
          <w:tcPr>
            <w:cnfStyle w:val="001000000000" w:firstRow="0" w:lastRow="0" w:firstColumn="1" w:lastColumn="0" w:oddVBand="0" w:evenVBand="0" w:oddHBand="0" w:evenHBand="0" w:firstRowFirstColumn="0" w:firstRowLastColumn="0" w:lastRowFirstColumn="0" w:lastRowLastColumn="0"/>
            <w:tcW w:w="7371" w:type="dxa"/>
          </w:tcPr>
          <w:p w14:paraId="753F261C" w14:textId="36603362" w:rsidR="00FE3C9B" w:rsidRPr="003405CC" w:rsidRDefault="00FE3C9B" w:rsidP="00FE3C9B">
            <w:pPr>
              <w:jc w:val="right"/>
              <w:rPr>
                <w:sz w:val="18"/>
                <w:szCs w:val="18"/>
              </w:rPr>
            </w:pPr>
            <w:r w:rsidRPr="003405CC">
              <w:rPr>
                <w:sz w:val="18"/>
                <w:szCs w:val="18"/>
              </w:rPr>
              <w:t>Total</w:t>
            </w:r>
          </w:p>
        </w:tc>
        <w:tc>
          <w:tcPr>
            <w:tcW w:w="2381" w:type="dxa"/>
          </w:tcPr>
          <w:p w14:paraId="12A5FC42" w14:textId="426C0BAD" w:rsidR="00FE3C9B" w:rsidRPr="003405CC" w:rsidRDefault="00FE3C9B" w:rsidP="00FE3C9B">
            <w:pPr>
              <w:cnfStyle w:val="000000000000" w:firstRow="0" w:lastRow="0" w:firstColumn="0" w:lastColumn="0" w:oddVBand="0" w:evenVBand="0" w:oddHBand="0" w:evenHBand="0" w:firstRowFirstColumn="0" w:firstRowLastColumn="0" w:lastRowFirstColumn="0" w:lastRowLastColumn="0"/>
              <w:rPr>
                <w:sz w:val="18"/>
                <w:szCs w:val="18"/>
              </w:rPr>
            </w:pPr>
            <w:r w:rsidRPr="003405CC">
              <w:rPr>
                <w:sz w:val="18"/>
                <w:szCs w:val="18"/>
              </w:rPr>
              <w:t>120</w:t>
            </w:r>
          </w:p>
        </w:tc>
      </w:tr>
    </w:tbl>
    <w:p w14:paraId="62FF1765" w14:textId="578FD008" w:rsidR="003D1A15" w:rsidRDefault="00C519E3" w:rsidP="00C519E3">
      <w:pPr>
        <w:spacing w:before="240"/>
      </w:pPr>
      <w:r>
        <w:t>In addition to the above consultations,</w:t>
      </w:r>
      <w:r w:rsidR="00857C16">
        <w:t xml:space="preserve"> the PWL MTR team conducted consultations at the ARAW. This involved </w:t>
      </w:r>
      <w:r w:rsidR="00283B47">
        <w:t>approximately 130</w:t>
      </w:r>
      <w:r w:rsidR="00857C16">
        <w:t xml:space="preserve"> stakeholders, including significant representation from grant partners. This consultation process has been kept separate to the above summary in acknowledgement that some participants were part of both individual consultations, and the ARAW consultation process. </w:t>
      </w:r>
    </w:p>
    <w:p w14:paraId="327CD17D" w14:textId="0AB8D407" w:rsidR="00823468" w:rsidRDefault="00074B99" w:rsidP="00074B99">
      <w:pPr>
        <w:pStyle w:val="Heading1"/>
        <w:numPr>
          <w:ilvl w:val="0"/>
          <w:numId w:val="0"/>
        </w:numPr>
      </w:pPr>
      <w:bookmarkStart w:id="93" w:name="_Toc201840804"/>
      <w:r>
        <w:lastRenderedPageBreak/>
        <w:t>Appendix D</w:t>
      </w:r>
      <w:r w:rsidR="009A1F11">
        <w:t xml:space="preserve"> </w:t>
      </w:r>
      <w:r w:rsidR="006A1F39">
        <w:t>Acronyms</w:t>
      </w:r>
      <w:bookmarkEnd w:id="93"/>
      <w:r w:rsidR="006A1F39">
        <w:t xml:space="preserve"> </w:t>
      </w:r>
      <w:r w:rsidR="00F63294">
        <w:t xml:space="preserve"> </w:t>
      </w:r>
    </w:p>
    <w:tbl>
      <w:tblPr>
        <w:tblStyle w:val="TableGrid"/>
        <w:tblW w:w="5000" w:type="pct"/>
        <w:tblLook w:val="04A0" w:firstRow="1" w:lastRow="0" w:firstColumn="1" w:lastColumn="0" w:noHBand="0" w:noVBand="1"/>
      </w:tblPr>
      <w:tblGrid>
        <w:gridCol w:w="2167"/>
        <w:gridCol w:w="7585"/>
      </w:tblGrid>
      <w:tr w:rsidR="006A1F39" w:rsidRPr="00804FEE" w14:paraId="162DC9F2"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1" w:type="pct"/>
          </w:tcPr>
          <w:p w14:paraId="22EB111B" w14:textId="77777777" w:rsidR="006A1F39" w:rsidRPr="00804FEE" w:rsidRDefault="006A1F39">
            <w:r w:rsidRPr="00804FEE">
              <w:t>Acronym</w:t>
            </w:r>
          </w:p>
        </w:tc>
        <w:tc>
          <w:tcPr>
            <w:tcW w:w="3889" w:type="pct"/>
          </w:tcPr>
          <w:p w14:paraId="2EFC0A8F" w14:textId="77777777" w:rsidR="006A1F39" w:rsidRPr="00804FEE" w:rsidRDefault="006A1F39">
            <w:pPr>
              <w:cnfStyle w:val="100000000000" w:firstRow="1" w:lastRow="0" w:firstColumn="0" w:lastColumn="0" w:oddVBand="0" w:evenVBand="0" w:oddHBand="0" w:evenHBand="0" w:firstRowFirstColumn="0" w:firstRowLastColumn="0" w:lastRowFirstColumn="0" w:lastRowLastColumn="0"/>
            </w:pPr>
            <w:r w:rsidRPr="00804FEE">
              <w:t>Definition</w:t>
            </w:r>
          </w:p>
        </w:tc>
      </w:tr>
      <w:tr w:rsidR="006A1F39" w:rsidRPr="00804FEE" w14:paraId="5385765E" w14:textId="77777777">
        <w:tc>
          <w:tcPr>
            <w:cnfStyle w:val="001000000000" w:firstRow="0" w:lastRow="0" w:firstColumn="1" w:lastColumn="0" w:oddVBand="0" w:evenVBand="0" w:oddHBand="0" w:evenHBand="0" w:firstRowFirstColumn="0" w:firstRowLastColumn="0" w:lastRowFirstColumn="0" w:lastRowLastColumn="0"/>
            <w:tcW w:w="1111" w:type="pct"/>
          </w:tcPr>
          <w:p w14:paraId="75A91304" w14:textId="77777777" w:rsidR="006A1F39" w:rsidRPr="006A1F39" w:rsidRDefault="006A1F39">
            <w:pPr>
              <w:rPr>
                <w:rFonts w:ascii="Arial" w:hAnsi="Arial" w:cs="Arial"/>
              </w:rPr>
            </w:pPr>
            <w:r w:rsidRPr="006A1F39">
              <w:rPr>
                <w:rFonts w:ascii="Arial" w:hAnsi="Arial" w:cs="Arial"/>
              </w:rPr>
              <w:t>AIR</w:t>
            </w:r>
          </w:p>
        </w:tc>
        <w:tc>
          <w:tcPr>
            <w:tcW w:w="3889" w:type="pct"/>
          </w:tcPr>
          <w:p w14:paraId="724B72F1"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Amplify Invest Reach partnership</w:t>
            </w:r>
          </w:p>
        </w:tc>
      </w:tr>
      <w:tr w:rsidR="006A1F39" w:rsidRPr="00804FEE" w14:paraId="2B086538" w14:textId="77777777">
        <w:tc>
          <w:tcPr>
            <w:cnfStyle w:val="001000000000" w:firstRow="0" w:lastRow="0" w:firstColumn="1" w:lastColumn="0" w:oddVBand="0" w:evenVBand="0" w:oddHBand="0" w:evenHBand="0" w:firstRowFirstColumn="0" w:firstRowLastColumn="0" w:lastRowFirstColumn="0" w:lastRowLastColumn="0"/>
            <w:tcW w:w="1111" w:type="pct"/>
          </w:tcPr>
          <w:p w14:paraId="421AE6DD" w14:textId="77777777" w:rsidR="006A1F39" w:rsidRPr="006A1F39" w:rsidRDefault="006A1F39">
            <w:pPr>
              <w:rPr>
                <w:rFonts w:ascii="Arial" w:hAnsi="Arial" w:cs="Arial"/>
              </w:rPr>
            </w:pPr>
            <w:r w:rsidRPr="006A1F39">
              <w:rPr>
                <w:rFonts w:ascii="Arial" w:hAnsi="Arial" w:cs="Arial"/>
              </w:rPr>
              <w:t>ARAW</w:t>
            </w:r>
          </w:p>
        </w:tc>
        <w:tc>
          <w:tcPr>
            <w:tcW w:w="3889" w:type="pct"/>
          </w:tcPr>
          <w:p w14:paraId="1D1789A6"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Pacific Women Lead’s Annual Reflection and Analysis Workshop</w:t>
            </w:r>
          </w:p>
        </w:tc>
      </w:tr>
      <w:tr w:rsidR="006A1F39" w:rsidRPr="00804FEE" w14:paraId="6307393D" w14:textId="77777777">
        <w:tc>
          <w:tcPr>
            <w:cnfStyle w:val="001000000000" w:firstRow="0" w:lastRow="0" w:firstColumn="1" w:lastColumn="0" w:oddVBand="0" w:evenVBand="0" w:oddHBand="0" w:evenHBand="0" w:firstRowFirstColumn="0" w:firstRowLastColumn="0" w:lastRowFirstColumn="0" w:lastRowLastColumn="0"/>
            <w:tcW w:w="1111" w:type="pct"/>
          </w:tcPr>
          <w:p w14:paraId="7C1FECDB" w14:textId="77777777" w:rsidR="006A1F39" w:rsidRPr="006A1F39" w:rsidRDefault="006A1F39">
            <w:pPr>
              <w:rPr>
                <w:rFonts w:ascii="Arial" w:hAnsi="Arial" w:cs="Arial"/>
              </w:rPr>
            </w:pPr>
            <w:r w:rsidRPr="006A1F39">
              <w:rPr>
                <w:rFonts w:ascii="Arial" w:hAnsi="Arial" w:cs="Arial"/>
              </w:rPr>
              <w:t>AUD</w:t>
            </w:r>
          </w:p>
        </w:tc>
        <w:tc>
          <w:tcPr>
            <w:tcW w:w="3889" w:type="pct"/>
          </w:tcPr>
          <w:p w14:paraId="6FCE93C1"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Australian Dollar</w:t>
            </w:r>
          </w:p>
        </w:tc>
      </w:tr>
      <w:tr w:rsidR="006A1F39" w:rsidRPr="00804FEE" w14:paraId="68B58782" w14:textId="77777777">
        <w:tc>
          <w:tcPr>
            <w:cnfStyle w:val="001000000000" w:firstRow="0" w:lastRow="0" w:firstColumn="1" w:lastColumn="0" w:oddVBand="0" w:evenVBand="0" w:oddHBand="0" w:evenHBand="0" w:firstRowFirstColumn="0" w:firstRowLastColumn="0" w:lastRowFirstColumn="0" w:lastRowLastColumn="0"/>
            <w:tcW w:w="1111" w:type="pct"/>
          </w:tcPr>
          <w:p w14:paraId="272BC92E" w14:textId="77777777" w:rsidR="006A1F39" w:rsidRPr="006A1F39" w:rsidRDefault="006A1F39">
            <w:pPr>
              <w:rPr>
                <w:rFonts w:ascii="Arial" w:hAnsi="Arial" w:cs="Arial"/>
              </w:rPr>
            </w:pPr>
            <w:r w:rsidRPr="006A1F39">
              <w:rPr>
                <w:rFonts w:ascii="Arial" w:hAnsi="Arial" w:cs="Arial"/>
              </w:rPr>
              <w:t>AWID</w:t>
            </w:r>
          </w:p>
        </w:tc>
        <w:tc>
          <w:tcPr>
            <w:tcW w:w="3889" w:type="pct"/>
          </w:tcPr>
          <w:p w14:paraId="55D1B264"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 xml:space="preserve">Association for Women’s Rights in Development  </w:t>
            </w:r>
          </w:p>
        </w:tc>
      </w:tr>
      <w:tr w:rsidR="006A1F39" w:rsidRPr="00804FEE" w14:paraId="18820850" w14:textId="77777777">
        <w:tc>
          <w:tcPr>
            <w:cnfStyle w:val="001000000000" w:firstRow="0" w:lastRow="0" w:firstColumn="1" w:lastColumn="0" w:oddVBand="0" w:evenVBand="0" w:oddHBand="0" w:evenHBand="0" w:firstRowFirstColumn="0" w:firstRowLastColumn="0" w:lastRowFirstColumn="0" w:lastRowLastColumn="0"/>
            <w:tcW w:w="1111" w:type="pct"/>
          </w:tcPr>
          <w:p w14:paraId="171C769F" w14:textId="77777777" w:rsidR="006A1F39" w:rsidRPr="006A1F39" w:rsidRDefault="006A1F39">
            <w:pPr>
              <w:rPr>
                <w:rFonts w:ascii="Arial" w:hAnsi="Arial" w:cs="Arial"/>
              </w:rPr>
            </w:pPr>
            <w:r w:rsidRPr="006A1F39">
              <w:rPr>
                <w:rFonts w:ascii="Arial" w:hAnsi="Arial" w:cs="Arial"/>
              </w:rPr>
              <w:t>BOP</w:t>
            </w:r>
          </w:p>
        </w:tc>
        <w:tc>
          <w:tcPr>
            <w:tcW w:w="3889" w:type="pct"/>
          </w:tcPr>
          <w:p w14:paraId="39FF76EC"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Balance of Power</w:t>
            </w:r>
          </w:p>
        </w:tc>
      </w:tr>
      <w:tr w:rsidR="006A1F39" w:rsidRPr="00804FEE" w14:paraId="55F80B95" w14:textId="77777777">
        <w:tc>
          <w:tcPr>
            <w:cnfStyle w:val="001000000000" w:firstRow="0" w:lastRow="0" w:firstColumn="1" w:lastColumn="0" w:oddVBand="0" w:evenVBand="0" w:oddHBand="0" w:evenHBand="0" w:firstRowFirstColumn="0" w:firstRowLastColumn="0" w:lastRowFirstColumn="0" w:lastRowLastColumn="0"/>
            <w:tcW w:w="1111" w:type="pct"/>
          </w:tcPr>
          <w:p w14:paraId="4F85B0F7" w14:textId="77777777" w:rsidR="006A1F39" w:rsidRPr="006A1F39" w:rsidRDefault="006A1F39">
            <w:pPr>
              <w:rPr>
                <w:rFonts w:ascii="Arial" w:hAnsi="Arial" w:cs="Arial"/>
              </w:rPr>
            </w:pPr>
            <w:r w:rsidRPr="006A1F39">
              <w:rPr>
                <w:rFonts w:ascii="Arial" w:hAnsi="Arial" w:cs="Arial"/>
              </w:rPr>
              <w:t>CEDAW</w:t>
            </w:r>
          </w:p>
        </w:tc>
        <w:tc>
          <w:tcPr>
            <w:tcW w:w="3889" w:type="pct"/>
          </w:tcPr>
          <w:p w14:paraId="56E2CDA5"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94" w:name="_Hlk193744093"/>
            <w:r w:rsidRPr="006A1F39">
              <w:rPr>
                <w:rFonts w:ascii="Arial" w:hAnsi="Arial" w:cs="Arial"/>
              </w:rPr>
              <w:t>Convention on the Elimination of All Forms of Discrimination Against Women</w:t>
            </w:r>
            <w:bookmarkEnd w:id="94"/>
          </w:p>
        </w:tc>
      </w:tr>
      <w:tr w:rsidR="006A1F39" w:rsidRPr="00804FEE" w14:paraId="0214B844" w14:textId="77777777">
        <w:tc>
          <w:tcPr>
            <w:cnfStyle w:val="001000000000" w:firstRow="0" w:lastRow="0" w:firstColumn="1" w:lastColumn="0" w:oddVBand="0" w:evenVBand="0" w:oddHBand="0" w:evenHBand="0" w:firstRowFirstColumn="0" w:firstRowLastColumn="0" w:lastRowFirstColumn="0" w:lastRowLastColumn="0"/>
            <w:tcW w:w="1111" w:type="pct"/>
          </w:tcPr>
          <w:p w14:paraId="27E12866" w14:textId="77777777" w:rsidR="006A1F39" w:rsidRPr="006A1F39" w:rsidRDefault="006A1F39">
            <w:pPr>
              <w:rPr>
                <w:rFonts w:ascii="Arial" w:hAnsi="Arial" w:cs="Arial"/>
              </w:rPr>
            </w:pPr>
            <w:r w:rsidRPr="006A1F39">
              <w:rPr>
                <w:rFonts w:ascii="Arial" w:hAnsi="Arial" w:cs="Arial"/>
              </w:rPr>
              <w:t>COP28</w:t>
            </w:r>
          </w:p>
        </w:tc>
        <w:tc>
          <w:tcPr>
            <w:tcW w:w="3889" w:type="pct"/>
          </w:tcPr>
          <w:p w14:paraId="03D79FA9"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t>28</w:t>
            </w:r>
            <w:r w:rsidRPr="006A1F39">
              <w:rPr>
                <w:vertAlign w:val="superscript"/>
              </w:rPr>
              <w:t>th</w:t>
            </w:r>
            <w:r w:rsidRPr="006A1F39">
              <w:t xml:space="preserve"> United Nations Climate Change Conference</w:t>
            </w:r>
          </w:p>
        </w:tc>
      </w:tr>
      <w:tr w:rsidR="006A1F39" w:rsidRPr="00804FEE" w14:paraId="6E0ADC62" w14:textId="77777777">
        <w:tc>
          <w:tcPr>
            <w:cnfStyle w:val="001000000000" w:firstRow="0" w:lastRow="0" w:firstColumn="1" w:lastColumn="0" w:oddVBand="0" w:evenVBand="0" w:oddHBand="0" w:evenHBand="0" w:firstRowFirstColumn="0" w:firstRowLastColumn="0" w:lastRowFirstColumn="0" w:lastRowLastColumn="0"/>
            <w:tcW w:w="1111" w:type="pct"/>
          </w:tcPr>
          <w:p w14:paraId="6FEDC013" w14:textId="77777777" w:rsidR="006A1F39" w:rsidRPr="006A1F39" w:rsidRDefault="006A1F39">
            <w:pPr>
              <w:rPr>
                <w:rFonts w:ascii="Arial" w:hAnsi="Arial" w:cs="Arial"/>
              </w:rPr>
            </w:pPr>
            <w:r w:rsidRPr="006A1F39">
              <w:rPr>
                <w:rFonts w:ascii="Arial" w:hAnsi="Arial" w:cs="Arial"/>
              </w:rPr>
              <w:t>CROP</w:t>
            </w:r>
          </w:p>
        </w:tc>
        <w:tc>
          <w:tcPr>
            <w:tcW w:w="3889" w:type="pct"/>
          </w:tcPr>
          <w:p w14:paraId="0EEE7BAA"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Council of Regional Organisations of the Pacific</w:t>
            </w:r>
          </w:p>
        </w:tc>
      </w:tr>
      <w:tr w:rsidR="006A1F39" w:rsidRPr="00804FEE" w14:paraId="547F092D" w14:textId="77777777">
        <w:tc>
          <w:tcPr>
            <w:cnfStyle w:val="001000000000" w:firstRow="0" w:lastRow="0" w:firstColumn="1" w:lastColumn="0" w:oddVBand="0" w:evenVBand="0" w:oddHBand="0" w:evenHBand="0" w:firstRowFirstColumn="0" w:firstRowLastColumn="0" w:lastRowFirstColumn="0" w:lastRowLastColumn="0"/>
            <w:tcW w:w="1111" w:type="pct"/>
          </w:tcPr>
          <w:p w14:paraId="31B57B36" w14:textId="77777777" w:rsidR="006A1F39" w:rsidRPr="006A1F39" w:rsidRDefault="006A1F39">
            <w:pPr>
              <w:rPr>
                <w:rFonts w:ascii="Arial" w:hAnsi="Arial" w:cs="Arial"/>
              </w:rPr>
            </w:pPr>
            <w:r w:rsidRPr="006A1F39">
              <w:rPr>
                <w:rFonts w:ascii="Arial" w:hAnsi="Arial" w:cs="Arial"/>
              </w:rPr>
              <w:t>CRPD</w:t>
            </w:r>
          </w:p>
        </w:tc>
        <w:tc>
          <w:tcPr>
            <w:tcW w:w="3889" w:type="pct"/>
          </w:tcPr>
          <w:p w14:paraId="1A4497C4"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 xml:space="preserve">Convention on the Rights of Persons with Disabilities </w:t>
            </w:r>
          </w:p>
        </w:tc>
      </w:tr>
      <w:tr w:rsidR="006A1F39" w:rsidRPr="00804FEE" w14:paraId="6F28CA69" w14:textId="77777777">
        <w:tc>
          <w:tcPr>
            <w:cnfStyle w:val="001000000000" w:firstRow="0" w:lastRow="0" w:firstColumn="1" w:lastColumn="0" w:oddVBand="0" w:evenVBand="0" w:oddHBand="0" w:evenHBand="0" w:firstRowFirstColumn="0" w:firstRowLastColumn="0" w:lastRowFirstColumn="0" w:lastRowLastColumn="0"/>
            <w:tcW w:w="1111" w:type="pct"/>
          </w:tcPr>
          <w:p w14:paraId="288FEE6C" w14:textId="77777777" w:rsidR="006A1F39" w:rsidRPr="006A1F39" w:rsidRDefault="006A1F39">
            <w:pPr>
              <w:rPr>
                <w:rFonts w:ascii="Arial" w:hAnsi="Arial" w:cs="Arial"/>
              </w:rPr>
            </w:pPr>
            <w:r w:rsidRPr="006A1F39">
              <w:rPr>
                <w:rFonts w:ascii="Arial" w:hAnsi="Arial" w:cs="Arial"/>
              </w:rPr>
              <w:t>CSE</w:t>
            </w:r>
          </w:p>
        </w:tc>
        <w:tc>
          <w:tcPr>
            <w:tcW w:w="3889" w:type="pct"/>
          </w:tcPr>
          <w:p w14:paraId="34BA6E5E"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Comprehensive Sexual Education</w:t>
            </w:r>
          </w:p>
        </w:tc>
      </w:tr>
      <w:tr w:rsidR="006A1F39" w:rsidRPr="00804FEE" w14:paraId="2380D6AB" w14:textId="77777777">
        <w:tc>
          <w:tcPr>
            <w:cnfStyle w:val="001000000000" w:firstRow="0" w:lastRow="0" w:firstColumn="1" w:lastColumn="0" w:oddVBand="0" w:evenVBand="0" w:oddHBand="0" w:evenHBand="0" w:firstRowFirstColumn="0" w:firstRowLastColumn="0" w:lastRowFirstColumn="0" w:lastRowLastColumn="0"/>
            <w:tcW w:w="1111" w:type="pct"/>
          </w:tcPr>
          <w:p w14:paraId="0AEA1C2D" w14:textId="77777777" w:rsidR="006A1F39" w:rsidRPr="006A1F39" w:rsidRDefault="006A1F39">
            <w:pPr>
              <w:rPr>
                <w:rFonts w:ascii="Arial" w:hAnsi="Arial" w:cs="Arial"/>
              </w:rPr>
            </w:pPr>
            <w:r w:rsidRPr="006A1F39">
              <w:rPr>
                <w:rFonts w:ascii="Arial" w:hAnsi="Arial" w:cs="Arial"/>
              </w:rPr>
              <w:t>CSO</w:t>
            </w:r>
          </w:p>
        </w:tc>
        <w:tc>
          <w:tcPr>
            <w:tcW w:w="3889" w:type="pct"/>
          </w:tcPr>
          <w:p w14:paraId="5247B1E7"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Civil Society Organisation</w:t>
            </w:r>
          </w:p>
        </w:tc>
      </w:tr>
      <w:tr w:rsidR="006A1F39" w:rsidRPr="00804FEE" w14:paraId="798D83D9" w14:textId="77777777">
        <w:tc>
          <w:tcPr>
            <w:cnfStyle w:val="001000000000" w:firstRow="0" w:lastRow="0" w:firstColumn="1" w:lastColumn="0" w:oddVBand="0" w:evenVBand="0" w:oddHBand="0" w:evenHBand="0" w:firstRowFirstColumn="0" w:firstRowLastColumn="0" w:lastRowFirstColumn="0" w:lastRowLastColumn="0"/>
            <w:tcW w:w="1111" w:type="pct"/>
          </w:tcPr>
          <w:p w14:paraId="20B8193E" w14:textId="77777777" w:rsidR="006A1F39" w:rsidRPr="006A1F39" w:rsidRDefault="006A1F39">
            <w:pPr>
              <w:rPr>
                <w:rFonts w:ascii="Arial" w:hAnsi="Arial" w:cs="Arial"/>
              </w:rPr>
            </w:pPr>
            <w:r w:rsidRPr="006A1F39">
              <w:rPr>
                <w:rFonts w:ascii="Arial" w:hAnsi="Arial" w:cs="Arial"/>
              </w:rPr>
              <w:t>CSW</w:t>
            </w:r>
          </w:p>
        </w:tc>
        <w:tc>
          <w:tcPr>
            <w:tcW w:w="3889" w:type="pct"/>
          </w:tcPr>
          <w:p w14:paraId="51AD1F10"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Commission on Status of Women</w:t>
            </w:r>
          </w:p>
        </w:tc>
      </w:tr>
      <w:tr w:rsidR="006A1F39" w:rsidRPr="00804FEE" w14:paraId="7C7303D8" w14:textId="77777777">
        <w:tc>
          <w:tcPr>
            <w:cnfStyle w:val="001000000000" w:firstRow="0" w:lastRow="0" w:firstColumn="1" w:lastColumn="0" w:oddVBand="0" w:evenVBand="0" w:oddHBand="0" w:evenHBand="0" w:firstRowFirstColumn="0" w:firstRowLastColumn="0" w:lastRowFirstColumn="0" w:lastRowLastColumn="0"/>
            <w:tcW w:w="1111" w:type="pct"/>
          </w:tcPr>
          <w:p w14:paraId="45081045" w14:textId="77777777" w:rsidR="006A1F39" w:rsidRPr="006A1F39" w:rsidRDefault="006A1F39">
            <w:pPr>
              <w:rPr>
                <w:rFonts w:ascii="Arial" w:hAnsi="Arial" w:cs="Arial"/>
              </w:rPr>
            </w:pPr>
            <w:r w:rsidRPr="006A1F39">
              <w:rPr>
                <w:rFonts w:ascii="Arial" w:hAnsi="Arial" w:cs="Arial"/>
              </w:rPr>
              <w:t>DFAT</w:t>
            </w:r>
          </w:p>
        </w:tc>
        <w:tc>
          <w:tcPr>
            <w:tcW w:w="3889" w:type="pct"/>
          </w:tcPr>
          <w:p w14:paraId="61650B65"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Australian Government Department of Foreign Affairs and Trade</w:t>
            </w:r>
          </w:p>
        </w:tc>
      </w:tr>
      <w:tr w:rsidR="006A1F39" w:rsidRPr="00804FEE" w14:paraId="38200BA3" w14:textId="77777777">
        <w:tc>
          <w:tcPr>
            <w:cnfStyle w:val="001000000000" w:firstRow="0" w:lastRow="0" w:firstColumn="1" w:lastColumn="0" w:oddVBand="0" w:evenVBand="0" w:oddHBand="0" w:evenHBand="0" w:firstRowFirstColumn="0" w:firstRowLastColumn="0" w:lastRowFirstColumn="0" w:lastRowLastColumn="0"/>
            <w:tcW w:w="1111" w:type="pct"/>
          </w:tcPr>
          <w:p w14:paraId="636773B9" w14:textId="77777777" w:rsidR="006A1F39" w:rsidRPr="006A1F39" w:rsidRDefault="006A1F39">
            <w:pPr>
              <w:rPr>
                <w:rFonts w:ascii="Arial" w:hAnsi="Arial" w:cs="Arial"/>
              </w:rPr>
            </w:pPr>
            <w:r w:rsidRPr="006A1F39">
              <w:rPr>
                <w:rFonts w:ascii="Arial" w:hAnsi="Arial" w:cs="Arial"/>
              </w:rPr>
              <w:t>DRR</w:t>
            </w:r>
          </w:p>
        </w:tc>
        <w:tc>
          <w:tcPr>
            <w:tcW w:w="3889" w:type="pct"/>
          </w:tcPr>
          <w:p w14:paraId="12CF5C99"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 xml:space="preserve">Disaster risk reduction </w:t>
            </w:r>
          </w:p>
        </w:tc>
      </w:tr>
      <w:tr w:rsidR="006A1F39" w:rsidRPr="00804FEE" w14:paraId="31B4410B" w14:textId="77777777">
        <w:tc>
          <w:tcPr>
            <w:cnfStyle w:val="001000000000" w:firstRow="0" w:lastRow="0" w:firstColumn="1" w:lastColumn="0" w:oddVBand="0" w:evenVBand="0" w:oddHBand="0" w:evenHBand="0" w:firstRowFirstColumn="0" w:firstRowLastColumn="0" w:lastRowFirstColumn="0" w:lastRowLastColumn="0"/>
            <w:tcW w:w="1111" w:type="pct"/>
          </w:tcPr>
          <w:p w14:paraId="406B2C94" w14:textId="77777777" w:rsidR="006A1F39" w:rsidRPr="006A1F39" w:rsidRDefault="006A1F39">
            <w:pPr>
              <w:rPr>
                <w:rFonts w:ascii="Arial" w:hAnsi="Arial" w:cs="Arial"/>
              </w:rPr>
            </w:pPr>
            <w:r w:rsidRPr="006A1F39">
              <w:rPr>
                <w:rFonts w:ascii="Arial" w:hAnsi="Arial" w:cs="Arial"/>
              </w:rPr>
              <w:t>EOPO</w:t>
            </w:r>
          </w:p>
        </w:tc>
        <w:tc>
          <w:tcPr>
            <w:tcW w:w="3889" w:type="pct"/>
          </w:tcPr>
          <w:p w14:paraId="6A9A04BA"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End of Program Outcomes</w:t>
            </w:r>
          </w:p>
        </w:tc>
      </w:tr>
      <w:tr w:rsidR="006A1F39" w:rsidRPr="00804FEE" w14:paraId="4BD13BDA" w14:textId="77777777">
        <w:tc>
          <w:tcPr>
            <w:cnfStyle w:val="001000000000" w:firstRow="0" w:lastRow="0" w:firstColumn="1" w:lastColumn="0" w:oddVBand="0" w:evenVBand="0" w:oddHBand="0" w:evenHBand="0" w:firstRowFirstColumn="0" w:firstRowLastColumn="0" w:lastRowFirstColumn="0" w:lastRowLastColumn="0"/>
            <w:tcW w:w="1111" w:type="pct"/>
          </w:tcPr>
          <w:p w14:paraId="6B3004EE" w14:textId="77777777" w:rsidR="006A1F39" w:rsidRPr="006A1F39" w:rsidRDefault="006A1F39">
            <w:pPr>
              <w:rPr>
                <w:rFonts w:ascii="Arial" w:hAnsi="Arial" w:cs="Arial"/>
              </w:rPr>
            </w:pPr>
            <w:r w:rsidRPr="006A1F39">
              <w:rPr>
                <w:rFonts w:ascii="Arial" w:hAnsi="Arial" w:cs="Arial"/>
              </w:rPr>
              <w:t>EVAWG</w:t>
            </w:r>
          </w:p>
        </w:tc>
        <w:tc>
          <w:tcPr>
            <w:tcW w:w="3889" w:type="pct"/>
          </w:tcPr>
          <w:p w14:paraId="2C3A18AC"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Ending Violence Against Women and Girls</w:t>
            </w:r>
          </w:p>
        </w:tc>
      </w:tr>
      <w:tr w:rsidR="006A1F39" w:rsidRPr="00804FEE" w14:paraId="2966C02C" w14:textId="77777777">
        <w:tc>
          <w:tcPr>
            <w:cnfStyle w:val="001000000000" w:firstRow="0" w:lastRow="0" w:firstColumn="1" w:lastColumn="0" w:oddVBand="0" w:evenVBand="0" w:oddHBand="0" w:evenHBand="0" w:firstRowFirstColumn="0" w:firstRowLastColumn="0" w:lastRowFirstColumn="0" w:lastRowLastColumn="0"/>
            <w:tcW w:w="1111" w:type="pct"/>
          </w:tcPr>
          <w:p w14:paraId="34F1EAF8" w14:textId="77777777" w:rsidR="006A1F39" w:rsidRPr="006A1F39" w:rsidRDefault="006A1F39">
            <w:pPr>
              <w:rPr>
                <w:rFonts w:ascii="Arial" w:hAnsi="Arial" w:cs="Arial"/>
              </w:rPr>
            </w:pPr>
            <w:proofErr w:type="spellStart"/>
            <w:r w:rsidRPr="006A1F39">
              <w:rPr>
                <w:rFonts w:ascii="Arial" w:hAnsi="Arial" w:cs="Arial"/>
              </w:rPr>
              <w:t>FestPAC</w:t>
            </w:r>
            <w:proofErr w:type="spellEnd"/>
          </w:p>
        </w:tc>
        <w:tc>
          <w:tcPr>
            <w:tcW w:w="3889" w:type="pct"/>
          </w:tcPr>
          <w:p w14:paraId="3FCFFE97"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lang w:val="en-US"/>
              </w:rPr>
              <w:t>Festival of Pacific Arts and Culture</w:t>
            </w:r>
          </w:p>
        </w:tc>
      </w:tr>
      <w:tr w:rsidR="006A1F39" w:rsidRPr="00804FEE" w14:paraId="7F59DDA7" w14:textId="77777777">
        <w:tc>
          <w:tcPr>
            <w:cnfStyle w:val="001000000000" w:firstRow="0" w:lastRow="0" w:firstColumn="1" w:lastColumn="0" w:oddVBand="0" w:evenVBand="0" w:oddHBand="0" w:evenHBand="0" w:firstRowFirstColumn="0" w:firstRowLastColumn="0" w:lastRowFirstColumn="0" w:lastRowLastColumn="0"/>
            <w:tcW w:w="1111" w:type="pct"/>
          </w:tcPr>
          <w:p w14:paraId="65E71F3D" w14:textId="77777777" w:rsidR="006A1F39" w:rsidRPr="006A1F39" w:rsidRDefault="006A1F39">
            <w:pPr>
              <w:rPr>
                <w:rFonts w:ascii="Arial" w:hAnsi="Arial" w:cs="Arial"/>
              </w:rPr>
            </w:pPr>
            <w:r w:rsidRPr="006A1F39">
              <w:rPr>
                <w:rFonts w:ascii="Arial" w:hAnsi="Arial" w:cs="Arial"/>
              </w:rPr>
              <w:t>FFA</w:t>
            </w:r>
          </w:p>
        </w:tc>
        <w:tc>
          <w:tcPr>
            <w:tcW w:w="3889" w:type="pct"/>
          </w:tcPr>
          <w:p w14:paraId="6EA65D65"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Pacific Island Forum Fisheries Agency</w:t>
            </w:r>
          </w:p>
        </w:tc>
      </w:tr>
      <w:tr w:rsidR="006A1F39" w:rsidRPr="00804FEE" w14:paraId="389E824F" w14:textId="77777777">
        <w:tc>
          <w:tcPr>
            <w:cnfStyle w:val="001000000000" w:firstRow="0" w:lastRow="0" w:firstColumn="1" w:lastColumn="0" w:oddVBand="0" w:evenVBand="0" w:oddHBand="0" w:evenHBand="0" w:firstRowFirstColumn="0" w:firstRowLastColumn="0" w:lastRowFirstColumn="0" w:lastRowLastColumn="0"/>
            <w:tcW w:w="1111" w:type="pct"/>
          </w:tcPr>
          <w:p w14:paraId="35995A83" w14:textId="77777777" w:rsidR="006A1F39" w:rsidRPr="006A1F39" w:rsidRDefault="006A1F39">
            <w:pPr>
              <w:rPr>
                <w:rFonts w:ascii="Arial" w:hAnsi="Arial" w:cs="Arial"/>
              </w:rPr>
            </w:pPr>
            <w:r w:rsidRPr="006A1F39">
              <w:rPr>
                <w:rFonts w:ascii="Arial" w:hAnsi="Arial" w:cs="Arial"/>
              </w:rPr>
              <w:t>FLE</w:t>
            </w:r>
          </w:p>
        </w:tc>
        <w:tc>
          <w:tcPr>
            <w:tcW w:w="3889" w:type="pct"/>
          </w:tcPr>
          <w:p w14:paraId="57321D65"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Family Life Education</w:t>
            </w:r>
          </w:p>
        </w:tc>
      </w:tr>
      <w:tr w:rsidR="006A1F39" w:rsidRPr="00804FEE" w14:paraId="2ADE9E8A" w14:textId="77777777">
        <w:tc>
          <w:tcPr>
            <w:cnfStyle w:val="001000000000" w:firstRow="0" w:lastRow="0" w:firstColumn="1" w:lastColumn="0" w:oddVBand="0" w:evenVBand="0" w:oddHBand="0" w:evenHBand="0" w:firstRowFirstColumn="0" w:firstRowLastColumn="0" w:lastRowFirstColumn="0" w:lastRowLastColumn="0"/>
            <w:tcW w:w="1111" w:type="pct"/>
          </w:tcPr>
          <w:p w14:paraId="33F9E9A4" w14:textId="77777777" w:rsidR="006A1F39" w:rsidRPr="006A1F39" w:rsidRDefault="006A1F39">
            <w:pPr>
              <w:rPr>
                <w:rFonts w:ascii="Arial" w:hAnsi="Arial" w:cs="Arial"/>
              </w:rPr>
            </w:pPr>
            <w:r w:rsidRPr="006A1F39">
              <w:rPr>
                <w:rFonts w:ascii="Arial" w:hAnsi="Arial" w:cs="Arial"/>
              </w:rPr>
              <w:t>FSM</w:t>
            </w:r>
          </w:p>
        </w:tc>
        <w:tc>
          <w:tcPr>
            <w:tcW w:w="3889" w:type="pct"/>
          </w:tcPr>
          <w:p w14:paraId="1585035C"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Federated States of Micronesia</w:t>
            </w:r>
          </w:p>
        </w:tc>
      </w:tr>
      <w:tr w:rsidR="006A1F39" w:rsidRPr="00804FEE" w14:paraId="12F84BE3" w14:textId="77777777">
        <w:tc>
          <w:tcPr>
            <w:cnfStyle w:val="001000000000" w:firstRow="0" w:lastRow="0" w:firstColumn="1" w:lastColumn="0" w:oddVBand="0" w:evenVBand="0" w:oddHBand="0" w:evenHBand="0" w:firstRowFirstColumn="0" w:firstRowLastColumn="0" w:lastRowFirstColumn="0" w:lastRowLastColumn="0"/>
            <w:tcW w:w="1111" w:type="pct"/>
          </w:tcPr>
          <w:p w14:paraId="3974DDDD" w14:textId="77777777" w:rsidR="006A1F39" w:rsidRPr="006A1F39" w:rsidRDefault="006A1F39">
            <w:pPr>
              <w:rPr>
                <w:rFonts w:ascii="Arial" w:hAnsi="Arial" w:cs="Arial"/>
              </w:rPr>
            </w:pPr>
            <w:r w:rsidRPr="006A1F39">
              <w:rPr>
                <w:rFonts w:ascii="Arial" w:hAnsi="Arial" w:cs="Arial"/>
              </w:rPr>
              <w:t>GBV</w:t>
            </w:r>
          </w:p>
        </w:tc>
        <w:tc>
          <w:tcPr>
            <w:tcW w:w="3889" w:type="pct"/>
          </w:tcPr>
          <w:p w14:paraId="537036EF"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Gender Based Violence</w:t>
            </w:r>
          </w:p>
        </w:tc>
      </w:tr>
      <w:tr w:rsidR="006A1F39" w:rsidRPr="00804FEE" w14:paraId="17BAEFA4" w14:textId="77777777">
        <w:tc>
          <w:tcPr>
            <w:cnfStyle w:val="001000000000" w:firstRow="0" w:lastRow="0" w:firstColumn="1" w:lastColumn="0" w:oddVBand="0" w:evenVBand="0" w:oddHBand="0" w:evenHBand="0" w:firstRowFirstColumn="0" w:firstRowLastColumn="0" w:lastRowFirstColumn="0" w:lastRowLastColumn="0"/>
            <w:tcW w:w="1111" w:type="pct"/>
          </w:tcPr>
          <w:p w14:paraId="5A840DDE" w14:textId="77777777" w:rsidR="006A1F39" w:rsidRPr="006A1F39" w:rsidRDefault="006A1F39">
            <w:pPr>
              <w:rPr>
                <w:rFonts w:ascii="Arial" w:hAnsi="Arial" w:cs="Arial"/>
              </w:rPr>
            </w:pPr>
            <w:r w:rsidRPr="006A1F39">
              <w:rPr>
                <w:rFonts w:ascii="Arial" w:hAnsi="Arial" w:cs="Arial"/>
              </w:rPr>
              <w:t>GCP</w:t>
            </w:r>
          </w:p>
        </w:tc>
        <w:tc>
          <w:tcPr>
            <w:tcW w:w="3889" w:type="pct"/>
          </w:tcPr>
          <w:p w14:paraId="1714E5A7"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Gender Country Plan</w:t>
            </w:r>
          </w:p>
        </w:tc>
      </w:tr>
      <w:tr w:rsidR="006A1F39" w:rsidRPr="00804FEE" w14:paraId="25EA8791" w14:textId="77777777">
        <w:tc>
          <w:tcPr>
            <w:cnfStyle w:val="001000000000" w:firstRow="0" w:lastRow="0" w:firstColumn="1" w:lastColumn="0" w:oddVBand="0" w:evenVBand="0" w:oddHBand="0" w:evenHBand="0" w:firstRowFirstColumn="0" w:firstRowLastColumn="0" w:lastRowFirstColumn="0" w:lastRowLastColumn="0"/>
            <w:tcW w:w="1111" w:type="pct"/>
          </w:tcPr>
          <w:p w14:paraId="7988345A" w14:textId="77777777" w:rsidR="006A1F39" w:rsidRPr="006A1F39" w:rsidRDefault="006A1F39">
            <w:pPr>
              <w:rPr>
                <w:rFonts w:ascii="Arial" w:hAnsi="Arial" w:cs="Arial"/>
              </w:rPr>
            </w:pPr>
            <w:r w:rsidRPr="006A1F39">
              <w:rPr>
                <w:rFonts w:ascii="Arial" w:hAnsi="Arial" w:cs="Arial"/>
              </w:rPr>
              <w:t>GEDSI</w:t>
            </w:r>
          </w:p>
        </w:tc>
        <w:tc>
          <w:tcPr>
            <w:tcW w:w="3889" w:type="pct"/>
          </w:tcPr>
          <w:p w14:paraId="794D4F5C"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Gender Equity, Disability equity and Social Inclusion</w:t>
            </w:r>
          </w:p>
        </w:tc>
      </w:tr>
      <w:tr w:rsidR="006A1F39" w:rsidRPr="00804FEE" w14:paraId="4CCAD238" w14:textId="77777777">
        <w:tc>
          <w:tcPr>
            <w:cnfStyle w:val="001000000000" w:firstRow="0" w:lastRow="0" w:firstColumn="1" w:lastColumn="0" w:oddVBand="0" w:evenVBand="0" w:oddHBand="0" w:evenHBand="0" w:firstRowFirstColumn="0" w:firstRowLastColumn="0" w:lastRowFirstColumn="0" w:lastRowLastColumn="0"/>
            <w:tcW w:w="1111" w:type="pct"/>
          </w:tcPr>
          <w:p w14:paraId="315F84FE" w14:textId="77777777" w:rsidR="006A1F39" w:rsidRPr="006A1F39" w:rsidRDefault="006A1F39">
            <w:pPr>
              <w:rPr>
                <w:rFonts w:ascii="Arial" w:hAnsi="Arial" w:cs="Arial"/>
              </w:rPr>
            </w:pPr>
            <w:r w:rsidRPr="006A1F39">
              <w:rPr>
                <w:rFonts w:ascii="Arial" w:hAnsi="Arial" w:cs="Arial"/>
              </w:rPr>
              <w:t>HRSD</w:t>
            </w:r>
          </w:p>
        </w:tc>
        <w:tc>
          <w:tcPr>
            <w:tcW w:w="3889" w:type="pct"/>
          </w:tcPr>
          <w:p w14:paraId="387DCA68"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(SPC) Human Rights and Social Development</w:t>
            </w:r>
          </w:p>
        </w:tc>
      </w:tr>
      <w:tr w:rsidR="006A1F39" w:rsidRPr="00804FEE" w14:paraId="1E570D55" w14:textId="77777777">
        <w:tc>
          <w:tcPr>
            <w:cnfStyle w:val="001000000000" w:firstRow="0" w:lastRow="0" w:firstColumn="1" w:lastColumn="0" w:oddVBand="0" w:evenVBand="0" w:oddHBand="0" w:evenHBand="0" w:firstRowFirstColumn="0" w:firstRowLastColumn="0" w:lastRowFirstColumn="0" w:lastRowLastColumn="0"/>
            <w:tcW w:w="1111" w:type="pct"/>
          </w:tcPr>
          <w:p w14:paraId="1BEF9167" w14:textId="77777777" w:rsidR="006A1F39" w:rsidRPr="006A1F39" w:rsidRDefault="006A1F39">
            <w:pPr>
              <w:rPr>
                <w:rFonts w:ascii="Arial" w:hAnsi="Arial" w:cs="Arial"/>
              </w:rPr>
            </w:pPr>
            <w:r w:rsidRPr="006A1F39">
              <w:rPr>
                <w:rFonts w:ascii="Arial" w:hAnsi="Arial" w:cs="Arial"/>
              </w:rPr>
              <w:t>IDD</w:t>
            </w:r>
          </w:p>
        </w:tc>
        <w:tc>
          <w:tcPr>
            <w:tcW w:w="3889" w:type="pct"/>
          </w:tcPr>
          <w:p w14:paraId="50A9D4D7"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Investment Design Document</w:t>
            </w:r>
          </w:p>
        </w:tc>
      </w:tr>
      <w:tr w:rsidR="006A1F39" w:rsidRPr="00804FEE" w14:paraId="6A33B202" w14:textId="77777777">
        <w:tc>
          <w:tcPr>
            <w:cnfStyle w:val="001000000000" w:firstRow="0" w:lastRow="0" w:firstColumn="1" w:lastColumn="0" w:oddVBand="0" w:evenVBand="0" w:oddHBand="0" w:evenHBand="0" w:firstRowFirstColumn="0" w:firstRowLastColumn="0" w:lastRowFirstColumn="0" w:lastRowLastColumn="0"/>
            <w:tcW w:w="1111" w:type="pct"/>
          </w:tcPr>
          <w:p w14:paraId="0CA72576" w14:textId="77777777" w:rsidR="006A1F39" w:rsidRPr="006A1F39" w:rsidRDefault="006A1F39">
            <w:pPr>
              <w:rPr>
                <w:rFonts w:ascii="Arial" w:hAnsi="Arial" w:cs="Arial"/>
              </w:rPr>
            </w:pPr>
            <w:r w:rsidRPr="006A1F39">
              <w:rPr>
                <w:rFonts w:ascii="Arial" w:hAnsi="Arial" w:cs="Arial"/>
              </w:rPr>
              <w:t>IWDA</w:t>
            </w:r>
          </w:p>
        </w:tc>
        <w:tc>
          <w:tcPr>
            <w:tcW w:w="3889" w:type="pct"/>
          </w:tcPr>
          <w:p w14:paraId="0354E076"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International Women’s Development Agency</w:t>
            </w:r>
          </w:p>
        </w:tc>
      </w:tr>
      <w:tr w:rsidR="006A1F39" w:rsidRPr="00804FEE" w14:paraId="5C02F369" w14:textId="77777777">
        <w:tc>
          <w:tcPr>
            <w:cnfStyle w:val="001000000000" w:firstRow="0" w:lastRow="0" w:firstColumn="1" w:lastColumn="0" w:oddVBand="0" w:evenVBand="0" w:oddHBand="0" w:evenHBand="0" w:firstRowFirstColumn="0" w:firstRowLastColumn="0" w:lastRowFirstColumn="0" w:lastRowLastColumn="0"/>
            <w:tcW w:w="1111" w:type="pct"/>
          </w:tcPr>
          <w:p w14:paraId="5C40D7D6" w14:textId="77777777" w:rsidR="006A1F39" w:rsidRPr="006A1F39" w:rsidRDefault="006A1F39">
            <w:pPr>
              <w:rPr>
                <w:rFonts w:ascii="Arial" w:hAnsi="Arial" w:cs="Arial"/>
              </w:rPr>
            </w:pPr>
            <w:r w:rsidRPr="006A1F39">
              <w:rPr>
                <w:rFonts w:ascii="Arial" w:hAnsi="Arial" w:cs="Arial"/>
              </w:rPr>
              <w:t>LGBTQIA+</w:t>
            </w:r>
          </w:p>
        </w:tc>
        <w:tc>
          <w:tcPr>
            <w:tcW w:w="3889" w:type="pct"/>
          </w:tcPr>
          <w:p w14:paraId="3EA506CE"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95" w:name="_Hlk193741742"/>
            <w:r w:rsidRPr="006A1F39">
              <w:rPr>
                <w:rFonts w:ascii="Arial" w:hAnsi="Arial" w:cs="Arial"/>
              </w:rPr>
              <w:t>Lesbian, Gay, Bisexual, Transgender, Queer, Intersex</w:t>
            </w:r>
            <w:bookmarkEnd w:id="95"/>
            <w:r w:rsidRPr="006A1F39">
              <w:rPr>
                <w:rFonts w:ascii="Arial" w:hAnsi="Arial" w:cs="Arial"/>
              </w:rPr>
              <w:t>, Asexual</w:t>
            </w:r>
          </w:p>
        </w:tc>
      </w:tr>
      <w:tr w:rsidR="006A1F39" w:rsidRPr="00804FEE" w14:paraId="53B72786" w14:textId="77777777">
        <w:tc>
          <w:tcPr>
            <w:cnfStyle w:val="001000000000" w:firstRow="0" w:lastRow="0" w:firstColumn="1" w:lastColumn="0" w:oddVBand="0" w:evenVBand="0" w:oddHBand="0" w:evenHBand="0" w:firstRowFirstColumn="0" w:firstRowLastColumn="0" w:lastRowFirstColumn="0" w:lastRowLastColumn="0"/>
            <w:tcW w:w="1111" w:type="pct"/>
          </w:tcPr>
          <w:p w14:paraId="7840F688" w14:textId="77777777" w:rsidR="006A1F39" w:rsidRPr="006A1F39" w:rsidRDefault="006A1F39">
            <w:pPr>
              <w:rPr>
                <w:rFonts w:ascii="Arial" w:hAnsi="Arial" w:cs="Arial"/>
              </w:rPr>
            </w:pPr>
            <w:r w:rsidRPr="006A1F39">
              <w:rPr>
                <w:rFonts w:ascii="Arial" w:hAnsi="Arial" w:cs="Arial"/>
              </w:rPr>
              <w:t>LTA</w:t>
            </w:r>
          </w:p>
        </w:tc>
        <w:tc>
          <w:tcPr>
            <w:tcW w:w="3889" w:type="pct"/>
          </w:tcPr>
          <w:p w14:paraId="6F3EB51E"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Long Term Advisor</w:t>
            </w:r>
          </w:p>
        </w:tc>
      </w:tr>
      <w:tr w:rsidR="006A1F39" w:rsidRPr="00804FEE" w14:paraId="64C3737D" w14:textId="77777777">
        <w:tc>
          <w:tcPr>
            <w:cnfStyle w:val="001000000000" w:firstRow="0" w:lastRow="0" w:firstColumn="1" w:lastColumn="0" w:oddVBand="0" w:evenVBand="0" w:oddHBand="0" w:evenHBand="0" w:firstRowFirstColumn="0" w:firstRowLastColumn="0" w:lastRowFirstColumn="0" w:lastRowLastColumn="0"/>
            <w:tcW w:w="1111" w:type="pct"/>
          </w:tcPr>
          <w:p w14:paraId="3474219D" w14:textId="77777777" w:rsidR="006A1F39" w:rsidRPr="006A1F39" w:rsidRDefault="006A1F39">
            <w:pPr>
              <w:rPr>
                <w:rFonts w:ascii="Arial" w:hAnsi="Arial" w:cs="Arial"/>
              </w:rPr>
            </w:pPr>
            <w:r w:rsidRPr="006A1F39">
              <w:rPr>
                <w:rFonts w:ascii="Arial" w:hAnsi="Arial" w:cs="Arial"/>
              </w:rPr>
              <w:t>M4C</w:t>
            </w:r>
          </w:p>
        </w:tc>
        <w:tc>
          <w:tcPr>
            <w:tcW w:w="3889" w:type="pct"/>
          </w:tcPr>
          <w:p w14:paraId="663A4705"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 xml:space="preserve">Markets for Change Program (UN) </w:t>
            </w:r>
          </w:p>
        </w:tc>
      </w:tr>
      <w:tr w:rsidR="006A1F39" w:rsidRPr="00804FEE" w14:paraId="581F7B07" w14:textId="77777777">
        <w:tc>
          <w:tcPr>
            <w:cnfStyle w:val="001000000000" w:firstRow="0" w:lastRow="0" w:firstColumn="1" w:lastColumn="0" w:oddVBand="0" w:evenVBand="0" w:oddHBand="0" w:evenHBand="0" w:firstRowFirstColumn="0" w:firstRowLastColumn="0" w:lastRowFirstColumn="0" w:lastRowLastColumn="0"/>
            <w:tcW w:w="1111" w:type="pct"/>
          </w:tcPr>
          <w:p w14:paraId="39327919" w14:textId="77777777" w:rsidR="006A1F39" w:rsidRPr="006A1F39" w:rsidRDefault="006A1F39">
            <w:pPr>
              <w:rPr>
                <w:rFonts w:ascii="Arial" w:hAnsi="Arial" w:cs="Arial"/>
              </w:rPr>
            </w:pPr>
            <w:r w:rsidRPr="006A1F39">
              <w:rPr>
                <w:rFonts w:ascii="Arial" w:hAnsi="Arial" w:cs="Arial"/>
              </w:rPr>
              <w:t>MEL</w:t>
            </w:r>
          </w:p>
        </w:tc>
        <w:tc>
          <w:tcPr>
            <w:tcW w:w="3889" w:type="pct"/>
          </w:tcPr>
          <w:p w14:paraId="605C8321"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Monitoring, Evaluation and Learning</w:t>
            </w:r>
          </w:p>
        </w:tc>
      </w:tr>
      <w:tr w:rsidR="006A1F39" w:rsidRPr="00804FEE" w14:paraId="2204FB3D" w14:textId="77777777">
        <w:tc>
          <w:tcPr>
            <w:cnfStyle w:val="001000000000" w:firstRow="0" w:lastRow="0" w:firstColumn="1" w:lastColumn="0" w:oddVBand="0" w:evenVBand="0" w:oddHBand="0" w:evenHBand="0" w:firstRowFirstColumn="0" w:firstRowLastColumn="0" w:lastRowFirstColumn="0" w:lastRowLastColumn="0"/>
            <w:tcW w:w="1111" w:type="pct"/>
          </w:tcPr>
          <w:p w14:paraId="4ABFA6EA" w14:textId="77777777" w:rsidR="006A1F39" w:rsidRPr="006A1F39" w:rsidRDefault="006A1F39">
            <w:pPr>
              <w:rPr>
                <w:rFonts w:ascii="Arial" w:hAnsi="Arial" w:cs="Arial"/>
              </w:rPr>
            </w:pPr>
            <w:r w:rsidRPr="006A1F39">
              <w:rPr>
                <w:rFonts w:ascii="Arial" w:hAnsi="Arial" w:cs="Arial"/>
              </w:rPr>
              <w:t>MSG</w:t>
            </w:r>
          </w:p>
        </w:tc>
        <w:tc>
          <w:tcPr>
            <w:tcW w:w="3889" w:type="pct"/>
          </w:tcPr>
          <w:p w14:paraId="35734403"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 xml:space="preserve">Melanesian Spearhead Group </w:t>
            </w:r>
          </w:p>
        </w:tc>
      </w:tr>
      <w:tr w:rsidR="006A1F39" w:rsidRPr="00804FEE" w14:paraId="5A8260D6" w14:textId="77777777">
        <w:tc>
          <w:tcPr>
            <w:cnfStyle w:val="001000000000" w:firstRow="0" w:lastRow="0" w:firstColumn="1" w:lastColumn="0" w:oddVBand="0" w:evenVBand="0" w:oddHBand="0" w:evenHBand="0" w:firstRowFirstColumn="0" w:firstRowLastColumn="0" w:lastRowFirstColumn="0" w:lastRowLastColumn="0"/>
            <w:tcW w:w="1111" w:type="pct"/>
          </w:tcPr>
          <w:p w14:paraId="342705F6" w14:textId="77777777" w:rsidR="006A1F39" w:rsidRPr="006A1F39" w:rsidRDefault="006A1F39">
            <w:pPr>
              <w:rPr>
                <w:rFonts w:ascii="Arial" w:hAnsi="Arial" w:cs="Arial"/>
              </w:rPr>
            </w:pPr>
            <w:r w:rsidRPr="006A1F39">
              <w:rPr>
                <w:rFonts w:ascii="Arial" w:hAnsi="Arial" w:cs="Arial"/>
              </w:rPr>
              <w:t>MTR</w:t>
            </w:r>
          </w:p>
        </w:tc>
        <w:tc>
          <w:tcPr>
            <w:tcW w:w="3889" w:type="pct"/>
          </w:tcPr>
          <w:p w14:paraId="581C8E0D"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Mid Term Review</w:t>
            </w:r>
          </w:p>
        </w:tc>
      </w:tr>
      <w:tr w:rsidR="006A1F39" w:rsidRPr="00804FEE" w14:paraId="288E73C0" w14:textId="77777777">
        <w:tc>
          <w:tcPr>
            <w:cnfStyle w:val="001000000000" w:firstRow="0" w:lastRow="0" w:firstColumn="1" w:lastColumn="0" w:oddVBand="0" w:evenVBand="0" w:oddHBand="0" w:evenHBand="0" w:firstRowFirstColumn="0" w:firstRowLastColumn="0" w:lastRowFirstColumn="0" w:lastRowLastColumn="0"/>
            <w:tcW w:w="1111" w:type="pct"/>
          </w:tcPr>
          <w:p w14:paraId="56C9E2F5" w14:textId="77777777" w:rsidR="006A1F39" w:rsidRPr="006A1F39" w:rsidRDefault="006A1F39">
            <w:pPr>
              <w:rPr>
                <w:rFonts w:ascii="Arial" w:hAnsi="Arial" w:cs="Arial"/>
              </w:rPr>
            </w:pPr>
            <w:r w:rsidRPr="006A1F39">
              <w:rPr>
                <w:rFonts w:ascii="Arial" w:hAnsi="Arial" w:cs="Arial"/>
              </w:rPr>
              <w:t>OECD</w:t>
            </w:r>
          </w:p>
        </w:tc>
        <w:tc>
          <w:tcPr>
            <w:tcW w:w="3889" w:type="pct"/>
          </w:tcPr>
          <w:p w14:paraId="1A14BC74"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Organisation for Economic Co-operation and Development</w:t>
            </w:r>
          </w:p>
        </w:tc>
      </w:tr>
      <w:tr w:rsidR="006A1F39" w:rsidRPr="00804FEE" w14:paraId="589664D4" w14:textId="77777777">
        <w:tc>
          <w:tcPr>
            <w:cnfStyle w:val="001000000000" w:firstRow="0" w:lastRow="0" w:firstColumn="1" w:lastColumn="0" w:oddVBand="0" w:evenVBand="0" w:oddHBand="0" w:evenHBand="0" w:firstRowFirstColumn="0" w:firstRowLastColumn="0" w:lastRowFirstColumn="0" w:lastRowLastColumn="0"/>
            <w:tcW w:w="1111" w:type="pct"/>
          </w:tcPr>
          <w:p w14:paraId="7BFB5CC5" w14:textId="77777777" w:rsidR="006A1F39" w:rsidRPr="006A1F39" w:rsidRDefault="006A1F39">
            <w:pPr>
              <w:rPr>
                <w:rFonts w:ascii="Arial" w:hAnsi="Arial" w:cs="Arial"/>
              </w:rPr>
            </w:pPr>
            <w:r w:rsidRPr="006A1F39">
              <w:rPr>
                <w:rFonts w:ascii="Arial" w:hAnsi="Arial" w:cs="Arial"/>
              </w:rPr>
              <w:t>OPD</w:t>
            </w:r>
          </w:p>
        </w:tc>
        <w:tc>
          <w:tcPr>
            <w:tcW w:w="3889" w:type="pct"/>
          </w:tcPr>
          <w:p w14:paraId="7522F177"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Organisation of People with Disabilities</w:t>
            </w:r>
          </w:p>
        </w:tc>
      </w:tr>
      <w:tr w:rsidR="006A1F39" w:rsidRPr="00804FEE" w14:paraId="3B515026" w14:textId="77777777">
        <w:tc>
          <w:tcPr>
            <w:cnfStyle w:val="001000000000" w:firstRow="0" w:lastRow="0" w:firstColumn="1" w:lastColumn="0" w:oddVBand="0" w:evenVBand="0" w:oddHBand="0" w:evenHBand="0" w:firstRowFirstColumn="0" w:firstRowLastColumn="0" w:lastRowFirstColumn="0" w:lastRowLastColumn="0"/>
            <w:tcW w:w="1111" w:type="pct"/>
          </w:tcPr>
          <w:p w14:paraId="1CA709EF" w14:textId="77777777" w:rsidR="006A1F39" w:rsidRPr="006A1F39" w:rsidRDefault="006A1F39">
            <w:pPr>
              <w:rPr>
                <w:rFonts w:ascii="Arial" w:hAnsi="Arial" w:cs="Arial"/>
              </w:rPr>
            </w:pPr>
            <w:r w:rsidRPr="006A1F39">
              <w:rPr>
                <w:rFonts w:ascii="Arial" w:hAnsi="Arial" w:cs="Arial"/>
              </w:rPr>
              <w:lastRenderedPageBreak/>
              <w:t>PDF</w:t>
            </w:r>
          </w:p>
        </w:tc>
        <w:tc>
          <w:tcPr>
            <w:tcW w:w="3889" w:type="pct"/>
          </w:tcPr>
          <w:p w14:paraId="4F34E566"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Pacific Disability Forum</w:t>
            </w:r>
          </w:p>
        </w:tc>
      </w:tr>
      <w:tr w:rsidR="006A1F39" w:rsidRPr="00804FEE" w14:paraId="45261CEF" w14:textId="77777777">
        <w:tc>
          <w:tcPr>
            <w:cnfStyle w:val="001000000000" w:firstRow="0" w:lastRow="0" w:firstColumn="1" w:lastColumn="0" w:oddVBand="0" w:evenVBand="0" w:oddHBand="0" w:evenHBand="0" w:firstRowFirstColumn="0" w:firstRowLastColumn="0" w:lastRowFirstColumn="0" w:lastRowLastColumn="0"/>
            <w:tcW w:w="1111" w:type="pct"/>
          </w:tcPr>
          <w:p w14:paraId="397C9055" w14:textId="77777777" w:rsidR="006A1F39" w:rsidRPr="006A1F39" w:rsidRDefault="006A1F39">
            <w:pPr>
              <w:rPr>
                <w:rFonts w:ascii="Arial" w:hAnsi="Arial" w:cs="Arial"/>
              </w:rPr>
            </w:pPr>
            <w:r w:rsidRPr="006A1F39">
              <w:rPr>
                <w:rFonts w:ascii="Arial" w:hAnsi="Arial" w:cs="Arial"/>
              </w:rPr>
              <w:t>PFF</w:t>
            </w:r>
          </w:p>
        </w:tc>
        <w:tc>
          <w:tcPr>
            <w:tcW w:w="3889" w:type="pct"/>
          </w:tcPr>
          <w:p w14:paraId="7AB9CE23"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Pacific Feminist Fund</w:t>
            </w:r>
          </w:p>
        </w:tc>
      </w:tr>
      <w:tr w:rsidR="006A1F39" w:rsidRPr="00804FEE" w14:paraId="6F6695AA" w14:textId="77777777">
        <w:tc>
          <w:tcPr>
            <w:cnfStyle w:val="001000000000" w:firstRow="0" w:lastRow="0" w:firstColumn="1" w:lastColumn="0" w:oddVBand="0" w:evenVBand="0" w:oddHBand="0" w:evenHBand="0" w:firstRowFirstColumn="0" w:firstRowLastColumn="0" w:lastRowFirstColumn="0" w:lastRowLastColumn="0"/>
            <w:tcW w:w="1111" w:type="pct"/>
          </w:tcPr>
          <w:p w14:paraId="6230DF5A" w14:textId="1CC462E9" w:rsidR="006A1F39" w:rsidRPr="006A1F39" w:rsidRDefault="00C1511B">
            <w:pPr>
              <w:rPr>
                <w:rFonts w:ascii="Arial" w:hAnsi="Arial" w:cs="Arial"/>
              </w:rPr>
            </w:pPr>
            <w:r>
              <w:rPr>
                <w:rFonts w:ascii="Arial" w:hAnsi="Arial" w:cs="Arial"/>
              </w:rPr>
              <w:t>PIFS</w:t>
            </w:r>
          </w:p>
        </w:tc>
        <w:tc>
          <w:tcPr>
            <w:tcW w:w="3889" w:type="pct"/>
          </w:tcPr>
          <w:p w14:paraId="07F57A6E"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Pacific Islands Forum</w:t>
            </w:r>
          </w:p>
        </w:tc>
      </w:tr>
      <w:tr w:rsidR="006A1F39" w:rsidRPr="00804FEE" w14:paraId="0219D98A" w14:textId="77777777">
        <w:tc>
          <w:tcPr>
            <w:cnfStyle w:val="001000000000" w:firstRow="0" w:lastRow="0" w:firstColumn="1" w:lastColumn="0" w:oddVBand="0" w:evenVBand="0" w:oddHBand="0" w:evenHBand="0" w:firstRowFirstColumn="0" w:firstRowLastColumn="0" w:lastRowFirstColumn="0" w:lastRowLastColumn="0"/>
            <w:tcW w:w="1111" w:type="pct"/>
          </w:tcPr>
          <w:p w14:paraId="4D889471" w14:textId="479BB2E0" w:rsidR="006A1F39" w:rsidRPr="006A1F39" w:rsidRDefault="00C1511B">
            <w:pPr>
              <w:rPr>
                <w:rFonts w:ascii="Arial" w:hAnsi="Arial" w:cs="Arial"/>
              </w:rPr>
            </w:pPr>
            <w:r>
              <w:rPr>
                <w:rFonts w:ascii="Arial" w:hAnsi="Arial" w:cs="Arial"/>
              </w:rPr>
              <w:t>PIF</w:t>
            </w:r>
            <w:r w:rsidR="006A1F39" w:rsidRPr="006A1F39">
              <w:rPr>
                <w:rFonts w:ascii="Arial" w:hAnsi="Arial" w:cs="Arial"/>
              </w:rPr>
              <w:t>WLM</w:t>
            </w:r>
          </w:p>
        </w:tc>
        <w:tc>
          <w:tcPr>
            <w:tcW w:w="3889" w:type="pct"/>
          </w:tcPr>
          <w:p w14:paraId="0BB38C4B"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 xml:space="preserve">Pacific Islands Forum Women Leaders Meeting </w:t>
            </w:r>
          </w:p>
        </w:tc>
      </w:tr>
      <w:tr w:rsidR="006A1F39" w:rsidRPr="00804FEE" w14:paraId="25136CE4" w14:textId="77777777">
        <w:tc>
          <w:tcPr>
            <w:cnfStyle w:val="001000000000" w:firstRow="0" w:lastRow="0" w:firstColumn="1" w:lastColumn="0" w:oddVBand="0" w:evenVBand="0" w:oddHBand="0" w:evenHBand="0" w:firstRowFirstColumn="0" w:firstRowLastColumn="0" w:lastRowFirstColumn="0" w:lastRowLastColumn="0"/>
            <w:tcW w:w="1111" w:type="pct"/>
          </w:tcPr>
          <w:p w14:paraId="34BB30C4" w14:textId="77777777" w:rsidR="006A1F39" w:rsidRPr="006A1F39" w:rsidRDefault="006A1F39">
            <w:pPr>
              <w:rPr>
                <w:rFonts w:ascii="Arial" w:hAnsi="Arial" w:cs="Arial"/>
              </w:rPr>
            </w:pPr>
            <w:r w:rsidRPr="006A1F39">
              <w:rPr>
                <w:rFonts w:ascii="Arial" w:hAnsi="Arial" w:cs="Arial"/>
              </w:rPr>
              <w:t>PLGED</w:t>
            </w:r>
          </w:p>
        </w:tc>
        <w:tc>
          <w:tcPr>
            <w:tcW w:w="3889" w:type="pct"/>
          </w:tcPr>
          <w:p w14:paraId="0C4A9A70"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Pacific Leaders Gender Equality Declaration</w:t>
            </w:r>
          </w:p>
        </w:tc>
      </w:tr>
      <w:tr w:rsidR="006A1F39" w:rsidRPr="00804FEE" w14:paraId="4A2BDEF9" w14:textId="77777777">
        <w:tc>
          <w:tcPr>
            <w:cnfStyle w:val="001000000000" w:firstRow="0" w:lastRow="0" w:firstColumn="1" w:lastColumn="0" w:oddVBand="0" w:evenVBand="0" w:oddHBand="0" w:evenHBand="0" w:firstRowFirstColumn="0" w:firstRowLastColumn="0" w:lastRowFirstColumn="0" w:lastRowLastColumn="0"/>
            <w:tcW w:w="1111" w:type="pct"/>
          </w:tcPr>
          <w:p w14:paraId="75453520" w14:textId="77777777" w:rsidR="006A1F39" w:rsidRPr="006A1F39" w:rsidRDefault="006A1F39">
            <w:pPr>
              <w:rPr>
                <w:rFonts w:ascii="Arial" w:hAnsi="Arial" w:cs="Arial"/>
              </w:rPr>
            </w:pPr>
            <w:r w:rsidRPr="006A1F39">
              <w:rPr>
                <w:rFonts w:ascii="Arial" w:hAnsi="Arial" w:cs="Arial"/>
              </w:rPr>
              <w:t>PNG</w:t>
            </w:r>
          </w:p>
        </w:tc>
        <w:tc>
          <w:tcPr>
            <w:tcW w:w="3889" w:type="pct"/>
          </w:tcPr>
          <w:p w14:paraId="7B1405B5"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Papua New Guinea</w:t>
            </w:r>
          </w:p>
        </w:tc>
      </w:tr>
      <w:tr w:rsidR="006A1F39" w:rsidRPr="00804FEE" w14:paraId="09F2919E" w14:textId="77777777">
        <w:tc>
          <w:tcPr>
            <w:cnfStyle w:val="001000000000" w:firstRow="0" w:lastRow="0" w:firstColumn="1" w:lastColumn="0" w:oddVBand="0" w:evenVBand="0" w:oddHBand="0" w:evenHBand="0" w:firstRowFirstColumn="0" w:firstRowLastColumn="0" w:lastRowFirstColumn="0" w:lastRowLastColumn="0"/>
            <w:tcW w:w="1111" w:type="pct"/>
          </w:tcPr>
          <w:p w14:paraId="1015D7CB" w14:textId="77777777" w:rsidR="006A1F39" w:rsidRPr="006A1F39" w:rsidRDefault="006A1F39">
            <w:pPr>
              <w:rPr>
                <w:rFonts w:ascii="Arial" w:hAnsi="Arial" w:cs="Arial"/>
              </w:rPr>
            </w:pPr>
            <w:r w:rsidRPr="006A1F39">
              <w:rPr>
                <w:rFonts w:ascii="Arial" w:hAnsi="Arial" w:cs="Arial"/>
              </w:rPr>
              <w:t>PPA</w:t>
            </w:r>
          </w:p>
        </w:tc>
        <w:tc>
          <w:tcPr>
            <w:tcW w:w="3889" w:type="pct"/>
          </w:tcPr>
          <w:p w14:paraId="3104385A"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Pacific Platform for Action on Gender Equality and Women's Human Rights</w:t>
            </w:r>
          </w:p>
        </w:tc>
      </w:tr>
      <w:tr w:rsidR="006A1F39" w:rsidRPr="00804FEE" w14:paraId="6E1FBE01" w14:textId="77777777">
        <w:tc>
          <w:tcPr>
            <w:cnfStyle w:val="001000000000" w:firstRow="0" w:lastRow="0" w:firstColumn="1" w:lastColumn="0" w:oddVBand="0" w:evenVBand="0" w:oddHBand="0" w:evenHBand="0" w:firstRowFirstColumn="0" w:firstRowLastColumn="0" w:lastRowFirstColumn="0" w:lastRowLastColumn="0"/>
            <w:tcW w:w="1111" w:type="pct"/>
          </w:tcPr>
          <w:p w14:paraId="39C9015D" w14:textId="77777777" w:rsidR="006A1F39" w:rsidRPr="006A1F39" w:rsidRDefault="006A1F39">
            <w:pPr>
              <w:rPr>
                <w:rFonts w:ascii="Arial" w:hAnsi="Arial" w:cs="Arial"/>
              </w:rPr>
            </w:pPr>
            <w:r w:rsidRPr="006A1F39">
              <w:rPr>
                <w:rFonts w:ascii="Arial" w:hAnsi="Arial" w:cs="Arial"/>
              </w:rPr>
              <w:t>PPEVAWG</w:t>
            </w:r>
          </w:p>
        </w:tc>
        <w:tc>
          <w:tcPr>
            <w:tcW w:w="3889" w:type="pct"/>
          </w:tcPr>
          <w:p w14:paraId="6F4611A4"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96" w:name="_Hlk193743950"/>
            <w:r w:rsidRPr="006A1F39">
              <w:rPr>
                <w:rFonts w:ascii="Arial" w:hAnsi="Arial" w:cs="Arial"/>
              </w:rPr>
              <w:t>Pacific Partnership to End Violence Against Women and Girls</w:t>
            </w:r>
            <w:bookmarkEnd w:id="96"/>
          </w:p>
        </w:tc>
      </w:tr>
      <w:tr w:rsidR="006A1F39" w:rsidRPr="00804FEE" w14:paraId="0EE7D31E" w14:textId="77777777">
        <w:tc>
          <w:tcPr>
            <w:cnfStyle w:val="001000000000" w:firstRow="0" w:lastRow="0" w:firstColumn="1" w:lastColumn="0" w:oddVBand="0" w:evenVBand="0" w:oddHBand="0" w:evenHBand="0" w:firstRowFirstColumn="0" w:firstRowLastColumn="0" w:lastRowFirstColumn="0" w:lastRowLastColumn="0"/>
            <w:tcW w:w="1111" w:type="pct"/>
          </w:tcPr>
          <w:p w14:paraId="0B7113A0" w14:textId="77777777" w:rsidR="006A1F39" w:rsidRPr="006A1F39" w:rsidRDefault="006A1F39">
            <w:pPr>
              <w:rPr>
                <w:rFonts w:ascii="Arial" w:hAnsi="Arial" w:cs="Arial"/>
              </w:rPr>
            </w:pPr>
            <w:r w:rsidRPr="006A1F39">
              <w:rPr>
                <w:rFonts w:ascii="Arial" w:hAnsi="Arial" w:cs="Arial"/>
              </w:rPr>
              <w:t>PWL</w:t>
            </w:r>
          </w:p>
        </w:tc>
        <w:tc>
          <w:tcPr>
            <w:tcW w:w="3889" w:type="pct"/>
          </w:tcPr>
          <w:p w14:paraId="0C0AA1A4"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Pacific Women Lead</w:t>
            </w:r>
          </w:p>
        </w:tc>
      </w:tr>
      <w:tr w:rsidR="006A1F39" w:rsidRPr="00804FEE" w14:paraId="0853F8C9" w14:textId="77777777">
        <w:tc>
          <w:tcPr>
            <w:cnfStyle w:val="001000000000" w:firstRow="0" w:lastRow="0" w:firstColumn="1" w:lastColumn="0" w:oddVBand="0" w:evenVBand="0" w:oddHBand="0" w:evenHBand="0" w:firstRowFirstColumn="0" w:firstRowLastColumn="0" w:lastRowFirstColumn="0" w:lastRowLastColumn="0"/>
            <w:tcW w:w="1111" w:type="pct"/>
          </w:tcPr>
          <w:p w14:paraId="6E9AE4C3" w14:textId="77777777" w:rsidR="006A1F39" w:rsidRPr="006A1F39" w:rsidRDefault="006A1F39">
            <w:pPr>
              <w:rPr>
                <w:rFonts w:ascii="Arial" w:hAnsi="Arial" w:cs="Arial"/>
              </w:rPr>
            </w:pPr>
            <w:r w:rsidRPr="006A1F39">
              <w:rPr>
                <w:rFonts w:ascii="Arial" w:hAnsi="Arial" w:cs="Arial"/>
              </w:rPr>
              <w:t>PWLES</w:t>
            </w:r>
          </w:p>
        </w:tc>
        <w:tc>
          <w:tcPr>
            <w:tcW w:w="3889" w:type="pct"/>
          </w:tcPr>
          <w:p w14:paraId="4746F5E4"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Pacific Women Lead Enabling Services</w:t>
            </w:r>
          </w:p>
        </w:tc>
      </w:tr>
      <w:tr w:rsidR="006A1F39" w:rsidRPr="00804FEE" w14:paraId="1CEA0D11" w14:textId="77777777">
        <w:tc>
          <w:tcPr>
            <w:cnfStyle w:val="001000000000" w:firstRow="0" w:lastRow="0" w:firstColumn="1" w:lastColumn="0" w:oddVBand="0" w:evenVBand="0" w:oddHBand="0" w:evenHBand="0" w:firstRowFirstColumn="0" w:firstRowLastColumn="0" w:lastRowFirstColumn="0" w:lastRowLastColumn="0"/>
            <w:tcW w:w="1111" w:type="pct"/>
          </w:tcPr>
          <w:p w14:paraId="187BD90A" w14:textId="77777777" w:rsidR="006A1F39" w:rsidRPr="006A1F39" w:rsidRDefault="006A1F39">
            <w:pPr>
              <w:rPr>
                <w:rFonts w:ascii="Arial" w:hAnsi="Arial" w:cs="Arial"/>
              </w:rPr>
            </w:pPr>
            <w:r w:rsidRPr="006A1F39">
              <w:rPr>
                <w:rFonts w:ascii="Arial" w:hAnsi="Arial" w:cs="Arial"/>
              </w:rPr>
              <w:t>PWSPD</w:t>
            </w:r>
          </w:p>
        </w:tc>
        <w:tc>
          <w:tcPr>
            <w:tcW w:w="3889" w:type="pct"/>
          </w:tcPr>
          <w:p w14:paraId="624219F1"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Pacific Women Shaping Pacific Development</w:t>
            </w:r>
          </w:p>
        </w:tc>
      </w:tr>
      <w:tr w:rsidR="006A1F39" w:rsidRPr="00804FEE" w14:paraId="44886B61" w14:textId="77777777">
        <w:tc>
          <w:tcPr>
            <w:cnfStyle w:val="001000000000" w:firstRow="0" w:lastRow="0" w:firstColumn="1" w:lastColumn="0" w:oddVBand="0" w:evenVBand="0" w:oddHBand="0" w:evenHBand="0" w:firstRowFirstColumn="0" w:firstRowLastColumn="0" w:lastRowFirstColumn="0" w:lastRowLastColumn="0"/>
            <w:tcW w:w="1111" w:type="pct"/>
          </w:tcPr>
          <w:p w14:paraId="5A0408D6" w14:textId="77777777" w:rsidR="006A1F39" w:rsidRPr="006A1F39" w:rsidRDefault="006A1F39">
            <w:pPr>
              <w:rPr>
                <w:rFonts w:ascii="Arial" w:hAnsi="Arial" w:cs="Arial"/>
              </w:rPr>
            </w:pPr>
            <w:r w:rsidRPr="006A1F39">
              <w:rPr>
                <w:rFonts w:ascii="Arial" w:hAnsi="Arial" w:cs="Arial"/>
              </w:rPr>
              <w:t>QTAG</w:t>
            </w:r>
          </w:p>
        </w:tc>
        <w:tc>
          <w:tcPr>
            <w:tcW w:w="3889" w:type="pct"/>
          </w:tcPr>
          <w:p w14:paraId="67D3D467"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Quality Technical Assurance Group</w:t>
            </w:r>
          </w:p>
        </w:tc>
      </w:tr>
      <w:tr w:rsidR="006A1F39" w:rsidRPr="00804FEE" w14:paraId="1C6E3F67" w14:textId="77777777">
        <w:tc>
          <w:tcPr>
            <w:cnfStyle w:val="001000000000" w:firstRow="0" w:lastRow="0" w:firstColumn="1" w:lastColumn="0" w:oddVBand="0" w:evenVBand="0" w:oddHBand="0" w:evenHBand="0" w:firstRowFirstColumn="0" w:firstRowLastColumn="0" w:lastRowFirstColumn="0" w:lastRowLastColumn="0"/>
            <w:tcW w:w="1111" w:type="pct"/>
          </w:tcPr>
          <w:p w14:paraId="408C3AA9" w14:textId="77777777" w:rsidR="006A1F39" w:rsidRPr="006A1F39" w:rsidRDefault="006A1F39">
            <w:pPr>
              <w:rPr>
                <w:rFonts w:ascii="Arial" w:hAnsi="Arial" w:cs="Arial"/>
              </w:rPr>
            </w:pPr>
            <w:r w:rsidRPr="006A1F39">
              <w:rPr>
                <w:rFonts w:ascii="Arial" w:hAnsi="Arial" w:cs="Arial"/>
              </w:rPr>
              <w:t>RMI</w:t>
            </w:r>
          </w:p>
        </w:tc>
        <w:tc>
          <w:tcPr>
            <w:tcW w:w="3889" w:type="pct"/>
          </w:tcPr>
          <w:p w14:paraId="5EB337BD"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Republic of the Marshall Islands</w:t>
            </w:r>
          </w:p>
        </w:tc>
      </w:tr>
      <w:tr w:rsidR="006A1F39" w:rsidRPr="00804FEE" w14:paraId="1DC7F1C9" w14:textId="77777777">
        <w:tc>
          <w:tcPr>
            <w:cnfStyle w:val="001000000000" w:firstRow="0" w:lastRow="0" w:firstColumn="1" w:lastColumn="0" w:oddVBand="0" w:evenVBand="0" w:oddHBand="0" w:evenHBand="0" w:firstRowFirstColumn="0" w:firstRowLastColumn="0" w:lastRowFirstColumn="0" w:lastRowLastColumn="0"/>
            <w:tcW w:w="1111" w:type="pct"/>
          </w:tcPr>
          <w:p w14:paraId="4C8321EB" w14:textId="77777777" w:rsidR="006A1F39" w:rsidRPr="006A1F39" w:rsidRDefault="006A1F39">
            <w:pPr>
              <w:rPr>
                <w:rFonts w:ascii="Arial" w:hAnsi="Arial" w:cs="Arial"/>
              </w:rPr>
            </w:pPr>
            <w:r w:rsidRPr="006A1F39">
              <w:rPr>
                <w:rFonts w:ascii="Arial" w:hAnsi="Arial" w:cs="Arial"/>
              </w:rPr>
              <w:t>SGBV</w:t>
            </w:r>
          </w:p>
        </w:tc>
        <w:tc>
          <w:tcPr>
            <w:tcW w:w="3889" w:type="pct"/>
          </w:tcPr>
          <w:p w14:paraId="5DB9037E"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 xml:space="preserve">Sexual and gender-based violence </w:t>
            </w:r>
          </w:p>
        </w:tc>
      </w:tr>
      <w:tr w:rsidR="006A1F39" w:rsidRPr="00804FEE" w14:paraId="57085504" w14:textId="77777777">
        <w:tc>
          <w:tcPr>
            <w:cnfStyle w:val="001000000000" w:firstRow="0" w:lastRow="0" w:firstColumn="1" w:lastColumn="0" w:oddVBand="0" w:evenVBand="0" w:oddHBand="0" w:evenHBand="0" w:firstRowFirstColumn="0" w:firstRowLastColumn="0" w:lastRowFirstColumn="0" w:lastRowLastColumn="0"/>
            <w:tcW w:w="1111" w:type="pct"/>
          </w:tcPr>
          <w:p w14:paraId="1A936CE9" w14:textId="77777777" w:rsidR="006A1F39" w:rsidRPr="006A1F39" w:rsidRDefault="006A1F39">
            <w:pPr>
              <w:rPr>
                <w:rFonts w:ascii="Arial" w:hAnsi="Arial" w:cs="Arial"/>
              </w:rPr>
            </w:pPr>
            <w:bookmarkStart w:id="97" w:name="_Hlk193743729"/>
            <w:r w:rsidRPr="006A1F39">
              <w:rPr>
                <w:rFonts w:ascii="Arial" w:hAnsi="Arial" w:cs="Arial"/>
              </w:rPr>
              <w:t>SOGIESC</w:t>
            </w:r>
          </w:p>
        </w:tc>
        <w:tc>
          <w:tcPr>
            <w:tcW w:w="3889" w:type="pct"/>
          </w:tcPr>
          <w:p w14:paraId="24C5E5A9"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Sexual Orientation Gender Identify and Expression, and Sex Characteristics</w:t>
            </w:r>
          </w:p>
        </w:tc>
      </w:tr>
      <w:bookmarkEnd w:id="97"/>
      <w:tr w:rsidR="006A1F39" w:rsidRPr="00804FEE" w14:paraId="78BF69FA" w14:textId="77777777">
        <w:tc>
          <w:tcPr>
            <w:cnfStyle w:val="001000000000" w:firstRow="0" w:lastRow="0" w:firstColumn="1" w:lastColumn="0" w:oddVBand="0" w:evenVBand="0" w:oddHBand="0" w:evenHBand="0" w:firstRowFirstColumn="0" w:firstRowLastColumn="0" w:lastRowFirstColumn="0" w:lastRowLastColumn="0"/>
            <w:tcW w:w="1111" w:type="pct"/>
          </w:tcPr>
          <w:p w14:paraId="75B2655F" w14:textId="77777777" w:rsidR="006A1F39" w:rsidRPr="006A1F39" w:rsidRDefault="006A1F39">
            <w:pPr>
              <w:rPr>
                <w:rFonts w:ascii="Arial" w:hAnsi="Arial" w:cs="Arial"/>
              </w:rPr>
            </w:pPr>
            <w:r w:rsidRPr="006A1F39">
              <w:rPr>
                <w:rFonts w:ascii="Arial" w:hAnsi="Arial" w:cs="Arial"/>
              </w:rPr>
              <w:t>SPC</w:t>
            </w:r>
          </w:p>
        </w:tc>
        <w:tc>
          <w:tcPr>
            <w:tcW w:w="3889" w:type="pct"/>
          </w:tcPr>
          <w:p w14:paraId="57E7F56E"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The Pacific Community</w:t>
            </w:r>
          </w:p>
        </w:tc>
      </w:tr>
      <w:tr w:rsidR="006A1F39" w:rsidRPr="00804FEE" w14:paraId="21070941" w14:textId="77777777">
        <w:tc>
          <w:tcPr>
            <w:cnfStyle w:val="001000000000" w:firstRow="0" w:lastRow="0" w:firstColumn="1" w:lastColumn="0" w:oddVBand="0" w:evenVBand="0" w:oddHBand="0" w:evenHBand="0" w:firstRowFirstColumn="0" w:firstRowLastColumn="0" w:lastRowFirstColumn="0" w:lastRowLastColumn="0"/>
            <w:tcW w:w="1111" w:type="pct"/>
          </w:tcPr>
          <w:p w14:paraId="6251A709" w14:textId="77777777" w:rsidR="006A1F39" w:rsidRPr="006A1F39" w:rsidRDefault="006A1F39">
            <w:pPr>
              <w:rPr>
                <w:rFonts w:ascii="Arial" w:hAnsi="Arial" w:cs="Arial"/>
              </w:rPr>
            </w:pPr>
            <w:r w:rsidRPr="006A1F39">
              <w:rPr>
                <w:rFonts w:ascii="Arial" w:hAnsi="Arial" w:cs="Arial"/>
              </w:rPr>
              <w:t>SPREP</w:t>
            </w:r>
          </w:p>
        </w:tc>
        <w:tc>
          <w:tcPr>
            <w:tcW w:w="3889" w:type="pct"/>
          </w:tcPr>
          <w:p w14:paraId="7181F0FD"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Secretariat of the Pacific Regional Environment Programme</w:t>
            </w:r>
          </w:p>
        </w:tc>
      </w:tr>
      <w:tr w:rsidR="006A1F39" w:rsidRPr="00804FEE" w14:paraId="6018BC53" w14:textId="77777777">
        <w:tc>
          <w:tcPr>
            <w:cnfStyle w:val="001000000000" w:firstRow="0" w:lastRow="0" w:firstColumn="1" w:lastColumn="0" w:oddVBand="0" w:evenVBand="0" w:oddHBand="0" w:evenHBand="0" w:firstRowFirstColumn="0" w:firstRowLastColumn="0" w:lastRowFirstColumn="0" w:lastRowLastColumn="0"/>
            <w:tcW w:w="1111" w:type="pct"/>
          </w:tcPr>
          <w:p w14:paraId="25FAD975" w14:textId="77777777" w:rsidR="006A1F39" w:rsidRPr="006A1F39" w:rsidRDefault="006A1F39">
            <w:pPr>
              <w:rPr>
                <w:rFonts w:ascii="Arial" w:hAnsi="Arial" w:cs="Arial"/>
              </w:rPr>
            </w:pPr>
            <w:r w:rsidRPr="006A1F39">
              <w:rPr>
                <w:rFonts w:ascii="Arial" w:hAnsi="Arial" w:cs="Arial"/>
              </w:rPr>
              <w:t>SRH</w:t>
            </w:r>
          </w:p>
        </w:tc>
        <w:tc>
          <w:tcPr>
            <w:tcW w:w="3889" w:type="pct"/>
          </w:tcPr>
          <w:p w14:paraId="237524FD"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Sexual and Reproductive Health</w:t>
            </w:r>
          </w:p>
        </w:tc>
      </w:tr>
      <w:tr w:rsidR="006A1F39" w:rsidRPr="00804FEE" w14:paraId="3B5CC823" w14:textId="77777777">
        <w:tc>
          <w:tcPr>
            <w:cnfStyle w:val="001000000000" w:firstRow="0" w:lastRow="0" w:firstColumn="1" w:lastColumn="0" w:oddVBand="0" w:evenVBand="0" w:oddHBand="0" w:evenHBand="0" w:firstRowFirstColumn="0" w:firstRowLastColumn="0" w:lastRowFirstColumn="0" w:lastRowLastColumn="0"/>
            <w:tcW w:w="1111" w:type="pct"/>
          </w:tcPr>
          <w:p w14:paraId="2FFDA1C2" w14:textId="77777777" w:rsidR="006A1F39" w:rsidRPr="006A1F39" w:rsidRDefault="006A1F39">
            <w:pPr>
              <w:rPr>
                <w:rFonts w:ascii="Arial" w:hAnsi="Arial" w:cs="Arial"/>
              </w:rPr>
            </w:pPr>
            <w:r w:rsidRPr="006A1F39">
              <w:rPr>
                <w:rFonts w:ascii="Arial" w:hAnsi="Arial" w:cs="Arial"/>
              </w:rPr>
              <w:t>SRHR</w:t>
            </w:r>
          </w:p>
        </w:tc>
        <w:tc>
          <w:tcPr>
            <w:tcW w:w="3889" w:type="pct"/>
          </w:tcPr>
          <w:p w14:paraId="30334EA4"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Sexual and Reproductive Health and Rights</w:t>
            </w:r>
          </w:p>
        </w:tc>
      </w:tr>
      <w:tr w:rsidR="006A1F39" w:rsidRPr="00804FEE" w14:paraId="5CA16176" w14:textId="77777777">
        <w:tc>
          <w:tcPr>
            <w:cnfStyle w:val="001000000000" w:firstRow="0" w:lastRow="0" w:firstColumn="1" w:lastColumn="0" w:oddVBand="0" w:evenVBand="0" w:oddHBand="0" w:evenHBand="0" w:firstRowFirstColumn="0" w:firstRowLastColumn="0" w:lastRowFirstColumn="0" w:lastRowLastColumn="0"/>
            <w:tcW w:w="1111" w:type="pct"/>
          </w:tcPr>
          <w:p w14:paraId="7176C965" w14:textId="77777777" w:rsidR="006A1F39" w:rsidRPr="006A1F39" w:rsidRDefault="006A1F39">
            <w:pPr>
              <w:rPr>
                <w:rFonts w:ascii="Arial" w:hAnsi="Arial" w:cs="Arial"/>
              </w:rPr>
            </w:pPr>
            <w:r w:rsidRPr="006A1F39">
              <w:rPr>
                <w:rFonts w:ascii="Arial" w:hAnsi="Arial" w:cs="Arial"/>
              </w:rPr>
              <w:t>TFGBV</w:t>
            </w:r>
          </w:p>
        </w:tc>
        <w:tc>
          <w:tcPr>
            <w:tcW w:w="3889" w:type="pct"/>
          </w:tcPr>
          <w:p w14:paraId="751909FF"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Technology Facilitated Gender Based Violence</w:t>
            </w:r>
          </w:p>
        </w:tc>
      </w:tr>
      <w:tr w:rsidR="006A1F39" w:rsidRPr="00804FEE" w14:paraId="59A1C151" w14:textId="77777777">
        <w:tc>
          <w:tcPr>
            <w:cnfStyle w:val="001000000000" w:firstRow="0" w:lastRow="0" w:firstColumn="1" w:lastColumn="0" w:oddVBand="0" w:evenVBand="0" w:oddHBand="0" w:evenHBand="0" w:firstRowFirstColumn="0" w:firstRowLastColumn="0" w:lastRowFirstColumn="0" w:lastRowLastColumn="0"/>
            <w:tcW w:w="1111" w:type="pct"/>
          </w:tcPr>
          <w:p w14:paraId="3624E660" w14:textId="77777777" w:rsidR="006A1F39" w:rsidRPr="006A1F39" w:rsidRDefault="006A1F39">
            <w:pPr>
              <w:rPr>
                <w:rFonts w:ascii="Arial" w:hAnsi="Arial" w:cs="Arial"/>
              </w:rPr>
            </w:pPr>
            <w:r w:rsidRPr="006A1F39">
              <w:rPr>
                <w:rFonts w:ascii="Arial" w:hAnsi="Arial" w:cs="Arial"/>
              </w:rPr>
              <w:t>TOR</w:t>
            </w:r>
          </w:p>
        </w:tc>
        <w:tc>
          <w:tcPr>
            <w:tcW w:w="3889" w:type="pct"/>
          </w:tcPr>
          <w:p w14:paraId="40A6CA0A"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Terms of Reference</w:t>
            </w:r>
          </w:p>
        </w:tc>
      </w:tr>
      <w:tr w:rsidR="006A1F39" w:rsidRPr="00804FEE" w14:paraId="22C7DCC8" w14:textId="77777777">
        <w:tc>
          <w:tcPr>
            <w:cnfStyle w:val="001000000000" w:firstRow="0" w:lastRow="0" w:firstColumn="1" w:lastColumn="0" w:oddVBand="0" w:evenVBand="0" w:oddHBand="0" w:evenHBand="0" w:firstRowFirstColumn="0" w:firstRowLastColumn="0" w:lastRowFirstColumn="0" w:lastRowLastColumn="0"/>
            <w:tcW w:w="1111" w:type="pct"/>
          </w:tcPr>
          <w:p w14:paraId="2D82188B" w14:textId="77777777" w:rsidR="006A1F39" w:rsidRPr="006A1F39" w:rsidRDefault="006A1F39">
            <w:pPr>
              <w:rPr>
                <w:rFonts w:ascii="Arial" w:hAnsi="Arial" w:cs="Arial"/>
              </w:rPr>
            </w:pPr>
            <w:r w:rsidRPr="006A1F39">
              <w:rPr>
                <w:rFonts w:ascii="Arial" w:hAnsi="Arial" w:cs="Arial"/>
              </w:rPr>
              <w:t>UAF</w:t>
            </w:r>
          </w:p>
        </w:tc>
        <w:tc>
          <w:tcPr>
            <w:tcW w:w="3889" w:type="pct"/>
          </w:tcPr>
          <w:p w14:paraId="72F45759"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Urgent Action Fund</w:t>
            </w:r>
          </w:p>
        </w:tc>
      </w:tr>
      <w:tr w:rsidR="006A1F39" w:rsidRPr="00804FEE" w14:paraId="03AD06E5" w14:textId="77777777">
        <w:tc>
          <w:tcPr>
            <w:cnfStyle w:val="001000000000" w:firstRow="0" w:lastRow="0" w:firstColumn="1" w:lastColumn="0" w:oddVBand="0" w:evenVBand="0" w:oddHBand="0" w:evenHBand="0" w:firstRowFirstColumn="0" w:firstRowLastColumn="0" w:lastRowFirstColumn="0" w:lastRowLastColumn="0"/>
            <w:tcW w:w="1111" w:type="pct"/>
          </w:tcPr>
          <w:p w14:paraId="686DAA6A" w14:textId="77777777" w:rsidR="006A1F39" w:rsidRPr="006A1F39" w:rsidRDefault="006A1F39">
            <w:pPr>
              <w:rPr>
                <w:rFonts w:ascii="Arial" w:hAnsi="Arial" w:cs="Arial"/>
              </w:rPr>
            </w:pPr>
            <w:r w:rsidRPr="006A1F39">
              <w:rPr>
                <w:rFonts w:ascii="Arial" w:hAnsi="Arial" w:cs="Arial"/>
              </w:rPr>
              <w:t>UNFPA</w:t>
            </w:r>
          </w:p>
        </w:tc>
        <w:tc>
          <w:tcPr>
            <w:tcW w:w="3889" w:type="pct"/>
          </w:tcPr>
          <w:p w14:paraId="522F8278"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United Nations Population Fund</w:t>
            </w:r>
          </w:p>
        </w:tc>
      </w:tr>
      <w:tr w:rsidR="006A1F39" w:rsidRPr="00804FEE" w14:paraId="111E89A8" w14:textId="77777777">
        <w:tc>
          <w:tcPr>
            <w:cnfStyle w:val="001000000000" w:firstRow="0" w:lastRow="0" w:firstColumn="1" w:lastColumn="0" w:oddVBand="0" w:evenVBand="0" w:oddHBand="0" w:evenHBand="0" w:firstRowFirstColumn="0" w:firstRowLastColumn="0" w:lastRowFirstColumn="0" w:lastRowLastColumn="0"/>
            <w:tcW w:w="1111" w:type="pct"/>
          </w:tcPr>
          <w:p w14:paraId="1FEE35BE" w14:textId="77777777" w:rsidR="006A1F39" w:rsidRPr="006A1F39" w:rsidRDefault="006A1F39">
            <w:pPr>
              <w:rPr>
                <w:rFonts w:ascii="Arial" w:hAnsi="Arial" w:cs="Arial"/>
              </w:rPr>
            </w:pPr>
            <w:r w:rsidRPr="006A1F39">
              <w:rPr>
                <w:rFonts w:ascii="Arial" w:hAnsi="Arial" w:cs="Arial"/>
              </w:rPr>
              <w:t>UNICEF</w:t>
            </w:r>
          </w:p>
        </w:tc>
        <w:tc>
          <w:tcPr>
            <w:tcW w:w="3889" w:type="pct"/>
          </w:tcPr>
          <w:p w14:paraId="1090767E"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United Nations Children's Fund</w:t>
            </w:r>
          </w:p>
        </w:tc>
      </w:tr>
      <w:tr w:rsidR="006A1F39" w:rsidRPr="00804FEE" w14:paraId="4DB1287A" w14:textId="77777777">
        <w:tc>
          <w:tcPr>
            <w:cnfStyle w:val="001000000000" w:firstRow="0" w:lastRow="0" w:firstColumn="1" w:lastColumn="0" w:oddVBand="0" w:evenVBand="0" w:oddHBand="0" w:evenHBand="0" w:firstRowFirstColumn="0" w:firstRowLastColumn="0" w:lastRowFirstColumn="0" w:lastRowLastColumn="0"/>
            <w:tcW w:w="1111" w:type="pct"/>
          </w:tcPr>
          <w:p w14:paraId="5B93A941" w14:textId="77777777" w:rsidR="006A1F39" w:rsidRPr="006A1F39" w:rsidRDefault="006A1F39">
            <w:pPr>
              <w:rPr>
                <w:rFonts w:ascii="Arial" w:hAnsi="Arial" w:cs="Arial"/>
              </w:rPr>
            </w:pPr>
            <w:r w:rsidRPr="006A1F39">
              <w:rPr>
                <w:rFonts w:ascii="Arial" w:hAnsi="Arial" w:cs="Arial"/>
              </w:rPr>
              <w:t>UPR</w:t>
            </w:r>
          </w:p>
        </w:tc>
        <w:tc>
          <w:tcPr>
            <w:tcW w:w="3889" w:type="pct"/>
          </w:tcPr>
          <w:p w14:paraId="4AD0F76F"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Universal Periodic Review</w:t>
            </w:r>
          </w:p>
        </w:tc>
      </w:tr>
      <w:tr w:rsidR="006A1F39" w:rsidRPr="00804FEE" w14:paraId="36ECB7AE" w14:textId="77777777">
        <w:tc>
          <w:tcPr>
            <w:cnfStyle w:val="001000000000" w:firstRow="0" w:lastRow="0" w:firstColumn="1" w:lastColumn="0" w:oddVBand="0" w:evenVBand="0" w:oddHBand="0" w:evenHBand="0" w:firstRowFirstColumn="0" w:firstRowLastColumn="0" w:lastRowFirstColumn="0" w:lastRowLastColumn="0"/>
            <w:tcW w:w="1111" w:type="pct"/>
          </w:tcPr>
          <w:p w14:paraId="206AB148" w14:textId="77777777" w:rsidR="006A1F39" w:rsidRPr="006A1F39" w:rsidRDefault="006A1F39">
            <w:pPr>
              <w:rPr>
                <w:rFonts w:ascii="Arial" w:hAnsi="Arial" w:cs="Arial"/>
              </w:rPr>
            </w:pPr>
            <w:r w:rsidRPr="006A1F39">
              <w:rPr>
                <w:rFonts w:ascii="Arial" w:hAnsi="Arial" w:cs="Arial"/>
              </w:rPr>
              <w:t>WEDO</w:t>
            </w:r>
          </w:p>
        </w:tc>
        <w:tc>
          <w:tcPr>
            <w:tcW w:w="3889" w:type="pct"/>
          </w:tcPr>
          <w:p w14:paraId="381FCC48"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Women’s Environment and Development Organisation</w:t>
            </w:r>
          </w:p>
        </w:tc>
      </w:tr>
      <w:tr w:rsidR="006A1F39" w:rsidRPr="00804FEE" w14:paraId="23E26D13" w14:textId="77777777">
        <w:tc>
          <w:tcPr>
            <w:cnfStyle w:val="001000000000" w:firstRow="0" w:lastRow="0" w:firstColumn="1" w:lastColumn="0" w:oddVBand="0" w:evenVBand="0" w:oddHBand="0" w:evenHBand="0" w:firstRowFirstColumn="0" w:firstRowLastColumn="0" w:lastRowFirstColumn="0" w:lastRowLastColumn="0"/>
            <w:tcW w:w="1111" w:type="pct"/>
          </w:tcPr>
          <w:p w14:paraId="324F59AA" w14:textId="77777777" w:rsidR="006A1F39" w:rsidRPr="006A1F39" w:rsidRDefault="006A1F39">
            <w:pPr>
              <w:rPr>
                <w:rFonts w:ascii="Arial" w:hAnsi="Arial" w:cs="Arial"/>
              </w:rPr>
            </w:pPr>
            <w:r w:rsidRPr="006A1F39">
              <w:rPr>
                <w:rFonts w:ascii="Arial" w:hAnsi="Arial" w:cs="Arial"/>
              </w:rPr>
              <w:t>WEE</w:t>
            </w:r>
          </w:p>
        </w:tc>
        <w:tc>
          <w:tcPr>
            <w:tcW w:w="3889" w:type="pct"/>
          </w:tcPr>
          <w:p w14:paraId="292FA53A"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Women’s Economic Empowerment</w:t>
            </w:r>
          </w:p>
        </w:tc>
      </w:tr>
      <w:tr w:rsidR="006A1F39" w:rsidRPr="00804FEE" w14:paraId="7A6CA700" w14:textId="77777777">
        <w:tc>
          <w:tcPr>
            <w:cnfStyle w:val="001000000000" w:firstRow="0" w:lastRow="0" w:firstColumn="1" w:lastColumn="0" w:oddVBand="0" w:evenVBand="0" w:oddHBand="0" w:evenHBand="0" w:firstRowFirstColumn="0" w:firstRowLastColumn="0" w:lastRowFirstColumn="0" w:lastRowLastColumn="0"/>
            <w:tcW w:w="1111" w:type="pct"/>
          </w:tcPr>
          <w:p w14:paraId="407F44EC" w14:textId="77777777" w:rsidR="006A1F39" w:rsidRPr="006A1F39" w:rsidRDefault="006A1F39">
            <w:pPr>
              <w:rPr>
                <w:rFonts w:ascii="Arial" w:hAnsi="Arial" w:cs="Arial"/>
              </w:rPr>
            </w:pPr>
            <w:r w:rsidRPr="006A1F39">
              <w:rPr>
                <w:rFonts w:ascii="Arial" w:hAnsi="Arial" w:cs="Arial"/>
              </w:rPr>
              <w:t>WFF</w:t>
            </w:r>
          </w:p>
        </w:tc>
        <w:tc>
          <w:tcPr>
            <w:tcW w:w="3889" w:type="pct"/>
          </w:tcPr>
          <w:p w14:paraId="6D83F576"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Women’s Fund Fiji</w:t>
            </w:r>
          </w:p>
        </w:tc>
      </w:tr>
      <w:tr w:rsidR="006A1F39" w:rsidRPr="00804FEE" w14:paraId="682E8711" w14:textId="77777777">
        <w:tc>
          <w:tcPr>
            <w:cnfStyle w:val="001000000000" w:firstRow="0" w:lastRow="0" w:firstColumn="1" w:lastColumn="0" w:oddVBand="0" w:evenVBand="0" w:oddHBand="0" w:evenHBand="0" w:firstRowFirstColumn="0" w:firstRowLastColumn="0" w:lastRowFirstColumn="0" w:lastRowLastColumn="0"/>
            <w:tcW w:w="1111" w:type="pct"/>
          </w:tcPr>
          <w:p w14:paraId="354FA403" w14:textId="77777777" w:rsidR="006A1F39" w:rsidRPr="006A1F39" w:rsidRDefault="006A1F39">
            <w:pPr>
              <w:rPr>
                <w:rFonts w:ascii="Arial" w:hAnsi="Arial" w:cs="Arial"/>
              </w:rPr>
            </w:pPr>
            <w:r w:rsidRPr="006A1F39">
              <w:rPr>
                <w:rFonts w:ascii="Arial" w:hAnsi="Arial" w:cs="Arial"/>
              </w:rPr>
              <w:t>WLP</w:t>
            </w:r>
          </w:p>
        </w:tc>
        <w:tc>
          <w:tcPr>
            <w:tcW w:w="3889" w:type="pct"/>
          </w:tcPr>
          <w:p w14:paraId="4B53C80D"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Women’s Leadership Promoted</w:t>
            </w:r>
          </w:p>
        </w:tc>
      </w:tr>
      <w:tr w:rsidR="006A1F39" w:rsidRPr="00804FEE" w14:paraId="2B77647F" w14:textId="77777777">
        <w:tc>
          <w:tcPr>
            <w:cnfStyle w:val="001000000000" w:firstRow="0" w:lastRow="0" w:firstColumn="1" w:lastColumn="0" w:oddVBand="0" w:evenVBand="0" w:oddHBand="0" w:evenHBand="0" w:firstRowFirstColumn="0" w:firstRowLastColumn="0" w:lastRowFirstColumn="0" w:lastRowLastColumn="0"/>
            <w:tcW w:w="1111" w:type="pct"/>
          </w:tcPr>
          <w:p w14:paraId="5C008A0A" w14:textId="77777777" w:rsidR="006A1F39" w:rsidRPr="006A1F39" w:rsidRDefault="006A1F39">
            <w:pPr>
              <w:rPr>
                <w:rFonts w:ascii="Arial" w:hAnsi="Arial" w:cs="Arial"/>
              </w:rPr>
            </w:pPr>
            <w:r w:rsidRPr="006A1F39">
              <w:rPr>
                <w:rFonts w:ascii="Arial" w:hAnsi="Arial" w:cs="Arial"/>
              </w:rPr>
              <w:t>WOP</w:t>
            </w:r>
          </w:p>
        </w:tc>
        <w:tc>
          <w:tcPr>
            <w:tcW w:w="3889" w:type="pct"/>
          </w:tcPr>
          <w:p w14:paraId="1BBC8CEF"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Whole of Portfolio</w:t>
            </w:r>
          </w:p>
        </w:tc>
      </w:tr>
      <w:tr w:rsidR="006A1F39" w:rsidRPr="00804FEE" w14:paraId="26E6D076" w14:textId="77777777">
        <w:tc>
          <w:tcPr>
            <w:cnfStyle w:val="001000000000" w:firstRow="0" w:lastRow="0" w:firstColumn="1" w:lastColumn="0" w:oddVBand="0" w:evenVBand="0" w:oddHBand="0" w:evenHBand="0" w:firstRowFirstColumn="0" w:firstRowLastColumn="0" w:lastRowFirstColumn="0" w:lastRowLastColumn="0"/>
            <w:tcW w:w="1111" w:type="pct"/>
          </w:tcPr>
          <w:p w14:paraId="1E573468" w14:textId="77777777" w:rsidR="006A1F39" w:rsidRPr="006A1F39" w:rsidRDefault="006A1F39">
            <w:pPr>
              <w:rPr>
                <w:rFonts w:ascii="Arial" w:hAnsi="Arial" w:cs="Arial"/>
              </w:rPr>
            </w:pPr>
            <w:r w:rsidRPr="006A1F39">
              <w:rPr>
                <w:rFonts w:ascii="Arial" w:hAnsi="Arial" w:cs="Arial"/>
              </w:rPr>
              <w:t>WOW</w:t>
            </w:r>
          </w:p>
        </w:tc>
        <w:tc>
          <w:tcPr>
            <w:tcW w:w="3889" w:type="pct"/>
          </w:tcPr>
          <w:p w14:paraId="12822C36"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Women of the Wave</w:t>
            </w:r>
          </w:p>
        </w:tc>
      </w:tr>
      <w:tr w:rsidR="006A1F39" w:rsidRPr="00804FEE" w14:paraId="39450891" w14:textId="77777777">
        <w:tc>
          <w:tcPr>
            <w:cnfStyle w:val="001000000000" w:firstRow="0" w:lastRow="0" w:firstColumn="1" w:lastColumn="0" w:oddVBand="0" w:evenVBand="0" w:oddHBand="0" w:evenHBand="0" w:firstRowFirstColumn="0" w:firstRowLastColumn="0" w:lastRowFirstColumn="0" w:lastRowLastColumn="0"/>
            <w:tcW w:w="1111" w:type="pct"/>
          </w:tcPr>
          <w:p w14:paraId="7FD80539" w14:textId="77777777" w:rsidR="006A1F39" w:rsidRPr="006A1F39" w:rsidRDefault="006A1F39">
            <w:pPr>
              <w:rPr>
                <w:rFonts w:ascii="Arial" w:hAnsi="Arial" w:cs="Arial"/>
              </w:rPr>
            </w:pPr>
            <w:r w:rsidRPr="006A1F39">
              <w:rPr>
                <w:rFonts w:ascii="Arial" w:hAnsi="Arial" w:cs="Arial"/>
              </w:rPr>
              <w:t>WRD</w:t>
            </w:r>
          </w:p>
        </w:tc>
        <w:tc>
          <w:tcPr>
            <w:tcW w:w="3889" w:type="pct"/>
          </w:tcPr>
          <w:p w14:paraId="1D4D4B0E"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98" w:name="_Hlk193743973"/>
            <w:r w:rsidRPr="006A1F39">
              <w:rPr>
                <w:rFonts w:ascii="Arial" w:hAnsi="Arial" w:cs="Arial"/>
              </w:rPr>
              <w:t>Women’s Resilience to Disasters</w:t>
            </w:r>
            <w:bookmarkEnd w:id="98"/>
          </w:p>
        </w:tc>
      </w:tr>
      <w:tr w:rsidR="006A1F39" w:rsidRPr="00804FEE" w14:paraId="29526D4E" w14:textId="77777777">
        <w:tc>
          <w:tcPr>
            <w:cnfStyle w:val="001000000000" w:firstRow="0" w:lastRow="0" w:firstColumn="1" w:lastColumn="0" w:oddVBand="0" w:evenVBand="0" w:oddHBand="0" w:evenHBand="0" w:firstRowFirstColumn="0" w:firstRowLastColumn="0" w:lastRowFirstColumn="0" w:lastRowLastColumn="0"/>
            <w:tcW w:w="1111" w:type="pct"/>
          </w:tcPr>
          <w:p w14:paraId="28666A29" w14:textId="77777777" w:rsidR="006A1F39" w:rsidRPr="006A1F39" w:rsidRDefault="006A1F39">
            <w:pPr>
              <w:rPr>
                <w:rFonts w:ascii="Arial" w:hAnsi="Arial" w:cs="Arial"/>
              </w:rPr>
            </w:pPr>
            <w:r w:rsidRPr="006A1F39">
              <w:rPr>
                <w:rFonts w:ascii="Arial" w:hAnsi="Arial" w:cs="Arial"/>
              </w:rPr>
              <w:t>WRR</w:t>
            </w:r>
          </w:p>
        </w:tc>
        <w:tc>
          <w:tcPr>
            <w:tcW w:w="3889" w:type="pct"/>
          </w:tcPr>
          <w:p w14:paraId="7C03654E" w14:textId="77777777" w:rsidR="006A1F39" w:rsidRPr="006A1F39" w:rsidRDefault="006A1F3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A1F39">
              <w:rPr>
                <w:rFonts w:ascii="Arial" w:hAnsi="Arial" w:cs="Arial"/>
              </w:rPr>
              <w:t>Women’s Rights Realised</w:t>
            </w:r>
          </w:p>
        </w:tc>
      </w:tr>
    </w:tbl>
    <w:p w14:paraId="5A380880" w14:textId="77777777" w:rsidR="006A1F39" w:rsidRPr="00EE243C" w:rsidRDefault="006A1F39" w:rsidP="006A1F39">
      <w:pPr>
        <w:rPr>
          <w:rFonts w:cstheme="minorHAnsi"/>
        </w:rPr>
      </w:pPr>
    </w:p>
    <w:p w14:paraId="5E6C4F21" w14:textId="77777777" w:rsidR="006A1F39" w:rsidRPr="006A1F39" w:rsidRDefault="006A1F39" w:rsidP="006A1F39"/>
    <w:bookmarkEnd w:id="90"/>
    <w:p w14:paraId="47329D8A" w14:textId="77777777" w:rsidR="00FD54F0" w:rsidRDefault="00FD54F0" w:rsidP="00FD54F0"/>
    <w:p w14:paraId="4ACB8A61" w14:textId="45991688" w:rsidR="00FD54F0" w:rsidRDefault="00074B99" w:rsidP="00074B99">
      <w:pPr>
        <w:pStyle w:val="Heading1"/>
        <w:numPr>
          <w:ilvl w:val="0"/>
          <w:numId w:val="0"/>
        </w:numPr>
        <w:rPr>
          <w:lang w:val="en-US"/>
        </w:rPr>
      </w:pPr>
      <w:bookmarkStart w:id="99" w:name="_Ref193789410"/>
      <w:bookmarkStart w:id="100" w:name="_Toc201840805"/>
      <w:r>
        <w:rPr>
          <w:lang w:val="en-US"/>
        </w:rPr>
        <w:lastRenderedPageBreak/>
        <w:t xml:space="preserve">Appendix E </w:t>
      </w:r>
      <w:r w:rsidR="00FD54F0">
        <w:rPr>
          <w:lang w:val="en-US"/>
        </w:rPr>
        <w:t>PWL component summary</w:t>
      </w:r>
      <w:bookmarkEnd w:id="99"/>
      <w:bookmarkEnd w:id="100"/>
      <w:r w:rsidR="00FD54F0">
        <w:rPr>
          <w:lang w:val="en-US"/>
        </w:rPr>
        <w:t xml:space="preserve"> </w:t>
      </w:r>
    </w:p>
    <w:p w14:paraId="779D167F" w14:textId="2FE3E4E5" w:rsidR="00FD54F0" w:rsidRDefault="00FD54F0" w:rsidP="00296376">
      <w:pPr>
        <w:pStyle w:val="Subheading"/>
        <w:rPr>
          <w:lang w:val="en-US"/>
        </w:rPr>
      </w:pPr>
      <w:r>
        <w:rPr>
          <w:lang w:val="en-US"/>
        </w:rPr>
        <w:t>SPC</w:t>
      </w:r>
    </w:p>
    <w:p w14:paraId="60750909" w14:textId="62B05525" w:rsidR="00FD54F0" w:rsidRPr="00C467BB" w:rsidRDefault="00FD54F0" w:rsidP="00FD54F0">
      <w:r w:rsidRPr="00C467BB">
        <w:t xml:space="preserve">The transition of </w:t>
      </w:r>
      <w:r>
        <w:t xml:space="preserve">PWL </w:t>
      </w:r>
      <w:r w:rsidRPr="00C467BB">
        <w:t xml:space="preserve">to </w:t>
      </w:r>
      <w:r>
        <w:t>SPC</w:t>
      </w:r>
      <w:r w:rsidRPr="00C467BB">
        <w:t xml:space="preserve"> marks a pivotal moment in advancing Pacific ownership, fundamentally shifting from an Australian-managed program to a Pacific-led initiative. SPC, a scientific and technical organi</w:t>
      </w:r>
      <w:r>
        <w:t>s</w:t>
      </w:r>
      <w:r w:rsidRPr="00C467BB">
        <w:t>ation owned by 22 Pacific Island countries and territories, has been strategically positioned to manage AUD68 million of PWL funding, providing technical, convening, and funding support to government ministries, civil society, and partners. The organi</w:t>
      </w:r>
      <w:r>
        <w:t>s</w:t>
      </w:r>
      <w:r w:rsidRPr="00C467BB">
        <w:t>ation's Pacific-led structure, predominantly staffed by Pacific peoples, provides an inherent foundation for regional leadership, further strengthened by Pacific Islander staff in key leadership positions.</w:t>
      </w:r>
    </w:p>
    <w:p w14:paraId="04E884B3" w14:textId="77777777" w:rsidR="00FD54F0" w:rsidRPr="00C467BB" w:rsidRDefault="00FD54F0" w:rsidP="00FD54F0">
      <w:r w:rsidRPr="00C467BB">
        <w:t>Central to SPC's transformation is the establishment of the Gender Equality Flagship, which aligns with the 2050 Strategy for the Blue Pacific Continent and aims to provide an overarching framework for sustained engagement beyond funding cycles. The creation of the Principal Strategic Lead - Pacific Women and Girls role within SPC's Senior Leadership Team has been particularly significant, elevating gender equality work across the organi</w:t>
      </w:r>
      <w:r>
        <w:t>s</w:t>
      </w:r>
      <w:r w:rsidRPr="00C467BB">
        <w:t>ation and the region. This strategic positioning demonstrates Pacific leadership in action, setting foundations for transformational change and ensuring gender equality remains a priority both internally and externally.</w:t>
      </w:r>
    </w:p>
    <w:p w14:paraId="6737861D" w14:textId="77777777" w:rsidR="00FD54F0" w:rsidRDefault="00FD54F0" w:rsidP="00FD54F0">
      <w:pPr>
        <w:pStyle w:val="Subheading"/>
        <w:rPr>
          <w:lang w:val="en-US"/>
        </w:rPr>
      </w:pPr>
      <w:r>
        <w:rPr>
          <w:lang w:val="en-US"/>
        </w:rPr>
        <w:t>DFAT bilateral and regional programs</w:t>
      </w:r>
    </w:p>
    <w:p w14:paraId="5821047D" w14:textId="2060C79A" w:rsidR="00FD54F0" w:rsidRPr="00DE47F8" w:rsidRDefault="00FD54F0" w:rsidP="00FD54F0">
      <w:pPr>
        <w:rPr>
          <w:rFonts w:cstheme="minorHAnsi"/>
        </w:rPr>
      </w:pPr>
      <w:r w:rsidRPr="00DE47F8">
        <w:rPr>
          <w:rFonts w:cstheme="minorHAnsi"/>
        </w:rPr>
        <w:t xml:space="preserve">DFAT </w:t>
      </w:r>
      <w:r w:rsidR="004251CF">
        <w:rPr>
          <w:rFonts w:cstheme="minorHAnsi"/>
        </w:rPr>
        <w:t>operates</w:t>
      </w:r>
      <w:r w:rsidR="004251CF" w:rsidRPr="00DE47F8">
        <w:rPr>
          <w:rFonts w:cstheme="minorHAnsi"/>
        </w:rPr>
        <w:t xml:space="preserve"> </w:t>
      </w:r>
      <w:r w:rsidRPr="00DE47F8">
        <w:rPr>
          <w:rFonts w:cstheme="minorHAnsi"/>
        </w:rPr>
        <w:t>simultaneously as both donor and implementing partner through an innovative investment model that prioriti</w:t>
      </w:r>
      <w:r>
        <w:rPr>
          <w:rFonts w:cstheme="minorHAnsi"/>
        </w:rPr>
        <w:t>s</w:t>
      </w:r>
      <w:r w:rsidRPr="00DE47F8">
        <w:rPr>
          <w:rFonts w:cstheme="minorHAnsi"/>
        </w:rPr>
        <w:t>es trusted, flexible partnerships with Pacific organi</w:t>
      </w:r>
      <w:r>
        <w:rPr>
          <w:rFonts w:cstheme="minorHAnsi"/>
        </w:rPr>
        <w:t>s</w:t>
      </w:r>
      <w:r w:rsidRPr="00DE47F8">
        <w:rPr>
          <w:rFonts w:cstheme="minorHAnsi"/>
        </w:rPr>
        <w:t>ations. This approach carefully balances traditional accountability mechanisms with a deliberate strategy to transfer strategic ownership and implementation to Pacific partners, while navigating the nuanced intersections of development objectives and public diplomacy agendas.</w:t>
      </w:r>
    </w:p>
    <w:p w14:paraId="05B61637" w14:textId="77777777" w:rsidR="00FD54F0" w:rsidRDefault="00FD54F0" w:rsidP="00074B99">
      <w:pPr>
        <w:pStyle w:val="Heading4nonumber"/>
        <w:outlineLvl w:val="9"/>
      </w:pPr>
      <w:r>
        <w:t>Regional programs</w:t>
      </w:r>
    </w:p>
    <w:p w14:paraId="357EF78D" w14:textId="77777777" w:rsidR="00FD54F0" w:rsidRDefault="00FD54F0" w:rsidP="00FD54F0">
      <w:pPr>
        <w:rPr>
          <w:rFonts w:cstheme="minorHAnsi"/>
        </w:rPr>
      </w:pPr>
      <w:r w:rsidRPr="00DE47F8">
        <w:rPr>
          <w:rFonts w:cstheme="minorHAnsi"/>
        </w:rPr>
        <w:t>DFAT Canberra and Suva Posts manage AUD103 million in regional gender initiatives, encompassing large-scale multi-country programs with organi</w:t>
      </w:r>
      <w:r>
        <w:rPr>
          <w:rFonts w:cstheme="minorHAnsi"/>
        </w:rPr>
        <w:t>s</w:t>
      </w:r>
      <w:r w:rsidRPr="00DE47F8">
        <w:rPr>
          <w:rFonts w:cstheme="minorHAnsi"/>
        </w:rPr>
        <w:t>ations like UN Women, UNFPA, and UNICEF. These programs, which represent over 40% of PWL funding, include critical interventions such as Markets for Change, Pacific Partnership to End Violence Against Women and Girls, Resilience to Disaster programs, and UNICEF's Child Protection Program, with a direct grant to the Pacific Islands Forum to support regional gender equality, disability, and social inclusion policies.</w:t>
      </w:r>
    </w:p>
    <w:p w14:paraId="62EB9F35" w14:textId="77777777" w:rsidR="00FD54F0" w:rsidRDefault="00FD54F0" w:rsidP="00074B99">
      <w:pPr>
        <w:pStyle w:val="Heading4nonumber"/>
        <w:outlineLvl w:val="9"/>
      </w:pPr>
      <w:r>
        <w:t>Bilateral programs</w:t>
      </w:r>
    </w:p>
    <w:p w14:paraId="04479CEF" w14:textId="77777777" w:rsidR="00FD54F0" w:rsidRPr="00A35FCD" w:rsidRDefault="00FD54F0" w:rsidP="00FD54F0">
      <w:pPr>
        <w:rPr>
          <w:rFonts w:cstheme="minorHAnsi"/>
        </w:rPr>
      </w:pPr>
      <w:r w:rsidRPr="00DE47F8">
        <w:rPr>
          <w:rFonts w:cstheme="minorHAnsi"/>
        </w:rPr>
        <w:t xml:space="preserve">DFAT's bilateral programs maintain design, delivery, and governance autonomy while aligning with PWL's overarching goals and outcomes. These programs, though not directly funded by PWL, contribute to the broader portfolio through reporting in the PWL </w:t>
      </w:r>
      <w:r>
        <w:rPr>
          <w:rFonts w:cstheme="minorHAnsi"/>
        </w:rPr>
        <w:t>MEL</w:t>
      </w:r>
      <w:r w:rsidRPr="00DE47F8">
        <w:rPr>
          <w:rFonts w:cstheme="minorHAnsi"/>
        </w:rPr>
        <w:t xml:space="preserve"> system and participate in </w:t>
      </w:r>
      <w:r>
        <w:rPr>
          <w:rFonts w:cstheme="minorHAnsi"/>
        </w:rPr>
        <w:t>ARAW</w:t>
      </w:r>
      <w:r w:rsidRPr="00DE47F8">
        <w:rPr>
          <w:rFonts w:cstheme="minorHAnsi"/>
        </w:rPr>
        <w:t>. DFAT Canberra and Suva Posts also manage targeted grants to crisis centres in Fiji, Kiribati, and Tonga, and support initiatives like the We Rise Coalition.</w:t>
      </w:r>
    </w:p>
    <w:p w14:paraId="4A5C26C9" w14:textId="77777777" w:rsidR="00FD54F0" w:rsidRDefault="00FD54F0" w:rsidP="00FD54F0">
      <w:pPr>
        <w:pStyle w:val="Subheading"/>
        <w:rPr>
          <w:lang w:val="en-US"/>
        </w:rPr>
      </w:pPr>
      <w:r>
        <w:rPr>
          <w:lang w:val="en-US"/>
        </w:rPr>
        <w:t>Women’s Funds</w:t>
      </w:r>
    </w:p>
    <w:p w14:paraId="4C48BC12" w14:textId="68ECFABD" w:rsidR="00FD54F0" w:rsidRPr="003B2FD3" w:rsidRDefault="00FD54F0" w:rsidP="00FD54F0">
      <w:r w:rsidRPr="003B2FD3">
        <w:t>The Pacific Women Lead (PWL) program supports three independent Pacific Women's Funds—Women's Fund</w:t>
      </w:r>
      <w:r w:rsidR="00C860FD">
        <w:t xml:space="preserve"> F</w:t>
      </w:r>
      <w:r w:rsidRPr="003B2FD3">
        <w:t xml:space="preserve">iji, Urgent Action Fund Asia and the Pacific (UAF A&amp;P), and the newly established Pacific Feminist Fund—with a strategic allocation of AUD9.1 million in partnership with DFAT's Amplify </w:t>
      </w:r>
      <w:r w:rsidRPr="003B2FD3">
        <w:lastRenderedPageBreak/>
        <w:t>Invest Reach (AIR) program. These funds are critically designed to provide flexible, responsive financial and accompaniment support to women's rights organi</w:t>
      </w:r>
      <w:r>
        <w:t>s</w:t>
      </w:r>
      <w:r w:rsidRPr="003B2FD3">
        <w:t>ations and human rights defenders across the Pacific region, targeting grassroots initiatives that often fall outside traditional bureaucratic funding platforms.</w:t>
      </w:r>
      <w:r>
        <w:t xml:space="preserve"> </w:t>
      </w:r>
      <w:r w:rsidRPr="003B2FD3">
        <w:t>The funds' design explicitly prioriti</w:t>
      </w:r>
      <w:r>
        <w:t>s</w:t>
      </w:r>
      <w:r w:rsidRPr="003B2FD3">
        <w:t xml:space="preserve">es autonomy and equal partnership, with governance arrangements that protect their independence through strategic partnership agreements. </w:t>
      </w:r>
    </w:p>
    <w:p w14:paraId="1D63CA38" w14:textId="77777777" w:rsidR="00FD54F0" w:rsidRPr="003B2FD3" w:rsidRDefault="00FD54F0" w:rsidP="00FD54F0">
      <w:r w:rsidRPr="003B2FD3">
        <w:t>The Women's Funds represent a critical component of PWL, offering an innovative model of funding that centres local agency, supports feminist movements, and provides responsive financial resources to advance gender equality in the Pacific. By prioriti</w:t>
      </w:r>
      <w:r>
        <w:t>s</w:t>
      </w:r>
      <w:r w:rsidRPr="003B2FD3">
        <w:t>ing the autonomy of local organi</w:t>
      </w:r>
      <w:r>
        <w:t>s</w:t>
      </w:r>
      <w:r w:rsidRPr="003B2FD3">
        <w:t>ations and maintaining a flexible, trust-based approach, these funds play a pivotal role in enabling Pacific women's leadership and delivering broad-reaching support across the region.</w:t>
      </w:r>
    </w:p>
    <w:p w14:paraId="18518B5B" w14:textId="77777777" w:rsidR="00FD54F0" w:rsidRPr="00B63BE3" w:rsidRDefault="00FD54F0" w:rsidP="00FD54F0">
      <w:pPr>
        <w:pStyle w:val="Subheading"/>
        <w:rPr>
          <w:lang w:val="en-US"/>
        </w:rPr>
      </w:pPr>
      <w:r>
        <w:rPr>
          <w:lang w:val="en-US"/>
        </w:rPr>
        <w:t>PWL Governance Board</w:t>
      </w:r>
    </w:p>
    <w:p w14:paraId="0B5BE0B4" w14:textId="77777777" w:rsidR="00FD54F0" w:rsidRPr="003B2FD3" w:rsidRDefault="00FD54F0" w:rsidP="00FD54F0">
      <w:r w:rsidRPr="003B2FD3">
        <w:t>The PWL Governance Board is a strategic body designed to enhance Pacific ownership of th</w:t>
      </w:r>
      <w:r>
        <w:t>e program</w:t>
      </w:r>
      <w:r w:rsidRPr="003B2FD3">
        <w:t>, comprising 11 highly credentialed Pacific practitioners and experts representing diverse sub-regions, countries, and communities, including perspectives from disability, LGBTQI</w:t>
      </w:r>
      <w:r>
        <w:t>A+</w:t>
      </w:r>
      <w:r w:rsidRPr="003B2FD3">
        <w:t>, youth, and North Pacific contexts. With direct oversight of AUD5 million in discretionary funding, the Board is intended to provide strategic guidance to DFAT on mainstreaming gender equality through Australia's bilateral programs in the Pacific, with members selected to work collectively in supporting the goals and outcomes of Pacific Women Lead.</w:t>
      </w:r>
    </w:p>
    <w:p w14:paraId="5EC8072C" w14:textId="77777777" w:rsidR="00FD54F0" w:rsidRPr="003B2FD3" w:rsidRDefault="00FD54F0" w:rsidP="00FD54F0">
      <w:r w:rsidRPr="003B2FD3">
        <w:t>Marking a significant shift from its predecessor</w:t>
      </w:r>
      <w:r>
        <w:t xml:space="preserve"> PWSPD</w:t>
      </w:r>
      <w:r w:rsidRPr="003B2FD3">
        <w:t xml:space="preserve">, the Board represents a deliberate approach to </w:t>
      </w:r>
      <w:proofErr w:type="spellStart"/>
      <w:r w:rsidRPr="003B2FD3">
        <w:t>centering</w:t>
      </w:r>
      <w:proofErr w:type="spellEnd"/>
      <w:r w:rsidRPr="003B2FD3">
        <w:t xml:space="preserve"> Pacific leadership. Its members are chosen to hold positions based on their individual expertise, working not as representatives of specific organi</w:t>
      </w:r>
      <w:r>
        <w:t>s</w:t>
      </w:r>
      <w:r w:rsidRPr="003B2FD3">
        <w:t>ations, but as collective advocates for the program's objectives. The Board receives secretariat support from SPC and includes three ex-officio members from SPC, DFAT, and the Pacific Islands Forum, further strengthening its regional collaborative approach and commitment to Pacific-led governance.</w:t>
      </w:r>
    </w:p>
    <w:p w14:paraId="3AC7FC26" w14:textId="77777777" w:rsidR="00FD54F0" w:rsidRDefault="00FD54F0" w:rsidP="00FD54F0">
      <w:pPr>
        <w:pStyle w:val="Subheading"/>
        <w:rPr>
          <w:lang w:val="en-US"/>
        </w:rPr>
      </w:pPr>
      <w:r>
        <w:rPr>
          <w:lang w:val="en-US"/>
        </w:rPr>
        <w:t>PWLES</w:t>
      </w:r>
    </w:p>
    <w:p w14:paraId="25211D7D" w14:textId="577B5BDC" w:rsidR="00FD54F0" w:rsidRPr="00E57B82" w:rsidRDefault="00451A86" w:rsidP="00FD54F0">
      <w:r>
        <w:t>PWLES</w:t>
      </w:r>
      <w:r w:rsidR="00FD54F0" w:rsidRPr="00E57B82">
        <w:t xml:space="preserve">, managed by DT Global Asia Pacific with a budget of AUD32 million, provides critical support across the PWL program through comprehensive enabling services. These include whole-of-portfolio </w:t>
      </w:r>
      <w:r>
        <w:t>MEL</w:t>
      </w:r>
      <w:r w:rsidR="00FD54F0" w:rsidRPr="00E57B82">
        <w:t xml:space="preserve">, program management, communications, support to DFAT Posts, partnership brokering, and technical advisory support via an independent </w:t>
      </w:r>
      <w:r>
        <w:t>QTAG</w:t>
      </w:r>
      <w:r w:rsidR="00FD54F0" w:rsidRPr="00E57B82">
        <w:t>, while also directly managing the Balance of Power program and the We Rise Coalition until March 2025.</w:t>
      </w:r>
    </w:p>
    <w:p w14:paraId="02751C88" w14:textId="2B388F23" w:rsidR="00FD54F0" w:rsidRPr="00E57B82" w:rsidRDefault="00FD54F0" w:rsidP="00FD54F0">
      <w:r w:rsidRPr="00E57B82">
        <w:t>What distinguishes PWLES is its intentional effort to create meaningful Pacific-led partnerships, characteri</w:t>
      </w:r>
      <w:r w:rsidR="00451A86">
        <w:t>s</w:t>
      </w:r>
      <w:r w:rsidRPr="00E57B82">
        <w:t>ed by a nuanced approach that prioriti</w:t>
      </w:r>
      <w:r w:rsidR="00451A86">
        <w:t>s</w:t>
      </w:r>
      <w:r w:rsidRPr="00E57B82">
        <w:t>es local voices and relationships. The program has been widely recognized for moving beyond traditional development approaches, with a team leadership that includes a highly respected Pacifica Team leader and a strong pairing of Pacific and non-Pacific MEL professionals. By prioriti</w:t>
      </w:r>
      <w:r>
        <w:t>s</w:t>
      </w:r>
      <w:r w:rsidRPr="00E57B82">
        <w:t>ing collaborative work, nurturing regional relationships, and amplifying Pacific priorities, PWLES has developed high levels of effectiveness and trust across partners, emerging as a promising model that challenges conventional power dynamics in international development work.</w:t>
      </w:r>
    </w:p>
    <w:sectPr w:rsidR="00FD54F0" w:rsidRPr="00E57B82" w:rsidSect="00852CE1">
      <w:pgSz w:w="11906" w:h="16838"/>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A1268" w14:textId="77777777" w:rsidR="004A1425" w:rsidRPr="00EE243C" w:rsidRDefault="004A1425" w:rsidP="005C306E">
      <w:pPr>
        <w:spacing w:after="0" w:line="240" w:lineRule="auto"/>
      </w:pPr>
      <w:r w:rsidRPr="00EE243C">
        <w:separator/>
      </w:r>
    </w:p>
  </w:endnote>
  <w:endnote w:type="continuationSeparator" w:id="0">
    <w:p w14:paraId="7C8B3131" w14:textId="77777777" w:rsidR="004A1425" w:rsidRPr="00EE243C" w:rsidRDefault="004A1425" w:rsidP="005C306E">
      <w:pPr>
        <w:spacing w:after="0" w:line="240" w:lineRule="auto"/>
      </w:pPr>
      <w:r w:rsidRPr="00EE243C">
        <w:continuationSeparator/>
      </w:r>
    </w:p>
  </w:endnote>
  <w:endnote w:type="continuationNotice" w:id="1">
    <w:p w14:paraId="115C3019" w14:textId="77777777" w:rsidR="004A1425" w:rsidRPr="00EE243C" w:rsidRDefault="004A14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3220" w14:textId="491AEE88" w:rsidR="0096564D" w:rsidRPr="00EE243C" w:rsidRDefault="0096564D" w:rsidP="0021733F">
    <w:pPr>
      <w:pStyle w:val="Footer"/>
    </w:pPr>
    <w:r w:rsidRPr="00EE243C">
      <w:ptab w:relativeTo="margin" w:alignment="right" w:leader="none"/>
    </w:r>
    <w:r w:rsidRPr="00EE243C">
      <w:fldChar w:fldCharType="begin"/>
    </w:r>
    <w:r w:rsidRPr="00EE243C">
      <w:instrText xml:space="preserve"> PAGE  \* Arabic  \* MERGEFORMAT </w:instrText>
    </w:r>
    <w:r w:rsidRPr="00EE243C">
      <w:fldChar w:fldCharType="separate"/>
    </w:r>
    <w:r w:rsidRPr="00EE243C">
      <w:t>2</w:t>
    </w:r>
    <w:r w:rsidRPr="00EE243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51AAB" w14:textId="77777777" w:rsidR="004A1425" w:rsidRPr="00EE243C" w:rsidRDefault="004A1425" w:rsidP="005C306E">
      <w:pPr>
        <w:spacing w:after="0" w:line="240" w:lineRule="auto"/>
      </w:pPr>
      <w:r w:rsidRPr="00EE243C">
        <w:separator/>
      </w:r>
    </w:p>
  </w:footnote>
  <w:footnote w:type="continuationSeparator" w:id="0">
    <w:p w14:paraId="710FD6FA" w14:textId="77777777" w:rsidR="004A1425" w:rsidRPr="00EE243C" w:rsidRDefault="004A1425" w:rsidP="005C306E">
      <w:pPr>
        <w:spacing w:after="0" w:line="240" w:lineRule="auto"/>
      </w:pPr>
      <w:r w:rsidRPr="00EE243C">
        <w:continuationSeparator/>
      </w:r>
    </w:p>
  </w:footnote>
  <w:footnote w:type="continuationNotice" w:id="1">
    <w:p w14:paraId="1807551F" w14:textId="77777777" w:rsidR="004A1425" w:rsidRPr="00EE243C" w:rsidRDefault="004A142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03E5E6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2622447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393788"/>
    <w:multiLevelType w:val="hybridMultilevel"/>
    <w:tmpl w:val="707CBC0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4B6D33"/>
    <w:multiLevelType w:val="hybridMultilevel"/>
    <w:tmpl w:val="2D544EF2"/>
    <w:lvl w:ilvl="0" w:tplc="2D22F462">
      <w:start w:val="1"/>
      <w:numFmt w:val="bullet"/>
      <w:lvlText w:val=""/>
      <w:lvlJc w:val="left"/>
      <w:pPr>
        <w:tabs>
          <w:tab w:val="num" w:pos="720"/>
        </w:tabs>
        <w:ind w:left="720" w:hanging="360"/>
      </w:pPr>
      <w:rPr>
        <w:rFonts w:ascii="Symbol" w:hAnsi="Symbol" w:hint="default"/>
      </w:rPr>
    </w:lvl>
    <w:lvl w:ilvl="1" w:tplc="F2BA55EE" w:tentative="1">
      <w:start w:val="1"/>
      <w:numFmt w:val="bullet"/>
      <w:lvlText w:val=""/>
      <w:lvlJc w:val="left"/>
      <w:pPr>
        <w:tabs>
          <w:tab w:val="num" w:pos="1440"/>
        </w:tabs>
        <w:ind w:left="1440" w:hanging="360"/>
      </w:pPr>
      <w:rPr>
        <w:rFonts w:ascii="Symbol" w:hAnsi="Symbol" w:hint="default"/>
      </w:rPr>
    </w:lvl>
    <w:lvl w:ilvl="2" w:tplc="E7542E78" w:tentative="1">
      <w:start w:val="1"/>
      <w:numFmt w:val="bullet"/>
      <w:lvlText w:val=""/>
      <w:lvlJc w:val="left"/>
      <w:pPr>
        <w:tabs>
          <w:tab w:val="num" w:pos="2160"/>
        </w:tabs>
        <w:ind w:left="2160" w:hanging="360"/>
      </w:pPr>
      <w:rPr>
        <w:rFonts w:ascii="Symbol" w:hAnsi="Symbol" w:hint="default"/>
      </w:rPr>
    </w:lvl>
    <w:lvl w:ilvl="3" w:tplc="0C5A4FC6" w:tentative="1">
      <w:start w:val="1"/>
      <w:numFmt w:val="bullet"/>
      <w:lvlText w:val=""/>
      <w:lvlJc w:val="left"/>
      <w:pPr>
        <w:tabs>
          <w:tab w:val="num" w:pos="2880"/>
        </w:tabs>
        <w:ind w:left="2880" w:hanging="360"/>
      </w:pPr>
      <w:rPr>
        <w:rFonts w:ascii="Symbol" w:hAnsi="Symbol" w:hint="default"/>
      </w:rPr>
    </w:lvl>
    <w:lvl w:ilvl="4" w:tplc="F74E0EB0" w:tentative="1">
      <w:start w:val="1"/>
      <w:numFmt w:val="bullet"/>
      <w:lvlText w:val=""/>
      <w:lvlJc w:val="left"/>
      <w:pPr>
        <w:tabs>
          <w:tab w:val="num" w:pos="3600"/>
        </w:tabs>
        <w:ind w:left="3600" w:hanging="360"/>
      </w:pPr>
      <w:rPr>
        <w:rFonts w:ascii="Symbol" w:hAnsi="Symbol" w:hint="default"/>
      </w:rPr>
    </w:lvl>
    <w:lvl w:ilvl="5" w:tplc="B47C7A46" w:tentative="1">
      <w:start w:val="1"/>
      <w:numFmt w:val="bullet"/>
      <w:lvlText w:val=""/>
      <w:lvlJc w:val="left"/>
      <w:pPr>
        <w:tabs>
          <w:tab w:val="num" w:pos="4320"/>
        </w:tabs>
        <w:ind w:left="4320" w:hanging="360"/>
      </w:pPr>
      <w:rPr>
        <w:rFonts w:ascii="Symbol" w:hAnsi="Symbol" w:hint="default"/>
      </w:rPr>
    </w:lvl>
    <w:lvl w:ilvl="6" w:tplc="5B986312" w:tentative="1">
      <w:start w:val="1"/>
      <w:numFmt w:val="bullet"/>
      <w:lvlText w:val=""/>
      <w:lvlJc w:val="left"/>
      <w:pPr>
        <w:tabs>
          <w:tab w:val="num" w:pos="5040"/>
        </w:tabs>
        <w:ind w:left="5040" w:hanging="360"/>
      </w:pPr>
      <w:rPr>
        <w:rFonts w:ascii="Symbol" w:hAnsi="Symbol" w:hint="default"/>
      </w:rPr>
    </w:lvl>
    <w:lvl w:ilvl="7" w:tplc="209C8930" w:tentative="1">
      <w:start w:val="1"/>
      <w:numFmt w:val="bullet"/>
      <w:lvlText w:val=""/>
      <w:lvlJc w:val="left"/>
      <w:pPr>
        <w:tabs>
          <w:tab w:val="num" w:pos="5760"/>
        </w:tabs>
        <w:ind w:left="5760" w:hanging="360"/>
      </w:pPr>
      <w:rPr>
        <w:rFonts w:ascii="Symbol" w:hAnsi="Symbol" w:hint="default"/>
      </w:rPr>
    </w:lvl>
    <w:lvl w:ilvl="8" w:tplc="70304C9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BE03FAE"/>
    <w:multiLevelType w:val="multilevel"/>
    <w:tmpl w:val="5D2609BC"/>
    <w:styleLink w:val="111111"/>
    <w:lvl w:ilvl="0">
      <w:start w:val="1"/>
      <w:numFmt w:val="decimal"/>
      <w:pStyle w:val="Heading1"/>
      <w:suff w:val="space"/>
      <w:lvlText w:val="%1."/>
      <w:lvlJc w:val="left"/>
      <w:pPr>
        <w:ind w:left="0" w:firstLine="0"/>
      </w:pPr>
      <w:rPr>
        <w:rFonts w:hint="default"/>
        <w:b w:val="0"/>
        <w:i w:val="0"/>
      </w:rPr>
    </w:lvl>
    <w:lvl w:ilvl="1">
      <w:start w:val="1"/>
      <w:numFmt w:val="decimal"/>
      <w:pStyle w:val="Heading2"/>
      <w:suff w:val="space"/>
      <w:lvlText w:val="%1.%2."/>
      <w:lvlJc w:val="left"/>
      <w:pPr>
        <w:ind w:left="0" w:firstLine="0"/>
      </w:pPr>
      <w:rPr>
        <w:rFonts w:hint="default"/>
        <w:b w:val="0"/>
        <w:i w:val="0"/>
      </w:rPr>
    </w:lvl>
    <w:lvl w:ilvl="2">
      <w:start w:val="1"/>
      <w:numFmt w:val="decimal"/>
      <w:pStyle w:val="Heading3"/>
      <w:suff w:val="space"/>
      <w:lvlText w:val="%1.%2.%3."/>
      <w:lvlJc w:val="left"/>
      <w:pPr>
        <w:ind w:left="0" w:firstLine="0"/>
      </w:pPr>
      <w:rPr>
        <w:rFonts w:hint="default"/>
        <w:b w:val="0"/>
        <w:i w:val="0"/>
      </w:rPr>
    </w:lvl>
    <w:lvl w:ilvl="3">
      <w:start w:val="1"/>
      <w:numFmt w:val="decimal"/>
      <w:pStyle w:val="Heading4"/>
      <w:suff w:val="space"/>
      <w:lvlText w:val="%1.%2.%3.%4."/>
      <w:lvlJc w:val="left"/>
      <w:pPr>
        <w:ind w:left="0" w:firstLine="0"/>
      </w:pPr>
      <w:rPr>
        <w:rFonts w:hint="default"/>
        <w:b w:val="0"/>
        <w:i/>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i w:val="0"/>
      </w:rPr>
    </w:lvl>
    <w:lvl w:ilvl="6">
      <w:start w:val="1"/>
      <w:numFmt w:val="none"/>
      <w:suff w:val="nothing"/>
      <w:lvlText w:val=""/>
      <w:lvlJc w:val="left"/>
      <w:pPr>
        <w:ind w:left="0" w:firstLine="0"/>
      </w:pPr>
      <w:rPr>
        <w:rFonts w:hint="default"/>
        <w:b/>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5B43F55"/>
    <w:multiLevelType w:val="hybridMultilevel"/>
    <w:tmpl w:val="DBD65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40A1E"/>
    <w:multiLevelType w:val="multilevel"/>
    <w:tmpl w:val="700860BA"/>
    <w:lvl w:ilvl="0">
      <w:start w:val="1"/>
      <w:numFmt w:val="upperLetter"/>
      <w:pStyle w:val="Heading8"/>
      <w:suff w:val="nothing"/>
      <w:lvlText w:val="Appendix %1"/>
      <w:lvlJc w:val="left"/>
      <w:pPr>
        <w:ind w:left="0" w:firstLine="0"/>
      </w:pPr>
      <w:rPr>
        <w:rFonts w:hint="default"/>
        <w:b w:val="0"/>
        <w:i w:val="0"/>
      </w:rPr>
    </w:lvl>
    <w:lvl w:ilvl="1">
      <w:start w:val="1"/>
      <w:numFmt w:val="decimal"/>
      <w:pStyle w:val="Heading9"/>
      <w:suff w:val="space"/>
      <w:lvlText w:val="%1.%2"/>
      <w:lvlJc w:val="left"/>
      <w:pPr>
        <w:ind w:left="0" w:firstLine="0"/>
      </w:pPr>
      <w:rPr>
        <w:rFonts w:hint="default"/>
        <w:b w:val="0"/>
        <w:i w: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235078C4"/>
    <w:multiLevelType w:val="hybridMultilevel"/>
    <w:tmpl w:val="9F1ED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558568B"/>
    <w:multiLevelType w:val="multilevel"/>
    <w:tmpl w:val="471EBF86"/>
    <w:styleLink w:val="1ai"/>
    <w:lvl w:ilvl="0">
      <w:start w:val="1"/>
      <w:numFmt w:val="decimal"/>
      <w:pStyle w:val="ListNumber"/>
      <w:lvlText w:val="%1."/>
      <w:lvlJc w:val="left"/>
      <w:pPr>
        <w:ind w:left="360" w:hanging="360"/>
      </w:pPr>
      <w:rPr>
        <w:rFonts w:hint="default"/>
        <w:b w:val="0"/>
        <w:i w:val="0"/>
        <w:color w:val="CC6600" w:themeColor="accent1"/>
      </w:rPr>
    </w:lvl>
    <w:lvl w:ilvl="1">
      <w:start w:val="1"/>
      <w:numFmt w:val="lowerLetter"/>
      <w:pStyle w:val="ListNumber2"/>
      <w:lvlText w:val="%2."/>
      <w:lvlJc w:val="left"/>
      <w:pPr>
        <w:ind w:left="720" w:hanging="360"/>
      </w:pPr>
      <w:rPr>
        <w:rFonts w:hint="default"/>
        <w:b w:val="0"/>
        <w:i w:val="0"/>
        <w:color w:val="0D8577" w:themeColor="accent5"/>
      </w:rPr>
    </w:lvl>
    <w:lvl w:ilvl="2">
      <w:start w:val="1"/>
      <w:numFmt w:val="none"/>
      <w:suff w:val="nothing"/>
      <w:lvlText w:val=""/>
      <w:lvlJc w:val="left"/>
      <w:pPr>
        <w:ind w:left="0" w:firstLine="0"/>
      </w:pPr>
      <w:rPr>
        <w:rFonts w:hint="default"/>
        <w:b w:val="0"/>
        <w:i w:val="0"/>
      </w:rPr>
    </w:lvl>
    <w:lvl w:ilvl="3">
      <w:start w:val="1"/>
      <w:numFmt w:val="none"/>
      <w:suff w:val="nothing"/>
      <w:lvlText w:val=""/>
      <w:lvlJc w:val="left"/>
      <w:pPr>
        <w:ind w:left="0" w:firstLine="0"/>
      </w:pPr>
      <w:rPr>
        <w:rFonts w:hint="default"/>
        <w:b w:val="0"/>
        <w:i w:val="0"/>
      </w:rPr>
    </w:lvl>
    <w:lvl w:ilvl="4">
      <w:start w:val="1"/>
      <w:numFmt w:val="none"/>
      <w:suff w:val="nothing"/>
      <w:lvlText w:val=""/>
      <w:lvlJc w:val="left"/>
      <w:pPr>
        <w:ind w:left="0" w:firstLine="0"/>
      </w:pPr>
      <w:rPr>
        <w:rFonts w:hint="default"/>
        <w:b w:val="0"/>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C28377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CBC6805"/>
    <w:multiLevelType w:val="multilevel"/>
    <w:tmpl w:val="40D69DFE"/>
    <w:lvl w:ilvl="0">
      <w:start w:val="1"/>
      <w:numFmt w:val="decimal"/>
      <w:lvlText w:val="%1."/>
      <w:lvlJc w:val="left"/>
      <w:pPr>
        <w:ind w:left="360" w:hanging="360"/>
      </w:pPr>
      <w:rPr>
        <w:rFonts w:hint="default"/>
        <w:b w:val="0"/>
        <w:i w:val="0"/>
        <w:color w:val="CC6600" w:themeColor="accent1"/>
      </w:rPr>
    </w:lvl>
    <w:lvl w:ilvl="1">
      <w:start w:val="1"/>
      <w:numFmt w:val="bullet"/>
      <w:lvlText w:val=""/>
      <w:lvlJc w:val="left"/>
      <w:pPr>
        <w:ind w:left="720" w:hanging="360"/>
      </w:pPr>
      <w:rPr>
        <w:rFonts w:ascii="Symbol" w:hAnsi="Symbol" w:hint="default"/>
      </w:rPr>
    </w:lvl>
    <w:lvl w:ilvl="2">
      <w:start w:val="1"/>
      <w:numFmt w:val="none"/>
      <w:suff w:val="nothing"/>
      <w:lvlText w:val=""/>
      <w:lvlJc w:val="left"/>
      <w:pPr>
        <w:ind w:left="0" w:firstLine="0"/>
      </w:pPr>
      <w:rPr>
        <w:rFonts w:hint="default"/>
        <w:b w:val="0"/>
        <w:i w:val="0"/>
      </w:rPr>
    </w:lvl>
    <w:lvl w:ilvl="3">
      <w:start w:val="1"/>
      <w:numFmt w:val="none"/>
      <w:suff w:val="nothing"/>
      <w:lvlText w:val=""/>
      <w:lvlJc w:val="left"/>
      <w:pPr>
        <w:ind w:left="0" w:firstLine="0"/>
      </w:pPr>
      <w:rPr>
        <w:rFonts w:hint="default"/>
        <w:b w:val="0"/>
        <w:i w:val="0"/>
      </w:rPr>
    </w:lvl>
    <w:lvl w:ilvl="4">
      <w:start w:val="1"/>
      <w:numFmt w:val="none"/>
      <w:suff w:val="nothing"/>
      <w:lvlText w:val=""/>
      <w:lvlJc w:val="left"/>
      <w:pPr>
        <w:ind w:left="0" w:firstLine="0"/>
      </w:pPr>
      <w:rPr>
        <w:rFonts w:hint="default"/>
        <w:b w:val="0"/>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320B7A9E"/>
    <w:multiLevelType w:val="hybridMultilevel"/>
    <w:tmpl w:val="936E4C62"/>
    <w:lvl w:ilvl="0" w:tplc="AB2C42C0">
      <w:start w:val="1"/>
      <w:numFmt w:val="bullet"/>
      <w:lvlText w:val=""/>
      <w:lvlJc w:val="left"/>
      <w:pPr>
        <w:tabs>
          <w:tab w:val="num" w:pos="720"/>
        </w:tabs>
        <w:ind w:left="720" w:hanging="360"/>
      </w:pPr>
      <w:rPr>
        <w:rFonts w:ascii="Symbol" w:hAnsi="Symbol" w:hint="default"/>
      </w:rPr>
    </w:lvl>
    <w:lvl w:ilvl="1" w:tplc="5406FCC6" w:tentative="1">
      <w:start w:val="1"/>
      <w:numFmt w:val="bullet"/>
      <w:lvlText w:val=""/>
      <w:lvlJc w:val="left"/>
      <w:pPr>
        <w:tabs>
          <w:tab w:val="num" w:pos="1440"/>
        </w:tabs>
        <w:ind w:left="1440" w:hanging="360"/>
      </w:pPr>
      <w:rPr>
        <w:rFonts w:ascii="Symbol" w:hAnsi="Symbol" w:hint="default"/>
      </w:rPr>
    </w:lvl>
    <w:lvl w:ilvl="2" w:tplc="CEA8A30C" w:tentative="1">
      <w:start w:val="1"/>
      <w:numFmt w:val="bullet"/>
      <w:lvlText w:val=""/>
      <w:lvlJc w:val="left"/>
      <w:pPr>
        <w:tabs>
          <w:tab w:val="num" w:pos="2160"/>
        </w:tabs>
        <w:ind w:left="2160" w:hanging="360"/>
      </w:pPr>
      <w:rPr>
        <w:rFonts w:ascii="Symbol" w:hAnsi="Symbol" w:hint="default"/>
      </w:rPr>
    </w:lvl>
    <w:lvl w:ilvl="3" w:tplc="72AC8D80" w:tentative="1">
      <w:start w:val="1"/>
      <w:numFmt w:val="bullet"/>
      <w:lvlText w:val=""/>
      <w:lvlJc w:val="left"/>
      <w:pPr>
        <w:tabs>
          <w:tab w:val="num" w:pos="2880"/>
        </w:tabs>
        <w:ind w:left="2880" w:hanging="360"/>
      </w:pPr>
      <w:rPr>
        <w:rFonts w:ascii="Symbol" w:hAnsi="Symbol" w:hint="default"/>
      </w:rPr>
    </w:lvl>
    <w:lvl w:ilvl="4" w:tplc="08E8F6CE" w:tentative="1">
      <w:start w:val="1"/>
      <w:numFmt w:val="bullet"/>
      <w:lvlText w:val=""/>
      <w:lvlJc w:val="left"/>
      <w:pPr>
        <w:tabs>
          <w:tab w:val="num" w:pos="3600"/>
        </w:tabs>
        <w:ind w:left="3600" w:hanging="360"/>
      </w:pPr>
      <w:rPr>
        <w:rFonts w:ascii="Symbol" w:hAnsi="Symbol" w:hint="default"/>
      </w:rPr>
    </w:lvl>
    <w:lvl w:ilvl="5" w:tplc="E4AE8138" w:tentative="1">
      <w:start w:val="1"/>
      <w:numFmt w:val="bullet"/>
      <w:lvlText w:val=""/>
      <w:lvlJc w:val="left"/>
      <w:pPr>
        <w:tabs>
          <w:tab w:val="num" w:pos="4320"/>
        </w:tabs>
        <w:ind w:left="4320" w:hanging="360"/>
      </w:pPr>
      <w:rPr>
        <w:rFonts w:ascii="Symbol" w:hAnsi="Symbol" w:hint="default"/>
      </w:rPr>
    </w:lvl>
    <w:lvl w:ilvl="6" w:tplc="D56E5D88" w:tentative="1">
      <w:start w:val="1"/>
      <w:numFmt w:val="bullet"/>
      <w:lvlText w:val=""/>
      <w:lvlJc w:val="left"/>
      <w:pPr>
        <w:tabs>
          <w:tab w:val="num" w:pos="5040"/>
        </w:tabs>
        <w:ind w:left="5040" w:hanging="360"/>
      </w:pPr>
      <w:rPr>
        <w:rFonts w:ascii="Symbol" w:hAnsi="Symbol" w:hint="default"/>
      </w:rPr>
    </w:lvl>
    <w:lvl w:ilvl="7" w:tplc="BDA26F42" w:tentative="1">
      <w:start w:val="1"/>
      <w:numFmt w:val="bullet"/>
      <w:lvlText w:val=""/>
      <w:lvlJc w:val="left"/>
      <w:pPr>
        <w:tabs>
          <w:tab w:val="num" w:pos="5760"/>
        </w:tabs>
        <w:ind w:left="5760" w:hanging="360"/>
      </w:pPr>
      <w:rPr>
        <w:rFonts w:ascii="Symbol" w:hAnsi="Symbol" w:hint="default"/>
      </w:rPr>
    </w:lvl>
    <w:lvl w:ilvl="8" w:tplc="AE40770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CA41282"/>
    <w:multiLevelType w:val="multilevel"/>
    <w:tmpl w:val="847E6948"/>
    <w:lvl w:ilvl="0">
      <w:start w:val="1"/>
      <w:numFmt w:val="bullet"/>
      <w:pStyle w:val="ListBullet"/>
      <w:lvlText w:val=""/>
      <w:lvlJc w:val="left"/>
      <w:pPr>
        <w:tabs>
          <w:tab w:val="num" w:pos="360"/>
        </w:tabs>
        <w:ind w:left="360" w:hanging="360"/>
      </w:pPr>
      <w:rPr>
        <w:rFonts w:ascii="Symbol" w:hAnsi="Symbol" w:hint="default"/>
        <w:color w:val="222222" w:themeColor="text1"/>
      </w:rPr>
    </w:lvl>
    <w:lvl w:ilvl="1">
      <w:start w:val="1"/>
      <w:numFmt w:val="bullet"/>
      <w:pStyle w:val="ListBullet2"/>
      <w:lvlText w:val=""/>
      <w:lvlJc w:val="left"/>
      <w:pPr>
        <w:ind w:left="720" w:hanging="363"/>
      </w:pPr>
      <w:rPr>
        <w:rFonts w:ascii="Symbol" w:hAnsi="Symbol" w:hint="default"/>
        <w:color w:val="0D8577" w:themeColor="accent5"/>
      </w:rPr>
    </w:lvl>
    <w:lvl w:ilvl="2">
      <w:start w:val="1"/>
      <w:numFmt w:val="bullet"/>
      <w:pStyle w:val="ListBullet3"/>
      <w:lvlText w:val=""/>
      <w:lvlJc w:val="left"/>
      <w:pPr>
        <w:tabs>
          <w:tab w:val="num" w:pos="227"/>
        </w:tabs>
        <w:ind w:left="227" w:hanging="227"/>
      </w:pPr>
      <w:rPr>
        <w:rFonts w:ascii="Symbol" w:hAnsi="Symbol" w:hint="default"/>
        <w:color w:val="222222"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468473A3"/>
    <w:multiLevelType w:val="multilevel"/>
    <w:tmpl w:val="700860BA"/>
    <w:styleLink w:val="AppendixList"/>
    <w:lvl w:ilvl="0">
      <w:start w:val="1"/>
      <w:numFmt w:val="upperLetter"/>
      <w:suff w:val="nothing"/>
      <w:lvlText w:val="Appendix %1"/>
      <w:lvlJc w:val="left"/>
      <w:pPr>
        <w:ind w:left="0" w:firstLine="0"/>
      </w:pPr>
      <w:rPr>
        <w:rFonts w:hint="default"/>
        <w:b w:val="0"/>
        <w:i w:val="0"/>
      </w:rPr>
    </w:lvl>
    <w:lvl w:ilvl="1">
      <w:start w:val="1"/>
      <w:numFmt w:val="decimal"/>
      <w:suff w:val="space"/>
      <w:lvlText w:val="%1.%2"/>
      <w:lvlJc w:val="left"/>
      <w:pPr>
        <w:ind w:left="0" w:firstLine="0"/>
      </w:pPr>
      <w:rPr>
        <w:rFonts w:hint="default"/>
        <w:b w:val="0"/>
        <w:i w: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548E0A59"/>
    <w:multiLevelType w:val="hybridMultilevel"/>
    <w:tmpl w:val="6354295C"/>
    <w:lvl w:ilvl="0" w:tplc="1708FAD2">
      <w:start w:val="1"/>
      <w:numFmt w:val="bullet"/>
      <w:lvlText w:val=""/>
      <w:lvlJc w:val="left"/>
      <w:pPr>
        <w:ind w:left="1440" w:hanging="360"/>
      </w:pPr>
      <w:rPr>
        <w:rFonts w:ascii="Symbol" w:hAnsi="Symbol"/>
      </w:rPr>
    </w:lvl>
    <w:lvl w:ilvl="1" w:tplc="0C0452F8">
      <w:start w:val="1"/>
      <w:numFmt w:val="bullet"/>
      <w:lvlText w:val=""/>
      <w:lvlJc w:val="left"/>
      <w:pPr>
        <w:ind w:left="1440" w:hanging="360"/>
      </w:pPr>
      <w:rPr>
        <w:rFonts w:ascii="Symbol" w:hAnsi="Symbol"/>
      </w:rPr>
    </w:lvl>
    <w:lvl w:ilvl="2" w:tplc="4FA6E616">
      <w:start w:val="1"/>
      <w:numFmt w:val="bullet"/>
      <w:lvlText w:val=""/>
      <w:lvlJc w:val="left"/>
      <w:pPr>
        <w:ind w:left="1440" w:hanging="360"/>
      </w:pPr>
      <w:rPr>
        <w:rFonts w:ascii="Symbol" w:hAnsi="Symbol"/>
      </w:rPr>
    </w:lvl>
    <w:lvl w:ilvl="3" w:tplc="7D1C206A">
      <w:start w:val="1"/>
      <w:numFmt w:val="bullet"/>
      <w:lvlText w:val=""/>
      <w:lvlJc w:val="left"/>
      <w:pPr>
        <w:ind w:left="1440" w:hanging="360"/>
      </w:pPr>
      <w:rPr>
        <w:rFonts w:ascii="Symbol" w:hAnsi="Symbol"/>
      </w:rPr>
    </w:lvl>
    <w:lvl w:ilvl="4" w:tplc="FF2499BE">
      <w:start w:val="1"/>
      <w:numFmt w:val="bullet"/>
      <w:lvlText w:val=""/>
      <w:lvlJc w:val="left"/>
      <w:pPr>
        <w:ind w:left="1440" w:hanging="360"/>
      </w:pPr>
      <w:rPr>
        <w:rFonts w:ascii="Symbol" w:hAnsi="Symbol"/>
      </w:rPr>
    </w:lvl>
    <w:lvl w:ilvl="5" w:tplc="AEF0A04A">
      <w:start w:val="1"/>
      <w:numFmt w:val="bullet"/>
      <w:lvlText w:val=""/>
      <w:lvlJc w:val="left"/>
      <w:pPr>
        <w:ind w:left="1440" w:hanging="360"/>
      </w:pPr>
      <w:rPr>
        <w:rFonts w:ascii="Symbol" w:hAnsi="Symbol"/>
      </w:rPr>
    </w:lvl>
    <w:lvl w:ilvl="6" w:tplc="C7B4E404">
      <w:start w:val="1"/>
      <w:numFmt w:val="bullet"/>
      <w:lvlText w:val=""/>
      <w:lvlJc w:val="left"/>
      <w:pPr>
        <w:ind w:left="1440" w:hanging="360"/>
      </w:pPr>
      <w:rPr>
        <w:rFonts w:ascii="Symbol" w:hAnsi="Symbol"/>
      </w:rPr>
    </w:lvl>
    <w:lvl w:ilvl="7" w:tplc="1534AE74">
      <w:start w:val="1"/>
      <w:numFmt w:val="bullet"/>
      <w:lvlText w:val=""/>
      <w:lvlJc w:val="left"/>
      <w:pPr>
        <w:ind w:left="1440" w:hanging="360"/>
      </w:pPr>
      <w:rPr>
        <w:rFonts w:ascii="Symbol" w:hAnsi="Symbol"/>
      </w:rPr>
    </w:lvl>
    <w:lvl w:ilvl="8" w:tplc="438828F4">
      <w:start w:val="1"/>
      <w:numFmt w:val="bullet"/>
      <w:lvlText w:val=""/>
      <w:lvlJc w:val="left"/>
      <w:pPr>
        <w:ind w:left="1440" w:hanging="360"/>
      </w:pPr>
      <w:rPr>
        <w:rFonts w:ascii="Symbol" w:hAnsi="Symbol"/>
      </w:rPr>
    </w:lvl>
  </w:abstractNum>
  <w:abstractNum w:abstractNumId="15" w15:restartNumberingAfterBreak="0">
    <w:nsid w:val="5CA03BB8"/>
    <w:multiLevelType w:val="hybridMultilevel"/>
    <w:tmpl w:val="A0263D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3ED47EC"/>
    <w:multiLevelType w:val="multilevel"/>
    <w:tmpl w:val="8508201A"/>
    <w:styleLink w:val="BlockList"/>
    <w:lvl w:ilvl="0">
      <w:start w:val="1"/>
      <w:numFmt w:val="bullet"/>
      <w:pStyle w:val="Listblueblockbullet"/>
      <w:lvlText w:val=""/>
      <w:lvlJc w:val="left"/>
      <w:pPr>
        <w:ind w:left="357" w:hanging="357"/>
      </w:pPr>
      <w:rPr>
        <w:rFonts w:ascii="Symbol" w:hAnsi="Symbol" w:hint="default"/>
        <w:color w:val="CC6600" w:themeColor="accent1"/>
      </w:rPr>
    </w:lvl>
    <w:lvl w:ilvl="1">
      <w:start w:val="1"/>
      <w:numFmt w:val="bullet"/>
      <w:pStyle w:val="Listgreyblockbullet"/>
      <w:lvlText w:val=""/>
      <w:lvlJc w:val="left"/>
      <w:pPr>
        <w:ind w:left="357" w:hanging="357"/>
      </w:pPr>
      <w:rPr>
        <w:rFonts w:ascii="Symbol" w:hAnsi="Symbol" w:hint="default"/>
        <w:color w:val="CC6600" w:themeColor="accent1"/>
      </w:rPr>
    </w:lvl>
    <w:lvl w:ilvl="2">
      <w:start w:val="1"/>
      <w:numFmt w:val="bullet"/>
      <w:pStyle w:val="Listorangeblockbullet"/>
      <w:lvlText w:val=""/>
      <w:lvlJc w:val="left"/>
      <w:pPr>
        <w:ind w:left="357" w:hanging="357"/>
      </w:pPr>
      <w:rPr>
        <w:rFonts w:ascii="Symbol" w:hAnsi="Symbol" w:hint="default"/>
        <w:color w:val="CC6600" w:themeColor="accent1"/>
      </w:rPr>
    </w:lvl>
    <w:lvl w:ilvl="3">
      <w:start w:val="1"/>
      <w:numFmt w:val="bullet"/>
      <w:pStyle w:val="Listtealblockbullet"/>
      <w:lvlText w:val=""/>
      <w:lvlJc w:val="left"/>
      <w:pPr>
        <w:ind w:left="357" w:hanging="357"/>
      </w:pPr>
      <w:rPr>
        <w:rFonts w:ascii="Symbol" w:hAnsi="Symbol" w:hint="default"/>
        <w:color w:val="CC6600" w:themeColor="accent1"/>
      </w:rPr>
    </w:lvl>
    <w:lvl w:ilvl="4">
      <w:start w:val="1"/>
      <w:numFmt w:val="none"/>
      <w:suff w:val="nothing"/>
      <w:lvlText w:val=""/>
      <w:lvlJc w:val="left"/>
      <w:pPr>
        <w:ind w:left="-32767" w:firstLine="32767"/>
      </w:pPr>
      <w:rPr>
        <w:rFonts w:hint="default"/>
      </w:rPr>
    </w:lvl>
    <w:lvl w:ilvl="5">
      <w:start w:val="1"/>
      <w:numFmt w:val="none"/>
      <w:suff w:val="spac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32767" w:firstLine="32767"/>
      </w:pPr>
      <w:rPr>
        <w:rFonts w:hint="default"/>
      </w:rPr>
    </w:lvl>
  </w:abstractNum>
  <w:abstractNum w:abstractNumId="17" w15:restartNumberingAfterBreak="0">
    <w:nsid w:val="6A825B16"/>
    <w:multiLevelType w:val="multilevel"/>
    <w:tmpl w:val="F16C849A"/>
    <w:lvl w:ilvl="0">
      <w:start w:val="1"/>
      <w:numFmt w:val="decimal"/>
      <w:pStyle w:val="ListContinue"/>
      <w:lvlText w:val="%1."/>
      <w:lvlJc w:val="left"/>
      <w:pPr>
        <w:ind w:left="284" w:hanging="284"/>
      </w:pPr>
      <w:rPr>
        <w:rFonts w:hint="default"/>
        <w:b w:val="0"/>
        <w:i w:val="0"/>
      </w:rPr>
    </w:lvl>
    <w:lvl w:ilvl="1">
      <w:start w:val="1"/>
      <w:numFmt w:val="lowerLetter"/>
      <w:pStyle w:val="ListContinue2"/>
      <w:lvlText w:val="%2."/>
      <w:lvlJc w:val="left"/>
      <w:pPr>
        <w:ind w:left="568" w:hanging="284"/>
      </w:pPr>
      <w:rPr>
        <w:rFonts w:hint="default"/>
        <w:b w:val="0"/>
        <w:i w:val="0"/>
      </w:rPr>
    </w:lvl>
    <w:lvl w:ilvl="2">
      <w:start w:val="1"/>
      <w:numFmt w:val="lowerRoman"/>
      <w:pStyle w:val="ListContinue3"/>
      <w:lvlText w:val="%3."/>
      <w:lvlJc w:val="left"/>
      <w:pPr>
        <w:ind w:left="852" w:hanging="284"/>
      </w:pPr>
      <w:rPr>
        <w:rFonts w:hint="default"/>
        <w:b w:val="0"/>
        <w:i w:val="0"/>
      </w:rPr>
    </w:lvl>
    <w:lvl w:ilvl="3">
      <w:start w:val="1"/>
      <w:numFmt w:val="upperLetter"/>
      <w:pStyle w:val="ListContinue4"/>
      <w:lvlText w:val="%4."/>
      <w:lvlJc w:val="left"/>
      <w:pPr>
        <w:ind w:left="1136" w:hanging="284"/>
      </w:pPr>
      <w:rPr>
        <w:rFonts w:hint="default"/>
        <w:b w:val="0"/>
        <w:i w:val="0"/>
      </w:rPr>
    </w:lvl>
    <w:lvl w:ilvl="4">
      <w:start w:val="1"/>
      <w:numFmt w:val="decimal"/>
      <w:pStyle w:val="ListContinue5"/>
      <w:lvlText w:val="(%5)"/>
      <w:lvlJc w:val="left"/>
      <w:pPr>
        <w:ind w:left="1420" w:hanging="284"/>
      </w:pPr>
      <w:rPr>
        <w:rFonts w:hint="default"/>
        <w:b w:val="0"/>
        <w:i w:val="0"/>
      </w:rPr>
    </w:lvl>
    <w:lvl w:ilvl="5">
      <w:start w:val="1"/>
      <w:numFmt w:val="none"/>
      <w:suff w:val="nothing"/>
      <w:lvlText w:val=""/>
      <w:lvlJc w:val="left"/>
      <w:pPr>
        <w:ind w:left="0" w:firstLine="0"/>
      </w:pPr>
      <w:rPr>
        <w:rFonts w:hint="default"/>
        <w:b w:val="0"/>
        <w:i w:val="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6EB01D49"/>
    <w:multiLevelType w:val="hybridMultilevel"/>
    <w:tmpl w:val="7EECB6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C4A79AB"/>
    <w:multiLevelType w:val="hybridMultilevel"/>
    <w:tmpl w:val="BA140E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7F4A1BBD"/>
    <w:multiLevelType w:val="hybridMultilevel"/>
    <w:tmpl w:val="AB1AB5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9515673">
    <w:abstractNumId w:val="4"/>
    <w:lvlOverride w:ilvl="0">
      <w:lvl w:ilvl="0">
        <w:start w:val="1"/>
        <w:numFmt w:val="decimal"/>
        <w:pStyle w:val="Heading1"/>
        <w:suff w:val="space"/>
        <w:lvlText w:val="%1."/>
        <w:lvlJc w:val="left"/>
        <w:pPr>
          <w:ind w:left="0" w:firstLine="0"/>
        </w:pPr>
        <w:rPr>
          <w:rFonts w:hint="default"/>
          <w:b w:val="0"/>
          <w:i w:val="0"/>
          <w:color w:val="222222" w:themeColor="text1"/>
        </w:rPr>
      </w:lvl>
    </w:lvlOverride>
    <w:lvlOverride w:ilvl="1">
      <w:lvl w:ilvl="1">
        <w:start w:val="1"/>
        <w:numFmt w:val="decimal"/>
        <w:pStyle w:val="Heading2"/>
        <w:suff w:val="space"/>
        <w:lvlText w:val="%1.%2."/>
        <w:lvlJc w:val="left"/>
        <w:pPr>
          <w:ind w:left="0" w:firstLine="0"/>
        </w:pPr>
        <w:rPr>
          <w:rFonts w:hint="default"/>
          <w:b w:val="0"/>
          <w:i w:val="0"/>
        </w:rPr>
      </w:lvl>
    </w:lvlOverride>
  </w:num>
  <w:num w:numId="2" w16cid:durableId="817653732">
    <w:abstractNumId w:val="17"/>
  </w:num>
  <w:num w:numId="3" w16cid:durableId="844782921">
    <w:abstractNumId w:val="16"/>
  </w:num>
  <w:num w:numId="4" w16cid:durableId="1271157502">
    <w:abstractNumId w:val="12"/>
  </w:num>
  <w:num w:numId="5" w16cid:durableId="938679818">
    <w:abstractNumId w:val="8"/>
    <w:lvlOverride w:ilvl="0">
      <w:lvl w:ilvl="0">
        <w:start w:val="1"/>
        <w:numFmt w:val="decimal"/>
        <w:pStyle w:val="ListNumber"/>
        <w:lvlText w:val="%1."/>
        <w:lvlJc w:val="left"/>
        <w:pPr>
          <w:ind w:left="360" w:hanging="360"/>
        </w:pPr>
        <w:rPr>
          <w:rFonts w:hint="default"/>
          <w:b w:val="0"/>
          <w:i w:val="0"/>
          <w:color w:val="222222" w:themeColor="text1"/>
        </w:rPr>
      </w:lvl>
    </w:lvlOverride>
  </w:num>
  <w:num w:numId="6" w16cid:durableId="1244147206">
    <w:abstractNumId w:val="6"/>
  </w:num>
  <w:num w:numId="7" w16cid:durableId="1462069794">
    <w:abstractNumId w:val="8"/>
    <w:lvlOverride w:ilvl="0">
      <w:lvl w:ilvl="0">
        <w:start w:val="1"/>
        <w:numFmt w:val="decimal"/>
        <w:pStyle w:val="ListNumber"/>
        <w:lvlText w:val="%1."/>
        <w:lvlJc w:val="left"/>
        <w:pPr>
          <w:ind w:left="360" w:hanging="360"/>
        </w:pPr>
        <w:rPr>
          <w:rFonts w:hint="default"/>
          <w:b w:val="0"/>
          <w:i w:val="0"/>
          <w:color w:val="222222" w:themeColor="text1"/>
        </w:rPr>
      </w:lvl>
    </w:lvlOverride>
    <w:lvlOverride w:ilvl="1">
      <w:lvl w:ilvl="1">
        <w:start w:val="1"/>
        <w:numFmt w:val="lowerLetter"/>
        <w:pStyle w:val="ListNumber2"/>
        <w:lvlText w:val="%2."/>
        <w:lvlJc w:val="left"/>
        <w:pPr>
          <w:ind w:left="720" w:hanging="360"/>
        </w:pPr>
        <w:rPr>
          <w:rFonts w:hint="default"/>
          <w:b w:val="0"/>
          <w:i w:val="0"/>
          <w:color w:val="222222" w:themeColor="text1"/>
        </w:rPr>
      </w:lvl>
    </w:lvlOverride>
  </w:num>
  <w:num w:numId="8" w16cid:durableId="832991986">
    <w:abstractNumId w:val="8"/>
    <w:lvlOverride w:ilvl="0">
      <w:lvl w:ilvl="0">
        <w:start w:val="1"/>
        <w:numFmt w:val="decimal"/>
        <w:pStyle w:val="ListNumber"/>
        <w:lvlText w:val="%1."/>
        <w:lvlJc w:val="left"/>
        <w:pPr>
          <w:ind w:left="360" w:hanging="360"/>
        </w:pPr>
        <w:rPr>
          <w:rFonts w:hint="default"/>
          <w:b w:val="0"/>
          <w:i w:val="0"/>
          <w:color w:val="CC6600" w:themeColor="accent1"/>
        </w:rPr>
      </w:lvl>
    </w:lvlOverride>
    <w:lvlOverride w:ilvl="1">
      <w:lvl w:ilvl="1">
        <w:start w:val="1"/>
        <w:numFmt w:val="lowerLetter"/>
        <w:pStyle w:val="ListNumber2"/>
        <w:lvlText w:val="%2."/>
        <w:lvlJc w:val="left"/>
        <w:pPr>
          <w:ind w:left="720" w:hanging="360"/>
        </w:pPr>
        <w:rPr>
          <w:rFonts w:hint="default"/>
          <w:b w:val="0"/>
          <w:i w:val="0"/>
          <w:color w:val="0D8577" w:themeColor="accent5"/>
        </w:rPr>
      </w:lvl>
    </w:lvlOverride>
    <w:lvlOverride w:ilvl="2">
      <w:lvl w:ilvl="2">
        <w:start w:val="1"/>
        <w:numFmt w:val="none"/>
        <w:suff w:val="nothing"/>
        <w:lvlText w:val=""/>
        <w:lvlJc w:val="left"/>
        <w:pPr>
          <w:ind w:left="0" w:firstLine="0"/>
        </w:pPr>
        <w:rPr>
          <w:rFonts w:hint="default"/>
          <w:b w:val="0"/>
          <w:i w:val="0"/>
        </w:rPr>
      </w:lvl>
    </w:lvlOverride>
    <w:lvlOverride w:ilvl="3">
      <w:lvl w:ilvl="3">
        <w:start w:val="1"/>
        <w:numFmt w:val="none"/>
        <w:suff w:val="nothing"/>
        <w:lvlText w:val=""/>
        <w:lvlJc w:val="left"/>
        <w:pPr>
          <w:ind w:left="0" w:firstLine="0"/>
        </w:pPr>
        <w:rPr>
          <w:rFonts w:hint="default"/>
          <w:b w:val="0"/>
          <w:i w:val="0"/>
        </w:rPr>
      </w:lvl>
    </w:lvlOverride>
    <w:lvlOverride w:ilvl="4">
      <w:lvl w:ilvl="4">
        <w:start w:val="1"/>
        <w:numFmt w:val="none"/>
        <w:suff w:val="nothing"/>
        <w:lvlText w:val=""/>
        <w:lvlJc w:val="left"/>
        <w:pPr>
          <w:ind w:left="0" w:firstLine="0"/>
        </w:pPr>
        <w:rPr>
          <w:rFonts w:hint="default"/>
          <w:b w:val="0"/>
          <w:i w:val="0"/>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9" w16cid:durableId="1365836147">
    <w:abstractNumId w:val="9"/>
  </w:num>
  <w:num w:numId="10" w16cid:durableId="1340424925">
    <w:abstractNumId w:val="13"/>
  </w:num>
  <w:num w:numId="11" w16cid:durableId="69431625">
    <w:abstractNumId w:val="8"/>
    <w:lvlOverride w:ilvl="0">
      <w:lvl w:ilvl="0">
        <w:start w:val="1"/>
        <w:numFmt w:val="decimal"/>
        <w:pStyle w:val="ListNumber"/>
        <w:lvlText w:val="%1."/>
        <w:lvlJc w:val="left"/>
        <w:pPr>
          <w:ind w:left="360" w:hanging="360"/>
        </w:pPr>
        <w:rPr>
          <w:rFonts w:hint="default"/>
          <w:b w:val="0"/>
          <w:i w:val="0"/>
          <w:color w:val="CC6600" w:themeColor="accent1"/>
        </w:rPr>
      </w:lvl>
    </w:lvlOverride>
    <w:lvlOverride w:ilvl="1">
      <w:lvl w:ilvl="1">
        <w:start w:val="1"/>
        <w:numFmt w:val="lowerLetter"/>
        <w:pStyle w:val="ListNumber2"/>
        <w:lvlText w:val="%2."/>
        <w:lvlJc w:val="left"/>
        <w:pPr>
          <w:ind w:left="720" w:hanging="360"/>
        </w:pPr>
        <w:rPr>
          <w:rFonts w:hint="default"/>
          <w:b w:val="0"/>
          <w:i w:val="0"/>
          <w:color w:val="0D8577" w:themeColor="accent5"/>
        </w:rPr>
      </w:lvl>
    </w:lvlOverride>
    <w:lvlOverride w:ilvl="2">
      <w:lvl w:ilvl="2">
        <w:start w:val="1"/>
        <w:numFmt w:val="none"/>
        <w:suff w:val="nothing"/>
        <w:lvlText w:val=""/>
        <w:lvlJc w:val="left"/>
        <w:pPr>
          <w:ind w:left="0" w:firstLine="0"/>
        </w:pPr>
        <w:rPr>
          <w:rFonts w:hint="default"/>
          <w:b w:val="0"/>
          <w:i w:val="0"/>
        </w:rPr>
      </w:lvl>
    </w:lvlOverride>
    <w:lvlOverride w:ilvl="3">
      <w:lvl w:ilvl="3">
        <w:start w:val="1"/>
        <w:numFmt w:val="none"/>
        <w:suff w:val="nothing"/>
        <w:lvlText w:val=""/>
        <w:lvlJc w:val="left"/>
        <w:pPr>
          <w:ind w:left="0" w:firstLine="0"/>
        </w:pPr>
        <w:rPr>
          <w:rFonts w:hint="default"/>
          <w:b w:val="0"/>
          <w:i w:val="0"/>
        </w:rPr>
      </w:lvl>
    </w:lvlOverride>
    <w:lvlOverride w:ilvl="4">
      <w:lvl w:ilvl="4">
        <w:start w:val="1"/>
        <w:numFmt w:val="none"/>
        <w:suff w:val="nothing"/>
        <w:lvlText w:val=""/>
        <w:lvlJc w:val="left"/>
        <w:pPr>
          <w:ind w:left="0" w:firstLine="0"/>
        </w:pPr>
        <w:rPr>
          <w:rFonts w:hint="default"/>
          <w:b w:val="0"/>
          <w:i w:val="0"/>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2" w16cid:durableId="1675568542">
    <w:abstractNumId w:val="8"/>
    <w:lvlOverride w:ilvl="0">
      <w:lvl w:ilvl="0">
        <w:start w:val="1"/>
        <w:numFmt w:val="decimal"/>
        <w:pStyle w:val="ListNumber"/>
        <w:lvlText w:val="%1."/>
        <w:lvlJc w:val="left"/>
        <w:pPr>
          <w:ind w:left="360" w:hanging="360"/>
        </w:pPr>
        <w:rPr>
          <w:rFonts w:hint="default"/>
          <w:b w:val="0"/>
          <w:i w:val="0"/>
          <w:color w:val="222222" w:themeColor="text1"/>
        </w:rPr>
      </w:lvl>
    </w:lvlOverride>
    <w:lvlOverride w:ilvl="1">
      <w:lvl w:ilvl="1">
        <w:start w:val="1"/>
        <w:numFmt w:val="lowerLetter"/>
        <w:pStyle w:val="ListNumber2"/>
        <w:lvlText w:val="%2."/>
        <w:lvlJc w:val="left"/>
        <w:pPr>
          <w:ind w:left="720" w:hanging="360"/>
        </w:pPr>
        <w:rPr>
          <w:rFonts w:hint="default"/>
          <w:b w:val="0"/>
          <w:i w:val="0"/>
          <w:color w:val="222222" w:themeColor="text1"/>
        </w:rPr>
      </w:lvl>
    </w:lvlOverride>
    <w:lvlOverride w:ilvl="2">
      <w:lvl w:ilvl="2">
        <w:start w:val="1"/>
        <w:numFmt w:val="none"/>
        <w:suff w:val="nothing"/>
        <w:lvlText w:val=""/>
        <w:lvlJc w:val="left"/>
        <w:pPr>
          <w:ind w:left="0" w:firstLine="0"/>
        </w:pPr>
        <w:rPr>
          <w:rFonts w:hint="default"/>
          <w:b w:val="0"/>
          <w:i w:val="0"/>
        </w:rPr>
      </w:lvl>
    </w:lvlOverride>
    <w:lvlOverride w:ilvl="3">
      <w:lvl w:ilvl="3">
        <w:start w:val="1"/>
        <w:numFmt w:val="none"/>
        <w:suff w:val="nothing"/>
        <w:lvlText w:val=""/>
        <w:lvlJc w:val="left"/>
        <w:pPr>
          <w:ind w:left="0" w:firstLine="0"/>
        </w:pPr>
        <w:rPr>
          <w:rFonts w:hint="default"/>
          <w:b w:val="0"/>
          <w:i w:val="0"/>
        </w:rPr>
      </w:lvl>
    </w:lvlOverride>
    <w:lvlOverride w:ilvl="4">
      <w:lvl w:ilvl="4">
        <w:start w:val="1"/>
        <w:numFmt w:val="none"/>
        <w:suff w:val="nothing"/>
        <w:lvlText w:val=""/>
        <w:lvlJc w:val="left"/>
        <w:pPr>
          <w:ind w:left="0" w:firstLine="0"/>
        </w:pPr>
        <w:rPr>
          <w:rFonts w:hint="default"/>
          <w:b w:val="0"/>
          <w:i w:val="0"/>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3" w16cid:durableId="383917901">
    <w:abstractNumId w:val="8"/>
    <w:lvlOverride w:ilvl="0">
      <w:startOverride w:val="1"/>
      <w:lvl w:ilvl="0">
        <w:start w:val="1"/>
        <w:numFmt w:val="decimal"/>
        <w:pStyle w:val="ListNumber"/>
        <w:lvlText w:val="%1."/>
        <w:lvlJc w:val="left"/>
        <w:pPr>
          <w:ind w:left="360" w:hanging="360"/>
        </w:pPr>
        <w:rPr>
          <w:rFonts w:hint="default"/>
          <w:b w:val="0"/>
          <w:i w:val="0"/>
          <w:color w:val="CC6600" w:themeColor="accent1"/>
        </w:rPr>
      </w:lvl>
    </w:lvlOverride>
    <w:lvlOverride w:ilvl="1">
      <w:startOverride w:val="1"/>
      <w:lvl w:ilvl="1">
        <w:start w:val="1"/>
        <w:numFmt w:val="lowerLetter"/>
        <w:pStyle w:val="ListNumber2"/>
        <w:lvlText w:val="%2."/>
        <w:lvlJc w:val="left"/>
        <w:pPr>
          <w:ind w:left="720" w:hanging="360"/>
        </w:pPr>
        <w:rPr>
          <w:rFonts w:hint="default"/>
          <w:b w:val="0"/>
          <w:i w:val="0"/>
          <w:color w:val="0D8577" w:themeColor="accent5"/>
        </w:rPr>
      </w:lvl>
    </w:lvlOverride>
    <w:lvlOverride w:ilvl="2">
      <w:startOverride w:val="1"/>
      <w:lvl w:ilvl="2">
        <w:start w:val="1"/>
        <w:numFmt w:val="none"/>
        <w:suff w:val="nothing"/>
        <w:lvlText w:val=""/>
        <w:lvlJc w:val="left"/>
        <w:pPr>
          <w:ind w:left="0" w:firstLine="0"/>
        </w:pPr>
        <w:rPr>
          <w:rFonts w:hint="default"/>
          <w:b w:val="0"/>
          <w:i w:val="0"/>
        </w:rPr>
      </w:lvl>
    </w:lvlOverride>
    <w:lvlOverride w:ilvl="3">
      <w:startOverride w:val="1"/>
      <w:lvl w:ilvl="3">
        <w:start w:val="1"/>
        <w:numFmt w:val="none"/>
        <w:suff w:val="nothing"/>
        <w:lvlText w:val=""/>
        <w:lvlJc w:val="left"/>
        <w:pPr>
          <w:ind w:left="0" w:firstLine="0"/>
        </w:pPr>
        <w:rPr>
          <w:rFonts w:hint="default"/>
          <w:b w:val="0"/>
          <w:i w:val="0"/>
        </w:rPr>
      </w:lvl>
    </w:lvlOverride>
    <w:lvlOverride w:ilvl="4">
      <w:startOverride w:val="1"/>
      <w:lvl w:ilvl="4">
        <w:start w:val="1"/>
        <w:numFmt w:val="none"/>
        <w:suff w:val="nothing"/>
        <w:lvlText w:val=""/>
        <w:lvlJc w:val="left"/>
        <w:pPr>
          <w:ind w:left="0" w:firstLine="0"/>
        </w:pPr>
        <w:rPr>
          <w:rFonts w:hint="default"/>
          <w:b w:val="0"/>
          <w:i w:val="0"/>
        </w:rPr>
      </w:lvl>
    </w:lvlOverride>
    <w:lvlOverride w:ilvl="5">
      <w:startOverride w:val="1"/>
      <w:lvl w:ilvl="5">
        <w:start w:val="1"/>
        <w:numFmt w:val="none"/>
        <w:suff w:val="nothing"/>
        <w:lvlText w:val=""/>
        <w:lvlJc w:val="left"/>
        <w:pPr>
          <w:ind w:left="0" w:firstLine="0"/>
        </w:pPr>
        <w:rPr>
          <w:rFonts w:hint="default"/>
        </w:rPr>
      </w:lvl>
    </w:lvlOverride>
    <w:lvlOverride w:ilvl="6">
      <w:startOverride w:val="1"/>
      <w:lvl w:ilvl="6">
        <w:start w:val="1"/>
        <w:numFmt w:val="none"/>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14" w16cid:durableId="1063527231">
    <w:abstractNumId w:val="8"/>
    <w:lvlOverride w:ilvl="0">
      <w:startOverride w:val="1"/>
      <w:lvl w:ilvl="0">
        <w:start w:val="1"/>
        <w:numFmt w:val="decimal"/>
        <w:pStyle w:val="ListNumber"/>
        <w:lvlText w:val="%1."/>
        <w:lvlJc w:val="left"/>
        <w:pPr>
          <w:ind w:left="360" w:hanging="360"/>
        </w:pPr>
        <w:rPr>
          <w:rFonts w:hint="default"/>
          <w:b w:val="0"/>
          <w:i w:val="0"/>
          <w:color w:val="CC6600" w:themeColor="accent1"/>
        </w:rPr>
      </w:lvl>
    </w:lvlOverride>
    <w:lvlOverride w:ilvl="1">
      <w:startOverride w:val="1"/>
      <w:lvl w:ilvl="1">
        <w:start w:val="1"/>
        <w:numFmt w:val="lowerLetter"/>
        <w:pStyle w:val="ListNumber2"/>
        <w:lvlText w:val="%2."/>
        <w:lvlJc w:val="left"/>
        <w:pPr>
          <w:ind w:left="720" w:hanging="360"/>
        </w:pPr>
        <w:rPr>
          <w:rFonts w:hint="default"/>
          <w:b w:val="0"/>
          <w:i w:val="0"/>
          <w:color w:val="0D8577" w:themeColor="accent5"/>
        </w:rPr>
      </w:lvl>
    </w:lvlOverride>
    <w:lvlOverride w:ilvl="2">
      <w:startOverride w:val="1"/>
      <w:lvl w:ilvl="2">
        <w:start w:val="1"/>
        <w:numFmt w:val="none"/>
        <w:suff w:val="nothing"/>
        <w:lvlText w:val=""/>
        <w:lvlJc w:val="left"/>
        <w:pPr>
          <w:ind w:left="0" w:firstLine="0"/>
        </w:pPr>
        <w:rPr>
          <w:rFonts w:hint="default"/>
          <w:b w:val="0"/>
          <w:i w:val="0"/>
        </w:rPr>
      </w:lvl>
    </w:lvlOverride>
    <w:lvlOverride w:ilvl="3">
      <w:startOverride w:val="1"/>
      <w:lvl w:ilvl="3">
        <w:start w:val="1"/>
        <w:numFmt w:val="none"/>
        <w:suff w:val="nothing"/>
        <w:lvlText w:val=""/>
        <w:lvlJc w:val="left"/>
        <w:pPr>
          <w:ind w:left="0" w:firstLine="0"/>
        </w:pPr>
        <w:rPr>
          <w:rFonts w:hint="default"/>
          <w:b w:val="0"/>
          <w:i w:val="0"/>
        </w:rPr>
      </w:lvl>
    </w:lvlOverride>
    <w:lvlOverride w:ilvl="4">
      <w:startOverride w:val="1"/>
      <w:lvl w:ilvl="4">
        <w:start w:val="1"/>
        <w:numFmt w:val="none"/>
        <w:suff w:val="nothing"/>
        <w:lvlText w:val=""/>
        <w:lvlJc w:val="left"/>
        <w:pPr>
          <w:ind w:left="0" w:firstLine="0"/>
        </w:pPr>
        <w:rPr>
          <w:rFonts w:hint="default"/>
          <w:b w:val="0"/>
          <w:i w:val="0"/>
        </w:rPr>
      </w:lvl>
    </w:lvlOverride>
    <w:lvlOverride w:ilvl="5">
      <w:startOverride w:val="1"/>
      <w:lvl w:ilvl="5">
        <w:start w:val="1"/>
        <w:numFmt w:val="none"/>
        <w:suff w:val="nothing"/>
        <w:lvlText w:val=""/>
        <w:lvlJc w:val="left"/>
        <w:pPr>
          <w:ind w:left="0" w:firstLine="0"/>
        </w:pPr>
        <w:rPr>
          <w:rFonts w:hint="default"/>
        </w:rPr>
      </w:lvl>
    </w:lvlOverride>
    <w:lvlOverride w:ilvl="6">
      <w:startOverride w:val="1"/>
      <w:lvl w:ilvl="6">
        <w:start w:val="1"/>
        <w:numFmt w:val="none"/>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15" w16cid:durableId="2075929916">
    <w:abstractNumId w:val="4"/>
  </w:num>
  <w:num w:numId="16" w16cid:durableId="857112051">
    <w:abstractNumId w:val="14"/>
  </w:num>
  <w:num w:numId="17" w16cid:durableId="1935241182">
    <w:abstractNumId w:val="0"/>
  </w:num>
  <w:num w:numId="18" w16cid:durableId="376006427">
    <w:abstractNumId w:val="8"/>
    <w:lvlOverride w:ilvl="0">
      <w:startOverride w:val="1"/>
      <w:lvl w:ilvl="0">
        <w:start w:val="1"/>
        <w:numFmt w:val="decimal"/>
        <w:pStyle w:val="ListNumber"/>
        <w:lvlText w:val="%1."/>
        <w:lvlJc w:val="left"/>
        <w:pPr>
          <w:ind w:left="360" w:hanging="360"/>
        </w:pPr>
        <w:rPr>
          <w:rFonts w:hint="default"/>
          <w:b w:val="0"/>
          <w:i w:val="0"/>
          <w:color w:val="CC6600" w:themeColor="accent1"/>
        </w:rPr>
      </w:lvl>
    </w:lvlOverride>
    <w:lvlOverride w:ilvl="1">
      <w:startOverride w:val="1"/>
      <w:lvl w:ilvl="1">
        <w:start w:val="1"/>
        <w:numFmt w:val="lowerLetter"/>
        <w:pStyle w:val="ListNumber2"/>
        <w:lvlText w:val="%2."/>
        <w:lvlJc w:val="left"/>
        <w:pPr>
          <w:ind w:left="720" w:hanging="360"/>
        </w:pPr>
        <w:rPr>
          <w:rFonts w:hint="default"/>
          <w:b w:val="0"/>
          <w:i w:val="0"/>
          <w:color w:val="0D8577" w:themeColor="accent5"/>
        </w:rPr>
      </w:lvl>
    </w:lvlOverride>
    <w:lvlOverride w:ilvl="2">
      <w:startOverride w:val="1"/>
      <w:lvl w:ilvl="2">
        <w:start w:val="1"/>
        <w:numFmt w:val="none"/>
        <w:suff w:val="nothing"/>
        <w:lvlText w:val=""/>
        <w:lvlJc w:val="left"/>
        <w:pPr>
          <w:ind w:left="0" w:firstLine="0"/>
        </w:pPr>
        <w:rPr>
          <w:rFonts w:hint="default"/>
          <w:b w:val="0"/>
          <w:i w:val="0"/>
        </w:rPr>
      </w:lvl>
    </w:lvlOverride>
    <w:lvlOverride w:ilvl="3">
      <w:startOverride w:val="1"/>
      <w:lvl w:ilvl="3">
        <w:start w:val="1"/>
        <w:numFmt w:val="none"/>
        <w:suff w:val="nothing"/>
        <w:lvlText w:val=""/>
        <w:lvlJc w:val="left"/>
        <w:pPr>
          <w:ind w:left="0" w:firstLine="0"/>
        </w:pPr>
        <w:rPr>
          <w:rFonts w:hint="default"/>
          <w:b w:val="0"/>
          <w:i w:val="0"/>
        </w:rPr>
      </w:lvl>
    </w:lvlOverride>
    <w:lvlOverride w:ilvl="4">
      <w:startOverride w:val="1"/>
      <w:lvl w:ilvl="4">
        <w:start w:val="1"/>
        <w:numFmt w:val="none"/>
        <w:suff w:val="nothing"/>
        <w:lvlText w:val=""/>
        <w:lvlJc w:val="left"/>
        <w:pPr>
          <w:ind w:left="0" w:firstLine="0"/>
        </w:pPr>
        <w:rPr>
          <w:rFonts w:hint="default"/>
          <w:b w:val="0"/>
          <w:i w:val="0"/>
        </w:rPr>
      </w:lvl>
    </w:lvlOverride>
    <w:lvlOverride w:ilvl="5">
      <w:startOverride w:val="1"/>
      <w:lvl w:ilvl="5">
        <w:start w:val="1"/>
        <w:numFmt w:val="none"/>
        <w:suff w:val="nothing"/>
        <w:lvlText w:val=""/>
        <w:lvlJc w:val="left"/>
        <w:pPr>
          <w:ind w:left="0" w:firstLine="0"/>
        </w:pPr>
        <w:rPr>
          <w:rFonts w:hint="default"/>
        </w:rPr>
      </w:lvl>
    </w:lvlOverride>
    <w:lvlOverride w:ilvl="6">
      <w:startOverride w:val="1"/>
      <w:lvl w:ilvl="6">
        <w:start w:val="1"/>
        <w:numFmt w:val="none"/>
        <w:suff w:val="nothing"/>
        <w:lvlText w:val=""/>
        <w:lvlJc w:val="left"/>
        <w:pPr>
          <w:ind w:left="0" w:firstLine="0"/>
        </w:pPr>
        <w:rPr>
          <w:rFonts w:hint="default"/>
        </w:rPr>
      </w:lvl>
    </w:lvlOverride>
    <w:lvlOverride w:ilvl="7">
      <w:startOverride w:val="1"/>
      <w:lvl w:ilvl="7">
        <w:start w:val="1"/>
        <w:numFmt w:val="none"/>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19" w16cid:durableId="97482880">
    <w:abstractNumId w:val="8"/>
    <w:lvlOverride w:ilvl="0">
      <w:lvl w:ilvl="0">
        <w:start w:val="1"/>
        <w:numFmt w:val="decimal"/>
        <w:pStyle w:val="ListNumber"/>
        <w:lvlText w:val="%1."/>
        <w:lvlJc w:val="left"/>
        <w:pPr>
          <w:ind w:left="360" w:hanging="360"/>
        </w:pPr>
        <w:rPr>
          <w:rFonts w:hint="default"/>
          <w:b w:val="0"/>
          <w:i w:val="0"/>
          <w:color w:val="CC6600" w:themeColor="accent1"/>
        </w:rPr>
      </w:lvl>
    </w:lvlOverride>
    <w:lvlOverride w:ilvl="1">
      <w:lvl w:ilvl="1">
        <w:start w:val="1"/>
        <w:numFmt w:val="lowerLetter"/>
        <w:pStyle w:val="ListNumber2"/>
        <w:lvlText w:val="%2."/>
        <w:lvlJc w:val="left"/>
        <w:pPr>
          <w:ind w:left="720" w:hanging="360"/>
        </w:pPr>
        <w:rPr>
          <w:rFonts w:hint="default"/>
          <w:b w:val="0"/>
          <w:i w:val="0"/>
          <w:color w:val="0D8577" w:themeColor="accent5"/>
        </w:rPr>
      </w:lvl>
    </w:lvlOverride>
    <w:lvlOverride w:ilvl="2">
      <w:lvl w:ilvl="2">
        <w:start w:val="1"/>
        <w:numFmt w:val="none"/>
        <w:suff w:val="nothing"/>
        <w:lvlText w:val=""/>
        <w:lvlJc w:val="left"/>
        <w:pPr>
          <w:ind w:left="0" w:firstLine="0"/>
        </w:pPr>
        <w:rPr>
          <w:rFonts w:hint="default"/>
          <w:b w:val="0"/>
          <w:i w:val="0"/>
        </w:rPr>
      </w:lvl>
    </w:lvlOverride>
    <w:lvlOverride w:ilvl="3">
      <w:lvl w:ilvl="3">
        <w:start w:val="1"/>
        <w:numFmt w:val="none"/>
        <w:suff w:val="nothing"/>
        <w:lvlText w:val=""/>
        <w:lvlJc w:val="left"/>
        <w:pPr>
          <w:ind w:left="0" w:firstLine="0"/>
        </w:pPr>
        <w:rPr>
          <w:rFonts w:hint="default"/>
          <w:b w:val="0"/>
          <w:i w:val="0"/>
        </w:rPr>
      </w:lvl>
    </w:lvlOverride>
    <w:lvlOverride w:ilvl="4">
      <w:lvl w:ilvl="4">
        <w:start w:val="1"/>
        <w:numFmt w:val="none"/>
        <w:suff w:val="nothing"/>
        <w:lvlText w:val=""/>
        <w:lvlJc w:val="left"/>
        <w:pPr>
          <w:ind w:left="0" w:firstLine="0"/>
        </w:pPr>
        <w:rPr>
          <w:rFonts w:hint="default"/>
          <w:b w:val="0"/>
          <w:i w:val="0"/>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20" w16cid:durableId="1511405015">
    <w:abstractNumId w:val="0"/>
  </w:num>
  <w:num w:numId="21" w16cid:durableId="188491844">
    <w:abstractNumId w:val="1"/>
  </w:num>
  <w:num w:numId="22" w16cid:durableId="49041844">
    <w:abstractNumId w:val="7"/>
  </w:num>
  <w:num w:numId="23" w16cid:durableId="135337584">
    <w:abstractNumId w:val="20"/>
  </w:num>
  <w:num w:numId="24" w16cid:durableId="1217396902">
    <w:abstractNumId w:val="5"/>
  </w:num>
  <w:num w:numId="25" w16cid:durableId="1670130671">
    <w:abstractNumId w:val="10"/>
  </w:num>
  <w:num w:numId="26" w16cid:durableId="64425273">
    <w:abstractNumId w:val="12"/>
  </w:num>
  <w:num w:numId="27" w16cid:durableId="1100612089">
    <w:abstractNumId w:val="12"/>
  </w:num>
  <w:num w:numId="28" w16cid:durableId="474495027">
    <w:abstractNumId w:val="4"/>
    <w:lvlOverride w:ilvl="1">
      <w:lvl w:ilvl="1">
        <w:start w:val="1"/>
        <w:numFmt w:val="decimal"/>
        <w:pStyle w:val="Heading2"/>
        <w:suff w:val="space"/>
        <w:lvlText w:val="%1.%2."/>
        <w:lvlJc w:val="left"/>
        <w:pPr>
          <w:ind w:left="0" w:firstLine="0"/>
        </w:pPr>
        <w:rPr>
          <w:rFonts w:hint="default"/>
          <w:b w:val="0"/>
          <w:i w:val="0"/>
        </w:rPr>
      </w:lvl>
    </w:lvlOverride>
  </w:num>
  <w:num w:numId="29" w16cid:durableId="1147471568">
    <w:abstractNumId w:val="2"/>
  </w:num>
  <w:num w:numId="30" w16cid:durableId="297297052">
    <w:abstractNumId w:val="19"/>
  </w:num>
  <w:num w:numId="31" w16cid:durableId="306714136">
    <w:abstractNumId w:val="15"/>
  </w:num>
  <w:num w:numId="32" w16cid:durableId="22947881">
    <w:abstractNumId w:val="18"/>
  </w:num>
  <w:num w:numId="33" w16cid:durableId="254560712">
    <w:abstractNumId w:val="11"/>
  </w:num>
  <w:num w:numId="34" w16cid:durableId="820191953">
    <w:abstractNumId w:val="3"/>
  </w:num>
  <w:num w:numId="35" w16cid:durableId="916521401">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HasOneSecWithDFP" w:val="0"/>
  </w:docVars>
  <w:rsids>
    <w:rsidRoot w:val="008E4939"/>
    <w:rsid w:val="0000045B"/>
    <w:rsid w:val="00000909"/>
    <w:rsid w:val="00000ADB"/>
    <w:rsid w:val="00000D01"/>
    <w:rsid w:val="00001273"/>
    <w:rsid w:val="000012CA"/>
    <w:rsid w:val="00001807"/>
    <w:rsid w:val="00001841"/>
    <w:rsid w:val="000018BF"/>
    <w:rsid w:val="000018F0"/>
    <w:rsid w:val="00001D6A"/>
    <w:rsid w:val="00001E6B"/>
    <w:rsid w:val="00001FF7"/>
    <w:rsid w:val="000020CC"/>
    <w:rsid w:val="000025A6"/>
    <w:rsid w:val="000025CE"/>
    <w:rsid w:val="000025F0"/>
    <w:rsid w:val="00002A56"/>
    <w:rsid w:val="00002D90"/>
    <w:rsid w:val="000031F6"/>
    <w:rsid w:val="0000343B"/>
    <w:rsid w:val="00003643"/>
    <w:rsid w:val="000038A9"/>
    <w:rsid w:val="000038EF"/>
    <w:rsid w:val="00003AAF"/>
    <w:rsid w:val="00003B29"/>
    <w:rsid w:val="00003B37"/>
    <w:rsid w:val="00003BA5"/>
    <w:rsid w:val="00004465"/>
    <w:rsid w:val="0000446A"/>
    <w:rsid w:val="00004517"/>
    <w:rsid w:val="00004527"/>
    <w:rsid w:val="0000460D"/>
    <w:rsid w:val="00004639"/>
    <w:rsid w:val="0000469F"/>
    <w:rsid w:val="00004710"/>
    <w:rsid w:val="0000477A"/>
    <w:rsid w:val="000047D5"/>
    <w:rsid w:val="00004D80"/>
    <w:rsid w:val="0000527E"/>
    <w:rsid w:val="00005343"/>
    <w:rsid w:val="00005481"/>
    <w:rsid w:val="000055B8"/>
    <w:rsid w:val="00005B42"/>
    <w:rsid w:val="00005E9E"/>
    <w:rsid w:val="00006121"/>
    <w:rsid w:val="000061AD"/>
    <w:rsid w:val="000061E7"/>
    <w:rsid w:val="00006218"/>
    <w:rsid w:val="00006308"/>
    <w:rsid w:val="0000632D"/>
    <w:rsid w:val="0000649E"/>
    <w:rsid w:val="0000650B"/>
    <w:rsid w:val="00006671"/>
    <w:rsid w:val="00006786"/>
    <w:rsid w:val="0000678A"/>
    <w:rsid w:val="00006A95"/>
    <w:rsid w:val="00006D80"/>
    <w:rsid w:val="00006D8D"/>
    <w:rsid w:val="00006E36"/>
    <w:rsid w:val="0000778D"/>
    <w:rsid w:val="000077E9"/>
    <w:rsid w:val="00007A13"/>
    <w:rsid w:val="00007D21"/>
    <w:rsid w:val="0000AC4B"/>
    <w:rsid w:val="000101F3"/>
    <w:rsid w:val="000107CB"/>
    <w:rsid w:val="000109FE"/>
    <w:rsid w:val="00010CBB"/>
    <w:rsid w:val="00010DA6"/>
    <w:rsid w:val="00010DA9"/>
    <w:rsid w:val="00011108"/>
    <w:rsid w:val="00011142"/>
    <w:rsid w:val="000112B8"/>
    <w:rsid w:val="000115EE"/>
    <w:rsid w:val="00011670"/>
    <w:rsid w:val="00011B4B"/>
    <w:rsid w:val="00011F02"/>
    <w:rsid w:val="00011F8D"/>
    <w:rsid w:val="0001213B"/>
    <w:rsid w:val="00012425"/>
    <w:rsid w:val="0001244E"/>
    <w:rsid w:val="000125BF"/>
    <w:rsid w:val="0001276B"/>
    <w:rsid w:val="000128A8"/>
    <w:rsid w:val="00012940"/>
    <w:rsid w:val="00012A15"/>
    <w:rsid w:val="00012A53"/>
    <w:rsid w:val="00012A97"/>
    <w:rsid w:val="00012AC6"/>
    <w:rsid w:val="00012B8F"/>
    <w:rsid w:val="00012D09"/>
    <w:rsid w:val="00012F39"/>
    <w:rsid w:val="00012F63"/>
    <w:rsid w:val="00012FAD"/>
    <w:rsid w:val="0001365F"/>
    <w:rsid w:val="000137A3"/>
    <w:rsid w:val="000138EA"/>
    <w:rsid w:val="00013918"/>
    <w:rsid w:val="00013AB2"/>
    <w:rsid w:val="00013BAB"/>
    <w:rsid w:val="00013E4C"/>
    <w:rsid w:val="00013EA3"/>
    <w:rsid w:val="00013EB0"/>
    <w:rsid w:val="00014021"/>
    <w:rsid w:val="000149BA"/>
    <w:rsid w:val="00014ACE"/>
    <w:rsid w:val="00014C0C"/>
    <w:rsid w:val="00014F77"/>
    <w:rsid w:val="00015047"/>
    <w:rsid w:val="00015498"/>
    <w:rsid w:val="00015709"/>
    <w:rsid w:val="00015836"/>
    <w:rsid w:val="00015855"/>
    <w:rsid w:val="000158CD"/>
    <w:rsid w:val="00015A04"/>
    <w:rsid w:val="00015E81"/>
    <w:rsid w:val="00016113"/>
    <w:rsid w:val="00016149"/>
    <w:rsid w:val="0001614D"/>
    <w:rsid w:val="00016183"/>
    <w:rsid w:val="0001638F"/>
    <w:rsid w:val="0001668C"/>
    <w:rsid w:val="000166E0"/>
    <w:rsid w:val="000168D7"/>
    <w:rsid w:val="000169D8"/>
    <w:rsid w:val="00016CD2"/>
    <w:rsid w:val="00016DCF"/>
    <w:rsid w:val="00016E8E"/>
    <w:rsid w:val="00016E9D"/>
    <w:rsid w:val="00016F75"/>
    <w:rsid w:val="00016F78"/>
    <w:rsid w:val="00017306"/>
    <w:rsid w:val="0001776E"/>
    <w:rsid w:val="0001791C"/>
    <w:rsid w:val="00017ED4"/>
    <w:rsid w:val="000202EC"/>
    <w:rsid w:val="0002067A"/>
    <w:rsid w:val="00020701"/>
    <w:rsid w:val="00020708"/>
    <w:rsid w:val="00020A7A"/>
    <w:rsid w:val="0002123A"/>
    <w:rsid w:val="000212BF"/>
    <w:rsid w:val="000216AB"/>
    <w:rsid w:val="0002183B"/>
    <w:rsid w:val="000219B1"/>
    <w:rsid w:val="00021C4B"/>
    <w:rsid w:val="00021C5F"/>
    <w:rsid w:val="00021D29"/>
    <w:rsid w:val="00021E54"/>
    <w:rsid w:val="00021F74"/>
    <w:rsid w:val="00021FC2"/>
    <w:rsid w:val="000223AB"/>
    <w:rsid w:val="000223AE"/>
    <w:rsid w:val="00022489"/>
    <w:rsid w:val="0002297C"/>
    <w:rsid w:val="000229E5"/>
    <w:rsid w:val="00022F49"/>
    <w:rsid w:val="000231F3"/>
    <w:rsid w:val="00023340"/>
    <w:rsid w:val="000233AC"/>
    <w:rsid w:val="000237A4"/>
    <w:rsid w:val="00023907"/>
    <w:rsid w:val="00023B35"/>
    <w:rsid w:val="00023C27"/>
    <w:rsid w:val="00023F14"/>
    <w:rsid w:val="00023F1F"/>
    <w:rsid w:val="00023F50"/>
    <w:rsid w:val="000241EA"/>
    <w:rsid w:val="00024249"/>
    <w:rsid w:val="000245F0"/>
    <w:rsid w:val="0002462D"/>
    <w:rsid w:val="000247A5"/>
    <w:rsid w:val="00024935"/>
    <w:rsid w:val="00024A07"/>
    <w:rsid w:val="00024A22"/>
    <w:rsid w:val="00024A75"/>
    <w:rsid w:val="00024C27"/>
    <w:rsid w:val="00024C9C"/>
    <w:rsid w:val="00024CCF"/>
    <w:rsid w:val="00024D89"/>
    <w:rsid w:val="00024DB6"/>
    <w:rsid w:val="00024E7E"/>
    <w:rsid w:val="00024FFB"/>
    <w:rsid w:val="00025372"/>
    <w:rsid w:val="00025743"/>
    <w:rsid w:val="00025946"/>
    <w:rsid w:val="0002595A"/>
    <w:rsid w:val="00025A83"/>
    <w:rsid w:val="00025BC7"/>
    <w:rsid w:val="00025EF0"/>
    <w:rsid w:val="000263C0"/>
    <w:rsid w:val="00026790"/>
    <w:rsid w:val="00026A53"/>
    <w:rsid w:val="00026B49"/>
    <w:rsid w:val="00026F19"/>
    <w:rsid w:val="00027128"/>
    <w:rsid w:val="000271C0"/>
    <w:rsid w:val="00027243"/>
    <w:rsid w:val="000272F0"/>
    <w:rsid w:val="000278F2"/>
    <w:rsid w:val="00027ADE"/>
    <w:rsid w:val="00027B5D"/>
    <w:rsid w:val="00030292"/>
    <w:rsid w:val="000303C1"/>
    <w:rsid w:val="000305DD"/>
    <w:rsid w:val="00030642"/>
    <w:rsid w:val="000308C8"/>
    <w:rsid w:val="00030904"/>
    <w:rsid w:val="00030BEB"/>
    <w:rsid w:val="0003106D"/>
    <w:rsid w:val="00031167"/>
    <w:rsid w:val="000311C0"/>
    <w:rsid w:val="000311FB"/>
    <w:rsid w:val="000312AB"/>
    <w:rsid w:val="000315EB"/>
    <w:rsid w:val="0003167D"/>
    <w:rsid w:val="00031A85"/>
    <w:rsid w:val="0003203D"/>
    <w:rsid w:val="000320BA"/>
    <w:rsid w:val="0003229F"/>
    <w:rsid w:val="000325CF"/>
    <w:rsid w:val="00032B2F"/>
    <w:rsid w:val="00032BDE"/>
    <w:rsid w:val="00032C9F"/>
    <w:rsid w:val="000332D9"/>
    <w:rsid w:val="000334EA"/>
    <w:rsid w:val="00033521"/>
    <w:rsid w:val="000335BA"/>
    <w:rsid w:val="00033E8D"/>
    <w:rsid w:val="00033EE1"/>
    <w:rsid w:val="000340A9"/>
    <w:rsid w:val="000340E2"/>
    <w:rsid w:val="00034106"/>
    <w:rsid w:val="000343DE"/>
    <w:rsid w:val="00034508"/>
    <w:rsid w:val="000345E5"/>
    <w:rsid w:val="00034767"/>
    <w:rsid w:val="00034891"/>
    <w:rsid w:val="000348E0"/>
    <w:rsid w:val="00034AFF"/>
    <w:rsid w:val="00034C1E"/>
    <w:rsid w:val="00034C67"/>
    <w:rsid w:val="00035152"/>
    <w:rsid w:val="00035861"/>
    <w:rsid w:val="00035A2F"/>
    <w:rsid w:val="00035BD3"/>
    <w:rsid w:val="00035E48"/>
    <w:rsid w:val="00035EDA"/>
    <w:rsid w:val="00035FF0"/>
    <w:rsid w:val="00036232"/>
    <w:rsid w:val="00036407"/>
    <w:rsid w:val="00036A21"/>
    <w:rsid w:val="00036A25"/>
    <w:rsid w:val="00036D3E"/>
    <w:rsid w:val="00037005"/>
    <w:rsid w:val="000371A8"/>
    <w:rsid w:val="000371AB"/>
    <w:rsid w:val="00037435"/>
    <w:rsid w:val="00037443"/>
    <w:rsid w:val="000376C7"/>
    <w:rsid w:val="0003790C"/>
    <w:rsid w:val="00037F33"/>
    <w:rsid w:val="00037FDB"/>
    <w:rsid w:val="000400DB"/>
    <w:rsid w:val="0004054E"/>
    <w:rsid w:val="000406A0"/>
    <w:rsid w:val="000406DE"/>
    <w:rsid w:val="00040886"/>
    <w:rsid w:val="00040B1C"/>
    <w:rsid w:val="0004105B"/>
    <w:rsid w:val="0004106A"/>
    <w:rsid w:val="0004127F"/>
    <w:rsid w:val="00041575"/>
    <w:rsid w:val="000418FA"/>
    <w:rsid w:val="000419E3"/>
    <w:rsid w:val="00041B1F"/>
    <w:rsid w:val="00041B54"/>
    <w:rsid w:val="00041C24"/>
    <w:rsid w:val="00042366"/>
    <w:rsid w:val="0004237C"/>
    <w:rsid w:val="00042415"/>
    <w:rsid w:val="0004245F"/>
    <w:rsid w:val="00042495"/>
    <w:rsid w:val="0004258F"/>
    <w:rsid w:val="00042AF2"/>
    <w:rsid w:val="00042F2F"/>
    <w:rsid w:val="0004316C"/>
    <w:rsid w:val="00043296"/>
    <w:rsid w:val="00043A30"/>
    <w:rsid w:val="00043AA4"/>
    <w:rsid w:val="00043BC1"/>
    <w:rsid w:val="00043D37"/>
    <w:rsid w:val="00043FFF"/>
    <w:rsid w:val="000441F9"/>
    <w:rsid w:val="00044303"/>
    <w:rsid w:val="00044377"/>
    <w:rsid w:val="00044473"/>
    <w:rsid w:val="00044584"/>
    <w:rsid w:val="0004461A"/>
    <w:rsid w:val="000448E5"/>
    <w:rsid w:val="0004491D"/>
    <w:rsid w:val="00044977"/>
    <w:rsid w:val="000449BA"/>
    <w:rsid w:val="00044EBB"/>
    <w:rsid w:val="00044F02"/>
    <w:rsid w:val="00045283"/>
    <w:rsid w:val="000456FD"/>
    <w:rsid w:val="0004575A"/>
    <w:rsid w:val="000457FD"/>
    <w:rsid w:val="00045B82"/>
    <w:rsid w:val="00045D01"/>
    <w:rsid w:val="000460FF"/>
    <w:rsid w:val="000461EE"/>
    <w:rsid w:val="000468AD"/>
    <w:rsid w:val="00046AB1"/>
    <w:rsid w:val="00046B8F"/>
    <w:rsid w:val="00046E31"/>
    <w:rsid w:val="000470B6"/>
    <w:rsid w:val="00047509"/>
    <w:rsid w:val="00047562"/>
    <w:rsid w:val="000475FA"/>
    <w:rsid w:val="00047CBD"/>
    <w:rsid w:val="0005002A"/>
    <w:rsid w:val="0005068B"/>
    <w:rsid w:val="000509BA"/>
    <w:rsid w:val="00051317"/>
    <w:rsid w:val="0005136A"/>
    <w:rsid w:val="00051423"/>
    <w:rsid w:val="000515C9"/>
    <w:rsid w:val="00051647"/>
    <w:rsid w:val="000518CE"/>
    <w:rsid w:val="00051D1F"/>
    <w:rsid w:val="000526C6"/>
    <w:rsid w:val="00052806"/>
    <w:rsid w:val="000528E0"/>
    <w:rsid w:val="00052927"/>
    <w:rsid w:val="00052A50"/>
    <w:rsid w:val="00052C37"/>
    <w:rsid w:val="00052DB6"/>
    <w:rsid w:val="00052E47"/>
    <w:rsid w:val="0005359C"/>
    <w:rsid w:val="0005379C"/>
    <w:rsid w:val="000539EE"/>
    <w:rsid w:val="00053E0E"/>
    <w:rsid w:val="00053EB0"/>
    <w:rsid w:val="00054431"/>
    <w:rsid w:val="0005456D"/>
    <w:rsid w:val="00054596"/>
    <w:rsid w:val="00054AE2"/>
    <w:rsid w:val="00054AE5"/>
    <w:rsid w:val="000558AF"/>
    <w:rsid w:val="000559B2"/>
    <w:rsid w:val="000559E6"/>
    <w:rsid w:val="00055BCA"/>
    <w:rsid w:val="000562D5"/>
    <w:rsid w:val="000563C3"/>
    <w:rsid w:val="00056665"/>
    <w:rsid w:val="000566D8"/>
    <w:rsid w:val="0005693D"/>
    <w:rsid w:val="000569F5"/>
    <w:rsid w:val="00056B43"/>
    <w:rsid w:val="000572FF"/>
    <w:rsid w:val="00057487"/>
    <w:rsid w:val="000574A9"/>
    <w:rsid w:val="00057765"/>
    <w:rsid w:val="00057807"/>
    <w:rsid w:val="00057A94"/>
    <w:rsid w:val="00057C5D"/>
    <w:rsid w:val="00057C71"/>
    <w:rsid w:val="00057DC5"/>
    <w:rsid w:val="00057DF7"/>
    <w:rsid w:val="00057FBC"/>
    <w:rsid w:val="0006025C"/>
    <w:rsid w:val="00060542"/>
    <w:rsid w:val="00060650"/>
    <w:rsid w:val="00060C47"/>
    <w:rsid w:val="000610D7"/>
    <w:rsid w:val="0006117C"/>
    <w:rsid w:val="000616ED"/>
    <w:rsid w:val="00061DEA"/>
    <w:rsid w:val="000620A2"/>
    <w:rsid w:val="0006255D"/>
    <w:rsid w:val="000625CF"/>
    <w:rsid w:val="000629DC"/>
    <w:rsid w:val="00062FC3"/>
    <w:rsid w:val="00063009"/>
    <w:rsid w:val="000630C5"/>
    <w:rsid w:val="000637DE"/>
    <w:rsid w:val="00063830"/>
    <w:rsid w:val="00063908"/>
    <w:rsid w:val="00063A86"/>
    <w:rsid w:val="00063AE8"/>
    <w:rsid w:val="00063B0D"/>
    <w:rsid w:val="00063D87"/>
    <w:rsid w:val="000642C0"/>
    <w:rsid w:val="00064328"/>
    <w:rsid w:val="0006446E"/>
    <w:rsid w:val="000644FB"/>
    <w:rsid w:val="0006460C"/>
    <w:rsid w:val="00064B36"/>
    <w:rsid w:val="00064BA1"/>
    <w:rsid w:val="00064C62"/>
    <w:rsid w:val="00064CF4"/>
    <w:rsid w:val="00064DC9"/>
    <w:rsid w:val="00064FBF"/>
    <w:rsid w:val="0006550A"/>
    <w:rsid w:val="0006581A"/>
    <w:rsid w:val="00065B41"/>
    <w:rsid w:val="00065D0D"/>
    <w:rsid w:val="00065E02"/>
    <w:rsid w:val="0006618A"/>
    <w:rsid w:val="00066314"/>
    <w:rsid w:val="00066514"/>
    <w:rsid w:val="00066840"/>
    <w:rsid w:val="00066888"/>
    <w:rsid w:val="00066C2B"/>
    <w:rsid w:val="00066FB9"/>
    <w:rsid w:val="00067142"/>
    <w:rsid w:val="000674EC"/>
    <w:rsid w:val="000677B0"/>
    <w:rsid w:val="000679C3"/>
    <w:rsid w:val="00067AC9"/>
    <w:rsid w:val="00067E2D"/>
    <w:rsid w:val="00070089"/>
    <w:rsid w:val="000703C3"/>
    <w:rsid w:val="0007048A"/>
    <w:rsid w:val="0007072D"/>
    <w:rsid w:val="000707CC"/>
    <w:rsid w:val="000709A7"/>
    <w:rsid w:val="00070B17"/>
    <w:rsid w:val="00070D4E"/>
    <w:rsid w:val="00070E26"/>
    <w:rsid w:val="00070EBE"/>
    <w:rsid w:val="00070FBF"/>
    <w:rsid w:val="00071037"/>
    <w:rsid w:val="0007105C"/>
    <w:rsid w:val="00071072"/>
    <w:rsid w:val="00071242"/>
    <w:rsid w:val="000716D8"/>
    <w:rsid w:val="00071965"/>
    <w:rsid w:val="00071BE5"/>
    <w:rsid w:val="00071F2D"/>
    <w:rsid w:val="000725B1"/>
    <w:rsid w:val="00072687"/>
    <w:rsid w:val="00072795"/>
    <w:rsid w:val="00072831"/>
    <w:rsid w:val="000729D7"/>
    <w:rsid w:val="00072E38"/>
    <w:rsid w:val="00072EAD"/>
    <w:rsid w:val="0007303A"/>
    <w:rsid w:val="00073185"/>
    <w:rsid w:val="00073208"/>
    <w:rsid w:val="000735A4"/>
    <w:rsid w:val="00073940"/>
    <w:rsid w:val="00073B93"/>
    <w:rsid w:val="00073D0B"/>
    <w:rsid w:val="00074452"/>
    <w:rsid w:val="000749F6"/>
    <w:rsid w:val="00074A38"/>
    <w:rsid w:val="00074AFD"/>
    <w:rsid w:val="00074B99"/>
    <w:rsid w:val="00074D76"/>
    <w:rsid w:val="00074DC6"/>
    <w:rsid w:val="00074DDC"/>
    <w:rsid w:val="000753D5"/>
    <w:rsid w:val="000754E7"/>
    <w:rsid w:val="00075722"/>
    <w:rsid w:val="00075AE0"/>
    <w:rsid w:val="00075B91"/>
    <w:rsid w:val="00075F14"/>
    <w:rsid w:val="00076122"/>
    <w:rsid w:val="000764E6"/>
    <w:rsid w:val="000767CC"/>
    <w:rsid w:val="000769E2"/>
    <w:rsid w:val="00076D72"/>
    <w:rsid w:val="00076DA8"/>
    <w:rsid w:val="00076DA9"/>
    <w:rsid w:val="00076FB5"/>
    <w:rsid w:val="00077525"/>
    <w:rsid w:val="00077729"/>
    <w:rsid w:val="00077C37"/>
    <w:rsid w:val="00077CFD"/>
    <w:rsid w:val="00077E06"/>
    <w:rsid w:val="00080470"/>
    <w:rsid w:val="00080485"/>
    <w:rsid w:val="000806D7"/>
    <w:rsid w:val="00080A9D"/>
    <w:rsid w:val="00080BBB"/>
    <w:rsid w:val="00080CBF"/>
    <w:rsid w:val="00080EAB"/>
    <w:rsid w:val="00081193"/>
    <w:rsid w:val="000811EC"/>
    <w:rsid w:val="000812E2"/>
    <w:rsid w:val="00081336"/>
    <w:rsid w:val="000813C6"/>
    <w:rsid w:val="00081470"/>
    <w:rsid w:val="000814DA"/>
    <w:rsid w:val="00081838"/>
    <w:rsid w:val="00082080"/>
    <w:rsid w:val="00082549"/>
    <w:rsid w:val="00082759"/>
    <w:rsid w:val="00082959"/>
    <w:rsid w:val="000829B5"/>
    <w:rsid w:val="00082C2B"/>
    <w:rsid w:val="00082E50"/>
    <w:rsid w:val="00082E56"/>
    <w:rsid w:val="00082F20"/>
    <w:rsid w:val="000831D7"/>
    <w:rsid w:val="00083941"/>
    <w:rsid w:val="00083B7C"/>
    <w:rsid w:val="00083CE9"/>
    <w:rsid w:val="00083DE8"/>
    <w:rsid w:val="00083F7F"/>
    <w:rsid w:val="000842B2"/>
    <w:rsid w:val="000846DB"/>
    <w:rsid w:val="000848EB"/>
    <w:rsid w:val="00084B20"/>
    <w:rsid w:val="00084C66"/>
    <w:rsid w:val="00084E45"/>
    <w:rsid w:val="00084EB6"/>
    <w:rsid w:val="00085370"/>
    <w:rsid w:val="000854AB"/>
    <w:rsid w:val="000856DC"/>
    <w:rsid w:val="0008597A"/>
    <w:rsid w:val="00085E0E"/>
    <w:rsid w:val="00085EAB"/>
    <w:rsid w:val="0008630C"/>
    <w:rsid w:val="000865E7"/>
    <w:rsid w:val="0008674B"/>
    <w:rsid w:val="000867FB"/>
    <w:rsid w:val="0008696D"/>
    <w:rsid w:val="000869C8"/>
    <w:rsid w:val="00086C10"/>
    <w:rsid w:val="00086EC9"/>
    <w:rsid w:val="000871C4"/>
    <w:rsid w:val="000875BF"/>
    <w:rsid w:val="000877E2"/>
    <w:rsid w:val="00087A81"/>
    <w:rsid w:val="00087E70"/>
    <w:rsid w:val="00087FED"/>
    <w:rsid w:val="00090147"/>
    <w:rsid w:val="0009022E"/>
    <w:rsid w:val="000903BA"/>
    <w:rsid w:val="000903C8"/>
    <w:rsid w:val="0009048E"/>
    <w:rsid w:val="0009095E"/>
    <w:rsid w:val="00090986"/>
    <w:rsid w:val="00090B1D"/>
    <w:rsid w:val="00090FC7"/>
    <w:rsid w:val="000911D2"/>
    <w:rsid w:val="00091223"/>
    <w:rsid w:val="000914E2"/>
    <w:rsid w:val="00091D8A"/>
    <w:rsid w:val="00091DB0"/>
    <w:rsid w:val="00091F9D"/>
    <w:rsid w:val="0009254B"/>
    <w:rsid w:val="00092566"/>
    <w:rsid w:val="00093160"/>
    <w:rsid w:val="0009327A"/>
    <w:rsid w:val="000932DD"/>
    <w:rsid w:val="00093525"/>
    <w:rsid w:val="00093610"/>
    <w:rsid w:val="00093C0D"/>
    <w:rsid w:val="00093C47"/>
    <w:rsid w:val="00093C4B"/>
    <w:rsid w:val="00093D71"/>
    <w:rsid w:val="00093D78"/>
    <w:rsid w:val="00093DAA"/>
    <w:rsid w:val="00093F16"/>
    <w:rsid w:val="00093F6E"/>
    <w:rsid w:val="00094199"/>
    <w:rsid w:val="00094513"/>
    <w:rsid w:val="00094671"/>
    <w:rsid w:val="000946C0"/>
    <w:rsid w:val="0009470D"/>
    <w:rsid w:val="0009486C"/>
    <w:rsid w:val="00094B65"/>
    <w:rsid w:val="00094E48"/>
    <w:rsid w:val="00094EA8"/>
    <w:rsid w:val="00094FFB"/>
    <w:rsid w:val="00094FFC"/>
    <w:rsid w:val="000958FF"/>
    <w:rsid w:val="00095A98"/>
    <w:rsid w:val="00095BEE"/>
    <w:rsid w:val="00095FBF"/>
    <w:rsid w:val="00095FDE"/>
    <w:rsid w:val="00096010"/>
    <w:rsid w:val="00096767"/>
    <w:rsid w:val="00096781"/>
    <w:rsid w:val="00096FBC"/>
    <w:rsid w:val="000974BF"/>
    <w:rsid w:val="00097E49"/>
    <w:rsid w:val="000A045D"/>
    <w:rsid w:val="000A0706"/>
    <w:rsid w:val="000A0937"/>
    <w:rsid w:val="000A09BA"/>
    <w:rsid w:val="000A0F2C"/>
    <w:rsid w:val="000A14FE"/>
    <w:rsid w:val="000A1991"/>
    <w:rsid w:val="000A1AE5"/>
    <w:rsid w:val="000A1F6D"/>
    <w:rsid w:val="000A207D"/>
    <w:rsid w:val="000A209A"/>
    <w:rsid w:val="000A2685"/>
    <w:rsid w:val="000A272C"/>
    <w:rsid w:val="000A283C"/>
    <w:rsid w:val="000A29C4"/>
    <w:rsid w:val="000A3010"/>
    <w:rsid w:val="000A302C"/>
    <w:rsid w:val="000A30E6"/>
    <w:rsid w:val="000A34B5"/>
    <w:rsid w:val="000A35C6"/>
    <w:rsid w:val="000A381E"/>
    <w:rsid w:val="000A3A2B"/>
    <w:rsid w:val="000A3B8D"/>
    <w:rsid w:val="000A3E53"/>
    <w:rsid w:val="000A4103"/>
    <w:rsid w:val="000A41B3"/>
    <w:rsid w:val="000A4618"/>
    <w:rsid w:val="000A48E9"/>
    <w:rsid w:val="000A4975"/>
    <w:rsid w:val="000A4B66"/>
    <w:rsid w:val="000A4CAB"/>
    <w:rsid w:val="000A4CEE"/>
    <w:rsid w:val="000A5074"/>
    <w:rsid w:val="000A5172"/>
    <w:rsid w:val="000A52D3"/>
    <w:rsid w:val="000A53C7"/>
    <w:rsid w:val="000A597D"/>
    <w:rsid w:val="000A5AC9"/>
    <w:rsid w:val="000A6174"/>
    <w:rsid w:val="000A69E9"/>
    <w:rsid w:val="000A69EB"/>
    <w:rsid w:val="000A6A60"/>
    <w:rsid w:val="000A6B81"/>
    <w:rsid w:val="000A6B9B"/>
    <w:rsid w:val="000A6D9E"/>
    <w:rsid w:val="000A701C"/>
    <w:rsid w:val="000A70D1"/>
    <w:rsid w:val="000A780E"/>
    <w:rsid w:val="000A7AAD"/>
    <w:rsid w:val="000A7E90"/>
    <w:rsid w:val="000A7FB8"/>
    <w:rsid w:val="000A7FE0"/>
    <w:rsid w:val="000B0158"/>
    <w:rsid w:val="000B02C6"/>
    <w:rsid w:val="000B0565"/>
    <w:rsid w:val="000B056A"/>
    <w:rsid w:val="000B0A65"/>
    <w:rsid w:val="000B0F14"/>
    <w:rsid w:val="000B0F4B"/>
    <w:rsid w:val="000B12A5"/>
    <w:rsid w:val="000B1417"/>
    <w:rsid w:val="000B18B6"/>
    <w:rsid w:val="000B194C"/>
    <w:rsid w:val="000B19B5"/>
    <w:rsid w:val="000B1C23"/>
    <w:rsid w:val="000B1EC3"/>
    <w:rsid w:val="000B1FFF"/>
    <w:rsid w:val="000B23D2"/>
    <w:rsid w:val="000B2540"/>
    <w:rsid w:val="000B2588"/>
    <w:rsid w:val="000B2589"/>
    <w:rsid w:val="000B2903"/>
    <w:rsid w:val="000B2971"/>
    <w:rsid w:val="000B2BC7"/>
    <w:rsid w:val="000B3066"/>
    <w:rsid w:val="000B30C3"/>
    <w:rsid w:val="000B32F0"/>
    <w:rsid w:val="000B37A1"/>
    <w:rsid w:val="000B38C0"/>
    <w:rsid w:val="000B4011"/>
    <w:rsid w:val="000B40C8"/>
    <w:rsid w:val="000B40FF"/>
    <w:rsid w:val="000B4197"/>
    <w:rsid w:val="000B4209"/>
    <w:rsid w:val="000B44E5"/>
    <w:rsid w:val="000B46BF"/>
    <w:rsid w:val="000B47BE"/>
    <w:rsid w:val="000B4B6D"/>
    <w:rsid w:val="000B5015"/>
    <w:rsid w:val="000B5065"/>
    <w:rsid w:val="000B50A8"/>
    <w:rsid w:val="000B5142"/>
    <w:rsid w:val="000B5227"/>
    <w:rsid w:val="000B5371"/>
    <w:rsid w:val="000B55E1"/>
    <w:rsid w:val="000B5A08"/>
    <w:rsid w:val="000B5B79"/>
    <w:rsid w:val="000B5CBB"/>
    <w:rsid w:val="000B6068"/>
    <w:rsid w:val="000B60CF"/>
    <w:rsid w:val="000B62C3"/>
    <w:rsid w:val="000B655A"/>
    <w:rsid w:val="000B67EF"/>
    <w:rsid w:val="000B6871"/>
    <w:rsid w:val="000B687F"/>
    <w:rsid w:val="000B68F7"/>
    <w:rsid w:val="000B6E20"/>
    <w:rsid w:val="000B7238"/>
    <w:rsid w:val="000B72DB"/>
    <w:rsid w:val="000B738F"/>
    <w:rsid w:val="000B741E"/>
    <w:rsid w:val="000B7549"/>
    <w:rsid w:val="000B76C9"/>
    <w:rsid w:val="000B76F5"/>
    <w:rsid w:val="000B7A39"/>
    <w:rsid w:val="000B7FBF"/>
    <w:rsid w:val="000C02BE"/>
    <w:rsid w:val="000C06B6"/>
    <w:rsid w:val="000C0B99"/>
    <w:rsid w:val="000C0C2F"/>
    <w:rsid w:val="000C0E7C"/>
    <w:rsid w:val="000C16F7"/>
    <w:rsid w:val="000C1AFD"/>
    <w:rsid w:val="000C1D67"/>
    <w:rsid w:val="000C1EAC"/>
    <w:rsid w:val="000C22E9"/>
    <w:rsid w:val="000C24E9"/>
    <w:rsid w:val="000C27FF"/>
    <w:rsid w:val="000C2BDD"/>
    <w:rsid w:val="000C2C50"/>
    <w:rsid w:val="000C2D94"/>
    <w:rsid w:val="000C3049"/>
    <w:rsid w:val="000C32B2"/>
    <w:rsid w:val="000C3549"/>
    <w:rsid w:val="000C3684"/>
    <w:rsid w:val="000C36F4"/>
    <w:rsid w:val="000C38FB"/>
    <w:rsid w:val="000C39C2"/>
    <w:rsid w:val="000C3BF2"/>
    <w:rsid w:val="000C3D26"/>
    <w:rsid w:val="000C4102"/>
    <w:rsid w:val="000C4242"/>
    <w:rsid w:val="000C4453"/>
    <w:rsid w:val="000C4643"/>
    <w:rsid w:val="000C469F"/>
    <w:rsid w:val="000C4758"/>
    <w:rsid w:val="000C48AE"/>
    <w:rsid w:val="000C4D69"/>
    <w:rsid w:val="000C5472"/>
    <w:rsid w:val="000C547C"/>
    <w:rsid w:val="000C568D"/>
    <w:rsid w:val="000C5AAF"/>
    <w:rsid w:val="000C6687"/>
    <w:rsid w:val="000C66BF"/>
    <w:rsid w:val="000C6958"/>
    <w:rsid w:val="000C69A1"/>
    <w:rsid w:val="000C6CC7"/>
    <w:rsid w:val="000C706D"/>
    <w:rsid w:val="000C7194"/>
    <w:rsid w:val="000C7421"/>
    <w:rsid w:val="000C744E"/>
    <w:rsid w:val="000C77AD"/>
    <w:rsid w:val="000C7A95"/>
    <w:rsid w:val="000C7BC5"/>
    <w:rsid w:val="000C7E0A"/>
    <w:rsid w:val="000C7F40"/>
    <w:rsid w:val="000C7F52"/>
    <w:rsid w:val="000C7FF7"/>
    <w:rsid w:val="000D02E1"/>
    <w:rsid w:val="000D0351"/>
    <w:rsid w:val="000D0579"/>
    <w:rsid w:val="000D07E5"/>
    <w:rsid w:val="000D0D4A"/>
    <w:rsid w:val="000D163E"/>
    <w:rsid w:val="000D199F"/>
    <w:rsid w:val="000D1DEA"/>
    <w:rsid w:val="000D1E66"/>
    <w:rsid w:val="000D1E6E"/>
    <w:rsid w:val="000D1E82"/>
    <w:rsid w:val="000D2036"/>
    <w:rsid w:val="000D2046"/>
    <w:rsid w:val="000D20B0"/>
    <w:rsid w:val="000D213A"/>
    <w:rsid w:val="000D231F"/>
    <w:rsid w:val="000D236C"/>
    <w:rsid w:val="000D264D"/>
    <w:rsid w:val="000D2664"/>
    <w:rsid w:val="000D26F9"/>
    <w:rsid w:val="000D2808"/>
    <w:rsid w:val="000D29B4"/>
    <w:rsid w:val="000D29ED"/>
    <w:rsid w:val="000D2BCD"/>
    <w:rsid w:val="000D2BF2"/>
    <w:rsid w:val="000D2CAB"/>
    <w:rsid w:val="000D2F36"/>
    <w:rsid w:val="000D2FE4"/>
    <w:rsid w:val="000D340A"/>
    <w:rsid w:val="000D3505"/>
    <w:rsid w:val="000D3967"/>
    <w:rsid w:val="000D396B"/>
    <w:rsid w:val="000D3AA1"/>
    <w:rsid w:val="000D3B23"/>
    <w:rsid w:val="000D3BC6"/>
    <w:rsid w:val="000D40AE"/>
    <w:rsid w:val="000D41EA"/>
    <w:rsid w:val="000D43E9"/>
    <w:rsid w:val="000D4446"/>
    <w:rsid w:val="000D4614"/>
    <w:rsid w:val="000D47FA"/>
    <w:rsid w:val="000D493A"/>
    <w:rsid w:val="000D4978"/>
    <w:rsid w:val="000D49FE"/>
    <w:rsid w:val="000D504E"/>
    <w:rsid w:val="000D50C8"/>
    <w:rsid w:val="000D5B9F"/>
    <w:rsid w:val="000D647F"/>
    <w:rsid w:val="000D65A5"/>
    <w:rsid w:val="000D65CE"/>
    <w:rsid w:val="000D68D1"/>
    <w:rsid w:val="000D6B32"/>
    <w:rsid w:val="000D6C75"/>
    <w:rsid w:val="000D6C7E"/>
    <w:rsid w:val="000D6DD6"/>
    <w:rsid w:val="000D6DED"/>
    <w:rsid w:val="000D6E55"/>
    <w:rsid w:val="000D73AD"/>
    <w:rsid w:val="000D7554"/>
    <w:rsid w:val="000D7811"/>
    <w:rsid w:val="000D7A4D"/>
    <w:rsid w:val="000D7C60"/>
    <w:rsid w:val="000D7C82"/>
    <w:rsid w:val="000E0002"/>
    <w:rsid w:val="000E03D0"/>
    <w:rsid w:val="000E053C"/>
    <w:rsid w:val="000E078A"/>
    <w:rsid w:val="000E07FF"/>
    <w:rsid w:val="000E0AA5"/>
    <w:rsid w:val="000E0F74"/>
    <w:rsid w:val="000E11C4"/>
    <w:rsid w:val="000E131A"/>
    <w:rsid w:val="000E1383"/>
    <w:rsid w:val="000E13B5"/>
    <w:rsid w:val="000E1481"/>
    <w:rsid w:val="000E1A47"/>
    <w:rsid w:val="000E1D2F"/>
    <w:rsid w:val="000E1EA9"/>
    <w:rsid w:val="000E1FA4"/>
    <w:rsid w:val="000E20C5"/>
    <w:rsid w:val="000E26BE"/>
    <w:rsid w:val="000E2854"/>
    <w:rsid w:val="000E28B1"/>
    <w:rsid w:val="000E2939"/>
    <w:rsid w:val="000E29B2"/>
    <w:rsid w:val="000E3203"/>
    <w:rsid w:val="000E324E"/>
    <w:rsid w:val="000E32C5"/>
    <w:rsid w:val="000E36C0"/>
    <w:rsid w:val="000E37E1"/>
    <w:rsid w:val="000E3EE1"/>
    <w:rsid w:val="000E3F93"/>
    <w:rsid w:val="000E45C5"/>
    <w:rsid w:val="000E47F9"/>
    <w:rsid w:val="000E4CB5"/>
    <w:rsid w:val="000E4E89"/>
    <w:rsid w:val="000E5067"/>
    <w:rsid w:val="000E50E8"/>
    <w:rsid w:val="000E5132"/>
    <w:rsid w:val="000E5198"/>
    <w:rsid w:val="000E52C3"/>
    <w:rsid w:val="000E534B"/>
    <w:rsid w:val="000E5531"/>
    <w:rsid w:val="000E5861"/>
    <w:rsid w:val="000E5E26"/>
    <w:rsid w:val="000E5EDE"/>
    <w:rsid w:val="000E60A7"/>
    <w:rsid w:val="000E627E"/>
    <w:rsid w:val="000E6362"/>
    <w:rsid w:val="000E63C4"/>
    <w:rsid w:val="000E6409"/>
    <w:rsid w:val="000E66A7"/>
    <w:rsid w:val="000E67BA"/>
    <w:rsid w:val="000E6C4E"/>
    <w:rsid w:val="000E7439"/>
    <w:rsid w:val="000E799B"/>
    <w:rsid w:val="000E7AD3"/>
    <w:rsid w:val="000E7B8F"/>
    <w:rsid w:val="000F0242"/>
    <w:rsid w:val="000F02C1"/>
    <w:rsid w:val="000F0384"/>
    <w:rsid w:val="000F05D9"/>
    <w:rsid w:val="000F0774"/>
    <w:rsid w:val="000F09BA"/>
    <w:rsid w:val="000F0A6D"/>
    <w:rsid w:val="000F0C0A"/>
    <w:rsid w:val="000F0FA9"/>
    <w:rsid w:val="000F1140"/>
    <w:rsid w:val="000F14CA"/>
    <w:rsid w:val="000F156E"/>
    <w:rsid w:val="000F15EE"/>
    <w:rsid w:val="000F173D"/>
    <w:rsid w:val="000F179E"/>
    <w:rsid w:val="000F194F"/>
    <w:rsid w:val="000F1E30"/>
    <w:rsid w:val="000F2379"/>
    <w:rsid w:val="000F2485"/>
    <w:rsid w:val="000F24FE"/>
    <w:rsid w:val="000F298B"/>
    <w:rsid w:val="000F2BED"/>
    <w:rsid w:val="000F3AE7"/>
    <w:rsid w:val="000F3CAE"/>
    <w:rsid w:val="000F3FAE"/>
    <w:rsid w:val="000F3FF1"/>
    <w:rsid w:val="000F437A"/>
    <w:rsid w:val="000F4640"/>
    <w:rsid w:val="000F4683"/>
    <w:rsid w:val="000F4962"/>
    <w:rsid w:val="000F4C68"/>
    <w:rsid w:val="000F4EA7"/>
    <w:rsid w:val="000F517E"/>
    <w:rsid w:val="000F55A2"/>
    <w:rsid w:val="000F57B0"/>
    <w:rsid w:val="000F5DF2"/>
    <w:rsid w:val="000F6074"/>
    <w:rsid w:val="000F6184"/>
    <w:rsid w:val="000F6279"/>
    <w:rsid w:val="000F6311"/>
    <w:rsid w:val="000F64EF"/>
    <w:rsid w:val="000F6643"/>
    <w:rsid w:val="000F68B1"/>
    <w:rsid w:val="000F68B4"/>
    <w:rsid w:val="000F6B2D"/>
    <w:rsid w:val="000F6F96"/>
    <w:rsid w:val="000F725D"/>
    <w:rsid w:val="000F74AB"/>
    <w:rsid w:val="000F75BD"/>
    <w:rsid w:val="000F7793"/>
    <w:rsid w:val="000F7A90"/>
    <w:rsid w:val="000F7F61"/>
    <w:rsid w:val="000F7FE5"/>
    <w:rsid w:val="00100175"/>
    <w:rsid w:val="001001E6"/>
    <w:rsid w:val="001005E6"/>
    <w:rsid w:val="0010078F"/>
    <w:rsid w:val="001009DE"/>
    <w:rsid w:val="00100BE7"/>
    <w:rsid w:val="00100C5A"/>
    <w:rsid w:val="00100CBB"/>
    <w:rsid w:val="00100D83"/>
    <w:rsid w:val="00101133"/>
    <w:rsid w:val="00101490"/>
    <w:rsid w:val="00101515"/>
    <w:rsid w:val="00101635"/>
    <w:rsid w:val="001016E3"/>
    <w:rsid w:val="001018D6"/>
    <w:rsid w:val="00101B99"/>
    <w:rsid w:val="00101BD3"/>
    <w:rsid w:val="0010246A"/>
    <w:rsid w:val="00102669"/>
    <w:rsid w:val="00102C4A"/>
    <w:rsid w:val="00102EF5"/>
    <w:rsid w:val="00103100"/>
    <w:rsid w:val="0010326F"/>
    <w:rsid w:val="00103807"/>
    <w:rsid w:val="00103861"/>
    <w:rsid w:val="00103AF7"/>
    <w:rsid w:val="00103E9A"/>
    <w:rsid w:val="00104063"/>
    <w:rsid w:val="00104180"/>
    <w:rsid w:val="00104638"/>
    <w:rsid w:val="001048F2"/>
    <w:rsid w:val="00104F3D"/>
    <w:rsid w:val="00104FC6"/>
    <w:rsid w:val="00105400"/>
    <w:rsid w:val="0010544C"/>
    <w:rsid w:val="001056B2"/>
    <w:rsid w:val="001057B2"/>
    <w:rsid w:val="0010586C"/>
    <w:rsid w:val="00105B95"/>
    <w:rsid w:val="00105D4A"/>
    <w:rsid w:val="00105E57"/>
    <w:rsid w:val="00106185"/>
    <w:rsid w:val="00106224"/>
    <w:rsid w:val="0010626E"/>
    <w:rsid w:val="00106361"/>
    <w:rsid w:val="0010658A"/>
    <w:rsid w:val="001069EE"/>
    <w:rsid w:val="00106B91"/>
    <w:rsid w:val="00106CDA"/>
    <w:rsid w:val="00106EEA"/>
    <w:rsid w:val="00106FF6"/>
    <w:rsid w:val="0010751A"/>
    <w:rsid w:val="00107669"/>
    <w:rsid w:val="001079B6"/>
    <w:rsid w:val="00107B3E"/>
    <w:rsid w:val="001100EC"/>
    <w:rsid w:val="001101C9"/>
    <w:rsid w:val="0011022D"/>
    <w:rsid w:val="001104F5"/>
    <w:rsid w:val="001107C5"/>
    <w:rsid w:val="001109DC"/>
    <w:rsid w:val="00110B24"/>
    <w:rsid w:val="001111D3"/>
    <w:rsid w:val="0011166C"/>
    <w:rsid w:val="00111975"/>
    <w:rsid w:val="00111A21"/>
    <w:rsid w:val="00111A6E"/>
    <w:rsid w:val="00111AFD"/>
    <w:rsid w:val="00111B35"/>
    <w:rsid w:val="00111E0A"/>
    <w:rsid w:val="00111EF1"/>
    <w:rsid w:val="00111EFA"/>
    <w:rsid w:val="00111FD8"/>
    <w:rsid w:val="0011213F"/>
    <w:rsid w:val="001125E2"/>
    <w:rsid w:val="00112849"/>
    <w:rsid w:val="001129A1"/>
    <w:rsid w:val="00112B17"/>
    <w:rsid w:val="00112B6C"/>
    <w:rsid w:val="00112EDF"/>
    <w:rsid w:val="00112F0A"/>
    <w:rsid w:val="001133C3"/>
    <w:rsid w:val="0011349D"/>
    <w:rsid w:val="001134AF"/>
    <w:rsid w:val="0011366B"/>
    <w:rsid w:val="001136E6"/>
    <w:rsid w:val="00113744"/>
    <w:rsid w:val="00113872"/>
    <w:rsid w:val="001138BA"/>
    <w:rsid w:val="00113C12"/>
    <w:rsid w:val="00113F70"/>
    <w:rsid w:val="0011414C"/>
    <w:rsid w:val="00114155"/>
    <w:rsid w:val="001141E4"/>
    <w:rsid w:val="0011448B"/>
    <w:rsid w:val="00114886"/>
    <w:rsid w:val="00114AE8"/>
    <w:rsid w:val="00114B93"/>
    <w:rsid w:val="00114D02"/>
    <w:rsid w:val="00114D74"/>
    <w:rsid w:val="00114DFF"/>
    <w:rsid w:val="001154D1"/>
    <w:rsid w:val="001156D8"/>
    <w:rsid w:val="00115817"/>
    <w:rsid w:val="00115844"/>
    <w:rsid w:val="00115910"/>
    <w:rsid w:val="00115993"/>
    <w:rsid w:val="00115D96"/>
    <w:rsid w:val="00116001"/>
    <w:rsid w:val="001160EE"/>
    <w:rsid w:val="00116102"/>
    <w:rsid w:val="00116109"/>
    <w:rsid w:val="00116373"/>
    <w:rsid w:val="00116820"/>
    <w:rsid w:val="00116821"/>
    <w:rsid w:val="00116857"/>
    <w:rsid w:val="00116977"/>
    <w:rsid w:val="001169CD"/>
    <w:rsid w:val="00116BC5"/>
    <w:rsid w:val="00116BD0"/>
    <w:rsid w:val="00116F46"/>
    <w:rsid w:val="001170B1"/>
    <w:rsid w:val="001170EB"/>
    <w:rsid w:val="00117101"/>
    <w:rsid w:val="0011714D"/>
    <w:rsid w:val="0011737B"/>
    <w:rsid w:val="001174C1"/>
    <w:rsid w:val="001179F3"/>
    <w:rsid w:val="00117B99"/>
    <w:rsid w:val="00117D75"/>
    <w:rsid w:val="00117EF0"/>
    <w:rsid w:val="00120823"/>
    <w:rsid w:val="00120A7F"/>
    <w:rsid w:val="00120ACD"/>
    <w:rsid w:val="00120D3A"/>
    <w:rsid w:val="00120EC0"/>
    <w:rsid w:val="00121103"/>
    <w:rsid w:val="00121409"/>
    <w:rsid w:val="001215E6"/>
    <w:rsid w:val="001217C1"/>
    <w:rsid w:val="0012192A"/>
    <w:rsid w:val="00121947"/>
    <w:rsid w:val="00121ACF"/>
    <w:rsid w:val="00121AE0"/>
    <w:rsid w:val="00121C1F"/>
    <w:rsid w:val="00122B75"/>
    <w:rsid w:val="00122FE7"/>
    <w:rsid w:val="00123108"/>
    <w:rsid w:val="001232EF"/>
    <w:rsid w:val="00123481"/>
    <w:rsid w:val="00123BE6"/>
    <w:rsid w:val="0012407C"/>
    <w:rsid w:val="00124209"/>
    <w:rsid w:val="00124276"/>
    <w:rsid w:val="00124326"/>
    <w:rsid w:val="00124354"/>
    <w:rsid w:val="001243BB"/>
    <w:rsid w:val="00124D2E"/>
    <w:rsid w:val="00125661"/>
    <w:rsid w:val="0012581D"/>
    <w:rsid w:val="00125890"/>
    <w:rsid w:val="00125A48"/>
    <w:rsid w:val="00125A55"/>
    <w:rsid w:val="00125B13"/>
    <w:rsid w:val="00125E0A"/>
    <w:rsid w:val="001268A4"/>
    <w:rsid w:val="00126A26"/>
    <w:rsid w:val="00126AE1"/>
    <w:rsid w:val="00126E8B"/>
    <w:rsid w:val="00126F83"/>
    <w:rsid w:val="00127173"/>
    <w:rsid w:val="001272AD"/>
    <w:rsid w:val="0012758A"/>
    <w:rsid w:val="001275A9"/>
    <w:rsid w:val="00127607"/>
    <w:rsid w:val="00127687"/>
    <w:rsid w:val="001277DB"/>
    <w:rsid w:val="00127AF7"/>
    <w:rsid w:val="00130026"/>
    <w:rsid w:val="0013063F"/>
    <w:rsid w:val="00130860"/>
    <w:rsid w:val="00130880"/>
    <w:rsid w:val="00130DDD"/>
    <w:rsid w:val="0013142A"/>
    <w:rsid w:val="001314C0"/>
    <w:rsid w:val="0013157D"/>
    <w:rsid w:val="001316A4"/>
    <w:rsid w:val="00131755"/>
    <w:rsid w:val="00131A62"/>
    <w:rsid w:val="00131AB1"/>
    <w:rsid w:val="00131AB7"/>
    <w:rsid w:val="00131CF3"/>
    <w:rsid w:val="00131DE7"/>
    <w:rsid w:val="001324EE"/>
    <w:rsid w:val="0013285E"/>
    <w:rsid w:val="00132883"/>
    <w:rsid w:val="00132CBB"/>
    <w:rsid w:val="001331A5"/>
    <w:rsid w:val="00133416"/>
    <w:rsid w:val="00133502"/>
    <w:rsid w:val="00133565"/>
    <w:rsid w:val="001335EE"/>
    <w:rsid w:val="001336D5"/>
    <w:rsid w:val="001336FC"/>
    <w:rsid w:val="00133AD1"/>
    <w:rsid w:val="00133DD9"/>
    <w:rsid w:val="00133FDA"/>
    <w:rsid w:val="00133FF0"/>
    <w:rsid w:val="00134187"/>
    <w:rsid w:val="00134513"/>
    <w:rsid w:val="001347B9"/>
    <w:rsid w:val="00134858"/>
    <w:rsid w:val="001349A8"/>
    <w:rsid w:val="00134A65"/>
    <w:rsid w:val="00134C4A"/>
    <w:rsid w:val="00135127"/>
    <w:rsid w:val="00135282"/>
    <w:rsid w:val="00135619"/>
    <w:rsid w:val="00135670"/>
    <w:rsid w:val="0013571C"/>
    <w:rsid w:val="00135BA9"/>
    <w:rsid w:val="00135BD5"/>
    <w:rsid w:val="00135FD6"/>
    <w:rsid w:val="00136287"/>
    <w:rsid w:val="001362A0"/>
    <w:rsid w:val="00136444"/>
    <w:rsid w:val="00136469"/>
    <w:rsid w:val="001364E0"/>
    <w:rsid w:val="00136526"/>
    <w:rsid w:val="00136A1E"/>
    <w:rsid w:val="00136A78"/>
    <w:rsid w:val="00136C71"/>
    <w:rsid w:val="00136C7C"/>
    <w:rsid w:val="00136CC7"/>
    <w:rsid w:val="00136EFC"/>
    <w:rsid w:val="001370E4"/>
    <w:rsid w:val="001371F4"/>
    <w:rsid w:val="001372B4"/>
    <w:rsid w:val="00137365"/>
    <w:rsid w:val="001373DB"/>
    <w:rsid w:val="001374D8"/>
    <w:rsid w:val="001375AC"/>
    <w:rsid w:val="00137A4D"/>
    <w:rsid w:val="00137B60"/>
    <w:rsid w:val="00137DB3"/>
    <w:rsid w:val="00140331"/>
    <w:rsid w:val="001406B1"/>
    <w:rsid w:val="001406E7"/>
    <w:rsid w:val="00140756"/>
    <w:rsid w:val="00140CF4"/>
    <w:rsid w:val="00140CF6"/>
    <w:rsid w:val="0014152F"/>
    <w:rsid w:val="001416C0"/>
    <w:rsid w:val="00141759"/>
    <w:rsid w:val="00141A47"/>
    <w:rsid w:val="00141D59"/>
    <w:rsid w:val="00142220"/>
    <w:rsid w:val="001422F9"/>
    <w:rsid w:val="00142732"/>
    <w:rsid w:val="001429C9"/>
    <w:rsid w:val="00142F3F"/>
    <w:rsid w:val="001432B6"/>
    <w:rsid w:val="00143384"/>
    <w:rsid w:val="0014341B"/>
    <w:rsid w:val="0014351B"/>
    <w:rsid w:val="0014371F"/>
    <w:rsid w:val="00143800"/>
    <w:rsid w:val="0014382D"/>
    <w:rsid w:val="00143B3E"/>
    <w:rsid w:val="00143CB4"/>
    <w:rsid w:val="00143EAA"/>
    <w:rsid w:val="00143EF6"/>
    <w:rsid w:val="001447F9"/>
    <w:rsid w:val="00144A38"/>
    <w:rsid w:val="00144B02"/>
    <w:rsid w:val="00144C8F"/>
    <w:rsid w:val="00144D84"/>
    <w:rsid w:val="001450B5"/>
    <w:rsid w:val="001456E4"/>
    <w:rsid w:val="00145A14"/>
    <w:rsid w:val="00145C2E"/>
    <w:rsid w:val="00145C9D"/>
    <w:rsid w:val="001462D9"/>
    <w:rsid w:val="00146870"/>
    <w:rsid w:val="00146A12"/>
    <w:rsid w:val="00146A7D"/>
    <w:rsid w:val="00146B49"/>
    <w:rsid w:val="00146B78"/>
    <w:rsid w:val="00146D3D"/>
    <w:rsid w:val="00146E14"/>
    <w:rsid w:val="00146FB3"/>
    <w:rsid w:val="00147172"/>
    <w:rsid w:val="00147370"/>
    <w:rsid w:val="001473AD"/>
    <w:rsid w:val="001473D5"/>
    <w:rsid w:val="00147760"/>
    <w:rsid w:val="00147A73"/>
    <w:rsid w:val="00147B22"/>
    <w:rsid w:val="00147E04"/>
    <w:rsid w:val="00147E17"/>
    <w:rsid w:val="001500B8"/>
    <w:rsid w:val="00150DD8"/>
    <w:rsid w:val="001516D4"/>
    <w:rsid w:val="001517DC"/>
    <w:rsid w:val="001519E2"/>
    <w:rsid w:val="00151D0C"/>
    <w:rsid w:val="00151D53"/>
    <w:rsid w:val="001520C4"/>
    <w:rsid w:val="001521BA"/>
    <w:rsid w:val="0015225E"/>
    <w:rsid w:val="001523A1"/>
    <w:rsid w:val="001527A4"/>
    <w:rsid w:val="001528BA"/>
    <w:rsid w:val="00152AA6"/>
    <w:rsid w:val="00152B8F"/>
    <w:rsid w:val="00152C88"/>
    <w:rsid w:val="00152E79"/>
    <w:rsid w:val="00153437"/>
    <w:rsid w:val="001535C0"/>
    <w:rsid w:val="00153918"/>
    <w:rsid w:val="00153B45"/>
    <w:rsid w:val="00153D0D"/>
    <w:rsid w:val="00154064"/>
    <w:rsid w:val="001540D5"/>
    <w:rsid w:val="0015445B"/>
    <w:rsid w:val="0015448C"/>
    <w:rsid w:val="00154874"/>
    <w:rsid w:val="00154894"/>
    <w:rsid w:val="00154B3F"/>
    <w:rsid w:val="00154CD4"/>
    <w:rsid w:val="00154D7E"/>
    <w:rsid w:val="00154E6A"/>
    <w:rsid w:val="00154EA4"/>
    <w:rsid w:val="00154F38"/>
    <w:rsid w:val="00154F54"/>
    <w:rsid w:val="0015505D"/>
    <w:rsid w:val="0015536B"/>
    <w:rsid w:val="00155717"/>
    <w:rsid w:val="0015572E"/>
    <w:rsid w:val="0015572F"/>
    <w:rsid w:val="0015591B"/>
    <w:rsid w:val="00156137"/>
    <w:rsid w:val="001562C0"/>
    <w:rsid w:val="00156832"/>
    <w:rsid w:val="00156D99"/>
    <w:rsid w:val="00156D9D"/>
    <w:rsid w:val="00156E11"/>
    <w:rsid w:val="00156F57"/>
    <w:rsid w:val="001576D6"/>
    <w:rsid w:val="00157931"/>
    <w:rsid w:val="00157A79"/>
    <w:rsid w:val="00157ACD"/>
    <w:rsid w:val="00157D52"/>
    <w:rsid w:val="00160210"/>
    <w:rsid w:val="0016050C"/>
    <w:rsid w:val="001605E2"/>
    <w:rsid w:val="001607A6"/>
    <w:rsid w:val="001607E7"/>
    <w:rsid w:val="00160A48"/>
    <w:rsid w:val="00160EC3"/>
    <w:rsid w:val="001610F8"/>
    <w:rsid w:val="001614BC"/>
    <w:rsid w:val="001614FA"/>
    <w:rsid w:val="00161CC8"/>
    <w:rsid w:val="00161D4B"/>
    <w:rsid w:val="00161D87"/>
    <w:rsid w:val="00161E03"/>
    <w:rsid w:val="00161F25"/>
    <w:rsid w:val="00162830"/>
    <w:rsid w:val="001628A1"/>
    <w:rsid w:val="00162B61"/>
    <w:rsid w:val="00162D63"/>
    <w:rsid w:val="00162E42"/>
    <w:rsid w:val="00162EE5"/>
    <w:rsid w:val="00162FC1"/>
    <w:rsid w:val="001631E6"/>
    <w:rsid w:val="0016350F"/>
    <w:rsid w:val="001636DB"/>
    <w:rsid w:val="00163921"/>
    <w:rsid w:val="00163977"/>
    <w:rsid w:val="001640F0"/>
    <w:rsid w:val="00164770"/>
    <w:rsid w:val="00164A72"/>
    <w:rsid w:val="00164CB0"/>
    <w:rsid w:val="00164FCF"/>
    <w:rsid w:val="001651E6"/>
    <w:rsid w:val="00165439"/>
    <w:rsid w:val="001654D0"/>
    <w:rsid w:val="00165A6D"/>
    <w:rsid w:val="00165AA3"/>
    <w:rsid w:val="00165BC2"/>
    <w:rsid w:val="00165EDD"/>
    <w:rsid w:val="00166192"/>
    <w:rsid w:val="001661F3"/>
    <w:rsid w:val="00166496"/>
    <w:rsid w:val="001664D3"/>
    <w:rsid w:val="001664E4"/>
    <w:rsid w:val="001665FE"/>
    <w:rsid w:val="00166C0F"/>
    <w:rsid w:val="00166CA2"/>
    <w:rsid w:val="00166DEA"/>
    <w:rsid w:val="00166EDD"/>
    <w:rsid w:val="00167374"/>
    <w:rsid w:val="001673C3"/>
    <w:rsid w:val="001674DC"/>
    <w:rsid w:val="00167635"/>
    <w:rsid w:val="00167735"/>
    <w:rsid w:val="00167C6D"/>
    <w:rsid w:val="00167C9D"/>
    <w:rsid w:val="001701A5"/>
    <w:rsid w:val="001702DD"/>
    <w:rsid w:val="00170434"/>
    <w:rsid w:val="001704DD"/>
    <w:rsid w:val="0017058D"/>
    <w:rsid w:val="001705C4"/>
    <w:rsid w:val="00170652"/>
    <w:rsid w:val="0017096D"/>
    <w:rsid w:val="001710B9"/>
    <w:rsid w:val="001711DC"/>
    <w:rsid w:val="001715E3"/>
    <w:rsid w:val="001715E8"/>
    <w:rsid w:val="00171FC4"/>
    <w:rsid w:val="00171FCA"/>
    <w:rsid w:val="00172065"/>
    <w:rsid w:val="00172171"/>
    <w:rsid w:val="001721BE"/>
    <w:rsid w:val="00172202"/>
    <w:rsid w:val="001724DB"/>
    <w:rsid w:val="00172548"/>
    <w:rsid w:val="001726F3"/>
    <w:rsid w:val="00172989"/>
    <w:rsid w:val="001729A7"/>
    <w:rsid w:val="00172C5F"/>
    <w:rsid w:val="00172CC2"/>
    <w:rsid w:val="00172EF5"/>
    <w:rsid w:val="0017304E"/>
    <w:rsid w:val="0017306D"/>
    <w:rsid w:val="0017307A"/>
    <w:rsid w:val="00173084"/>
    <w:rsid w:val="001733DC"/>
    <w:rsid w:val="001738DA"/>
    <w:rsid w:val="00173950"/>
    <w:rsid w:val="00173A10"/>
    <w:rsid w:val="00173ECF"/>
    <w:rsid w:val="00173F14"/>
    <w:rsid w:val="00174114"/>
    <w:rsid w:val="00174141"/>
    <w:rsid w:val="001741EE"/>
    <w:rsid w:val="001742DB"/>
    <w:rsid w:val="00174474"/>
    <w:rsid w:val="0017459E"/>
    <w:rsid w:val="001747E9"/>
    <w:rsid w:val="0017499C"/>
    <w:rsid w:val="00174A16"/>
    <w:rsid w:val="00174C03"/>
    <w:rsid w:val="00175102"/>
    <w:rsid w:val="001755D5"/>
    <w:rsid w:val="001758D1"/>
    <w:rsid w:val="00175930"/>
    <w:rsid w:val="00175AC6"/>
    <w:rsid w:val="00175B13"/>
    <w:rsid w:val="00175B60"/>
    <w:rsid w:val="00175B6E"/>
    <w:rsid w:val="00175BA5"/>
    <w:rsid w:val="00175C28"/>
    <w:rsid w:val="00175D3A"/>
    <w:rsid w:val="00175DB1"/>
    <w:rsid w:val="00175F56"/>
    <w:rsid w:val="00176012"/>
    <w:rsid w:val="00176148"/>
    <w:rsid w:val="001761C1"/>
    <w:rsid w:val="001762F7"/>
    <w:rsid w:val="00176650"/>
    <w:rsid w:val="00176E0C"/>
    <w:rsid w:val="001773CD"/>
    <w:rsid w:val="0017781C"/>
    <w:rsid w:val="00177856"/>
    <w:rsid w:val="001778FE"/>
    <w:rsid w:val="00177B6C"/>
    <w:rsid w:val="00177F0E"/>
    <w:rsid w:val="0018009D"/>
    <w:rsid w:val="00180544"/>
    <w:rsid w:val="00180780"/>
    <w:rsid w:val="001808AF"/>
    <w:rsid w:val="00180920"/>
    <w:rsid w:val="00180B8F"/>
    <w:rsid w:val="00180C30"/>
    <w:rsid w:val="00180CD7"/>
    <w:rsid w:val="00180E29"/>
    <w:rsid w:val="00180E31"/>
    <w:rsid w:val="00181279"/>
    <w:rsid w:val="00181322"/>
    <w:rsid w:val="0018136B"/>
    <w:rsid w:val="00181655"/>
    <w:rsid w:val="00181914"/>
    <w:rsid w:val="0018196F"/>
    <w:rsid w:val="00181A01"/>
    <w:rsid w:val="00181A47"/>
    <w:rsid w:val="00181BB6"/>
    <w:rsid w:val="00181CD1"/>
    <w:rsid w:val="00181DB2"/>
    <w:rsid w:val="001823A2"/>
    <w:rsid w:val="0018263E"/>
    <w:rsid w:val="0018278C"/>
    <w:rsid w:val="0018293E"/>
    <w:rsid w:val="001829A3"/>
    <w:rsid w:val="00182A72"/>
    <w:rsid w:val="00182D8E"/>
    <w:rsid w:val="00182D98"/>
    <w:rsid w:val="00182E0F"/>
    <w:rsid w:val="00182E69"/>
    <w:rsid w:val="00182FA5"/>
    <w:rsid w:val="001830AA"/>
    <w:rsid w:val="001830D0"/>
    <w:rsid w:val="00183E6E"/>
    <w:rsid w:val="00183F7D"/>
    <w:rsid w:val="001841FA"/>
    <w:rsid w:val="00184257"/>
    <w:rsid w:val="0018427D"/>
    <w:rsid w:val="001846EF"/>
    <w:rsid w:val="00184801"/>
    <w:rsid w:val="00184ACE"/>
    <w:rsid w:val="00184F9E"/>
    <w:rsid w:val="001853B8"/>
    <w:rsid w:val="00185550"/>
    <w:rsid w:val="001857DF"/>
    <w:rsid w:val="00186025"/>
    <w:rsid w:val="0018614F"/>
    <w:rsid w:val="001863F1"/>
    <w:rsid w:val="00186525"/>
    <w:rsid w:val="00186875"/>
    <w:rsid w:val="001868F9"/>
    <w:rsid w:val="00186C31"/>
    <w:rsid w:val="00186D05"/>
    <w:rsid w:val="0018712B"/>
    <w:rsid w:val="00187132"/>
    <w:rsid w:val="0018742D"/>
    <w:rsid w:val="00187747"/>
    <w:rsid w:val="001879F5"/>
    <w:rsid w:val="00187C65"/>
    <w:rsid w:val="00187C8A"/>
    <w:rsid w:val="00187D2D"/>
    <w:rsid w:val="00187D85"/>
    <w:rsid w:val="00190058"/>
    <w:rsid w:val="00190590"/>
    <w:rsid w:val="0019068D"/>
    <w:rsid w:val="00190760"/>
    <w:rsid w:val="00190770"/>
    <w:rsid w:val="00190AA4"/>
    <w:rsid w:val="00190B4E"/>
    <w:rsid w:val="00190D27"/>
    <w:rsid w:val="00190DFC"/>
    <w:rsid w:val="00190F0C"/>
    <w:rsid w:val="00190FE5"/>
    <w:rsid w:val="00191B34"/>
    <w:rsid w:val="00191ED2"/>
    <w:rsid w:val="00191F43"/>
    <w:rsid w:val="0019229E"/>
    <w:rsid w:val="001926F3"/>
    <w:rsid w:val="00192979"/>
    <w:rsid w:val="00192ACA"/>
    <w:rsid w:val="00192D22"/>
    <w:rsid w:val="00192D65"/>
    <w:rsid w:val="001935FE"/>
    <w:rsid w:val="00193603"/>
    <w:rsid w:val="001938BE"/>
    <w:rsid w:val="0019397A"/>
    <w:rsid w:val="00193CD6"/>
    <w:rsid w:val="00193D52"/>
    <w:rsid w:val="00193DDF"/>
    <w:rsid w:val="00194140"/>
    <w:rsid w:val="00194433"/>
    <w:rsid w:val="00194467"/>
    <w:rsid w:val="001948C8"/>
    <w:rsid w:val="00194D20"/>
    <w:rsid w:val="00194D56"/>
    <w:rsid w:val="00194DE7"/>
    <w:rsid w:val="001951DB"/>
    <w:rsid w:val="001955EF"/>
    <w:rsid w:val="0019569F"/>
    <w:rsid w:val="0019593B"/>
    <w:rsid w:val="00195A85"/>
    <w:rsid w:val="00195BA5"/>
    <w:rsid w:val="00195BAB"/>
    <w:rsid w:val="00195C3F"/>
    <w:rsid w:val="00195E07"/>
    <w:rsid w:val="00196266"/>
    <w:rsid w:val="001962B7"/>
    <w:rsid w:val="00196636"/>
    <w:rsid w:val="00196694"/>
    <w:rsid w:val="0019674F"/>
    <w:rsid w:val="00196763"/>
    <w:rsid w:val="00196FF1"/>
    <w:rsid w:val="00196FF5"/>
    <w:rsid w:val="00197010"/>
    <w:rsid w:val="00197232"/>
    <w:rsid w:val="0019726A"/>
    <w:rsid w:val="00197323"/>
    <w:rsid w:val="001973C8"/>
    <w:rsid w:val="00197772"/>
    <w:rsid w:val="00197A10"/>
    <w:rsid w:val="00197A1E"/>
    <w:rsid w:val="00197AA7"/>
    <w:rsid w:val="00197CCF"/>
    <w:rsid w:val="00197D95"/>
    <w:rsid w:val="001A01D0"/>
    <w:rsid w:val="001A03B5"/>
    <w:rsid w:val="001A04E7"/>
    <w:rsid w:val="001A04F4"/>
    <w:rsid w:val="001A0520"/>
    <w:rsid w:val="001A070B"/>
    <w:rsid w:val="001A0742"/>
    <w:rsid w:val="001A09A6"/>
    <w:rsid w:val="001A0C83"/>
    <w:rsid w:val="001A0DF6"/>
    <w:rsid w:val="001A0E15"/>
    <w:rsid w:val="001A1347"/>
    <w:rsid w:val="001A13CC"/>
    <w:rsid w:val="001A13DA"/>
    <w:rsid w:val="001A13E2"/>
    <w:rsid w:val="001A1585"/>
    <w:rsid w:val="001A1607"/>
    <w:rsid w:val="001A16F4"/>
    <w:rsid w:val="001A1787"/>
    <w:rsid w:val="001A1819"/>
    <w:rsid w:val="001A1AD4"/>
    <w:rsid w:val="001A1AF6"/>
    <w:rsid w:val="001A1B32"/>
    <w:rsid w:val="001A1C69"/>
    <w:rsid w:val="001A1F48"/>
    <w:rsid w:val="001A20DD"/>
    <w:rsid w:val="001A272D"/>
    <w:rsid w:val="001A27FC"/>
    <w:rsid w:val="001A2C08"/>
    <w:rsid w:val="001A2D38"/>
    <w:rsid w:val="001A2F46"/>
    <w:rsid w:val="001A32FB"/>
    <w:rsid w:val="001A3358"/>
    <w:rsid w:val="001A3888"/>
    <w:rsid w:val="001A3B42"/>
    <w:rsid w:val="001A3C4D"/>
    <w:rsid w:val="001A412C"/>
    <w:rsid w:val="001A432E"/>
    <w:rsid w:val="001A4467"/>
    <w:rsid w:val="001A4492"/>
    <w:rsid w:val="001A47DD"/>
    <w:rsid w:val="001A47F5"/>
    <w:rsid w:val="001A5161"/>
    <w:rsid w:val="001A5659"/>
    <w:rsid w:val="001A5D6B"/>
    <w:rsid w:val="001A60A8"/>
    <w:rsid w:val="001A6108"/>
    <w:rsid w:val="001A618E"/>
    <w:rsid w:val="001A63F6"/>
    <w:rsid w:val="001A66CD"/>
    <w:rsid w:val="001A693D"/>
    <w:rsid w:val="001A69A6"/>
    <w:rsid w:val="001A6A25"/>
    <w:rsid w:val="001A6A80"/>
    <w:rsid w:val="001A6AF7"/>
    <w:rsid w:val="001A6DA1"/>
    <w:rsid w:val="001A6FB2"/>
    <w:rsid w:val="001A7024"/>
    <w:rsid w:val="001A7138"/>
    <w:rsid w:val="001A7363"/>
    <w:rsid w:val="001A7375"/>
    <w:rsid w:val="001A7901"/>
    <w:rsid w:val="001A7943"/>
    <w:rsid w:val="001A7949"/>
    <w:rsid w:val="001A7AC0"/>
    <w:rsid w:val="001A7B23"/>
    <w:rsid w:val="001B02F7"/>
    <w:rsid w:val="001B0587"/>
    <w:rsid w:val="001B0836"/>
    <w:rsid w:val="001B09C3"/>
    <w:rsid w:val="001B0F35"/>
    <w:rsid w:val="001B15FE"/>
    <w:rsid w:val="001B1930"/>
    <w:rsid w:val="001B19F9"/>
    <w:rsid w:val="001B1B24"/>
    <w:rsid w:val="001B1B35"/>
    <w:rsid w:val="001B1FD2"/>
    <w:rsid w:val="001B2058"/>
    <w:rsid w:val="001B2281"/>
    <w:rsid w:val="001B24D0"/>
    <w:rsid w:val="001B24F5"/>
    <w:rsid w:val="001B2607"/>
    <w:rsid w:val="001B28F8"/>
    <w:rsid w:val="001B299A"/>
    <w:rsid w:val="001B2D2E"/>
    <w:rsid w:val="001B2D76"/>
    <w:rsid w:val="001B2E43"/>
    <w:rsid w:val="001B31B5"/>
    <w:rsid w:val="001B31D2"/>
    <w:rsid w:val="001B321F"/>
    <w:rsid w:val="001B34A1"/>
    <w:rsid w:val="001B34AC"/>
    <w:rsid w:val="001B3608"/>
    <w:rsid w:val="001B3BE5"/>
    <w:rsid w:val="001B4147"/>
    <w:rsid w:val="001B43DD"/>
    <w:rsid w:val="001B4456"/>
    <w:rsid w:val="001B45C0"/>
    <w:rsid w:val="001B489D"/>
    <w:rsid w:val="001B4D78"/>
    <w:rsid w:val="001B5006"/>
    <w:rsid w:val="001B507B"/>
    <w:rsid w:val="001B5400"/>
    <w:rsid w:val="001B578D"/>
    <w:rsid w:val="001B58AE"/>
    <w:rsid w:val="001B5D07"/>
    <w:rsid w:val="001B5D3B"/>
    <w:rsid w:val="001B5E85"/>
    <w:rsid w:val="001B6296"/>
    <w:rsid w:val="001B649F"/>
    <w:rsid w:val="001B6551"/>
    <w:rsid w:val="001B65CB"/>
    <w:rsid w:val="001B6990"/>
    <w:rsid w:val="001B6998"/>
    <w:rsid w:val="001B69FE"/>
    <w:rsid w:val="001B6ADB"/>
    <w:rsid w:val="001B6C74"/>
    <w:rsid w:val="001B6D5E"/>
    <w:rsid w:val="001B7B11"/>
    <w:rsid w:val="001B7CCB"/>
    <w:rsid w:val="001B7F4B"/>
    <w:rsid w:val="001C009C"/>
    <w:rsid w:val="001C01D5"/>
    <w:rsid w:val="001C020A"/>
    <w:rsid w:val="001C0329"/>
    <w:rsid w:val="001C037E"/>
    <w:rsid w:val="001C0693"/>
    <w:rsid w:val="001C08BE"/>
    <w:rsid w:val="001C0925"/>
    <w:rsid w:val="001C094B"/>
    <w:rsid w:val="001C09C9"/>
    <w:rsid w:val="001C0A17"/>
    <w:rsid w:val="001C0C75"/>
    <w:rsid w:val="001C0D2E"/>
    <w:rsid w:val="001C1147"/>
    <w:rsid w:val="001C11C4"/>
    <w:rsid w:val="001C12B3"/>
    <w:rsid w:val="001C133A"/>
    <w:rsid w:val="001C138A"/>
    <w:rsid w:val="001C14DD"/>
    <w:rsid w:val="001C159D"/>
    <w:rsid w:val="001C1670"/>
    <w:rsid w:val="001C1795"/>
    <w:rsid w:val="001C193B"/>
    <w:rsid w:val="001C2298"/>
    <w:rsid w:val="001C23CD"/>
    <w:rsid w:val="001C28C1"/>
    <w:rsid w:val="001C2A23"/>
    <w:rsid w:val="001C2A69"/>
    <w:rsid w:val="001C2BA8"/>
    <w:rsid w:val="001C2FAC"/>
    <w:rsid w:val="001C347F"/>
    <w:rsid w:val="001C352A"/>
    <w:rsid w:val="001C358F"/>
    <w:rsid w:val="001C36CB"/>
    <w:rsid w:val="001C3933"/>
    <w:rsid w:val="001C3B15"/>
    <w:rsid w:val="001C3C7A"/>
    <w:rsid w:val="001C3FBA"/>
    <w:rsid w:val="001C4096"/>
    <w:rsid w:val="001C4379"/>
    <w:rsid w:val="001C44DC"/>
    <w:rsid w:val="001C458F"/>
    <w:rsid w:val="001C4A3E"/>
    <w:rsid w:val="001C4B6D"/>
    <w:rsid w:val="001C4C38"/>
    <w:rsid w:val="001C4DC3"/>
    <w:rsid w:val="001C4FD4"/>
    <w:rsid w:val="001C5005"/>
    <w:rsid w:val="001C524E"/>
    <w:rsid w:val="001C5368"/>
    <w:rsid w:val="001C53EA"/>
    <w:rsid w:val="001C55D2"/>
    <w:rsid w:val="001C5A1E"/>
    <w:rsid w:val="001C5A3B"/>
    <w:rsid w:val="001C6241"/>
    <w:rsid w:val="001C6340"/>
    <w:rsid w:val="001C6C5D"/>
    <w:rsid w:val="001C6EDB"/>
    <w:rsid w:val="001C6F99"/>
    <w:rsid w:val="001C7155"/>
    <w:rsid w:val="001C71A1"/>
    <w:rsid w:val="001C75F9"/>
    <w:rsid w:val="001C7637"/>
    <w:rsid w:val="001C7856"/>
    <w:rsid w:val="001C7907"/>
    <w:rsid w:val="001D01E6"/>
    <w:rsid w:val="001D02CF"/>
    <w:rsid w:val="001D0342"/>
    <w:rsid w:val="001D0490"/>
    <w:rsid w:val="001D0984"/>
    <w:rsid w:val="001D09EE"/>
    <w:rsid w:val="001D0BBF"/>
    <w:rsid w:val="001D0FCF"/>
    <w:rsid w:val="001D143B"/>
    <w:rsid w:val="001D1501"/>
    <w:rsid w:val="001D1579"/>
    <w:rsid w:val="001D1744"/>
    <w:rsid w:val="001D19E7"/>
    <w:rsid w:val="001D1AD7"/>
    <w:rsid w:val="001D1B24"/>
    <w:rsid w:val="001D1B39"/>
    <w:rsid w:val="001D1ED9"/>
    <w:rsid w:val="001D2097"/>
    <w:rsid w:val="001D23F1"/>
    <w:rsid w:val="001D256D"/>
    <w:rsid w:val="001D29C7"/>
    <w:rsid w:val="001D2A28"/>
    <w:rsid w:val="001D2CCB"/>
    <w:rsid w:val="001D2F5D"/>
    <w:rsid w:val="001D3179"/>
    <w:rsid w:val="001D3435"/>
    <w:rsid w:val="001D3492"/>
    <w:rsid w:val="001D3631"/>
    <w:rsid w:val="001D3A5D"/>
    <w:rsid w:val="001D3D82"/>
    <w:rsid w:val="001D3E29"/>
    <w:rsid w:val="001D3E5B"/>
    <w:rsid w:val="001D3F4C"/>
    <w:rsid w:val="001D4973"/>
    <w:rsid w:val="001D4A0B"/>
    <w:rsid w:val="001D4BC5"/>
    <w:rsid w:val="001D4CD0"/>
    <w:rsid w:val="001D4CFB"/>
    <w:rsid w:val="001D509E"/>
    <w:rsid w:val="001D5395"/>
    <w:rsid w:val="001D5716"/>
    <w:rsid w:val="001D571D"/>
    <w:rsid w:val="001D59F7"/>
    <w:rsid w:val="001D5E61"/>
    <w:rsid w:val="001D61E8"/>
    <w:rsid w:val="001D622D"/>
    <w:rsid w:val="001D6360"/>
    <w:rsid w:val="001D64D1"/>
    <w:rsid w:val="001D6507"/>
    <w:rsid w:val="001D6831"/>
    <w:rsid w:val="001D69FC"/>
    <w:rsid w:val="001D6A1E"/>
    <w:rsid w:val="001D6B4D"/>
    <w:rsid w:val="001D6D0A"/>
    <w:rsid w:val="001D70D8"/>
    <w:rsid w:val="001D71CA"/>
    <w:rsid w:val="001D7283"/>
    <w:rsid w:val="001D74EE"/>
    <w:rsid w:val="001D757E"/>
    <w:rsid w:val="001D7660"/>
    <w:rsid w:val="001D7702"/>
    <w:rsid w:val="001D776E"/>
    <w:rsid w:val="001D78B4"/>
    <w:rsid w:val="001D7C9A"/>
    <w:rsid w:val="001D7F9E"/>
    <w:rsid w:val="001E04A7"/>
    <w:rsid w:val="001E059E"/>
    <w:rsid w:val="001E072C"/>
    <w:rsid w:val="001E0920"/>
    <w:rsid w:val="001E0A38"/>
    <w:rsid w:val="001E0B28"/>
    <w:rsid w:val="001E0B81"/>
    <w:rsid w:val="001E1047"/>
    <w:rsid w:val="001E10CC"/>
    <w:rsid w:val="001E1166"/>
    <w:rsid w:val="001E14A3"/>
    <w:rsid w:val="001E1594"/>
    <w:rsid w:val="001E19C5"/>
    <w:rsid w:val="001E19FF"/>
    <w:rsid w:val="001E20D7"/>
    <w:rsid w:val="001E2139"/>
    <w:rsid w:val="001E21ED"/>
    <w:rsid w:val="001E2656"/>
    <w:rsid w:val="001E27CC"/>
    <w:rsid w:val="001E27DD"/>
    <w:rsid w:val="001E290B"/>
    <w:rsid w:val="001E296C"/>
    <w:rsid w:val="001E2E46"/>
    <w:rsid w:val="001E2EA9"/>
    <w:rsid w:val="001E2EE7"/>
    <w:rsid w:val="001E2F44"/>
    <w:rsid w:val="001E35FE"/>
    <w:rsid w:val="001E36CC"/>
    <w:rsid w:val="001E38C3"/>
    <w:rsid w:val="001E3960"/>
    <w:rsid w:val="001E3A25"/>
    <w:rsid w:val="001E3EEB"/>
    <w:rsid w:val="001E3F06"/>
    <w:rsid w:val="001E4168"/>
    <w:rsid w:val="001E41FB"/>
    <w:rsid w:val="001E44C7"/>
    <w:rsid w:val="001E45BD"/>
    <w:rsid w:val="001E49F3"/>
    <w:rsid w:val="001E4A16"/>
    <w:rsid w:val="001E4A8E"/>
    <w:rsid w:val="001E4C72"/>
    <w:rsid w:val="001E4D64"/>
    <w:rsid w:val="001E4E85"/>
    <w:rsid w:val="001E4E89"/>
    <w:rsid w:val="001E53D0"/>
    <w:rsid w:val="001E561F"/>
    <w:rsid w:val="001E57AC"/>
    <w:rsid w:val="001E58DB"/>
    <w:rsid w:val="001E592F"/>
    <w:rsid w:val="001E5D6D"/>
    <w:rsid w:val="001E5ED5"/>
    <w:rsid w:val="001E618F"/>
    <w:rsid w:val="001E63AA"/>
    <w:rsid w:val="001E63AF"/>
    <w:rsid w:val="001E65AD"/>
    <w:rsid w:val="001E68BC"/>
    <w:rsid w:val="001E6962"/>
    <w:rsid w:val="001E69C9"/>
    <w:rsid w:val="001E6ABD"/>
    <w:rsid w:val="001E6CC5"/>
    <w:rsid w:val="001E6D3C"/>
    <w:rsid w:val="001E721E"/>
    <w:rsid w:val="001E74C9"/>
    <w:rsid w:val="001E76AE"/>
    <w:rsid w:val="001E7966"/>
    <w:rsid w:val="001E7A52"/>
    <w:rsid w:val="001E7CBD"/>
    <w:rsid w:val="001F0294"/>
    <w:rsid w:val="001F042B"/>
    <w:rsid w:val="001F07B3"/>
    <w:rsid w:val="001F092F"/>
    <w:rsid w:val="001F0B58"/>
    <w:rsid w:val="001F0D5C"/>
    <w:rsid w:val="001F0D73"/>
    <w:rsid w:val="001F112B"/>
    <w:rsid w:val="001F113C"/>
    <w:rsid w:val="001F1900"/>
    <w:rsid w:val="001F1963"/>
    <w:rsid w:val="001F1B0B"/>
    <w:rsid w:val="001F1B3C"/>
    <w:rsid w:val="001F1CF6"/>
    <w:rsid w:val="001F1E13"/>
    <w:rsid w:val="001F1F29"/>
    <w:rsid w:val="001F216A"/>
    <w:rsid w:val="001F231D"/>
    <w:rsid w:val="001F2330"/>
    <w:rsid w:val="001F2525"/>
    <w:rsid w:val="001F2708"/>
    <w:rsid w:val="001F27BC"/>
    <w:rsid w:val="001F28C0"/>
    <w:rsid w:val="001F29F6"/>
    <w:rsid w:val="001F2A8A"/>
    <w:rsid w:val="001F2F65"/>
    <w:rsid w:val="001F2F7A"/>
    <w:rsid w:val="001F2FB9"/>
    <w:rsid w:val="001F347A"/>
    <w:rsid w:val="001F35AD"/>
    <w:rsid w:val="001F3C17"/>
    <w:rsid w:val="001F42AD"/>
    <w:rsid w:val="001F43CA"/>
    <w:rsid w:val="001F446C"/>
    <w:rsid w:val="001F4733"/>
    <w:rsid w:val="001F4778"/>
    <w:rsid w:val="001F4C38"/>
    <w:rsid w:val="001F4D75"/>
    <w:rsid w:val="001F50E9"/>
    <w:rsid w:val="001F527C"/>
    <w:rsid w:val="001F55D8"/>
    <w:rsid w:val="001F5676"/>
    <w:rsid w:val="001F5949"/>
    <w:rsid w:val="001F5A7F"/>
    <w:rsid w:val="001F5AF0"/>
    <w:rsid w:val="001F5DC6"/>
    <w:rsid w:val="001F6000"/>
    <w:rsid w:val="001F60F7"/>
    <w:rsid w:val="001F6150"/>
    <w:rsid w:val="001F62DA"/>
    <w:rsid w:val="001F6483"/>
    <w:rsid w:val="001F67FC"/>
    <w:rsid w:val="001F6AC1"/>
    <w:rsid w:val="001F6AC5"/>
    <w:rsid w:val="001F6BB0"/>
    <w:rsid w:val="001F7230"/>
    <w:rsid w:val="001F7413"/>
    <w:rsid w:val="001F75BB"/>
    <w:rsid w:val="001F78AB"/>
    <w:rsid w:val="001F7918"/>
    <w:rsid w:val="001F7A1E"/>
    <w:rsid w:val="001F7AB1"/>
    <w:rsid w:val="001F7BA8"/>
    <w:rsid w:val="001F7E91"/>
    <w:rsid w:val="0020002A"/>
    <w:rsid w:val="00200142"/>
    <w:rsid w:val="002003D8"/>
    <w:rsid w:val="0020048A"/>
    <w:rsid w:val="00200776"/>
    <w:rsid w:val="002008AF"/>
    <w:rsid w:val="002008B3"/>
    <w:rsid w:val="00200CBC"/>
    <w:rsid w:val="00200CD0"/>
    <w:rsid w:val="00200DF1"/>
    <w:rsid w:val="00200F80"/>
    <w:rsid w:val="00201091"/>
    <w:rsid w:val="00201257"/>
    <w:rsid w:val="002012E2"/>
    <w:rsid w:val="00201335"/>
    <w:rsid w:val="00201734"/>
    <w:rsid w:val="00201771"/>
    <w:rsid w:val="002019BD"/>
    <w:rsid w:val="00201ACB"/>
    <w:rsid w:val="00201D57"/>
    <w:rsid w:val="00201F8F"/>
    <w:rsid w:val="0020291A"/>
    <w:rsid w:val="00202B5A"/>
    <w:rsid w:val="00202D49"/>
    <w:rsid w:val="00203169"/>
    <w:rsid w:val="0020318D"/>
    <w:rsid w:val="002033E9"/>
    <w:rsid w:val="00203649"/>
    <w:rsid w:val="0020366C"/>
    <w:rsid w:val="002039D4"/>
    <w:rsid w:val="00203C55"/>
    <w:rsid w:val="00203EFB"/>
    <w:rsid w:val="002042B4"/>
    <w:rsid w:val="00204791"/>
    <w:rsid w:val="002047B3"/>
    <w:rsid w:val="00204D16"/>
    <w:rsid w:val="00204D18"/>
    <w:rsid w:val="00204DCE"/>
    <w:rsid w:val="00204EA2"/>
    <w:rsid w:val="00204F34"/>
    <w:rsid w:val="00205336"/>
    <w:rsid w:val="002054FC"/>
    <w:rsid w:val="00205706"/>
    <w:rsid w:val="00205974"/>
    <w:rsid w:val="002059DD"/>
    <w:rsid w:val="00205B64"/>
    <w:rsid w:val="00205FFE"/>
    <w:rsid w:val="00206065"/>
    <w:rsid w:val="00206273"/>
    <w:rsid w:val="00206522"/>
    <w:rsid w:val="002065BE"/>
    <w:rsid w:val="002066DA"/>
    <w:rsid w:val="0020695A"/>
    <w:rsid w:val="00206975"/>
    <w:rsid w:val="002069E6"/>
    <w:rsid w:val="00206D3D"/>
    <w:rsid w:val="00206D82"/>
    <w:rsid w:val="002070CA"/>
    <w:rsid w:val="0020739F"/>
    <w:rsid w:val="002073B1"/>
    <w:rsid w:val="0020766D"/>
    <w:rsid w:val="002078AF"/>
    <w:rsid w:val="00207F34"/>
    <w:rsid w:val="00210055"/>
    <w:rsid w:val="002100B9"/>
    <w:rsid w:val="0021010E"/>
    <w:rsid w:val="002101E4"/>
    <w:rsid w:val="00210508"/>
    <w:rsid w:val="00210565"/>
    <w:rsid w:val="002107AF"/>
    <w:rsid w:val="00210CE2"/>
    <w:rsid w:val="00210E31"/>
    <w:rsid w:val="00210F13"/>
    <w:rsid w:val="002112B0"/>
    <w:rsid w:val="002113A4"/>
    <w:rsid w:val="00211894"/>
    <w:rsid w:val="002118CE"/>
    <w:rsid w:val="00212269"/>
    <w:rsid w:val="0021241E"/>
    <w:rsid w:val="0021248D"/>
    <w:rsid w:val="002124E6"/>
    <w:rsid w:val="00212752"/>
    <w:rsid w:val="0021276B"/>
    <w:rsid w:val="00212BD9"/>
    <w:rsid w:val="00212D23"/>
    <w:rsid w:val="00212E3D"/>
    <w:rsid w:val="00212E44"/>
    <w:rsid w:val="00212EF7"/>
    <w:rsid w:val="00212F6C"/>
    <w:rsid w:val="00212F78"/>
    <w:rsid w:val="00213407"/>
    <w:rsid w:val="0021373C"/>
    <w:rsid w:val="00213B04"/>
    <w:rsid w:val="00213B2A"/>
    <w:rsid w:val="00213E37"/>
    <w:rsid w:val="00213E3E"/>
    <w:rsid w:val="00214188"/>
    <w:rsid w:val="002141E9"/>
    <w:rsid w:val="00214331"/>
    <w:rsid w:val="00214373"/>
    <w:rsid w:val="002148CC"/>
    <w:rsid w:val="00214A87"/>
    <w:rsid w:val="00214BDB"/>
    <w:rsid w:val="00214C13"/>
    <w:rsid w:val="00214C67"/>
    <w:rsid w:val="00214D92"/>
    <w:rsid w:val="00215035"/>
    <w:rsid w:val="00215071"/>
    <w:rsid w:val="002154E8"/>
    <w:rsid w:val="00215782"/>
    <w:rsid w:val="00215BE8"/>
    <w:rsid w:val="00215DCD"/>
    <w:rsid w:val="00216034"/>
    <w:rsid w:val="00216134"/>
    <w:rsid w:val="00216434"/>
    <w:rsid w:val="00216513"/>
    <w:rsid w:val="002165F9"/>
    <w:rsid w:val="0021664A"/>
    <w:rsid w:val="00216D6B"/>
    <w:rsid w:val="00216D7E"/>
    <w:rsid w:val="00216F51"/>
    <w:rsid w:val="002171C0"/>
    <w:rsid w:val="0021733F"/>
    <w:rsid w:val="0021757E"/>
    <w:rsid w:val="00217DD0"/>
    <w:rsid w:val="00217E78"/>
    <w:rsid w:val="002200FC"/>
    <w:rsid w:val="002203BC"/>
    <w:rsid w:val="002203C4"/>
    <w:rsid w:val="00220862"/>
    <w:rsid w:val="0022086D"/>
    <w:rsid w:val="002208D0"/>
    <w:rsid w:val="00220B61"/>
    <w:rsid w:val="00220D27"/>
    <w:rsid w:val="002212DE"/>
    <w:rsid w:val="00221304"/>
    <w:rsid w:val="002214B4"/>
    <w:rsid w:val="00221665"/>
    <w:rsid w:val="0022167A"/>
    <w:rsid w:val="002218CF"/>
    <w:rsid w:val="002219D1"/>
    <w:rsid w:val="00221BBF"/>
    <w:rsid w:val="00221FC2"/>
    <w:rsid w:val="0022245D"/>
    <w:rsid w:val="0022276F"/>
    <w:rsid w:val="00222810"/>
    <w:rsid w:val="00222A4C"/>
    <w:rsid w:val="00222D1F"/>
    <w:rsid w:val="00222D26"/>
    <w:rsid w:val="00222E44"/>
    <w:rsid w:val="00222E52"/>
    <w:rsid w:val="00223286"/>
    <w:rsid w:val="0022328C"/>
    <w:rsid w:val="0022330E"/>
    <w:rsid w:val="00223363"/>
    <w:rsid w:val="00223482"/>
    <w:rsid w:val="002235E7"/>
    <w:rsid w:val="00223725"/>
    <w:rsid w:val="00223736"/>
    <w:rsid w:val="00223BDA"/>
    <w:rsid w:val="00223C26"/>
    <w:rsid w:val="00223D64"/>
    <w:rsid w:val="00223FD9"/>
    <w:rsid w:val="00224022"/>
    <w:rsid w:val="0022437E"/>
    <w:rsid w:val="002243D9"/>
    <w:rsid w:val="00224901"/>
    <w:rsid w:val="00224B51"/>
    <w:rsid w:val="00224C8D"/>
    <w:rsid w:val="002251FC"/>
    <w:rsid w:val="002254DA"/>
    <w:rsid w:val="00225745"/>
    <w:rsid w:val="00225EF1"/>
    <w:rsid w:val="0022676A"/>
    <w:rsid w:val="002269E2"/>
    <w:rsid w:val="00226C86"/>
    <w:rsid w:val="00227188"/>
    <w:rsid w:val="002271C8"/>
    <w:rsid w:val="00227294"/>
    <w:rsid w:val="0022783D"/>
    <w:rsid w:val="002278F9"/>
    <w:rsid w:val="002279EC"/>
    <w:rsid w:val="00227B3D"/>
    <w:rsid w:val="00227B81"/>
    <w:rsid w:val="00227DDD"/>
    <w:rsid w:val="00227FAE"/>
    <w:rsid w:val="0022F64D"/>
    <w:rsid w:val="0023013A"/>
    <w:rsid w:val="002302F1"/>
    <w:rsid w:val="00230392"/>
    <w:rsid w:val="00230539"/>
    <w:rsid w:val="0023061F"/>
    <w:rsid w:val="00230889"/>
    <w:rsid w:val="002308E4"/>
    <w:rsid w:val="0023091A"/>
    <w:rsid w:val="00230A25"/>
    <w:rsid w:val="00230C2E"/>
    <w:rsid w:val="00230F0D"/>
    <w:rsid w:val="0023108F"/>
    <w:rsid w:val="002311A6"/>
    <w:rsid w:val="00231549"/>
    <w:rsid w:val="00231857"/>
    <w:rsid w:val="00231E29"/>
    <w:rsid w:val="002322AD"/>
    <w:rsid w:val="0023238A"/>
    <w:rsid w:val="00232457"/>
    <w:rsid w:val="00232458"/>
    <w:rsid w:val="0023264A"/>
    <w:rsid w:val="0023265D"/>
    <w:rsid w:val="00232A9A"/>
    <w:rsid w:val="00232BAB"/>
    <w:rsid w:val="00232C92"/>
    <w:rsid w:val="00232D71"/>
    <w:rsid w:val="002331A6"/>
    <w:rsid w:val="00233C0A"/>
    <w:rsid w:val="002343B2"/>
    <w:rsid w:val="0023445E"/>
    <w:rsid w:val="00234561"/>
    <w:rsid w:val="002347A4"/>
    <w:rsid w:val="00234974"/>
    <w:rsid w:val="002349F2"/>
    <w:rsid w:val="00234BB8"/>
    <w:rsid w:val="00234CE7"/>
    <w:rsid w:val="00234F9F"/>
    <w:rsid w:val="00235207"/>
    <w:rsid w:val="00235271"/>
    <w:rsid w:val="0023527E"/>
    <w:rsid w:val="0023532D"/>
    <w:rsid w:val="0023560A"/>
    <w:rsid w:val="00235995"/>
    <w:rsid w:val="00235B7B"/>
    <w:rsid w:val="00235DBC"/>
    <w:rsid w:val="00235F1C"/>
    <w:rsid w:val="00235F7C"/>
    <w:rsid w:val="0023626D"/>
    <w:rsid w:val="0023639D"/>
    <w:rsid w:val="002364D4"/>
    <w:rsid w:val="002366F8"/>
    <w:rsid w:val="0023686C"/>
    <w:rsid w:val="002368E0"/>
    <w:rsid w:val="0023697E"/>
    <w:rsid w:val="00236AB5"/>
    <w:rsid w:val="00236E66"/>
    <w:rsid w:val="00237050"/>
    <w:rsid w:val="002374C3"/>
    <w:rsid w:val="00237764"/>
    <w:rsid w:val="00237879"/>
    <w:rsid w:val="0023789A"/>
    <w:rsid w:val="00237B10"/>
    <w:rsid w:val="00237D4C"/>
    <w:rsid w:val="00237F45"/>
    <w:rsid w:val="0024019A"/>
    <w:rsid w:val="0024022B"/>
    <w:rsid w:val="00240288"/>
    <w:rsid w:val="00240521"/>
    <w:rsid w:val="002405FA"/>
    <w:rsid w:val="0024094C"/>
    <w:rsid w:val="00240954"/>
    <w:rsid w:val="00240D10"/>
    <w:rsid w:val="00240F66"/>
    <w:rsid w:val="002411F7"/>
    <w:rsid w:val="00241492"/>
    <w:rsid w:val="00241704"/>
    <w:rsid w:val="002418DF"/>
    <w:rsid w:val="00241A41"/>
    <w:rsid w:val="00241D69"/>
    <w:rsid w:val="00241EF6"/>
    <w:rsid w:val="0024224F"/>
    <w:rsid w:val="00242B48"/>
    <w:rsid w:val="00243232"/>
    <w:rsid w:val="00243502"/>
    <w:rsid w:val="0024351A"/>
    <w:rsid w:val="00243AD1"/>
    <w:rsid w:val="00243BB5"/>
    <w:rsid w:val="00243D6A"/>
    <w:rsid w:val="00244054"/>
    <w:rsid w:val="0024410A"/>
    <w:rsid w:val="002442C6"/>
    <w:rsid w:val="002445A2"/>
    <w:rsid w:val="00244914"/>
    <w:rsid w:val="002449EF"/>
    <w:rsid w:val="00244A5E"/>
    <w:rsid w:val="00244C67"/>
    <w:rsid w:val="00244CB8"/>
    <w:rsid w:val="00244D5A"/>
    <w:rsid w:val="002451BF"/>
    <w:rsid w:val="002457C9"/>
    <w:rsid w:val="00245839"/>
    <w:rsid w:val="00245C87"/>
    <w:rsid w:val="00245EDC"/>
    <w:rsid w:val="00245F71"/>
    <w:rsid w:val="00246017"/>
    <w:rsid w:val="002461C2"/>
    <w:rsid w:val="00246273"/>
    <w:rsid w:val="002464ED"/>
    <w:rsid w:val="002465FE"/>
    <w:rsid w:val="002467C9"/>
    <w:rsid w:val="002467CB"/>
    <w:rsid w:val="00246905"/>
    <w:rsid w:val="00246966"/>
    <w:rsid w:val="00246998"/>
    <w:rsid w:val="002469A2"/>
    <w:rsid w:val="00246B4B"/>
    <w:rsid w:val="00246CF7"/>
    <w:rsid w:val="0024759D"/>
    <w:rsid w:val="0024761A"/>
    <w:rsid w:val="00247A00"/>
    <w:rsid w:val="00247AB9"/>
    <w:rsid w:val="00247EB5"/>
    <w:rsid w:val="00250627"/>
    <w:rsid w:val="00250630"/>
    <w:rsid w:val="00250737"/>
    <w:rsid w:val="002508D8"/>
    <w:rsid w:val="002511CF"/>
    <w:rsid w:val="00251253"/>
    <w:rsid w:val="00251630"/>
    <w:rsid w:val="00251B71"/>
    <w:rsid w:val="00251BCB"/>
    <w:rsid w:val="00251C5B"/>
    <w:rsid w:val="00251F6C"/>
    <w:rsid w:val="00251F98"/>
    <w:rsid w:val="00252162"/>
    <w:rsid w:val="00252216"/>
    <w:rsid w:val="00252222"/>
    <w:rsid w:val="00252227"/>
    <w:rsid w:val="00252279"/>
    <w:rsid w:val="0025231C"/>
    <w:rsid w:val="002526F3"/>
    <w:rsid w:val="0025289A"/>
    <w:rsid w:val="00252936"/>
    <w:rsid w:val="00252C4D"/>
    <w:rsid w:val="00252E96"/>
    <w:rsid w:val="0025301C"/>
    <w:rsid w:val="002531C7"/>
    <w:rsid w:val="0025325F"/>
    <w:rsid w:val="00253759"/>
    <w:rsid w:val="00253770"/>
    <w:rsid w:val="00253931"/>
    <w:rsid w:val="00253AFA"/>
    <w:rsid w:val="00253BC3"/>
    <w:rsid w:val="00253CF7"/>
    <w:rsid w:val="0025413A"/>
    <w:rsid w:val="00254178"/>
    <w:rsid w:val="002541C0"/>
    <w:rsid w:val="002546D7"/>
    <w:rsid w:val="00254A9C"/>
    <w:rsid w:val="00254B15"/>
    <w:rsid w:val="00254D40"/>
    <w:rsid w:val="00254D5A"/>
    <w:rsid w:val="00254DCA"/>
    <w:rsid w:val="00254ECD"/>
    <w:rsid w:val="00254EE3"/>
    <w:rsid w:val="00254F7C"/>
    <w:rsid w:val="002550EF"/>
    <w:rsid w:val="002552BD"/>
    <w:rsid w:val="00255397"/>
    <w:rsid w:val="00255A71"/>
    <w:rsid w:val="00255AA5"/>
    <w:rsid w:val="00255F55"/>
    <w:rsid w:val="00255FBB"/>
    <w:rsid w:val="002561A3"/>
    <w:rsid w:val="00256230"/>
    <w:rsid w:val="00256336"/>
    <w:rsid w:val="002563BB"/>
    <w:rsid w:val="00256655"/>
    <w:rsid w:val="00256C49"/>
    <w:rsid w:val="00256F58"/>
    <w:rsid w:val="00256FF5"/>
    <w:rsid w:val="00257961"/>
    <w:rsid w:val="00257D04"/>
    <w:rsid w:val="00257D31"/>
    <w:rsid w:val="0026014F"/>
    <w:rsid w:val="00260190"/>
    <w:rsid w:val="002601ED"/>
    <w:rsid w:val="002602B0"/>
    <w:rsid w:val="00260A99"/>
    <w:rsid w:val="00260AA1"/>
    <w:rsid w:val="00260B58"/>
    <w:rsid w:val="00260B72"/>
    <w:rsid w:val="00260E64"/>
    <w:rsid w:val="00260F0B"/>
    <w:rsid w:val="00261271"/>
    <w:rsid w:val="00261A31"/>
    <w:rsid w:val="00261DEF"/>
    <w:rsid w:val="0026211C"/>
    <w:rsid w:val="00262230"/>
    <w:rsid w:val="00262314"/>
    <w:rsid w:val="002623CE"/>
    <w:rsid w:val="002623D0"/>
    <w:rsid w:val="00262612"/>
    <w:rsid w:val="002627CF"/>
    <w:rsid w:val="00262DDB"/>
    <w:rsid w:val="00262E93"/>
    <w:rsid w:val="00263040"/>
    <w:rsid w:val="002630D5"/>
    <w:rsid w:val="002632C4"/>
    <w:rsid w:val="00263374"/>
    <w:rsid w:val="002634B1"/>
    <w:rsid w:val="0026381F"/>
    <w:rsid w:val="00263987"/>
    <w:rsid w:val="002639A5"/>
    <w:rsid w:val="0026403A"/>
    <w:rsid w:val="0026427E"/>
    <w:rsid w:val="00264457"/>
    <w:rsid w:val="00264701"/>
    <w:rsid w:val="002648A9"/>
    <w:rsid w:val="00264919"/>
    <w:rsid w:val="00264A0E"/>
    <w:rsid w:val="00264EBE"/>
    <w:rsid w:val="0026534A"/>
    <w:rsid w:val="00265D1F"/>
    <w:rsid w:val="00265D97"/>
    <w:rsid w:val="00265FF2"/>
    <w:rsid w:val="00266054"/>
    <w:rsid w:val="00266199"/>
    <w:rsid w:val="00266493"/>
    <w:rsid w:val="002666CC"/>
    <w:rsid w:val="00266B03"/>
    <w:rsid w:val="00266E36"/>
    <w:rsid w:val="00266E79"/>
    <w:rsid w:val="00266FC7"/>
    <w:rsid w:val="0026726F"/>
    <w:rsid w:val="0026728C"/>
    <w:rsid w:val="00267316"/>
    <w:rsid w:val="002673A5"/>
    <w:rsid w:val="0026774D"/>
    <w:rsid w:val="00267A5A"/>
    <w:rsid w:val="00267BA3"/>
    <w:rsid w:val="0027014A"/>
    <w:rsid w:val="0027018A"/>
    <w:rsid w:val="00270192"/>
    <w:rsid w:val="00270604"/>
    <w:rsid w:val="002706E1"/>
    <w:rsid w:val="00270858"/>
    <w:rsid w:val="00270C95"/>
    <w:rsid w:val="00270CA3"/>
    <w:rsid w:val="00270DAF"/>
    <w:rsid w:val="00270E76"/>
    <w:rsid w:val="00271037"/>
    <w:rsid w:val="00271122"/>
    <w:rsid w:val="00271EBA"/>
    <w:rsid w:val="00271ECF"/>
    <w:rsid w:val="002729DF"/>
    <w:rsid w:val="00272A80"/>
    <w:rsid w:val="00272CAE"/>
    <w:rsid w:val="00273068"/>
    <w:rsid w:val="002733AE"/>
    <w:rsid w:val="00273661"/>
    <w:rsid w:val="00273A78"/>
    <w:rsid w:val="00273AE8"/>
    <w:rsid w:val="00273B86"/>
    <w:rsid w:val="00274199"/>
    <w:rsid w:val="00274486"/>
    <w:rsid w:val="00274703"/>
    <w:rsid w:val="00274CB5"/>
    <w:rsid w:val="00274E95"/>
    <w:rsid w:val="00274F46"/>
    <w:rsid w:val="00275276"/>
    <w:rsid w:val="00275424"/>
    <w:rsid w:val="00275833"/>
    <w:rsid w:val="002759A2"/>
    <w:rsid w:val="00275C1C"/>
    <w:rsid w:val="00275D6A"/>
    <w:rsid w:val="00275FEF"/>
    <w:rsid w:val="00276038"/>
    <w:rsid w:val="002760DB"/>
    <w:rsid w:val="002760DD"/>
    <w:rsid w:val="0027630B"/>
    <w:rsid w:val="002764AF"/>
    <w:rsid w:val="002766CE"/>
    <w:rsid w:val="002769E5"/>
    <w:rsid w:val="00276E02"/>
    <w:rsid w:val="00276FDF"/>
    <w:rsid w:val="002772BF"/>
    <w:rsid w:val="0027730F"/>
    <w:rsid w:val="00277994"/>
    <w:rsid w:val="002779D5"/>
    <w:rsid w:val="00277A32"/>
    <w:rsid w:val="00277A88"/>
    <w:rsid w:val="00277E5E"/>
    <w:rsid w:val="002800C6"/>
    <w:rsid w:val="0028026D"/>
    <w:rsid w:val="00280300"/>
    <w:rsid w:val="002804A1"/>
    <w:rsid w:val="002806C6"/>
    <w:rsid w:val="002808BC"/>
    <w:rsid w:val="002808EC"/>
    <w:rsid w:val="002809DE"/>
    <w:rsid w:val="00280A7B"/>
    <w:rsid w:val="00280D6E"/>
    <w:rsid w:val="00280D82"/>
    <w:rsid w:val="00280E8C"/>
    <w:rsid w:val="00281625"/>
    <w:rsid w:val="0028171A"/>
    <w:rsid w:val="002818BC"/>
    <w:rsid w:val="002819FB"/>
    <w:rsid w:val="00281A02"/>
    <w:rsid w:val="002820B5"/>
    <w:rsid w:val="0028216C"/>
    <w:rsid w:val="002821DC"/>
    <w:rsid w:val="00282273"/>
    <w:rsid w:val="0028229F"/>
    <w:rsid w:val="002822F9"/>
    <w:rsid w:val="002825AC"/>
    <w:rsid w:val="00282624"/>
    <w:rsid w:val="0028269F"/>
    <w:rsid w:val="00282B34"/>
    <w:rsid w:val="00282C03"/>
    <w:rsid w:val="00282C84"/>
    <w:rsid w:val="00282F99"/>
    <w:rsid w:val="00283100"/>
    <w:rsid w:val="002839D3"/>
    <w:rsid w:val="00283A85"/>
    <w:rsid w:val="00283AA5"/>
    <w:rsid w:val="00283B10"/>
    <w:rsid w:val="00283B47"/>
    <w:rsid w:val="00283EB4"/>
    <w:rsid w:val="00283F41"/>
    <w:rsid w:val="0028445C"/>
    <w:rsid w:val="0028471A"/>
    <w:rsid w:val="0028480C"/>
    <w:rsid w:val="00284AF6"/>
    <w:rsid w:val="00284B1B"/>
    <w:rsid w:val="00284BB8"/>
    <w:rsid w:val="00284E00"/>
    <w:rsid w:val="00284F05"/>
    <w:rsid w:val="00285218"/>
    <w:rsid w:val="00285378"/>
    <w:rsid w:val="002855D6"/>
    <w:rsid w:val="0028592D"/>
    <w:rsid w:val="0028600D"/>
    <w:rsid w:val="00286029"/>
    <w:rsid w:val="00286359"/>
    <w:rsid w:val="00286394"/>
    <w:rsid w:val="002864D8"/>
    <w:rsid w:val="00286590"/>
    <w:rsid w:val="0028667C"/>
    <w:rsid w:val="002867C9"/>
    <w:rsid w:val="0028695B"/>
    <w:rsid w:val="00286B26"/>
    <w:rsid w:val="00286DC5"/>
    <w:rsid w:val="00286F77"/>
    <w:rsid w:val="0028703E"/>
    <w:rsid w:val="002874B4"/>
    <w:rsid w:val="00287578"/>
    <w:rsid w:val="002875C1"/>
    <w:rsid w:val="00287882"/>
    <w:rsid w:val="002878DD"/>
    <w:rsid w:val="002878ED"/>
    <w:rsid w:val="00287D48"/>
    <w:rsid w:val="00287FF4"/>
    <w:rsid w:val="0029025C"/>
    <w:rsid w:val="002904B0"/>
    <w:rsid w:val="002904DD"/>
    <w:rsid w:val="002906DF"/>
    <w:rsid w:val="0029070D"/>
    <w:rsid w:val="00290763"/>
    <w:rsid w:val="002907DA"/>
    <w:rsid w:val="0029087A"/>
    <w:rsid w:val="00290D05"/>
    <w:rsid w:val="00290E54"/>
    <w:rsid w:val="00290EFB"/>
    <w:rsid w:val="00290F88"/>
    <w:rsid w:val="002913AF"/>
    <w:rsid w:val="00291437"/>
    <w:rsid w:val="002915D4"/>
    <w:rsid w:val="00291B76"/>
    <w:rsid w:val="0029201D"/>
    <w:rsid w:val="0029208A"/>
    <w:rsid w:val="0029210B"/>
    <w:rsid w:val="00292420"/>
    <w:rsid w:val="0029282F"/>
    <w:rsid w:val="002928FB"/>
    <w:rsid w:val="00292A4B"/>
    <w:rsid w:val="00292D74"/>
    <w:rsid w:val="00292F0C"/>
    <w:rsid w:val="002933A8"/>
    <w:rsid w:val="002937E5"/>
    <w:rsid w:val="00293A26"/>
    <w:rsid w:val="00293B76"/>
    <w:rsid w:val="00293C60"/>
    <w:rsid w:val="00293D8C"/>
    <w:rsid w:val="0029410F"/>
    <w:rsid w:val="00294770"/>
    <w:rsid w:val="002947CC"/>
    <w:rsid w:val="00294A13"/>
    <w:rsid w:val="00294AF6"/>
    <w:rsid w:val="00294DF7"/>
    <w:rsid w:val="0029519A"/>
    <w:rsid w:val="00295467"/>
    <w:rsid w:val="00295688"/>
    <w:rsid w:val="002956F4"/>
    <w:rsid w:val="002957B6"/>
    <w:rsid w:val="002959AA"/>
    <w:rsid w:val="00295AEB"/>
    <w:rsid w:val="00295BAE"/>
    <w:rsid w:val="00295D54"/>
    <w:rsid w:val="00295E78"/>
    <w:rsid w:val="00296376"/>
    <w:rsid w:val="00296542"/>
    <w:rsid w:val="00296B5B"/>
    <w:rsid w:val="00296B67"/>
    <w:rsid w:val="00296CBB"/>
    <w:rsid w:val="00297329"/>
    <w:rsid w:val="002975E6"/>
    <w:rsid w:val="0029765A"/>
    <w:rsid w:val="00297686"/>
    <w:rsid w:val="002976C3"/>
    <w:rsid w:val="0029794D"/>
    <w:rsid w:val="002979E0"/>
    <w:rsid w:val="00297A22"/>
    <w:rsid w:val="00297D33"/>
    <w:rsid w:val="00297D5B"/>
    <w:rsid w:val="002A015B"/>
    <w:rsid w:val="002A0547"/>
    <w:rsid w:val="002A09C1"/>
    <w:rsid w:val="002A128C"/>
    <w:rsid w:val="002A1709"/>
    <w:rsid w:val="002A1757"/>
    <w:rsid w:val="002A17DC"/>
    <w:rsid w:val="002A1949"/>
    <w:rsid w:val="002A1E2E"/>
    <w:rsid w:val="002A1FDB"/>
    <w:rsid w:val="002A2105"/>
    <w:rsid w:val="002A216C"/>
    <w:rsid w:val="002A261B"/>
    <w:rsid w:val="002A2962"/>
    <w:rsid w:val="002A2BC5"/>
    <w:rsid w:val="002A2C07"/>
    <w:rsid w:val="002A2FDE"/>
    <w:rsid w:val="002A38C2"/>
    <w:rsid w:val="002A3B11"/>
    <w:rsid w:val="002A3D0E"/>
    <w:rsid w:val="002A3D8D"/>
    <w:rsid w:val="002A46EC"/>
    <w:rsid w:val="002A4731"/>
    <w:rsid w:val="002A4909"/>
    <w:rsid w:val="002A4AAB"/>
    <w:rsid w:val="002A4F9A"/>
    <w:rsid w:val="002A51B2"/>
    <w:rsid w:val="002A54A0"/>
    <w:rsid w:val="002A55BC"/>
    <w:rsid w:val="002A5861"/>
    <w:rsid w:val="002A5875"/>
    <w:rsid w:val="002A5984"/>
    <w:rsid w:val="002A5AF9"/>
    <w:rsid w:val="002A5B13"/>
    <w:rsid w:val="002A5B26"/>
    <w:rsid w:val="002A5C65"/>
    <w:rsid w:val="002A5D87"/>
    <w:rsid w:val="002A5DAE"/>
    <w:rsid w:val="002A5F1A"/>
    <w:rsid w:val="002A603E"/>
    <w:rsid w:val="002A60A1"/>
    <w:rsid w:val="002A61E1"/>
    <w:rsid w:val="002A622B"/>
    <w:rsid w:val="002A6661"/>
    <w:rsid w:val="002A6672"/>
    <w:rsid w:val="002A6685"/>
    <w:rsid w:val="002A6D0F"/>
    <w:rsid w:val="002A6E3D"/>
    <w:rsid w:val="002A71F6"/>
    <w:rsid w:val="002A7344"/>
    <w:rsid w:val="002A75E6"/>
    <w:rsid w:val="002A777B"/>
    <w:rsid w:val="002A782C"/>
    <w:rsid w:val="002A797F"/>
    <w:rsid w:val="002A79C3"/>
    <w:rsid w:val="002A7AB8"/>
    <w:rsid w:val="002B02C0"/>
    <w:rsid w:val="002B0422"/>
    <w:rsid w:val="002B0624"/>
    <w:rsid w:val="002B0AAF"/>
    <w:rsid w:val="002B0FF0"/>
    <w:rsid w:val="002B1071"/>
    <w:rsid w:val="002B10CE"/>
    <w:rsid w:val="002B1175"/>
    <w:rsid w:val="002B1210"/>
    <w:rsid w:val="002B18EA"/>
    <w:rsid w:val="002B1ECB"/>
    <w:rsid w:val="002B1EFA"/>
    <w:rsid w:val="002B1FBC"/>
    <w:rsid w:val="002B2012"/>
    <w:rsid w:val="002B2195"/>
    <w:rsid w:val="002B2669"/>
    <w:rsid w:val="002B2B5B"/>
    <w:rsid w:val="002B2C0E"/>
    <w:rsid w:val="002B2D05"/>
    <w:rsid w:val="002B2D08"/>
    <w:rsid w:val="002B31AF"/>
    <w:rsid w:val="002B33D1"/>
    <w:rsid w:val="002B3550"/>
    <w:rsid w:val="002B381D"/>
    <w:rsid w:val="002B3840"/>
    <w:rsid w:val="002B431D"/>
    <w:rsid w:val="002B461F"/>
    <w:rsid w:val="002B4675"/>
    <w:rsid w:val="002B4ABF"/>
    <w:rsid w:val="002B4E74"/>
    <w:rsid w:val="002B51E1"/>
    <w:rsid w:val="002B5364"/>
    <w:rsid w:val="002B570A"/>
    <w:rsid w:val="002B58C4"/>
    <w:rsid w:val="002B6203"/>
    <w:rsid w:val="002B6569"/>
    <w:rsid w:val="002B6865"/>
    <w:rsid w:val="002B6978"/>
    <w:rsid w:val="002B69B0"/>
    <w:rsid w:val="002B6F35"/>
    <w:rsid w:val="002B6FA3"/>
    <w:rsid w:val="002B712B"/>
    <w:rsid w:val="002B72BC"/>
    <w:rsid w:val="002B759E"/>
    <w:rsid w:val="002B7850"/>
    <w:rsid w:val="002B7C79"/>
    <w:rsid w:val="002B7F74"/>
    <w:rsid w:val="002B7FCD"/>
    <w:rsid w:val="002C019A"/>
    <w:rsid w:val="002C03B8"/>
    <w:rsid w:val="002C0A63"/>
    <w:rsid w:val="002C0D11"/>
    <w:rsid w:val="002C0DEC"/>
    <w:rsid w:val="002C0E55"/>
    <w:rsid w:val="002C103B"/>
    <w:rsid w:val="002C1104"/>
    <w:rsid w:val="002C1134"/>
    <w:rsid w:val="002C126A"/>
    <w:rsid w:val="002C15D6"/>
    <w:rsid w:val="002C19B8"/>
    <w:rsid w:val="002C1BD3"/>
    <w:rsid w:val="002C1C76"/>
    <w:rsid w:val="002C1DD3"/>
    <w:rsid w:val="002C1E66"/>
    <w:rsid w:val="002C21A4"/>
    <w:rsid w:val="002C22B2"/>
    <w:rsid w:val="002C2326"/>
    <w:rsid w:val="002C23E1"/>
    <w:rsid w:val="002C2544"/>
    <w:rsid w:val="002C25FA"/>
    <w:rsid w:val="002C2737"/>
    <w:rsid w:val="002C2984"/>
    <w:rsid w:val="002C2A2D"/>
    <w:rsid w:val="002C2E82"/>
    <w:rsid w:val="002C3377"/>
    <w:rsid w:val="002C352F"/>
    <w:rsid w:val="002C35B5"/>
    <w:rsid w:val="002C3B6F"/>
    <w:rsid w:val="002C3B98"/>
    <w:rsid w:val="002C3C08"/>
    <w:rsid w:val="002C3CA9"/>
    <w:rsid w:val="002C3E81"/>
    <w:rsid w:val="002C4006"/>
    <w:rsid w:val="002C41B6"/>
    <w:rsid w:val="002C41B7"/>
    <w:rsid w:val="002C4594"/>
    <w:rsid w:val="002C4603"/>
    <w:rsid w:val="002C472A"/>
    <w:rsid w:val="002C47D0"/>
    <w:rsid w:val="002C4852"/>
    <w:rsid w:val="002C48AA"/>
    <w:rsid w:val="002C4AA4"/>
    <w:rsid w:val="002C4EFD"/>
    <w:rsid w:val="002C523B"/>
    <w:rsid w:val="002C52F2"/>
    <w:rsid w:val="002C536C"/>
    <w:rsid w:val="002C544B"/>
    <w:rsid w:val="002C57A8"/>
    <w:rsid w:val="002C57CF"/>
    <w:rsid w:val="002C5987"/>
    <w:rsid w:val="002C599A"/>
    <w:rsid w:val="002C5F55"/>
    <w:rsid w:val="002C62EE"/>
    <w:rsid w:val="002C6378"/>
    <w:rsid w:val="002C63B9"/>
    <w:rsid w:val="002C6543"/>
    <w:rsid w:val="002C65FE"/>
    <w:rsid w:val="002C6A49"/>
    <w:rsid w:val="002C6B0E"/>
    <w:rsid w:val="002C6EAD"/>
    <w:rsid w:val="002C6F6C"/>
    <w:rsid w:val="002C714A"/>
    <w:rsid w:val="002C7263"/>
    <w:rsid w:val="002C73F6"/>
    <w:rsid w:val="002C781B"/>
    <w:rsid w:val="002C7A16"/>
    <w:rsid w:val="002C7A41"/>
    <w:rsid w:val="002C7A59"/>
    <w:rsid w:val="002C7CC4"/>
    <w:rsid w:val="002C7E68"/>
    <w:rsid w:val="002C7E8F"/>
    <w:rsid w:val="002C7F1F"/>
    <w:rsid w:val="002C7FBF"/>
    <w:rsid w:val="002CA996"/>
    <w:rsid w:val="002D0208"/>
    <w:rsid w:val="002D043E"/>
    <w:rsid w:val="002D052C"/>
    <w:rsid w:val="002D0539"/>
    <w:rsid w:val="002D09B1"/>
    <w:rsid w:val="002D0DE7"/>
    <w:rsid w:val="002D0E2F"/>
    <w:rsid w:val="002D0E3B"/>
    <w:rsid w:val="002D0EF2"/>
    <w:rsid w:val="002D1199"/>
    <w:rsid w:val="002D1369"/>
    <w:rsid w:val="002D149F"/>
    <w:rsid w:val="002D14AF"/>
    <w:rsid w:val="002D1678"/>
    <w:rsid w:val="002D17EE"/>
    <w:rsid w:val="002D1FF4"/>
    <w:rsid w:val="002D2085"/>
    <w:rsid w:val="002D21DC"/>
    <w:rsid w:val="002D264B"/>
    <w:rsid w:val="002D28A2"/>
    <w:rsid w:val="002D29D7"/>
    <w:rsid w:val="002D2B67"/>
    <w:rsid w:val="002D2CED"/>
    <w:rsid w:val="002D3367"/>
    <w:rsid w:val="002D351B"/>
    <w:rsid w:val="002D38E9"/>
    <w:rsid w:val="002D3A49"/>
    <w:rsid w:val="002D41A0"/>
    <w:rsid w:val="002D421E"/>
    <w:rsid w:val="002D4329"/>
    <w:rsid w:val="002D48BE"/>
    <w:rsid w:val="002D4922"/>
    <w:rsid w:val="002D49FC"/>
    <w:rsid w:val="002D4E39"/>
    <w:rsid w:val="002D5072"/>
    <w:rsid w:val="002D510C"/>
    <w:rsid w:val="002D513B"/>
    <w:rsid w:val="002D5398"/>
    <w:rsid w:val="002D565A"/>
    <w:rsid w:val="002D56D9"/>
    <w:rsid w:val="002D5958"/>
    <w:rsid w:val="002D5BE9"/>
    <w:rsid w:val="002D62C0"/>
    <w:rsid w:val="002D6519"/>
    <w:rsid w:val="002D667E"/>
    <w:rsid w:val="002D67C8"/>
    <w:rsid w:val="002D6895"/>
    <w:rsid w:val="002D6A5B"/>
    <w:rsid w:val="002D6C19"/>
    <w:rsid w:val="002D6C5C"/>
    <w:rsid w:val="002D6CEE"/>
    <w:rsid w:val="002D6CEF"/>
    <w:rsid w:val="002D729A"/>
    <w:rsid w:val="002D731B"/>
    <w:rsid w:val="002D7343"/>
    <w:rsid w:val="002D7830"/>
    <w:rsid w:val="002D7C57"/>
    <w:rsid w:val="002D7DF6"/>
    <w:rsid w:val="002E0116"/>
    <w:rsid w:val="002E01B8"/>
    <w:rsid w:val="002E01FE"/>
    <w:rsid w:val="002E0295"/>
    <w:rsid w:val="002E031B"/>
    <w:rsid w:val="002E0343"/>
    <w:rsid w:val="002E0391"/>
    <w:rsid w:val="002E0693"/>
    <w:rsid w:val="002E069C"/>
    <w:rsid w:val="002E06A2"/>
    <w:rsid w:val="002E06F6"/>
    <w:rsid w:val="002E06FF"/>
    <w:rsid w:val="002E0776"/>
    <w:rsid w:val="002E07DD"/>
    <w:rsid w:val="002E0BC5"/>
    <w:rsid w:val="002E0EA6"/>
    <w:rsid w:val="002E0EE5"/>
    <w:rsid w:val="002E116C"/>
    <w:rsid w:val="002E1238"/>
    <w:rsid w:val="002E15A4"/>
    <w:rsid w:val="002E1754"/>
    <w:rsid w:val="002E1E13"/>
    <w:rsid w:val="002E1E2A"/>
    <w:rsid w:val="002E21DC"/>
    <w:rsid w:val="002E239C"/>
    <w:rsid w:val="002E2666"/>
    <w:rsid w:val="002E27CF"/>
    <w:rsid w:val="002E2C27"/>
    <w:rsid w:val="002E2C31"/>
    <w:rsid w:val="002E2F02"/>
    <w:rsid w:val="002E30DF"/>
    <w:rsid w:val="002E30EB"/>
    <w:rsid w:val="002E326C"/>
    <w:rsid w:val="002E3538"/>
    <w:rsid w:val="002E355C"/>
    <w:rsid w:val="002E3B4E"/>
    <w:rsid w:val="002E3ECF"/>
    <w:rsid w:val="002E40EE"/>
    <w:rsid w:val="002E430B"/>
    <w:rsid w:val="002E44D4"/>
    <w:rsid w:val="002E4775"/>
    <w:rsid w:val="002E4934"/>
    <w:rsid w:val="002E4D0E"/>
    <w:rsid w:val="002E54E1"/>
    <w:rsid w:val="002E5661"/>
    <w:rsid w:val="002E5763"/>
    <w:rsid w:val="002E6104"/>
    <w:rsid w:val="002E6139"/>
    <w:rsid w:val="002E6237"/>
    <w:rsid w:val="002E6769"/>
    <w:rsid w:val="002E6907"/>
    <w:rsid w:val="002E6A70"/>
    <w:rsid w:val="002E6C32"/>
    <w:rsid w:val="002E6D40"/>
    <w:rsid w:val="002E7119"/>
    <w:rsid w:val="002E73DB"/>
    <w:rsid w:val="002E74BE"/>
    <w:rsid w:val="002E776D"/>
    <w:rsid w:val="002E77BF"/>
    <w:rsid w:val="002E796A"/>
    <w:rsid w:val="002E796E"/>
    <w:rsid w:val="002E7A5D"/>
    <w:rsid w:val="002E7B8B"/>
    <w:rsid w:val="002E7E15"/>
    <w:rsid w:val="002E7E6B"/>
    <w:rsid w:val="002F018F"/>
    <w:rsid w:val="002F0415"/>
    <w:rsid w:val="002F0577"/>
    <w:rsid w:val="002F057B"/>
    <w:rsid w:val="002F059A"/>
    <w:rsid w:val="002F06F9"/>
    <w:rsid w:val="002F07DB"/>
    <w:rsid w:val="002F07EC"/>
    <w:rsid w:val="002F08C2"/>
    <w:rsid w:val="002F0999"/>
    <w:rsid w:val="002F0A16"/>
    <w:rsid w:val="002F0B24"/>
    <w:rsid w:val="002F0BA3"/>
    <w:rsid w:val="002F0D33"/>
    <w:rsid w:val="002F1006"/>
    <w:rsid w:val="002F15BB"/>
    <w:rsid w:val="002F16F5"/>
    <w:rsid w:val="002F183F"/>
    <w:rsid w:val="002F196D"/>
    <w:rsid w:val="002F1A80"/>
    <w:rsid w:val="002F1A9D"/>
    <w:rsid w:val="002F1B82"/>
    <w:rsid w:val="002F1B95"/>
    <w:rsid w:val="002F1B9C"/>
    <w:rsid w:val="002F1CB1"/>
    <w:rsid w:val="002F1EB0"/>
    <w:rsid w:val="002F2178"/>
    <w:rsid w:val="002F28C3"/>
    <w:rsid w:val="002F2A3F"/>
    <w:rsid w:val="002F2A74"/>
    <w:rsid w:val="002F2B2B"/>
    <w:rsid w:val="002F2B5C"/>
    <w:rsid w:val="002F2E59"/>
    <w:rsid w:val="002F31B4"/>
    <w:rsid w:val="002F3489"/>
    <w:rsid w:val="002F34BF"/>
    <w:rsid w:val="002F373A"/>
    <w:rsid w:val="002F379D"/>
    <w:rsid w:val="002F3E30"/>
    <w:rsid w:val="002F3F42"/>
    <w:rsid w:val="002F3FA9"/>
    <w:rsid w:val="002F406C"/>
    <w:rsid w:val="002F4080"/>
    <w:rsid w:val="002F421E"/>
    <w:rsid w:val="002F4264"/>
    <w:rsid w:val="002F4360"/>
    <w:rsid w:val="002F494F"/>
    <w:rsid w:val="002F4D0C"/>
    <w:rsid w:val="002F4E43"/>
    <w:rsid w:val="002F4F56"/>
    <w:rsid w:val="002F5059"/>
    <w:rsid w:val="002F5086"/>
    <w:rsid w:val="002F53A6"/>
    <w:rsid w:val="002F55DE"/>
    <w:rsid w:val="002F62A1"/>
    <w:rsid w:val="002F6325"/>
    <w:rsid w:val="002F6570"/>
    <w:rsid w:val="002F680D"/>
    <w:rsid w:val="002F6820"/>
    <w:rsid w:val="002F68A7"/>
    <w:rsid w:val="002F6EB8"/>
    <w:rsid w:val="002F6F74"/>
    <w:rsid w:val="002F73FF"/>
    <w:rsid w:val="002F747B"/>
    <w:rsid w:val="002F79F2"/>
    <w:rsid w:val="002F7D5A"/>
    <w:rsid w:val="002F7F0C"/>
    <w:rsid w:val="00300270"/>
    <w:rsid w:val="0030027B"/>
    <w:rsid w:val="0030028E"/>
    <w:rsid w:val="0030072E"/>
    <w:rsid w:val="00300754"/>
    <w:rsid w:val="00300868"/>
    <w:rsid w:val="00300B50"/>
    <w:rsid w:val="0030102B"/>
    <w:rsid w:val="00301051"/>
    <w:rsid w:val="0030155D"/>
    <w:rsid w:val="003016A6"/>
    <w:rsid w:val="00301797"/>
    <w:rsid w:val="003017F2"/>
    <w:rsid w:val="0030186D"/>
    <w:rsid w:val="0030192C"/>
    <w:rsid w:val="00301D95"/>
    <w:rsid w:val="00302699"/>
    <w:rsid w:val="003026C4"/>
    <w:rsid w:val="00302A3B"/>
    <w:rsid w:val="00302A69"/>
    <w:rsid w:val="00303167"/>
    <w:rsid w:val="003031EE"/>
    <w:rsid w:val="00303215"/>
    <w:rsid w:val="00303230"/>
    <w:rsid w:val="003032FE"/>
    <w:rsid w:val="00303442"/>
    <w:rsid w:val="00303660"/>
    <w:rsid w:val="003036C8"/>
    <w:rsid w:val="003038EB"/>
    <w:rsid w:val="00303ADA"/>
    <w:rsid w:val="00303CA1"/>
    <w:rsid w:val="00303CB6"/>
    <w:rsid w:val="00303CE2"/>
    <w:rsid w:val="00303D56"/>
    <w:rsid w:val="003045B5"/>
    <w:rsid w:val="00304625"/>
    <w:rsid w:val="00304640"/>
    <w:rsid w:val="003047FA"/>
    <w:rsid w:val="00304931"/>
    <w:rsid w:val="003049E1"/>
    <w:rsid w:val="00304B63"/>
    <w:rsid w:val="00304E81"/>
    <w:rsid w:val="00305026"/>
    <w:rsid w:val="00305120"/>
    <w:rsid w:val="003051C0"/>
    <w:rsid w:val="00305414"/>
    <w:rsid w:val="00305478"/>
    <w:rsid w:val="003054C5"/>
    <w:rsid w:val="003055FD"/>
    <w:rsid w:val="0030579D"/>
    <w:rsid w:val="003057C1"/>
    <w:rsid w:val="003058B4"/>
    <w:rsid w:val="00305A27"/>
    <w:rsid w:val="00305F7B"/>
    <w:rsid w:val="00306037"/>
    <w:rsid w:val="003061FA"/>
    <w:rsid w:val="00306222"/>
    <w:rsid w:val="003063F0"/>
    <w:rsid w:val="00306433"/>
    <w:rsid w:val="00306BEF"/>
    <w:rsid w:val="00306DBB"/>
    <w:rsid w:val="0030714D"/>
    <w:rsid w:val="00307176"/>
    <w:rsid w:val="0030731A"/>
    <w:rsid w:val="0030739E"/>
    <w:rsid w:val="00307C11"/>
    <w:rsid w:val="0030BAB1"/>
    <w:rsid w:val="00310142"/>
    <w:rsid w:val="00310276"/>
    <w:rsid w:val="0031030A"/>
    <w:rsid w:val="00310785"/>
    <w:rsid w:val="0031087F"/>
    <w:rsid w:val="00310ADC"/>
    <w:rsid w:val="00310B82"/>
    <w:rsid w:val="00310E41"/>
    <w:rsid w:val="00310F43"/>
    <w:rsid w:val="00311088"/>
    <w:rsid w:val="0031127E"/>
    <w:rsid w:val="0031149F"/>
    <w:rsid w:val="00311500"/>
    <w:rsid w:val="00311C2E"/>
    <w:rsid w:val="00311D24"/>
    <w:rsid w:val="00311E9E"/>
    <w:rsid w:val="003123A8"/>
    <w:rsid w:val="00312C1D"/>
    <w:rsid w:val="00312CA0"/>
    <w:rsid w:val="00312D15"/>
    <w:rsid w:val="00312D73"/>
    <w:rsid w:val="00312EB3"/>
    <w:rsid w:val="00312F03"/>
    <w:rsid w:val="003133B7"/>
    <w:rsid w:val="003133CB"/>
    <w:rsid w:val="0031350E"/>
    <w:rsid w:val="0031361A"/>
    <w:rsid w:val="00313AFE"/>
    <w:rsid w:val="00313B53"/>
    <w:rsid w:val="00313B57"/>
    <w:rsid w:val="00313BBF"/>
    <w:rsid w:val="00313BDB"/>
    <w:rsid w:val="00313C09"/>
    <w:rsid w:val="00313FB8"/>
    <w:rsid w:val="00313FCA"/>
    <w:rsid w:val="0031402B"/>
    <w:rsid w:val="00314813"/>
    <w:rsid w:val="00314A79"/>
    <w:rsid w:val="00314EE8"/>
    <w:rsid w:val="00314FF0"/>
    <w:rsid w:val="0031507D"/>
    <w:rsid w:val="00315165"/>
    <w:rsid w:val="0031543B"/>
    <w:rsid w:val="00315504"/>
    <w:rsid w:val="0031557F"/>
    <w:rsid w:val="003157C9"/>
    <w:rsid w:val="00315954"/>
    <w:rsid w:val="00315A81"/>
    <w:rsid w:val="00315CF6"/>
    <w:rsid w:val="00316032"/>
    <w:rsid w:val="003160CC"/>
    <w:rsid w:val="0031613B"/>
    <w:rsid w:val="00316159"/>
    <w:rsid w:val="003168E1"/>
    <w:rsid w:val="00316B91"/>
    <w:rsid w:val="00316D91"/>
    <w:rsid w:val="00316DFF"/>
    <w:rsid w:val="00317185"/>
    <w:rsid w:val="00317521"/>
    <w:rsid w:val="00317945"/>
    <w:rsid w:val="00317C0F"/>
    <w:rsid w:val="00317CAA"/>
    <w:rsid w:val="00317D8A"/>
    <w:rsid w:val="003200D4"/>
    <w:rsid w:val="00320340"/>
    <w:rsid w:val="003203E2"/>
    <w:rsid w:val="00320426"/>
    <w:rsid w:val="003204AD"/>
    <w:rsid w:val="00320507"/>
    <w:rsid w:val="00320798"/>
    <w:rsid w:val="00320AB8"/>
    <w:rsid w:val="00320E3E"/>
    <w:rsid w:val="0032139D"/>
    <w:rsid w:val="0032140D"/>
    <w:rsid w:val="003214DB"/>
    <w:rsid w:val="00321DD0"/>
    <w:rsid w:val="00321DE3"/>
    <w:rsid w:val="00321E64"/>
    <w:rsid w:val="003225CF"/>
    <w:rsid w:val="00322A5A"/>
    <w:rsid w:val="00322E2E"/>
    <w:rsid w:val="00322EC7"/>
    <w:rsid w:val="003230AC"/>
    <w:rsid w:val="003231C5"/>
    <w:rsid w:val="00323342"/>
    <w:rsid w:val="003238B0"/>
    <w:rsid w:val="00323A57"/>
    <w:rsid w:val="00323DD9"/>
    <w:rsid w:val="00323FA8"/>
    <w:rsid w:val="00324396"/>
    <w:rsid w:val="00324674"/>
    <w:rsid w:val="003247C3"/>
    <w:rsid w:val="003250B6"/>
    <w:rsid w:val="003256E0"/>
    <w:rsid w:val="00325717"/>
    <w:rsid w:val="00325788"/>
    <w:rsid w:val="00326110"/>
    <w:rsid w:val="0032612C"/>
    <w:rsid w:val="003261BC"/>
    <w:rsid w:val="003261EE"/>
    <w:rsid w:val="003263B1"/>
    <w:rsid w:val="003263B4"/>
    <w:rsid w:val="003265B5"/>
    <w:rsid w:val="00326613"/>
    <w:rsid w:val="00326625"/>
    <w:rsid w:val="00326C2A"/>
    <w:rsid w:val="00326D43"/>
    <w:rsid w:val="003271D6"/>
    <w:rsid w:val="00327250"/>
    <w:rsid w:val="00327319"/>
    <w:rsid w:val="0032733D"/>
    <w:rsid w:val="00327424"/>
    <w:rsid w:val="0033074F"/>
    <w:rsid w:val="0033092C"/>
    <w:rsid w:val="00330BBD"/>
    <w:rsid w:val="00330D0C"/>
    <w:rsid w:val="00330FEC"/>
    <w:rsid w:val="00331120"/>
    <w:rsid w:val="00331312"/>
    <w:rsid w:val="003313B6"/>
    <w:rsid w:val="003315C7"/>
    <w:rsid w:val="0033163B"/>
    <w:rsid w:val="00331894"/>
    <w:rsid w:val="00331D9F"/>
    <w:rsid w:val="0033210B"/>
    <w:rsid w:val="0033212F"/>
    <w:rsid w:val="00332184"/>
    <w:rsid w:val="00332294"/>
    <w:rsid w:val="0033231E"/>
    <w:rsid w:val="0033269F"/>
    <w:rsid w:val="00332756"/>
    <w:rsid w:val="00332BE6"/>
    <w:rsid w:val="00332C39"/>
    <w:rsid w:val="00333269"/>
    <w:rsid w:val="003335FF"/>
    <w:rsid w:val="003337D7"/>
    <w:rsid w:val="00333978"/>
    <w:rsid w:val="003339F5"/>
    <w:rsid w:val="00333AD0"/>
    <w:rsid w:val="00333C00"/>
    <w:rsid w:val="00333C48"/>
    <w:rsid w:val="00333D1B"/>
    <w:rsid w:val="00334199"/>
    <w:rsid w:val="0033426A"/>
    <w:rsid w:val="0033432E"/>
    <w:rsid w:val="003347AC"/>
    <w:rsid w:val="00334C64"/>
    <w:rsid w:val="00334D2C"/>
    <w:rsid w:val="00335456"/>
    <w:rsid w:val="003355E2"/>
    <w:rsid w:val="00335793"/>
    <w:rsid w:val="00335BBB"/>
    <w:rsid w:val="00335F14"/>
    <w:rsid w:val="0033626B"/>
    <w:rsid w:val="003367F1"/>
    <w:rsid w:val="00336837"/>
    <w:rsid w:val="003368D7"/>
    <w:rsid w:val="00336983"/>
    <w:rsid w:val="00336C74"/>
    <w:rsid w:val="00336E27"/>
    <w:rsid w:val="00336E72"/>
    <w:rsid w:val="00337150"/>
    <w:rsid w:val="003378EF"/>
    <w:rsid w:val="00337907"/>
    <w:rsid w:val="00337F36"/>
    <w:rsid w:val="00340192"/>
    <w:rsid w:val="003401B5"/>
    <w:rsid w:val="00340239"/>
    <w:rsid w:val="00340438"/>
    <w:rsid w:val="0034051E"/>
    <w:rsid w:val="003405CC"/>
    <w:rsid w:val="003405EC"/>
    <w:rsid w:val="00340712"/>
    <w:rsid w:val="00340728"/>
    <w:rsid w:val="00340B52"/>
    <w:rsid w:val="00340D2C"/>
    <w:rsid w:val="00340D91"/>
    <w:rsid w:val="00340F5C"/>
    <w:rsid w:val="00341245"/>
    <w:rsid w:val="00341277"/>
    <w:rsid w:val="00341899"/>
    <w:rsid w:val="00341978"/>
    <w:rsid w:val="00342092"/>
    <w:rsid w:val="0034246E"/>
    <w:rsid w:val="003425A2"/>
    <w:rsid w:val="00342942"/>
    <w:rsid w:val="00342B87"/>
    <w:rsid w:val="00342C43"/>
    <w:rsid w:val="00343212"/>
    <w:rsid w:val="003432F4"/>
    <w:rsid w:val="003433C2"/>
    <w:rsid w:val="003435B7"/>
    <w:rsid w:val="003435BB"/>
    <w:rsid w:val="00343D26"/>
    <w:rsid w:val="00344186"/>
    <w:rsid w:val="00344267"/>
    <w:rsid w:val="003445AE"/>
    <w:rsid w:val="003447E5"/>
    <w:rsid w:val="00344825"/>
    <w:rsid w:val="003449B1"/>
    <w:rsid w:val="00344B8F"/>
    <w:rsid w:val="00344C1B"/>
    <w:rsid w:val="00344E32"/>
    <w:rsid w:val="00344F80"/>
    <w:rsid w:val="00345117"/>
    <w:rsid w:val="003451E1"/>
    <w:rsid w:val="00345213"/>
    <w:rsid w:val="003452C5"/>
    <w:rsid w:val="003452E4"/>
    <w:rsid w:val="0034535E"/>
    <w:rsid w:val="00345446"/>
    <w:rsid w:val="003454C2"/>
    <w:rsid w:val="00345C08"/>
    <w:rsid w:val="00345DFF"/>
    <w:rsid w:val="003460B3"/>
    <w:rsid w:val="003460E2"/>
    <w:rsid w:val="00346100"/>
    <w:rsid w:val="003467B8"/>
    <w:rsid w:val="00346C7F"/>
    <w:rsid w:val="00346CFE"/>
    <w:rsid w:val="0034715D"/>
    <w:rsid w:val="00347339"/>
    <w:rsid w:val="00347430"/>
    <w:rsid w:val="0034788C"/>
    <w:rsid w:val="003478E6"/>
    <w:rsid w:val="0034798F"/>
    <w:rsid w:val="00347BAA"/>
    <w:rsid w:val="00347BF6"/>
    <w:rsid w:val="00347DEB"/>
    <w:rsid w:val="00347DFC"/>
    <w:rsid w:val="00347F64"/>
    <w:rsid w:val="00347FDA"/>
    <w:rsid w:val="003501A4"/>
    <w:rsid w:val="003502E6"/>
    <w:rsid w:val="003503BD"/>
    <w:rsid w:val="00350663"/>
    <w:rsid w:val="003506F9"/>
    <w:rsid w:val="00350750"/>
    <w:rsid w:val="003509D2"/>
    <w:rsid w:val="00350AF2"/>
    <w:rsid w:val="00350C34"/>
    <w:rsid w:val="00350E94"/>
    <w:rsid w:val="00350FD6"/>
    <w:rsid w:val="00351073"/>
    <w:rsid w:val="003510BC"/>
    <w:rsid w:val="003514C6"/>
    <w:rsid w:val="00351512"/>
    <w:rsid w:val="003515C3"/>
    <w:rsid w:val="00351601"/>
    <w:rsid w:val="0035184E"/>
    <w:rsid w:val="00351A3E"/>
    <w:rsid w:val="00351E83"/>
    <w:rsid w:val="00351EB6"/>
    <w:rsid w:val="00351F67"/>
    <w:rsid w:val="0035223E"/>
    <w:rsid w:val="0035228D"/>
    <w:rsid w:val="003522B0"/>
    <w:rsid w:val="003525BB"/>
    <w:rsid w:val="003526A8"/>
    <w:rsid w:val="003526FB"/>
    <w:rsid w:val="003527AC"/>
    <w:rsid w:val="003528B3"/>
    <w:rsid w:val="00352CEC"/>
    <w:rsid w:val="00352F10"/>
    <w:rsid w:val="00353075"/>
    <w:rsid w:val="003532D6"/>
    <w:rsid w:val="0035362A"/>
    <w:rsid w:val="0035394D"/>
    <w:rsid w:val="00353C57"/>
    <w:rsid w:val="00353CFB"/>
    <w:rsid w:val="00353D5B"/>
    <w:rsid w:val="00353DBC"/>
    <w:rsid w:val="0035412F"/>
    <w:rsid w:val="003543AB"/>
    <w:rsid w:val="00354435"/>
    <w:rsid w:val="003544EC"/>
    <w:rsid w:val="0035472D"/>
    <w:rsid w:val="00354765"/>
    <w:rsid w:val="003547BE"/>
    <w:rsid w:val="00355626"/>
    <w:rsid w:val="003557DA"/>
    <w:rsid w:val="00355854"/>
    <w:rsid w:val="003558AE"/>
    <w:rsid w:val="00355B82"/>
    <w:rsid w:val="00355EDD"/>
    <w:rsid w:val="00356263"/>
    <w:rsid w:val="003569EC"/>
    <w:rsid w:val="00356B6A"/>
    <w:rsid w:val="00356EED"/>
    <w:rsid w:val="00356F63"/>
    <w:rsid w:val="00357489"/>
    <w:rsid w:val="00357676"/>
    <w:rsid w:val="003576D1"/>
    <w:rsid w:val="003577CB"/>
    <w:rsid w:val="00357BD1"/>
    <w:rsid w:val="00357C89"/>
    <w:rsid w:val="00357CBE"/>
    <w:rsid w:val="003603BE"/>
    <w:rsid w:val="00360406"/>
    <w:rsid w:val="003609C7"/>
    <w:rsid w:val="00360C54"/>
    <w:rsid w:val="00360CC5"/>
    <w:rsid w:val="00360CE3"/>
    <w:rsid w:val="003613BC"/>
    <w:rsid w:val="00361503"/>
    <w:rsid w:val="0036157A"/>
    <w:rsid w:val="00361D2A"/>
    <w:rsid w:val="00361DE0"/>
    <w:rsid w:val="00361E81"/>
    <w:rsid w:val="0036210A"/>
    <w:rsid w:val="0036219B"/>
    <w:rsid w:val="003621C8"/>
    <w:rsid w:val="00362258"/>
    <w:rsid w:val="00362876"/>
    <w:rsid w:val="00362900"/>
    <w:rsid w:val="00362AF8"/>
    <w:rsid w:val="00362C39"/>
    <w:rsid w:val="00362F04"/>
    <w:rsid w:val="00363095"/>
    <w:rsid w:val="003631A4"/>
    <w:rsid w:val="003631B2"/>
    <w:rsid w:val="00363248"/>
    <w:rsid w:val="003636C8"/>
    <w:rsid w:val="00363A33"/>
    <w:rsid w:val="00363C66"/>
    <w:rsid w:val="00363D26"/>
    <w:rsid w:val="00363D54"/>
    <w:rsid w:val="00363D65"/>
    <w:rsid w:val="003640BA"/>
    <w:rsid w:val="003640D1"/>
    <w:rsid w:val="003645E0"/>
    <w:rsid w:val="00364908"/>
    <w:rsid w:val="00364BDB"/>
    <w:rsid w:val="00364C97"/>
    <w:rsid w:val="00364EF3"/>
    <w:rsid w:val="00365160"/>
    <w:rsid w:val="00365635"/>
    <w:rsid w:val="00366178"/>
    <w:rsid w:val="003664F4"/>
    <w:rsid w:val="00366740"/>
    <w:rsid w:val="00366B1C"/>
    <w:rsid w:val="00366BAD"/>
    <w:rsid w:val="00366BE2"/>
    <w:rsid w:val="00366E92"/>
    <w:rsid w:val="003672E1"/>
    <w:rsid w:val="0036765C"/>
    <w:rsid w:val="00367841"/>
    <w:rsid w:val="00367DB2"/>
    <w:rsid w:val="003700B8"/>
    <w:rsid w:val="003702F7"/>
    <w:rsid w:val="003703C8"/>
    <w:rsid w:val="0037051E"/>
    <w:rsid w:val="00370557"/>
    <w:rsid w:val="0037058D"/>
    <w:rsid w:val="00370606"/>
    <w:rsid w:val="00370727"/>
    <w:rsid w:val="0037098C"/>
    <w:rsid w:val="00370E2B"/>
    <w:rsid w:val="00370E89"/>
    <w:rsid w:val="003712D3"/>
    <w:rsid w:val="003713CA"/>
    <w:rsid w:val="003716BF"/>
    <w:rsid w:val="00371791"/>
    <w:rsid w:val="003717E8"/>
    <w:rsid w:val="003719B5"/>
    <w:rsid w:val="00371A25"/>
    <w:rsid w:val="00371B2F"/>
    <w:rsid w:val="00371CDC"/>
    <w:rsid w:val="00371EE5"/>
    <w:rsid w:val="00372061"/>
    <w:rsid w:val="0037223B"/>
    <w:rsid w:val="0037244A"/>
    <w:rsid w:val="0037245B"/>
    <w:rsid w:val="003729D9"/>
    <w:rsid w:val="00372B16"/>
    <w:rsid w:val="00372BED"/>
    <w:rsid w:val="00372BFE"/>
    <w:rsid w:val="00373178"/>
    <w:rsid w:val="003731D7"/>
    <w:rsid w:val="003731D9"/>
    <w:rsid w:val="003732B2"/>
    <w:rsid w:val="0037352F"/>
    <w:rsid w:val="0037353A"/>
    <w:rsid w:val="00373672"/>
    <w:rsid w:val="003736FF"/>
    <w:rsid w:val="00373751"/>
    <w:rsid w:val="003737D6"/>
    <w:rsid w:val="0037382D"/>
    <w:rsid w:val="00373AB6"/>
    <w:rsid w:val="00373CBC"/>
    <w:rsid w:val="00373D7C"/>
    <w:rsid w:val="00373E61"/>
    <w:rsid w:val="00374529"/>
    <w:rsid w:val="00374572"/>
    <w:rsid w:val="003745E6"/>
    <w:rsid w:val="00374862"/>
    <w:rsid w:val="00374943"/>
    <w:rsid w:val="00374C7B"/>
    <w:rsid w:val="00374D27"/>
    <w:rsid w:val="00374D9C"/>
    <w:rsid w:val="00374DEB"/>
    <w:rsid w:val="00374FA3"/>
    <w:rsid w:val="00375272"/>
    <w:rsid w:val="003755F1"/>
    <w:rsid w:val="00375B45"/>
    <w:rsid w:val="00375B4B"/>
    <w:rsid w:val="00375C33"/>
    <w:rsid w:val="00375C34"/>
    <w:rsid w:val="00375D03"/>
    <w:rsid w:val="00375E17"/>
    <w:rsid w:val="00375F56"/>
    <w:rsid w:val="003760F1"/>
    <w:rsid w:val="003761C9"/>
    <w:rsid w:val="00376320"/>
    <w:rsid w:val="003765C5"/>
    <w:rsid w:val="003768E8"/>
    <w:rsid w:val="00376F20"/>
    <w:rsid w:val="00377092"/>
    <w:rsid w:val="003777D4"/>
    <w:rsid w:val="00377960"/>
    <w:rsid w:val="00377C0C"/>
    <w:rsid w:val="00377E5D"/>
    <w:rsid w:val="00377F66"/>
    <w:rsid w:val="00380449"/>
    <w:rsid w:val="0038049A"/>
    <w:rsid w:val="003804A2"/>
    <w:rsid w:val="00380606"/>
    <w:rsid w:val="003807BB"/>
    <w:rsid w:val="003808E6"/>
    <w:rsid w:val="00380A41"/>
    <w:rsid w:val="00380A54"/>
    <w:rsid w:val="00380C7F"/>
    <w:rsid w:val="00380ECF"/>
    <w:rsid w:val="003812F6"/>
    <w:rsid w:val="0038131A"/>
    <w:rsid w:val="00381481"/>
    <w:rsid w:val="00381C78"/>
    <w:rsid w:val="00381CFB"/>
    <w:rsid w:val="00381DB2"/>
    <w:rsid w:val="0038213C"/>
    <w:rsid w:val="00382397"/>
    <w:rsid w:val="00382682"/>
    <w:rsid w:val="0038269E"/>
    <w:rsid w:val="00382904"/>
    <w:rsid w:val="00382E22"/>
    <w:rsid w:val="003832B0"/>
    <w:rsid w:val="00383338"/>
    <w:rsid w:val="00383345"/>
    <w:rsid w:val="003834AC"/>
    <w:rsid w:val="0038365C"/>
    <w:rsid w:val="003837C1"/>
    <w:rsid w:val="00383AD0"/>
    <w:rsid w:val="00383E55"/>
    <w:rsid w:val="00383EAF"/>
    <w:rsid w:val="00383F05"/>
    <w:rsid w:val="00384259"/>
    <w:rsid w:val="003843F4"/>
    <w:rsid w:val="00384403"/>
    <w:rsid w:val="0038448B"/>
    <w:rsid w:val="003844CB"/>
    <w:rsid w:val="003846FA"/>
    <w:rsid w:val="00384942"/>
    <w:rsid w:val="00384D20"/>
    <w:rsid w:val="00384D21"/>
    <w:rsid w:val="00384DAD"/>
    <w:rsid w:val="00384FCF"/>
    <w:rsid w:val="00385064"/>
    <w:rsid w:val="00385141"/>
    <w:rsid w:val="003851F8"/>
    <w:rsid w:val="003857F0"/>
    <w:rsid w:val="00385913"/>
    <w:rsid w:val="00385B50"/>
    <w:rsid w:val="00385C70"/>
    <w:rsid w:val="00385CAF"/>
    <w:rsid w:val="00385CF8"/>
    <w:rsid w:val="00385D7D"/>
    <w:rsid w:val="00385DEE"/>
    <w:rsid w:val="00385E86"/>
    <w:rsid w:val="0038604B"/>
    <w:rsid w:val="0038614D"/>
    <w:rsid w:val="0038625C"/>
    <w:rsid w:val="00386302"/>
    <w:rsid w:val="00386352"/>
    <w:rsid w:val="003864FE"/>
    <w:rsid w:val="0038672E"/>
    <w:rsid w:val="003867CB"/>
    <w:rsid w:val="003869BC"/>
    <w:rsid w:val="00386AA3"/>
    <w:rsid w:val="00386CE0"/>
    <w:rsid w:val="00386DA0"/>
    <w:rsid w:val="0038736E"/>
    <w:rsid w:val="003873A4"/>
    <w:rsid w:val="003875A1"/>
    <w:rsid w:val="003875E1"/>
    <w:rsid w:val="00387916"/>
    <w:rsid w:val="0038799B"/>
    <w:rsid w:val="00387C80"/>
    <w:rsid w:val="00387E42"/>
    <w:rsid w:val="003900A6"/>
    <w:rsid w:val="003905E3"/>
    <w:rsid w:val="00390605"/>
    <w:rsid w:val="003909EA"/>
    <w:rsid w:val="00390B61"/>
    <w:rsid w:val="00390BD5"/>
    <w:rsid w:val="00390CA0"/>
    <w:rsid w:val="00390D38"/>
    <w:rsid w:val="00390D88"/>
    <w:rsid w:val="00390EF4"/>
    <w:rsid w:val="00390F7B"/>
    <w:rsid w:val="003915EC"/>
    <w:rsid w:val="00391684"/>
    <w:rsid w:val="0039172F"/>
    <w:rsid w:val="003917DE"/>
    <w:rsid w:val="00391B91"/>
    <w:rsid w:val="00391D4D"/>
    <w:rsid w:val="00391E25"/>
    <w:rsid w:val="00392087"/>
    <w:rsid w:val="003920E7"/>
    <w:rsid w:val="00392125"/>
    <w:rsid w:val="003922F2"/>
    <w:rsid w:val="0039237C"/>
    <w:rsid w:val="0039240D"/>
    <w:rsid w:val="0039248F"/>
    <w:rsid w:val="0039252A"/>
    <w:rsid w:val="00392915"/>
    <w:rsid w:val="00392BBC"/>
    <w:rsid w:val="00392DB6"/>
    <w:rsid w:val="00392E8D"/>
    <w:rsid w:val="00392FB6"/>
    <w:rsid w:val="003930A8"/>
    <w:rsid w:val="00393169"/>
    <w:rsid w:val="0039318B"/>
    <w:rsid w:val="00393202"/>
    <w:rsid w:val="00393218"/>
    <w:rsid w:val="00393276"/>
    <w:rsid w:val="0039328D"/>
    <w:rsid w:val="003933B7"/>
    <w:rsid w:val="003936E1"/>
    <w:rsid w:val="0039379B"/>
    <w:rsid w:val="003938E5"/>
    <w:rsid w:val="0039406B"/>
    <w:rsid w:val="003940DB"/>
    <w:rsid w:val="00394231"/>
    <w:rsid w:val="00394448"/>
    <w:rsid w:val="003945CD"/>
    <w:rsid w:val="00394755"/>
    <w:rsid w:val="00394941"/>
    <w:rsid w:val="00394BBC"/>
    <w:rsid w:val="00394F33"/>
    <w:rsid w:val="00394F98"/>
    <w:rsid w:val="003950FC"/>
    <w:rsid w:val="003951D3"/>
    <w:rsid w:val="003953B1"/>
    <w:rsid w:val="0039554A"/>
    <w:rsid w:val="00395CFD"/>
    <w:rsid w:val="00395F64"/>
    <w:rsid w:val="00396398"/>
    <w:rsid w:val="00396651"/>
    <w:rsid w:val="00396AB2"/>
    <w:rsid w:val="00396B40"/>
    <w:rsid w:val="00396B9B"/>
    <w:rsid w:val="00396DC8"/>
    <w:rsid w:val="00396DCA"/>
    <w:rsid w:val="00396DF9"/>
    <w:rsid w:val="00396E2E"/>
    <w:rsid w:val="00396F9A"/>
    <w:rsid w:val="003973A9"/>
    <w:rsid w:val="003973FD"/>
    <w:rsid w:val="003975F2"/>
    <w:rsid w:val="00397785"/>
    <w:rsid w:val="00397ADB"/>
    <w:rsid w:val="00397B1B"/>
    <w:rsid w:val="00397B7F"/>
    <w:rsid w:val="00397C22"/>
    <w:rsid w:val="00397DD0"/>
    <w:rsid w:val="00397F73"/>
    <w:rsid w:val="003A0921"/>
    <w:rsid w:val="003A1160"/>
    <w:rsid w:val="003A13A8"/>
    <w:rsid w:val="003A15CA"/>
    <w:rsid w:val="003A16EB"/>
    <w:rsid w:val="003A17F6"/>
    <w:rsid w:val="003A1A8D"/>
    <w:rsid w:val="003A1DA1"/>
    <w:rsid w:val="003A1F2F"/>
    <w:rsid w:val="003A21D1"/>
    <w:rsid w:val="003A22CC"/>
    <w:rsid w:val="003A2390"/>
    <w:rsid w:val="003A2458"/>
    <w:rsid w:val="003A2B77"/>
    <w:rsid w:val="003A2C80"/>
    <w:rsid w:val="003A2DEB"/>
    <w:rsid w:val="003A2E77"/>
    <w:rsid w:val="003A2EC3"/>
    <w:rsid w:val="003A30F9"/>
    <w:rsid w:val="003A33CF"/>
    <w:rsid w:val="003A3426"/>
    <w:rsid w:val="003A3715"/>
    <w:rsid w:val="003A39A6"/>
    <w:rsid w:val="003A3A20"/>
    <w:rsid w:val="003A3CA9"/>
    <w:rsid w:val="003A3E30"/>
    <w:rsid w:val="003A3E4E"/>
    <w:rsid w:val="003A3F19"/>
    <w:rsid w:val="003A411C"/>
    <w:rsid w:val="003A450F"/>
    <w:rsid w:val="003A4647"/>
    <w:rsid w:val="003A5050"/>
    <w:rsid w:val="003A512B"/>
    <w:rsid w:val="003A513D"/>
    <w:rsid w:val="003A525A"/>
    <w:rsid w:val="003A5322"/>
    <w:rsid w:val="003A5593"/>
    <w:rsid w:val="003A55AD"/>
    <w:rsid w:val="003A573B"/>
    <w:rsid w:val="003A5A8E"/>
    <w:rsid w:val="003A5C13"/>
    <w:rsid w:val="003A5CE7"/>
    <w:rsid w:val="003A6300"/>
    <w:rsid w:val="003A6471"/>
    <w:rsid w:val="003A64BA"/>
    <w:rsid w:val="003A6B59"/>
    <w:rsid w:val="003A6E60"/>
    <w:rsid w:val="003A6E84"/>
    <w:rsid w:val="003A6FAA"/>
    <w:rsid w:val="003A773C"/>
    <w:rsid w:val="003A790A"/>
    <w:rsid w:val="003A7C94"/>
    <w:rsid w:val="003A7DB2"/>
    <w:rsid w:val="003A7F60"/>
    <w:rsid w:val="003B00C8"/>
    <w:rsid w:val="003B01DE"/>
    <w:rsid w:val="003B06B9"/>
    <w:rsid w:val="003B06FD"/>
    <w:rsid w:val="003B08C3"/>
    <w:rsid w:val="003B0C39"/>
    <w:rsid w:val="003B0D6A"/>
    <w:rsid w:val="003B1075"/>
    <w:rsid w:val="003B127B"/>
    <w:rsid w:val="003B12F7"/>
    <w:rsid w:val="003B150F"/>
    <w:rsid w:val="003B186A"/>
    <w:rsid w:val="003B1941"/>
    <w:rsid w:val="003B1A1F"/>
    <w:rsid w:val="003B1AB7"/>
    <w:rsid w:val="003B1B77"/>
    <w:rsid w:val="003B1E65"/>
    <w:rsid w:val="003B1FA4"/>
    <w:rsid w:val="003B1FE7"/>
    <w:rsid w:val="003B250D"/>
    <w:rsid w:val="003B27C2"/>
    <w:rsid w:val="003B298F"/>
    <w:rsid w:val="003B29AD"/>
    <w:rsid w:val="003B2D0F"/>
    <w:rsid w:val="003B31D9"/>
    <w:rsid w:val="003B32B2"/>
    <w:rsid w:val="003B3860"/>
    <w:rsid w:val="003B394E"/>
    <w:rsid w:val="003B3A58"/>
    <w:rsid w:val="003B3A64"/>
    <w:rsid w:val="003B3D4C"/>
    <w:rsid w:val="003B3DBE"/>
    <w:rsid w:val="003B3EAE"/>
    <w:rsid w:val="003B3FE4"/>
    <w:rsid w:val="003B3FF5"/>
    <w:rsid w:val="003B48B7"/>
    <w:rsid w:val="003B4D46"/>
    <w:rsid w:val="003B4E39"/>
    <w:rsid w:val="003B4F15"/>
    <w:rsid w:val="003B52EC"/>
    <w:rsid w:val="003B5533"/>
    <w:rsid w:val="003B593C"/>
    <w:rsid w:val="003B5B26"/>
    <w:rsid w:val="003B5CE6"/>
    <w:rsid w:val="003B5EAD"/>
    <w:rsid w:val="003B5F5F"/>
    <w:rsid w:val="003B621E"/>
    <w:rsid w:val="003B6357"/>
    <w:rsid w:val="003B6663"/>
    <w:rsid w:val="003B67C1"/>
    <w:rsid w:val="003B6849"/>
    <w:rsid w:val="003B6A24"/>
    <w:rsid w:val="003B6B6C"/>
    <w:rsid w:val="003B72D0"/>
    <w:rsid w:val="003B730C"/>
    <w:rsid w:val="003B73A6"/>
    <w:rsid w:val="003B7415"/>
    <w:rsid w:val="003B7507"/>
    <w:rsid w:val="003B760A"/>
    <w:rsid w:val="003B7987"/>
    <w:rsid w:val="003B7A7B"/>
    <w:rsid w:val="003B7DA4"/>
    <w:rsid w:val="003C01AC"/>
    <w:rsid w:val="003C047F"/>
    <w:rsid w:val="003C05DF"/>
    <w:rsid w:val="003C0DB5"/>
    <w:rsid w:val="003C0EC2"/>
    <w:rsid w:val="003C0F24"/>
    <w:rsid w:val="003C107C"/>
    <w:rsid w:val="003C12CD"/>
    <w:rsid w:val="003C14A2"/>
    <w:rsid w:val="003C18D4"/>
    <w:rsid w:val="003C1A24"/>
    <w:rsid w:val="003C1C81"/>
    <w:rsid w:val="003C1E5A"/>
    <w:rsid w:val="003C1F2A"/>
    <w:rsid w:val="003C2303"/>
    <w:rsid w:val="003C2D1F"/>
    <w:rsid w:val="003C2EF4"/>
    <w:rsid w:val="003C2F2F"/>
    <w:rsid w:val="003C32FB"/>
    <w:rsid w:val="003C3474"/>
    <w:rsid w:val="003C35D3"/>
    <w:rsid w:val="003C3619"/>
    <w:rsid w:val="003C3652"/>
    <w:rsid w:val="003C3753"/>
    <w:rsid w:val="003C3BBD"/>
    <w:rsid w:val="003C3E06"/>
    <w:rsid w:val="003C3FCF"/>
    <w:rsid w:val="003C42C8"/>
    <w:rsid w:val="003C4351"/>
    <w:rsid w:val="003C435F"/>
    <w:rsid w:val="003C4511"/>
    <w:rsid w:val="003C464B"/>
    <w:rsid w:val="003C4688"/>
    <w:rsid w:val="003C47F6"/>
    <w:rsid w:val="003C49D4"/>
    <w:rsid w:val="003C4B18"/>
    <w:rsid w:val="003C4B4F"/>
    <w:rsid w:val="003C4DE6"/>
    <w:rsid w:val="003C4EEC"/>
    <w:rsid w:val="003C5044"/>
    <w:rsid w:val="003C50ED"/>
    <w:rsid w:val="003C513E"/>
    <w:rsid w:val="003C546C"/>
    <w:rsid w:val="003C586C"/>
    <w:rsid w:val="003C641C"/>
    <w:rsid w:val="003C6698"/>
    <w:rsid w:val="003C6918"/>
    <w:rsid w:val="003C6AAE"/>
    <w:rsid w:val="003C6AD5"/>
    <w:rsid w:val="003C6C89"/>
    <w:rsid w:val="003C7043"/>
    <w:rsid w:val="003C752E"/>
    <w:rsid w:val="003C766D"/>
    <w:rsid w:val="003C7C55"/>
    <w:rsid w:val="003C7FE6"/>
    <w:rsid w:val="003D0305"/>
    <w:rsid w:val="003D0376"/>
    <w:rsid w:val="003D0628"/>
    <w:rsid w:val="003D079D"/>
    <w:rsid w:val="003D0816"/>
    <w:rsid w:val="003D0A5B"/>
    <w:rsid w:val="003D0B89"/>
    <w:rsid w:val="003D0DBB"/>
    <w:rsid w:val="003D119A"/>
    <w:rsid w:val="003D1741"/>
    <w:rsid w:val="003D196E"/>
    <w:rsid w:val="003D1A15"/>
    <w:rsid w:val="003D2060"/>
    <w:rsid w:val="003D22FA"/>
    <w:rsid w:val="003D2573"/>
    <w:rsid w:val="003D272F"/>
    <w:rsid w:val="003D27A9"/>
    <w:rsid w:val="003D28FB"/>
    <w:rsid w:val="003D2900"/>
    <w:rsid w:val="003D2945"/>
    <w:rsid w:val="003D2A83"/>
    <w:rsid w:val="003D2E05"/>
    <w:rsid w:val="003D2E58"/>
    <w:rsid w:val="003D2FCA"/>
    <w:rsid w:val="003D3198"/>
    <w:rsid w:val="003D3311"/>
    <w:rsid w:val="003D34E7"/>
    <w:rsid w:val="003D35B5"/>
    <w:rsid w:val="003D35E9"/>
    <w:rsid w:val="003D371F"/>
    <w:rsid w:val="003D387B"/>
    <w:rsid w:val="003D38AA"/>
    <w:rsid w:val="003D394C"/>
    <w:rsid w:val="003D395B"/>
    <w:rsid w:val="003D3C74"/>
    <w:rsid w:val="003D3F05"/>
    <w:rsid w:val="003D3FED"/>
    <w:rsid w:val="003D4B97"/>
    <w:rsid w:val="003D4C16"/>
    <w:rsid w:val="003D4DFE"/>
    <w:rsid w:val="003D50D2"/>
    <w:rsid w:val="003D5339"/>
    <w:rsid w:val="003D538D"/>
    <w:rsid w:val="003D53C5"/>
    <w:rsid w:val="003D53F2"/>
    <w:rsid w:val="003D555F"/>
    <w:rsid w:val="003D56D9"/>
    <w:rsid w:val="003D580C"/>
    <w:rsid w:val="003D5905"/>
    <w:rsid w:val="003D5A29"/>
    <w:rsid w:val="003D602C"/>
    <w:rsid w:val="003D603C"/>
    <w:rsid w:val="003D6172"/>
    <w:rsid w:val="003D6530"/>
    <w:rsid w:val="003D6976"/>
    <w:rsid w:val="003D6BFB"/>
    <w:rsid w:val="003D706D"/>
    <w:rsid w:val="003D7195"/>
    <w:rsid w:val="003D738E"/>
    <w:rsid w:val="003D74B7"/>
    <w:rsid w:val="003D76E4"/>
    <w:rsid w:val="003D774B"/>
    <w:rsid w:val="003D7C49"/>
    <w:rsid w:val="003D7DCE"/>
    <w:rsid w:val="003E00D2"/>
    <w:rsid w:val="003E00E3"/>
    <w:rsid w:val="003E00EC"/>
    <w:rsid w:val="003E01E0"/>
    <w:rsid w:val="003E0458"/>
    <w:rsid w:val="003E05AC"/>
    <w:rsid w:val="003E0938"/>
    <w:rsid w:val="003E0B96"/>
    <w:rsid w:val="003E0D56"/>
    <w:rsid w:val="003E0E38"/>
    <w:rsid w:val="003E0EEE"/>
    <w:rsid w:val="003E1208"/>
    <w:rsid w:val="003E1367"/>
    <w:rsid w:val="003E1533"/>
    <w:rsid w:val="003E154A"/>
    <w:rsid w:val="003E171B"/>
    <w:rsid w:val="003E1961"/>
    <w:rsid w:val="003E1BBB"/>
    <w:rsid w:val="003E1E29"/>
    <w:rsid w:val="003E22D3"/>
    <w:rsid w:val="003E2512"/>
    <w:rsid w:val="003E29AA"/>
    <w:rsid w:val="003E2D8D"/>
    <w:rsid w:val="003E2FE0"/>
    <w:rsid w:val="003E31DC"/>
    <w:rsid w:val="003E322E"/>
    <w:rsid w:val="003E325D"/>
    <w:rsid w:val="003E33B7"/>
    <w:rsid w:val="003E381F"/>
    <w:rsid w:val="003E391F"/>
    <w:rsid w:val="003E3AE7"/>
    <w:rsid w:val="003E3B49"/>
    <w:rsid w:val="003E3B7E"/>
    <w:rsid w:val="003E3D36"/>
    <w:rsid w:val="003E3E03"/>
    <w:rsid w:val="003E3FC7"/>
    <w:rsid w:val="003E3FD4"/>
    <w:rsid w:val="003E46B2"/>
    <w:rsid w:val="003E4D37"/>
    <w:rsid w:val="003E4DEE"/>
    <w:rsid w:val="003E4F2B"/>
    <w:rsid w:val="003E502A"/>
    <w:rsid w:val="003E541E"/>
    <w:rsid w:val="003E56FE"/>
    <w:rsid w:val="003E5764"/>
    <w:rsid w:val="003E5A22"/>
    <w:rsid w:val="003E5CDC"/>
    <w:rsid w:val="003E5DA6"/>
    <w:rsid w:val="003E6361"/>
    <w:rsid w:val="003E63A7"/>
    <w:rsid w:val="003E6431"/>
    <w:rsid w:val="003E6557"/>
    <w:rsid w:val="003E6605"/>
    <w:rsid w:val="003E681B"/>
    <w:rsid w:val="003E6FEF"/>
    <w:rsid w:val="003E703F"/>
    <w:rsid w:val="003E7098"/>
    <w:rsid w:val="003E7964"/>
    <w:rsid w:val="003E7967"/>
    <w:rsid w:val="003E7A03"/>
    <w:rsid w:val="003E7D0A"/>
    <w:rsid w:val="003E7D0F"/>
    <w:rsid w:val="003F016D"/>
    <w:rsid w:val="003F03F1"/>
    <w:rsid w:val="003F0620"/>
    <w:rsid w:val="003F0623"/>
    <w:rsid w:val="003F063C"/>
    <w:rsid w:val="003F071F"/>
    <w:rsid w:val="003F086F"/>
    <w:rsid w:val="003F0AC9"/>
    <w:rsid w:val="003F0F08"/>
    <w:rsid w:val="003F0F4B"/>
    <w:rsid w:val="003F0F7B"/>
    <w:rsid w:val="003F123A"/>
    <w:rsid w:val="003F13C1"/>
    <w:rsid w:val="003F156D"/>
    <w:rsid w:val="003F1575"/>
    <w:rsid w:val="003F16A3"/>
    <w:rsid w:val="003F16B7"/>
    <w:rsid w:val="003F176F"/>
    <w:rsid w:val="003F1D30"/>
    <w:rsid w:val="003F2100"/>
    <w:rsid w:val="003F23E5"/>
    <w:rsid w:val="003F2554"/>
    <w:rsid w:val="003F25CC"/>
    <w:rsid w:val="003F2687"/>
    <w:rsid w:val="003F2719"/>
    <w:rsid w:val="003F27C8"/>
    <w:rsid w:val="003F27E7"/>
    <w:rsid w:val="003F2996"/>
    <w:rsid w:val="003F29C8"/>
    <w:rsid w:val="003F2C9C"/>
    <w:rsid w:val="003F2D46"/>
    <w:rsid w:val="003F2DA3"/>
    <w:rsid w:val="003F2DE3"/>
    <w:rsid w:val="003F2F61"/>
    <w:rsid w:val="003F30D1"/>
    <w:rsid w:val="003F312C"/>
    <w:rsid w:val="003F33B4"/>
    <w:rsid w:val="003F342D"/>
    <w:rsid w:val="003F38B7"/>
    <w:rsid w:val="003F38D2"/>
    <w:rsid w:val="003F3932"/>
    <w:rsid w:val="003F397B"/>
    <w:rsid w:val="003F3A6C"/>
    <w:rsid w:val="003F3FA0"/>
    <w:rsid w:val="003F3FB4"/>
    <w:rsid w:val="003F40FC"/>
    <w:rsid w:val="003F4203"/>
    <w:rsid w:val="003F43E6"/>
    <w:rsid w:val="003F4409"/>
    <w:rsid w:val="003F457B"/>
    <w:rsid w:val="003F4616"/>
    <w:rsid w:val="003F4628"/>
    <w:rsid w:val="003F471D"/>
    <w:rsid w:val="003F4836"/>
    <w:rsid w:val="003F4935"/>
    <w:rsid w:val="003F49F0"/>
    <w:rsid w:val="003F4A0C"/>
    <w:rsid w:val="003F4C86"/>
    <w:rsid w:val="003F4C87"/>
    <w:rsid w:val="003F4D37"/>
    <w:rsid w:val="003F4D85"/>
    <w:rsid w:val="003F4E2F"/>
    <w:rsid w:val="003F4ED8"/>
    <w:rsid w:val="003F4F33"/>
    <w:rsid w:val="003F5030"/>
    <w:rsid w:val="003F50B2"/>
    <w:rsid w:val="003F517F"/>
    <w:rsid w:val="003F540F"/>
    <w:rsid w:val="003F56E8"/>
    <w:rsid w:val="003F5790"/>
    <w:rsid w:val="003F57B8"/>
    <w:rsid w:val="003F5B1D"/>
    <w:rsid w:val="003F5C57"/>
    <w:rsid w:val="003F5D5B"/>
    <w:rsid w:val="003F5F54"/>
    <w:rsid w:val="003F619C"/>
    <w:rsid w:val="003F66C8"/>
    <w:rsid w:val="003F6B69"/>
    <w:rsid w:val="003F6DFB"/>
    <w:rsid w:val="003F7101"/>
    <w:rsid w:val="003F7569"/>
    <w:rsid w:val="003F7712"/>
    <w:rsid w:val="003F7C08"/>
    <w:rsid w:val="003F7C0C"/>
    <w:rsid w:val="003F7D21"/>
    <w:rsid w:val="00400130"/>
    <w:rsid w:val="00400147"/>
    <w:rsid w:val="004003AF"/>
    <w:rsid w:val="004004DB"/>
    <w:rsid w:val="004005BD"/>
    <w:rsid w:val="004006AB"/>
    <w:rsid w:val="004008DA"/>
    <w:rsid w:val="004011E6"/>
    <w:rsid w:val="00401781"/>
    <w:rsid w:val="00401A6C"/>
    <w:rsid w:val="00401CAE"/>
    <w:rsid w:val="00402256"/>
    <w:rsid w:val="00402258"/>
    <w:rsid w:val="004022A3"/>
    <w:rsid w:val="004022AD"/>
    <w:rsid w:val="0040245A"/>
    <w:rsid w:val="00402619"/>
    <w:rsid w:val="00402B3E"/>
    <w:rsid w:val="00402D78"/>
    <w:rsid w:val="004030A9"/>
    <w:rsid w:val="004032A4"/>
    <w:rsid w:val="00403A7C"/>
    <w:rsid w:val="00403AF1"/>
    <w:rsid w:val="00403B59"/>
    <w:rsid w:val="00403D29"/>
    <w:rsid w:val="00403FDA"/>
    <w:rsid w:val="004040FE"/>
    <w:rsid w:val="0040411B"/>
    <w:rsid w:val="004044E4"/>
    <w:rsid w:val="00404854"/>
    <w:rsid w:val="00404A35"/>
    <w:rsid w:val="00404E39"/>
    <w:rsid w:val="00404F4B"/>
    <w:rsid w:val="00405A18"/>
    <w:rsid w:val="00405A9C"/>
    <w:rsid w:val="00405E8D"/>
    <w:rsid w:val="00406316"/>
    <w:rsid w:val="00406442"/>
    <w:rsid w:val="00406559"/>
    <w:rsid w:val="00406A22"/>
    <w:rsid w:val="00406C5F"/>
    <w:rsid w:val="00406E17"/>
    <w:rsid w:val="00406EEC"/>
    <w:rsid w:val="00406F44"/>
    <w:rsid w:val="004075D0"/>
    <w:rsid w:val="004076F4"/>
    <w:rsid w:val="0040773F"/>
    <w:rsid w:val="0040778D"/>
    <w:rsid w:val="00407B5D"/>
    <w:rsid w:val="00407BDE"/>
    <w:rsid w:val="00407C41"/>
    <w:rsid w:val="00407FEA"/>
    <w:rsid w:val="00410047"/>
    <w:rsid w:val="00410085"/>
    <w:rsid w:val="0041077E"/>
    <w:rsid w:val="004107F6"/>
    <w:rsid w:val="00410ACD"/>
    <w:rsid w:val="00410B74"/>
    <w:rsid w:val="00410E97"/>
    <w:rsid w:val="0041181A"/>
    <w:rsid w:val="00411918"/>
    <w:rsid w:val="00411CE7"/>
    <w:rsid w:val="00411D84"/>
    <w:rsid w:val="00411E0D"/>
    <w:rsid w:val="00411EE6"/>
    <w:rsid w:val="00412094"/>
    <w:rsid w:val="004122CB"/>
    <w:rsid w:val="0041232D"/>
    <w:rsid w:val="004127F3"/>
    <w:rsid w:val="00412B54"/>
    <w:rsid w:val="00412BE2"/>
    <w:rsid w:val="00412C7F"/>
    <w:rsid w:val="00412C8E"/>
    <w:rsid w:val="00412F87"/>
    <w:rsid w:val="00413438"/>
    <w:rsid w:val="004135C2"/>
    <w:rsid w:val="004136F6"/>
    <w:rsid w:val="0041384F"/>
    <w:rsid w:val="004139B9"/>
    <w:rsid w:val="00413A20"/>
    <w:rsid w:val="00413F8A"/>
    <w:rsid w:val="004141D1"/>
    <w:rsid w:val="00414410"/>
    <w:rsid w:val="00414416"/>
    <w:rsid w:val="004145FD"/>
    <w:rsid w:val="004146C5"/>
    <w:rsid w:val="0041494B"/>
    <w:rsid w:val="00414A1D"/>
    <w:rsid w:val="00414A99"/>
    <w:rsid w:val="00414BED"/>
    <w:rsid w:val="00414D43"/>
    <w:rsid w:val="00415474"/>
    <w:rsid w:val="004156F2"/>
    <w:rsid w:val="004157A8"/>
    <w:rsid w:val="00415E4D"/>
    <w:rsid w:val="004160E8"/>
    <w:rsid w:val="0041665B"/>
    <w:rsid w:val="00416CDB"/>
    <w:rsid w:val="00416EE6"/>
    <w:rsid w:val="00417021"/>
    <w:rsid w:val="0041719D"/>
    <w:rsid w:val="004171B0"/>
    <w:rsid w:val="00417260"/>
    <w:rsid w:val="004172F8"/>
    <w:rsid w:val="00417325"/>
    <w:rsid w:val="004173EE"/>
    <w:rsid w:val="004174C1"/>
    <w:rsid w:val="0041778E"/>
    <w:rsid w:val="00417993"/>
    <w:rsid w:val="00417BEA"/>
    <w:rsid w:val="00417C69"/>
    <w:rsid w:val="00417F83"/>
    <w:rsid w:val="0042019F"/>
    <w:rsid w:val="004201BA"/>
    <w:rsid w:val="0042060E"/>
    <w:rsid w:val="004206E5"/>
    <w:rsid w:val="00420761"/>
    <w:rsid w:val="0042087C"/>
    <w:rsid w:val="00420A1A"/>
    <w:rsid w:val="00420A40"/>
    <w:rsid w:val="00420BBC"/>
    <w:rsid w:val="0042113A"/>
    <w:rsid w:val="00421357"/>
    <w:rsid w:val="00421632"/>
    <w:rsid w:val="004217D7"/>
    <w:rsid w:val="00421E43"/>
    <w:rsid w:val="004220DE"/>
    <w:rsid w:val="0042273E"/>
    <w:rsid w:val="00422931"/>
    <w:rsid w:val="00422969"/>
    <w:rsid w:val="00422A81"/>
    <w:rsid w:val="00422D12"/>
    <w:rsid w:val="00422DDC"/>
    <w:rsid w:val="004230F1"/>
    <w:rsid w:val="00423386"/>
    <w:rsid w:val="004233AF"/>
    <w:rsid w:val="004235B6"/>
    <w:rsid w:val="00423DA2"/>
    <w:rsid w:val="00424143"/>
    <w:rsid w:val="004245CF"/>
    <w:rsid w:val="004245EF"/>
    <w:rsid w:val="0042480B"/>
    <w:rsid w:val="0042481E"/>
    <w:rsid w:val="00424B32"/>
    <w:rsid w:val="00424D20"/>
    <w:rsid w:val="00424E48"/>
    <w:rsid w:val="00424FA3"/>
    <w:rsid w:val="00425189"/>
    <w:rsid w:val="004251CF"/>
    <w:rsid w:val="00425253"/>
    <w:rsid w:val="0042533E"/>
    <w:rsid w:val="00425411"/>
    <w:rsid w:val="00425560"/>
    <w:rsid w:val="0042559F"/>
    <w:rsid w:val="00425736"/>
    <w:rsid w:val="0042574F"/>
    <w:rsid w:val="00425766"/>
    <w:rsid w:val="004258DD"/>
    <w:rsid w:val="00425A33"/>
    <w:rsid w:val="00425AC1"/>
    <w:rsid w:val="00425DD5"/>
    <w:rsid w:val="00425E93"/>
    <w:rsid w:val="00425EF3"/>
    <w:rsid w:val="00426165"/>
    <w:rsid w:val="00426182"/>
    <w:rsid w:val="004262C3"/>
    <w:rsid w:val="0042641D"/>
    <w:rsid w:val="00426A33"/>
    <w:rsid w:val="00426AFD"/>
    <w:rsid w:val="00426BFF"/>
    <w:rsid w:val="00426D19"/>
    <w:rsid w:val="00426E00"/>
    <w:rsid w:val="004270D0"/>
    <w:rsid w:val="004273B4"/>
    <w:rsid w:val="004278CB"/>
    <w:rsid w:val="00427CDE"/>
    <w:rsid w:val="00427EF7"/>
    <w:rsid w:val="004302E6"/>
    <w:rsid w:val="00430369"/>
    <w:rsid w:val="0043047B"/>
    <w:rsid w:val="00430632"/>
    <w:rsid w:val="004306CF"/>
    <w:rsid w:val="00430730"/>
    <w:rsid w:val="00430787"/>
    <w:rsid w:val="004309BC"/>
    <w:rsid w:val="00430CF0"/>
    <w:rsid w:val="00430F42"/>
    <w:rsid w:val="0043104F"/>
    <w:rsid w:val="004316C2"/>
    <w:rsid w:val="0043174A"/>
    <w:rsid w:val="00431764"/>
    <w:rsid w:val="004318D0"/>
    <w:rsid w:val="00431ECA"/>
    <w:rsid w:val="00431FD2"/>
    <w:rsid w:val="004320DC"/>
    <w:rsid w:val="004322CB"/>
    <w:rsid w:val="0043231D"/>
    <w:rsid w:val="00432745"/>
    <w:rsid w:val="00432ABC"/>
    <w:rsid w:val="00433182"/>
    <w:rsid w:val="004332A7"/>
    <w:rsid w:val="004332EE"/>
    <w:rsid w:val="0043351B"/>
    <w:rsid w:val="004337DA"/>
    <w:rsid w:val="00433A49"/>
    <w:rsid w:val="00433A81"/>
    <w:rsid w:val="00433DA0"/>
    <w:rsid w:val="00433DCC"/>
    <w:rsid w:val="00433E4E"/>
    <w:rsid w:val="00433F4F"/>
    <w:rsid w:val="00433FEB"/>
    <w:rsid w:val="0043415D"/>
    <w:rsid w:val="00434A41"/>
    <w:rsid w:val="00434D2B"/>
    <w:rsid w:val="00434DDF"/>
    <w:rsid w:val="00435186"/>
    <w:rsid w:val="004351D4"/>
    <w:rsid w:val="004351F5"/>
    <w:rsid w:val="0043541E"/>
    <w:rsid w:val="00435667"/>
    <w:rsid w:val="0043598A"/>
    <w:rsid w:val="004359D7"/>
    <w:rsid w:val="00435A18"/>
    <w:rsid w:val="00435B79"/>
    <w:rsid w:val="0043602D"/>
    <w:rsid w:val="0043605C"/>
    <w:rsid w:val="00436346"/>
    <w:rsid w:val="00436545"/>
    <w:rsid w:val="0043657D"/>
    <w:rsid w:val="00436640"/>
    <w:rsid w:val="00436C42"/>
    <w:rsid w:val="00436D5B"/>
    <w:rsid w:val="00436ECE"/>
    <w:rsid w:val="00436EF2"/>
    <w:rsid w:val="00436FF3"/>
    <w:rsid w:val="0043732A"/>
    <w:rsid w:val="00437403"/>
    <w:rsid w:val="0043743F"/>
    <w:rsid w:val="00437553"/>
    <w:rsid w:val="00437DC8"/>
    <w:rsid w:val="00437EA0"/>
    <w:rsid w:val="00440009"/>
    <w:rsid w:val="0044036E"/>
    <w:rsid w:val="00440564"/>
    <w:rsid w:val="00440609"/>
    <w:rsid w:val="004407AB"/>
    <w:rsid w:val="0044081F"/>
    <w:rsid w:val="00440AA9"/>
    <w:rsid w:val="00440ACC"/>
    <w:rsid w:val="00440BC9"/>
    <w:rsid w:val="00440E58"/>
    <w:rsid w:val="0044103D"/>
    <w:rsid w:val="00441206"/>
    <w:rsid w:val="00441272"/>
    <w:rsid w:val="00441539"/>
    <w:rsid w:val="0044186B"/>
    <w:rsid w:val="00441A36"/>
    <w:rsid w:val="00441C59"/>
    <w:rsid w:val="00441C76"/>
    <w:rsid w:val="00442081"/>
    <w:rsid w:val="00442394"/>
    <w:rsid w:val="0044259E"/>
    <w:rsid w:val="0044286D"/>
    <w:rsid w:val="00442E20"/>
    <w:rsid w:val="00443393"/>
    <w:rsid w:val="0044362B"/>
    <w:rsid w:val="004438DB"/>
    <w:rsid w:val="004439A8"/>
    <w:rsid w:val="00443BCC"/>
    <w:rsid w:val="00443F5E"/>
    <w:rsid w:val="00443FAB"/>
    <w:rsid w:val="00444186"/>
    <w:rsid w:val="00444241"/>
    <w:rsid w:val="004442D6"/>
    <w:rsid w:val="004443A4"/>
    <w:rsid w:val="00444530"/>
    <w:rsid w:val="00444554"/>
    <w:rsid w:val="0044471A"/>
    <w:rsid w:val="0044497E"/>
    <w:rsid w:val="004449DE"/>
    <w:rsid w:val="00444A3B"/>
    <w:rsid w:val="00444A5E"/>
    <w:rsid w:val="00444C21"/>
    <w:rsid w:val="00444F0C"/>
    <w:rsid w:val="00444F5D"/>
    <w:rsid w:val="004453F3"/>
    <w:rsid w:val="004454C7"/>
    <w:rsid w:val="004456D5"/>
    <w:rsid w:val="00445B4A"/>
    <w:rsid w:val="00445C7D"/>
    <w:rsid w:val="00445EF6"/>
    <w:rsid w:val="00445FA7"/>
    <w:rsid w:val="00446161"/>
    <w:rsid w:val="00446469"/>
    <w:rsid w:val="004466E3"/>
    <w:rsid w:val="00446A25"/>
    <w:rsid w:val="00446BB5"/>
    <w:rsid w:val="00446C0F"/>
    <w:rsid w:val="00447411"/>
    <w:rsid w:val="004474BD"/>
    <w:rsid w:val="004479F9"/>
    <w:rsid w:val="00447BD6"/>
    <w:rsid w:val="00447C89"/>
    <w:rsid w:val="00447F3E"/>
    <w:rsid w:val="004500A4"/>
    <w:rsid w:val="004505EF"/>
    <w:rsid w:val="0045074A"/>
    <w:rsid w:val="00450757"/>
    <w:rsid w:val="004509A3"/>
    <w:rsid w:val="00450D72"/>
    <w:rsid w:val="00450DA7"/>
    <w:rsid w:val="00450E79"/>
    <w:rsid w:val="00450F37"/>
    <w:rsid w:val="00451144"/>
    <w:rsid w:val="0045120D"/>
    <w:rsid w:val="00451246"/>
    <w:rsid w:val="00451A0B"/>
    <w:rsid w:val="00451A23"/>
    <w:rsid w:val="00451A86"/>
    <w:rsid w:val="00451DBD"/>
    <w:rsid w:val="00451EE9"/>
    <w:rsid w:val="0045218F"/>
    <w:rsid w:val="00452471"/>
    <w:rsid w:val="004524C5"/>
    <w:rsid w:val="00452670"/>
    <w:rsid w:val="004527C8"/>
    <w:rsid w:val="00452854"/>
    <w:rsid w:val="00452C29"/>
    <w:rsid w:val="00452E8C"/>
    <w:rsid w:val="004536C3"/>
    <w:rsid w:val="0045375F"/>
    <w:rsid w:val="00453771"/>
    <w:rsid w:val="00453DC0"/>
    <w:rsid w:val="00453FCB"/>
    <w:rsid w:val="00454037"/>
    <w:rsid w:val="004541BF"/>
    <w:rsid w:val="004543B6"/>
    <w:rsid w:val="004545B7"/>
    <w:rsid w:val="0045483F"/>
    <w:rsid w:val="004548F4"/>
    <w:rsid w:val="00454BBD"/>
    <w:rsid w:val="00454F52"/>
    <w:rsid w:val="00454F74"/>
    <w:rsid w:val="00454FBB"/>
    <w:rsid w:val="00455335"/>
    <w:rsid w:val="004553A7"/>
    <w:rsid w:val="00455640"/>
    <w:rsid w:val="0045579F"/>
    <w:rsid w:val="00455A58"/>
    <w:rsid w:val="004562F0"/>
    <w:rsid w:val="00456324"/>
    <w:rsid w:val="0045690D"/>
    <w:rsid w:val="00456A75"/>
    <w:rsid w:val="004575C8"/>
    <w:rsid w:val="004576D1"/>
    <w:rsid w:val="004576F0"/>
    <w:rsid w:val="00457792"/>
    <w:rsid w:val="004577F3"/>
    <w:rsid w:val="00457CB4"/>
    <w:rsid w:val="00457D48"/>
    <w:rsid w:val="00457E40"/>
    <w:rsid w:val="004601ED"/>
    <w:rsid w:val="0046066F"/>
    <w:rsid w:val="00460A32"/>
    <w:rsid w:val="00460C57"/>
    <w:rsid w:val="00460D60"/>
    <w:rsid w:val="00460E91"/>
    <w:rsid w:val="004610FE"/>
    <w:rsid w:val="00461136"/>
    <w:rsid w:val="00461165"/>
    <w:rsid w:val="00461391"/>
    <w:rsid w:val="00461759"/>
    <w:rsid w:val="00461BB4"/>
    <w:rsid w:val="00461BD0"/>
    <w:rsid w:val="00461E7C"/>
    <w:rsid w:val="004621A5"/>
    <w:rsid w:val="00462295"/>
    <w:rsid w:val="0046252C"/>
    <w:rsid w:val="00462718"/>
    <w:rsid w:val="00462CD9"/>
    <w:rsid w:val="004630F8"/>
    <w:rsid w:val="0046370C"/>
    <w:rsid w:val="00463959"/>
    <w:rsid w:val="00463983"/>
    <w:rsid w:val="00463AB3"/>
    <w:rsid w:val="00463B69"/>
    <w:rsid w:val="00463C7B"/>
    <w:rsid w:val="0046401A"/>
    <w:rsid w:val="00464104"/>
    <w:rsid w:val="00464195"/>
    <w:rsid w:val="004641E2"/>
    <w:rsid w:val="0046433C"/>
    <w:rsid w:val="00464409"/>
    <w:rsid w:val="00464433"/>
    <w:rsid w:val="00464653"/>
    <w:rsid w:val="00464897"/>
    <w:rsid w:val="00464DDB"/>
    <w:rsid w:val="00465398"/>
    <w:rsid w:val="00465C12"/>
    <w:rsid w:val="00465E88"/>
    <w:rsid w:val="00465FFB"/>
    <w:rsid w:val="004660A0"/>
    <w:rsid w:val="004660D6"/>
    <w:rsid w:val="0046612E"/>
    <w:rsid w:val="00466A4D"/>
    <w:rsid w:val="00466B39"/>
    <w:rsid w:val="00467077"/>
    <w:rsid w:val="0046730C"/>
    <w:rsid w:val="00467680"/>
    <w:rsid w:val="004676A2"/>
    <w:rsid w:val="00467800"/>
    <w:rsid w:val="00467AE6"/>
    <w:rsid w:val="004703F1"/>
    <w:rsid w:val="004704C5"/>
    <w:rsid w:val="004706EA"/>
    <w:rsid w:val="004707F4"/>
    <w:rsid w:val="00470B2B"/>
    <w:rsid w:val="00470BAF"/>
    <w:rsid w:val="00470E7E"/>
    <w:rsid w:val="00470FDC"/>
    <w:rsid w:val="00471074"/>
    <w:rsid w:val="00471350"/>
    <w:rsid w:val="00471421"/>
    <w:rsid w:val="004715CF"/>
    <w:rsid w:val="00471C3F"/>
    <w:rsid w:val="00471DAD"/>
    <w:rsid w:val="00471E52"/>
    <w:rsid w:val="00471E85"/>
    <w:rsid w:val="00471EE6"/>
    <w:rsid w:val="00471F16"/>
    <w:rsid w:val="0047210E"/>
    <w:rsid w:val="00472408"/>
    <w:rsid w:val="004726A5"/>
    <w:rsid w:val="0047288B"/>
    <w:rsid w:val="00472E4C"/>
    <w:rsid w:val="00472FDE"/>
    <w:rsid w:val="00473042"/>
    <w:rsid w:val="004730DC"/>
    <w:rsid w:val="0047310A"/>
    <w:rsid w:val="00473299"/>
    <w:rsid w:val="00473418"/>
    <w:rsid w:val="00474010"/>
    <w:rsid w:val="004741D2"/>
    <w:rsid w:val="004744E3"/>
    <w:rsid w:val="0047479D"/>
    <w:rsid w:val="004749A3"/>
    <w:rsid w:val="00474BDC"/>
    <w:rsid w:val="00475151"/>
    <w:rsid w:val="00475166"/>
    <w:rsid w:val="0047533C"/>
    <w:rsid w:val="0047567E"/>
    <w:rsid w:val="00475684"/>
    <w:rsid w:val="00475781"/>
    <w:rsid w:val="00475BD4"/>
    <w:rsid w:val="004765B7"/>
    <w:rsid w:val="0047679E"/>
    <w:rsid w:val="0047681C"/>
    <w:rsid w:val="0047682A"/>
    <w:rsid w:val="00476863"/>
    <w:rsid w:val="0047697E"/>
    <w:rsid w:val="00476BF8"/>
    <w:rsid w:val="00476C8F"/>
    <w:rsid w:val="00476DC6"/>
    <w:rsid w:val="00476FEB"/>
    <w:rsid w:val="004773DF"/>
    <w:rsid w:val="0047759C"/>
    <w:rsid w:val="004777A9"/>
    <w:rsid w:val="0047782E"/>
    <w:rsid w:val="004778B7"/>
    <w:rsid w:val="00477921"/>
    <w:rsid w:val="00477CE9"/>
    <w:rsid w:val="00477F90"/>
    <w:rsid w:val="004802D6"/>
    <w:rsid w:val="00480829"/>
    <w:rsid w:val="00480843"/>
    <w:rsid w:val="004808C3"/>
    <w:rsid w:val="004809E4"/>
    <w:rsid w:val="004811D4"/>
    <w:rsid w:val="00481321"/>
    <w:rsid w:val="0048146D"/>
    <w:rsid w:val="00481705"/>
    <w:rsid w:val="00481729"/>
    <w:rsid w:val="00481812"/>
    <w:rsid w:val="00481A88"/>
    <w:rsid w:val="00481F05"/>
    <w:rsid w:val="00481F59"/>
    <w:rsid w:val="00482511"/>
    <w:rsid w:val="004825FA"/>
    <w:rsid w:val="00482EFB"/>
    <w:rsid w:val="0048313E"/>
    <w:rsid w:val="0048335E"/>
    <w:rsid w:val="00483447"/>
    <w:rsid w:val="00483451"/>
    <w:rsid w:val="004834DE"/>
    <w:rsid w:val="0048386F"/>
    <w:rsid w:val="00483897"/>
    <w:rsid w:val="00483A95"/>
    <w:rsid w:val="004845B4"/>
    <w:rsid w:val="00484C77"/>
    <w:rsid w:val="0048533E"/>
    <w:rsid w:val="00485432"/>
    <w:rsid w:val="004855A6"/>
    <w:rsid w:val="00485607"/>
    <w:rsid w:val="0048595A"/>
    <w:rsid w:val="00485AB7"/>
    <w:rsid w:val="00485C59"/>
    <w:rsid w:val="00485D28"/>
    <w:rsid w:val="00485E28"/>
    <w:rsid w:val="00485F5C"/>
    <w:rsid w:val="0048626E"/>
    <w:rsid w:val="00486408"/>
    <w:rsid w:val="00486422"/>
    <w:rsid w:val="004865F5"/>
    <w:rsid w:val="004866CB"/>
    <w:rsid w:val="004867D9"/>
    <w:rsid w:val="0048683E"/>
    <w:rsid w:val="004869FB"/>
    <w:rsid w:val="00486DD0"/>
    <w:rsid w:val="00487104"/>
    <w:rsid w:val="004871A5"/>
    <w:rsid w:val="00487245"/>
    <w:rsid w:val="004874B4"/>
    <w:rsid w:val="00487636"/>
    <w:rsid w:val="004876B7"/>
    <w:rsid w:val="004878FB"/>
    <w:rsid w:val="00487A96"/>
    <w:rsid w:val="00487C6A"/>
    <w:rsid w:val="00487D5B"/>
    <w:rsid w:val="00487DEF"/>
    <w:rsid w:val="00487E25"/>
    <w:rsid w:val="00487E3C"/>
    <w:rsid w:val="00487E9A"/>
    <w:rsid w:val="0049035E"/>
    <w:rsid w:val="00490378"/>
    <w:rsid w:val="004903B0"/>
    <w:rsid w:val="00490412"/>
    <w:rsid w:val="00490524"/>
    <w:rsid w:val="0049065D"/>
    <w:rsid w:val="00490B9E"/>
    <w:rsid w:val="00490BA1"/>
    <w:rsid w:val="00490E75"/>
    <w:rsid w:val="00490EF2"/>
    <w:rsid w:val="0049100F"/>
    <w:rsid w:val="004911C3"/>
    <w:rsid w:val="004912FC"/>
    <w:rsid w:val="00491340"/>
    <w:rsid w:val="004913A2"/>
    <w:rsid w:val="0049145D"/>
    <w:rsid w:val="004915E7"/>
    <w:rsid w:val="00491870"/>
    <w:rsid w:val="00491996"/>
    <w:rsid w:val="00491A75"/>
    <w:rsid w:val="00491C7A"/>
    <w:rsid w:val="00491DF3"/>
    <w:rsid w:val="00491FA9"/>
    <w:rsid w:val="00491FF4"/>
    <w:rsid w:val="004920D1"/>
    <w:rsid w:val="00492518"/>
    <w:rsid w:val="0049255D"/>
    <w:rsid w:val="0049257C"/>
    <w:rsid w:val="0049261B"/>
    <w:rsid w:val="0049289F"/>
    <w:rsid w:val="00492961"/>
    <w:rsid w:val="004929AC"/>
    <w:rsid w:val="00492A50"/>
    <w:rsid w:val="00492E54"/>
    <w:rsid w:val="00493113"/>
    <w:rsid w:val="00493661"/>
    <w:rsid w:val="004937F4"/>
    <w:rsid w:val="00493C33"/>
    <w:rsid w:val="00493E4B"/>
    <w:rsid w:val="00493E85"/>
    <w:rsid w:val="004940B2"/>
    <w:rsid w:val="00494148"/>
    <w:rsid w:val="00494167"/>
    <w:rsid w:val="00494287"/>
    <w:rsid w:val="00494608"/>
    <w:rsid w:val="004946B1"/>
    <w:rsid w:val="004948B5"/>
    <w:rsid w:val="00494BA5"/>
    <w:rsid w:val="00494C77"/>
    <w:rsid w:val="00494E43"/>
    <w:rsid w:val="00495081"/>
    <w:rsid w:val="004951D1"/>
    <w:rsid w:val="0049527E"/>
    <w:rsid w:val="004953BA"/>
    <w:rsid w:val="004955F4"/>
    <w:rsid w:val="004959BB"/>
    <w:rsid w:val="004959CE"/>
    <w:rsid w:val="0049673D"/>
    <w:rsid w:val="00496AFB"/>
    <w:rsid w:val="00496B06"/>
    <w:rsid w:val="00496B0C"/>
    <w:rsid w:val="00496BC3"/>
    <w:rsid w:val="00496BE1"/>
    <w:rsid w:val="00496D1C"/>
    <w:rsid w:val="00496F81"/>
    <w:rsid w:val="00497576"/>
    <w:rsid w:val="004976E4"/>
    <w:rsid w:val="004979C3"/>
    <w:rsid w:val="00497B06"/>
    <w:rsid w:val="00497F8A"/>
    <w:rsid w:val="004A0D25"/>
    <w:rsid w:val="004A1046"/>
    <w:rsid w:val="004A1299"/>
    <w:rsid w:val="004A1425"/>
    <w:rsid w:val="004A14ED"/>
    <w:rsid w:val="004A15C0"/>
    <w:rsid w:val="004A1700"/>
    <w:rsid w:val="004A17CD"/>
    <w:rsid w:val="004A17DB"/>
    <w:rsid w:val="004A1912"/>
    <w:rsid w:val="004A1C91"/>
    <w:rsid w:val="004A1CBD"/>
    <w:rsid w:val="004A1D6E"/>
    <w:rsid w:val="004A1DF7"/>
    <w:rsid w:val="004A1F85"/>
    <w:rsid w:val="004A216B"/>
    <w:rsid w:val="004A2283"/>
    <w:rsid w:val="004A2536"/>
    <w:rsid w:val="004A256D"/>
    <w:rsid w:val="004A2749"/>
    <w:rsid w:val="004A29CB"/>
    <w:rsid w:val="004A2A23"/>
    <w:rsid w:val="004A2A38"/>
    <w:rsid w:val="004A2AFD"/>
    <w:rsid w:val="004A2DB7"/>
    <w:rsid w:val="004A2F36"/>
    <w:rsid w:val="004A35DA"/>
    <w:rsid w:val="004A3A40"/>
    <w:rsid w:val="004A3C35"/>
    <w:rsid w:val="004A3E28"/>
    <w:rsid w:val="004A4431"/>
    <w:rsid w:val="004A4439"/>
    <w:rsid w:val="004A4498"/>
    <w:rsid w:val="004A47AB"/>
    <w:rsid w:val="004A4992"/>
    <w:rsid w:val="004A4A74"/>
    <w:rsid w:val="004A4B3D"/>
    <w:rsid w:val="004A4C76"/>
    <w:rsid w:val="004A4D98"/>
    <w:rsid w:val="004A4FEB"/>
    <w:rsid w:val="004A534F"/>
    <w:rsid w:val="004A54B1"/>
    <w:rsid w:val="004A5551"/>
    <w:rsid w:val="004A579B"/>
    <w:rsid w:val="004A5C05"/>
    <w:rsid w:val="004A5C6B"/>
    <w:rsid w:val="004A5EDB"/>
    <w:rsid w:val="004A612B"/>
    <w:rsid w:val="004A6316"/>
    <w:rsid w:val="004A6729"/>
    <w:rsid w:val="004A6906"/>
    <w:rsid w:val="004A69A4"/>
    <w:rsid w:val="004A6BA9"/>
    <w:rsid w:val="004A6CDF"/>
    <w:rsid w:val="004A6D32"/>
    <w:rsid w:val="004A6D43"/>
    <w:rsid w:val="004A706A"/>
    <w:rsid w:val="004A7ADC"/>
    <w:rsid w:val="004A7C8B"/>
    <w:rsid w:val="004A7F2E"/>
    <w:rsid w:val="004B03F6"/>
    <w:rsid w:val="004B0503"/>
    <w:rsid w:val="004B08D1"/>
    <w:rsid w:val="004B0A47"/>
    <w:rsid w:val="004B0B48"/>
    <w:rsid w:val="004B14BB"/>
    <w:rsid w:val="004B160E"/>
    <w:rsid w:val="004B18EF"/>
    <w:rsid w:val="004B1A64"/>
    <w:rsid w:val="004B1C98"/>
    <w:rsid w:val="004B1EC4"/>
    <w:rsid w:val="004B2060"/>
    <w:rsid w:val="004B23AC"/>
    <w:rsid w:val="004B27C8"/>
    <w:rsid w:val="004B2C33"/>
    <w:rsid w:val="004B2D91"/>
    <w:rsid w:val="004B2EED"/>
    <w:rsid w:val="004B3586"/>
    <w:rsid w:val="004B36A9"/>
    <w:rsid w:val="004B3708"/>
    <w:rsid w:val="004B3BFD"/>
    <w:rsid w:val="004B3C67"/>
    <w:rsid w:val="004B3C76"/>
    <w:rsid w:val="004B3CAF"/>
    <w:rsid w:val="004B407F"/>
    <w:rsid w:val="004B4145"/>
    <w:rsid w:val="004B4159"/>
    <w:rsid w:val="004B4250"/>
    <w:rsid w:val="004B42F3"/>
    <w:rsid w:val="004B4466"/>
    <w:rsid w:val="004B498B"/>
    <w:rsid w:val="004B4B79"/>
    <w:rsid w:val="004B4E87"/>
    <w:rsid w:val="004B4F33"/>
    <w:rsid w:val="004B4FCB"/>
    <w:rsid w:val="004B55E6"/>
    <w:rsid w:val="004B5A74"/>
    <w:rsid w:val="004B5C6A"/>
    <w:rsid w:val="004B5DEA"/>
    <w:rsid w:val="004B60FB"/>
    <w:rsid w:val="004B6199"/>
    <w:rsid w:val="004B61C0"/>
    <w:rsid w:val="004B6255"/>
    <w:rsid w:val="004B652C"/>
    <w:rsid w:val="004B65FE"/>
    <w:rsid w:val="004B676C"/>
    <w:rsid w:val="004B69A3"/>
    <w:rsid w:val="004B69BD"/>
    <w:rsid w:val="004B6CB1"/>
    <w:rsid w:val="004B6E68"/>
    <w:rsid w:val="004B6EB9"/>
    <w:rsid w:val="004B6EBD"/>
    <w:rsid w:val="004B6F22"/>
    <w:rsid w:val="004B7381"/>
    <w:rsid w:val="004B767F"/>
    <w:rsid w:val="004B78BE"/>
    <w:rsid w:val="004B7AD4"/>
    <w:rsid w:val="004B7B79"/>
    <w:rsid w:val="004B7BD1"/>
    <w:rsid w:val="004B7CEB"/>
    <w:rsid w:val="004B7D55"/>
    <w:rsid w:val="004B7DAA"/>
    <w:rsid w:val="004B7DBF"/>
    <w:rsid w:val="004B7DFC"/>
    <w:rsid w:val="004B7F42"/>
    <w:rsid w:val="004C002E"/>
    <w:rsid w:val="004C0254"/>
    <w:rsid w:val="004C0455"/>
    <w:rsid w:val="004C04DD"/>
    <w:rsid w:val="004C05D2"/>
    <w:rsid w:val="004C07CF"/>
    <w:rsid w:val="004C08B6"/>
    <w:rsid w:val="004C0A63"/>
    <w:rsid w:val="004C0AE5"/>
    <w:rsid w:val="004C0B1F"/>
    <w:rsid w:val="004C0C53"/>
    <w:rsid w:val="004C0CF4"/>
    <w:rsid w:val="004C0CFB"/>
    <w:rsid w:val="004C0FAD"/>
    <w:rsid w:val="004C12FB"/>
    <w:rsid w:val="004C134A"/>
    <w:rsid w:val="004C13B7"/>
    <w:rsid w:val="004C1510"/>
    <w:rsid w:val="004C1558"/>
    <w:rsid w:val="004C15E6"/>
    <w:rsid w:val="004C18CB"/>
    <w:rsid w:val="004C1A28"/>
    <w:rsid w:val="004C1D1F"/>
    <w:rsid w:val="004C1D89"/>
    <w:rsid w:val="004C1D8F"/>
    <w:rsid w:val="004C1F11"/>
    <w:rsid w:val="004C1F12"/>
    <w:rsid w:val="004C2039"/>
    <w:rsid w:val="004C209F"/>
    <w:rsid w:val="004C22BD"/>
    <w:rsid w:val="004C2A8F"/>
    <w:rsid w:val="004C3016"/>
    <w:rsid w:val="004C30D7"/>
    <w:rsid w:val="004C3326"/>
    <w:rsid w:val="004C333B"/>
    <w:rsid w:val="004C366D"/>
    <w:rsid w:val="004C3767"/>
    <w:rsid w:val="004C3848"/>
    <w:rsid w:val="004C3972"/>
    <w:rsid w:val="004C3BFF"/>
    <w:rsid w:val="004C3C1E"/>
    <w:rsid w:val="004C3F21"/>
    <w:rsid w:val="004C40A4"/>
    <w:rsid w:val="004C41D3"/>
    <w:rsid w:val="004C4265"/>
    <w:rsid w:val="004C44B1"/>
    <w:rsid w:val="004C4660"/>
    <w:rsid w:val="004C473F"/>
    <w:rsid w:val="004C4A76"/>
    <w:rsid w:val="004C4EB8"/>
    <w:rsid w:val="004C51B1"/>
    <w:rsid w:val="004C51D3"/>
    <w:rsid w:val="004C596D"/>
    <w:rsid w:val="004C5AB6"/>
    <w:rsid w:val="004C6357"/>
    <w:rsid w:val="004C6364"/>
    <w:rsid w:val="004C64DB"/>
    <w:rsid w:val="004C676B"/>
    <w:rsid w:val="004C6892"/>
    <w:rsid w:val="004C6BB6"/>
    <w:rsid w:val="004C6C50"/>
    <w:rsid w:val="004C6F0F"/>
    <w:rsid w:val="004C6F7D"/>
    <w:rsid w:val="004C7106"/>
    <w:rsid w:val="004C74C7"/>
    <w:rsid w:val="004C74D2"/>
    <w:rsid w:val="004C754C"/>
    <w:rsid w:val="004C75E9"/>
    <w:rsid w:val="004C7C29"/>
    <w:rsid w:val="004C7C8F"/>
    <w:rsid w:val="004C7FCB"/>
    <w:rsid w:val="004D0072"/>
    <w:rsid w:val="004D02AB"/>
    <w:rsid w:val="004D0352"/>
    <w:rsid w:val="004D066D"/>
    <w:rsid w:val="004D076C"/>
    <w:rsid w:val="004D07B1"/>
    <w:rsid w:val="004D09CC"/>
    <w:rsid w:val="004D0BA3"/>
    <w:rsid w:val="004D0F51"/>
    <w:rsid w:val="004D10F2"/>
    <w:rsid w:val="004D1410"/>
    <w:rsid w:val="004D155B"/>
    <w:rsid w:val="004D16CD"/>
    <w:rsid w:val="004D1A3A"/>
    <w:rsid w:val="004D1B2A"/>
    <w:rsid w:val="004D1CB1"/>
    <w:rsid w:val="004D1FFF"/>
    <w:rsid w:val="004D207D"/>
    <w:rsid w:val="004D28BD"/>
    <w:rsid w:val="004D2AE5"/>
    <w:rsid w:val="004D2CAD"/>
    <w:rsid w:val="004D2DF6"/>
    <w:rsid w:val="004D2DF7"/>
    <w:rsid w:val="004D341B"/>
    <w:rsid w:val="004D35CE"/>
    <w:rsid w:val="004D35DD"/>
    <w:rsid w:val="004D37B6"/>
    <w:rsid w:val="004D3AC4"/>
    <w:rsid w:val="004D3C71"/>
    <w:rsid w:val="004D471D"/>
    <w:rsid w:val="004D484C"/>
    <w:rsid w:val="004D495E"/>
    <w:rsid w:val="004D4CB6"/>
    <w:rsid w:val="004D4D99"/>
    <w:rsid w:val="004D4E4C"/>
    <w:rsid w:val="004D5566"/>
    <w:rsid w:val="004D574B"/>
    <w:rsid w:val="004D5862"/>
    <w:rsid w:val="004D5D1B"/>
    <w:rsid w:val="004D5DA5"/>
    <w:rsid w:val="004D602F"/>
    <w:rsid w:val="004D6055"/>
    <w:rsid w:val="004D61A4"/>
    <w:rsid w:val="004D6955"/>
    <w:rsid w:val="004D69EF"/>
    <w:rsid w:val="004D6E01"/>
    <w:rsid w:val="004D6F45"/>
    <w:rsid w:val="004D7078"/>
    <w:rsid w:val="004D712D"/>
    <w:rsid w:val="004D7221"/>
    <w:rsid w:val="004D77D4"/>
    <w:rsid w:val="004D7E8B"/>
    <w:rsid w:val="004E00FA"/>
    <w:rsid w:val="004E0557"/>
    <w:rsid w:val="004E05B1"/>
    <w:rsid w:val="004E0692"/>
    <w:rsid w:val="004E0900"/>
    <w:rsid w:val="004E094E"/>
    <w:rsid w:val="004E0AE1"/>
    <w:rsid w:val="004E0F78"/>
    <w:rsid w:val="004E1213"/>
    <w:rsid w:val="004E1351"/>
    <w:rsid w:val="004E13BC"/>
    <w:rsid w:val="004E141B"/>
    <w:rsid w:val="004E153C"/>
    <w:rsid w:val="004E19B9"/>
    <w:rsid w:val="004E1E0B"/>
    <w:rsid w:val="004E2149"/>
    <w:rsid w:val="004E2382"/>
    <w:rsid w:val="004E249D"/>
    <w:rsid w:val="004E25C1"/>
    <w:rsid w:val="004E27C1"/>
    <w:rsid w:val="004E2832"/>
    <w:rsid w:val="004E284C"/>
    <w:rsid w:val="004E28C0"/>
    <w:rsid w:val="004E28C9"/>
    <w:rsid w:val="004E2F1E"/>
    <w:rsid w:val="004E3150"/>
    <w:rsid w:val="004E31D2"/>
    <w:rsid w:val="004E323B"/>
    <w:rsid w:val="004E34C6"/>
    <w:rsid w:val="004E36DC"/>
    <w:rsid w:val="004E38E0"/>
    <w:rsid w:val="004E3C5A"/>
    <w:rsid w:val="004E46D6"/>
    <w:rsid w:val="004E4A8A"/>
    <w:rsid w:val="004E4CF6"/>
    <w:rsid w:val="004E500E"/>
    <w:rsid w:val="004E5234"/>
    <w:rsid w:val="004E5290"/>
    <w:rsid w:val="004E588C"/>
    <w:rsid w:val="004E59BC"/>
    <w:rsid w:val="004E5A67"/>
    <w:rsid w:val="004E64B1"/>
    <w:rsid w:val="004E671F"/>
    <w:rsid w:val="004E69CE"/>
    <w:rsid w:val="004E6AF5"/>
    <w:rsid w:val="004E7225"/>
    <w:rsid w:val="004E728A"/>
    <w:rsid w:val="004E73EC"/>
    <w:rsid w:val="004E7792"/>
    <w:rsid w:val="004E7A6D"/>
    <w:rsid w:val="004E7A7D"/>
    <w:rsid w:val="004E7D27"/>
    <w:rsid w:val="004E7D6E"/>
    <w:rsid w:val="004F0287"/>
    <w:rsid w:val="004F059B"/>
    <w:rsid w:val="004F070D"/>
    <w:rsid w:val="004F09D7"/>
    <w:rsid w:val="004F09DD"/>
    <w:rsid w:val="004F0AE2"/>
    <w:rsid w:val="004F0B01"/>
    <w:rsid w:val="004F0D87"/>
    <w:rsid w:val="004F0DCA"/>
    <w:rsid w:val="004F0EDB"/>
    <w:rsid w:val="004F10F0"/>
    <w:rsid w:val="004F1395"/>
    <w:rsid w:val="004F156C"/>
    <w:rsid w:val="004F15C4"/>
    <w:rsid w:val="004F16AA"/>
    <w:rsid w:val="004F16C2"/>
    <w:rsid w:val="004F19E9"/>
    <w:rsid w:val="004F1A43"/>
    <w:rsid w:val="004F1DCB"/>
    <w:rsid w:val="004F1E47"/>
    <w:rsid w:val="004F1E52"/>
    <w:rsid w:val="004F23B5"/>
    <w:rsid w:val="004F27DA"/>
    <w:rsid w:val="004F28FD"/>
    <w:rsid w:val="004F2A2E"/>
    <w:rsid w:val="004F2C68"/>
    <w:rsid w:val="004F2F96"/>
    <w:rsid w:val="004F339D"/>
    <w:rsid w:val="004F344C"/>
    <w:rsid w:val="004F3700"/>
    <w:rsid w:val="004F37DB"/>
    <w:rsid w:val="004F3D01"/>
    <w:rsid w:val="004F3D0A"/>
    <w:rsid w:val="004F3D3F"/>
    <w:rsid w:val="004F40FA"/>
    <w:rsid w:val="004F410F"/>
    <w:rsid w:val="004F44DC"/>
    <w:rsid w:val="004F46A8"/>
    <w:rsid w:val="004F46C7"/>
    <w:rsid w:val="004F4774"/>
    <w:rsid w:val="004F47F0"/>
    <w:rsid w:val="004F47FD"/>
    <w:rsid w:val="004F49BA"/>
    <w:rsid w:val="004F4D6C"/>
    <w:rsid w:val="004F4F8C"/>
    <w:rsid w:val="004F582E"/>
    <w:rsid w:val="004F5CCD"/>
    <w:rsid w:val="004F5D58"/>
    <w:rsid w:val="004F5DB8"/>
    <w:rsid w:val="004F5E3A"/>
    <w:rsid w:val="004F68F0"/>
    <w:rsid w:val="004F690F"/>
    <w:rsid w:val="004F6C2E"/>
    <w:rsid w:val="004F6C7E"/>
    <w:rsid w:val="004F6E2D"/>
    <w:rsid w:val="004F6ECB"/>
    <w:rsid w:val="004F7069"/>
    <w:rsid w:val="004F7214"/>
    <w:rsid w:val="004F757C"/>
    <w:rsid w:val="004F75AD"/>
    <w:rsid w:val="004F75B3"/>
    <w:rsid w:val="004F76CF"/>
    <w:rsid w:val="004F7ACB"/>
    <w:rsid w:val="004F7BCD"/>
    <w:rsid w:val="004F7C2C"/>
    <w:rsid w:val="004F7C6C"/>
    <w:rsid w:val="004F7DCA"/>
    <w:rsid w:val="004F7DF7"/>
    <w:rsid w:val="004F7F40"/>
    <w:rsid w:val="00500802"/>
    <w:rsid w:val="00500853"/>
    <w:rsid w:val="005009A7"/>
    <w:rsid w:val="00500A53"/>
    <w:rsid w:val="00500B6D"/>
    <w:rsid w:val="00500B75"/>
    <w:rsid w:val="00500F9F"/>
    <w:rsid w:val="0050168A"/>
    <w:rsid w:val="005017C8"/>
    <w:rsid w:val="00501A9C"/>
    <w:rsid w:val="00501C8C"/>
    <w:rsid w:val="005020E9"/>
    <w:rsid w:val="005022E2"/>
    <w:rsid w:val="005023B3"/>
    <w:rsid w:val="0050241D"/>
    <w:rsid w:val="00502505"/>
    <w:rsid w:val="0050276A"/>
    <w:rsid w:val="00502BEA"/>
    <w:rsid w:val="00502BFD"/>
    <w:rsid w:val="00502DF9"/>
    <w:rsid w:val="00503428"/>
    <w:rsid w:val="005035AB"/>
    <w:rsid w:val="00503AAE"/>
    <w:rsid w:val="00503D24"/>
    <w:rsid w:val="00503D38"/>
    <w:rsid w:val="00503F22"/>
    <w:rsid w:val="00504080"/>
    <w:rsid w:val="00504256"/>
    <w:rsid w:val="005042A5"/>
    <w:rsid w:val="005045DF"/>
    <w:rsid w:val="005046E8"/>
    <w:rsid w:val="0050493E"/>
    <w:rsid w:val="00504B53"/>
    <w:rsid w:val="00504D4D"/>
    <w:rsid w:val="00504D81"/>
    <w:rsid w:val="00504E03"/>
    <w:rsid w:val="005051A8"/>
    <w:rsid w:val="00505272"/>
    <w:rsid w:val="00505725"/>
    <w:rsid w:val="0050573D"/>
    <w:rsid w:val="00505801"/>
    <w:rsid w:val="00505BE3"/>
    <w:rsid w:val="00505E7D"/>
    <w:rsid w:val="00505FC2"/>
    <w:rsid w:val="0050604B"/>
    <w:rsid w:val="00506168"/>
    <w:rsid w:val="005062E1"/>
    <w:rsid w:val="005063FE"/>
    <w:rsid w:val="00506470"/>
    <w:rsid w:val="00506849"/>
    <w:rsid w:val="00506BFE"/>
    <w:rsid w:val="00506CA5"/>
    <w:rsid w:val="00506D1B"/>
    <w:rsid w:val="00506F8A"/>
    <w:rsid w:val="00506FA5"/>
    <w:rsid w:val="00507631"/>
    <w:rsid w:val="00507857"/>
    <w:rsid w:val="0050799A"/>
    <w:rsid w:val="00507A6E"/>
    <w:rsid w:val="00507B74"/>
    <w:rsid w:val="00510267"/>
    <w:rsid w:val="00510271"/>
    <w:rsid w:val="005104F0"/>
    <w:rsid w:val="00510575"/>
    <w:rsid w:val="005108DC"/>
    <w:rsid w:val="0051091D"/>
    <w:rsid w:val="00510B15"/>
    <w:rsid w:val="00510EF1"/>
    <w:rsid w:val="00510F27"/>
    <w:rsid w:val="00510F5D"/>
    <w:rsid w:val="00511134"/>
    <w:rsid w:val="00511419"/>
    <w:rsid w:val="00511598"/>
    <w:rsid w:val="00511814"/>
    <w:rsid w:val="005118A7"/>
    <w:rsid w:val="0051197B"/>
    <w:rsid w:val="00511EAA"/>
    <w:rsid w:val="0051204D"/>
    <w:rsid w:val="005120EA"/>
    <w:rsid w:val="00512212"/>
    <w:rsid w:val="005124B5"/>
    <w:rsid w:val="00512689"/>
    <w:rsid w:val="00512C04"/>
    <w:rsid w:val="005133CF"/>
    <w:rsid w:val="005133D5"/>
    <w:rsid w:val="005137D1"/>
    <w:rsid w:val="005138FF"/>
    <w:rsid w:val="00513C03"/>
    <w:rsid w:val="00513C0F"/>
    <w:rsid w:val="00513C7C"/>
    <w:rsid w:val="0051407A"/>
    <w:rsid w:val="005141C3"/>
    <w:rsid w:val="0051439F"/>
    <w:rsid w:val="005143B9"/>
    <w:rsid w:val="005143C7"/>
    <w:rsid w:val="005143E7"/>
    <w:rsid w:val="0051490A"/>
    <w:rsid w:val="00514E3C"/>
    <w:rsid w:val="00514EE6"/>
    <w:rsid w:val="005150CB"/>
    <w:rsid w:val="0051562F"/>
    <w:rsid w:val="005157A8"/>
    <w:rsid w:val="00515A75"/>
    <w:rsid w:val="00515AAC"/>
    <w:rsid w:val="00515C9A"/>
    <w:rsid w:val="00515CB3"/>
    <w:rsid w:val="005163A6"/>
    <w:rsid w:val="005165F4"/>
    <w:rsid w:val="0051663F"/>
    <w:rsid w:val="0051669D"/>
    <w:rsid w:val="005167D4"/>
    <w:rsid w:val="00516950"/>
    <w:rsid w:val="00516AEC"/>
    <w:rsid w:val="00516B73"/>
    <w:rsid w:val="00516C9E"/>
    <w:rsid w:val="00516CB3"/>
    <w:rsid w:val="00516D9D"/>
    <w:rsid w:val="00516EAC"/>
    <w:rsid w:val="00516EB0"/>
    <w:rsid w:val="00516F56"/>
    <w:rsid w:val="00516F5F"/>
    <w:rsid w:val="0051703E"/>
    <w:rsid w:val="00517281"/>
    <w:rsid w:val="0051744B"/>
    <w:rsid w:val="0051746C"/>
    <w:rsid w:val="005175B5"/>
    <w:rsid w:val="005175CF"/>
    <w:rsid w:val="00517744"/>
    <w:rsid w:val="0051784D"/>
    <w:rsid w:val="00517D0D"/>
    <w:rsid w:val="00517D49"/>
    <w:rsid w:val="00517E98"/>
    <w:rsid w:val="00520312"/>
    <w:rsid w:val="005205F9"/>
    <w:rsid w:val="0052078C"/>
    <w:rsid w:val="00520851"/>
    <w:rsid w:val="005209F0"/>
    <w:rsid w:val="00520BC8"/>
    <w:rsid w:val="00520C97"/>
    <w:rsid w:val="00521072"/>
    <w:rsid w:val="005210E2"/>
    <w:rsid w:val="00521216"/>
    <w:rsid w:val="0052129E"/>
    <w:rsid w:val="005213A7"/>
    <w:rsid w:val="005213A8"/>
    <w:rsid w:val="00521545"/>
    <w:rsid w:val="005216B8"/>
    <w:rsid w:val="00521794"/>
    <w:rsid w:val="0052180F"/>
    <w:rsid w:val="005218BB"/>
    <w:rsid w:val="005219C9"/>
    <w:rsid w:val="00521BAA"/>
    <w:rsid w:val="00521BBF"/>
    <w:rsid w:val="00521BDE"/>
    <w:rsid w:val="00521D6B"/>
    <w:rsid w:val="00521FF1"/>
    <w:rsid w:val="00522257"/>
    <w:rsid w:val="005222F3"/>
    <w:rsid w:val="00522556"/>
    <w:rsid w:val="005225D8"/>
    <w:rsid w:val="0052262E"/>
    <w:rsid w:val="0052275D"/>
    <w:rsid w:val="00522AD0"/>
    <w:rsid w:val="00522AD5"/>
    <w:rsid w:val="00522F30"/>
    <w:rsid w:val="00522F32"/>
    <w:rsid w:val="00523247"/>
    <w:rsid w:val="00523453"/>
    <w:rsid w:val="00523687"/>
    <w:rsid w:val="005236CC"/>
    <w:rsid w:val="00523747"/>
    <w:rsid w:val="00523A67"/>
    <w:rsid w:val="00523E6E"/>
    <w:rsid w:val="005240E1"/>
    <w:rsid w:val="0052449F"/>
    <w:rsid w:val="00524529"/>
    <w:rsid w:val="00524ABA"/>
    <w:rsid w:val="00524BE0"/>
    <w:rsid w:val="00524BF1"/>
    <w:rsid w:val="00524C98"/>
    <w:rsid w:val="00524DC1"/>
    <w:rsid w:val="0052516A"/>
    <w:rsid w:val="00525187"/>
    <w:rsid w:val="00525257"/>
    <w:rsid w:val="0052551E"/>
    <w:rsid w:val="0052558D"/>
    <w:rsid w:val="00525621"/>
    <w:rsid w:val="00525691"/>
    <w:rsid w:val="00525D67"/>
    <w:rsid w:val="00525E2E"/>
    <w:rsid w:val="00525FC9"/>
    <w:rsid w:val="0052620E"/>
    <w:rsid w:val="00526471"/>
    <w:rsid w:val="005267EA"/>
    <w:rsid w:val="00526B32"/>
    <w:rsid w:val="00527334"/>
    <w:rsid w:val="00527370"/>
    <w:rsid w:val="0052767A"/>
    <w:rsid w:val="0052767B"/>
    <w:rsid w:val="005279E4"/>
    <w:rsid w:val="00527E20"/>
    <w:rsid w:val="00527E6E"/>
    <w:rsid w:val="00527FA3"/>
    <w:rsid w:val="00527FA7"/>
    <w:rsid w:val="00530169"/>
    <w:rsid w:val="005302FB"/>
    <w:rsid w:val="00530386"/>
    <w:rsid w:val="0053062E"/>
    <w:rsid w:val="00530792"/>
    <w:rsid w:val="00530CBE"/>
    <w:rsid w:val="00531312"/>
    <w:rsid w:val="005314B0"/>
    <w:rsid w:val="00531576"/>
    <w:rsid w:val="0053160F"/>
    <w:rsid w:val="005319F5"/>
    <w:rsid w:val="00531BF6"/>
    <w:rsid w:val="00531C6D"/>
    <w:rsid w:val="00531DB4"/>
    <w:rsid w:val="0053201E"/>
    <w:rsid w:val="005320FA"/>
    <w:rsid w:val="005324AD"/>
    <w:rsid w:val="00532511"/>
    <w:rsid w:val="0053256B"/>
    <w:rsid w:val="005327AA"/>
    <w:rsid w:val="005328E8"/>
    <w:rsid w:val="005329F7"/>
    <w:rsid w:val="00532C23"/>
    <w:rsid w:val="00532DB5"/>
    <w:rsid w:val="00532DD5"/>
    <w:rsid w:val="00532F4E"/>
    <w:rsid w:val="00533113"/>
    <w:rsid w:val="00533327"/>
    <w:rsid w:val="00533608"/>
    <w:rsid w:val="0053362D"/>
    <w:rsid w:val="00533688"/>
    <w:rsid w:val="0053390E"/>
    <w:rsid w:val="005339CB"/>
    <w:rsid w:val="005339CE"/>
    <w:rsid w:val="00533C3E"/>
    <w:rsid w:val="00533DC9"/>
    <w:rsid w:val="005340FC"/>
    <w:rsid w:val="0053425F"/>
    <w:rsid w:val="00534271"/>
    <w:rsid w:val="0053430E"/>
    <w:rsid w:val="00534859"/>
    <w:rsid w:val="0053494E"/>
    <w:rsid w:val="00534961"/>
    <w:rsid w:val="00534B21"/>
    <w:rsid w:val="00534B39"/>
    <w:rsid w:val="00534B5C"/>
    <w:rsid w:val="00534B81"/>
    <w:rsid w:val="00534BD5"/>
    <w:rsid w:val="00534DFD"/>
    <w:rsid w:val="005352E9"/>
    <w:rsid w:val="005354B4"/>
    <w:rsid w:val="0053589D"/>
    <w:rsid w:val="005359E9"/>
    <w:rsid w:val="00535A83"/>
    <w:rsid w:val="00535B3D"/>
    <w:rsid w:val="00535BA7"/>
    <w:rsid w:val="00535EED"/>
    <w:rsid w:val="00536709"/>
    <w:rsid w:val="00536796"/>
    <w:rsid w:val="00536B24"/>
    <w:rsid w:val="00536E9F"/>
    <w:rsid w:val="00536F45"/>
    <w:rsid w:val="00536F65"/>
    <w:rsid w:val="005374E2"/>
    <w:rsid w:val="005377D9"/>
    <w:rsid w:val="005400BB"/>
    <w:rsid w:val="005400D9"/>
    <w:rsid w:val="005401BC"/>
    <w:rsid w:val="00540207"/>
    <w:rsid w:val="0054029F"/>
    <w:rsid w:val="005403B5"/>
    <w:rsid w:val="005403BC"/>
    <w:rsid w:val="00540499"/>
    <w:rsid w:val="0054051A"/>
    <w:rsid w:val="00540541"/>
    <w:rsid w:val="005405D6"/>
    <w:rsid w:val="005405DB"/>
    <w:rsid w:val="00540806"/>
    <w:rsid w:val="0054088E"/>
    <w:rsid w:val="00540B38"/>
    <w:rsid w:val="00540B9B"/>
    <w:rsid w:val="00540ECD"/>
    <w:rsid w:val="00540F56"/>
    <w:rsid w:val="0054135D"/>
    <w:rsid w:val="005413ED"/>
    <w:rsid w:val="005414A2"/>
    <w:rsid w:val="00541862"/>
    <w:rsid w:val="005418C6"/>
    <w:rsid w:val="00541C05"/>
    <w:rsid w:val="00541D69"/>
    <w:rsid w:val="00541EF6"/>
    <w:rsid w:val="00542483"/>
    <w:rsid w:val="00542666"/>
    <w:rsid w:val="00542E1D"/>
    <w:rsid w:val="00543017"/>
    <w:rsid w:val="005432C1"/>
    <w:rsid w:val="00543699"/>
    <w:rsid w:val="00543887"/>
    <w:rsid w:val="005438E2"/>
    <w:rsid w:val="0054397F"/>
    <w:rsid w:val="00543980"/>
    <w:rsid w:val="00543E0D"/>
    <w:rsid w:val="0054400C"/>
    <w:rsid w:val="00544240"/>
    <w:rsid w:val="00544269"/>
    <w:rsid w:val="005448A4"/>
    <w:rsid w:val="00544EF3"/>
    <w:rsid w:val="00545294"/>
    <w:rsid w:val="00545481"/>
    <w:rsid w:val="005456F2"/>
    <w:rsid w:val="00545806"/>
    <w:rsid w:val="00545AAE"/>
    <w:rsid w:val="00545EC9"/>
    <w:rsid w:val="00546073"/>
    <w:rsid w:val="005460D3"/>
    <w:rsid w:val="005464A6"/>
    <w:rsid w:val="005464AF"/>
    <w:rsid w:val="005464F5"/>
    <w:rsid w:val="00546555"/>
    <w:rsid w:val="005469CB"/>
    <w:rsid w:val="00546B4A"/>
    <w:rsid w:val="00547018"/>
    <w:rsid w:val="0054706F"/>
    <w:rsid w:val="00547172"/>
    <w:rsid w:val="0054721C"/>
    <w:rsid w:val="00547547"/>
    <w:rsid w:val="00547865"/>
    <w:rsid w:val="00547A79"/>
    <w:rsid w:val="0055030B"/>
    <w:rsid w:val="0055045A"/>
    <w:rsid w:val="00550A6D"/>
    <w:rsid w:val="00550AA2"/>
    <w:rsid w:val="00550B73"/>
    <w:rsid w:val="00550E12"/>
    <w:rsid w:val="00550E50"/>
    <w:rsid w:val="005511D3"/>
    <w:rsid w:val="00551439"/>
    <w:rsid w:val="00551446"/>
    <w:rsid w:val="00551537"/>
    <w:rsid w:val="0055175F"/>
    <w:rsid w:val="0055185E"/>
    <w:rsid w:val="005519D9"/>
    <w:rsid w:val="005519E3"/>
    <w:rsid w:val="00551CF3"/>
    <w:rsid w:val="00551EEB"/>
    <w:rsid w:val="005520AB"/>
    <w:rsid w:val="0055227B"/>
    <w:rsid w:val="005526C6"/>
    <w:rsid w:val="005529A1"/>
    <w:rsid w:val="00552B67"/>
    <w:rsid w:val="00552C44"/>
    <w:rsid w:val="00552EFF"/>
    <w:rsid w:val="00553125"/>
    <w:rsid w:val="00553428"/>
    <w:rsid w:val="00553454"/>
    <w:rsid w:val="005535CE"/>
    <w:rsid w:val="00553BC4"/>
    <w:rsid w:val="00553EFC"/>
    <w:rsid w:val="00553FB7"/>
    <w:rsid w:val="005541E3"/>
    <w:rsid w:val="00554396"/>
    <w:rsid w:val="005546FB"/>
    <w:rsid w:val="00554809"/>
    <w:rsid w:val="005548B7"/>
    <w:rsid w:val="0055492F"/>
    <w:rsid w:val="00555138"/>
    <w:rsid w:val="005553DA"/>
    <w:rsid w:val="0055566F"/>
    <w:rsid w:val="00555677"/>
    <w:rsid w:val="00555797"/>
    <w:rsid w:val="00555FC5"/>
    <w:rsid w:val="0055606A"/>
    <w:rsid w:val="005561A0"/>
    <w:rsid w:val="00556383"/>
    <w:rsid w:val="00556438"/>
    <w:rsid w:val="005565FD"/>
    <w:rsid w:val="00556779"/>
    <w:rsid w:val="005567F5"/>
    <w:rsid w:val="005569DB"/>
    <w:rsid w:val="00556A79"/>
    <w:rsid w:val="00556B16"/>
    <w:rsid w:val="00556D23"/>
    <w:rsid w:val="00556F4D"/>
    <w:rsid w:val="00557151"/>
    <w:rsid w:val="00557165"/>
    <w:rsid w:val="00557566"/>
    <w:rsid w:val="00557ACD"/>
    <w:rsid w:val="00557D7F"/>
    <w:rsid w:val="00557E2E"/>
    <w:rsid w:val="005600F3"/>
    <w:rsid w:val="0056017D"/>
    <w:rsid w:val="005607AC"/>
    <w:rsid w:val="00560811"/>
    <w:rsid w:val="00560D32"/>
    <w:rsid w:val="00560DD3"/>
    <w:rsid w:val="00561248"/>
    <w:rsid w:val="00561315"/>
    <w:rsid w:val="00561403"/>
    <w:rsid w:val="00561894"/>
    <w:rsid w:val="005618A5"/>
    <w:rsid w:val="005618AB"/>
    <w:rsid w:val="00562047"/>
    <w:rsid w:val="00562158"/>
    <w:rsid w:val="005621E4"/>
    <w:rsid w:val="0056256D"/>
    <w:rsid w:val="00562B7B"/>
    <w:rsid w:val="00562CD1"/>
    <w:rsid w:val="00562D2D"/>
    <w:rsid w:val="00562EF3"/>
    <w:rsid w:val="00563011"/>
    <w:rsid w:val="00563092"/>
    <w:rsid w:val="005632E7"/>
    <w:rsid w:val="005632EB"/>
    <w:rsid w:val="00563346"/>
    <w:rsid w:val="00563390"/>
    <w:rsid w:val="0056343F"/>
    <w:rsid w:val="00563452"/>
    <w:rsid w:val="00563686"/>
    <w:rsid w:val="005637F3"/>
    <w:rsid w:val="00563826"/>
    <w:rsid w:val="0056386F"/>
    <w:rsid w:val="005638D5"/>
    <w:rsid w:val="00563900"/>
    <w:rsid w:val="00563C93"/>
    <w:rsid w:val="00563CFF"/>
    <w:rsid w:val="00563DC5"/>
    <w:rsid w:val="005643B5"/>
    <w:rsid w:val="0056445E"/>
    <w:rsid w:val="00564767"/>
    <w:rsid w:val="00564822"/>
    <w:rsid w:val="00564AEF"/>
    <w:rsid w:val="00564C85"/>
    <w:rsid w:val="00564D82"/>
    <w:rsid w:val="00564DC4"/>
    <w:rsid w:val="00564DD9"/>
    <w:rsid w:val="00564EB5"/>
    <w:rsid w:val="0056526F"/>
    <w:rsid w:val="0056547E"/>
    <w:rsid w:val="0056590C"/>
    <w:rsid w:val="00565965"/>
    <w:rsid w:val="00565ABA"/>
    <w:rsid w:val="00565B17"/>
    <w:rsid w:val="00565C7C"/>
    <w:rsid w:val="00566668"/>
    <w:rsid w:val="00566760"/>
    <w:rsid w:val="0056677E"/>
    <w:rsid w:val="00566976"/>
    <w:rsid w:val="005669E4"/>
    <w:rsid w:val="00566B5E"/>
    <w:rsid w:val="00566C95"/>
    <w:rsid w:val="00566D87"/>
    <w:rsid w:val="005674B0"/>
    <w:rsid w:val="0056799D"/>
    <w:rsid w:val="00567C7D"/>
    <w:rsid w:val="00567D0A"/>
    <w:rsid w:val="00567F59"/>
    <w:rsid w:val="005700A6"/>
    <w:rsid w:val="005704B3"/>
    <w:rsid w:val="005705DA"/>
    <w:rsid w:val="00570781"/>
    <w:rsid w:val="005707B1"/>
    <w:rsid w:val="0057082D"/>
    <w:rsid w:val="00570AD7"/>
    <w:rsid w:val="00570C18"/>
    <w:rsid w:val="00570E67"/>
    <w:rsid w:val="00570F4F"/>
    <w:rsid w:val="00570F77"/>
    <w:rsid w:val="00571007"/>
    <w:rsid w:val="0057118B"/>
    <w:rsid w:val="00571352"/>
    <w:rsid w:val="005714C5"/>
    <w:rsid w:val="0057155D"/>
    <w:rsid w:val="005718F3"/>
    <w:rsid w:val="005719C4"/>
    <w:rsid w:val="00571BA9"/>
    <w:rsid w:val="00571D9D"/>
    <w:rsid w:val="00571DF6"/>
    <w:rsid w:val="005720C3"/>
    <w:rsid w:val="005722A9"/>
    <w:rsid w:val="00572324"/>
    <w:rsid w:val="005725E0"/>
    <w:rsid w:val="005728BB"/>
    <w:rsid w:val="005729D2"/>
    <w:rsid w:val="00572C18"/>
    <w:rsid w:val="00572C54"/>
    <w:rsid w:val="00572DD4"/>
    <w:rsid w:val="00572DF7"/>
    <w:rsid w:val="00572E5A"/>
    <w:rsid w:val="00572F49"/>
    <w:rsid w:val="0057306F"/>
    <w:rsid w:val="005732BD"/>
    <w:rsid w:val="005734B5"/>
    <w:rsid w:val="00573641"/>
    <w:rsid w:val="00573BF7"/>
    <w:rsid w:val="0057443C"/>
    <w:rsid w:val="00574832"/>
    <w:rsid w:val="0057494E"/>
    <w:rsid w:val="00574A27"/>
    <w:rsid w:val="00574B1B"/>
    <w:rsid w:val="00574C57"/>
    <w:rsid w:val="00574EC6"/>
    <w:rsid w:val="00574EDB"/>
    <w:rsid w:val="00575365"/>
    <w:rsid w:val="00575422"/>
    <w:rsid w:val="00575970"/>
    <w:rsid w:val="00575D45"/>
    <w:rsid w:val="005760FB"/>
    <w:rsid w:val="005761C3"/>
    <w:rsid w:val="00576332"/>
    <w:rsid w:val="005765D1"/>
    <w:rsid w:val="005767AE"/>
    <w:rsid w:val="005769C6"/>
    <w:rsid w:val="00576A83"/>
    <w:rsid w:val="0057735A"/>
    <w:rsid w:val="005777D3"/>
    <w:rsid w:val="0057792C"/>
    <w:rsid w:val="00577D21"/>
    <w:rsid w:val="00577D46"/>
    <w:rsid w:val="00577F29"/>
    <w:rsid w:val="005801E1"/>
    <w:rsid w:val="00580392"/>
    <w:rsid w:val="00580468"/>
    <w:rsid w:val="005809CA"/>
    <w:rsid w:val="00580ADF"/>
    <w:rsid w:val="00580C2A"/>
    <w:rsid w:val="00580C98"/>
    <w:rsid w:val="0058136B"/>
    <w:rsid w:val="005814E2"/>
    <w:rsid w:val="005814F0"/>
    <w:rsid w:val="005816ED"/>
    <w:rsid w:val="00581803"/>
    <w:rsid w:val="0058181A"/>
    <w:rsid w:val="00581B9C"/>
    <w:rsid w:val="00581C13"/>
    <w:rsid w:val="00581CAA"/>
    <w:rsid w:val="00581F1E"/>
    <w:rsid w:val="00581FFE"/>
    <w:rsid w:val="0058219C"/>
    <w:rsid w:val="005827A6"/>
    <w:rsid w:val="005827B2"/>
    <w:rsid w:val="00582A27"/>
    <w:rsid w:val="00582B39"/>
    <w:rsid w:val="00582FD3"/>
    <w:rsid w:val="00583060"/>
    <w:rsid w:val="0058308E"/>
    <w:rsid w:val="00583204"/>
    <w:rsid w:val="0058324E"/>
    <w:rsid w:val="0058332B"/>
    <w:rsid w:val="005834EE"/>
    <w:rsid w:val="005838B4"/>
    <w:rsid w:val="005839E6"/>
    <w:rsid w:val="00584025"/>
    <w:rsid w:val="00584070"/>
    <w:rsid w:val="00584185"/>
    <w:rsid w:val="0058423F"/>
    <w:rsid w:val="005845EA"/>
    <w:rsid w:val="00584BA0"/>
    <w:rsid w:val="00584BBB"/>
    <w:rsid w:val="00584CF3"/>
    <w:rsid w:val="005850B1"/>
    <w:rsid w:val="005853DC"/>
    <w:rsid w:val="00585433"/>
    <w:rsid w:val="00585511"/>
    <w:rsid w:val="005855A7"/>
    <w:rsid w:val="0058588C"/>
    <w:rsid w:val="00585996"/>
    <w:rsid w:val="00585A0C"/>
    <w:rsid w:val="00585A26"/>
    <w:rsid w:val="00585B79"/>
    <w:rsid w:val="00585C0F"/>
    <w:rsid w:val="00585EF6"/>
    <w:rsid w:val="00585FF8"/>
    <w:rsid w:val="00586020"/>
    <w:rsid w:val="005860A6"/>
    <w:rsid w:val="005861C5"/>
    <w:rsid w:val="005861E1"/>
    <w:rsid w:val="00586780"/>
    <w:rsid w:val="00586893"/>
    <w:rsid w:val="00586A41"/>
    <w:rsid w:val="00586B39"/>
    <w:rsid w:val="00586BA4"/>
    <w:rsid w:val="00586E90"/>
    <w:rsid w:val="00587138"/>
    <w:rsid w:val="005871D5"/>
    <w:rsid w:val="005871ED"/>
    <w:rsid w:val="00587206"/>
    <w:rsid w:val="00587528"/>
    <w:rsid w:val="00587596"/>
    <w:rsid w:val="005878CC"/>
    <w:rsid w:val="00587D9B"/>
    <w:rsid w:val="00587F05"/>
    <w:rsid w:val="0059017E"/>
    <w:rsid w:val="005902E7"/>
    <w:rsid w:val="0059031A"/>
    <w:rsid w:val="00590583"/>
    <w:rsid w:val="00590C2A"/>
    <w:rsid w:val="00590D06"/>
    <w:rsid w:val="00591399"/>
    <w:rsid w:val="0059147E"/>
    <w:rsid w:val="0059165D"/>
    <w:rsid w:val="0059171B"/>
    <w:rsid w:val="00591916"/>
    <w:rsid w:val="00591A28"/>
    <w:rsid w:val="00591B9C"/>
    <w:rsid w:val="00591CFF"/>
    <w:rsid w:val="00591E45"/>
    <w:rsid w:val="005920B3"/>
    <w:rsid w:val="005922DC"/>
    <w:rsid w:val="0059263F"/>
    <w:rsid w:val="005928CC"/>
    <w:rsid w:val="005928E7"/>
    <w:rsid w:val="005929F6"/>
    <w:rsid w:val="00592A3D"/>
    <w:rsid w:val="00592B71"/>
    <w:rsid w:val="00592E0A"/>
    <w:rsid w:val="00592E6C"/>
    <w:rsid w:val="00592EF0"/>
    <w:rsid w:val="00592F52"/>
    <w:rsid w:val="00593883"/>
    <w:rsid w:val="00593D06"/>
    <w:rsid w:val="00593F48"/>
    <w:rsid w:val="00593FA4"/>
    <w:rsid w:val="00593FC4"/>
    <w:rsid w:val="00593FF8"/>
    <w:rsid w:val="005941BC"/>
    <w:rsid w:val="005944DE"/>
    <w:rsid w:val="00594610"/>
    <w:rsid w:val="00594628"/>
    <w:rsid w:val="00594683"/>
    <w:rsid w:val="00594A5F"/>
    <w:rsid w:val="00594E93"/>
    <w:rsid w:val="00594E9C"/>
    <w:rsid w:val="00594FD2"/>
    <w:rsid w:val="00595167"/>
    <w:rsid w:val="005957D2"/>
    <w:rsid w:val="0059590E"/>
    <w:rsid w:val="00595CF0"/>
    <w:rsid w:val="00595DEB"/>
    <w:rsid w:val="00595F34"/>
    <w:rsid w:val="00596266"/>
    <w:rsid w:val="005969AE"/>
    <w:rsid w:val="00596B7A"/>
    <w:rsid w:val="00596BB4"/>
    <w:rsid w:val="00596BFA"/>
    <w:rsid w:val="00596F9A"/>
    <w:rsid w:val="00597744"/>
    <w:rsid w:val="005979B6"/>
    <w:rsid w:val="00597A10"/>
    <w:rsid w:val="00597B30"/>
    <w:rsid w:val="00597B59"/>
    <w:rsid w:val="005A0354"/>
    <w:rsid w:val="005A0610"/>
    <w:rsid w:val="005A08D0"/>
    <w:rsid w:val="005A0A0E"/>
    <w:rsid w:val="005A0A13"/>
    <w:rsid w:val="005A0DC2"/>
    <w:rsid w:val="005A0F1E"/>
    <w:rsid w:val="005A1066"/>
    <w:rsid w:val="005A1191"/>
    <w:rsid w:val="005A1250"/>
    <w:rsid w:val="005A1314"/>
    <w:rsid w:val="005A133E"/>
    <w:rsid w:val="005A1647"/>
    <w:rsid w:val="005A1815"/>
    <w:rsid w:val="005A1C59"/>
    <w:rsid w:val="005A2434"/>
    <w:rsid w:val="005A261B"/>
    <w:rsid w:val="005A2889"/>
    <w:rsid w:val="005A2902"/>
    <w:rsid w:val="005A2A55"/>
    <w:rsid w:val="005A2A91"/>
    <w:rsid w:val="005A2B13"/>
    <w:rsid w:val="005A2E80"/>
    <w:rsid w:val="005A3440"/>
    <w:rsid w:val="005A3805"/>
    <w:rsid w:val="005A3A59"/>
    <w:rsid w:val="005A3ADA"/>
    <w:rsid w:val="005A401C"/>
    <w:rsid w:val="005A440A"/>
    <w:rsid w:val="005A4603"/>
    <w:rsid w:val="005A46CA"/>
    <w:rsid w:val="005A4828"/>
    <w:rsid w:val="005A48BD"/>
    <w:rsid w:val="005A4BE4"/>
    <w:rsid w:val="005A4C02"/>
    <w:rsid w:val="005A4D20"/>
    <w:rsid w:val="005A5398"/>
    <w:rsid w:val="005A53A6"/>
    <w:rsid w:val="005A5797"/>
    <w:rsid w:val="005A57F7"/>
    <w:rsid w:val="005A59DA"/>
    <w:rsid w:val="005A5BC3"/>
    <w:rsid w:val="005A5CFB"/>
    <w:rsid w:val="005A6123"/>
    <w:rsid w:val="005A616C"/>
    <w:rsid w:val="005A6477"/>
    <w:rsid w:val="005A66CB"/>
    <w:rsid w:val="005A67D9"/>
    <w:rsid w:val="005A69DA"/>
    <w:rsid w:val="005A69EE"/>
    <w:rsid w:val="005A6AA9"/>
    <w:rsid w:val="005A6B0F"/>
    <w:rsid w:val="005A6CCD"/>
    <w:rsid w:val="005A6E29"/>
    <w:rsid w:val="005A7031"/>
    <w:rsid w:val="005A70AF"/>
    <w:rsid w:val="005A710D"/>
    <w:rsid w:val="005A748E"/>
    <w:rsid w:val="005A75C4"/>
    <w:rsid w:val="005A766C"/>
    <w:rsid w:val="005A76FC"/>
    <w:rsid w:val="005A771B"/>
    <w:rsid w:val="005A77A8"/>
    <w:rsid w:val="005A784A"/>
    <w:rsid w:val="005A7B36"/>
    <w:rsid w:val="005A7B3D"/>
    <w:rsid w:val="005B0CA9"/>
    <w:rsid w:val="005B0CCB"/>
    <w:rsid w:val="005B0D2A"/>
    <w:rsid w:val="005B0E72"/>
    <w:rsid w:val="005B0FB7"/>
    <w:rsid w:val="005B10F5"/>
    <w:rsid w:val="005B121B"/>
    <w:rsid w:val="005B1220"/>
    <w:rsid w:val="005B124C"/>
    <w:rsid w:val="005B12B1"/>
    <w:rsid w:val="005B12F7"/>
    <w:rsid w:val="005B1586"/>
    <w:rsid w:val="005B158C"/>
    <w:rsid w:val="005B1614"/>
    <w:rsid w:val="005B1B4D"/>
    <w:rsid w:val="005B1CCE"/>
    <w:rsid w:val="005B1FC5"/>
    <w:rsid w:val="005B2367"/>
    <w:rsid w:val="005B25BB"/>
    <w:rsid w:val="005B26B2"/>
    <w:rsid w:val="005B26F2"/>
    <w:rsid w:val="005B2ADC"/>
    <w:rsid w:val="005B2C07"/>
    <w:rsid w:val="005B2C36"/>
    <w:rsid w:val="005B2CF6"/>
    <w:rsid w:val="005B3163"/>
    <w:rsid w:val="005B33CF"/>
    <w:rsid w:val="005B35B5"/>
    <w:rsid w:val="005B3A0A"/>
    <w:rsid w:val="005B3AF3"/>
    <w:rsid w:val="005B3B53"/>
    <w:rsid w:val="005B4215"/>
    <w:rsid w:val="005B4382"/>
    <w:rsid w:val="005B43E1"/>
    <w:rsid w:val="005B44DD"/>
    <w:rsid w:val="005B45D7"/>
    <w:rsid w:val="005B469C"/>
    <w:rsid w:val="005B4B0C"/>
    <w:rsid w:val="005B4B3C"/>
    <w:rsid w:val="005B4DCA"/>
    <w:rsid w:val="005B51CB"/>
    <w:rsid w:val="005B53CD"/>
    <w:rsid w:val="005B5972"/>
    <w:rsid w:val="005B59EF"/>
    <w:rsid w:val="005B5EA4"/>
    <w:rsid w:val="005B5F0F"/>
    <w:rsid w:val="005B5F39"/>
    <w:rsid w:val="005B6184"/>
    <w:rsid w:val="005B65BA"/>
    <w:rsid w:val="005B69A0"/>
    <w:rsid w:val="005B6C59"/>
    <w:rsid w:val="005B6F69"/>
    <w:rsid w:val="005B6FCB"/>
    <w:rsid w:val="005B71A4"/>
    <w:rsid w:val="005B74CB"/>
    <w:rsid w:val="005B76A0"/>
    <w:rsid w:val="005B796F"/>
    <w:rsid w:val="005B7ED9"/>
    <w:rsid w:val="005B7F62"/>
    <w:rsid w:val="005C0071"/>
    <w:rsid w:val="005C00D1"/>
    <w:rsid w:val="005C056B"/>
    <w:rsid w:val="005C07DB"/>
    <w:rsid w:val="005C080F"/>
    <w:rsid w:val="005C0D4F"/>
    <w:rsid w:val="005C0EC6"/>
    <w:rsid w:val="005C0F81"/>
    <w:rsid w:val="005C1381"/>
    <w:rsid w:val="005C15B2"/>
    <w:rsid w:val="005C1707"/>
    <w:rsid w:val="005C181C"/>
    <w:rsid w:val="005C1B24"/>
    <w:rsid w:val="005C23F5"/>
    <w:rsid w:val="005C2916"/>
    <w:rsid w:val="005C2B65"/>
    <w:rsid w:val="005C2CEB"/>
    <w:rsid w:val="005C2F50"/>
    <w:rsid w:val="005C306E"/>
    <w:rsid w:val="005C3499"/>
    <w:rsid w:val="005C36F8"/>
    <w:rsid w:val="005C39A2"/>
    <w:rsid w:val="005C3C1A"/>
    <w:rsid w:val="005C3EF2"/>
    <w:rsid w:val="005C3F1C"/>
    <w:rsid w:val="005C3F5F"/>
    <w:rsid w:val="005C4381"/>
    <w:rsid w:val="005C449C"/>
    <w:rsid w:val="005C48D4"/>
    <w:rsid w:val="005C4AFB"/>
    <w:rsid w:val="005C4B53"/>
    <w:rsid w:val="005C4F4E"/>
    <w:rsid w:val="005C4FC3"/>
    <w:rsid w:val="005C504F"/>
    <w:rsid w:val="005C5248"/>
    <w:rsid w:val="005C5521"/>
    <w:rsid w:val="005C556C"/>
    <w:rsid w:val="005C5650"/>
    <w:rsid w:val="005C577F"/>
    <w:rsid w:val="005C5C46"/>
    <w:rsid w:val="005C5EE6"/>
    <w:rsid w:val="005C5F83"/>
    <w:rsid w:val="005C5FEC"/>
    <w:rsid w:val="005C6201"/>
    <w:rsid w:val="005C6270"/>
    <w:rsid w:val="005C62D1"/>
    <w:rsid w:val="005C67C9"/>
    <w:rsid w:val="005C68E1"/>
    <w:rsid w:val="005C6F1B"/>
    <w:rsid w:val="005C71BC"/>
    <w:rsid w:val="005C73BC"/>
    <w:rsid w:val="005C7433"/>
    <w:rsid w:val="005C754A"/>
    <w:rsid w:val="005C75CB"/>
    <w:rsid w:val="005C7615"/>
    <w:rsid w:val="005C764F"/>
    <w:rsid w:val="005D00CA"/>
    <w:rsid w:val="005D02DA"/>
    <w:rsid w:val="005D0EC9"/>
    <w:rsid w:val="005D0FDB"/>
    <w:rsid w:val="005D13D8"/>
    <w:rsid w:val="005D1492"/>
    <w:rsid w:val="005D1608"/>
    <w:rsid w:val="005D1AFA"/>
    <w:rsid w:val="005D1BAA"/>
    <w:rsid w:val="005D2071"/>
    <w:rsid w:val="005D2224"/>
    <w:rsid w:val="005D237A"/>
    <w:rsid w:val="005D2437"/>
    <w:rsid w:val="005D2B86"/>
    <w:rsid w:val="005D2E09"/>
    <w:rsid w:val="005D3114"/>
    <w:rsid w:val="005D3192"/>
    <w:rsid w:val="005D354E"/>
    <w:rsid w:val="005D35F0"/>
    <w:rsid w:val="005D36C3"/>
    <w:rsid w:val="005D37C0"/>
    <w:rsid w:val="005D4011"/>
    <w:rsid w:val="005D44BF"/>
    <w:rsid w:val="005D4755"/>
    <w:rsid w:val="005D48AC"/>
    <w:rsid w:val="005D4BE7"/>
    <w:rsid w:val="005D4BE8"/>
    <w:rsid w:val="005D4D22"/>
    <w:rsid w:val="005D4EC3"/>
    <w:rsid w:val="005D50EA"/>
    <w:rsid w:val="005D5865"/>
    <w:rsid w:val="005D5973"/>
    <w:rsid w:val="005D5DE5"/>
    <w:rsid w:val="005D5F0B"/>
    <w:rsid w:val="005D5F58"/>
    <w:rsid w:val="005D6015"/>
    <w:rsid w:val="005D6234"/>
    <w:rsid w:val="005D6D22"/>
    <w:rsid w:val="005D6D2B"/>
    <w:rsid w:val="005D6E1B"/>
    <w:rsid w:val="005D7146"/>
    <w:rsid w:val="005D730A"/>
    <w:rsid w:val="005D7378"/>
    <w:rsid w:val="005D75CA"/>
    <w:rsid w:val="005D7685"/>
    <w:rsid w:val="005D7812"/>
    <w:rsid w:val="005D7848"/>
    <w:rsid w:val="005D7971"/>
    <w:rsid w:val="005D7B6F"/>
    <w:rsid w:val="005D7BD3"/>
    <w:rsid w:val="005D7E55"/>
    <w:rsid w:val="005D7F83"/>
    <w:rsid w:val="005E0227"/>
    <w:rsid w:val="005E0683"/>
    <w:rsid w:val="005E07FA"/>
    <w:rsid w:val="005E096D"/>
    <w:rsid w:val="005E09C5"/>
    <w:rsid w:val="005E0BFE"/>
    <w:rsid w:val="005E0EF0"/>
    <w:rsid w:val="005E10F1"/>
    <w:rsid w:val="005E1215"/>
    <w:rsid w:val="005E13C9"/>
    <w:rsid w:val="005E141A"/>
    <w:rsid w:val="005E1511"/>
    <w:rsid w:val="005E17F2"/>
    <w:rsid w:val="005E1915"/>
    <w:rsid w:val="005E1BC3"/>
    <w:rsid w:val="005E1D9E"/>
    <w:rsid w:val="005E1DF0"/>
    <w:rsid w:val="005E1ECD"/>
    <w:rsid w:val="005E1F32"/>
    <w:rsid w:val="005E23D7"/>
    <w:rsid w:val="005E25E3"/>
    <w:rsid w:val="005E284C"/>
    <w:rsid w:val="005E291A"/>
    <w:rsid w:val="005E2A4E"/>
    <w:rsid w:val="005E2D99"/>
    <w:rsid w:val="005E34EE"/>
    <w:rsid w:val="005E3546"/>
    <w:rsid w:val="005E3581"/>
    <w:rsid w:val="005E3826"/>
    <w:rsid w:val="005E3837"/>
    <w:rsid w:val="005E394D"/>
    <w:rsid w:val="005E3BA6"/>
    <w:rsid w:val="005E3D78"/>
    <w:rsid w:val="005E3E56"/>
    <w:rsid w:val="005E4180"/>
    <w:rsid w:val="005E4562"/>
    <w:rsid w:val="005E46EF"/>
    <w:rsid w:val="005E47AD"/>
    <w:rsid w:val="005E47EA"/>
    <w:rsid w:val="005E47F1"/>
    <w:rsid w:val="005E4847"/>
    <w:rsid w:val="005E4A2D"/>
    <w:rsid w:val="005E4AA1"/>
    <w:rsid w:val="005E4CFC"/>
    <w:rsid w:val="005E50AA"/>
    <w:rsid w:val="005E5486"/>
    <w:rsid w:val="005E54D8"/>
    <w:rsid w:val="005E5550"/>
    <w:rsid w:val="005E5911"/>
    <w:rsid w:val="005E5931"/>
    <w:rsid w:val="005E598E"/>
    <w:rsid w:val="005E5A4E"/>
    <w:rsid w:val="005E6246"/>
    <w:rsid w:val="005E625D"/>
    <w:rsid w:val="005E62C1"/>
    <w:rsid w:val="005E6449"/>
    <w:rsid w:val="005E64B7"/>
    <w:rsid w:val="005E64ED"/>
    <w:rsid w:val="005E6650"/>
    <w:rsid w:val="005E67BB"/>
    <w:rsid w:val="005E687F"/>
    <w:rsid w:val="005E6A1C"/>
    <w:rsid w:val="005E6C47"/>
    <w:rsid w:val="005E6C4F"/>
    <w:rsid w:val="005E6D69"/>
    <w:rsid w:val="005E70AE"/>
    <w:rsid w:val="005E72FD"/>
    <w:rsid w:val="005E748C"/>
    <w:rsid w:val="005E765D"/>
    <w:rsid w:val="005E76DD"/>
    <w:rsid w:val="005E7EB5"/>
    <w:rsid w:val="005F0037"/>
    <w:rsid w:val="005F015F"/>
    <w:rsid w:val="005F0221"/>
    <w:rsid w:val="005F051E"/>
    <w:rsid w:val="005F06D9"/>
    <w:rsid w:val="005F06EB"/>
    <w:rsid w:val="005F0EE2"/>
    <w:rsid w:val="005F0EE7"/>
    <w:rsid w:val="005F0F07"/>
    <w:rsid w:val="005F1058"/>
    <w:rsid w:val="005F1103"/>
    <w:rsid w:val="005F1552"/>
    <w:rsid w:val="005F1596"/>
    <w:rsid w:val="005F167D"/>
    <w:rsid w:val="005F1737"/>
    <w:rsid w:val="005F1A95"/>
    <w:rsid w:val="005F1EB9"/>
    <w:rsid w:val="005F1F21"/>
    <w:rsid w:val="005F2173"/>
    <w:rsid w:val="005F21DC"/>
    <w:rsid w:val="005F22C9"/>
    <w:rsid w:val="005F2303"/>
    <w:rsid w:val="005F2A38"/>
    <w:rsid w:val="005F2BF0"/>
    <w:rsid w:val="005F2C62"/>
    <w:rsid w:val="005F303A"/>
    <w:rsid w:val="005F33CD"/>
    <w:rsid w:val="005F343D"/>
    <w:rsid w:val="005F3577"/>
    <w:rsid w:val="005F3702"/>
    <w:rsid w:val="005F3933"/>
    <w:rsid w:val="005F39EA"/>
    <w:rsid w:val="005F3AA7"/>
    <w:rsid w:val="005F3DFE"/>
    <w:rsid w:val="005F3F39"/>
    <w:rsid w:val="005F3FB6"/>
    <w:rsid w:val="005F4080"/>
    <w:rsid w:val="005F42DD"/>
    <w:rsid w:val="005F447E"/>
    <w:rsid w:val="005F4964"/>
    <w:rsid w:val="005F4A82"/>
    <w:rsid w:val="005F4B75"/>
    <w:rsid w:val="005F4D46"/>
    <w:rsid w:val="005F4DF3"/>
    <w:rsid w:val="005F4E45"/>
    <w:rsid w:val="005F4F7D"/>
    <w:rsid w:val="005F50C2"/>
    <w:rsid w:val="005F5226"/>
    <w:rsid w:val="005F52B7"/>
    <w:rsid w:val="005F553B"/>
    <w:rsid w:val="005F5575"/>
    <w:rsid w:val="005F5911"/>
    <w:rsid w:val="005F59EC"/>
    <w:rsid w:val="005F5ED8"/>
    <w:rsid w:val="005F64F2"/>
    <w:rsid w:val="005F654A"/>
    <w:rsid w:val="005F658A"/>
    <w:rsid w:val="005F659A"/>
    <w:rsid w:val="005F665C"/>
    <w:rsid w:val="005F695F"/>
    <w:rsid w:val="005F6A36"/>
    <w:rsid w:val="005F6A5F"/>
    <w:rsid w:val="005F6DB8"/>
    <w:rsid w:val="005F713D"/>
    <w:rsid w:val="005F72C3"/>
    <w:rsid w:val="005F76AA"/>
    <w:rsid w:val="005F795F"/>
    <w:rsid w:val="005F7AA1"/>
    <w:rsid w:val="005F7CB8"/>
    <w:rsid w:val="005F7DA8"/>
    <w:rsid w:val="006000EF"/>
    <w:rsid w:val="006002C4"/>
    <w:rsid w:val="00600442"/>
    <w:rsid w:val="00600753"/>
    <w:rsid w:val="0060076E"/>
    <w:rsid w:val="006007C2"/>
    <w:rsid w:val="00600848"/>
    <w:rsid w:val="006008A7"/>
    <w:rsid w:val="00600BE9"/>
    <w:rsid w:val="00600F3B"/>
    <w:rsid w:val="006012C7"/>
    <w:rsid w:val="006015C9"/>
    <w:rsid w:val="00601697"/>
    <w:rsid w:val="006016D7"/>
    <w:rsid w:val="0060171D"/>
    <w:rsid w:val="00601814"/>
    <w:rsid w:val="0060186E"/>
    <w:rsid w:val="00601A23"/>
    <w:rsid w:val="00601A36"/>
    <w:rsid w:val="00601C9B"/>
    <w:rsid w:val="00601D47"/>
    <w:rsid w:val="00601E02"/>
    <w:rsid w:val="00601F87"/>
    <w:rsid w:val="006021B2"/>
    <w:rsid w:val="0060227C"/>
    <w:rsid w:val="00602339"/>
    <w:rsid w:val="006024B0"/>
    <w:rsid w:val="00602756"/>
    <w:rsid w:val="0060297D"/>
    <w:rsid w:val="006029BA"/>
    <w:rsid w:val="006029D8"/>
    <w:rsid w:val="00602A97"/>
    <w:rsid w:val="00602AE5"/>
    <w:rsid w:val="00602E29"/>
    <w:rsid w:val="00602EC3"/>
    <w:rsid w:val="00603307"/>
    <w:rsid w:val="00603563"/>
    <w:rsid w:val="00603635"/>
    <w:rsid w:val="00603BA2"/>
    <w:rsid w:val="00603C4A"/>
    <w:rsid w:val="00603E09"/>
    <w:rsid w:val="00603ECD"/>
    <w:rsid w:val="006042AA"/>
    <w:rsid w:val="006049AB"/>
    <w:rsid w:val="00604B55"/>
    <w:rsid w:val="00604C00"/>
    <w:rsid w:val="00604C4E"/>
    <w:rsid w:val="00604D98"/>
    <w:rsid w:val="0060507F"/>
    <w:rsid w:val="00605115"/>
    <w:rsid w:val="00605200"/>
    <w:rsid w:val="006052E5"/>
    <w:rsid w:val="0060548D"/>
    <w:rsid w:val="006055BA"/>
    <w:rsid w:val="006057AE"/>
    <w:rsid w:val="006057FC"/>
    <w:rsid w:val="006059DD"/>
    <w:rsid w:val="00605A52"/>
    <w:rsid w:val="00605DDC"/>
    <w:rsid w:val="00606185"/>
    <w:rsid w:val="006063E7"/>
    <w:rsid w:val="006063F8"/>
    <w:rsid w:val="00606681"/>
    <w:rsid w:val="00606943"/>
    <w:rsid w:val="00606B84"/>
    <w:rsid w:val="00606D46"/>
    <w:rsid w:val="00606DDA"/>
    <w:rsid w:val="00606F63"/>
    <w:rsid w:val="006072B3"/>
    <w:rsid w:val="006074A7"/>
    <w:rsid w:val="006077CB"/>
    <w:rsid w:val="0060781F"/>
    <w:rsid w:val="00607CBE"/>
    <w:rsid w:val="00610144"/>
    <w:rsid w:val="0061027C"/>
    <w:rsid w:val="00610644"/>
    <w:rsid w:val="00610B77"/>
    <w:rsid w:val="00610BD4"/>
    <w:rsid w:val="00610D4C"/>
    <w:rsid w:val="00610F1A"/>
    <w:rsid w:val="006114FC"/>
    <w:rsid w:val="0061177D"/>
    <w:rsid w:val="006118BD"/>
    <w:rsid w:val="00611B6F"/>
    <w:rsid w:val="00611CA0"/>
    <w:rsid w:val="006121A0"/>
    <w:rsid w:val="0061244B"/>
    <w:rsid w:val="006125AA"/>
    <w:rsid w:val="006125EA"/>
    <w:rsid w:val="00612714"/>
    <w:rsid w:val="006128C8"/>
    <w:rsid w:val="00612B45"/>
    <w:rsid w:val="00612B50"/>
    <w:rsid w:val="00612C5F"/>
    <w:rsid w:val="00612EC0"/>
    <w:rsid w:val="0061319B"/>
    <w:rsid w:val="00613201"/>
    <w:rsid w:val="00613525"/>
    <w:rsid w:val="00613729"/>
    <w:rsid w:val="00613AF4"/>
    <w:rsid w:val="00613C4A"/>
    <w:rsid w:val="00613D86"/>
    <w:rsid w:val="0061412C"/>
    <w:rsid w:val="0061425B"/>
    <w:rsid w:val="006142E6"/>
    <w:rsid w:val="00614433"/>
    <w:rsid w:val="006144B2"/>
    <w:rsid w:val="006145D7"/>
    <w:rsid w:val="00614672"/>
    <w:rsid w:val="006147A5"/>
    <w:rsid w:val="0061482D"/>
    <w:rsid w:val="00614938"/>
    <w:rsid w:val="00614A44"/>
    <w:rsid w:val="00614BBE"/>
    <w:rsid w:val="00614D54"/>
    <w:rsid w:val="00614F23"/>
    <w:rsid w:val="006153A6"/>
    <w:rsid w:val="0061542B"/>
    <w:rsid w:val="006156AF"/>
    <w:rsid w:val="00615A56"/>
    <w:rsid w:val="00615D6A"/>
    <w:rsid w:val="00615F51"/>
    <w:rsid w:val="0061625A"/>
    <w:rsid w:val="00616283"/>
    <w:rsid w:val="00616333"/>
    <w:rsid w:val="0061637F"/>
    <w:rsid w:val="006163D8"/>
    <w:rsid w:val="0061648B"/>
    <w:rsid w:val="0061650E"/>
    <w:rsid w:val="00616F21"/>
    <w:rsid w:val="00616FB7"/>
    <w:rsid w:val="00617046"/>
    <w:rsid w:val="006170DF"/>
    <w:rsid w:val="0061722E"/>
    <w:rsid w:val="00617627"/>
    <w:rsid w:val="00617771"/>
    <w:rsid w:val="006177C5"/>
    <w:rsid w:val="0061791A"/>
    <w:rsid w:val="00617C51"/>
    <w:rsid w:val="00617E63"/>
    <w:rsid w:val="0062001A"/>
    <w:rsid w:val="0062049B"/>
    <w:rsid w:val="006209D3"/>
    <w:rsid w:val="006209E9"/>
    <w:rsid w:val="00620ADA"/>
    <w:rsid w:val="00620C09"/>
    <w:rsid w:val="00620CFE"/>
    <w:rsid w:val="00620DEF"/>
    <w:rsid w:val="00620E44"/>
    <w:rsid w:val="00620ED1"/>
    <w:rsid w:val="006211AA"/>
    <w:rsid w:val="00621792"/>
    <w:rsid w:val="00621969"/>
    <w:rsid w:val="00621BB4"/>
    <w:rsid w:val="00622055"/>
    <w:rsid w:val="0062207F"/>
    <w:rsid w:val="0062231B"/>
    <w:rsid w:val="006225A3"/>
    <w:rsid w:val="00622627"/>
    <w:rsid w:val="00622B52"/>
    <w:rsid w:val="00623022"/>
    <w:rsid w:val="006230FE"/>
    <w:rsid w:val="00623139"/>
    <w:rsid w:val="006232C1"/>
    <w:rsid w:val="006233CE"/>
    <w:rsid w:val="006237CF"/>
    <w:rsid w:val="006238C9"/>
    <w:rsid w:val="00623AA1"/>
    <w:rsid w:val="00623EB6"/>
    <w:rsid w:val="0062433B"/>
    <w:rsid w:val="00624466"/>
    <w:rsid w:val="00624478"/>
    <w:rsid w:val="006246F7"/>
    <w:rsid w:val="006247AA"/>
    <w:rsid w:val="00624E99"/>
    <w:rsid w:val="00624FB5"/>
    <w:rsid w:val="0062537F"/>
    <w:rsid w:val="00625409"/>
    <w:rsid w:val="00625750"/>
    <w:rsid w:val="006257AC"/>
    <w:rsid w:val="00626082"/>
    <w:rsid w:val="006264C9"/>
    <w:rsid w:val="006265EA"/>
    <w:rsid w:val="00626962"/>
    <w:rsid w:val="006269BA"/>
    <w:rsid w:val="00626A00"/>
    <w:rsid w:val="00626A39"/>
    <w:rsid w:val="00626ACB"/>
    <w:rsid w:val="00626D16"/>
    <w:rsid w:val="00626E40"/>
    <w:rsid w:val="00626FB1"/>
    <w:rsid w:val="006271B9"/>
    <w:rsid w:val="00627289"/>
    <w:rsid w:val="00627558"/>
    <w:rsid w:val="006278ED"/>
    <w:rsid w:val="00627916"/>
    <w:rsid w:val="00627CA2"/>
    <w:rsid w:val="00627DBD"/>
    <w:rsid w:val="00627F95"/>
    <w:rsid w:val="006304C0"/>
    <w:rsid w:val="006307D0"/>
    <w:rsid w:val="0063086D"/>
    <w:rsid w:val="006309B7"/>
    <w:rsid w:val="00630A3E"/>
    <w:rsid w:val="00630D47"/>
    <w:rsid w:val="00630E97"/>
    <w:rsid w:val="00631208"/>
    <w:rsid w:val="00631344"/>
    <w:rsid w:val="0063176F"/>
    <w:rsid w:val="00631909"/>
    <w:rsid w:val="00631CDE"/>
    <w:rsid w:val="00632096"/>
    <w:rsid w:val="0063226A"/>
    <w:rsid w:val="00632491"/>
    <w:rsid w:val="00632676"/>
    <w:rsid w:val="006329BC"/>
    <w:rsid w:val="00632C28"/>
    <w:rsid w:val="00632CF4"/>
    <w:rsid w:val="00632DCC"/>
    <w:rsid w:val="00632DD2"/>
    <w:rsid w:val="00633089"/>
    <w:rsid w:val="006332B0"/>
    <w:rsid w:val="00633328"/>
    <w:rsid w:val="006334F5"/>
    <w:rsid w:val="006335D0"/>
    <w:rsid w:val="00633649"/>
    <w:rsid w:val="00633C97"/>
    <w:rsid w:val="00633E17"/>
    <w:rsid w:val="00634336"/>
    <w:rsid w:val="00634368"/>
    <w:rsid w:val="00634382"/>
    <w:rsid w:val="006345FE"/>
    <w:rsid w:val="00634A2B"/>
    <w:rsid w:val="00634BAD"/>
    <w:rsid w:val="00634C5A"/>
    <w:rsid w:val="00634CFF"/>
    <w:rsid w:val="00634FD8"/>
    <w:rsid w:val="006350A6"/>
    <w:rsid w:val="006353D1"/>
    <w:rsid w:val="006354F5"/>
    <w:rsid w:val="00635DC0"/>
    <w:rsid w:val="00635E8E"/>
    <w:rsid w:val="006360BA"/>
    <w:rsid w:val="006360D8"/>
    <w:rsid w:val="006363B9"/>
    <w:rsid w:val="00636471"/>
    <w:rsid w:val="0063652D"/>
    <w:rsid w:val="006369B0"/>
    <w:rsid w:val="00636B80"/>
    <w:rsid w:val="00636C0B"/>
    <w:rsid w:val="00636D1C"/>
    <w:rsid w:val="006370A3"/>
    <w:rsid w:val="0063715A"/>
    <w:rsid w:val="006371EB"/>
    <w:rsid w:val="006374F2"/>
    <w:rsid w:val="00637504"/>
    <w:rsid w:val="006375A1"/>
    <w:rsid w:val="00637782"/>
    <w:rsid w:val="006377B5"/>
    <w:rsid w:val="006377CF"/>
    <w:rsid w:val="00637AAD"/>
    <w:rsid w:val="00637BEF"/>
    <w:rsid w:val="00637CD7"/>
    <w:rsid w:val="00637EAA"/>
    <w:rsid w:val="00640055"/>
    <w:rsid w:val="0064017F"/>
    <w:rsid w:val="00640843"/>
    <w:rsid w:val="006409C0"/>
    <w:rsid w:val="00640AB6"/>
    <w:rsid w:val="00640C19"/>
    <w:rsid w:val="00640EFE"/>
    <w:rsid w:val="00641018"/>
    <w:rsid w:val="0064131A"/>
    <w:rsid w:val="00641777"/>
    <w:rsid w:val="00641856"/>
    <w:rsid w:val="006419C7"/>
    <w:rsid w:val="00641E99"/>
    <w:rsid w:val="00642100"/>
    <w:rsid w:val="006423DB"/>
    <w:rsid w:val="006425E5"/>
    <w:rsid w:val="00642BCB"/>
    <w:rsid w:val="00642C80"/>
    <w:rsid w:val="00642F94"/>
    <w:rsid w:val="0064300E"/>
    <w:rsid w:val="00643280"/>
    <w:rsid w:val="006432CC"/>
    <w:rsid w:val="006433B4"/>
    <w:rsid w:val="0064355E"/>
    <w:rsid w:val="00643CCB"/>
    <w:rsid w:val="006440FC"/>
    <w:rsid w:val="0064413B"/>
    <w:rsid w:val="00644215"/>
    <w:rsid w:val="00644370"/>
    <w:rsid w:val="00644570"/>
    <w:rsid w:val="0064474C"/>
    <w:rsid w:val="0064480E"/>
    <w:rsid w:val="00644906"/>
    <w:rsid w:val="00644AA4"/>
    <w:rsid w:val="00644E5B"/>
    <w:rsid w:val="006457AD"/>
    <w:rsid w:val="006457B1"/>
    <w:rsid w:val="00645C49"/>
    <w:rsid w:val="00645F9A"/>
    <w:rsid w:val="00645FA7"/>
    <w:rsid w:val="006460A1"/>
    <w:rsid w:val="00646259"/>
    <w:rsid w:val="00646276"/>
    <w:rsid w:val="0064679E"/>
    <w:rsid w:val="00646BFE"/>
    <w:rsid w:val="00646CC1"/>
    <w:rsid w:val="00646E5C"/>
    <w:rsid w:val="00647220"/>
    <w:rsid w:val="00647231"/>
    <w:rsid w:val="0064725B"/>
    <w:rsid w:val="00647418"/>
    <w:rsid w:val="006474EB"/>
    <w:rsid w:val="0064769B"/>
    <w:rsid w:val="00647829"/>
    <w:rsid w:val="00647C41"/>
    <w:rsid w:val="00647F63"/>
    <w:rsid w:val="006501F8"/>
    <w:rsid w:val="00650429"/>
    <w:rsid w:val="00650BFE"/>
    <w:rsid w:val="00650C80"/>
    <w:rsid w:val="00650E35"/>
    <w:rsid w:val="00650F9B"/>
    <w:rsid w:val="00651302"/>
    <w:rsid w:val="006519E8"/>
    <w:rsid w:val="00651A20"/>
    <w:rsid w:val="00651D17"/>
    <w:rsid w:val="00651D2E"/>
    <w:rsid w:val="00651F3E"/>
    <w:rsid w:val="006525F7"/>
    <w:rsid w:val="006526A6"/>
    <w:rsid w:val="0065272D"/>
    <w:rsid w:val="006529A2"/>
    <w:rsid w:val="00652D2D"/>
    <w:rsid w:val="00652DC2"/>
    <w:rsid w:val="00653021"/>
    <w:rsid w:val="006530EF"/>
    <w:rsid w:val="0065368B"/>
    <w:rsid w:val="00653992"/>
    <w:rsid w:val="006541CF"/>
    <w:rsid w:val="006546A4"/>
    <w:rsid w:val="006548A9"/>
    <w:rsid w:val="00654AC6"/>
    <w:rsid w:val="00654EE0"/>
    <w:rsid w:val="00655067"/>
    <w:rsid w:val="00655113"/>
    <w:rsid w:val="0065547A"/>
    <w:rsid w:val="00655614"/>
    <w:rsid w:val="00655784"/>
    <w:rsid w:val="00655CA1"/>
    <w:rsid w:val="00655D57"/>
    <w:rsid w:val="00655DE2"/>
    <w:rsid w:val="00655FAA"/>
    <w:rsid w:val="0065614B"/>
    <w:rsid w:val="0065678A"/>
    <w:rsid w:val="00656975"/>
    <w:rsid w:val="00656B9D"/>
    <w:rsid w:val="00656C14"/>
    <w:rsid w:val="00656C49"/>
    <w:rsid w:val="00656E41"/>
    <w:rsid w:val="00657017"/>
    <w:rsid w:val="006570AB"/>
    <w:rsid w:val="00657176"/>
    <w:rsid w:val="00657380"/>
    <w:rsid w:val="00657395"/>
    <w:rsid w:val="0065770D"/>
    <w:rsid w:val="00657897"/>
    <w:rsid w:val="00657C49"/>
    <w:rsid w:val="00657C83"/>
    <w:rsid w:val="006602BA"/>
    <w:rsid w:val="006603DE"/>
    <w:rsid w:val="00660688"/>
    <w:rsid w:val="00660B3E"/>
    <w:rsid w:val="00660D0E"/>
    <w:rsid w:val="00660D82"/>
    <w:rsid w:val="00660F9B"/>
    <w:rsid w:val="00660FD3"/>
    <w:rsid w:val="006612C7"/>
    <w:rsid w:val="006613A8"/>
    <w:rsid w:val="006615C1"/>
    <w:rsid w:val="00661A05"/>
    <w:rsid w:val="00661C1C"/>
    <w:rsid w:val="0066209E"/>
    <w:rsid w:val="00662327"/>
    <w:rsid w:val="00662445"/>
    <w:rsid w:val="0066267C"/>
    <w:rsid w:val="0066284B"/>
    <w:rsid w:val="00662902"/>
    <w:rsid w:val="00662A9D"/>
    <w:rsid w:val="00662B5C"/>
    <w:rsid w:val="00662BFC"/>
    <w:rsid w:val="00662E89"/>
    <w:rsid w:val="006631D8"/>
    <w:rsid w:val="0066321E"/>
    <w:rsid w:val="0066336B"/>
    <w:rsid w:val="00663656"/>
    <w:rsid w:val="00663B35"/>
    <w:rsid w:val="00663D74"/>
    <w:rsid w:val="00663F48"/>
    <w:rsid w:val="006640A6"/>
    <w:rsid w:val="0066446E"/>
    <w:rsid w:val="00664543"/>
    <w:rsid w:val="006646BC"/>
    <w:rsid w:val="006646C2"/>
    <w:rsid w:val="00664776"/>
    <w:rsid w:val="0066499E"/>
    <w:rsid w:val="00664C63"/>
    <w:rsid w:val="00664EA3"/>
    <w:rsid w:val="00664F21"/>
    <w:rsid w:val="006651D6"/>
    <w:rsid w:val="006653D6"/>
    <w:rsid w:val="006656A6"/>
    <w:rsid w:val="00665996"/>
    <w:rsid w:val="00665ADC"/>
    <w:rsid w:val="00665DE0"/>
    <w:rsid w:val="00665FF8"/>
    <w:rsid w:val="00666263"/>
    <w:rsid w:val="0066626C"/>
    <w:rsid w:val="00666376"/>
    <w:rsid w:val="00666430"/>
    <w:rsid w:val="00666A0A"/>
    <w:rsid w:val="00666AC6"/>
    <w:rsid w:val="00666F17"/>
    <w:rsid w:val="00666FDD"/>
    <w:rsid w:val="0066702D"/>
    <w:rsid w:val="00667052"/>
    <w:rsid w:val="006672BA"/>
    <w:rsid w:val="00667467"/>
    <w:rsid w:val="006675D1"/>
    <w:rsid w:val="00667623"/>
    <w:rsid w:val="0066777D"/>
    <w:rsid w:val="0066799C"/>
    <w:rsid w:val="006679C3"/>
    <w:rsid w:val="00667A0E"/>
    <w:rsid w:val="00667CEA"/>
    <w:rsid w:val="00667E54"/>
    <w:rsid w:val="00667F66"/>
    <w:rsid w:val="0067023E"/>
    <w:rsid w:val="0067024D"/>
    <w:rsid w:val="00670319"/>
    <w:rsid w:val="006704F3"/>
    <w:rsid w:val="0067064C"/>
    <w:rsid w:val="00670B45"/>
    <w:rsid w:val="00670C7E"/>
    <w:rsid w:val="00670C91"/>
    <w:rsid w:val="00670D36"/>
    <w:rsid w:val="00670F53"/>
    <w:rsid w:val="0067131B"/>
    <w:rsid w:val="0067136E"/>
    <w:rsid w:val="0067149F"/>
    <w:rsid w:val="00671571"/>
    <w:rsid w:val="006716AE"/>
    <w:rsid w:val="00671922"/>
    <w:rsid w:val="00672924"/>
    <w:rsid w:val="00673016"/>
    <w:rsid w:val="006733DE"/>
    <w:rsid w:val="0067378A"/>
    <w:rsid w:val="006739A4"/>
    <w:rsid w:val="00673B01"/>
    <w:rsid w:val="00673E0A"/>
    <w:rsid w:val="006740DB"/>
    <w:rsid w:val="006741A4"/>
    <w:rsid w:val="006741B0"/>
    <w:rsid w:val="00674216"/>
    <w:rsid w:val="00674320"/>
    <w:rsid w:val="0067435D"/>
    <w:rsid w:val="0067441C"/>
    <w:rsid w:val="006744B7"/>
    <w:rsid w:val="006744CD"/>
    <w:rsid w:val="00674600"/>
    <w:rsid w:val="00674638"/>
    <w:rsid w:val="00674656"/>
    <w:rsid w:val="00674831"/>
    <w:rsid w:val="00674857"/>
    <w:rsid w:val="0067499C"/>
    <w:rsid w:val="006749D4"/>
    <w:rsid w:val="00674BA9"/>
    <w:rsid w:val="00674BC4"/>
    <w:rsid w:val="00674C82"/>
    <w:rsid w:val="00674DB3"/>
    <w:rsid w:val="00674EEC"/>
    <w:rsid w:val="0067543E"/>
    <w:rsid w:val="0067595D"/>
    <w:rsid w:val="00675975"/>
    <w:rsid w:val="006759D5"/>
    <w:rsid w:val="00675BF6"/>
    <w:rsid w:val="00675F66"/>
    <w:rsid w:val="006762F4"/>
    <w:rsid w:val="006764DC"/>
    <w:rsid w:val="006765AE"/>
    <w:rsid w:val="006766C8"/>
    <w:rsid w:val="006767EA"/>
    <w:rsid w:val="00676CA9"/>
    <w:rsid w:val="00676FC2"/>
    <w:rsid w:val="0067742B"/>
    <w:rsid w:val="00677652"/>
    <w:rsid w:val="006776EC"/>
    <w:rsid w:val="006777B7"/>
    <w:rsid w:val="006778AD"/>
    <w:rsid w:val="00677A45"/>
    <w:rsid w:val="00677BBB"/>
    <w:rsid w:val="00677CC5"/>
    <w:rsid w:val="00677CFB"/>
    <w:rsid w:val="00677E2B"/>
    <w:rsid w:val="0068033F"/>
    <w:rsid w:val="006806F7"/>
    <w:rsid w:val="00680A1C"/>
    <w:rsid w:val="00681160"/>
    <w:rsid w:val="00681293"/>
    <w:rsid w:val="0068133F"/>
    <w:rsid w:val="006814B5"/>
    <w:rsid w:val="006817AC"/>
    <w:rsid w:val="00681935"/>
    <w:rsid w:val="00681AE4"/>
    <w:rsid w:val="00681B19"/>
    <w:rsid w:val="00681DFA"/>
    <w:rsid w:val="00681FCD"/>
    <w:rsid w:val="00682148"/>
    <w:rsid w:val="0068233C"/>
    <w:rsid w:val="0068249A"/>
    <w:rsid w:val="00682884"/>
    <w:rsid w:val="00682B92"/>
    <w:rsid w:val="00682D39"/>
    <w:rsid w:val="00682F89"/>
    <w:rsid w:val="00683133"/>
    <w:rsid w:val="00683387"/>
    <w:rsid w:val="0068352F"/>
    <w:rsid w:val="006837B2"/>
    <w:rsid w:val="006839D8"/>
    <w:rsid w:val="00683D28"/>
    <w:rsid w:val="00683D7F"/>
    <w:rsid w:val="00683EAE"/>
    <w:rsid w:val="00684176"/>
    <w:rsid w:val="00684183"/>
    <w:rsid w:val="006841AB"/>
    <w:rsid w:val="006843A5"/>
    <w:rsid w:val="006843FE"/>
    <w:rsid w:val="00684786"/>
    <w:rsid w:val="00684C00"/>
    <w:rsid w:val="0068500C"/>
    <w:rsid w:val="00685213"/>
    <w:rsid w:val="006852E1"/>
    <w:rsid w:val="00685461"/>
    <w:rsid w:val="0068555E"/>
    <w:rsid w:val="0068589D"/>
    <w:rsid w:val="00685A4B"/>
    <w:rsid w:val="00685A7F"/>
    <w:rsid w:val="00685F59"/>
    <w:rsid w:val="00686199"/>
    <w:rsid w:val="00686303"/>
    <w:rsid w:val="006863A4"/>
    <w:rsid w:val="00686577"/>
    <w:rsid w:val="006865DB"/>
    <w:rsid w:val="006866B4"/>
    <w:rsid w:val="0068693D"/>
    <w:rsid w:val="00686B91"/>
    <w:rsid w:val="00686CF2"/>
    <w:rsid w:val="00686D8B"/>
    <w:rsid w:val="00686E56"/>
    <w:rsid w:val="00686F20"/>
    <w:rsid w:val="0068700B"/>
    <w:rsid w:val="0068714E"/>
    <w:rsid w:val="0068719D"/>
    <w:rsid w:val="006875C6"/>
    <w:rsid w:val="00687747"/>
    <w:rsid w:val="0068787C"/>
    <w:rsid w:val="006879CF"/>
    <w:rsid w:val="00687A15"/>
    <w:rsid w:val="00687C27"/>
    <w:rsid w:val="006901F4"/>
    <w:rsid w:val="00690423"/>
    <w:rsid w:val="00690578"/>
    <w:rsid w:val="0069066A"/>
    <w:rsid w:val="0069079B"/>
    <w:rsid w:val="00690835"/>
    <w:rsid w:val="00690975"/>
    <w:rsid w:val="00690BB5"/>
    <w:rsid w:val="00691234"/>
    <w:rsid w:val="00691237"/>
    <w:rsid w:val="00691263"/>
    <w:rsid w:val="00691379"/>
    <w:rsid w:val="006914A9"/>
    <w:rsid w:val="00691734"/>
    <w:rsid w:val="006923CF"/>
    <w:rsid w:val="006924F4"/>
    <w:rsid w:val="00692852"/>
    <w:rsid w:val="006928A5"/>
    <w:rsid w:val="00692B57"/>
    <w:rsid w:val="00692C10"/>
    <w:rsid w:val="00692C44"/>
    <w:rsid w:val="00692E9A"/>
    <w:rsid w:val="0069320C"/>
    <w:rsid w:val="0069329F"/>
    <w:rsid w:val="006935EC"/>
    <w:rsid w:val="0069360D"/>
    <w:rsid w:val="006937F0"/>
    <w:rsid w:val="006939D0"/>
    <w:rsid w:val="0069429F"/>
    <w:rsid w:val="006944BA"/>
    <w:rsid w:val="006945A8"/>
    <w:rsid w:val="00694663"/>
    <w:rsid w:val="00694724"/>
    <w:rsid w:val="006947F4"/>
    <w:rsid w:val="00694865"/>
    <w:rsid w:val="00694987"/>
    <w:rsid w:val="00694BD3"/>
    <w:rsid w:val="006951D5"/>
    <w:rsid w:val="00695307"/>
    <w:rsid w:val="0069541B"/>
    <w:rsid w:val="0069578B"/>
    <w:rsid w:val="0069598C"/>
    <w:rsid w:val="006959F0"/>
    <w:rsid w:val="00695A1D"/>
    <w:rsid w:val="00695B49"/>
    <w:rsid w:val="00695CE3"/>
    <w:rsid w:val="006963CD"/>
    <w:rsid w:val="006965F3"/>
    <w:rsid w:val="006966AE"/>
    <w:rsid w:val="00696B06"/>
    <w:rsid w:val="00696B7E"/>
    <w:rsid w:val="00696BEA"/>
    <w:rsid w:val="00696D9E"/>
    <w:rsid w:val="00696E89"/>
    <w:rsid w:val="00696FDD"/>
    <w:rsid w:val="00697044"/>
    <w:rsid w:val="006972E9"/>
    <w:rsid w:val="0069759D"/>
    <w:rsid w:val="006976C1"/>
    <w:rsid w:val="006978A8"/>
    <w:rsid w:val="006979A3"/>
    <w:rsid w:val="00697AFC"/>
    <w:rsid w:val="00697B03"/>
    <w:rsid w:val="00697B7E"/>
    <w:rsid w:val="00697D80"/>
    <w:rsid w:val="00697F3E"/>
    <w:rsid w:val="006A01BB"/>
    <w:rsid w:val="006A0216"/>
    <w:rsid w:val="006A0719"/>
    <w:rsid w:val="006A08A2"/>
    <w:rsid w:val="006A0AD5"/>
    <w:rsid w:val="006A0C25"/>
    <w:rsid w:val="006A0C93"/>
    <w:rsid w:val="006A136D"/>
    <w:rsid w:val="006A13CA"/>
    <w:rsid w:val="006A1453"/>
    <w:rsid w:val="006A14B3"/>
    <w:rsid w:val="006A1699"/>
    <w:rsid w:val="006A18FE"/>
    <w:rsid w:val="006A1B6A"/>
    <w:rsid w:val="006A1C21"/>
    <w:rsid w:val="006A1EB8"/>
    <w:rsid w:val="006A1F39"/>
    <w:rsid w:val="006A1FDF"/>
    <w:rsid w:val="006A2B28"/>
    <w:rsid w:val="006A2D51"/>
    <w:rsid w:val="006A2E7C"/>
    <w:rsid w:val="006A2F42"/>
    <w:rsid w:val="006A3043"/>
    <w:rsid w:val="006A3322"/>
    <w:rsid w:val="006A3381"/>
    <w:rsid w:val="006A37F1"/>
    <w:rsid w:val="006A43DD"/>
    <w:rsid w:val="006A4499"/>
    <w:rsid w:val="006A473A"/>
    <w:rsid w:val="006A479A"/>
    <w:rsid w:val="006A4824"/>
    <w:rsid w:val="006A4911"/>
    <w:rsid w:val="006A4C32"/>
    <w:rsid w:val="006A515A"/>
    <w:rsid w:val="006A57B1"/>
    <w:rsid w:val="006A57EB"/>
    <w:rsid w:val="006A598C"/>
    <w:rsid w:val="006A59C4"/>
    <w:rsid w:val="006A5AF3"/>
    <w:rsid w:val="006A5B73"/>
    <w:rsid w:val="006A5BE1"/>
    <w:rsid w:val="006A5F99"/>
    <w:rsid w:val="006A604B"/>
    <w:rsid w:val="006A612F"/>
    <w:rsid w:val="006A6185"/>
    <w:rsid w:val="006A618A"/>
    <w:rsid w:val="006A637D"/>
    <w:rsid w:val="006A6755"/>
    <w:rsid w:val="006A67B4"/>
    <w:rsid w:val="006A67FA"/>
    <w:rsid w:val="006A6B29"/>
    <w:rsid w:val="006A6D80"/>
    <w:rsid w:val="006A7095"/>
    <w:rsid w:val="006A7116"/>
    <w:rsid w:val="006A7150"/>
    <w:rsid w:val="006A7168"/>
    <w:rsid w:val="006A71DB"/>
    <w:rsid w:val="006A722F"/>
    <w:rsid w:val="006A73D3"/>
    <w:rsid w:val="006A759E"/>
    <w:rsid w:val="006A7729"/>
    <w:rsid w:val="006A77B7"/>
    <w:rsid w:val="006A7B67"/>
    <w:rsid w:val="006A7DF5"/>
    <w:rsid w:val="006B0372"/>
    <w:rsid w:val="006B051D"/>
    <w:rsid w:val="006B079E"/>
    <w:rsid w:val="006B0AAD"/>
    <w:rsid w:val="006B0ACB"/>
    <w:rsid w:val="006B0CA9"/>
    <w:rsid w:val="006B0CE5"/>
    <w:rsid w:val="006B0DA5"/>
    <w:rsid w:val="006B0E8E"/>
    <w:rsid w:val="006B0F6A"/>
    <w:rsid w:val="006B13D1"/>
    <w:rsid w:val="006B141C"/>
    <w:rsid w:val="006B14A5"/>
    <w:rsid w:val="006B151F"/>
    <w:rsid w:val="006B1596"/>
    <w:rsid w:val="006B1B47"/>
    <w:rsid w:val="006B1C24"/>
    <w:rsid w:val="006B1DA2"/>
    <w:rsid w:val="006B21F2"/>
    <w:rsid w:val="006B226D"/>
    <w:rsid w:val="006B2815"/>
    <w:rsid w:val="006B28B5"/>
    <w:rsid w:val="006B2DE6"/>
    <w:rsid w:val="006B30FC"/>
    <w:rsid w:val="006B3356"/>
    <w:rsid w:val="006B3388"/>
    <w:rsid w:val="006B3A80"/>
    <w:rsid w:val="006B3E90"/>
    <w:rsid w:val="006B3F82"/>
    <w:rsid w:val="006B40B3"/>
    <w:rsid w:val="006B41D8"/>
    <w:rsid w:val="006B45D3"/>
    <w:rsid w:val="006B47AC"/>
    <w:rsid w:val="006B4849"/>
    <w:rsid w:val="006B48EA"/>
    <w:rsid w:val="006B4BFA"/>
    <w:rsid w:val="006B514B"/>
    <w:rsid w:val="006B5576"/>
    <w:rsid w:val="006B5866"/>
    <w:rsid w:val="006B605B"/>
    <w:rsid w:val="006B62A8"/>
    <w:rsid w:val="006B6346"/>
    <w:rsid w:val="006B645D"/>
    <w:rsid w:val="006B6972"/>
    <w:rsid w:val="006B6A07"/>
    <w:rsid w:val="006B6AB4"/>
    <w:rsid w:val="006B6D7E"/>
    <w:rsid w:val="006B6E61"/>
    <w:rsid w:val="006B6F3F"/>
    <w:rsid w:val="006B6F58"/>
    <w:rsid w:val="006B71A8"/>
    <w:rsid w:val="006B798A"/>
    <w:rsid w:val="006B7E13"/>
    <w:rsid w:val="006C0168"/>
    <w:rsid w:val="006C089A"/>
    <w:rsid w:val="006C0B97"/>
    <w:rsid w:val="006C0BB9"/>
    <w:rsid w:val="006C0CC5"/>
    <w:rsid w:val="006C0DD1"/>
    <w:rsid w:val="006C0EBB"/>
    <w:rsid w:val="006C0F7C"/>
    <w:rsid w:val="006C10CD"/>
    <w:rsid w:val="006C15AC"/>
    <w:rsid w:val="006C1740"/>
    <w:rsid w:val="006C17F4"/>
    <w:rsid w:val="006C1854"/>
    <w:rsid w:val="006C1A10"/>
    <w:rsid w:val="006C1D14"/>
    <w:rsid w:val="006C1E57"/>
    <w:rsid w:val="006C201C"/>
    <w:rsid w:val="006C2216"/>
    <w:rsid w:val="006C23FF"/>
    <w:rsid w:val="006C2459"/>
    <w:rsid w:val="006C2752"/>
    <w:rsid w:val="006C27E8"/>
    <w:rsid w:val="006C2A67"/>
    <w:rsid w:val="006C2B4B"/>
    <w:rsid w:val="006C2FEE"/>
    <w:rsid w:val="006C3026"/>
    <w:rsid w:val="006C3562"/>
    <w:rsid w:val="006C36C5"/>
    <w:rsid w:val="006C3727"/>
    <w:rsid w:val="006C3C4D"/>
    <w:rsid w:val="006C4049"/>
    <w:rsid w:val="006C40DC"/>
    <w:rsid w:val="006C429A"/>
    <w:rsid w:val="006C42FC"/>
    <w:rsid w:val="006C43A2"/>
    <w:rsid w:val="006C43D6"/>
    <w:rsid w:val="006C4416"/>
    <w:rsid w:val="006C4462"/>
    <w:rsid w:val="006C465A"/>
    <w:rsid w:val="006C46E1"/>
    <w:rsid w:val="006C4780"/>
    <w:rsid w:val="006C484D"/>
    <w:rsid w:val="006C48CE"/>
    <w:rsid w:val="006C48FA"/>
    <w:rsid w:val="006C4CA4"/>
    <w:rsid w:val="006C4CE4"/>
    <w:rsid w:val="006C4DAA"/>
    <w:rsid w:val="006C506B"/>
    <w:rsid w:val="006C5129"/>
    <w:rsid w:val="006C54E9"/>
    <w:rsid w:val="006C5667"/>
    <w:rsid w:val="006C5753"/>
    <w:rsid w:val="006C5898"/>
    <w:rsid w:val="006C59D9"/>
    <w:rsid w:val="006C5CBF"/>
    <w:rsid w:val="006C5F3A"/>
    <w:rsid w:val="006C639B"/>
    <w:rsid w:val="006C63D2"/>
    <w:rsid w:val="006C63F1"/>
    <w:rsid w:val="006C65C6"/>
    <w:rsid w:val="006C6609"/>
    <w:rsid w:val="006C66BF"/>
    <w:rsid w:val="006C6AD1"/>
    <w:rsid w:val="006C6ECE"/>
    <w:rsid w:val="006C6FBA"/>
    <w:rsid w:val="006C72AF"/>
    <w:rsid w:val="006C7404"/>
    <w:rsid w:val="006C747C"/>
    <w:rsid w:val="006C76AA"/>
    <w:rsid w:val="006C7760"/>
    <w:rsid w:val="006C7834"/>
    <w:rsid w:val="006C79B0"/>
    <w:rsid w:val="006D015C"/>
    <w:rsid w:val="006D077A"/>
    <w:rsid w:val="006D0A78"/>
    <w:rsid w:val="006D0C0A"/>
    <w:rsid w:val="006D0EA4"/>
    <w:rsid w:val="006D101E"/>
    <w:rsid w:val="006D12A9"/>
    <w:rsid w:val="006D12B6"/>
    <w:rsid w:val="006D1474"/>
    <w:rsid w:val="006D157F"/>
    <w:rsid w:val="006D1A0B"/>
    <w:rsid w:val="006D1B7B"/>
    <w:rsid w:val="006D1D6A"/>
    <w:rsid w:val="006D2061"/>
    <w:rsid w:val="006D208F"/>
    <w:rsid w:val="006D21E0"/>
    <w:rsid w:val="006D229D"/>
    <w:rsid w:val="006D22A9"/>
    <w:rsid w:val="006D2370"/>
    <w:rsid w:val="006D2393"/>
    <w:rsid w:val="006D2616"/>
    <w:rsid w:val="006D2650"/>
    <w:rsid w:val="006D28B9"/>
    <w:rsid w:val="006D2A0E"/>
    <w:rsid w:val="006D2AAB"/>
    <w:rsid w:val="006D2B19"/>
    <w:rsid w:val="006D2C4C"/>
    <w:rsid w:val="006D2F1C"/>
    <w:rsid w:val="006D3301"/>
    <w:rsid w:val="006D3575"/>
    <w:rsid w:val="006D3667"/>
    <w:rsid w:val="006D3B2A"/>
    <w:rsid w:val="006D3CDB"/>
    <w:rsid w:val="006D3FBB"/>
    <w:rsid w:val="006D43BB"/>
    <w:rsid w:val="006D43FB"/>
    <w:rsid w:val="006D450C"/>
    <w:rsid w:val="006D463C"/>
    <w:rsid w:val="006D4962"/>
    <w:rsid w:val="006D5382"/>
    <w:rsid w:val="006D54DF"/>
    <w:rsid w:val="006D5629"/>
    <w:rsid w:val="006D5AEE"/>
    <w:rsid w:val="006D5B62"/>
    <w:rsid w:val="006D64E9"/>
    <w:rsid w:val="006D69F7"/>
    <w:rsid w:val="006D6A91"/>
    <w:rsid w:val="006D6EC3"/>
    <w:rsid w:val="006D70F5"/>
    <w:rsid w:val="006D7441"/>
    <w:rsid w:val="006D746C"/>
    <w:rsid w:val="006D7AC9"/>
    <w:rsid w:val="006D7CFD"/>
    <w:rsid w:val="006D7D18"/>
    <w:rsid w:val="006E0093"/>
    <w:rsid w:val="006E0410"/>
    <w:rsid w:val="006E05F2"/>
    <w:rsid w:val="006E0CAE"/>
    <w:rsid w:val="006E0D23"/>
    <w:rsid w:val="006E103E"/>
    <w:rsid w:val="006E1121"/>
    <w:rsid w:val="006E12D0"/>
    <w:rsid w:val="006E141C"/>
    <w:rsid w:val="006E1431"/>
    <w:rsid w:val="006E169B"/>
    <w:rsid w:val="006E186A"/>
    <w:rsid w:val="006E1918"/>
    <w:rsid w:val="006E1A4B"/>
    <w:rsid w:val="006E1B1E"/>
    <w:rsid w:val="006E1C76"/>
    <w:rsid w:val="006E2011"/>
    <w:rsid w:val="006E227E"/>
    <w:rsid w:val="006E2363"/>
    <w:rsid w:val="006E24E6"/>
    <w:rsid w:val="006E26CB"/>
    <w:rsid w:val="006E2E25"/>
    <w:rsid w:val="006E2E55"/>
    <w:rsid w:val="006E2E5F"/>
    <w:rsid w:val="006E2F59"/>
    <w:rsid w:val="006E31C8"/>
    <w:rsid w:val="006E345C"/>
    <w:rsid w:val="006E3623"/>
    <w:rsid w:val="006E36FD"/>
    <w:rsid w:val="006E39F5"/>
    <w:rsid w:val="006E410F"/>
    <w:rsid w:val="006E44C9"/>
    <w:rsid w:val="006E46C2"/>
    <w:rsid w:val="006E4769"/>
    <w:rsid w:val="006E4D7B"/>
    <w:rsid w:val="006E4DD3"/>
    <w:rsid w:val="006E4DE5"/>
    <w:rsid w:val="006E4FDF"/>
    <w:rsid w:val="006E5182"/>
    <w:rsid w:val="006E525D"/>
    <w:rsid w:val="006E528D"/>
    <w:rsid w:val="006E5352"/>
    <w:rsid w:val="006E544D"/>
    <w:rsid w:val="006E554C"/>
    <w:rsid w:val="006E5552"/>
    <w:rsid w:val="006E56FC"/>
    <w:rsid w:val="006E57A8"/>
    <w:rsid w:val="006E585A"/>
    <w:rsid w:val="006E59DE"/>
    <w:rsid w:val="006E5A01"/>
    <w:rsid w:val="006E5A56"/>
    <w:rsid w:val="006E61F9"/>
    <w:rsid w:val="006E67DB"/>
    <w:rsid w:val="006E6941"/>
    <w:rsid w:val="006E6B13"/>
    <w:rsid w:val="006E6EC7"/>
    <w:rsid w:val="006E73C7"/>
    <w:rsid w:val="006E77B8"/>
    <w:rsid w:val="006E78DE"/>
    <w:rsid w:val="006E7CA4"/>
    <w:rsid w:val="006E7DBE"/>
    <w:rsid w:val="006E7E44"/>
    <w:rsid w:val="006E7F30"/>
    <w:rsid w:val="006E7F52"/>
    <w:rsid w:val="006F008B"/>
    <w:rsid w:val="006F00E9"/>
    <w:rsid w:val="006F0220"/>
    <w:rsid w:val="006F022D"/>
    <w:rsid w:val="006F0367"/>
    <w:rsid w:val="006F0ABB"/>
    <w:rsid w:val="006F0BEF"/>
    <w:rsid w:val="006F0D04"/>
    <w:rsid w:val="006F0ECC"/>
    <w:rsid w:val="006F101E"/>
    <w:rsid w:val="006F14E7"/>
    <w:rsid w:val="006F1A02"/>
    <w:rsid w:val="006F1B89"/>
    <w:rsid w:val="006F1D52"/>
    <w:rsid w:val="006F1E90"/>
    <w:rsid w:val="006F2372"/>
    <w:rsid w:val="006F23B7"/>
    <w:rsid w:val="006F2733"/>
    <w:rsid w:val="006F2835"/>
    <w:rsid w:val="006F2CE1"/>
    <w:rsid w:val="006F2E02"/>
    <w:rsid w:val="006F2FE2"/>
    <w:rsid w:val="006F3008"/>
    <w:rsid w:val="006F34AA"/>
    <w:rsid w:val="006F3561"/>
    <w:rsid w:val="006F3580"/>
    <w:rsid w:val="006F360A"/>
    <w:rsid w:val="006F3AB8"/>
    <w:rsid w:val="006F3B9C"/>
    <w:rsid w:val="006F3C99"/>
    <w:rsid w:val="006F4183"/>
    <w:rsid w:val="006F4219"/>
    <w:rsid w:val="006F485C"/>
    <w:rsid w:val="006F4877"/>
    <w:rsid w:val="006F4B64"/>
    <w:rsid w:val="006F4C31"/>
    <w:rsid w:val="006F4EBD"/>
    <w:rsid w:val="006F5689"/>
    <w:rsid w:val="006F592D"/>
    <w:rsid w:val="006F5B6B"/>
    <w:rsid w:val="006F5BEA"/>
    <w:rsid w:val="006F5CEA"/>
    <w:rsid w:val="006F5F21"/>
    <w:rsid w:val="006F6212"/>
    <w:rsid w:val="006F63DC"/>
    <w:rsid w:val="006F6436"/>
    <w:rsid w:val="006F669C"/>
    <w:rsid w:val="006F695A"/>
    <w:rsid w:val="006F6C5C"/>
    <w:rsid w:val="006F6CB8"/>
    <w:rsid w:val="006F6D14"/>
    <w:rsid w:val="006F6F01"/>
    <w:rsid w:val="006F7072"/>
    <w:rsid w:val="006F70B3"/>
    <w:rsid w:val="006F71B2"/>
    <w:rsid w:val="006F7290"/>
    <w:rsid w:val="006F78E0"/>
    <w:rsid w:val="006F7A60"/>
    <w:rsid w:val="006F7B99"/>
    <w:rsid w:val="006F7F82"/>
    <w:rsid w:val="006F7FCA"/>
    <w:rsid w:val="0070000D"/>
    <w:rsid w:val="00700243"/>
    <w:rsid w:val="00700315"/>
    <w:rsid w:val="007005EB"/>
    <w:rsid w:val="00700F00"/>
    <w:rsid w:val="00701082"/>
    <w:rsid w:val="0070181F"/>
    <w:rsid w:val="0070190F"/>
    <w:rsid w:val="00701947"/>
    <w:rsid w:val="0070194D"/>
    <w:rsid w:val="00701957"/>
    <w:rsid w:val="00701BF7"/>
    <w:rsid w:val="00701CEF"/>
    <w:rsid w:val="00701F23"/>
    <w:rsid w:val="007021F4"/>
    <w:rsid w:val="00702221"/>
    <w:rsid w:val="00702537"/>
    <w:rsid w:val="00702756"/>
    <w:rsid w:val="007029EC"/>
    <w:rsid w:val="00702B6D"/>
    <w:rsid w:val="00702CC8"/>
    <w:rsid w:val="00702EAB"/>
    <w:rsid w:val="00702FF8"/>
    <w:rsid w:val="007030A2"/>
    <w:rsid w:val="00703107"/>
    <w:rsid w:val="00703B91"/>
    <w:rsid w:val="00703D32"/>
    <w:rsid w:val="00703EB0"/>
    <w:rsid w:val="00703F84"/>
    <w:rsid w:val="00703FFD"/>
    <w:rsid w:val="00704771"/>
    <w:rsid w:val="00704784"/>
    <w:rsid w:val="00704871"/>
    <w:rsid w:val="00704931"/>
    <w:rsid w:val="00704932"/>
    <w:rsid w:val="00704ADC"/>
    <w:rsid w:val="00704F2E"/>
    <w:rsid w:val="0070513A"/>
    <w:rsid w:val="007051AD"/>
    <w:rsid w:val="007052F9"/>
    <w:rsid w:val="00705369"/>
    <w:rsid w:val="0070540A"/>
    <w:rsid w:val="007056E6"/>
    <w:rsid w:val="00705A12"/>
    <w:rsid w:val="00705AF3"/>
    <w:rsid w:val="00705C34"/>
    <w:rsid w:val="00705E78"/>
    <w:rsid w:val="007062B6"/>
    <w:rsid w:val="00706556"/>
    <w:rsid w:val="0070662F"/>
    <w:rsid w:val="007067D1"/>
    <w:rsid w:val="00706908"/>
    <w:rsid w:val="00706980"/>
    <w:rsid w:val="007069EA"/>
    <w:rsid w:val="00706B1D"/>
    <w:rsid w:val="00706C67"/>
    <w:rsid w:val="00706D5D"/>
    <w:rsid w:val="00706FAE"/>
    <w:rsid w:val="00706FFF"/>
    <w:rsid w:val="00707024"/>
    <w:rsid w:val="00707052"/>
    <w:rsid w:val="007073F1"/>
    <w:rsid w:val="007073FA"/>
    <w:rsid w:val="0070790D"/>
    <w:rsid w:val="00707B93"/>
    <w:rsid w:val="00707CD0"/>
    <w:rsid w:val="00707D91"/>
    <w:rsid w:val="00707D96"/>
    <w:rsid w:val="00707FE8"/>
    <w:rsid w:val="007100FE"/>
    <w:rsid w:val="007103A8"/>
    <w:rsid w:val="00710518"/>
    <w:rsid w:val="00710777"/>
    <w:rsid w:val="00710891"/>
    <w:rsid w:val="007108C5"/>
    <w:rsid w:val="00710957"/>
    <w:rsid w:val="00710A72"/>
    <w:rsid w:val="00710D01"/>
    <w:rsid w:val="00710D79"/>
    <w:rsid w:val="00710F3D"/>
    <w:rsid w:val="0071132A"/>
    <w:rsid w:val="007117CF"/>
    <w:rsid w:val="00711877"/>
    <w:rsid w:val="00711BF1"/>
    <w:rsid w:val="00711C3A"/>
    <w:rsid w:val="00711C3D"/>
    <w:rsid w:val="00711CB9"/>
    <w:rsid w:val="00711EA4"/>
    <w:rsid w:val="0071213E"/>
    <w:rsid w:val="007123EC"/>
    <w:rsid w:val="00712422"/>
    <w:rsid w:val="00712480"/>
    <w:rsid w:val="00712603"/>
    <w:rsid w:val="00712773"/>
    <w:rsid w:val="00712AC8"/>
    <w:rsid w:val="00712E27"/>
    <w:rsid w:val="00712FB4"/>
    <w:rsid w:val="0071308C"/>
    <w:rsid w:val="007133DC"/>
    <w:rsid w:val="00713474"/>
    <w:rsid w:val="007137BF"/>
    <w:rsid w:val="00713C7D"/>
    <w:rsid w:val="00713CE2"/>
    <w:rsid w:val="00713D68"/>
    <w:rsid w:val="00713DB6"/>
    <w:rsid w:val="00713F54"/>
    <w:rsid w:val="00714449"/>
    <w:rsid w:val="007144B7"/>
    <w:rsid w:val="0071456E"/>
    <w:rsid w:val="007149CB"/>
    <w:rsid w:val="00714A56"/>
    <w:rsid w:val="00714CA4"/>
    <w:rsid w:val="00714D08"/>
    <w:rsid w:val="00715101"/>
    <w:rsid w:val="0071517E"/>
    <w:rsid w:val="0071536B"/>
    <w:rsid w:val="0071546A"/>
    <w:rsid w:val="007157C6"/>
    <w:rsid w:val="007157F1"/>
    <w:rsid w:val="007158EC"/>
    <w:rsid w:val="007159B6"/>
    <w:rsid w:val="00715E31"/>
    <w:rsid w:val="0071604B"/>
    <w:rsid w:val="007160E8"/>
    <w:rsid w:val="007165FB"/>
    <w:rsid w:val="0071692A"/>
    <w:rsid w:val="00716BE7"/>
    <w:rsid w:val="00716C5A"/>
    <w:rsid w:val="00717411"/>
    <w:rsid w:val="0071770F"/>
    <w:rsid w:val="00717D63"/>
    <w:rsid w:val="00717F37"/>
    <w:rsid w:val="0072012E"/>
    <w:rsid w:val="00720439"/>
    <w:rsid w:val="00720636"/>
    <w:rsid w:val="007206CB"/>
    <w:rsid w:val="007207F7"/>
    <w:rsid w:val="007208B3"/>
    <w:rsid w:val="007209A9"/>
    <w:rsid w:val="00720A21"/>
    <w:rsid w:val="00720B3E"/>
    <w:rsid w:val="00720E2A"/>
    <w:rsid w:val="00721118"/>
    <w:rsid w:val="00721134"/>
    <w:rsid w:val="007213B8"/>
    <w:rsid w:val="00721691"/>
    <w:rsid w:val="00721763"/>
    <w:rsid w:val="007219D9"/>
    <w:rsid w:val="00721C4E"/>
    <w:rsid w:val="00721D37"/>
    <w:rsid w:val="00721F9F"/>
    <w:rsid w:val="00721FE8"/>
    <w:rsid w:val="00722080"/>
    <w:rsid w:val="007223E0"/>
    <w:rsid w:val="00722869"/>
    <w:rsid w:val="00722A07"/>
    <w:rsid w:val="00722BAE"/>
    <w:rsid w:val="00722BDD"/>
    <w:rsid w:val="00722F38"/>
    <w:rsid w:val="007233E4"/>
    <w:rsid w:val="0072380C"/>
    <w:rsid w:val="00723BED"/>
    <w:rsid w:val="00723DC5"/>
    <w:rsid w:val="00723E39"/>
    <w:rsid w:val="00723E63"/>
    <w:rsid w:val="00724217"/>
    <w:rsid w:val="00724424"/>
    <w:rsid w:val="00724A2B"/>
    <w:rsid w:val="00724C12"/>
    <w:rsid w:val="00724FAB"/>
    <w:rsid w:val="007251B0"/>
    <w:rsid w:val="0072524C"/>
    <w:rsid w:val="007253F2"/>
    <w:rsid w:val="007257FD"/>
    <w:rsid w:val="00725986"/>
    <w:rsid w:val="00725DFE"/>
    <w:rsid w:val="00725E8F"/>
    <w:rsid w:val="00726162"/>
    <w:rsid w:val="007262BD"/>
    <w:rsid w:val="00726709"/>
    <w:rsid w:val="00726752"/>
    <w:rsid w:val="00726855"/>
    <w:rsid w:val="00727323"/>
    <w:rsid w:val="00727625"/>
    <w:rsid w:val="00727B3F"/>
    <w:rsid w:val="00727B6F"/>
    <w:rsid w:val="00727FB6"/>
    <w:rsid w:val="007301C2"/>
    <w:rsid w:val="00730203"/>
    <w:rsid w:val="00730583"/>
    <w:rsid w:val="0073073B"/>
    <w:rsid w:val="00730A1B"/>
    <w:rsid w:val="00731049"/>
    <w:rsid w:val="00731075"/>
    <w:rsid w:val="007313D9"/>
    <w:rsid w:val="007313F2"/>
    <w:rsid w:val="007314E6"/>
    <w:rsid w:val="00731AFD"/>
    <w:rsid w:val="00731FAA"/>
    <w:rsid w:val="00732205"/>
    <w:rsid w:val="0073225C"/>
    <w:rsid w:val="0073230D"/>
    <w:rsid w:val="00732774"/>
    <w:rsid w:val="007328D8"/>
    <w:rsid w:val="00732E64"/>
    <w:rsid w:val="00732E7A"/>
    <w:rsid w:val="00732F4C"/>
    <w:rsid w:val="0073311F"/>
    <w:rsid w:val="0073314B"/>
    <w:rsid w:val="007331E6"/>
    <w:rsid w:val="00733584"/>
    <w:rsid w:val="00733620"/>
    <w:rsid w:val="0073366D"/>
    <w:rsid w:val="00733706"/>
    <w:rsid w:val="007337C4"/>
    <w:rsid w:val="0073390C"/>
    <w:rsid w:val="00733A03"/>
    <w:rsid w:val="007340A7"/>
    <w:rsid w:val="007344E5"/>
    <w:rsid w:val="00734540"/>
    <w:rsid w:val="00734684"/>
    <w:rsid w:val="007347B2"/>
    <w:rsid w:val="0073497C"/>
    <w:rsid w:val="007349A7"/>
    <w:rsid w:val="00734A21"/>
    <w:rsid w:val="00734C02"/>
    <w:rsid w:val="00735068"/>
    <w:rsid w:val="007356EC"/>
    <w:rsid w:val="00735B13"/>
    <w:rsid w:val="00735D58"/>
    <w:rsid w:val="00735E4E"/>
    <w:rsid w:val="00735ED0"/>
    <w:rsid w:val="00735F2E"/>
    <w:rsid w:val="0073609D"/>
    <w:rsid w:val="007363A4"/>
    <w:rsid w:val="0073643C"/>
    <w:rsid w:val="00736466"/>
    <w:rsid w:val="007365B8"/>
    <w:rsid w:val="00736676"/>
    <w:rsid w:val="00736779"/>
    <w:rsid w:val="0073698F"/>
    <w:rsid w:val="00736A86"/>
    <w:rsid w:val="00736B5B"/>
    <w:rsid w:val="00737149"/>
    <w:rsid w:val="007371D7"/>
    <w:rsid w:val="0073720A"/>
    <w:rsid w:val="007374FA"/>
    <w:rsid w:val="0073758F"/>
    <w:rsid w:val="00737A0A"/>
    <w:rsid w:val="00737B74"/>
    <w:rsid w:val="00737B9D"/>
    <w:rsid w:val="00737C3E"/>
    <w:rsid w:val="00737DA2"/>
    <w:rsid w:val="00737E00"/>
    <w:rsid w:val="007401DC"/>
    <w:rsid w:val="00740451"/>
    <w:rsid w:val="007405A3"/>
    <w:rsid w:val="00740686"/>
    <w:rsid w:val="00740B6E"/>
    <w:rsid w:val="00740C8F"/>
    <w:rsid w:val="00740EE5"/>
    <w:rsid w:val="0074103A"/>
    <w:rsid w:val="00741225"/>
    <w:rsid w:val="00741548"/>
    <w:rsid w:val="00741624"/>
    <w:rsid w:val="007417E0"/>
    <w:rsid w:val="00741809"/>
    <w:rsid w:val="0074188D"/>
    <w:rsid w:val="00741917"/>
    <w:rsid w:val="00741A94"/>
    <w:rsid w:val="00741B65"/>
    <w:rsid w:val="00741E9A"/>
    <w:rsid w:val="00741F9C"/>
    <w:rsid w:val="007423AC"/>
    <w:rsid w:val="007424A5"/>
    <w:rsid w:val="00742744"/>
    <w:rsid w:val="00742A2E"/>
    <w:rsid w:val="00742E0C"/>
    <w:rsid w:val="00742EB8"/>
    <w:rsid w:val="00743077"/>
    <w:rsid w:val="00743177"/>
    <w:rsid w:val="0074362B"/>
    <w:rsid w:val="00743634"/>
    <w:rsid w:val="007436F1"/>
    <w:rsid w:val="007438F8"/>
    <w:rsid w:val="00743BBD"/>
    <w:rsid w:val="00743BC2"/>
    <w:rsid w:val="00743C78"/>
    <w:rsid w:val="00743F17"/>
    <w:rsid w:val="007440D3"/>
    <w:rsid w:val="007445AC"/>
    <w:rsid w:val="0074460C"/>
    <w:rsid w:val="007446B8"/>
    <w:rsid w:val="007449D4"/>
    <w:rsid w:val="007452F1"/>
    <w:rsid w:val="0074534D"/>
    <w:rsid w:val="007454A3"/>
    <w:rsid w:val="0074586A"/>
    <w:rsid w:val="007458DC"/>
    <w:rsid w:val="00745919"/>
    <w:rsid w:val="00745A61"/>
    <w:rsid w:val="00745C77"/>
    <w:rsid w:val="00745D30"/>
    <w:rsid w:val="00746159"/>
    <w:rsid w:val="00746309"/>
    <w:rsid w:val="0074634F"/>
    <w:rsid w:val="00746638"/>
    <w:rsid w:val="0074673F"/>
    <w:rsid w:val="00746965"/>
    <w:rsid w:val="00746AC1"/>
    <w:rsid w:val="00746B35"/>
    <w:rsid w:val="00746BA4"/>
    <w:rsid w:val="00746E4B"/>
    <w:rsid w:val="00746EF1"/>
    <w:rsid w:val="00746EFE"/>
    <w:rsid w:val="00747158"/>
    <w:rsid w:val="007475C9"/>
    <w:rsid w:val="00747653"/>
    <w:rsid w:val="0074767C"/>
    <w:rsid w:val="00747E33"/>
    <w:rsid w:val="00750045"/>
    <w:rsid w:val="00750218"/>
    <w:rsid w:val="00750257"/>
    <w:rsid w:val="0075058F"/>
    <w:rsid w:val="0075089D"/>
    <w:rsid w:val="00750C6B"/>
    <w:rsid w:val="00750CFE"/>
    <w:rsid w:val="00750D7F"/>
    <w:rsid w:val="00750D8B"/>
    <w:rsid w:val="00750E16"/>
    <w:rsid w:val="00750F28"/>
    <w:rsid w:val="00751141"/>
    <w:rsid w:val="007514CE"/>
    <w:rsid w:val="007514FB"/>
    <w:rsid w:val="0075167A"/>
    <w:rsid w:val="00751AC5"/>
    <w:rsid w:val="007529FA"/>
    <w:rsid w:val="0075304E"/>
    <w:rsid w:val="007531A9"/>
    <w:rsid w:val="007533F4"/>
    <w:rsid w:val="0075352F"/>
    <w:rsid w:val="007537A1"/>
    <w:rsid w:val="00753923"/>
    <w:rsid w:val="00753A61"/>
    <w:rsid w:val="00753A64"/>
    <w:rsid w:val="00753DB4"/>
    <w:rsid w:val="00753E2E"/>
    <w:rsid w:val="00753E56"/>
    <w:rsid w:val="00754B97"/>
    <w:rsid w:val="00754BA0"/>
    <w:rsid w:val="00754EB9"/>
    <w:rsid w:val="00754F77"/>
    <w:rsid w:val="00755151"/>
    <w:rsid w:val="007551B6"/>
    <w:rsid w:val="007551C9"/>
    <w:rsid w:val="00755603"/>
    <w:rsid w:val="00755B23"/>
    <w:rsid w:val="00755E7A"/>
    <w:rsid w:val="007561D3"/>
    <w:rsid w:val="00756736"/>
    <w:rsid w:val="00756854"/>
    <w:rsid w:val="007570EC"/>
    <w:rsid w:val="00757210"/>
    <w:rsid w:val="007573FB"/>
    <w:rsid w:val="00757699"/>
    <w:rsid w:val="00757809"/>
    <w:rsid w:val="00757CEA"/>
    <w:rsid w:val="00757DCD"/>
    <w:rsid w:val="00757F80"/>
    <w:rsid w:val="00757FB7"/>
    <w:rsid w:val="00760011"/>
    <w:rsid w:val="0076004D"/>
    <w:rsid w:val="00760066"/>
    <w:rsid w:val="0076012B"/>
    <w:rsid w:val="007603F7"/>
    <w:rsid w:val="00760691"/>
    <w:rsid w:val="007606E2"/>
    <w:rsid w:val="00760B4F"/>
    <w:rsid w:val="00760CE1"/>
    <w:rsid w:val="00760EF5"/>
    <w:rsid w:val="00761475"/>
    <w:rsid w:val="007614B2"/>
    <w:rsid w:val="00761869"/>
    <w:rsid w:val="00761E9A"/>
    <w:rsid w:val="007623BC"/>
    <w:rsid w:val="007629F6"/>
    <w:rsid w:val="00762A71"/>
    <w:rsid w:val="00762C36"/>
    <w:rsid w:val="00762D7A"/>
    <w:rsid w:val="00762EDC"/>
    <w:rsid w:val="00762F59"/>
    <w:rsid w:val="007631DB"/>
    <w:rsid w:val="007633FC"/>
    <w:rsid w:val="00763410"/>
    <w:rsid w:val="00763437"/>
    <w:rsid w:val="00763489"/>
    <w:rsid w:val="007634C7"/>
    <w:rsid w:val="0076355B"/>
    <w:rsid w:val="00763658"/>
    <w:rsid w:val="007637C2"/>
    <w:rsid w:val="007643F0"/>
    <w:rsid w:val="007644A7"/>
    <w:rsid w:val="0076459C"/>
    <w:rsid w:val="0076484F"/>
    <w:rsid w:val="00764950"/>
    <w:rsid w:val="00764ACB"/>
    <w:rsid w:val="00764F69"/>
    <w:rsid w:val="007650C5"/>
    <w:rsid w:val="00765419"/>
    <w:rsid w:val="00765A55"/>
    <w:rsid w:val="00765A8E"/>
    <w:rsid w:val="00765BE7"/>
    <w:rsid w:val="00765C27"/>
    <w:rsid w:val="00765F11"/>
    <w:rsid w:val="00766341"/>
    <w:rsid w:val="007665B6"/>
    <w:rsid w:val="00766CA8"/>
    <w:rsid w:val="00766D8A"/>
    <w:rsid w:val="00766E6D"/>
    <w:rsid w:val="0076711B"/>
    <w:rsid w:val="007671DC"/>
    <w:rsid w:val="0076778B"/>
    <w:rsid w:val="00767C49"/>
    <w:rsid w:val="00767FDC"/>
    <w:rsid w:val="00767FDF"/>
    <w:rsid w:val="007701F8"/>
    <w:rsid w:val="0077036F"/>
    <w:rsid w:val="0077075C"/>
    <w:rsid w:val="00770EC2"/>
    <w:rsid w:val="00771057"/>
    <w:rsid w:val="0077119E"/>
    <w:rsid w:val="007713EB"/>
    <w:rsid w:val="007714D3"/>
    <w:rsid w:val="00771AB5"/>
    <w:rsid w:val="00771BDE"/>
    <w:rsid w:val="00771CC8"/>
    <w:rsid w:val="00771D44"/>
    <w:rsid w:val="007720F9"/>
    <w:rsid w:val="0077216E"/>
    <w:rsid w:val="007727A5"/>
    <w:rsid w:val="00772A52"/>
    <w:rsid w:val="00772C47"/>
    <w:rsid w:val="00772C8E"/>
    <w:rsid w:val="007733E7"/>
    <w:rsid w:val="0077364F"/>
    <w:rsid w:val="00773A34"/>
    <w:rsid w:val="00773B22"/>
    <w:rsid w:val="00773C43"/>
    <w:rsid w:val="00774041"/>
    <w:rsid w:val="007747AB"/>
    <w:rsid w:val="0077482E"/>
    <w:rsid w:val="00774C87"/>
    <w:rsid w:val="00774CB3"/>
    <w:rsid w:val="00774EF3"/>
    <w:rsid w:val="00774F1D"/>
    <w:rsid w:val="007751AE"/>
    <w:rsid w:val="00775383"/>
    <w:rsid w:val="007754CD"/>
    <w:rsid w:val="00775770"/>
    <w:rsid w:val="00775AD3"/>
    <w:rsid w:val="00775AD5"/>
    <w:rsid w:val="00775B72"/>
    <w:rsid w:val="00775BDA"/>
    <w:rsid w:val="00775D4D"/>
    <w:rsid w:val="00775E2E"/>
    <w:rsid w:val="00776CC2"/>
    <w:rsid w:val="00776DA4"/>
    <w:rsid w:val="00776E98"/>
    <w:rsid w:val="00776EE3"/>
    <w:rsid w:val="00777004"/>
    <w:rsid w:val="007772A4"/>
    <w:rsid w:val="007775DA"/>
    <w:rsid w:val="0077771D"/>
    <w:rsid w:val="007778E1"/>
    <w:rsid w:val="00777E13"/>
    <w:rsid w:val="00777EEE"/>
    <w:rsid w:val="00777FEB"/>
    <w:rsid w:val="007800BF"/>
    <w:rsid w:val="00780515"/>
    <w:rsid w:val="007805CE"/>
    <w:rsid w:val="0078088C"/>
    <w:rsid w:val="00780B51"/>
    <w:rsid w:val="007811E9"/>
    <w:rsid w:val="00781440"/>
    <w:rsid w:val="00781477"/>
    <w:rsid w:val="007816E9"/>
    <w:rsid w:val="00781884"/>
    <w:rsid w:val="0078188E"/>
    <w:rsid w:val="00781D57"/>
    <w:rsid w:val="00781F75"/>
    <w:rsid w:val="00781FA7"/>
    <w:rsid w:val="0078204B"/>
    <w:rsid w:val="00782128"/>
    <w:rsid w:val="00782516"/>
    <w:rsid w:val="007827F0"/>
    <w:rsid w:val="007828BF"/>
    <w:rsid w:val="007828D6"/>
    <w:rsid w:val="0078292B"/>
    <w:rsid w:val="00782AC5"/>
    <w:rsid w:val="00782D76"/>
    <w:rsid w:val="00782F1C"/>
    <w:rsid w:val="00783229"/>
    <w:rsid w:val="00783271"/>
    <w:rsid w:val="00783702"/>
    <w:rsid w:val="007837C1"/>
    <w:rsid w:val="00783D2C"/>
    <w:rsid w:val="00783F51"/>
    <w:rsid w:val="00783F93"/>
    <w:rsid w:val="0078412D"/>
    <w:rsid w:val="00784144"/>
    <w:rsid w:val="00784162"/>
    <w:rsid w:val="0078433E"/>
    <w:rsid w:val="00784437"/>
    <w:rsid w:val="00784548"/>
    <w:rsid w:val="0078456A"/>
    <w:rsid w:val="00784666"/>
    <w:rsid w:val="007848B8"/>
    <w:rsid w:val="007848C5"/>
    <w:rsid w:val="00784A4D"/>
    <w:rsid w:val="00785574"/>
    <w:rsid w:val="0078561B"/>
    <w:rsid w:val="007856A8"/>
    <w:rsid w:val="007857D1"/>
    <w:rsid w:val="00785A26"/>
    <w:rsid w:val="00785B2B"/>
    <w:rsid w:val="00785C9B"/>
    <w:rsid w:val="00785D01"/>
    <w:rsid w:val="00786002"/>
    <w:rsid w:val="0078607A"/>
    <w:rsid w:val="007866FE"/>
    <w:rsid w:val="0078697C"/>
    <w:rsid w:val="00786A40"/>
    <w:rsid w:val="00786AA8"/>
    <w:rsid w:val="00786B10"/>
    <w:rsid w:val="00787A89"/>
    <w:rsid w:val="00787B9C"/>
    <w:rsid w:val="00787E0B"/>
    <w:rsid w:val="00787F68"/>
    <w:rsid w:val="00787F6E"/>
    <w:rsid w:val="0079058C"/>
    <w:rsid w:val="007906C7"/>
    <w:rsid w:val="0079074F"/>
    <w:rsid w:val="007908E5"/>
    <w:rsid w:val="00790914"/>
    <w:rsid w:val="00790AEF"/>
    <w:rsid w:val="00790AF3"/>
    <w:rsid w:val="00790B5F"/>
    <w:rsid w:val="00790D3C"/>
    <w:rsid w:val="00790EF5"/>
    <w:rsid w:val="00791203"/>
    <w:rsid w:val="007913F7"/>
    <w:rsid w:val="0079147D"/>
    <w:rsid w:val="007914BB"/>
    <w:rsid w:val="007917C4"/>
    <w:rsid w:val="00791845"/>
    <w:rsid w:val="00791988"/>
    <w:rsid w:val="007919BC"/>
    <w:rsid w:val="00791A5E"/>
    <w:rsid w:val="00791C51"/>
    <w:rsid w:val="00791E9C"/>
    <w:rsid w:val="00791F3C"/>
    <w:rsid w:val="007923AA"/>
    <w:rsid w:val="007923AC"/>
    <w:rsid w:val="00792455"/>
    <w:rsid w:val="0079266C"/>
    <w:rsid w:val="007926E5"/>
    <w:rsid w:val="00792B80"/>
    <w:rsid w:val="00792BED"/>
    <w:rsid w:val="00792E3D"/>
    <w:rsid w:val="00792EAB"/>
    <w:rsid w:val="0079357F"/>
    <w:rsid w:val="00793BEE"/>
    <w:rsid w:val="007940A3"/>
    <w:rsid w:val="007942B7"/>
    <w:rsid w:val="007945F4"/>
    <w:rsid w:val="007947A0"/>
    <w:rsid w:val="007948C7"/>
    <w:rsid w:val="00794A91"/>
    <w:rsid w:val="00794B04"/>
    <w:rsid w:val="00794BF9"/>
    <w:rsid w:val="00795080"/>
    <w:rsid w:val="00795144"/>
    <w:rsid w:val="0079548B"/>
    <w:rsid w:val="007955EC"/>
    <w:rsid w:val="00795C11"/>
    <w:rsid w:val="00795F4C"/>
    <w:rsid w:val="007967B5"/>
    <w:rsid w:val="00797424"/>
    <w:rsid w:val="007974CB"/>
    <w:rsid w:val="00797584"/>
    <w:rsid w:val="007977AC"/>
    <w:rsid w:val="007977D7"/>
    <w:rsid w:val="0079784A"/>
    <w:rsid w:val="007978D0"/>
    <w:rsid w:val="00797E9E"/>
    <w:rsid w:val="00797F49"/>
    <w:rsid w:val="0079B67B"/>
    <w:rsid w:val="007A04E0"/>
    <w:rsid w:val="007A0894"/>
    <w:rsid w:val="007A0A40"/>
    <w:rsid w:val="007A0AC1"/>
    <w:rsid w:val="007A0B41"/>
    <w:rsid w:val="007A0BC1"/>
    <w:rsid w:val="007A0FFA"/>
    <w:rsid w:val="007A10BB"/>
    <w:rsid w:val="007A1162"/>
    <w:rsid w:val="007A12CF"/>
    <w:rsid w:val="007A14E4"/>
    <w:rsid w:val="007A1868"/>
    <w:rsid w:val="007A1CCE"/>
    <w:rsid w:val="007A1CD4"/>
    <w:rsid w:val="007A1D37"/>
    <w:rsid w:val="007A1E15"/>
    <w:rsid w:val="007A21E0"/>
    <w:rsid w:val="007A2245"/>
    <w:rsid w:val="007A27CF"/>
    <w:rsid w:val="007A2846"/>
    <w:rsid w:val="007A291F"/>
    <w:rsid w:val="007A2DD3"/>
    <w:rsid w:val="007A3129"/>
    <w:rsid w:val="007A32F5"/>
    <w:rsid w:val="007A3578"/>
    <w:rsid w:val="007A35DC"/>
    <w:rsid w:val="007A3682"/>
    <w:rsid w:val="007A37CA"/>
    <w:rsid w:val="007A395E"/>
    <w:rsid w:val="007A3A47"/>
    <w:rsid w:val="007A3D01"/>
    <w:rsid w:val="007A3D7A"/>
    <w:rsid w:val="007A3FD2"/>
    <w:rsid w:val="007A40DB"/>
    <w:rsid w:val="007A422C"/>
    <w:rsid w:val="007A43C0"/>
    <w:rsid w:val="007A44E3"/>
    <w:rsid w:val="007A467B"/>
    <w:rsid w:val="007A47DD"/>
    <w:rsid w:val="007A493D"/>
    <w:rsid w:val="007A49FA"/>
    <w:rsid w:val="007A4AC2"/>
    <w:rsid w:val="007A4B17"/>
    <w:rsid w:val="007A4B78"/>
    <w:rsid w:val="007A4D56"/>
    <w:rsid w:val="007A4F4B"/>
    <w:rsid w:val="007A4F6A"/>
    <w:rsid w:val="007A4FF9"/>
    <w:rsid w:val="007A545D"/>
    <w:rsid w:val="007A5876"/>
    <w:rsid w:val="007A59A3"/>
    <w:rsid w:val="007A59DC"/>
    <w:rsid w:val="007A5B15"/>
    <w:rsid w:val="007A5D3A"/>
    <w:rsid w:val="007A5D47"/>
    <w:rsid w:val="007A5FF0"/>
    <w:rsid w:val="007A605E"/>
    <w:rsid w:val="007A62DD"/>
    <w:rsid w:val="007A637D"/>
    <w:rsid w:val="007A65DA"/>
    <w:rsid w:val="007A68D8"/>
    <w:rsid w:val="007A6E85"/>
    <w:rsid w:val="007A70B9"/>
    <w:rsid w:val="007A7141"/>
    <w:rsid w:val="007A7572"/>
    <w:rsid w:val="007A7675"/>
    <w:rsid w:val="007A7938"/>
    <w:rsid w:val="007A7D0F"/>
    <w:rsid w:val="007A7E32"/>
    <w:rsid w:val="007A7E97"/>
    <w:rsid w:val="007A7F62"/>
    <w:rsid w:val="007A7FA3"/>
    <w:rsid w:val="007B0534"/>
    <w:rsid w:val="007B06B3"/>
    <w:rsid w:val="007B0C19"/>
    <w:rsid w:val="007B0DAA"/>
    <w:rsid w:val="007B0F54"/>
    <w:rsid w:val="007B0F55"/>
    <w:rsid w:val="007B0F8B"/>
    <w:rsid w:val="007B10BA"/>
    <w:rsid w:val="007B1185"/>
    <w:rsid w:val="007B15FB"/>
    <w:rsid w:val="007B1860"/>
    <w:rsid w:val="007B19D3"/>
    <w:rsid w:val="007B1D84"/>
    <w:rsid w:val="007B1F59"/>
    <w:rsid w:val="007B24C1"/>
    <w:rsid w:val="007B24CC"/>
    <w:rsid w:val="007B27ED"/>
    <w:rsid w:val="007B2974"/>
    <w:rsid w:val="007B29FD"/>
    <w:rsid w:val="007B2CF9"/>
    <w:rsid w:val="007B2EF4"/>
    <w:rsid w:val="007B319C"/>
    <w:rsid w:val="007B31CA"/>
    <w:rsid w:val="007B32E9"/>
    <w:rsid w:val="007B33D5"/>
    <w:rsid w:val="007B350B"/>
    <w:rsid w:val="007B3712"/>
    <w:rsid w:val="007B38AE"/>
    <w:rsid w:val="007B38F5"/>
    <w:rsid w:val="007B3F17"/>
    <w:rsid w:val="007B3FDD"/>
    <w:rsid w:val="007B3FF5"/>
    <w:rsid w:val="007B4824"/>
    <w:rsid w:val="007B48F3"/>
    <w:rsid w:val="007B4986"/>
    <w:rsid w:val="007B4D6F"/>
    <w:rsid w:val="007B4E68"/>
    <w:rsid w:val="007B5040"/>
    <w:rsid w:val="007B5375"/>
    <w:rsid w:val="007B5469"/>
    <w:rsid w:val="007B55EF"/>
    <w:rsid w:val="007B55F9"/>
    <w:rsid w:val="007B5908"/>
    <w:rsid w:val="007B5945"/>
    <w:rsid w:val="007B6093"/>
    <w:rsid w:val="007B6322"/>
    <w:rsid w:val="007B6986"/>
    <w:rsid w:val="007B6C1A"/>
    <w:rsid w:val="007B6CBE"/>
    <w:rsid w:val="007B6FE7"/>
    <w:rsid w:val="007B71CA"/>
    <w:rsid w:val="007B7277"/>
    <w:rsid w:val="007B7505"/>
    <w:rsid w:val="007B7633"/>
    <w:rsid w:val="007B771E"/>
    <w:rsid w:val="007B772F"/>
    <w:rsid w:val="007B7A2B"/>
    <w:rsid w:val="007B7F07"/>
    <w:rsid w:val="007B7FDB"/>
    <w:rsid w:val="007C0039"/>
    <w:rsid w:val="007C0511"/>
    <w:rsid w:val="007C053E"/>
    <w:rsid w:val="007C07B0"/>
    <w:rsid w:val="007C08D3"/>
    <w:rsid w:val="007C0A56"/>
    <w:rsid w:val="007C0BF8"/>
    <w:rsid w:val="007C0D4E"/>
    <w:rsid w:val="007C0E79"/>
    <w:rsid w:val="007C1092"/>
    <w:rsid w:val="007C14F0"/>
    <w:rsid w:val="007C17EB"/>
    <w:rsid w:val="007C197A"/>
    <w:rsid w:val="007C19C3"/>
    <w:rsid w:val="007C1A51"/>
    <w:rsid w:val="007C1D89"/>
    <w:rsid w:val="007C1DAE"/>
    <w:rsid w:val="007C23D2"/>
    <w:rsid w:val="007C2583"/>
    <w:rsid w:val="007C2A6D"/>
    <w:rsid w:val="007C2A96"/>
    <w:rsid w:val="007C2AA2"/>
    <w:rsid w:val="007C2BE1"/>
    <w:rsid w:val="007C2C90"/>
    <w:rsid w:val="007C314D"/>
    <w:rsid w:val="007C31C7"/>
    <w:rsid w:val="007C31FE"/>
    <w:rsid w:val="007C340A"/>
    <w:rsid w:val="007C354A"/>
    <w:rsid w:val="007C35A7"/>
    <w:rsid w:val="007C36E4"/>
    <w:rsid w:val="007C386D"/>
    <w:rsid w:val="007C38F4"/>
    <w:rsid w:val="007C39C1"/>
    <w:rsid w:val="007C3C37"/>
    <w:rsid w:val="007C3DE7"/>
    <w:rsid w:val="007C41D0"/>
    <w:rsid w:val="007C4237"/>
    <w:rsid w:val="007C436B"/>
    <w:rsid w:val="007C43B9"/>
    <w:rsid w:val="007C44FA"/>
    <w:rsid w:val="007C4649"/>
    <w:rsid w:val="007C4960"/>
    <w:rsid w:val="007C4A12"/>
    <w:rsid w:val="007C4CF5"/>
    <w:rsid w:val="007C4DCA"/>
    <w:rsid w:val="007C4E9F"/>
    <w:rsid w:val="007C507C"/>
    <w:rsid w:val="007C50D0"/>
    <w:rsid w:val="007C5290"/>
    <w:rsid w:val="007C53D3"/>
    <w:rsid w:val="007C59EE"/>
    <w:rsid w:val="007C5AF0"/>
    <w:rsid w:val="007C5C4E"/>
    <w:rsid w:val="007C5D04"/>
    <w:rsid w:val="007C5E6D"/>
    <w:rsid w:val="007C5EB6"/>
    <w:rsid w:val="007C605D"/>
    <w:rsid w:val="007C60AB"/>
    <w:rsid w:val="007C60EC"/>
    <w:rsid w:val="007C6487"/>
    <w:rsid w:val="007C6621"/>
    <w:rsid w:val="007C6AB9"/>
    <w:rsid w:val="007C6C49"/>
    <w:rsid w:val="007C6D61"/>
    <w:rsid w:val="007C6E72"/>
    <w:rsid w:val="007C7F04"/>
    <w:rsid w:val="007D00B4"/>
    <w:rsid w:val="007D00EE"/>
    <w:rsid w:val="007D02BD"/>
    <w:rsid w:val="007D0824"/>
    <w:rsid w:val="007D0938"/>
    <w:rsid w:val="007D0DC7"/>
    <w:rsid w:val="007D0F01"/>
    <w:rsid w:val="007D12F3"/>
    <w:rsid w:val="007D1332"/>
    <w:rsid w:val="007D1561"/>
    <w:rsid w:val="007D15DC"/>
    <w:rsid w:val="007D1606"/>
    <w:rsid w:val="007D1825"/>
    <w:rsid w:val="007D1995"/>
    <w:rsid w:val="007D1F0A"/>
    <w:rsid w:val="007D2358"/>
    <w:rsid w:val="007D23CF"/>
    <w:rsid w:val="007D245E"/>
    <w:rsid w:val="007D27C0"/>
    <w:rsid w:val="007D2C5D"/>
    <w:rsid w:val="007D2C98"/>
    <w:rsid w:val="007D2E95"/>
    <w:rsid w:val="007D2F3E"/>
    <w:rsid w:val="007D3571"/>
    <w:rsid w:val="007D35DD"/>
    <w:rsid w:val="007D3897"/>
    <w:rsid w:val="007D39B3"/>
    <w:rsid w:val="007D4092"/>
    <w:rsid w:val="007D4316"/>
    <w:rsid w:val="007D4687"/>
    <w:rsid w:val="007D4A10"/>
    <w:rsid w:val="007D4B19"/>
    <w:rsid w:val="007D5046"/>
    <w:rsid w:val="007D55A7"/>
    <w:rsid w:val="007D565D"/>
    <w:rsid w:val="007D5A0F"/>
    <w:rsid w:val="007D5AA8"/>
    <w:rsid w:val="007D5BDB"/>
    <w:rsid w:val="007D5D31"/>
    <w:rsid w:val="007D5DEA"/>
    <w:rsid w:val="007D5E4B"/>
    <w:rsid w:val="007D642B"/>
    <w:rsid w:val="007D64B9"/>
    <w:rsid w:val="007D67A6"/>
    <w:rsid w:val="007D6986"/>
    <w:rsid w:val="007D6ABC"/>
    <w:rsid w:val="007D6ADF"/>
    <w:rsid w:val="007D6AE9"/>
    <w:rsid w:val="007D6E95"/>
    <w:rsid w:val="007D71EF"/>
    <w:rsid w:val="007D740E"/>
    <w:rsid w:val="007D754A"/>
    <w:rsid w:val="007D767B"/>
    <w:rsid w:val="007D7847"/>
    <w:rsid w:val="007D7908"/>
    <w:rsid w:val="007D7B59"/>
    <w:rsid w:val="007D7BC0"/>
    <w:rsid w:val="007D7E03"/>
    <w:rsid w:val="007D7E31"/>
    <w:rsid w:val="007D7E6E"/>
    <w:rsid w:val="007E014C"/>
    <w:rsid w:val="007E0177"/>
    <w:rsid w:val="007E05F8"/>
    <w:rsid w:val="007E0BE0"/>
    <w:rsid w:val="007E0D96"/>
    <w:rsid w:val="007E0EE6"/>
    <w:rsid w:val="007E1453"/>
    <w:rsid w:val="007E1645"/>
    <w:rsid w:val="007E168B"/>
    <w:rsid w:val="007E1AE0"/>
    <w:rsid w:val="007E1CDE"/>
    <w:rsid w:val="007E21AF"/>
    <w:rsid w:val="007E2A95"/>
    <w:rsid w:val="007E2B17"/>
    <w:rsid w:val="007E2CFC"/>
    <w:rsid w:val="007E2EC6"/>
    <w:rsid w:val="007E2FA9"/>
    <w:rsid w:val="007E2FD7"/>
    <w:rsid w:val="007E35AA"/>
    <w:rsid w:val="007E37EB"/>
    <w:rsid w:val="007E3A09"/>
    <w:rsid w:val="007E3A48"/>
    <w:rsid w:val="007E3A5A"/>
    <w:rsid w:val="007E3A9D"/>
    <w:rsid w:val="007E3D3E"/>
    <w:rsid w:val="007E3E57"/>
    <w:rsid w:val="007E3FD8"/>
    <w:rsid w:val="007E4023"/>
    <w:rsid w:val="007E42DF"/>
    <w:rsid w:val="007E4BD4"/>
    <w:rsid w:val="007E4E34"/>
    <w:rsid w:val="007E4F3D"/>
    <w:rsid w:val="007E4FE6"/>
    <w:rsid w:val="007E5200"/>
    <w:rsid w:val="007E5371"/>
    <w:rsid w:val="007E54FD"/>
    <w:rsid w:val="007E5535"/>
    <w:rsid w:val="007E57A4"/>
    <w:rsid w:val="007E59B0"/>
    <w:rsid w:val="007E618C"/>
    <w:rsid w:val="007E63C1"/>
    <w:rsid w:val="007E6B08"/>
    <w:rsid w:val="007E6C6A"/>
    <w:rsid w:val="007E6D86"/>
    <w:rsid w:val="007E6EEE"/>
    <w:rsid w:val="007E7165"/>
    <w:rsid w:val="007E772B"/>
    <w:rsid w:val="007E794C"/>
    <w:rsid w:val="007E79C2"/>
    <w:rsid w:val="007E7C03"/>
    <w:rsid w:val="007E7D02"/>
    <w:rsid w:val="007E7E5D"/>
    <w:rsid w:val="007F02CD"/>
    <w:rsid w:val="007F0344"/>
    <w:rsid w:val="007F066D"/>
    <w:rsid w:val="007F0788"/>
    <w:rsid w:val="007F0969"/>
    <w:rsid w:val="007F0A71"/>
    <w:rsid w:val="007F0A8F"/>
    <w:rsid w:val="007F0BC8"/>
    <w:rsid w:val="007F102C"/>
    <w:rsid w:val="007F1726"/>
    <w:rsid w:val="007F1947"/>
    <w:rsid w:val="007F194B"/>
    <w:rsid w:val="007F199B"/>
    <w:rsid w:val="007F1B82"/>
    <w:rsid w:val="007F1C73"/>
    <w:rsid w:val="007F1CAE"/>
    <w:rsid w:val="007F1DF2"/>
    <w:rsid w:val="007F205D"/>
    <w:rsid w:val="007F2101"/>
    <w:rsid w:val="007F284B"/>
    <w:rsid w:val="007F2CD3"/>
    <w:rsid w:val="007F2D3D"/>
    <w:rsid w:val="007F2D6A"/>
    <w:rsid w:val="007F2E65"/>
    <w:rsid w:val="007F2EE4"/>
    <w:rsid w:val="007F2F84"/>
    <w:rsid w:val="007F30C7"/>
    <w:rsid w:val="007F30DE"/>
    <w:rsid w:val="007F3107"/>
    <w:rsid w:val="007F3146"/>
    <w:rsid w:val="007F31C0"/>
    <w:rsid w:val="007F332B"/>
    <w:rsid w:val="007F3345"/>
    <w:rsid w:val="007F3410"/>
    <w:rsid w:val="007F361F"/>
    <w:rsid w:val="007F3892"/>
    <w:rsid w:val="007F3895"/>
    <w:rsid w:val="007F3A43"/>
    <w:rsid w:val="007F3EDD"/>
    <w:rsid w:val="007F4363"/>
    <w:rsid w:val="007F4437"/>
    <w:rsid w:val="007F4807"/>
    <w:rsid w:val="007F485D"/>
    <w:rsid w:val="007F4AC1"/>
    <w:rsid w:val="007F4B33"/>
    <w:rsid w:val="007F4C0C"/>
    <w:rsid w:val="007F4FE0"/>
    <w:rsid w:val="007F5054"/>
    <w:rsid w:val="007F52BC"/>
    <w:rsid w:val="007F58B7"/>
    <w:rsid w:val="007F5973"/>
    <w:rsid w:val="007F5F9D"/>
    <w:rsid w:val="007F6225"/>
    <w:rsid w:val="007F633F"/>
    <w:rsid w:val="007F7044"/>
    <w:rsid w:val="007F7087"/>
    <w:rsid w:val="007F724C"/>
    <w:rsid w:val="007F754D"/>
    <w:rsid w:val="007F7752"/>
    <w:rsid w:val="007F7904"/>
    <w:rsid w:val="007F793C"/>
    <w:rsid w:val="007F7A2F"/>
    <w:rsid w:val="007F7BA2"/>
    <w:rsid w:val="007F7DE9"/>
    <w:rsid w:val="007F7FD9"/>
    <w:rsid w:val="00800052"/>
    <w:rsid w:val="0080009D"/>
    <w:rsid w:val="008000B4"/>
    <w:rsid w:val="0080018E"/>
    <w:rsid w:val="00800278"/>
    <w:rsid w:val="008005A2"/>
    <w:rsid w:val="0080066E"/>
    <w:rsid w:val="0080090F"/>
    <w:rsid w:val="008009F0"/>
    <w:rsid w:val="00800A2D"/>
    <w:rsid w:val="00800E0E"/>
    <w:rsid w:val="00800F37"/>
    <w:rsid w:val="0080128C"/>
    <w:rsid w:val="008015F2"/>
    <w:rsid w:val="00801787"/>
    <w:rsid w:val="008018D0"/>
    <w:rsid w:val="00801CD5"/>
    <w:rsid w:val="00802352"/>
    <w:rsid w:val="008023CE"/>
    <w:rsid w:val="0080245D"/>
    <w:rsid w:val="00802699"/>
    <w:rsid w:val="008029D5"/>
    <w:rsid w:val="00802F4B"/>
    <w:rsid w:val="00802F65"/>
    <w:rsid w:val="0080310D"/>
    <w:rsid w:val="0080335C"/>
    <w:rsid w:val="0080339A"/>
    <w:rsid w:val="0080349E"/>
    <w:rsid w:val="0080358A"/>
    <w:rsid w:val="00803638"/>
    <w:rsid w:val="00803B41"/>
    <w:rsid w:val="00803BAF"/>
    <w:rsid w:val="00803C18"/>
    <w:rsid w:val="00803C58"/>
    <w:rsid w:val="00803FF1"/>
    <w:rsid w:val="008041FC"/>
    <w:rsid w:val="00804665"/>
    <w:rsid w:val="00804736"/>
    <w:rsid w:val="008047B7"/>
    <w:rsid w:val="00804979"/>
    <w:rsid w:val="00804986"/>
    <w:rsid w:val="00804C6D"/>
    <w:rsid w:val="00804D5A"/>
    <w:rsid w:val="00804EA0"/>
    <w:rsid w:val="00804EE1"/>
    <w:rsid w:val="00804FEE"/>
    <w:rsid w:val="0080511B"/>
    <w:rsid w:val="008051BE"/>
    <w:rsid w:val="00805EA7"/>
    <w:rsid w:val="00805EB0"/>
    <w:rsid w:val="00805ED0"/>
    <w:rsid w:val="00805FBF"/>
    <w:rsid w:val="00806285"/>
    <w:rsid w:val="00806369"/>
    <w:rsid w:val="0080639A"/>
    <w:rsid w:val="00806F54"/>
    <w:rsid w:val="00807151"/>
    <w:rsid w:val="00807434"/>
    <w:rsid w:val="00807751"/>
    <w:rsid w:val="00807BC2"/>
    <w:rsid w:val="00807BDF"/>
    <w:rsid w:val="00807C68"/>
    <w:rsid w:val="00807E08"/>
    <w:rsid w:val="00807ED8"/>
    <w:rsid w:val="00807F55"/>
    <w:rsid w:val="00810116"/>
    <w:rsid w:val="0081022C"/>
    <w:rsid w:val="008104FC"/>
    <w:rsid w:val="0081050D"/>
    <w:rsid w:val="008105FA"/>
    <w:rsid w:val="00810680"/>
    <w:rsid w:val="008109BF"/>
    <w:rsid w:val="008109F2"/>
    <w:rsid w:val="00810C0F"/>
    <w:rsid w:val="0081123D"/>
    <w:rsid w:val="00811359"/>
    <w:rsid w:val="00811425"/>
    <w:rsid w:val="008115F9"/>
    <w:rsid w:val="0081187A"/>
    <w:rsid w:val="00811B3C"/>
    <w:rsid w:val="00811BAB"/>
    <w:rsid w:val="00811BF2"/>
    <w:rsid w:val="00811C46"/>
    <w:rsid w:val="00811C4A"/>
    <w:rsid w:val="00811FE7"/>
    <w:rsid w:val="008121C9"/>
    <w:rsid w:val="0081230E"/>
    <w:rsid w:val="00812463"/>
    <w:rsid w:val="00812532"/>
    <w:rsid w:val="00812824"/>
    <w:rsid w:val="00812D5F"/>
    <w:rsid w:val="00812F05"/>
    <w:rsid w:val="008131A9"/>
    <w:rsid w:val="008131E5"/>
    <w:rsid w:val="0081324B"/>
    <w:rsid w:val="0081334F"/>
    <w:rsid w:val="00813435"/>
    <w:rsid w:val="00813588"/>
    <w:rsid w:val="008136C2"/>
    <w:rsid w:val="00813722"/>
    <w:rsid w:val="00813818"/>
    <w:rsid w:val="00813A75"/>
    <w:rsid w:val="00813A84"/>
    <w:rsid w:val="00813F5F"/>
    <w:rsid w:val="008142CC"/>
    <w:rsid w:val="00814568"/>
    <w:rsid w:val="008149CF"/>
    <w:rsid w:val="00814C7F"/>
    <w:rsid w:val="00814CCD"/>
    <w:rsid w:val="00814D6D"/>
    <w:rsid w:val="008152E9"/>
    <w:rsid w:val="008154B1"/>
    <w:rsid w:val="00815686"/>
    <w:rsid w:val="00815778"/>
    <w:rsid w:val="00815853"/>
    <w:rsid w:val="00815C26"/>
    <w:rsid w:val="008161AE"/>
    <w:rsid w:val="008161CD"/>
    <w:rsid w:val="008162F5"/>
    <w:rsid w:val="008163A9"/>
    <w:rsid w:val="008167F4"/>
    <w:rsid w:val="00816B34"/>
    <w:rsid w:val="00816D90"/>
    <w:rsid w:val="0081721B"/>
    <w:rsid w:val="008172EA"/>
    <w:rsid w:val="00817BAA"/>
    <w:rsid w:val="00817C27"/>
    <w:rsid w:val="00817CA2"/>
    <w:rsid w:val="0082012C"/>
    <w:rsid w:val="00820150"/>
    <w:rsid w:val="00820434"/>
    <w:rsid w:val="00820AAE"/>
    <w:rsid w:val="0082128D"/>
    <w:rsid w:val="008212BF"/>
    <w:rsid w:val="00821550"/>
    <w:rsid w:val="008216A3"/>
    <w:rsid w:val="00821BB5"/>
    <w:rsid w:val="00821CF1"/>
    <w:rsid w:val="008220D7"/>
    <w:rsid w:val="0082248C"/>
    <w:rsid w:val="00822732"/>
    <w:rsid w:val="008229D4"/>
    <w:rsid w:val="00822B30"/>
    <w:rsid w:val="00823059"/>
    <w:rsid w:val="008230A9"/>
    <w:rsid w:val="0082312F"/>
    <w:rsid w:val="00823468"/>
    <w:rsid w:val="008236B7"/>
    <w:rsid w:val="0082375F"/>
    <w:rsid w:val="00823B81"/>
    <w:rsid w:val="00823BCE"/>
    <w:rsid w:val="00823D39"/>
    <w:rsid w:val="00824184"/>
    <w:rsid w:val="008241F8"/>
    <w:rsid w:val="008243B3"/>
    <w:rsid w:val="008243EF"/>
    <w:rsid w:val="00824400"/>
    <w:rsid w:val="00824971"/>
    <w:rsid w:val="00824C71"/>
    <w:rsid w:val="00824D61"/>
    <w:rsid w:val="00824F0D"/>
    <w:rsid w:val="0082501D"/>
    <w:rsid w:val="00825097"/>
    <w:rsid w:val="008255DB"/>
    <w:rsid w:val="0082585E"/>
    <w:rsid w:val="00825B2E"/>
    <w:rsid w:val="0082601A"/>
    <w:rsid w:val="0082601E"/>
    <w:rsid w:val="00826170"/>
    <w:rsid w:val="008261E8"/>
    <w:rsid w:val="00826659"/>
    <w:rsid w:val="00826689"/>
    <w:rsid w:val="00826A9C"/>
    <w:rsid w:val="00826D8E"/>
    <w:rsid w:val="00826DB9"/>
    <w:rsid w:val="00826E5E"/>
    <w:rsid w:val="00826EF2"/>
    <w:rsid w:val="00826FD0"/>
    <w:rsid w:val="00827005"/>
    <w:rsid w:val="008272C6"/>
    <w:rsid w:val="00827396"/>
    <w:rsid w:val="00827435"/>
    <w:rsid w:val="00827652"/>
    <w:rsid w:val="0082791B"/>
    <w:rsid w:val="00827A09"/>
    <w:rsid w:val="00827AD4"/>
    <w:rsid w:val="00827B51"/>
    <w:rsid w:val="00830048"/>
    <w:rsid w:val="00830155"/>
    <w:rsid w:val="008301A0"/>
    <w:rsid w:val="008304B5"/>
    <w:rsid w:val="00830632"/>
    <w:rsid w:val="00830719"/>
    <w:rsid w:val="008307AE"/>
    <w:rsid w:val="008309CF"/>
    <w:rsid w:val="00830ABA"/>
    <w:rsid w:val="00830B09"/>
    <w:rsid w:val="00830BB3"/>
    <w:rsid w:val="00830D50"/>
    <w:rsid w:val="00830E2D"/>
    <w:rsid w:val="008311BB"/>
    <w:rsid w:val="00831289"/>
    <w:rsid w:val="00831433"/>
    <w:rsid w:val="00831506"/>
    <w:rsid w:val="00831835"/>
    <w:rsid w:val="0083194C"/>
    <w:rsid w:val="00831A99"/>
    <w:rsid w:val="00831B61"/>
    <w:rsid w:val="00831B63"/>
    <w:rsid w:val="00831C7F"/>
    <w:rsid w:val="00831F8C"/>
    <w:rsid w:val="0083248C"/>
    <w:rsid w:val="00832694"/>
    <w:rsid w:val="0083297C"/>
    <w:rsid w:val="00832ACB"/>
    <w:rsid w:val="00832B49"/>
    <w:rsid w:val="00832B65"/>
    <w:rsid w:val="00832EEC"/>
    <w:rsid w:val="00832F11"/>
    <w:rsid w:val="00832FAA"/>
    <w:rsid w:val="008330BF"/>
    <w:rsid w:val="008334C1"/>
    <w:rsid w:val="00833E36"/>
    <w:rsid w:val="00833ED7"/>
    <w:rsid w:val="00834178"/>
    <w:rsid w:val="00834395"/>
    <w:rsid w:val="008345E0"/>
    <w:rsid w:val="008348E1"/>
    <w:rsid w:val="00834A4B"/>
    <w:rsid w:val="00834CB0"/>
    <w:rsid w:val="00834EB2"/>
    <w:rsid w:val="00834FD6"/>
    <w:rsid w:val="00835080"/>
    <w:rsid w:val="008354BB"/>
    <w:rsid w:val="008355BA"/>
    <w:rsid w:val="008355F4"/>
    <w:rsid w:val="00835B46"/>
    <w:rsid w:val="00835E15"/>
    <w:rsid w:val="00835E19"/>
    <w:rsid w:val="00835E2D"/>
    <w:rsid w:val="00835FBE"/>
    <w:rsid w:val="008360A9"/>
    <w:rsid w:val="008361EE"/>
    <w:rsid w:val="00836226"/>
    <w:rsid w:val="008362BA"/>
    <w:rsid w:val="00836339"/>
    <w:rsid w:val="00836595"/>
    <w:rsid w:val="0083673C"/>
    <w:rsid w:val="008368D4"/>
    <w:rsid w:val="00836980"/>
    <w:rsid w:val="008369F0"/>
    <w:rsid w:val="00836AB4"/>
    <w:rsid w:val="00836CE6"/>
    <w:rsid w:val="00836D78"/>
    <w:rsid w:val="00836F34"/>
    <w:rsid w:val="00837801"/>
    <w:rsid w:val="00837958"/>
    <w:rsid w:val="00840183"/>
    <w:rsid w:val="008401C7"/>
    <w:rsid w:val="0084024D"/>
    <w:rsid w:val="00840696"/>
    <w:rsid w:val="00840836"/>
    <w:rsid w:val="0084099E"/>
    <w:rsid w:val="00840A4A"/>
    <w:rsid w:val="00840A54"/>
    <w:rsid w:val="00840E65"/>
    <w:rsid w:val="00841582"/>
    <w:rsid w:val="00841FCF"/>
    <w:rsid w:val="008421E7"/>
    <w:rsid w:val="008423AB"/>
    <w:rsid w:val="00842A14"/>
    <w:rsid w:val="00842DDC"/>
    <w:rsid w:val="00842FB9"/>
    <w:rsid w:val="0084303B"/>
    <w:rsid w:val="0084313F"/>
    <w:rsid w:val="008433E2"/>
    <w:rsid w:val="008434E8"/>
    <w:rsid w:val="0084354C"/>
    <w:rsid w:val="0084355C"/>
    <w:rsid w:val="008436BC"/>
    <w:rsid w:val="00843828"/>
    <w:rsid w:val="00843AC5"/>
    <w:rsid w:val="00843B5F"/>
    <w:rsid w:val="00843B9C"/>
    <w:rsid w:val="00844167"/>
    <w:rsid w:val="00844825"/>
    <w:rsid w:val="00844A8B"/>
    <w:rsid w:val="00844AF4"/>
    <w:rsid w:val="00844C25"/>
    <w:rsid w:val="00844C46"/>
    <w:rsid w:val="00844E2F"/>
    <w:rsid w:val="00845004"/>
    <w:rsid w:val="00845151"/>
    <w:rsid w:val="00845970"/>
    <w:rsid w:val="00845A2A"/>
    <w:rsid w:val="00845ADD"/>
    <w:rsid w:val="00845AEC"/>
    <w:rsid w:val="00845BAA"/>
    <w:rsid w:val="00845C31"/>
    <w:rsid w:val="00845FBF"/>
    <w:rsid w:val="008465B1"/>
    <w:rsid w:val="008467B2"/>
    <w:rsid w:val="00846D41"/>
    <w:rsid w:val="00846EB0"/>
    <w:rsid w:val="00846F86"/>
    <w:rsid w:val="008470AB"/>
    <w:rsid w:val="00847294"/>
    <w:rsid w:val="00847298"/>
    <w:rsid w:val="00847392"/>
    <w:rsid w:val="00847447"/>
    <w:rsid w:val="008474C4"/>
    <w:rsid w:val="00847850"/>
    <w:rsid w:val="008479CD"/>
    <w:rsid w:val="00847BB7"/>
    <w:rsid w:val="00847D63"/>
    <w:rsid w:val="00850149"/>
    <w:rsid w:val="008501C0"/>
    <w:rsid w:val="00850337"/>
    <w:rsid w:val="00850897"/>
    <w:rsid w:val="00850898"/>
    <w:rsid w:val="00850CFC"/>
    <w:rsid w:val="00850D8B"/>
    <w:rsid w:val="00850F4A"/>
    <w:rsid w:val="00851163"/>
    <w:rsid w:val="0085129B"/>
    <w:rsid w:val="008514A3"/>
    <w:rsid w:val="008515F7"/>
    <w:rsid w:val="0085168E"/>
    <w:rsid w:val="00851731"/>
    <w:rsid w:val="00851767"/>
    <w:rsid w:val="0085184C"/>
    <w:rsid w:val="00851AC8"/>
    <w:rsid w:val="00851C7F"/>
    <w:rsid w:val="00851CE3"/>
    <w:rsid w:val="0085236A"/>
    <w:rsid w:val="00852591"/>
    <w:rsid w:val="008525AA"/>
    <w:rsid w:val="0085276B"/>
    <w:rsid w:val="00852814"/>
    <w:rsid w:val="008528DC"/>
    <w:rsid w:val="00852B26"/>
    <w:rsid w:val="00852C53"/>
    <w:rsid w:val="00852C8B"/>
    <w:rsid w:val="00852CE1"/>
    <w:rsid w:val="00852D3D"/>
    <w:rsid w:val="00852D5D"/>
    <w:rsid w:val="00853058"/>
    <w:rsid w:val="0085318F"/>
    <w:rsid w:val="0085377C"/>
    <w:rsid w:val="00853892"/>
    <w:rsid w:val="0085391A"/>
    <w:rsid w:val="00853BB6"/>
    <w:rsid w:val="00853C2B"/>
    <w:rsid w:val="00853EDB"/>
    <w:rsid w:val="00853F4F"/>
    <w:rsid w:val="00854110"/>
    <w:rsid w:val="00854173"/>
    <w:rsid w:val="00854711"/>
    <w:rsid w:val="00854A72"/>
    <w:rsid w:val="00854BF9"/>
    <w:rsid w:val="00854E58"/>
    <w:rsid w:val="00855000"/>
    <w:rsid w:val="0085507D"/>
    <w:rsid w:val="00855127"/>
    <w:rsid w:val="00855478"/>
    <w:rsid w:val="0085567D"/>
    <w:rsid w:val="0085574F"/>
    <w:rsid w:val="00855A46"/>
    <w:rsid w:val="00855BE0"/>
    <w:rsid w:val="00855FEC"/>
    <w:rsid w:val="00856028"/>
    <w:rsid w:val="0085623D"/>
    <w:rsid w:val="00856358"/>
    <w:rsid w:val="0085698A"/>
    <w:rsid w:val="00856D2D"/>
    <w:rsid w:val="00856F8D"/>
    <w:rsid w:val="0085767D"/>
    <w:rsid w:val="00857718"/>
    <w:rsid w:val="008578DD"/>
    <w:rsid w:val="00857C16"/>
    <w:rsid w:val="00857E16"/>
    <w:rsid w:val="00857E87"/>
    <w:rsid w:val="00857FC4"/>
    <w:rsid w:val="00860618"/>
    <w:rsid w:val="008606C2"/>
    <w:rsid w:val="008607C2"/>
    <w:rsid w:val="008608DF"/>
    <w:rsid w:val="0086095F"/>
    <w:rsid w:val="008609FD"/>
    <w:rsid w:val="00860A8C"/>
    <w:rsid w:val="008613B0"/>
    <w:rsid w:val="00861507"/>
    <w:rsid w:val="008616CA"/>
    <w:rsid w:val="00861824"/>
    <w:rsid w:val="00861878"/>
    <w:rsid w:val="00862335"/>
    <w:rsid w:val="008623ED"/>
    <w:rsid w:val="00862561"/>
    <w:rsid w:val="008625BB"/>
    <w:rsid w:val="00862899"/>
    <w:rsid w:val="00862B39"/>
    <w:rsid w:val="00862C34"/>
    <w:rsid w:val="00863121"/>
    <w:rsid w:val="00863220"/>
    <w:rsid w:val="008638BF"/>
    <w:rsid w:val="00863A34"/>
    <w:rsid w:val="0086405E"/>
    <w:rsid w:val="00865298"/>
    <w:rsid w:val="0086533D"/>
    <w:rsid w:val="0086537A"/>
    <w:rsid w:val="008658DF"/>
    <w:rsid w:val="008658FF"/>
    <w:rsid w:val="00865A9F"/>
    <w:rsid w:val="00865B4F"/>
    <w:rsid w:val="00865E22"/>
    <w:rsid w:val="0086635A"/>
    <w:rsid w:val="00866779"/>
    <w:rsid w:val="008668C8"/>
    <w:rsid w:val="0086697C"/>
    <w:rsid w:val="00866BDA"/>
    <w:rsid w:val="00866CC8"/>
    <w:rsid w:val="00866E1C"/>
    <w:rsid w:val="008671E4"/>
    <w:rsid w:val="00867293"/>
    <w:rsid w:val="0086786B"/>
    <w:rsid w:val="00867944"/>
    <w:rsid w:val="008679E0"/>
    <w:rsid w:val="00867A59"/>
    <w:rsid w:val="00867AF4"/>
    <w:rsid w:val="00867B67"/>
    <w:rsid w:val="008707BC"/>
    <w:rsid w:val="00870B1F"/>
    <w:rsid w:val="00870E0D"/>
    <w:rsid w:val="0087103F"/>
    <w:rsid w:val="008710C9"/>
    <w:rsid w:val="0087129A"/>
    <w:rsid w:val="008715C0"/>
    <w:rsid w:val="008716EA"/>
    <w:rsid w:val="00871780"/>
    <w:rsid w:val="00871918"/>
    <w:rsid w:val="00871A5C"/>
    <w:rsid w:val="00871B7C"/>
    <w:rsid w:val="00871C67"/>
    <w:rsid w:val="008721FE"/>
    <w:rsid w:val="00872849"/>
    <w:rsid w:val="00872B35"/>
    <w:rsid w:val="00872D37"/>
    <w:rsid w:val="00872FA7"/>
    <w:rsid w:val="008734B6"/>
    <w:rsid w:val="00873674"/>
    <w:rsid w:val="008736FE"/>
    <w:rsid w:val="008738D5"/>
    <w:rsid w:val="00873BD7"/>
    <w:rsid w:val="00873EEB"/>
    <w:rsid w:val="0087404E"/>
    <w:rsid w:val="008740D9"/>
    <w:rsid w:val="0087424D"/>
    <w:rsid w:val="00874829"/>
    <w:rsid w:val="00874A20"/>
    <w:rsid w:val="00874A38"/>
    <w:rsid w:val="00874EB9"/>
    <w:rsid w:val="0087516B"/>
    <w:rsid w:val="0087530A"/>
    <w:rsid w:val="00875723"/>
    <w:rsid w:val="00875746"/>
    <w:rsid w:val="0087589E"/>
    <w:rsid w:val="008758C9"/>
    <w:rsid w:val="008759D7"/>
    <w:rsid w:val="00875B2D"/>
    <w:rsid w:val="00875CD9"/>
    <w:rsid w:val="00875DA2"/>
    <w:rsid w:val="00875F90"/>
    <w:rsid w:val="0087604B"/>
    <w:rsid w:val="0087621A"/>
    <w:rsid w:val="00876377"/>
    <w:rsid w:val="008766B1"/>
    <w:rsid w:val="00876A32"/>
    <w:rsid w:val="008772EE"/>
    <w:rsid w:val="00877348"/>
    <w:rsid w:val="00877508"/>
    <w:rsid w:val="008779B3"/>
    <w:rsid w:val="00877C93"/>
    <w:rsid w:val="00880126"/>
    <w:rsid w:val="008801D0"/>
    <w:rsid w:val="00880317"/>
    <w:rsid w:val="008804AF"/>
    <w:rsid w:val="008804FA"/>
    <w:rsid w:val="008806E9"/>
    <w:rsid w:val="00880D5D"/>
    <w:rsid w:val="00880F36"/>
    <w:rsid w:val="00880F71"/>
    <w:rsid w:val="008814CB"/>
    <w:rsid w:val="00881745"/>
    <w:rsid w:val="00881763"/>
    <w:rsid w:val="0088199D"/>
    <w:rsid w:val="008819B0"/>
    <w:rsid w:val="00881A4F"/>
    <w:rsid w:val="00881BC4"/>
    <w:rsid w:val="0088209A"/>
    <w:rsid w:val="0088228B"/>
    <w:rsid w:val="008824A9"/>
    <w:rsid w:val="00882A31"/>
    <w:rsid w:val="008831CF"/>
    <w:rsid w:val="00883526"/>
    <w:rsid w:val="00883768"/>
    <w:rsid w:val="008838F8"/>
    <w:rsid w:val="00883C33"/>
    <w:rsid w:val="00883CB9"/>
    <w:rsid w:val="00883D73"/>
    <w:rsid w:val="00883DA8"/>
    <w:rsid w:val="00883FCE"/>
    <w:rsid w:val="0088401D"/>
    <w:rsid w:val="0088408B"/>
    <w:rsid w:val="00884200"/>
    <w:rsid w:val="0088484A"/>
    <w:rsid w:val="008848AA"/>
    <w:rsid w:val="008848CA"/>
    <w:rsid w:val="00884925"/>
    <w:rsid w:val="00884A8D"/>
    <w:rsid w:val="00884C4A"/>
    <w:rsid w:val="00884E45"/>
    <w:rsid w:val="00884E5F"/>
    <w:rsid w:val="00884E81"/>
    <w:rsid w:val="008851C7"/>
    <w:rsid w:val="0088530D"/>
    <w:rsid w:val="00885401"/>
    <w:rsid w:val="0088541F"/>
    <w:rsid w:val="008854E6"/>
    <w:rsid w:val="00885B63"/>
    <w:rsid w:val="00885BA9"/>
    <w:rsid w:val="008862FA"/>
    <w:rsid w:val="00886634"/>
    <w:rsid w:val="00886862"/>
    <w:rsid w:val="00886D97"/>
    <w:rsid w:val="00886E38"/>
    <w:rsid w:val="0088707C"/>
    <w:rsid w:val="0088744B"/>
    <w:rsid w:val="0088752C"/>
    <w:rsid w:val="00887792"/>
    <w:rsid w:val="0088782B"/>
    <w:rsid w:val="008879C6"/>
    <w:rsid w:val="00887B4B"/>
    <w:rsid w:val="00887DA6"/>
    <w:rsid w:val="00887F9B"/>
    <w:rsid w:val="0089018A"/>
    <w:rsid w:val="0089023E"/>
    <w:rsid w:val="00890434"/>
    <w:rsid w:val="00890A63"/>
    <w:rsid w:val="00890B4D"/>
    <w:rsid w:val="00890C2B"/>
    <w:rsid w:val="00890F43"/>
    <w:rsid w:val="0089102A"/>
    <w:rsid w:val="00891145"/>
    <w:rsid w:val="00891351"/>
    <w:rsid w:val="0089139A"/>
    <w:rsid w:val="00891440"/>
    <w:rsid w:val="00891483"/>
    <w:rsid w:val="008918FA"/>
    <w:rsid w:val="00891B39"/>
    <w:rsid w:val="00891C11"/>
    <w:rsid w:val="00891FD8"/>
    <w:rsid w:val="008925F7"/>
    <w:rsid w:val="008927C6"/>
    <w:rsid w:val="00892868"/>
    <w:rsid w:val="0089286A"/>
    <w:rsid w:val="008929D0"/>
    <w:rsid w:val="00892D27"/>
    <w:rsid w:val="00892DD7"/>
    <w:rsid w:val="00892E41"/>
    <w:rsid w:val="00892FE8"/>
    <w:rsid w:val="008934BE"/>
    <w:rsid w:val="00893722"/>
    <w:rsid w:val="008937CE"/>
    <w:rsid w:val="00893C23"/>
    <w:rsid w:val="00893E96"/>
    <w:rsid w:val="00894286"/>
    <w:rsid w:val="00894343"/>
    <w:rsid w:val="00894548"/>
    <w:rsid w:val="008947A8"/>
    <w:rsid w:val="00894871"/>
    <w:rsid w:val="00894AF0"/>
    <w:rsid w:val="00894D59"/>
    <w:rsid w:val="008953F3"/>
    <w:rsid w:val="00895572"/>
    <w:rsid w:val="00895C67"/>
    <w:rsid w:val="0089603B"/>
    <w:rsid w:val="00896068"/>
    <w:rsid w:val="008962C0"/>
    <w:rsid w:val="008968CB"/>
    <w:rsid w:val="00896A42"/>
    <w:rsid w:val="00896AF3"/>
    <w:rsid w:val="00896FBC"/>
    <w:rsid w:val="00897146"/>
    <w:rsid w:val="0089784B"/>
    <w:rsid w:val="00897876"/>
    <w:rsid w:val="00897918"/>
    <w:rsid w:val="008979F7"/>
    <w:rsid w:val="00897A16"/>
    <w:rsid w:val="00897B96"/>
    <w:rsid w:val="00897D79"/>
    <w:rsid w:val="008A004E"/>
    <w:rsid w:val="008A0069"/>
    <w:rsid w:val="008A0177"/>
    <w:rsid w:val="008A0397"/>
    <w:rsid w:val="008A0422"/>
    <w:rsid w:val="008A07A8"/>
    <w:rsid w:val="008A07F7"/>
    <w:rsid w:val="008A0810"/>
    <w:rsid w:val="008A0958"/>
    <w:rsid w:val="008A0ADA"/>
    <w:rsid w:val="008A0AF1"/>
    <w:rsid w:val="008A0BD9"/>
    <w:rsid w:val="008A0BEF"/>
    <w:rsid w:val="008A0D29"/>
    <w:rsid w:val="008A0FA0"/>
    <w:rsid w:val="008A0FA8"/>
    <w:rsid w:val="008A0FBC"/>
    <w:rsid w:val="008A113E"/>
    <w:rsid w:val="008A11CD"/>
    <w:rsid w:val="008A1489"/>
    <w:rsid w:val="008A1B90"/>
    <w:rsid w:val="008A2012"/>
    <w:rsid w:val="008A2260"/>
    <w:rsid w:val="008A2949"/>
    <w:rsid w:val="008A2B8C"/>
    <w:rsid w:val="008A2D8E"/>
    <w:rsid w:val="008A2DA4"/>
    <w:rsid w:val="008A2DEA"/>
    <w:rsid w:val="008A2E49"/>
    <w:rsid w:val="008A31FE"/>
    <w:rsid w:val="008A3568"/>
    <w:rsid w:val="008A380A"/>
    <w:rsid w:val="008A3810"/>
    <w:rsid w:val="008A3A68"/>
    <w:rsid w:val="008A3FAF"/>
    <w:rsid w:val="008A425B"/>
    <w:rsid w:val="008A441A"/>
    <w:rsid w:val="008A4473"/>
    <w:rsid w:val="008A4507"/>
    <w:rsid w:val="008A4829"/>
    <w:rsid w:val="008A4AAE"/>
    <w:rsid w:val="008A4AE2"/>
    <w:rsid w:val="008A4F5A"/>
    <w:rsid w:val="008A51AA"/>
    <w:rsid w:val="008A51D0"/>
    <w:rsid w:val="008A556C"/>
    <w:rsid w:val="008A58C0"/>
    <w:rsid w:val="008A5971"/>
    <w:rsid w:val="008A59AA"/>
    <w:rsid w:val="008A5ACD"/>
    <w:rsid w:val="008A5C0F"/>
    <w:rsid w:val="008A5CC7"/>
    <w:rsid w:val="008A60AC"/>
    <w:rsid w:val="008A6251"/>
    <w:rsid w:val="008A6328"/>
    <w:rsid w:val="008A6353"/>
    <w:rsid w:val="008A6903"/>
    <w:rsid w:val="008A6A1F"/>
    <w:rsid w:val="008A6CD9"/>
    <w:rsid w:val="008A70EE"/>
    <w:rsid w:val="008A7114"/>
    <w:rsid w:val="008A711A"/>
    <w:rsid w:val="008A737F"/>
    <w:rsid w:val="008A74D5"/>
    <w:rsid w:val="008A76E4"/>
    <w:rsid w:val="008A7A2F"/>
    <w:rsid w:val="008A7ACB"/>
    <w:rsid w:val="008A7F4C"/>
    <w:rsid w:val="008B001B"/>
    <w:rsid w:val="008B017E"/>
    <w:rsid w:val="008B01FA"/>
    <w:rsid w:val="008B06F8"/>
    <w:rsid w:val="008B0B55"/>
    <w:rsid w:val="008B0C52"/>
    <w:rsid w:val="008B12FF"/>
    <w:rsid w:val="008B1329"/>
    <w:rsid w:val="008B139E"/>
    <w:rsid w:val="008B149C"/>
    <w:rsid w:val="008B152F"/>
    <w:rsid w:val="008B1728"/>
    <w:rsid w:val="008B1A1A"/>
    <w:rsid w:val="008B1AC5"/>
    <w:rsid w:val="008B1F5F"/>
    <w:rsid w:val="008B201D"/>
    <w:rsid w:val="008B21BB"/>
    <w:rsid w:val="008B2284"/>
    <w:rsid w:val="008B29D0"/>
    <w:rsid w:val="008B2F04"/>
    <w:rsid w:val="008B2F4B"/>
    <w:rsid w:val="008B344C"/>
    <w:rsid w:val="008B35BE"/>
    <w:rsid w:val="008B3A6A"/>
    <w:rsid w:val="008B3CB4"/>
    <w:rsid w:val="008B3D2B"/>
    <w:rsid w:val="008B3E96"/>
    <w:rsid w:val="008B3F12"/>
    <w:rsid w:val="008B3F85"/>
    <w:rsid w:val="008B4281"/>
    <w:rsid w:val="008B4398"/>
    <w:rsid w:val="008B43A9"/>
    <w:rsid w:val="008B498A"/>
    <w:rsid w:val="008B4BD7"/>
    <w:rsid w:val="008B4C7C"/>
    <w:rsid w:val="008B4D7B"/>
    <w:rsid w:val="008B4FF1"/>
    <w:rsid w:val="008B5398"/>
    <w:rsid w:val="008B5518"/>
    <w:rsid w:val="008B5596"/>
    <w:rsid w:val="008B56F5"/>
    <w:rsid w:val="008B5729"/>
    <w:rsid w:val="008B57B7"/>
    <w:rsid w:val="008B5907"/>
    <w:rsid w:val="008B5948"/>
    <w:rsid w:val="008B5A87"/>
    <w:rsid w:val="008B5CDB"/>
    <w:rsid w:val="008B613A"/>
    <w:rsid w:val="008B6168"/>
    <w:rsid w:val="008B6BD3"/>
    <w:rsid w:val="008B6DBB"/>
    <w:rsid w:val="008B6E02"/>
    <w:rsid w:val="008B6EF0"/>
    <w:rsid w:val="008B70E0"/>
    <w:rsid w:val="008B77F3"/>
    <w:rsid w:val="008B7806"/>
    <w:rsid w:val="008B781B"/>
    <w:rsid w:val="008B7927"/>
    <w:rsid w:val="008B7BB5"/>
    <w:rsid w:val="008B7D09"/>
    <w:rsid w:val="008B7FCA"/>
    <w:rsid w:val="008C01A5"/>
    <w:rsid w:val="008C0321"/>
    <w:rsid w:val="008C049D"/>
    <w:rsid w:val="008C0812"/>
    <w:rsid w:val="008C089F"/>
    <w:rsid w:val="008C09E2"/>
    <w:rsid w:val="008C0C2B"/>
    <w:rsid w:val="008C0FE0"/>
    <w:rsid w:val="008C0FF5"/>
    <w:rsid w:val="008C10F8"/>
    <w:rsid w:val="008C114A"/>
    <w:rsid w:val="008C1248"/>
    <w:rsid w:val="008C1279"/>
    <w:rsid w:val="008C128E"/>
    <w:rsid w:val="008C15AB"/>
    <w:rsid w:val="008C1D3D"/>
    <w:rsid w:val="008C21F2"/>
    <w:rsid w:val="008C2262"/>
    <w:rsid w:val="008C2405"/>
    <w:rsid w:val="008C285E"/>
    <w:rsid w:val="008C29D5"/>
    <w:rsid w:val="008C2A78"/>
    <w:rsid w:val="008C2C6B"/>
    <w:rsid w:val="008C2CB9"/>
    <w:rsid w:val="008C2D6C"/>
    <w:rsid w:val="008C2DF2"/>
    <w:rsid w:val="008C2E67"/>
    <w:rsid w:val="008C2E90"/>
    <w:rsid w:val="008C2ED2"/>
    <w:rsid w:val="008C32F2"/>
    <w:rsid w:val="008C3639"/>
    <w:rsid w:val="008C3A27"/>
    <w:rsid w:val="008C3D0C"/>
    <w:rsid w:val="008C3F2E"/>
    <w:rsid w:val="008C430C"/>
    <w:rsid w:val="008C4312"/>
    <w:rsid w:val="008C4423"/>
    <w:rsid w:val="008C44B4"/>
    <w:rsid w:val="008C4927"/>
    <w:rsid w:val="008C49BD"/>
    <w:rsid w:val="008C4C29"/>
    <w:rsid w:val="008C4E8B"/>
    <w:rsid w:val="008C4EE7"/>
    <w:rsid w:val="008C4F55"/>
    <w:rsid w:val="008C5035"/>
    <w:rsid w:val="008C5507"/>
    <w:rsid w:val="008C582E"/>
    <w:rsid w:val="008C5A2B"/>
    <w:rsid w:val="008C5CE7"/>
    <w:rsid w:val="008C5E0B"/>
    <w:rsid w:val="008C5FF5"/>
    <w:rsid w:val="008C604F"/>
    <w:rsid w:val="008C60F5"/>
    <w:rsid w:val="008C6672"/>
    <w:rsid w:val="008C67E0"/>
    <w:rsid w:val="008C681B"/>
    <w:rsid w:val="008C6B7F"/>
    <w:rsid w:val="008C6EBF"/>
    <w:rsid w:val="008C757D"/>
    <w:rsid w:val="008C76AA"/>
    <w:rsid w:val="008C790C"/>
    <w:rsid w:val="008C7CDD"/>
    <w:rsid w:val="008D0067"/>
    <w:rsid w:val="008D009B"/>
    <w:rsid w:val="008D01EA"/>
    <w:rsid w:val="008D04F8"/>
    <w:rsid w:val="008D0544"/>
    <w:rsid w:val="008D0629"/>
    <w:rsid w:val="008D0A50"/>
    <w:rsid w:val="008D0B79"/>
    <w:rsid w:val="008D0D6D"/>
    <w:rsid w:val="008D114A"/>
    <w:rsid w:val="008D1196"/>
    <w:rsid w:val="008D128B"/>
    <w:rsid w:val="008D1498"/>
    <w:rsid w:val="008D1A4C"/>
    <w:rsid w:val="008D1E0D"/>
    <w:rsid w:val="008D1F72"/>
    <w:rsid w:val="008D1FBD"/>
    <w:rsid w:val="008D1FCC"/>
    <w:rsid w:val="008D22EB"/>
    <w:rsid w:val="008D25A0"/>
    <w:rsid w:val="008D2B71"/>
    <w:rsid w:val="008D30D4"/>
    <w:rsid w:val="008D32A1"/>
    <w:rsid w:val="008D348A"/>
    <w:rsid w:val="008D35A5"/>
    <w:rsid w:val="008D376D"/>
    <w:rsid w:val="008D3837"/>
    <w:rsid w:val="008D3A7B"/>
    <w:rsid w:val="008D3A88"/>
    <w:rsid w:val="008D3DD2"/>
    <w:rsid w:val="008D426A"/>
    <w:rsid w:val="008D444F"/>
    <w:rsid w:val="008D4653"/>
    <w:rsid w:val="008D4685"/>
    <w:rsid w:val="008D4B4C"/>
    <w:rsid w:val="008D4EA2"/>
    <w:rsid w:val="008D5208"/>
    <w:rsid w:val="008D5C7C"/>
    <w:rsid w:val="008D5DBA"/>
    <w:rsid w:val="008D5F2E"/>
    <w:rsid w:val="008D6193"/>
    <w:rsid w:val="008D6306"/>
    <w:rsid w:val="008D65FC"/>
    <w:rsid w:val="008D6896"/>
    <w:rsid w:val="008D6B23"/>
    <w:rsid w:val="008D6C0A"/>
    <w:rsid w:val="008D6CA1"/>
    <w:rsid w:val="008D6EE4"/>
    <w:rsid w:val="008D6F0A"/>
    <w:rsid w:val="008D749F"/>
    <w:rsid w:val="008D7984"/>
    <w:rsid w:val="008D7A1D"/>
    <w:rsid w:val="008E03BA"/>
    <w:rsid w:val="008E0791"/>
    <w:rsid w:val="008E09DB"/>
    <w:rsid w:val="008E0A9C"/>
    <w:rsid w:val="008E0B55"/>
    <w:rsid w:val="008E0EEA"/>
    <w:rsid w:val="008E0F44"/>
    <w:rsid w:val="008E1074"/>
    <w:rsid w:val="008E1261"/>
    <w:rsid w:val="008E1754"/>
    <w:rsid w:val="008E1BFA"/>
    <w:rsid w:val="008E1C0C"/>
    <w:rsid w:val="008E1EA0"/>
    <w:rsid w:val="008E1F7B"/>
    <w:rsid w:val="008E2077"/>
    <w:rsid w:val="008E252B"/>
    <w:rsid w:val="008E255C"/>
    <w:rsid w:val="008E26F8"/>
    <w:rsid w:val="008E2965"/>
    <w:rsid w:val="008E2AC3"/>
    <w:rsid w:val="008E2AED"/>
    <w:rsid w:val="008E2DAD"/>
    <w:rsid w:val="008E3823"/>
    <w:rsid w:val="008E3960"/>
    <w:rsid w:val="008E3E46"/>
    <w:rsid w:val="008E3F32"/>
    <w:rsid w:val="008E3F75"/>
    <w:rsid w:val="008E442F"/>
    <w:rsid w:val="008E4923"/>
    <w:rsid w:val="008E4939"/>
    <w:rsid w:val="008E4BE6"/>
    <w:rsid w:val="008E4C5D"/>
    <w:rsid w:val="008E4E9F"/>
    <w:rsid w:val="008E4F57"/>
    <w:rsid w:val="008E5777"/>
    <w:rsid w:val="008E5827"/>
    <w:rsid w:val="008E5C28"/>
    <w:rsid w:val="008E5E35"/>
    <w:rsid w:val="008E6048"/>
    <w:rsid w:val="008E6095"/>
    <w:rsid w:val="008E6096"/>
    <w:rsid w:val="008E621F"/>
    <w:rsid w:val="008E6299"/>
    <w:rsid w:val="008E62DA"/>
    <w:rsid w:val="008E64DE"/>
    <w:rsid w:val="008E675A"/>
    <w:rsid w:val="008E6900"/>
    <w:rsid w:val="008E69A1"/>
    <w:rsid w:val="008E6ED1"/>
    <w:rsid w:val="008E6F49"/>
    <w:rsid w:val="008E73EE"/>
    <w:rsid w:val="008E7824"/>
    <w:rsid w:val="008E78A3"/>
    <w:rsid w:val="008E7D47"/>
    <w:rsid w:val="008F01B6"/>
    <w:rsid w:val="008F05EF"/>
    <w:rsid w:val="008F06A7"/>
    <w:rsid w:val="008F0931"/>
    <w:rsid w:val="008F0A49"/>
    <w:rsid w:val="008F0AF8"/>
    <w:rsid w:val="008F0C51"/>
    <w:rsid w:val="008F0F49"/>
    <w:rsid w:val="008F0F9C"/>
    <w:rsid w:val="008F102C"/>
    <w:rsid w:val="008F1195"/>
    <w:rsid w:val="008F11A8"/>
    <w:rsid w:val="008F1242"/>
    <w:rsid w:val="008F133F"/>
    <w:rsid w:val="008F170E"/>
    <w:rsid w:val="008F19A3"/>
    <w:rsid w:val="008F1AFB"/>
    <w:rsid w:val="008F1D1E"/>
    <w:rsid w:val="008F1D52"/>
    <w:rsid w:val="008F1EF6"/>
    <w:rsid w:val="008F2197"/>
    <w:rsid w:val="008F2338"/>
    <w:rsid w:val="008F23DC"/>
    <w:rsid w:val="008F2795"/>
    <w:rsid w:val="008F2A2A"/>
    <w:rsid w:val="008F2A65"/>
    <w:rsid w:val="008F2CEC"/>
    <w:rsid w:val="008F3106"/>
    <w:rsid w:val="008F3382"/>
    <w:rsid w:val="008F34D3"/>
    <w:rsid w:val="008F39EF"/>
    <w:rsid w:val="008F3C4B"/>
    <w:rsid w:val="008F3C5B"/>
    <w:rsid w:val="008F40BE"/>
    <w:rsid w:val="008F42C9"/>
    <w:rsid w:val="008F4367"/>
    <w:rsid w:val="008F4673"/>
    <w:rsid w:val="008F48DA"/>
    <w:rsid w:val="008F4C3A"/>
    <w:rsid w:val="008F4E5E"/>
    <w:rsid w:val="008F5341"/>
    <w:rsid w:val="008F56B3"/>
    <w:rsid w:val="008F5891"/>
    <w:rsid w:val="008F58D9"/>
    <w:rsid w:val="008F5E2C"/>
    <w:rsid w:val="008F5F52"/>
    <w:rsid w:val="008F61F9"/>
    <w:rsid w:val="008F629D"/>
    <w:rsid w:val="008F62D4"/>
    <w:rsid w:val="008F6489"/>
    <w:rsid w:val="008F655E"/>
    <w:rsid w:val="008F6A98"/>
    <w:rsid w:val="008F6AA7"/>
    <w:rsid w:val="008F6B5E"/>
    <w:rsid w:val="008F6BCC"/>
    <w:rsid w:val="008F6C0C"/>
    <w:rsid w:val="008F6EA3"/>
    <w:rsid w:val="008F6F43"/>
    <w:rsid w:val="008F7074"/>
    <w:rsid w:val="008F7156"/>
    <w:rsid w:val="008F72A2"/>
    <w:rsid w:val="008F73A2"/>
    <w:rsid w:val="008F75E8"/>
    <w:rsid w:val="008F77DF"/>
    <w:rsid w:val="008F78C8"/>
    <w:rsid w:val="008F78F2"/>
    <w:rsid w:val="008F7BA3"/>
    <w:rsid w:val="008F7FC1"/>
    <w:rsid w:val="009003F3"/>
    <w:rsid w:val="009007E0"/>
    <w:rsid w:val="009008C6"/>
    <w:rsid w:val="009009DE"/>
    <w:rsid w:val="00900A3B"/>
    <w:rsid w:val="00900AB6"/>
    <w:rsid w:val="009010A9"/>
    <w:rsid w:val="00901276"/>
    <w:rsid w:val="009014F0"/>
    <w:rsid w:val="00901815"/>
    <w:rsid w:val="00901826"/>
    <w:rsid w:val="009018D0"/>
    <w:rsid w:val="00901FA4"/>
    <w:rsid w:val="009024AC"/>
    <w:rsid w:val="0090286D"/>
    <w:rsid w:val="00902D27"/>
    <w:rsid w:val="00903306"/>
    <w:rsid w:val="00903348"/>
    <w:rsid w:val="0090338C"/>
    <w:rsid w:val="00903691"/>
    <w:rsid w:val="009038A7"/>
    <w:rsid w:val="00903B3D"/>
    <w:rsid w:val="00903F89"/>
    <w:rsid w:val="00903FAE"/>
    <w:rsid w:val="00904233"/>
    <w:rsid w:val="0090425F"/>
    <w:rsid w:val="00904403"/>
    <w:rsid w:val="009048D8"/>
    <w:rsid w:val="00904C6E"/>
    <w:rsid w:val="00904CBE"/>
    <w:rsid w:val="00904ECA"/>
    <w:rsid w:val="00904ECE"/>
    <w:rsid w:val="00905036"/>
    <w:rsid w:val="00905054"/>
    <w:rsid w:val="0090527B"/>
    <w:rsid w:val="009053CA"/>
    <w:rsid w:val="00905584"/>
    <w:rsid w:val="009055DE"/>
    <w:rsid w:val="00905638"/>
    <w:rsid w:val="0090573A"/>
    <w:rsid w:val="00905D59"/>
    <w:rsid w:val="00905D91"/>
    <w:rsid w:val="00906281"/>
    <w:rsid w:val="00906289"/>
    <w:rsid w:val="009062ED"/>
    <w:rsid w:val="0090630A"/>
    <w:rsid w:val="009063A7"/>
    <w:rsid w:val="0090648D"/>
    <w:rsid w:val="0090659B"/>
    <w:rsid w:val="009067EB"/>
    <w:rsid w:val="0090692A"/>
    <w:rsid w:val="00906C90"/>
    <w:rsid w:val="00906DBA"/>
    <w:rsid w:val="00906E10"/>
    <w:rsid w:val="00906FD5"/>
    <w:rsid w:val="00907154"/>
    <w:rsid w:val="009077AC"/>
    <w:rsid w:val="00907990"/>
    <w:rsid w:val="00907A0B"/>
    <w:rsid w:val="00907C1E"/>
    <w:rsid w:val="00907D2B"/>
    <w:rsid w:val="00907F1E"/>
    <w:rsid w:val="00907FEF"/>
    <w:rsid w:val="0091037E"/>
    <w:rsid w:val="009106B8"/>
    <w:rsid w:val="00910734"/>
    <w:rsid w:val="00910A42"/>
    <w:rsid w:val="00910B55"/>
    <w:rsid w:val="00910C57"/>
    <w:rsid w:val="00910FA3"/>
    <w:rsid w:val="0091118B"/>
    <w:rsid w:val="009111D8"/>
    <w:rsid w:val="00911458"/>
    <w:rsid w:val="009114CF"/>
    <w:rsid w:val="00911734"/>
    <w:rsid w:val="00911915"/>
    <w:rsid w:val="00911D16"/>
    <w:rsid w:val="00911F19"/>
    <w:rsid w:val="00912090"/>
    <w:rsid w:val="0091233C"/>
    <w:rsid w:val="00912392"/>
    <w:rsid w:val="0091242B"/>
    <w:rsid w:val="00912454"/>
    <w:rsid w:val="009127F9"/>
    <w:rsid w:val="00912851"/>
    <w:rsid w:val="00912E0E"/>
    <w:rsid w:val="00912EF1"/>
    <w:rsid w:val="00913190"/>
    <w:rsid w:val="0091345F"/>
    <w:rsid w:val="00913787"/>
    <w:rsid w:val="00913790"/>
    <w:rsid w:val="00913852"/>
    <w:rsid w:val="00913856"/>
    <w:rsid w:val="00913A0D"/>
    <w:rsid w:val="00913D0C"/>
    <w:rsid w:val="0091403D"/>
    <w:rsid w:val="009140C8"/>
    <w:rsid w:val="009142FE"/>
    <w:rsid w:val="009143AD"/>
    <w:rsid w:val="009144E6"/>
    <w:rsid w:val="00914630"/>
    <w:rsid w:val="00914E16"/>
    <w:rsid w:val="009151D9"/>
    <w:rsid w:val="00915274"/>
    <w:rsid w:val="0091529C"/>
    <w:rsid w:val="00915EAC"/>
    <w:rsid w:val="0091610D"/>
    <w:rsid w:val="009161C7"/>
    <w:rsid w:val="009162F2"/>
    <w:rsid w:val="009166AF"/>
    <w:rsid w:val="009166CA"/>
    <w:rsid w:val="009167B2"/>
    <w:rsid w:val="00916AE3"/>
    <w:rsid w:val="00916B8C"/>
    <w:rsid w:val="00916C5A"/>
    <w:rsid w:val="00917067"/>
    <w:rsid w:val="00917098"/>
    <w:rsid w:val="009170A7"/>
    <w:rsid w:val="0091747D"/>
    <w:rsid w:val="009174BB"/>
    <w:rsid w:val="00917621"/>
    <w:rsid w:val="00917651"/>
    <w:rsid w:val="0091785D"/>
    <w:rsid w:val="00917BF9"/>
    <w:rsid w:val="00917C52"/>
    <w:rsid w:val="00920084"/>
    <w:rsid w:val="00920280"/>
    <w:rsid w:val="0092075E"/>
    <w:rsid w:val="00920E2D"/>
    <w:rsid w:val="00920E55"/>
    <w:rsid w:val="00921080"/>
    <w:rsid w:val="009210C8"/>
    <w:rsid w:val="009219F6"/>
    <w:rsid w:val="00921C91"/>
    <w:rsid w:val="00921EFC"/>
    <w:rsid w:val="00922171"/>
    <w:rsid w:val="009223D6"/>
    <w:rsid w:val="009227A7"/>
    <w:rsid w:val="009228D0"/>
    <w:rsid w:val="009228ED"/>
    <w:rsid w:val="00922928"/>
    <w:rsid w:val="009229A2"/>
    <w:rsid w:val="00922FD8"/>
    <w:rsid w:val="009230C2"/>
    <w:rsid w:val="00923326"/>
    <w:rsid w:val="009233E6"/>
    <w:rsid w:val="009233EE"/>
    <w:rsid w:val="00923609"/>
    <w:rsid w:val="00923630"/>
    <w:rsid w:val="009239FA"/>
    <w:rsid w:val="00923C0F"/>
    <w:rsid w:val="00924089"/>
    <w:rsid w:val="009243F1"/>
    <w:rsid w:val="0092462F"/>
    <w:rsid w:val="00924868"/>
    <w:rsid w:val="00924984"/>
    <w:rsid w:val="009249D0"/>
    <w:rsid w:val="00924A28"/>
    <w:rsid w:val="00925230"/>
    <w:rsid w:val="009253DB"/>
    <w:rsid w:val="0092551D"/>
    <w:rsid w:val="00925529"/>
    <w:rsid w:val="0092553F"/>
    <w:rsid w:val="009257C3"/>
    <w:rsid w:val="009258B2"/>
    <w:rsid w:val="00925E1D"/>
    <w:rsid w:val="00926621"/>
    <w:rsid w:val="009269B9"/>
    <w:rsid w:val="00926BD1"/>
    <w:rsid w:val="00926E76"/>
    <w:rsid w:val="009271D2"/>
    <w:rsid w:val="009271D9"/>
    <w:rsid w:val="00927423"/>
    <w:rsid w:val="00927481"/>
    <w:rsid w:val="009276E9"/>
    <w:rsid w:val="009277AB"/>
    <w:rsid w:val="00927831"/>
    <w:rsid w:val="0092797C"/>
    <w:rsid w:val="00927B3E"/>
    <w:rsid w:val="00927B91"/>
    <w:rsid w:val="00927EEB"/>
    <w:rsid w:val="00930201"/>
    <w:rsid w:val="00930474"/>
    <w:rsid w:val="009307FD"/>
    <w:rsid w:val="009308C5"/>
    <w:rsid w:val="00930C22"/>
    <w:rsid w:val="00930D3B"/>
    <w:rsid w:val="00930EF8"/>
    <w:rsid w:val="00930FAD"/>
    <w:rsid w:val="00931052"/>
    <w:rsid w:val="00931819"/>
    <w:rsid w:val="00931A01"/>
    <w:rsid w:val="00932041"/>
    <w:rsid w:val="009320C6"/>
    <w:rsid w:val="009320EE"/>
    <w:rsid w:val="009321E0"/>
    <w:rsid w:val="009323E6"/>
    <w:rsid w:val="00932446"/>
    <w:rsid w:val="009324BC"/>
    <w:rsid w:val="00932726"/>
    <w:rsid w:val="009328F2"/>
    <w:rsid w:val="00932BAC"/>
    <w:rsid w:val="00932D48"/>
    <w:rsid w:val="00932EFB"/>
    <w:rsid w:val="00932F65"/>
    <w:rsid w:val="009330F6"/>
    <w:rsid w:val="0093326B"/>
    <w:rsid w:val="00933486"/>
    <w:rsid w:val="0093375E"/>
    <w:rsid w:val="009337AE"/>
    <w:rsid w:val="009338A4"/>
    <w:rsid w:val="009338E4"/>
    <w:rsid w:val="009339A0"/>
    <w:rsid w:val="00933A05"/>
    <w:rsid w:val="00933A97"/>
    <w:rsid w:val="00933D64"/>
    <w:rsid w:val="00933F37"/>
    <w:rsid w:val="009341A7"/>
    <w:rsid w:val="00934378"/>
    <w:rsid w:val="00934A16"/>
    <w:rsid w:val="00934ACB"/>
    <w:rsid w:val="00934B9A"/>
    <w:rsid w:val="00934C0F"/>
    <w:rsid w:val="0093522C"/>
    <w:rsid w:val="00935294"/>
    <w:rsid w:val="0093539D"/>
    <w:rsid w:val="00935411"/>
    <w:rsid w:val="009355A6"/>
    <w:rsid w:val="00935613"/>
    <w:rsid w:val="0093592A"/>
    <w:rsid w:val="00935EAE"/>
    <w:rsid w:val="00936034"/>
    <w:rsid w:val="0093606C"/>
    <w:rsid w:val="00936349"/>
    <w:rsid w:val="00936500"/>
    <w:rsid w:val="009368DE"/>
    <w:rsid w:val="00936AB5"/>
    <w:rsid w:val="00936B13"/>
    <w:rsid w:val="00936FC4"/>
    <w:rsid w:val="0093706A"/>
    <w:rsid w:val="00937181"/>
    <w:rsid w:val="00937192"/>
    <w:rsid w:val="009372E0"/>
    <w:rsid w:val="00937591"/>
    <w:rsid w:val="00937991"/>
    <w:rsid w:val="00937CC8"/>
    <w:rsid w:val="00937E7A"/>
    <w:rsid w:val="00937F8D"/>
    <w:rsid w:val="0094011E"/>
    <w:rsid w:val="00940236"/>
    <w:rsid w:val="00940238"/>
    <w:rsid w:val="009402D5"/>
    <w:rsid w:val="0094058B"/>
    <w:rsid w:val="00940782"/>
    <w:rsid w:val="009407BB"/>
    <w:rsid w:val="00940836"/>
    <w:rsid w:val="00940869"/>
    <w:rsid w:val="009408AF"/>
    <w:rsid w:val="00940DD7"/>
    <w:rsid w:val="00940E76"/>
    <w:rsid w:val="009412EE"/>
    <w:rsid w:val="009413E1"/>
    <w:rsid w:val="00941544"/>
    <w:rsid w:val="00941863"/>
    <w:rsid w:val="00941D42"/>
    <w:rsid w:val="009420BE"/>
    <w:rsid w:val="009423D7"/>
    <w:rsid w:val="00942477"/>
    <w:rsid w:val="0094295C"/>
    <w:rsid w:val="009429EF"/>
    <w:rsid w:val="009429F7"/>
    <w:rsid w:val="00942B17"/>
    <w:rsid w:val="00942CFE"/>
    <w:rsid w:val="00942E08"/>
    <w:rsid w:val="00942E8D"/>
    <w:rsid w:val="00943213"/>
    <w:rsid w:val="00943805"/>
    <w:rsid w:val="00943E0A"/>
    <w:rsid w:val="009441A3"/>
    <w:rsid w:val="0094468C"/>
    <w:rsid w:val="00944D70"/>
    <w:rsid w:val="00944D8F"/>
    <w:rsid w:val="00944F6F"/>
    <w:rsid w:val="009450A8"/>
    <w:rsid w:val="009450EB"/>
    <w:rsid w:val="00945288"/>
    <w:rsid w:val="009453AA"/>
    <w:rsid w:val="0094566A"/>
    <w:rsid w:val="00945699"/>
    <w:rsid w:val="00945751"/>
    <w:rsid w:val="009457F3"/>
    <w:rsid w:val="009458C9"/>
    <w:rsid w:val="00946152"/>
    <w:rsid w:val="009462A4"/>
    <w:rsid w:val="009464E3"/>
    <w:rsid w:val="00946708"/>
    <w:rsid w:val="00946734"/>
    <w:rsid w:val="00946964"/>
    <w:rsid w:val="00946ADA"/>
    <w:rsid w:val="009470F3"/>
    <w:rsid w:val="009473AF"/>
    <w:rsid w:val="00947837"/>
    <w:rsid w:val="00947933"/>
    <w:rsid w:val="00947AB0"/>
    <w:rsid w:val="00947AD3"/>
    <w:rsid w:val="00947B8A"/>
    <w:rsid w:val="009501B6"/>
    <w:rsid w:val="009501DB"/>
    <w:rsid w:val="00950549"/>
    <w:rsid w:val="00950555"/>
    <w:rsid w:val="0095082A"/>
    <w:rsid w:val="00950918"/>
    <w:rsid w:val="00950956"/>
    <w:rsid w:val="00950D23"/>
    <w:rsid w:val="00950DD8"/>
    <w:rsid w:val="00951030"/>
    <w:rsid w:val="00951119"/>
    <w:rsid w:val="009514DB"/>
    <w:rsid w:val="009517B8"/>
    <w:rsid w:val="009517F3"/>
    <w:rsid w:val="00951853"/>
    <w:rsid w:val="00951A18"/>
    <w:rsid w:val="00951F04"/>
    <w:rsid w:val="009520EE"/>
    <w:rsid w:val="00952241"/>
    <w:rsid w:val="00952315"/>
    <w:rsid w:val="009523D9"/>
    <w:rsid w:val="0095254D"/>
    <w:rsid w:val="0095255E"/>
    <w:rsid w:val="0095269C"/>
    <w:rsid w:val="009527D5"/>
    <w:rsid w:val="009529F9"/>
    <w:rsid w:val="00952D80"/>
    <w:rsid w:val="00952F90"/>
    <w:rsid w:val="009532E4"/>
    <w:rsid w:val="00953727"/>
    <w:rsid w:val="00953833"/>
    <w:rsid w:val="00953DB6"/>
    <w:rsid w:val="009542F3"/>
    <w:rsid w:val="009542FD"/>
    <w:rsid w:val="009543F1"/>
    <w:rsid w:val="0095459E"/>
    <w:rsid w:val="009547BE"/>
    <w:rsid w:val="00954904"/>
    <w:rsid w:val="00954A4C"/>
    <w:rsid w:val="00954BC9"/>
    <w:rsid w:val="00954DD7"/>
    <w:rsid w:val="009557C6"/>
    <w:rsid w:val="00955ECF"/>
    <w:rsid w:val="00955F22"/>
    <w:rsid w:val="00955F93"/>
    <w:rsid w:val="00956243"/>
    <w:rsid w:val="009566D7"/>
    <w:rsid w:val="00956770"/>
    <w:rsid w:val="0095688D"/>
    <w:rsid w:val="009568A6"/>
    <w:rsid w:val="00956A61"/>
    <w:rsid w:val="00956FC7"/>
    <w:rsid w:val="0095738F"/>
    <w:rsid w:val="0095744A"/>
    <w:rsid w:val="00957451"/>
    <w:rsid w:val="00957561"/>
    <w:rsid w:val="00957572"/>
    <w:rsid w:val="0095788C"/>
    <w:rsid w:val="00957BB7"/>
    <w:rsid w:val="00960051"/>
    <w:rsid w:val="00960199"/>
    <w:rsid w:val="009601BC"/>
    <w:rsid w:val="009606C0"/>
    <w:rsid w:val="00960711"/>
    <w:rsid w:val="00960862"/>
    <w:rsid w:val="00960D79"/>
    <w:rsid w:val="00960FA7"/>
    <w:rsid w:val="00961148"/>
    <w:rsid w:val="00961152"/>
    <w:rsid w:val="009611E2"/>
    <w:rsid w:val="00961486"/>
    <w:rsid w:val="00961622"/>
    <w:rsid w:val="00961784"/>
    <w:rsid w:val="009617E6"/>
    <w:rsid w:val="00961921"/>
    <w:rsid w:val="00961B19"/>
    <w:rsid w:val="00961DD9"/>
    <w:rsid w:val="00961F96"/>
    <w:rsid w:val="00962480"/>
    <w:rsid w:val="009625E6"/>
    <w:rsid w:val="009627DF"/>
    <w:rsid w:val="00962851"/>
    <w:rsid w:val="0096292E"/>
    <w:rsid w:val="00962AB2"/>
    <w:rsid w:val="00962ACE"/>
    <w:rsid w:val="00962E9F"/>
    <w:rsid w:val="0096346A"/>
    <w:rsid w:val="00963726"/>
    <w:rsid w:val="0096386B"/>
    <w:rsid w:val="00964323"/>
    <w:rsid w:val="00964841"/>
    <w:rsid w:val="00964B29"/>
    <w:rsid w:val="00964DE5"/>
    <w:rsid w:val="00964FD0"/>
    <w:rsid w:val="00964FFA"/>
    <w:rsid w:val="00965271"/>
    <w:rsid w:val="009653DB"/>
    <w:rsid w:val="009654F4"/>
    <w:rsid w:val="00965634"/>
    <w:rsid w:val="0096564D"/>
    <w:rsid w:val="009657B8"/>
    <w:rsid w:val="00965A9C"/>
    <w:rsid w:val="00965D33"/>
    <w:rsid w:val="00965D71"/>
    <w:rsid w:val="009662C3"/>
    <w:rsid w:val="00966309"/>
    <w:rsid w:val="00966414"/>
    <w:rsid w:val="009669B6"/>
    <w:rsid w:val="00966AB5"/>
    <w:rsid w:val="00966D43"/>
    <w:rsid w:val="00966E43"/>
    <w:rsid w:val="00966F85"/>
    <w:rsid w:val="0096716F"/>
    <w:rsid w:val="0096726F"/>
    <w:rsid w:val="009672BF"/>
    <w:rsid w:val="00967312"/>
    <w:rsid w:val="00967336"/>
    <w:rsid w:val="0096748D"/>
    <w:rsid w:val="009676FE"/>
    <w:rsid w:val="009677F1"/>
    <w:rsid w:val="00967A29"/>
    <w:rsid w:val="00967B85"/>
    <w:rsid w:val="00967C82"/>
    <w:rsid w:val="00967D86"/>
    <w:rsid w:val="00967EED"/>
    <w:rsid w:val="009703CE"/>
    <w:rsid w:val="00970575"/>
    <w:rsid w:val="009709FD"/>
    <w:rsid w:val="00970A4F"/>
    <w:rsid w:val="00970AFB"/>
    <w:rsid w:val="0097143B"/>
    <w:rsid w:val="0097143D"/>
    <w:rsid w:val="00971474"/>
    <w:rsid w:val="009714C5"/>
    <w:rsid w:val="009718E2"/>
    <w:rsid w:val="00971DAC"/>
    <w:rsid w:val="00971E89"/>
    <w:rsid w:val="00971ED0"/>
    <w:rsid w:val="0097217B"/>
    <w:rsid w:val="009727F2"/>
    <w:rsid w:val="00972E7A"/>
    <w:rsid w:val="00972FD6"/>
    <w:rsid w:val="00973218"/>
    <w:rsid w:val="00973802"/>
    <w:rsid w:val="00973A2B"/>
    <w:rsid w:val="00973A9C"/>
    <w:rsid w:val="00974613"/>
    <w:rsid w:val="00974845"/>
    <w:rsid w:val="00974928"/>
    <w:rsid w:val="0097496B"/>
    <w:rsid w:val="00974995"/>
    <w:rsid w:val="009749A3"/>
    <w:rsid w:val="00974B03"/>
    <w:rsid w:val="00975032"/>
    <w:rsid w:val="009753A6"/>
    <w:rsid w:val="00975656"/>
    <w:rsid w:val="00975E70"/>
    <w:rsid w:val="009761FD"/>
    <w:rsid w:val="00976396"/>
    <w:rsid w:val="009763C6"/>
    <w:rsid w:val="009763F4"/>
    <w:rsid w:val="00976424"/>
    <w:rsid w:val="0097644E"/>
    <w:rsid w:val="009767C8"/>
    <w:rsid w:val="00976876"/>
    <w:rsid w:val="00976F6A"/>
    <w:rsid w:val="0097701B"/>
    <w:rsid w:val="009771A3"/>
    <w:rsid w:val="00977498"/>
    <w:rsid w:val="00977B30"/>
    <w:rsid w:val="00977D49"/>
    <w:rsid w:val="009801DE"/>
    <w:rsid w:val="0098033C"/>
    <w:rsid w:val="0098054D"/>
    <w:rsid w:val="00980688"/>
    <w:rsid w:val="00980B64"/>
    <w:rsid w:val="00980B99"/>
    <w:rsid w:val="00980D5F"/>
    <w:rsid w:val="00981436"/>
    <w:rsid w:val="00981884"/>
    <w:rsid w:val="00981AF3"/>
    <w:rsid w:val="00981CBE"/>
    <w:rsid w:val="00981EAD"/>
    <w:rsid w:val="00981EBF"/>
    <w:rsid w:val="00982521"/>
    <w:rsid w:val="00982593"/>
    <w:rsid w:val="009825CD"/>
    <w:rsid w:val="00982BAB"/>
    <w:rsid w:val="00982BC1"/>
    <w:rsid w:val="00982D88"/>
    <w:rsid w:val="00982E58"/>
    <w:rsid w:val="0098307B"/>
    <w:rsid w:val="009831BF"/>
    <w:rsid w:val="00983297"/>
    <w:rsid w:val="00983664"/>
    <w:rsid w:val="00983961"/>
    <w:rsid w:val="00983979"/>
    <w:rsid w:val="00983C9E"/>
    <w:rsid w:val="00983DC3"/>
    <w:rsid w:val="009841B2"/>
    <w:rsid w:val="009842AA"/>
    <w:rsid w:val="00984312"/>
    <w:rsid w:val="00984F08"/>
    <w:rsid w:val="00985144"/>
    <w:rsid w:val="009852B0"/>
    <w:rsid w:val="009856F6"/>
    <w:rsid w:val="009858CE"/>
    <w:rsid w:val="009858D5"/>
    <w:rsid w:val="00985C01"/>
    <w:rsid w:val="00985C8E"/>
    <w:rsid w:val="00985E82"/>
    <w:rsid w:val="00985F34"/>
    <w:rsid w:val="00985F59"/>
    <w:rsid w:val="009860E8"/>
    <w:rsid w:val="009861AE"/>
    <w:rsid w:val="0098651B"/>
    <w:rsid w:val="00986528"/>
    <w:rsid w:val="009866AD"/>
    <w:rsid w:val="00986846"/>
    <w:rsid w:val="00986867"/>
    <w:rsid w:val="00986A24"/>
    <w:rsid w:val="00986C2D"/>
    <w:rsid w:val="00986D07"/>
    <w:rsid w:val="00986DFB"/>
    <w:rsid w:val="00986F38"/>
    <w:rsid w:val="00986FD6"/>
    <w:rsid w:val="00987097"/>
    <w:rsid w:val="009872A4"/>
    <w:rsid w:val="0098744B"/>
    <w:rsid w:val="009875B1"/>
    <w:rsid w:val="00987884"/>
    <w:rsid w:val="00987A28"/>
    <w:rsid w:val="00990178"/>
    <w:rsid w:val="009902D0"/>
    <w:rsid w:val="00990508"/>
    <w:rsid w:val="00990A88"/>
    <w:rsid w:val="00990D9F"/>
    <w:rsid w:val="00990F05"/>
    <w:rsid w:val="00990F12"/>
    <w:rsid w:val="00990F75"/>
    <w:rsid w:val="009910CB"/>
    <w:rsid w:val="00991514"/>
    <w:rsid w:val="00991526"/>
    <w:rsid w:val="00991599"/>
    <w:rsid w:val="0099170C"/>
    <w:rsid w:val="00991791"/>
    <w:rsid w:val="009918D5"/>
    <w:rsid w:val="00991E62"/>
    <w:rsid w:val="0099201C"/>
    <w:rsid w:val="0099212E"/>
    <w:rsid w:val="0099214A"/>
    <w:rsid w:val="009924E0"/>
    <w:rsid w:val="0099258D"/>
    <w:rsid w:val="00992747"/>
    <w:rsid w:val="0099288E"/>
    <w:rsid w:val="00992A69"/>
    <w:rsid w:val="00992C7D"/>
    <w:rsid w:val="00992D24"/>
    <w:rsid w:val="00992DAF"/>
    <w:rsid w:val="00992E0B"/>
    <w:rsid w:val="00992EEB"/>
    <w:rsid w:val="00993558"/>
    <w:rsid w:val="00993917"/>
    <w:rsid w:val="0099397D"/>
    <w:rsid w:val="00993B35"/>
    <w:rsid w:val="00993CDA"/>
    <w:rsid w:val="00993D0F"/>
    <w:rsid w:val="00994044"/>
    <w:rsid w:val="009942F5"/>
    <w:rsid w:val="009944DB"/>
    <w:rsid w:val="009944FB"/>
    <w:rsid w:val="009947E9"/>
    <w:rsid w:val="00994898"/>
    <w:rsid w:val="00994C43"/>
    <w:rsid w:val="00994E15"/>
    <w:rsid w:val="00995354"/>
    <w:rsid w:val="009953F5"/>
    <w:rsid w:val="0099577D"/>
    <w:rsid w:val="00995B06"/>
    <w:rsid w:val="00995B8C"/>
    <w:rsid w:val="00995C75"/>
    <w:rsid w:val="00995D11"/>
    <w:rsid w:val="00995D54"/>
    <w:rsid w:val="009963D8"/>
    <w:rsid w:val="0099661E"/>
    <w:rsid w:val="00996873"/>
    <w:rsid w:val="00996D12"/>
    <w:rsid w:val="00996E4F"/>
    <w:rsid w:val="00996F96"/>
    <w:rsid w:val="0099711C"/>
    <w:rsid w:val="0099737C"/>
    <w:rsid w:val="00997475"/>
    <w:rsid w:val="009974A6"/>
    <w:rsid w:val="0099775D"/>
    <w:rsid w:val="0099789A"/>
    <w:rsid w:val="00997C07"/>
    <w:rsid w:val="009A005E"/>
    <w:rsid w:val="009A02A9"/>
    <w:rsid w:val="009A048C"/>
    <w:rsid w:val="009A04E9"/>
    <w:rsid w:val="009A064A"/>
    <w:rsid w:val="009A09CC"/>
    <w:rsid w:val="009A0A25"/>
    <w:rsid w:val="009A0C84"/>
    <w:rsid w:val="009A0DE8"/>
    <w:rsid w:val="009A0DEB"/>
    <w:rsid w:val="009A0E13"/>
    <w:rsid w:val="009A0FA3"/>
    <w:rsid w:val="009A13E9"/>
    <w:rsid w:val="009A142A"/>
    <w:rsid w:val="009A14C1"/>
    <w:rsid w:val="009A18D2"/>
    <w:rsid w:val="009A1C04"/>
    <w:rsid w:val="009A1C57"/>
    <w:rsid w:val="009A1F11"/>
    <w:rsid w:val="009A226E"/>
    <w:rsid w:val="009A22AC"/>
    <w:rsid w:val="009A2681"/>
    <w:rsid w:val="009A26B9"/>
    <w:rsid w:val="009A2AE9"/>
    <w:rsid w:val="009A2DAB"/>
    <w:rsid w:val="009A3540"/>
    <w:rsid w:val="009A367C"/>
    <w:rsid w:val="009A3978"/>
    <w:rsid w:val="009A3C9C"/>
    <w:rsid w:val="009A3DFD"/>
    <w:rsid w:val="009A4078"/>
    <w:rsid w:val="009A41CC"/>
    <w:rsid w:val="009A42D8"/>
    <w:rsid w:val="009A4834"/>
    <w:rsid w:val="009A4F9A"/>
    <w:rsid w:val="009A4FA4"/>
    <w:rsid w:val="009A5077"/>
    <w:rsid w:val="009A5343"/>
    <w:rsid w:val="009A5527"/>
    <w:rsid w:val="009A573F"/>
    <w:rsid w:val="009A593A"/>
    <w:rsid w:val="009A5958"/>
    <w:rsid w:val="009A5BA2"/>
    <w:rsid w:val="009A5C00"/>
    <w:rsid w:val="009A5C15"/>
    <w:rsid w:val="009A5CA8"/>
    <w:rsid w:val="009A5CC5"/>
    <w:rsid w:val="009A5DF5"/>
    <w:rsid w:val="009A6085"/>
    <w:rsid w:val="009A61F7"/>
    <w:rsid w:val="009A6459"/>
    <w:rsid w:val="009A6496"/>
    <w:rsid w:val="009A6508"/>
    <w:rsid w:val="009A673D"/>
    <w:rsid w:val="009A6920"/>
    <w:rsid w:val="009A6B54"/>
    <w:rsid w:val="009A6BD5"/>
    <w:rsid w:val="009A6F71"/>
    <w:rsid w:val="009A709D"/>
    <w:rsid w:val="009A7558"/>
    <w:rsid w:val="009A7751"/>
    <w:rsid w:val="009A7B2A"/>
    <w:rsid w:val="009A7CF1"/>
    <w:rsid w:val="009B0223"/>
    <w:rsid w:val="009B0337"/>
    <w:rsid w:val="009B052F"/>
    <w:rsid w:val="009B05EA"/>
    <w:rsid w:val="009B0AD9"/>
    <w:rsid w:val="009B0B05"/>
    <w:rsid w:val="009B0BF9"/>
    <w:rsid w:val="009B0EC5"/>
    <w:rsid w:val="009B0FD6"/>
    <w:rsid w:val="009B10A8"/>
    <w:rsid w:val="009B12E6"/>
    <w:rsid w:val="009B1481"/>
    <w:rsid w:val="009B1569"/>
    <w:rsid w:val="009B15E0"/>
    <w:rsid w:val="009B195E"/>
    <w:rsid w:val="009B1A02"/>
    <w:rsid w:val="009B1D06"/>
    <w:rsid w:val="009B21B0"/>
    <w:rsid w:val="009B2271"/>
    <w:rsid w:val="009B244E"/>
    <w:rsid w:val="009B24DE"/>
    <w:rsid w:val="009B2860"/>
    <w:rsid w:val="009B29DC"/>
    <w:rsid w:val="009B2AF3"/>
    <w:rsid w:val="009B2C61"/>
    <w:rsid w:val="009B2CA8"/>
    <w:rsid w:val="009B2E8D"/>
    <w:rsid w:val="009B2E9D"/>
    <w:rsid w:val="009B2F1A"/>
    <w:rsid w:val="009B3086"/>
    <w:rsid w:val="009B3188"/>
    <w:rsid w:val="009B33D0"/>
    <w:rsid w:val="009B37E9"/>
    <w:rsid w:val="009B38E9"/>
    <w:rsid w:val="009B395B"/>
    <w:rsid w:val="009B3982"/>
    <w:rsid w:val="009B39EE"/>
    <w:rsid w:val="009B3AFB"/>
    <w:rsid w:val="009B3CB3"/>
    <w:rsid w:val="009B3F4F"/>
    <w:rsid w:val="009B4022"/>
    <w:rsid w:val="009B4058"/>
    <w:rsid w:val="009B4081"/>
    <w:rsid w:val="009B41A3"/>
    <w:rsid w:val="009B423C"/>
    <w:rsid w:val="009B4949"/>
    <w:rsid w:val="009B4CE9"/>
    <w:rsid w:val="009B4D18"/>
    <w:rsid w:val="009B4F66"/>
    <w:rsid w:val="009B4FA3"/>
    <w:rsid w:val="009B504A"/>
    <w:rsid w:val="009B5144"/>
    <w:rsid w:val="009B5596"/>
    <w:rsid w:val="009B57DC"/>
    <w:rsid w:val="009B5AB1"/>
    <w:rsid w:val="009B5C0F"/>
    <w:rsid w:val="009B5C3E"/>
    <w:rsid w:val="009B5EAE"/>
    <w:rsid w:val="009B60F2"/>
    <w:rsid w:val="009B610A"/>
    <w:rsid w:val="009B6240"/>
    <w:rsid w:val="009B63A4"/>
    <w:rsid w:val="009B6544"/>
    <w:rsid w:val="009B679A"/>
    <w:rsid w:val="009B686C"/>
    <w:rsid w:val="009B6A73"/>
    <w:rsid w:val="009B6A76"/>
    <w:rsid w:val="009B6AD1"/>
    <w:rsid w:val="009B6E42"/>
    <w:rsid w:val="009B7084"/>
    <w:rsid w:val="009B70CF"/>
    <w:rsid w:val="009B72CE"/>
    <w:rsid w:val="009B738F"/>
    <w:rsid w:val="009B78D2"/>
    <w:rsid w:val="009B7CAB"/>
    <w:rsid w:val="009B7E39"/>
    <w:rsid w:val="009B7F0F"/>
    <w:rsid w:val="009B7F81"/>
    <w:rsid w:val="009C0202"/>
    <w:rsid w:val="009C026B"/>
    <w:rsid w:val="009C0664"/>
    <w:rsid w:val="009C06B8"/>
    <w:rsid w:val="009C09A6"/>
    <w:rsid w:val="009C0A30"/>
    <w:rsid w:val="009C0CEE"/>
    <w:rsid w:val="009C0DB0"/>
    <w:rsid w:val="009C11B6"/>
    <w:rsid w:val="009C11C4"/>
    <w:rsid w:val="009C12EE"/>
    <w:rsid w:val="009C12F4"/>
    <w:rsid w:val="009C1355"/>
    <w:rsid w:val="009C13BE"/>
    <w:rsid w:val="009C154D"/>
    <w:rsid w:val="009C1BD9"/>
    <w:rsid w:val="009C1C3F"/>
    <w:rsid w:val="009C211C"/>
    <w:rsid w:val="009C21A6"/>
    <w:rsid w:val="009C2381"/>
    <w:rsid w:val="009C239F"/>
    <w:rsid w:val="009C2807"/>
    <w:rsid w:val="009C296E"/>
    <w:rsid w:val="009C297B"/>
    <w:rsid w:val="009C2C38"/>
    <w:rsid w:val="009C2D51"/>
    <w:rsid w:val="009C2F9C"/>
    <w:rsid w:val="009C3017"/>
    <w:rsid w:val="009C307C"/>
    <w:rsid w:val="009C3084"/>
    <w:rsid w:val="009C319C"/>
    <w:rsid w:val="009C3249"/>
    <w:rsid w:val="009C3343"/>
    <w:rsid w:val="009C335F"/>
    <w:rsid w:val="009C35FD"/>
    <w:rsid w:val="009C3FFB"/>
    <w:rsid w:val="009C4603"/>
    <w:rsid w:val="009C46F8"/>
    <w:rsid w:val="009C47D3"/>
    <w:rsid w:val="009C47EA"/>
    <w:rsid w:val="009C4EFF"/>
    <w:rsid w:val="009C55E9"/>
    <w:rsid w:val="009C5670"/>
    <w:rsid w:val="009C5846"/>
    <w:rsid w:val="009C5A6A"/>
    <w:rsid w:val="009C5AB1"/>
    <w:rsid w:val="009C5B34"/>
    <w:rsid w:val="009C5B8C"/>
    <w:rsid w:val="009C5BE4"/>
    <w:rsid w:val="009C5BEE"/>
    <w:rsid w:val="009C5D92"/>
    <w:rsid w:val="009C5D97"/>
    <w:rsid w:val="009C5ED2"/>
    <w:rsid w:val="009C5F27"/>
    <w:rsid w:val="009C6124"/>
    <w:rsid w:val="009C620E"/>
    <w:rsid w:val="009C64A6"/>
    <w:rsid w:val="009C6698"/>
    <w:rsid w:val="009C6E58"/>
    <w:rsid w:val="009C6ED7"/>
    <w:rsid w:val="009C7160"/>
    <w:rsid w:val="009C783A"/>
    <w:rsid w:val="009C787E"/>
    <w:rsid w:val="009C7990"/>
    <w:rsid w:val="009C7B51"/>
    <w:rsid w:val="009C7C27"/>
    <w:rsid w:val="009C7C38"/>
    <w:rsid w:val="009C7EFA"/>
    <w:rsid w:val="009C7FBD"/>
    <w:rsid w:val="009D007B"/>
    <w:rsid w:val="009D03DC"/>
    <w:rsid w:val="009D043C"/>
    <w:rsid w:val="009D08A3"/>
    <w:rsid w:val="009D0AFF"/>
    <w:rsid w:val="009D0DA4"/>
    <w:rsid w:val="009D1197"/>
    <w:rsid w:val="009D119F"/>
    <w:rsid w:val="009D11BD"/>
    <w:rsid w:val="009D1A1C"/>
    <w:rsid w:val="009D1BC1"/>
    <w:rsid w:val="009D1F85"/>
    <w:rsid w:val="009D21BA"/>
    <w:rsid w:val="009D2432"/>
    <w:rsid w:val="009D24C5"/>
    <w:rsid w:val="009D2519"/>
    <w:rsid w:val="009D2586"/>
    <w:rsid w:val="009D2BD7"/>
    <w:rsid w:val="009D2E0D"/>
    <w:rsid w:val="009D309C"/>
    <w:rsid w:val="009D3816"/>
    <w:rsid w:val="009D3CBD"/>
    <w:rsid w:val="009D3E8A"/>
    <w:rsid w:val="009D3F21"/>
    <w:rsid w:val="009D4238"/>
    <w:rsid w:val="009D43CA"/>
    <w:rsid w:val="009D4703"/>
    <w:rsid w:val="009D470C"/>
    <w:rsid w:val="009D4C90"/>
    <w:rsid w:val="009D4EEF"/>
    <w:rsid w:val="009D5035"/>
    <w:rsid w:val="009D5166"/>
    <w:rsid w:val="009D519D"/>
    <w:rsid w:val="009D52D2"/>
    <w:rsid w:val="009D5320"/>
    <w:rsid w:val="009D57B9"/>
    <w:rsid w:val="009D589B"/>
    <w:rsid w:val="009D5DF9"/>
    <w:rsid w:val="009D611A"/>
    <w:rsid w:val="009D620C"/>
    <w:rsid w:val="009D638C"/>
    <w:rsid w:val="009D64C2"/>
    <w:rsid w:val="009D6794"/>
    <w:rsid w:val="009D689F"/>
    <w:rsid w:val="009D6CA3"/>
    <w:rsid w:val="009D6F95"/>
    <w:rsid w:val="009D728C"/>
    <w:rsid w:val="009D78A8"/>
    <w:rsid w:val="009D7D71"/>
    <w:rsid w:val="009D7F99"/>
    <w:rsid w:val="009E02CF"/>
    <w:rsid w:val="009E04C2"/>
    <w:rsid w:val="009E07CE"/>
    <w:rsid w:val="009E0962"/>
    <w:rsid w:val="009E0977"/>
    <w:rsid w:val="009E0E8C"/>
    <w:rsid w:val="009E117D"/>
    <w:rsid w:val="009E1590"/>
    <w:rsid w:val="009E15F8"/>
    <w:rsid w:val="009E18B6"/>
    <w:rsid w:val="009E1BEC"/>
    <w:rsid w:val="009E22E6"/>
    <w:rsid w:val="009E2390"/>
    <w:rsid w:val="009E2559"/>
    <w:rsid w:val="009E264F"/>
    <w:rsid w:val="009E28A6"/>
    <w:rsid w:val="009E2CFC"/>
    <w:rsid w:val="009E2ED0"/>
    <w:rsid w:val="009E330F"/>
    <w:rsid w:val="009E332F"/>
    <w:rsid w:val="009E3411"/>
    <w:rsid w:val="009E3533"/>
    <w:rsid w:val="009E39DE"/>
    <w:rsid w:val="009E3F54"/>
    <w:rsid w:val="009E3FC3"/>
    <w:rsid w:val="009E4671"/>
    <w:rsid w:val="009E4715"/>
    <w:rsid w:val="009E4A05"/>
    <w:rsid w:val="009E4B53"/>
    <w:rsid w:val="009E4C99"/>
    <w:rsid w:val="009E4EED"/>
    <w:rsid w:val="009E4F77"/>
    <w:rsid w:val="009E520D"/>
    <w:rsid w:val="009E53BE"/>
    <w:rsid w:val="009E5687"/>
    <w:rsid w:val="009E588B"/>
    <w:rsid w:val="009E58EB"/>
    <w:rsid w:val="009E6069"/>
    <w:rsid w:val="009E6388"/>
    <w:rsid w:val="009E6436"/>
    <w:rsid w:val="009E6ADB"/>
    <w:rsid w:val="009E6B3A"/>
    <w:rsid w:val="009E6CD5"/>
    <w:rsid w:val="009E6DD7"/>
    <w:rsid w:val="009E6E01"/>
    <w:rsid w:val="009E6F12"/>
    <w:rsid w:val="009E7165"/>
    <w:rsid w:val="009E71F0"/>
    <w:rsid w:val="009E72D4"/>
    <w:rsid w:val="009E743D"/>
    <w:rsid w:val="009E747D"/>
    <w:rsid w:val="009E76C4"/>
    <w:rsid w:val="009E7B31"/>
    <w:rsid w:val="009E7C3A"/>
    <w:rsid w:val="009F046F"/>
    <w:rsid w:val="009F0865"/>
    <w:rsid w:val="009F08BE"/>
    <w:rsid w:val="009F08D1"/>
    <w:rsid w:val="009F0DA0"/>
    <w:rsid w:val="009F13CB"/>
    <w:rsid w:val="009F1655"/>
    <w:rsid w:val="009F169F"/>
    <w:rsid w:val="009F1B8E"/>
    <w:rsid w:val="009F1DBD"/>
    <w:rsid w:val="009F1E7C"/>
    <w:rsid w:val="009F215E"/>
    <w:rsid w:val="009F2236"/>
    <w:rsid w:val="009F23B7"/>
    <w:rsid w:val="009F249E"/>
    <w:rsid w:val="009F24CD"/>
    <w:rsid w:val="009F24D4"/>
    <w:rsid w:val="009F25B9"/>
    <w:rsid w:val="009F2D38"/>
    <w:rsid w:val="009F3001"/>
    <w:rsid w:val="009F3080"/>
    <w:rsid w:val="009F3086"/>
    <w:rsid w:val="009F3151"/>
    <w:rsid w:val="009F368E"/>
    <w:rsid w:val="009F3725"/>
    <w:rsid w:val="009F389E"/>
    <w:rsid w:val="009F3AEA"/>
    <w:rsid w:val="009F3C49"/>
    <w:rsid w:val="009F3FA2"/>
    <w:rsid w:val="009F4075"/>
    <w:rsid w:val="009F41E2"/>
    <w:rsid w:val="009F4484"/>
    <w:rsid w:val="009F4975"/>
    <w:rsid w:val="009F4B02"/>
    <w:rsid w:val="009F4DF7"/>
    <w:rsid w:val="009F4E49"/>
    <w:rsid w:val="009F50F7"/>
    <w:rsid w:val="009F5520"/>
    <w:rsid w:val="009F5991"/>
    <w:rsid w:val="009F630D"/>
    <w:rsid w:val="009F6392"/>
    <w:rsid w:val="009F63A9"/>
    <w:rsid w:val="009F63AF"/>
    <w:rsid w:val="009F6494"/>
    <w:rsid w:val="009F681A"/>
    <w:rsid w:val="009F6A1B"/>
    <w:rsid w:val="009F6C49"/>
    <w:rsid w:val="009F6CC8"/>
    <w:rsid w:val="009F6DAC"/>
    <w:rsid w:val="009F6FE5"/>
    <w:rsid w:val="009F71AC"/>
    <w:rsid w:val="009F782C"/>
    <w:rsid w:val="009F7BEE"/>
    <w:rsid w:val="009F7D76"/>
    <w:rsid w:val="009F7DE0"/>
    <w:rsid w:val="00A00078"/>
    <w:rsid w:val="00A000EF"/>
    <w:rsid w:val="00A001B6"/>
    <w:rsid w:val="00A0029E"/>
    <w:rsid w:val="00A002DD"/>
    <w:rsid w:val="00A005C7"/>
    <w:rsid w:val="00A008A6"/>
    <w:rsid w:val="00A008E1"/>
    <w:rsid w:val="00A00A8E"/>
    <w:rsid w:val="00A00C02"/>
    <w:rsid w:val="00A00CA3"/>
    <w:rsid w:val="00A00D7B"/>
    <w:rsid w:val="00A0108C"/>
    <w:rsid w:val="00A01486"/>
    <w:rsid w:val="00A014A3"/>
    <w:rsid w:val="00A01526"/>
    <w:rsid w:val="00A01573"/>
    <w:rsid w:val="00A019B6"/>
    <w:rsid w:val="00A01B1A"/>
    <w:rsid w:val="00A01F74"/>
    <w:rsid w:val="00A02115"/>
    <w:rsid w:val="00A021BE"/>
    <w:rsid w:val="00A0231B"/>
    <w:rsid w:val="00A023A2"/>
    <w:rsid w:val="00A0240F"/>
    <w:rsid w:val="00A02C1F"/>
    <w:rsid w:val="00A02D42"/>
    <w:rsid w:val="00A02E3E"/>
    <w:rsid w:val="00A02FE7"/>
    <w:rsid w:val="00A034EB"/>
    <w:rsid w:val="00A03672"/>
    <w:rsid w:val="00A03962"/>
    <w:rsid w:val="00A03B11"/>
    <w:rsid w:val="00A03E4B"/>
    <w:rsid w:val="00A040FF"/>
    <w:rsid w:val="00A04221"/>
    <w:rsid w:val="00A047FA"/>
    <w:rsid w:val="00A04E5D"/>
    <w:rsid w:val="00A0513D"/>
    <w:rsid w:val="00A052AF"/>
    <w:rsid w:val="00A053E8"/>
    <w:rsid w:val="00A0553E"/>
    <w:rsid w:val="00A055C1"/>
    <w:rsid w:val="00A055F0"/>
    <w:rsid w:val="00A05A3F"/>
    <w:rsid w:val="00A064F5"/>
    <w:rsid w:val="00A06603"/>
    <w:rsid w:val="00A06789"/>
    <w:rsid w:val="00A06D42"/>
    <w:rsid w:val="00A06E05"/>
    <w:rsid w:val="00A06F29"/>
    <w:rsid w:val="00A06FBB"/>
    <w:rsid w:val="00A071C3"/>
    <w:rsid w:val="00A071D9"/>
    <w:rsid w:val="00A07839"/>
    <w:rsid w:val="00A0790F"/>
    <w:rsid w:val="00A07B6C"/>
    <w:rsid w:val="00A07DE2"/>
    <w:rsid w:val="00A07F81"/>
    <w:rsid w:val="00A09DCA"/>
    <w:rsid w:val="00A10344"/>
    <w:rsid w:val="00A106D7"/>
    <w:rsid w:val="00A10BD0"/>
    <w:rsid w:val="00A10CC8"/>
    <w:rsid w:val="00A11320"/>
    <w:rsid w:val="00A1140E"/>
    <w:rsid w:val="00A11E1E"/>
    <w:rsid w:val="00A11E26"/>
    <w:rsid w:val="00A11E51"/>
    <w:rsid w:val="00A122B0"/>
    <w:rsid w:val="00A12450"/>
    <w:rsid w:val="00A12722"/>
    <w:rsid w:val="00A12780"/>
    <w:rsid w:val="00A12899"/>
    <w:rsid w:val="00A13142"/>
    <w:rsid w:val="00A131EB"/>
    <w:rsid w:val="00A135C2"/>
    <w:rsid w:val="00A13699"/>
    <w:rsid w:val="00A136F5"/>
    <w:rsid w:val="00A1377E"/>
    <w:rsid w:val="00A13DC7"/>
    <w:rsid w:val="00A13F0E"/>
    <w:rsid w:val="00A13FA8"/>
    <w:rsid w:val="00A14188"/>
    <w:rsid w:val="00A1425A"/>
    <w:rsid w:val="00A14399"/>
    <w:rsid w:val="00A143AA"/>
    <w:rsid w:val="00A14441"/>
    <w:rsid w:val="00A145E2"/>
    <w:rsid w:val="00A1463F"/>
    <w:rsid w:val="00A14929"/>
    <w:rsid w:val="00A14C9B"/>
    <w:rsid w:val="00A14CE1"/>
    <w:rsid w:val="00A14D7C"/>
    <w:rsid w:val="00A14DD7"/>
    <w:rsid w:val="00A14EB0"/>
    <w:rsid w:val="00A1524D"/>
    <w:rsid w:val="00A15296"/>
    <w:rsid w:val="00A152F1"/>
    <w:rsid w:val="00A153F3"/>
    <w:rsid w:val="00A15409"/>
    <w:rsid w:val="00A1555C"/>
    <w:rsid w:val="00A15763"/>
    <w:rsid w:val="00A157F5"/>
    <w:rsid w:val="00A158F0"/>
    <w:rsid w:val="00A15A2F"/>
    <w:rsid w:val="00A15E52"/>
    <w:rsid w:val="00A15F2A"/>
    <w:rsid w:val="00A16094"/>
    <w:rsid w:val="00A160AE"/>
    <w:rsid w:val="00A167A2"/>
    <w:rsid w:val="00A16954"/>
    <w:rsid w:val="00A16B0E"/>
    <w:rsid w:val="00A16B99"/>
    <w:rsid w:val="00A16D06"/>
    <w:rsid w:val="00A16F7F"/>
    <w:rsid w:val="00A1720C"/>
    <w:rsid w:val="00A17A02"/>
    <w:rsid w:val="00A17D47"/>
    <w:rsid w:val="00A2010F"/>
    <w:rsid w:val="00A20142"/>
    <w:rsid w:val="00A2031A"/>
    <w:rsid w:val="00A207E2"/>
    <w:rsid w:val="00A208F0"/>
    <w:rsid w:val="00A20D46"/>
    <w:rsid w:val="00A20F46"/>
    <w:rsid w:val="00A2174C"/>
    <w:rsid w:val="00A21852"/>
    <w:rsid w:val="00A21F5E"/>
    <w:rsid w:val="00A2244B"/>
    <w:rsid w:val="00A224A4"/>
    <w:rsid w:val="00A22AA6"/>
    <w:rsid w:val="00A22D06"/>
    <w:rsid w:val="00A233AD"/>
    <w:rsid w:val="00A2368E"/>
    <w:rsid w:val="00A23D60"/>
    <w:rsid w:val="00A23E43"/>
    <w:rsid w:val="00A241A1"/>
    <w:rsid w:val="00A2436C"/>
    <w:rsid w:val="00A24836"/>
    <w:rsid w:val="00A24A8D"/>
    <w:rsid w:val="00A255A6"/>
    <w:rsid w:val="00A25C6B"/>
    <w:rsid w:val="00A25D6C"/>
    <w:rsid w:val="00A25F35"/>
    <w:rsid w:val="00A2601A"/>
    <w:rsid w:val="00A2622F"/>
    <w:rsid w:val="00A264A8"/>
    <w:rsid w:val="00A2653D"/>
    <w:rsid w:val="00A26564"/>
    <w:rsid w:val="00A26731"/>
    <w:rsid w:val="00A2680C"/>
    <w:rsid w:val="00A268F0"/>
    <w:rsid w:val="00A26A3D"/>
    <w:rsid w:val="00A26A6B"/>
    <w:rsid w:val="00A26B8E"/>
    <w:rsid w:val="00A27094"/>
    <w:rsid w:val="00A2726C"/>
    <w:rsid w:val="00A2752E"/>
    <w:rsid w:val="00A275AA"/>
    <w:rsid w:val="00A27886"/>
    <w:rsid w:val="00A278AA"/>
    <w:rsid w:val="00A27B68"/>
    <w:rsid w:val="00A27D01"/>
    <w:rsid w:val="00A27DC3"/>
    <w:rsid w:val="00A27DC6"/>
    <w:rsid w:val="00A27F58"/>
    <w:rsid w:val="00A301E4"/>
    <w:rsid w:val="00A302CB"/>
    <w:rsid w:val="00A30321"/>
    <w:rsid w:val="00A30409"/>
    <w:rsid w:val="00A30483"/>
    <w:rsid w:val="00A304C8"/>
    <w:rsid w:val="00A30841"/>
    <w:rsid w:val="00A30CDA"/>
    <w:rsid w:val="00A30D65"/>
    <w:rsid w:val="00A30D8F"/>
    <w:rsid w:val="00A310C4"/>
    <w:rsid w:val="00A310F6"/>
    <w:rsid w:val="00A31198"/>
    <w:rsid w:val="00A31520"/>
    <w:rsid w:val="00A31760"/>
    <w:rsid w:val="00A318ED"/>
    <w:rsid w:val="00A31A0B"/>
    <w:rsid w:val="00A31B26"/>
    <w:rsid w:val="00A3209E"/>
    <w:rsid w:val="00A322BE"/>
    <w:rsid w:val="00A329E5"/>
    <w:rsid w:val="00A32B06"/>
    <w:rsid w:val="00A32F6F"/>
    <w:rsid w:val="00A33694"/>
    <w:rsid w:val="00A33AD7"/>
    <w:rsid w:val="00A33EF0"/>
    <w:rsid w:val="00A34210"/>
    <w:rsid w:val="00A3421E"/>
    <w:rsid w:val="00A3433A"/>
    <w:rsid w:val="00A3463F"/>
    <w:rsid w:val="00A346DB"/>
    <w:rsid w:val="00A34B61"/>
    <w:rsid w:val="00A34D22"/>
    <w:rsid w:val="00A34E9E"/>
    <w:rsid w:val="00A34F93"/>
    <w:rsid w:val="00A35232"/>
    <w:rsid w:val="00A356CA"/>
    <w:rsid w:val="00A357F2"/>
    <w:rsid w:val="00A3596B"/>
    <w:rsid w:val="00A35C89"/>
    <w:rsid w:val="00A35CB1"/>
    <w:rsid w:val="00A35EC9"/>
    <w:rsid w:val="00A35F89"/>
    <w:rsid w:val="00A35FCD"/>
    <w:rsid w:val="00A36025"/>
    <w:rsid w:val="00A36191"/>
    <w:rsid w:val="00A361B8"/>
    <w:rsid w:val="00A367CE"/>
    <w:rsid w:val="00A36B79"/>
    <w:rsid w:val="00A36C32"/>
    <w:rsid w:val="00A36D0D"/>
    <w:rsid w:val="00A37314"/>
    <w:rsid w:val="00A37674"/>
    <w:rsid w:val="00A376A6"/>
    <w:rsid w:val="00A37890"/>
    <w:rsid w:val="00A37D5B"/>
    <w:rsid w:val="00A37E0B"/>
    <w:rsid w:val="00A40B12"/>
    <w:rsid w:val="00A4142C"/>
    <w:rsid w:val="00A41453"/>
    <w:rsid w:val="00A418F3"/>
    <w:rsid w:val="00A41974"/>
    <w:rsid w:val="00A41A25"/>
    <w:rsid w:val="00A41ABD"/>
    <w:rsid w:val="00A41D47"/>
    <w:rsid w:val="00A41DAC"/>
    <w:rsid w:val="00A41F81"/>
    <w:rsid w:val="00A4222D"/>
    <w:rsid w:val="00A4249F"/>
    <w:rsid w:val="00A424B7"/>
    <w:rsid w:val="00A42854"/>
    <w:rsid w:val="00A42B84"/>
    <w:rsid w:val="00A42D08"/>
    <w:rsid w:val="00A42E9F"/>
    <w:rsid w:val="00A42ED1"/>
    <w:rsid w:val="00A42F2C"/>
    <w:rsid w:val="00A43A29"/>
    <w:rsid w:val="00A43BA9"/>
    <w:rsid w:val="00A43DFF"/>
    <w:rsid w:val="00A440F4"/>
    <w:rsid w:val="00A441D2"/>
    <w:rsid w:val="00A44488"/>
    <w:rsid w:val="00A4486E"/>
    <w:rsid w:val="00A44CB3"/>
    <w:rsid w:val="00A44CE4"/>
    <w:rsid w:val="00A44E37"/>
    <w:rsid w:val="00A44FB0"/>
    <w:rsid w:val="00A45529"/>
    <w:rsid w:val="00A4563C"/>
    <w:rsid w:val="00A456DF"/>
    <w:rsid w:val="00A45A54"/>
    <w:rsid w:val="00A46256"/>
    <w:rsid w:val="00A46711"/>
    <w:rsid w:val="00A468BE"/>
    <w:rsid w:val="00A46A52"/>
    <w:rsid w:val="00A46CF0"/>
    <w:rsid w:val="00A47091"/>
    <w:rsid w:val="00A471C2"/>
    <w:rsid w:val="00A473A1"/>
    <w:rsid w:val="00A47416"/>
    <w:rsid w:val="00A474F6"/>
    <w:rsid w:val="00A47AED"/>
    <w:rsid w:val="00A47F6F"/>
    <w:rsid w:val="00A50184"/>
    <w:rsid w:val="00A50391"/>
    <w:rsid w:val="00A504E1"/>
    <w:rsid w:val="00A5073E"/>
    <w:rsid w:val="00A507B4"/>
    <w:rsid w:val="00A50AF8"/>
    <w:rsid w:val="00A50B39"/>
    <w:rsid w:val="00A50C53"/>
    <w:rsid w:val="00A50E4F"/>
    <w:rsid w:val="00A51035"/>
    <w:rsid w:val="00A51041"/>
    <w:rsid w:val="00A51218"/>
    <w:rsid w:val="00A517F7"/>
    <w:rsid w:val="00A52032"/>
    <w:rsid w:val="00A520A3"/>
    <w:rsid w:val="00A52130"/>
    <w:rsid w:val="00A52284"/>
    <w:rsid w:val="00A522AD"/>
    <w:rsid w:val="00A52A75"/>
    <w:rsid w:val="00A52D54"/>
    <w:rsid w:val="00A531B5"/>
    <w:rsid w:val="00A53259"/>
    <w:rsid w:val="00A534F2"/>
    <w:rsid w:val="00A53667"/>
    <w:rsid w:val="00A53A23"/>
    <w:rsid w:val="00A53F97"/>
    <w:rsid w:val="00A541ED"/>
    <w:rsid w:val="00A54658"/>
    <w:rsid w:val="00A54795"/>
    <w:rsid w:val="00A54B94"/>
    <w:rsid w:val="00A54CBE"/>
    <w:rsid w:val="00A54E0C"/>
    <w:rsid w:val="00A54EEA"/>
    <w:rsid w:val="00A54FB5"/>
    <w:rsid w:val="00A55291"/>
    <w:rsid w:val="00A55337"/>
    <w:rsid w:val="00A553A9"/>
    <w:rsid w:val="00A55462"/>
    <w:rsid w:val="00A556CD"/>
    <w:rsid w:val="00A5590C"/>
    <w:rsid w:val="00A55C5B"/>
    <w:rsid w:val="00A55D71"/>
    <w:rsid w:val="00A55E9E"/>
    <w:rsid w:val="00A5601A"/>
    <w:rsid w:val="00A560B1"/>
    <w:rsid w:val="00A561A8"/>
    <w:rsid w:val="00A56295"/>
    <w:rsid w:val="00A567F2"/>
    <w:rsid w:val="00A56804"/>
    <w:rsid w:val="00A56DF3"/>
    <w:rsid w:val="00A56F8A"/>
    <w:rsid w:val="00A56FB0"/>
    <w:rsid w:val="00A57137"/>
    <w:rsid w:val="00A5729F"/>
    <w:rsid w:val="00A57379"/>
    <w:rsid w:val="00A5737D"/>
    <w:rsid w:val="00A573F1"/>
    <w:rsid w:val="00A5755A"/>
    <w:rsid w:val="00A57C16"/>
    <w:rsid w:val="00A57D68"/>
    <w:rsid w:val="00A57F1E"/>
    <w:rsid w:val="00A60105"/>
    <w:rsid w:val="00A60197"/>
    <w:rsid w:val="00A601ED"/>
    <w:rsid w:val="00A60303"/>
    <w:rsid w:val="00A603A5"/>
    <w:rsid w:val="00A60677"/>
    <w:rsid w:val="00A60C41"/>
    <w:rsid w:val="00A60D9A"/>
    <w:rsid w:val="00A60EBF"/>
    <w:rsid w:val="00A613F4"/>
    <w:rsid w:val="00A61682"/>
    <w:rsid w:val="00A617CE"/>
    <w:rsid w:val="00A6183E"/>
    <w:rsid w:val="00A61896"/>
    <w:rsid w:val="00A62034"/>
    <w:rsid w:val="00A62077"/>
    <w:rsid w:val="00A6228E"/>
    <w:rsid w:val="00A622CB"/>
    <w:rsid w:val="00A62388"/>
    <w:rsid w:val="00A6239E"/>
    <w:rsid w:val="00A625B7"/>
    <w:rsid w:val="00A62734"/>
    <w:rsid w:val="00A62AA5"/>
    <w:rsid w:val="00A62BAD"/>
    <w:rsid w:val="00A63068"/>
    <w:rsid w:val="00A6339A"/>
    <w:rsid w:val="00A63491"/>
    <w:rsid w:val="00A6358E"/>
    <w:rsid w:val="00A63814"/>
    <w:rsid w:val="00A640D8"/>
    <w:rsid w:val="00A640DF"/>
    <w:rsid w:val="00A64198"/>
    <w:rsid w:val="00A64282"/>
    <w:rsid w:val="00A64298"/>
    <w:rsid w:val="00A64508"/>
    <w:rsid w:val="00A6450B"/>
    <w:rsid w:val="00A650A9"/>
    <w:rsid w:val="00A65213"/>
    <w:rsid w:val="00A65252"/>
    <w:rsid w:val="00A65316"/>
    <w:rsid w:val="00A653AC"/>
    <w:rsid w:val="00A653DF"/>
    <w:rsid w:val="00A65951"/>
    <w:rsid w:val="00A65B8B"/>
    <w:rsid w:val="00A65CD0"/>
    <w:rsid w:val="00A65F4F"/>
    <w:rsid w:val="00A664E9"/>
    <w:rsid w:val="00A665C2"/>
    <w:rsid w:val="00A66811"/>
    <w:rsid w:val="00A66B4F"/>
    <w:rsid w:val="00A66D95"/>
    <w:rsid w:val="00A66DD3"/>
    <w:rsid w:val="00A6708C"/>
    <w:rsid w:val="00A67489"/>
    <w:rsid w:val="00A67527"/>
    <w:rsid w:val="00A6769A"/>
    <w:rsid w:val="00A6772F"/>
    <w:rsid w:val="00A67DB3"/>
    <w:rsid w:val="00A67ED7"/>
    <w:rsid w:val="00A70057"/>
    <w:rsid w:val="00A700B2"/>
    <w:rsid w:val="00A700DF"/>
    <w:rsid w:val="00A70285"/>
    <w:rsid w:val="00A70354"/>
    <w:rsid w:val="00A703C5"/>
    <w:rsid w:val="00A704CC"/>
    <w:rsid w:val="00A70519"/>
    <w:rsid w:val="00A70603"/>
    <w:rsid w:val="00A7096B"/>
    <w:rsid w:val="00A70B13"/>
    <w:rsid w:val="00A70B1A"/>
    <w:rsid w:val="00A70B62"/>
    <w:rsid w:val="00A70BEB"/>
    <w:rsid w:val="00A7155B"/>
    <w:rsid w:val="00A71569"/>
    <w:rsid w:val="00A71AD2"/>
    <w:rsid w:val="00A71B18"/>
    <w:rsid w:val="00A71B42"/>
    <w:rsid w:val="00A71D72"/>
    <w:rsid w:val="00A71DD0"/>
    <w:rsid w:val="00A71E60"/>
    <w:rsid w:val="00A71EDD"/>
    <w:rsid w:val="00A72376"/>
    <w:rsid w:val="00A7266A"/>
    <w:rsid w:val="00A7273A"/>
    <w:rsid w:val="00A72825"/>
    <w:rsid w:val="00A72869"/>
    <w:rsid w:val="00A7291C"/>
    <w:rsid w:val="00A7299B"/>
    <w:rsid w:val="00A72CB5"/>
    <w:rsid w:val="00A72F83"/>
    <w:rsid w:val="00A73205"/>
    <w:rsid w:val="00A7325D"/>
    <w:rsid w:val="00A73443"/>
    <w:rsid w:val="00A73486"/>
    <w:rsid w:val="00A7397C"/>
    <w:rsid w:val="00A73A29"/>
    <w:rsid w:val="00A73A2D"/>
    <w:rsid w:val="00A73E8A"/>
    <w:rsid w:val="00A73EB5"/>
    <w:rsid w:val="00A73F33"/>
    <w:rsid w:val="00A74166"/>
    <w:rsid w:val="00A741E6"/>
    <w:rsid w:val="00A74A35"/>
    <w:rsid w:val="00A74AB7"/>
    <w:rsid w:val="00A74C7F"/>
    <w:rsid w:val="00A74D8E"/>
    <w:rsid w:val="00A7502D"/>
    <w:rsid w:val="00A75439"/>
    <w:rsid w:val="00A75635"/>
    <w:rsid w:val="00A75BC5"/>
    <w:rsid w:val="00A75F89"/>
    <w:rsid w:val="00A761BA"/>
    <w:rsid w:val="00A762AD"/>
    <w:rsid w:val="00A76506"/>
    <w:rsid w:val="00A765BC"/>
    <w:rsid w:val="00A765D9"/>
    <w:rsid w:val="00A76D00"/>
    <w:rsid w:val="00A774B2"/>
    <w:rsid w:val="00A776DB"/>
    <w:rsid w:val="00A779CE"/>
    <w:rsid w:val="00A779EA"/>
    <w:rsid w:val="00A77E19"/>
    <w:rsid w:val="00A800B3"/>
    <w:rsid w:val="00A801B3"/>
    <w:rsid w:val="00A80472"/>
    <w:rsid w:val="00A8066D"/>
    <w:rsid w:val="00A8068C"/>
    <w:rsid w:val="00A80A50"/>
    <w:rsid w:val="00A80C1E"/>
    <w:rsid w:val="00A80E56"/>
    <w:rsid w:val="00A8104F"/>
    <w:rsid w:val="00A81297"/>
    <w:rsid w:val="00A816F3"/>
    <w:rsid w:val="00A81920"/>
    <w:rsid w:val="00A81979"/>
    <w:rsid w:val="00A81CBA"/>
    <w:rsid w:val="00A81ED6"/>
    <w:rsid w:val="00A82323"/>
    <w:rsid w:val="00A8232C"/>
    <w:rsid w:val="00A82353"/>
    <w:rsid w:val="00A82507"/>
    <w:rsid w:val="00A82734"/>
    <w:rsid w:val="00A82925"/>
    <w:rsid w:val="00A82A38"/>
    <w:rsid w:val="00A82C43"/>
    <w:rsid w:val="00A8300C"/>
    <w:rsid w:val="00A830CA"/>
    <w:rsid w:val="00A83245"/>
    <w:rsid w:val="00A836C3"/>
    <w:rsid w:val="00A83910"/>
    <w:rsid w:val="00A840DC"/>
    <w:rsid w:val="00A840E8"/>
    <w:rsid w:val="00A84652"/>
    <w:rsid w:val="00A84667"/>
    <w:rsid w:val="00A84937"/>
    <w:rsid w:val="00A8530A"/>
    <w:rsid w:val="00A85535"/>
    <w:rsid w:val="00A855EA"/>
    <w:rsid w:val="00A85686"/>
    <w:rsid w:val="00A8570A"/>
    <w:rsid w:val="00A85926"/>
    <w:rsid w:val="00A859E9"/>
    <w:rsid w:val="00A85B73"/>
    <w:rsid w:val="00A85C06"/>
    <w:rsid w:val="00A85DE4"/>
    <w:rsid w:val="00A8610D"/>
    <w:rsid w:val="00A8617C"/>
    <w:rsid w:val="00A86438"/>
    <w:rsid w:val="00A86542"/>
    <w:rsid w:val="00A86667"/>
    <w:rsid w:val="00A8686D"/>
    <w:rsid w:val="00A8686F"/>
    <w:rsid w:val="00A86A7A"/>
    <w:rsid w:val="00A86AAF"/>
    <w:rsid w:val="00A86EB8"/>
    <w:rsid w:val="00A875DA"/>
    <w:rsid w:val="00A8779B"/>
    <w:rsid w:val="00A878A4"/>
    <w:rsid w:val="00A87B03"/>
    <w:rsid w:val="00A87B0D"/>
    <w:rsid w:val="00A87B37"/>
    <w:rsid w:val="00A9008A"/>
    <w:rsid w:val="00A90132"/>
    <w:rsid w:val="00A9024B"/>
    <w:rsid w:val="00A902C2"/>
    <w:rsid w:val="00A902FC"/>
    <w:rsid w:val="00A90729"/>
    <w:rsid w:val="00A90771"/>
    <w:rsid w:val="00A9086E"/>
    <w:rsid w:val="00A90A58"/>
    <w:rsid w:val="00A90AAB"/>
    <w:rsid w:val="00A90ADD"/>
    <w:rsid w:val="00A90C5A"/>
    <w:rsid w:val="00A90C96"/>
    <w:rsid w:val="00A917E6"/>
    <w:rsid w:val="00A91BA9"/>
    <w:rsid w:val="00A91DF9"/>
    <w:rsid w:val="00A920F0"/>
    <w:rsid w:val="00A92240"/>
    <w:rsid w:val="00A928FD"/>
    <w:rsid w:val="00A92B3B"/>
    <w:rsid w:val="00A9324E"/>
    <w:rsid w:val="00A93432"/>
    <w:rsid w:val="00A93456"/>
    <w:rsid w:val="00A9366D"/>
    <w:rsid w:val="00A93743"/>
    <w:rsid w:val="00A9391C"/>
    <w:rsid w:val="00A93D3C"/>
    <w:rsid w:val="00A93D45"/>
    <w:rsid w:val="00A93DCC"/>
    <w:rsid w:val="00A93F52"/>
    <w:rsid w:val="00A940E0"/>
    <w:rsid w:val="00A943EE"/>
    <w:rsid w:val="00A946D8"/>
    <w:rsid w:val="00A94821"/>
    <w:rsid w:val="00A948C9"/>
    <w:rsid w:val="00A95184"/>
    <w:rsid w:val="00A9545C"/>
    <w:rsid w:val="00A9551F"/>
    <w:rsid w:val="00A9553F"/>
    <w:rsid w:val="00A958DD"/>
    <w:rsid w:val="00A958F8"/>
    <w:rsid w:val="00A95DCE"/>
    <w:rsid w:val="00A95DFB"/>
    <w:rsid w:val="00A95F91"/>
    <w:rsid w:val="00A9657C"/>
    <w:rsid w:val="00A966A1"/>
    <w:rsid w:val="00A9675C"/>
    <w:rsid w:val="00A96834"/>
    <w:rsid w:val="00A96919"/>
    <w:rsid w:val="00A96D2A"/>
    <w:rsid w:val="00A971C9"/>
    <w:rsid w:val="00A972B8"/>
    <w:rsid w:val="00A9761E"/>
    <w:rsid w:val="00A97BFB"/>
    <w:rsid w:val="00A97D26"/>
    <w:rsid w:val="00A97FD0"/>
    <w:rsid w:val="00AA0120"/>
    <w:rsid w:val="00AA021C"/>
    <w:rsid w:val="00AA0331"/>
    <w:rsid w:val="00AA0CED"/>
    <w:rsid w:val="00AA0DFD"/>
    <w:rsid w:val="00AA0F06"/>
    <w:rsid w:val="00AA1814"/>
    <w:rsid w:val="00AA1976"/>
    <w:rsid w:val="00AA1EF3"/>
    <w:rsid w:val="00AA1F6A"/>
    <w:rsid w:val="00AA2A9E"/>
    <w:rsid w:val="00AA2F60"/>
    <w:rsid w:val="00AA2F99"/>
    <w:rsid w:val="00AA303D"/>
    <w:rsid w:val="00AA343D"/>
    <w:rsid w:val="00AA34AC"/>
    <w:rsid w:val="00AA34F5"/>
    <w:rsid w:val="00AA37F7"/>
    <w:rsid w:val="00AA3A75"/>
    <w:rsid w:val="00AA3AB5"/>
    <w:rsid w:val="00AA3B64"/>
    <w:rsid w:val="00AA3E76"/>
    <w:rsid w:val="00AA3E9C"/>
    <w:rsid w:val="00AA40C4"/>
    <w:rsid w:val="00AA4114"/>
    <w:rsid w:val="00AA44E6"/>
    <w:rsid w:val="00AA46CC"/>
    <w:rsid w:val="00AA4921"/>
    <w:rsid w:val="00AA4B44"/>
    <w:rsid w:val="00AA4B76"/>
    <w:rsid w:val="00AA501B"/>
    <w:rsid w:val="00AA54F0"/>
    <w:rsid w:val="00AA58E7"/>
    <w:rsid w:val="00AA5BB2"/>
    <w:rsid w:val="00AA5C83"/>
    <w:rsid w:val="00AA5DE2"/>
    <w:rsid w:val="00AA6028"/>
    <w:rsid w:val="00AA6414"/>
    <w:rsid w:val="00AA66B7"/>
    <w:rsid w:val="00AA6999"/>
    <w:rsid w:val="00AA6A06"/>
    <w:rsid w:val="00AA6D1D"/>
    <w:rsid w:val="00AA6E57"/>
    <w:rsid w:val="00AA6EF5"/>
    <w:rsid w:val="00AA6F87"/>
    <w:rsid w:val="00AA7518"/>
    <w:rsid w:val="00AA7641"/>
    <w:rsid w:val="00AA77C0"/>
    <w:rsid w:val="00AA78B5"/>
    <w:rsid w:val="00AB0213"/>
    <w:rsid w:val="00AB0376"/>
    <w:rsid w:val="00AB07EE"/>
    <w:rsid w:val="00AB0980"/>
    <w:rsid w:val="00AB0C57"/>
    <w:rsid w:val="00AB0D06"/>
    <w:rsid w:val="00AB0D67"/>
    <w:rsid w:val="00AB0F7F"/>
    <w:rsid w:val="00AB146D"/>
    <w:rsid w:val="00AB151C"/>
    <w:rsid w:val="00AB1536"/>
    <w:rsid w:val="00AB17FD"/>
    <w:rsid w:val="00AB199C"/>
    <w:rsid w:val="00AB19CC"/>
    <w:rsid w:val="00AB1FA3"/>
    <w:rsid w:val="00AB22BA"/>
    <w:rsid w:val="00AB22CC"/>
    <w:rsid w:val="00AB22D4"/>
    <w:rsid w:val="00AB233E"/>
    <w:rsid w:val="00AB2A9F"/>
    <w:rsid w:val="00AB3032"/>
    <w:rsid w:val="00AB3159"/>
    <w:rsid w:val="00AB319C"/>
    <w:rsid w:val="00AB3201"/>
    <w:rsid w:val="00AB33C3"/>
    <w:rsid w:val="00AB341F"/>
    <w:rsid w:val="00AB3604"/>
    <w:rsid w:val="00AB3684"/>
    <w:rsid w:val="00AB3AAB"/>
    <w:rsid w:val="00AB3E6E"/>
    <w:rsid w:val="00AB4014"/>
    <w:rsid w:val="00AB40D2"/>
    <w:rsid w:val="00AB428B"/>
    <w:rsid w:val="00AB4647"/>
    <w:rsid w:val="00AB481A"/>
    <w:rsid w:val="00AB4A62"/>
    <w:rsid w:val="00AB4AB6"/>
    <w:rsid w:val="00AB4ABC"/>
    <w:rsid w:val="00AB4E5E"/>
    <w:rsid w:val="00AB5302"/>
    <w:rsid w:val="00AB56F6"/>
    <w:rsid w:val="00AB5C73"/>
    <w:rsid w:val="00AB5DCC"/>
    <w:rsid w:val="00AB61CB"/>
    <w:rsid w:val="00AB61FA"/>
    <w:rsid w:val="00AB6413"/>
    <w:rsid w:val="00AB6558"/>
    <w:rsid w:val="00AB670D"/>
    <w:rsid w:val="00AB6CA0"/>
    <w:rsid w:val="00AB70C5"/>
    <w:rsid w:val="00AB7675"/>
    <w:rsid w:val="00AB7908"/>
    <w:rsid w:val="00AB7D19"/>
    <w:rsid w:val="00AC0250"/>
    <w:rsid w:val="00AC02FE"/>
    <w:rsid w:val="00AC069A"/>
    <w:rsid w:val="00AC06D6"/>
    <w:rsid w:val="00AC096C"/>
    <w:rsid w:val="00AC0A91"/>
    <w:rsid w:val="00AC0B77"/>
    <w:rsid w:val="00AC0DC2"/>
    <w:rsid w:val="00AC1148"/>
    <w:rsid w:val="00AC142D"/>
    <w:rsid w:val="00AC1722"/>
    <w:rsid w:val="00AC176C"/>
    <w:rsid w:val="00AC18E1"/>
    <w:rsid w:val="00AC1B3F"/>
    <w:rsid w:val="00AC1D0F"/>
    <w:rsid w:val="00AC1DBA"/>
    <w:rsid w:val="00AC22D6"/>
    <w:rsid w:val="00AC29E4"/>
    <w:rsid w:val="00AC2CC1"/>
    <w:rsid w:val="00AC2CCA"/>
    <w:rsid w:val="00AC2FA9"/>
    <w:rsid w:val="00AC30AB"/>
    <w:rsid w:val="00AC320A"/>
    <w:rsid w:val="00AC36BF"/>
    <w:rsid w:val="00AC3784"/>
    <w:rsid w:val="00AC3868"/>
    <w:rsid w:val="00AC3869"/>
    <w:rsid w:val="00AC3C00"/>
    <w:rsid w:val="00AC429F"/>
    <w:rsid w:val="00AC430D"/>
    <w:rsid w:val="00AC432F"/>
    <w:rsid w:val="00AC45C6"/>
    <w:rsid w:val="00AC4637"/>
    <w:rsid w:val="00AC4699"/>
    <w:rsid w:val="00AC46A4"/>
    <w:rsid w:val="00AC4972"/>
    <w:rsid w:val="00AC4BC1"/>
    <w:rsid w:val="00AC4F5D"/>
    <w:rsid w:val="00AC4F62"/>
    <w:rsid w:val="00AC506B"/>
    <w:rsid w:val="00AC51C8"/>
    <w:rsid w:val="00AC52D1"/>
    <w:rsid w:val="00AC5898"/>
    <w:rsid w:val="00AC5A45"/>
    <w:rsid w:val="00AC60F1"/>
    <w:rsid w:val="00AC6145"/>
    <w:rsid w:val="00AC6218"/>
    <w:rsid w:val="00AC636E"/>
    <w:rsid w:val="00AC663B"/>
    <w:rsid w:val="00AC66C5"/>
    <w:rsid w:val="00AC66FE"/>
    <w:rsid w:val="00AC6AED"/>
    <w:rsid w:val="00AC6C12"/>
    <w:rsid w:val="00AC6EC9"/>
    <w:rsid w:val="00AC706B"/>
    <w:rsid w:val="00AC71BC"/>
    <w:rsid w:val="00AC72B9"/>
    <w:rsid w:val="00AC736D"/>
    <w:rsid w:val="00AC73A2"/>
    <w:rsid w:val="00AC76D1"/>
    <w:rsid w:val="00AC76FB"/>
    <w:rsid w:val="00AC77D2"/>
    <w:rsid w:val="00AC7884"/>
    <w:rsid w:val="00AC7895"/>
    <w:rsid w:val="00AC78AB"/>
    <w:rsid w:val="00AC7BEC"/>
    <w:rsid w:val="00AC7EA9"/>
    <w:rsid w:val="00AD000D"/>
    <w:rsid w:val="00AD0834"/>
    <w:rsid w:val="00AD0CD5"/>
    <w:rsid w:val="00AD0E0D"/>
    <w:rsid w:val="00AD0E98"/>
    <w:rsid w:val="00AD1332"/>
    <w:rsid w:val="00AD1421"/>
    <w:rsid w:val="00AD15B7"/>
    <w:rsid w:val="00AD15D8"/>
    <w:rsid w:val="00AD1613"/>
    <w:rsid w:val="00AD16C8"/>
    <w:rsid w:val="00AD1715"/>
    <w:rsid w:val="00AD1A8C"/>
    <w:rsid w:val="00AD1B69"/>
    <w:rsid w:val="00AD1C37"/>
    <w:rsid w:val="00AD1CC7"/>
    <w:rsid w:val="00AD24CD"/>
    <w:rsid w:val="00AD27E7"/>
    <w:rsid w:val="00AD29E4"/>
    <w:rsid w:val="00AD2A05"/>
    <w:rsid w:val="00AD2A1B"/>
    <w:rsid w:val="00AD2AAC"/>
    <w:rsid w:val="00AD2ABA"/>
    <w:rsid w:val="00AD2CA7"/>
    <w:rsid w:val="00AD2D7E"/>
    <w:rsid w:val="00AD2D99"/>
    <w:rsid w:val="00AD339C"/>
    <w:rsid w:val="00AD342C"/>
    <w:rsid w:val="00AD3451"/>
    <w:rsid w:val="00AD3499"/>
    <w:rsid w:val="00AD364B"/>
    <w:rsid w:val="00AD38B0"/>
    <w:rsid w:val="00AD3962"/>
    <w:rsid w:val="00AD3BA6"/>
    <w:rsid w:val="00AD3BC8"/>
    <w:rsid w:val="00AD3BDD"/>
    <w:rsid w:val="00AD4142"/>
    <w:rsid w:val="00AD428C"/>
    <w:rsid w:val="00AD4470"/>
    <w:rsid w:val="00AD4660"/>
    <w:rsid w:val="00AD4C84"/>
    <w:rsid w:val="00AD4D14"/>
    <w:rsid w:val="00AD4FB6"/>
    <w:rsid w:val="00AD50AB"/>
    <w:rsid w:val="00AD5151"/>
    <w:rsid w:val="00AD5267"/>
    <w:rsid w:val="00AD5528"/>
    <w:rsid w:val="00AD5730"/>
    <w:rsid w:val="00AD58A4"/>
    <w:rsid w:val="00AD599A"/>
    <w:rsid w:val="00AD5A06"/>
    <w:rsid w:val="00AD5D13"/>
    <w:rsid w:val="00AD5E9B"/>
    <w:rsid w:val="00AD60F3"/>
    <w:rsid w:val="00AD62DE"/>
    <w:rsid w:val="00AD6305"/>
    <w:rsid w:val="00AD6329"/>
    <w:rsid w:val="00AD654F"/>
    <w:rsid w:val="00AD6F95"/>
    <w:rsid w:val="00AD7287"/>
    <w:rsid w:val="00AD784C"/>
    <w:rsid w:val="00AD7E3A"/>
    <w:rsid w:val="00AD7F57"/>
    <w:rsid w:val="00AE001E"/>
    <w:rsid w:val="00AE0AF2"/>
    <w:rsid w:val="00AE0BE3"/>
    <w:rsid w:val="00AE0CBD"/>
    <w:rsid w:val="00AE0DC7"/>
    <w:rsid w:val="00AE0DEC"/>
    <w:rsid w:val="00AE0FB8"/>
    <w:rsid w:val="00AE1046"/>
    <w:rsid w:val="00AE12BF"/>
    <w:rsid w:val="00AE1594"/>
    <w:rsid w:val="00AE15C0"/>
    <w:rsid w:val="00AE17F6"/>
    <w:rsid w:val="00AE1928"/>
    <w:rsid w:val="00AE1A30"/>
    <w:rsid w:val="00AE1BBA"/>
    <w:rsid w:val="00AE1CD4"/>
    <w:rsid w:val="00AE1CDC"/>
    <w:rsid w:val="00AE1DC4"/>
    <w:rsid w:val="00AE1FE8"/>
    <w:rsid w:val="00AE210A"/>
    <w:rsid w:val="00AE23AF"/>
    <w:rsid w:val="00AE25EA"/>
    <w:rsid w:val="00AE261D"/>
    <w:rsid w:val="00AE2C19"/>
    <w:rsid w:val="00AE2C1A"/>
    <w:rsid w:val="00AE2CB6"/>
    <w:rsid w:val="00AE2D88"/>
    <w:rsid w:val="00AE2ED6"/>
    <w:rsid w:val="00AE3201"/>
    <w:rsid w:val="00AE3221"/>
    <w:rsid w:val="00AE3252"/>
    <w:rsid w:val="00AE33E7"/>
    <w:rsid w:val="00AE378A"/>
    <w:rsid w:val="00AE385B"/>
    <w:rsid w:val="00AE385F"/>
    <w:rsid w:val="00AE3953"/>
    <w:rsid w:val="00AE3984"/>
    <w:rsid w:val="00AE3AE1"/>
    <w:rsid w:val="00AE3D5A"/>
    <w:rsid w:val="00AE3E6C"/>
    <w:rsid w:val="00AE3EE4"/>
    <w:rsid w:val="00AE3F9C"/>
    <w:rsid w:val="00AE4102"/>
    <w:rsid w:val="00AE41AD"/>
    <w:rsid w:val="00AE463A"/>
    <w:rsid w:val="00AE47F9"/>
    <w:rsid w:val="00AE484C"/>
    <w:rsid w:val="00AE49C0"/>
    <w:rsid w:val="00AE50D3"/>
    <w:rsid w:val="00AE520B"/>
    <w:rsid w:val="00AE530E"/>
    <w:rsid w:val="00AE53FD"/>
    <w:rsid w:val="00AE54A9"/>
    <w:rsid w:val="00AE58F7"/>
    <w:rsid w:val="00AE59FB"/>
    <w:rsid w:val="00AE5B60"/>
    <w:rsid w:val="00AE5BE2"/>
    <w:rsid w:val="00AE61D9"/>
    <w:rsid w:val="00AE61DF"/>
    <w:rsid w:val="00AE6558"/>
    <w:rsid w:val="00AE6ADC"/>
    <w:rsid w:val="00AE6B74"/>
    <w:rsid w:val="00AE6BE9"/>
    <w:rsid w:val="00AE6CBF"/>
    <w:rsid w:val="00AE6F2E"/>
    <w:rsid w:val="00AE7227"/>
    <w:rsid w:val="00AE748D"/>
    <w:rsid w:val="00AE754B"/>
    <w:rsid w:val="00AE7ADF"/>
    <w:rsid w:val="00AE7B37"/>
    <w:rsid w:val="00AE7BD8"/>
    <w:rsid w:val="00AE7CA7"/>
    <w:rsid w:val="00AE7EA4"/>
    <w:rsid w:val="00AF01CB"/>
    <w:rsid w:val="00AF067D"/>
    <w:rsid w:val="00AF06C2"/>
    <w:rsid w:val="00AF0851"/>
    <w:rsid w:val="00AF0A3A"/>
    <w:rsid w:val="00AF0A58"/>
    <w:rsid w:val="00AF0CEC"/>
    <w:rsid w:val="00AF0E8D"/>
    <w:rsid w:val="00AF0F97"/>
    <w:rsid w:val="00AF1113"/>
    <w:rsid w:val="00AF14D8"/>
    <w:rsid w:val="00AF155E"/>
    <w:rsid w:val="00AF158A"/>
    <w:rsid w:val="00AF1659"/>
    <w:rsid w:val="00AF17BF"/>
    <w:rsid w:val="00AF1999"/>
    <w:rsid w:val="00AF1B05"/>
    <w:rsid w:val="00AF1EB4"/>
    <w:rsid w:val="00AF23EB"/>
    <w:rsid w:val="00AF2658"/>
    <w:rsid w:val="00AF276D"/>
    <w:rsid w:val="00AF281C"/>
    <w:rsid w:val="00AF2A57"/>
    <w:rsid w:val="00AF2B15"/>
    <w:rsid w:val="00AF2DE9"/>
    <w:rsid w:val="00AF36C5"/>
    <w:rsid w:val="00AF3804"/>
    <w:rsid w:val="00AF39EF"/>
    <w:rsid w:val="00AF3C02"/>
    <w:rsid w:val="00AF3C6B"/>
    <w:rsid w:val="00AF400C"/>
    <w:rsid w:val="00AF4071"/>
    <w:rsid w:val="00AF417D"/>
    <w:rsid w:val="00AF43B5"/>
    <w:rsid w:val="00AF46C9"/>
    <w:rsid w:val="00AF482F"/>
    <w:rsid w:val="00AF53B4"/>
    <w:rsid w:val="00AF53E7"/>
    <w:rsid w:val="00AF57CE"/>
    <w:rsid w:val="00AF57E7"/>
    <w:rsid w:val="00AF5938"/>
    <w:rsid w:val="00AF5961"/>
    <w:rsid w:val="00AF5C13"/>
    <w:rsid w:val="00AF5C4D"/>
    <w:rsid w:val="00AF5CEA"/>
    <w:rsid w:val="00AF5F13"/>
    <w:rsid w:val="00AF5F17"/>
    <w:rsid w:val="00AF61C2"/>
    <w:rsid w:val="00AF65D0"/>
    <w:rsid w:val="00AF660D"/>
    <w:rsid w:val="00AF665F"/>
    <w:rsid w:val="00AF67E8"/>
    <w:rsid w:val="00AF68C3"/>
    <w:rsid w:val="00AF6A84"/>
    <w:rsid w:val="00AF6BFF"/>
    <w:rsid w:val="00AF6DE4"/>
    <w:rsid w:val="00AF7522"/>
    <w:rsid w:val="00AF7524"/>
    <w:rsid w:val="00AF75BB"/>
    <w:rsid w:val="00AF7674"/>
    <w:rsid w:val="00AF79BA"/>
    <w:rsid w:val="00AF7DA1"/>
    <w:rsid w:val="00AF7E7A"/>
    <w:rsid w:val="00B002D3"/>
    <w:rsid w:val="00B0035D"/>
    <w:rsid w:val="00B003E6"/>
    <w:rsid w:val="00B00546"/>
    <w:rsid w:val="00B007DE"/>
    <w:rsid w:val="00B009BB"/>
    <w:rsid w:val="00B00B68"/>
    <w:rsid w:val="00B00EBF"/>
    <w:rsid w:val="00B012E2"/>
    <w:rsid w:val="00B01374"/>
    <w:rsid w:val="00B0149D"/>
    <w:rsid w:val="00B017C0"/>
    <w:rsid w:val="00B01A6D"/>
    <w:rsid w:val="00B02177"/>
    <w:rsid w:val="00B023FB"/>
    <w:rsid w:val="00B026A7"/>
    <w:rsid w:val="00B02BEE"/>
    <w:rsid w:val="00B02DBE"/>
    <w:rsid w:val="00B0315D"/>
    <w:rsid w:val="00B03233"/>
    <w:rsid w:val="00B037FC"/>
    <w:rsid w:val="00B03849"/>
    <w:rsid w:val="00B039B7"/>
    <w:rsid w:val="00B03AFF"/>
    <w:rsid w:val="00B03CD5"/>
    <w:rsid w:val="00B03D9B"/>
    <w:rsid w:val="00B03DB2"/>
    <w:rsid w:val="00B03E2F"/>
    <w:rsid w:val="00B040EB"/>
    <w:rsid w:val="00B042EA"/>
    <w:rsid w:val="00B04346"/>
    <w:rsid w:val="00B043E5"/>
    <w:rsid w:val="00B04440"/>
    <w:rsid w:val="00B04725"/>
    <w:rsid w:val="00B04777"/>
    <w:rsid w:val="00B04E94"/>
    <w:rsid w:val="00B04F03"/>
    <w:rsid w:val="00B05039"/>
    <w:rsid w:val="00B050C4"/>
    <w:rsid w:val="00B0589E"/>
    <w:rsid w:val="00B05C34"/>
    <w:rsid w:val="00B05DCB"/>
    <w:rsid w:val="00B05E87"/>
    <w:rsid w:val="00B05EFA"/>
    <w:rsid w:val="00B05F4C"/>
    <w:rsid w:val="00B06216"/>
    <w:rsid w:val="00B06838"/>
    <w:rsid w:val="00B06976"/>
    <w:rsid w:val="00B06A99"/>
    <w:rsid w:val="00B070D8"/>
    <w:rsid w:val="00B0733B"/>
    <w:rsid w:val="00B0752E"/>
    <w:rsid w:val="00B07561"/>
    <w:rsid w:val="00B07783"/>
    <w:rsid w:val="00B07C16"/>
    <w:rsid w:val="00B07E89"/>
    <w:rsid w:val="00B10057"/>
    <w:rsid w:val="00B10291"/>
    <w:rsid w:val="00B109FE"/>
    <w:rsid w:val="00B10CDB"/>
    <w:rsid w:val="00B10DCE"/>
    <w:rsid w:val="00B10E11"/>
    <w:rsid w:val="00B10E9F"/>
    <w:rsid w:val="00B10FF6"/>
    <w:rsid w:val="00B10FF9"/>
    <w:rsid w:val="00B1121E"/>
    <w:rsid w:val="00B11438"/>
    <w:rsid w:val="00B11679"/>
    <w:rsid w:val="00B117A0"/>
    <w:rsid w:val="00B11877"/>
    <w:rsid w:val="00B11898"/>
    <w:rsid w:val="00B118F7"/>
    <w:rsid w:val="00B11E53"/>
    <w:rsid w:val="00B11EDE"/>
    <w:rsid w:val="00B11FE7"/>
    <w:rsid w:val="00B120FB"/>
    <w:rsid w:val="00B123B3"/>
    <w:rsid w:val="00B123E7"/>
    <w:rsid w:val="00B123ED"/>
    <w:rsid w:val="00B12445"/>
    <w:rsid w:val="00B1252A"/>
    <w:rsid w:val="00B1298F"/>
    <w:rsid w:val="00B12ACC"/>
    <w:rsid w:val="00B12AEB"/>
    <w:rsid w:val="00B12D5B"/>
    <w:rsid w:val="00B13068"/>
    <w:rsid w:val="00B13478"/>
    <w:rsid w:val="00B138C4"/>
    <w:rsid w:val="00B13A4E"/>
    <w:rsid w:val="00B13BCE"/>
    <w:rsid w:val="00B13BDD"/>
    <w:rsid w:val="00B13D47"/>
    <w:rsid w:val="00B13F32"/>
    <w:rsid w:val="00B140BA"/>
    <w:rsid w:val="00B14552"/>
    <w:rsid w:val="00B1473D"/>
    <w:rsid w:val="00B14BE8"/>
    <w:rsid w:val="00B14D9B"/>
    <w:rsid w:val="00B1537C"/>
    <w:rsid w:val="00B153DE"/>
    <w:rsid w:val="00B154AD"/>
    <w:rsid w:val="00B1552B"/>
    <w:rsid w:val="00B155C0"/>
    <w:rsid w:val="00B15849"/>
    <w:rsid w:val="00B15B38"/>
    <w:rsid w:val="00B15D0E"/>
    <w:rsid w:val="00B15E5C"/>
    <w:rsid w:val="00B15F85"/>
    <w:rsid w:val="00B16006"/>
    <w:rsid w:val="00B1631C"/>
    <w:rsid w:val="00B16373"/>
    <w:rsid w:val="00B165CF"/>
    <w:rsid w:val="00B166ED"/>
    <w:rsid w:val="00B16713"/>
    <w:rsid w:val="00B167E2"/>
    <w:rsid w:val="00B16A81"/>
    <w:rsid w:val="00B16C2D"/>
    <w:rsid w:val="00B16D82"/>
    <w:rsid w:val="00B16E65"/>
    <w:rsid w:val="00B16ED0"/>
    <w:rsid w:val="00B16F1D"/>
    <w:rsid w:val="00B171AE"/>
    <w:rsid w:val="00B17341"/>
    <w:rsid w:val="00B173D9"/>
    <w:rsid w:val="00B174FE"/>
    <w:rsid w:val="00B17525"/>
    <w:rsid w:val="00B175F6"/>
    <w:rsid w:val="00B17682"/>
    <w:rsid w:val="00B17855"/>
    <w:rsid w:val="00B17915"/>
    <w:rsid w:val="00B17A41"/>
    <w:rsid w:val="00B17A66"/>
    <w:rsid w:val="00B17D6F"/>
    <w:rsid w:val="00B17E3C"/>
    <w:rsid w:val="00B20232"/>
    <w:rsid w:val="00B2043F"/>
    <w:rsid w:val="00B2067A"/>
    <w:rsid w:val="00B2086C"/>
    <w:rsid w:val="00B20927"/>
    <w:rsid w:val="00B20D86"/>
    <w:rsid w:val="00B20E12"/>
    <w:rsid w:val="00B20E81"/>
    <w:rsid w:val="00B20F31"/>
    <w:rsid w:val="00B21020"/>
    <w:rsid w:val="00B214BF"/>
    <w:rsid w:val="00B215BC"/>
    <w:rsid w:val="00B2190D"/>
    <w:rsid w:val="00B21C46"/>
    <w:rsid w:val="00B21CE0"/>
    <w:rsid w:val="00B21D04"/>
    <w:rsid w:val="00B21D81"/>
    <w:rsid w:val="00B21DD6"/>
    <w:rsid w:val="00B21ED8"/>
    <w:rsid w:val="00B21EDB"/>
    <w:rsid w:val="00B225DD"/>
    <w:rsid w:val="00B22960"/>
    <w:rsid w:val="00B22A09"/>
    <w:rsid w:val="00B22E5A"/>
    <w:rsid w:val="00B235E4"/>
    <w:rsid w:val="00B2371D"/>
    <w:rsid w:val="00B23B14"/>
    <w:rsid w:val="00B23C26"/>
    <w:rsid w:val="00B23E43"/>
    <w:rsid w:val="00B242A7"/>
    <w:rsid w:val="00B2460C"/>
    <w:rsid w:val="00B24963"/>
    <w:rsid w:val="00B24978"/>
    <w:rsid w:val="00B24C9A"/>
    <w:rsid w:val="00B25089"/>
    <w:rsid w:val="00B25268"/>
    <w:rsid w:val="00B2566E"/>
    <w:rsid w:val="00B256E6"/>
    <w:rsid w:val="00B256F2"/>
    <w:rsid w:val="00B2589B"/>
    <w:rsid w:val="00B25D2A"/>
    <w:rsid w:val="00B26036"/>
    <w:rsid w:val="00B260FC"/>
    <w:rsid w:val="00B261E1"/>
    <w:rsid w:val="00B26333"/>
    <w:rsid w:val="00B26709"/>
    <w:rsid w:val="00B26742"/>
    <w:rsid w:val="00B26940"/>
    <w:rsid w:val="00B269F8"/>
    <w:rsid w:val="00B26C09"/>
    <w:rsid w:val="00B26CF4"/>
    <w:rsid w:val="00B26EEA"/>
    <w:rsid w:val="00B26FDA"/>
    <w:rsid w:val="00B274F2"/>
    <w:rsid w:val="00B27505"/>
    <w:rsid w:val="00B27511"/>
    <w:rsid w:val="00B27641"/>
    <w:rsid w:val="00B276DD"/>
    <w:rsid w:val="00B27759"/>
    <w:rsid w:val="00B2776D"/>
    <w:rsid w:val="00B27EB6"/>
    <w:rsid w:val="00B27F51"/>
    <w:rsid w:val="00B30381"/>
    <w:rsid w:val="00B3039C"/>
    <w:rsid w:val="00B304C1"/>
    <w:rsid w:val="00B30526"/>
    <w:rsid w:val="00B306EA"/>
    <w:rsid w:val="00B30817"/>
    <w:rsid w:val="00B308FA"/>
    <w:rsid w:val="00B30A51"/>
    <w:rsid w:val="00B30E52"/>
    <w:rsid w:val="00B30F66"/>
    <w:rsid w:val="00B310DB"/>
    <w:rsid w:val="00B312B7"/>
    <w:rsid w:val="00B3142B"/>
    <w:rsid w:val="00B31458"/>
    <w:rsid w:val="00B31496"/>
    <w:rsid w:val="00B3156F"/>
    <w:rsid w:val="00B316F6"/>
    <w:rsid w:val="00B3177E"/>
    <w:rsid w:val="00B317CE"/>
    <w:rsid w:val="00B319E0"/>
    <w:rsid w:val="00B31CF2"/>
    <w:rsid w:val="00B31EEC"/>
    <w:rsid w:val="00B32156"/>
    <w:rsid w:val="00B321F7"/>
    <w:rsid w:val="00B324FE"/>
    <w:rsid w:val="00B32A02"/>
    <w:rsid w:val="00B32B92"/>
    <w:rsid w:val="00B32C0A"/>
    <w:rsid w:val="00B32DAB"/>
    <w:rsid w:val="00B330A5"/>
    <w:rsid w:val="00B33472"/>
    <w:rsid w:val="00B33631"/>
    <w:rsid w:val="00B33772"/>
    <w:rsid w:val="00B3382D"/>
    <w:rsid w:val="00B339F0"/>
    <w:rsid w:val="00B33BD5"/>
    <w:rsid w:val="00B33C84"/>
    <w:rsid w:val="00B33E7D"/>
    <w:rsid w:val="00B33F6D"/>
    <w:rsid w:val="00B34193"/>
    <w:rsid w:val="00B3450F"/>
    <w:rsid w:val="00B34A6C"/>
    <w:rsid w:val="00B34D59"/>
    <w:rsid w:val="00B34EC0"/>
    <w:rsid w:val="00B3503F"/>
    <w:rsid w:val="00B35125"/>
    <w:rsid w:val="00B35192"/>
    <w:rsid w:val="00B3529C"/>
    <w:rsid w:val="00B3569D"/>
    <w:rsid w:val="00B357AA"/>
    <w:rsid w:val="00B35978"/>
    <w:rsid w:val="00B359B9"/>
    <w:rsid w:val="00B35A66"/>
    <w:rsid w:val="00B35A6D"/>
    <w:rsid w:val="00B35BF8"/>
    <w:rsid w:val="00B35ECA"/>
    <w:rsid w:val="00B36294"/>
    <w:rsid w:val="00B36489"/>
    <w:rsid w:val="00B36BAA"/>
    <w:rsid w:val="00B36DB7"/>
    <w:rsid w:val="00B36FB7"/>
    <w:rsid w:val="00B36FCD"/>
    <w:rsid w:val="00B371A1"/>
    <w:rsid w:val="00B371B5"/>
    <w:rsid w:val="00B3740A"/>
    <w:rsid w:val="00B37F25"/>
    <w:rsid w:val="00B40105"/>
    <w:rsid w:val="00B4016F"/>
    <w:rsid w:val="00B4030D"/>
    <w:rsid w:val="00B4032D"/>
    <w:rsid w:val="00B4044F"/>
    <w:rsid w:val="00B40536"/>
    <w:rsid w:val="00B40620"/>
    <w:rsid w:val="00B40639"/>
    <w:rsid w:val="00B408FD"/>
    <w:rsid w:val="00B40A60"/>
    <w:rsid w:val="00B40EFD"/>
    <w:rsid w:val="00B4105B"/>
    <w:rsid w:val="00B4115C"/>
    <w:rsid w:val="00B411D2"/>
    <w:rsid w:val="00B41A34"/>
    <w:rsid w:val="00B42096"/>
    <w:rsid w:val="00B4215A"/>
    <w:rsid w:val="00B421F5"/>
    <w:rsid w:val="00B42216"/>
    <w:rsid w:val="00B42477"/>
    <w:rsid w:val="00B42557"/>
    <w:rsid w:val="00B4271A"/>
    <w:rsid w:val="00B42767"/>
    <w:rsid w:val="00B42D5D"/>
    <w:rsid w:val="00B42E3D"/>
    <w:rsid w:val="00B43193"/>
    <w:rsid w:val="00B43275"/>
    <w:rsid w:val="00B434C1"/>
    <w:rsid w:val="00B4351F"/>
    <w:rsid w:val="00B435C2"/>
    <w:rsid w:val="00B435D2"/>
    <w:rsid w:val="00B43610"/>
    <w:rsid w:val="00B436F4"/>
    <w:rsid w:val="00B438F8"/>
    <w:rsid w:val="00B43B49"/>
    <w:rsid w:val="00B43FA5"/>
    <w:rsid w:val="00B440E1"/>
    <w:rsid w:val="00B44478"/>
    <w:rsid w:val="00B446C7"/>
    <w:rsid w:val="00B44712"/>
    <w:rsid w:val="00B44BCB"/>
    <w:rsid w:val="00B44D30"/>
    <w:rsid w:val="00B44EAB"/>
    <w:rsid w:val="00B44F12"/>
    <w:rsid w:val="00B44F1C"/>
    <w:rsid w:val="00B451C8"/>
    <w:rsid w:val="00B4525D"/>
    <w:rsid w:val="00B4538C"/>
    <w:rsid w:val="00B45559"/>
    <w:rsid w:val="00B457CE"/>
    <w:rsid w:val="00B457E7"/>
    <w:rsid w:val="00B45CEA"/>
    <w:rsid w:val="00B45D5C"/>
    <w:rsid w:val="00B46387"/>
    <w:rsid w:val="00B463BA"/>
    <w:rsid w:val="00B4640F"/>
    <w:rsid w:val="00B466A9"/>
    <w:rsid w:val="00B46865"/>
    <w:rsid w:val="00B468F0"/>
    <w:rsid w:val="00B46A2F"/>
    <w:rsid w:val="00B46A73"/>
    <w:rsid w:val="00B46B01"/>
    <w:rsid w:val="00B470D8"/>
    <w:rsid w:val="00B475D1"/>
    <w:rsid w:val="00B4789F"/>
    <w:rsid w:val="00B478FC"/>
    <w:rsid w:val="00B47ACC"/>
    <w:rsid w:val="00B47BC0"/>
    <w:rsid w:val="00B47CE1"/>
    <w:rsid w:val="00B47CE2"/>
    <w:rsid w:val="00B47D43"/>
    <w:rsid w:val="00B47DAC"/>
    <w:rsid w:val="00B47DB9"/>
    <w:rsid w:val="00B47E6C"/>
    <w:rsid w:val="00B47F8D"/>
    <w:rsid w:val="00B4863E"/>
    <w:rsid w:val="00B50672"/>
    <w:rsid w:val="00B50965"/>
    <w:rsid w:val="00B50CA2"/>
    <w:rsid w:val="00B50E25"/>
    <w:rsid w:val="00B50EBF"/>
    <w:rsid w:val="00B51275"/>
    <w:rsid w:val="00B512C2"/>
    <w:rsid w:val="00B5158F"/>
    <w:rsid w:val="00B51609"/>
    <w:rsid w:val="00B51636"/>
    <w:rsid w:val="00B5169B"/>
    <w:rsid w:val="00B517D6"/>
    <w:rsid w:val="00B51868"/>
    <w:rsid w:val="00B51A5D"/>
    <w:rsid w:val="00B52464"/>
    <w:rsid w:val="00B526AB"/>
    <w:rsid w:val="00B52763"/>
    <w:rsid w:val="00B52C8B"/>
    <w:rsid w:val="00B52D7B"/>
    <w:rsid w:val="00B5317D"/>
    <w:rsid w:val="00B533B6"/>
    <w:rsid w:val="00B53649"/>
    <w:rsid w:val="00B5365D"/>
    <w:rsid w:val="00B5368B"/>
    <w:rsid w:val="00B5391E"/>
    <w:rsid w:val="00B53C6E"/>
    <w:rsid w:val="00B53DBF"/>
    <w:rsid w:val="00B5431C"/>
    <w:rsid w:val="00B54474"/>
    <w:rsid w:val="00B5450A"/>
    <w:rsid w:val="00B5453F"/>
    <w:rsid w:val="00B546E7"/>
    <w:rsid w:val="00B547E1"/>
    <w:rsid w:val="00B54982"/>
    <w:rsid w:val="00B549A7"/>
    <w:rsid w:val="00B54ED3"/>
    <w:rsid w:val="00B552CC"/>
    <w:rsid w:val="00B5540D"/>
    <w:rsid w:val="00B55435"/>
    <w:rsid w:val="00B55536"/>
    <w:rsid w:val="00B558EB"/>
    <w:rsid w:val="00B55958"/>
    <w:rsid w:val="00B559DD"/>
    <w:rsid w:val="00B55CDD"/>
    <w:rsid w:val="00B55D3B"/>
    <w:rsid w:val="00B55DFE"/>
    <w:rsid w:val="00B55EA0"/>
    <w:rsid w:val="00B56003"/>
    <w:rsid w:val="00B56285"/>
    <w:rsid w:val="00B5695D"/>
    <w:rsid w:val="00B56B27"/>
    <w:rsid w:val="00B56DE3"/>
    <w:rsid w:val="00B56E2B"/>
    <w:rsid w:val="00B56E2F"/>
    <w:rsid w:val="00B56F08"/>
    <w:rsid w:val="00B57125"/>
    <w:rsid w:val="00B57398"/>
    <w:rsid w:val="00B575DE"/>
    <w:rsid w:val="00B57CA9"/>
    <w:rsid w:val="00B57D97"/>
    <w:rsid w:val="00B57DDC"/>
    <w:rsid w:val="00B57F44"/>
    <w:rsid w:val="00B6019E"/>
    <w:rsid w:val="00B605B2"/>
    <w:rsid w:val="00B607CE"/>
    <w:rsid w:val="00B60848"/>
    <w:rsid w:val="00B60D0D"/>
    <w:rsid w:val="00B60D11"/>
    <w:rsid w:val="00B60DCD"/>
    <w:rsid w:val="00B60F7F"/>
    <w:rsid w:val="00B60FDD"/>
    <w:rsid w:val="00B610B9"/>
    <w:rsid w:val="00B6129B"/>
    <w:rsid w:val="00B613B0"/>
    <w:rsid w:val="00B61598"/>
    <w:rsid w:val="00B6171D"/>
    <w:rsid w:val="00B6186B"/>
    <w:rsid w:val="00B618CC"/>
    <w:rsid w:val="00B61C8E"/>
    <w:rsid w:val="00B61D72"/>
    <w:rsid w:val="00B61E03"/>
    <w:rsid w:val="00B61E5E"/>
    <w:rsid w:val="00B61E73"/>
    <w:rsid w:val="00B61F12"/>
    <w:rsid w:val="00B620D0"/>
    <w:rsid w:val="00B62498"/>
    <w:rsid w:val="00B6261D"/>
    <w:rsid w:val="00B62AC5"/>
    <w:rsid w:val="00B62CA6"/>
    <w:rsid w:val="00B62D64"/>
    <w:rsid w:val="00B6302C"/>
    <w:rsid w:val="00B630BA"/>
    <w:rsid w:val="00B6349D"/>
    <w:rsid w:val="00B634BB"/>
    <w:rsid w:val="00B6360E"/>
    <w:rsid w:val="00B63828"/>
    <w:rsid w:val="00B63C8D"/>
    <w:rsid w:val="00B63DAE"/>
    <w:rsid w:val="00B63DF8"/>
    <w:rsid w:val="00B63FDB"/>
    <w:rsid w:val="00B63FE6"/>
    <w:rsid w:val="00B6481A"/>
    <w:rsid w:val="00B64968"/>
    <w:rsid w:val="00B64A24"/>
    <w:rsid w:val="00B64BB7"/>
    <w:rsid w:val="00B64D4D"/>
    <w:rsid w:val="00B64E75"/>
    <w:rsid w:val="00B65576"/>
    <w:rsid w:val="00B655AD"/>
    <w:rsid w:val="00B658D9"/>
    <w:rsid w:val="00B65A1A"/>
    <w:rsid w:val="00B65AA8"/>
    <w:rsid w:val="00B65B65"/>
    <w:rsid w:val="00B65CFB"/>
    <w:rsid w:val="00B6606B"/>
    <w:rsid w:val="00B66382"/>
    <w:rsid w:val="00B663EE"/>
    <w:rsid w:val="00B667E5"/>
    <w:rsid w:val="00B6688A"/>
    <w:rsid w:val="00B66B9A"/>
    <w:rsid w:val="00B66C77"/>
    <w:rsid w:val="00B66CB2"/>
    <w:rsid w:val="00B66DC5"/>
    <w:rsid w:val="00B6746F"/>
    <w:rsid w:val="00B67506"/>
    <w:rsid w:val="00B67616"/>
    <w:rsid w:val="00B678A2"/>
    <w:rsid w:val="00B679A6"/>
    <w:rsid w:val="00B67A55"/>
    <w:rsid w:val="00B67B57"/>
    <w:rsid w:val="00B67C2B"/>
    <w:rsid w:val="00B67E5B"/>
    <w:rsid w:val="00B67F78"/>
    <w:rsid w:val="00B70289"/>
    <w:rsid w:val="00B70544"/>
    <w:rsid w:val="00B705EA"/>
    <w:rsid w:val="00B70922"/>
    <w:rsid w:val="00B70D6C"/>
    <w:rsid w:val="00B70F06"/>
    <w:rsid w:val="00B70F38"/>
    <w:rsid w:val="00B711B3"/>
    <w:rsid w:val="00B717E3"/>
    <w:rsid w:val="00B71A66"/>
    <w:rsid w:val="00B71AA5"/>
    <w:rsid w:val="00B722B2"/>
    <w:rsid w:val="00B724EC"/>
    <w:rsid w:val="00B7253E"/>
    <w:rsid w:val="00B72652"/>
    <w:rsid w:val="00B727F7"/>
    <w:rsid w:val="00B72C1F"/>
    <w:rsid w:val="00B7313E"/>
    <w:rsid w:val="00B731EB"/>
    <w:rsid w:val="00B732E8"/>
    <w:rsid w:val="00B73462"/>
    <w:rsid w:val="00B734C0"/>
    <w:rsid w:val="00B73870"/>
    <w:rsid w:val="00B73A0D"/>
    <w:rsid w:val="00B73C75"/>
    <w:rsid w:val="00B73D65"/>
    <w:rsid w:val="00B73EE6"/>
    <w:rsid w:val="00B74282"/>
    <w:rsid w:val="00B74310"/>
    <w:rsid w:val="00B74318"/>
    <w:rsid w:val="00B74515"/>
    <w:rsid w:val="00B74A9A"/>
    <w:rsid w:val="00B74B75"/>
    <w:rsid w:val="00B74CAB"/>
    <w:rsid w:val="00B74FD9"/>
    <w:rsid w:val="00B7502E"/>
    <w:rsid w:val="00B7502F"/>
    <w:rsid w:val="00B75204"/>
    <w:rsid w:val="00B7545A"/>
    <w:rsid w:val="00B75543"/>
    <w:rsid w:val="00B7554F"/>
    <w:rsid w:val="00B755CC"/>
    <w:rsid w:val="00B75B85"/>
    <w:rsid w:val="00B75BD3"/>
    <w:rsid w:val="00B75FA3"/>
    <w:rsid w:val="00B761EF"/>
    <w:rsid w:val="00B762E2"/>
    <w:rsid w:val="00B7655F"/>
    <w:rsid w:val="00B76949"/>
    <w:rsid w:val="00B7697A"/>
    <w:rsid w:val="00B76AF6"/>
    <w:rsid w:val="00B76C1D"/>
    <w:rsid w:val="00B76C3A"/>
    <w:rsid w:val="00B76D60"/>
    <w:rsid w:val="00B76ECB"/>
    <w:rsid w:val="00B76ED3"/>
    <w:rsid w:val="00B76F3D"/>
    <w:rsid w:val="00B76F53"/>
    <w:rsid w:val="00B77325"/>
    <w:rsid w:val="00B774B4"/>
    <w:rsid w:val="00B77613"/>
    <w:rsid w:val="00B77756"/>
    <w:rsid w:val="00B777A0"/>
    <w:rsid w:val="00B77A10"/>
    <w:rsid w:val="00B77D52"/>
    <w:rsid w:val="00B77DC0"/>
    <w:rsid w:val="00B8005A"/>
    <w:rsid w:val="00B801FE"/>
    <w:rsid w:val="00B807EA"/>
    <w:rsid w:val="00B809A5"/>
    <w:rsid w:val="00B80FB0"/>
    <w:rsid w:val="00B8122B"/>
    <w:rsid w:val="00B8143A"/>
    <w:rsid w:val="00B81AA1"/>
    <w:rsid w:val="00B81BEA"/>
    <w:rsid w:val="00B81CE6"/>
    <w:rsid w:val="00B81D2C"/>
    <w:rsid w:val="00B82331"/>
    <w:rsid w:val="00B82367"/>
    <w:rsid w:val="00B824EC"/>
    <w:rsid w:val="00B825D4"/>
    <w:rsid w:val="00B82749"/>
    <w:rsid w:val="00B8275D"/>
    <w:rsid w:val="00B82A3F"/>
    <w:rsid w:val="00B82AA5"/>
    <w:rsid w:val="00B82E8F"/>
    <w:rsid w:val="00B82E90"/>
    <w:rsid w:val="00B8312A"/>
    <w:rsid w:val="00B8315D"/>
    <w:rsid w:val="00B83228"/>
    <w:rsid w:val="00B8363E"/>
    <w:rsid w:val="00B836C9"/>
    <w:rsid w:val="00B839F5"/>
    <w:rsid w:val="00B83BA1"/>
    <w:rsid w:val="00B8410F"/>
    <w:rsid w:val="00B841C1"/>
    <w:rsid w:val="00B842FE"/>
    <w:rsid w:val="00B84527"/>
    <w:rsid w:val="00B849D4"/>
    <w:rsid w:val="00B84DDD"/>
    <w:rsid w:val="00B84EC8"/>
    <w:rsid w:val="00B84ED8"/>
    <w:rsid w:val="00B84F98"/>
    <w:rsid w:val="00B85053"/>
    <w:rsid w:val="00B85163"/>
    <w:rsid w:val="00B85C02"/>
    <w:rsid w:val="00B85FC5"/>
    <w:rsid w:val="00B86032"/>
    <w:rsid w:val="00B86433"/>
    <w:rsid w:val="00B86677"/>
    <w:rsid w:val="00B866F2"/>
    <w:rsid w:val="00B86D8E"/>
    <w:rsid w:val="00B87287"/>
    <w:rsid w:val="00B872AE"/>
    <w:rsid w:val="00B875D8"/>
    <w:rsid w:val="00B87934"/>
    <w:rsid w:val="00B879E7"/>
    <w:rsid w:val="00B87C98"/>
    <w:rsid w:val="00B87E8A"/>
    <w:rsid w:val="00B90099"/>
    <w:rsid w:val="00B90165"/>
    <w:rsid w:val="00B90188"/>
    <w:rsid w:val="00B908C0"/>
    <w:rsid w:val="00B90C88"/>
    <w:rsid w:val="00B910D1"/>
    <w:rsid w:val="00B911A1"/>
    <w:rsid w:val="00B913BB"/>
    <w:rsid w:val="00B91488"/>
    <w:rsid w:val="00B915B1"/>
    <w:rsid w:val="00B91671"/>
    <w:rsid w:val="00B916E5"/>
    <w:rsid w:val="00B917FB"/>
    <w:rsid w:val="00B9191E"/>
    <w:rsid w:val="00B91A14"/>
    <w:rsid w:val="00B91FFC"/>
    <w:rsid w:val="00B92427"/>
    <w:rsid w:val="00B9267C"/>
    <w:rsid w:val="00B928EB"/>
    <w:rsid w:val="00B92943"/>
    <w:rsid w:val="00B9299F"/>
    <w:rsid w:val="00B92B0C"/>
    <w:rsid w:val="00B92CDA"/>
    <w:rsid w:val="00B92E78"/>
    <w:rsid w:val="00B93334"/>
    <w:rsid w:val="00B9333A"/>
    <w:rsid w:val="00B934FC"/>
    <w:rsid w:val="00B93BF9"/>
    <w:rsid w:val="00B93CA7"/>
    <w:rsid w:val="00B93D27"/>
    <w:rsid w:val="00B93D2B"/>
    <w:rsid w:val="00B93EAB"/>
    <w:rsid w:val="00B9417B"/>
    <w:rsid w:val="00B9424D"/>
    <w:rsid w:val="00B94705"/>
    <w:rsid w:val="00B95031"/>
    <w:rsid w:val="00B9540D"/>
    <w:rsid w:val="00B95455"/>
    <w:rsid w:val="00B9566A"/>
    <w:rsid w:val="00B95674"/>
    <w:rsid w:val="00B95DD7"/>
    <w:rsid w:val="00B95F57"/>
    <w:rsid w:val="00B96545"/>
    <w:rsid w:val="00B96564"/>
    <w:rsid w:val="00B96709"/>
    <w:rsid w:val="00B96C72"/>
    <w:rsid w:val="00B96CC2"/>
    <w:rsid w:val="00B96EC4"/>
    <w:rsid w:val="00B97169"/>
    <w:rsid w:val="00B97599"/>
    <w:rsid w:val="00B977C1"/>
    <w:rsid w:val="00B978CE"/>
    <w:rsid w:val="00B97B13"/>
    <w:rsid w:val="00B97CCD"/>
    <w:rsid w:val="00B97F22"/>
    <w:rsid w:val="00B97F62"/>
    <w:rsid w:val="00B97FB9"/>
    <w:rsid w:val="00BA013F"/>
    <w:rsid w:val="00BA075F"/>
    <w:rsid w:val="00BA0C0C"/>
    <w:rsid w:val="00BA0DEC"/>
    <w:rsid w:val="00BA11F3"/>
    <w:rsid w:val="00BA1454"/>
    <w:rsid w:val="00BA1C77"/>
    <w:rsid w:val="00BA1DFF"/>
    <w:rsid w:val="00BA2092"/>
    <w:rsid w:val="00BA20A0"/>
    <w:rsid w:val="00BA2581"/>
    <w:rsid w:val="00BA2632"/>
    <w:rsid w:val="00BA279E"/>
    <w:rsid w:val="00BA27A4"/>
    <w:rsid w:val="00BA2B8C"/>
    <w:rsid w:val="00BA2BA3"/>
    <w:rsid w:val="00BA2F7C"/>
    <w:rsid w:val="00BA2FC5"/>
    <w:rsid w:val="00BA3274"/>
    <w:rsid w:val="00BA32A6"/>
    <w:rsid w:val="00BA3931"/>
    <w:rsid w:val="00BA3AB1"/>
    <w:rsid w:val="00BA3BF6"/>
    <w:rsid w:val="00BA3C41"/>
    <w:rsid w:val="00BA3D24"/>
    <w:rsid w:val="00BA3FD3"/>
    <w:rsid w:val="00BA3FE8"/>
    <w:rsid w:val="00BA4488"/>
    <w:rsid w:val="00BA48EA"/>
    <w:rsid w:val="00BA4928"/>
    <w:rsid w:val="00BA4AA4"/>
    <w:rsid w:val="00BA4BBE"/>
    <w:rsid w:val="00BA5147"/>
    <w:rsid w:val="00BA5402"/>
    <w:rsid w:val="00BA57DE"/>
    <w:rsid w:val="00BA5AF8"/>
    <w:rsid w:val="00BA5D17"/>
    <w:rsid w:val="00BA5F83"/>
    <w:rsid w:val="00BA6255"/>
    <w:rsid w:val="00BA6583"/>
    <w:rsid w:val="00BA6931"/>
    <w:rsid w:val="00BA69D0"/>
    <w:rsid w:val="00BA6A1B"/>
    <w:rsid w:val="00BA6A1F"/>
    <w:rsid w:val="00BA6AFB"/>
    <w:rsid w:val="00BA6C70"/>
    <w:rsid w:val="00BA6EC7"/>
    <w:rsid w:val="00BA70E9"/>
    <w:rsid w:val="00BA7150"/>
    <w:rsid w:val="00BA729E"/>
    <w:rsid w:val="00BA73CF"/>
    <w:rsid w:val="00BA74DF"/>
    <w:rsid w:val="00BA790F"/>
    <w:rsid w:val="00BA7979"/>
    <w:rsid w:val="00BA79FF"/>
    <w:rsid w:val="00BA7E8C"/>
    <w:rsid w:val="00BB0289"/>
    <w:rsid w:val="00BB03C2"/>
    <w:rsid w:val="00BB054D"/>
    <w:rsid w:val="00BB057C"/>
    <w:rsid w:val="00BB0748"/>
    <w:rsid w:val="00BB09BA"/>
    <w:rsid w:val="00BB0A18"/>
    <w:rsid w:val="00BB0BE7"/>
    <w:rsid w:val="00BB0CD0"/>
    <w:rsid w:val="00BB0E3D"/>
    <w:rsid w:val="00BB0EDE"/>
    <w:rsid w:val="00BB112F"/>
    <w:rsid w:val="00BB184A"/>
    <w:rsid w:val="00BB1C84"/>
    <w:rsid w:val="00BB1DA5"/>
    <w:rsid w:val="00BB2424"/>
    <w:rsid w:val="00BB257E"/>
    <w:rsid w:val="00BB25E4"/>
    <w:rsid w:val="00BB26DB"/>
    <w:rsid w:val="00BB2733"/>
    <w:rsid w:val="00BB29A3"/>
    <w:rsid w:val="00BB2B04"/>
    <w:rsid w:val="00BB2C8B"/>
    <w:rsid w:val="00BB2CCA"/>
    <w:rsid w:val="00BB2E72"/>
    <w:rsid w:val="00BB3067"/>
    <w:rsid w:val="00BB3236"/>
    <w:rsid w:val="00BB325D"/>
    <w:rsid w:val="00BB3302"/>
    <w:rsid w:val="00BB3305"/>
    <w:rsid w:val="00BB3462"/>
    <w:rsid w:val="00BB34D6"/>
    <w:rsid w:val="00BB35CF"/>
    <w:rsid w:val="00BB36AA"/>
    <w:rsid w:val="00BB373C"/>
    <w:rsid w:val="00BB3923"/>
    <w:rsid w:val="00BB3E85"/>
    <w:rsid w:val="00BB3F7A"/>
    <w:rsid w:val="00BB46AA"/>
    <w:rsid w:val="00BB4899"/>
    <w:rsid w:val="00BB4C16"/>
    <w:rsid w:val="00BB4EFE"/>
    <w:rsid w:val="00BB50BA"/>
    <w:rsid w:val="00BB56E5"/>
    <w:rsid w:val="00BB5704"/>
    <w:rsid w:val="00BB5C24"/>
    <w:rsid w:val="00BB5C5A"/>
    <w:rsid w:val="00BB5CD7"/>
    <w:rsid w:val="00BB5E72"/>
    <w:rsid w:val="00BB62D0"/>
    <w:rsid w:val="00BB6C7F"/>
    <w:rsid w:val="00BB70AC"/>
    <w:rsid w:val="00BB70BF"/>
    <w:rsid w:val="00BB70FE"/>
    <w:rsid w:val="00BB7192"/>
    <w:rsid w:val="00BB77D2"/>
    <w:rsid w:val="00BB7815"/>
    <w:rsid w:val="00BB78B0"/>
    <w:rsid w:val="00BB78E9"/>
    <w:rsid w:val="00BB7A77"/>
    <w:rsid w:val="00BB7BD2"/>
    <w:rsid w:val="00BB7C1F"/>
    <w:rsid w:val="00BB7D54"/>
    <w:rsid w:val="00BC0212"/>
    <w:rsid w:val="00BC04E4"/>
    <w:rsid w:val="00BC06AA"/>
    <w:rsid w:val="00BC08F6"/>
    <w:rsid w:val="00BC090F"/>
    <w:rsid w:val="00BC09CB"/>
    <w:rsid w:val="00BC0A85"/>
    <w:rsid w:val="00BC0BC0"/>
    <w:rsid w:val="00BC0E4B"/>
    <w:rsid w:val="00BC0F89"/>
    <w:rsid w:val="00BC1157"/>
    <w:rsid w:val="00BC13FC"/>
    <w:rsid w:val="00BC1AAC"/>
    <w:rsid w:val="00BC1BCE"/>
    <w:rsid w:val="00BC1E80"/>
    <w:rsid w:val="00BC1F4D"/>
    <w:rsid w:val="00BC2365"/>
    <w:rsid w:val="00BC253D"/>
    <w:rsid w:val="00BC2887"/>
    <w:rsid w:val="00BC2A86"/>
    <w:rsid w:val="00BC2C33"/>
    <w:rsid w:val="00BC2CB3"/>
    <w:rsid w:val="00BC2CC4"/>
    <w:rsid w:val="00BC2FF4"/>
    <w:rsid w:val="00BC314F"/>
    <w:rsid w:val="00BC34B9"/>
    <w:rsid w:val="00BC3573"/>
    <w:rsid w:val="00BC37AB"/>
    <w:rsid w:val="00BC461C"/>
    <w:rsid w:val="00BC46D3"/>
    <w:rsid w:val="00BC484A"/>
    <w:rsid w:val="00BC4A1A"/>
    <w:rsid w:val="00BC4A3A"/>
    <w:rsid w:val="00BC4C75"/>
    <w:rsid w:val="00BC4F9E"/>
    <w:rsid w:val="00BC4FEE"/>
    <w:rsid w:val="00BC51F9"/>
    <w:rsid w:val="00BC5255"/>
    <w:rsid w:val="00BC5456"/>
    <w:rsid w:val="00BC572F"/>
    <w:rsid w:val="00BC5B5E"/>
    <w:rsid w:val="00BC5B6D"/>
    <w:rsid w:val="00BC5BD3"/>
    <w:rsid w:val="00BC5F3C"/>
    <w:rsid w:val="00BC5F7D"/>
    <w:rsid w:val="00BC5F7F"/>
    <w:rsid w:val="00BC60A8"/>
    <w:rsid w:val="00BC627C"/>
    <w:rsid w:val="00BC6757"/>
    <w:rsid w:val="00BC6861"/>
    <w:rsid w:val="00BC68A7"/>
    <w:rsid w:val="00BC6945"/>
    <w:rsid w:val="00BC695A"/>
    <w:rsid w:val="00BC6BFB"/>
    <w:rsid w:val="00BC6E31"/>
    <w:rsid w:val="00BC6F0D"/>
    <w:rsid w:val="00BC6FBB"/>
    <w:rsid w:val="00BC6FC7"/>
    <w:rsid w:val="00BC76A9"/>
    <w:rsid w:val="00BC7954"/>
    <w:rsid w:val="00BC79E1"/>
    <w:rsid w:val="00BC7A33"/>
    <w:rsid w:val="00BC7AF8"/>
    <w:rsid w:val="00BD00E9"/>
    <w:rsid w:val="00BD025B"/>
    <w:rsid w:val="00BD0279"/>
    <w:rsid w:val="00BD0385"/>
    <w:rsid w:val="00BD0388"/>
    <w:rsid w:val="00BD06A9"/>
    <w:rsid w:val="00BD079F"/>
    <w:rsid w:val="00BD0805"/>
    <w:rsid w:val="00BD08F3"/>
    <w:rsid w:val="00BD0A0C"/>
    <w:rsid w:val="00BD0A7E"/>
    <w:rsid w:val="00BD0DB2"/>
    <w:rsid w:val="00BD1272"/>
    <w:rsid w:val="00BD127A"/>
    <w:rsid w:val="00BD1431"/>
    <w:rsid w:val="00BD159F"/>
    <w:rsid w:val="00BD1707"/>
    <w:rsid w:val="00BD1782"/>
    <w:rsid w:val="00BD17BC"/>
    <w:rsid w:val="00BD1C53"/>
    <w:rsid w:val="00BD1D2B"/>
    <w:rsid w:val="00BD1E6A"/>
    <w:rsid w:val="00BD2055"/>
    <w:rsid w:val="00BD20D4"/>
    <w:rsid w:val="00BD2234"/>
    <w:rsid w:val="00BD238C"/>
    <w:rsid w:val="00BD23BD"/>
    <w:rsid w:val="00BD27C9"/>
    <w:rsid w:val="00BD2E8E"/>
    <w:rsid w:val="00BD330B"/>
    <w:rsid w:val="00BD347C"/>
    <w:rsid w:val="00BD35A2"/>
    <w:rsid w:val="00BD35E8"/>
    <w:rsid w:val="00BD3CA4"/>
    <w:rsid w:val="00BD3DCF"/>
    <w:rsid w:val="00BD3F2A"/>
    <w:rsid w:val="00BD40F2"/>
    <w:rsid w:val="00BD40FA"/>
    <w:rsid w:val="00BD4199"/>
    <w:rsid w:val="00BD44D9"/>
    <w:rsid w:val="00BD4608"/>
    <w:rsid w:val="00BD4918"/>
    <w:rsid w:val="00BD49F3"/>
    <w:rsid w:val="00BD4AC1"/>
    <w:rsid w:val="00BD4CEB"/>
    <w:rsid w:val="00BD4EF5"/>
    <w:rsid w:val="00BD4FE3"/>
    <w:rsid w:val="00BD5068"/>
    <w:rsid w:val="00BD5098"/>
    <w:rsid w:val="00BD52E7"/>
    <w:rsid w:val="00BD5857"/>
    <w:rsid w:val="00BD5900"/>
    <w:rsid w:val="00BD5AF6"/>
    <w:rsid w:val="00BD5D57"/>
    <w:rsid w:val="00BD5DB7"/>
    <w:rsid w:val="00BD60AA"/>
    <w:rsid w:val="00BD6434"/>
    <w:rsid w:val="00BD649A"/>
    <w:rsid w:val="00BD662C"/>
    <w:rsid w:val="00BD664A"/>
    <w:rsid w:val="00BD66B8"/>
    <w:rsid w:val="00BD676F"/>
    <w:rsid w:val="00BD681C"/>
    <w:rsid w:val="00BD6C72"/>
    <w:rsid w:val="00BD72A2"/>
    <w:rsid w:val="00BD7307"/>
    <w:rsid w:val="00BD751F"/>
    <w:rsid w:val="00BD75CB"/>
    <w:rsid w:val="00BD760A"/>
    <w:rsid w:val="00BD7745"/>
    <w:rsid w:val="00BD79B6"/>
    <w:rsid w:val="00BD79F1"/>
    <w:rsid w:val="00BD7AA4"/>
    <w:rsid w:val="00BD7D20"/>
    <w:rsid w:val="00BE0021"/>
    <w:rsid w:val="00BE0712"/>
    <w:rsid w:val="00BE0736"/>
    <w:rsid w:val="00BE0775"/>
    <w:rsid w:val="00BE0813"/>
    <w:rsid w:val="00BE0A31"/>
    <w:rsid w:val="00BE0BC5"/>
    <w:rsid w:val="00BE0D55"/>
    <w:rsid w:val="00BE0DCC"/>
    <w:rsid w:val="00BE0E3C"/>
    <w:rsid w:val="00BE0EB6"/>
    <w:rsid w:val="00BE0EE0"/>
    <w:rsid w:val="00BE0EED"/>
    <w:rsid w:val="00BE1018"/>
    <w:rsid w:val="00BE1967"/>
    <w:rsid w:val="00BE1BA4"/>
    <w:rsid w:val="00BE1E8A"/>
    <w:rsid w:val="00BE1F47"/>
    <w:rsid w:val="00BE205F"/>
    <w:rsid w:val="00BE2541"/>
    <w:rsid w:val="00BE25F0"/>
    <w:rsid w:val="00BE2C59"/>
    <w:rsid w:val="00BE2E76"/>
    <w:rsid w:val="00BE2FD0"/>
    <w:rsid w:val="00BE31D2"/>
    <w:rsid w:val="00BE33E9"/>
    <w:rsid w:val="00BE3891"/>
    <w:rsid w:val="00BE39D6"/>
    <w:rsid w:val="00BE3C2F"/>
    <w:rsid w:val="00BE3DD2"/>
    <w:rsid w:val="00BE4152"/>
    <w:rsid w:val="00BE4290"/>
    <w:rsid w:val="00BE43B7"/>
    <w:rsid w:val="00BE44A7"/>
    <w:rsid w:val="00BE4577"/>
    <w:rsid w:val="00BE463B"/>
    <w:rsid w:val="00BE46A2"/>
    <w:rsid w:val="00BE475E"/>
    <w:rsid w:val="00BE4A21"/>
    <w:rsid w:val="00BE4AE1"/>
    <w:rsid w:val="00BE4D77"/>
    <w:rsid w:val="00BE4EC7"/>
    <w:rsid w:val="00BE50A4"/>
    <w:rsid w:val="00BE55D4"/>
    <w:rsid w:val="00BE5C0F"/>
    <w:rsid w:val="00BE64E3"/>
    <w:rsid w:val="00BE64F2"/>
    <w:rsid w:val="00BE68FC"/>
    <w:rsid w:val="00BE697B"/>
    <w:rsid w:val="00BE6A68"/>
    <w:rsid w:val="00BE6A6B"/>
    <w:rsid w:val="00BE6CDC"/>
    <w:rsid w:val="00BE6EE5"/>
    <w:rsid w:val="00BE758C"/>
    <w:rsid w:val="00BE7C88"/>
    <w:rsid w:val="00BE7D75"/>
    <w:rsid w:val="00BE7E8C"/>
    <w:rsid w:val="00BF03D3"/>
    <w:rsid w:val="00BF06E3"/>
    <w:rsid w:val="00BF0BC9"/>
    <w:rsid w:val="00BF0DC7"/>
    <w:rsid w:val="00BF14A1"/>
    <w:rsid w:val="00BF14FB"/>
    <w:rsid w:val="00BF26D2"/>
    <w:rsid w:val="00BF2865"/>
    <w:rsid w:val="00BF287E"/>
    <w:rsid w:val="00BF2B2F"/>
    <w:rsid w:val="00BF2CAF"/>
    <w:rsid w:val="00BF2D41"/>
    <w:rsid w:val="00BF30FA"/>
    <w:rsid w:val="00BF3181"/>
    <w:rsid w:val="00BF3325"/>
    <w:rsid w:val="00BF34BA"/>
    <w:rsid w:val="00BF3621"/>
    <w:rsid w:val="00BF37BC"/>
    <w:rsid w:val="00BF3BA2"/>
    <w:rsid w:val="00BF3D86"/>
    <w:rsid w:val="00BF3E5B"/>
    <w:rsid w:val="00BF3F1E"/>
    <w:rsid w:val="00BF408A"/>
    <w:rsid w:val="00BF4202"/>
    <w:rsid w:val="00BF4205"/>
    <w:rsid w:val="00BF43DB"/>
    <w:rsid w:val="00BF449E"/>
    <w:rsid w:val="00BF474E"/>
    <w:rsid w:val="00BF47AE"/>
    <w:rsid w:val="00BF4A0C"/>
    <w:rsid w:val="00BF4A4F"/>
    <w:rsid w:val="00BF4BE2"/>
    <w:rsid w:val="00BF4D66"/>
    <w:rsid w:val="00BF4FB3"/>
    <w:rsid w:val="00BF52C5"/>
    <w:rsid w:val="00BF52D8"/>
    <w:rsid w:val="00BF5438"/>
    <w:rsid w:val="00BF5545"/>
    <w:rsid w:val="00BF55D2"/>
    <w:rsid w:val="00BF563E"/>
    <w:rsid w:val="00BF56D5"/>
    <w:rsid w:val="00BF56E4"/>
    <w:rsid w:val="00BF5930"/>
    <w:rsid w:val="00BF5B93"/>
    <w:rsid w:val="00BF5C28"/>
    <w:rsid w:val="00BF5F5D"/>
    <w:rsid w:val="00BF5F73"/>
    <w:rsid w:val="00BF68BF"/>
    <w:rsid w:val="00BF6959"/>
    <w:rsid w:val="00BF6B99"/>
    <w:rsid w:val="00BF6D07"/>
    <w:rsid w:val="00BF6D3C"/>
    <w:rsid w:val="00BF6D74"/>
    <w:rsid w:val="00BF6F68"/>
    <w:rsid w:val="00BF6F84"/>
    <w:rsid w:val="00BF6F9B"/>
    <w:rsid w:val="00BF7031"/>
    <w:rsid w:val="00BF746E"/>
    <w:rsid w:val="00BF75A9"/>
    <w:rsid w:val="00BF75D6"/>
    <w:rsid w:val="00C00177"/>
    <w:rsid w:val="00C00337"/>
    <w:rsid w:val="00C00385"/>
    <w:rsid w:val="00C00792"/>
    <w:rsid w:val="00C009ED"/>
    <w:rsid w:val="00C00A04"/>
    <w:rsid w:val="00C00B04"/>
    <w:rsid w:val="00C00D25"/>
    <w:rsid w:val="00C00E70"/>
    <w:rsid w:val="00C011F5"/>
    <w:rsid w:val="00C01292"/>
    <w:rsid w:val="00C01343"/>
    <w:rsid w:val="00C016CE"/>
    <w:rsid w:val="00C01847"/>
    <w:rsid w:val="00C018A0"/>
    <w:rsid w:val="00C01AE3"/>
    <w:rsid w:val="00C01D34"/>
    <w:rsid w:val="00C02162"/>
    <w:rsid w:val="00C02184"/>
    <w:rsid w:val="00C0235F"/>
    <w:rsid w:val="00C02373"/>
    <w:rsid w:val="00C0243B"/>
    <w:rsid w:val="00C028CC"/>
    <w:rsid w:val="00C02C62"/>
    <w:rsid w:val="00C034AE"/>
    <w:rsid w:val="00C034D9"/>
    <w:rsid w:val="00C03564"/>
    <w:rsid w:val="00C03591"/>
    <w:rsid w:val="00C0387E"/>
    <w:rsid w:val="00C03C49"/>
    <w:rsid w:val="00C03C74"/>
    <w:rsid w:val="00C03D47"/>
    <w:rsid w:val="00C03FCF"/>
    <w:rsid w:val="00C04449"/>
    <w:rsid w:val="00C044AA"/>
    <w:rsid w:val="00C0461D"/>
    <w:rsid w:val="00C048EA"/>
    <w:rsid w:val="00C04911"/>
    <w:rsid w:val="00C0497B"/>
    <w:rsid w:val="00C04B95"/>
    <w:rsid w:val="00C04BB2"/>
    <w:rsid w:val="00C04C71"/>
    <w:rsid w:val="00C051D0"/>
    <w:rsid w:val="00C05244"/>
    <w:rsid w:val="00C05249"/>
    <w:rsid w:val="00C052A1"/>
    <w:rsid w:val="00C05310"/>
    <w:rsid w:val="00C05469"/>
    <w:rsid w:val="00C05474"/>
    <w:rsid w:val="00C05550"/>
    <w:rsid w:val="00C05564"/>
    <w:rsid w:val="00C05710"/>
    <w:rsid w:val="00C05756"/>
    <w:rsid w:val="00C0584C"/>
    <w:rsid w:val="00C058A7"/>
    <w:rsid w:val="00C059D7"/>
    <w:rsid w:val="00C05E99"/>
    <w:rsid w:val="00C05F4B"/>
    <w:rsid w:val="00C061F8"/>
    <w:rsid w:val="00C0632E"/>
    <w:rsid w:val="00C063F9"/>
    <w:rsid w:val="00C065F9"/>
    <w:rsid w:val="00C066CE"/>
    <w:rsid w:val="00C0694E"/>
    <w:rsid w:val="00C06B38"/>
    <w:rsid w:val="00C06C7F"/>
    <w:rsid w:val="00C06E95"/>
    <w:rsid w:val="00C07288"/>
    <w:rsid w:val="00C072D7"/>
    <w:rsid w:val="00C076B8"/>
    <w:rsid w:val="00C102EA"/>
    <w:rsid w:val="00C1065D"/>
    <w:rsid w:val="00C106FA"/>
    <w:rsid w:val="00C10B4A"/>
    <w:rsid w:val="00C10CC5"/>
    <w:rsid w:val="00C1134D"/>
    <w:rsid w:val="00C11596"/>
    <w:rsid w:val="00C11B2A"/>
    <w:rsid w:val="00C11CE4"/>
    <w:rsid w:val="00C11D5B"/>
    <w:rsid w:val="00C121A6"/>
    <w:rsid w:val="00C12880"/>
    <w:rsid w:val="00C129B8"/>
    <w:rsid w:val="00C12BAA"/>
    <w:rsid w:val="00C12CB9"/>
    <w:rsid w:val="00C12D50"/>
    <w:rsid w:val="00C12E8A"/>
    <w:rsid w:val="00C12E92"/>
    <w:rsid w:val="00C12F17"/>
    <w:rsid w:val="00C1305F"/>
    <w:rsid w:val="00C132A0"/>
    <w:rsid w:val="00C132BA"/>
    <w:rsid w:val="00C13353"/>
    <w:rsid w:val="00C134F6"/>
    <w:rsid w:val="00C138C0"/>
    <w:rsid w:val="00C1392B"/>
    <w:rsid w:val="00C13A63"/>
    <w:rsid w:val="00C13F71"/>
    <w:rsid w:val="00C14340"/>
    <w:rsid w:val="00C14450"/>
    <w:rsid w:val="00C144FD"/>
    <w:rsid w:val="00C146DB"/>
    <w:rsid w:val="00C14799"/>
    <w:rsid w:val="00C14C44"/>
    <w:rsid w:val="00C1511B"/>
    <w:rsid w:val="00C15446"/>
    <w:rsid w:val="00C15486"/>
    <w:rsid w:val="00C15A08"/>
    <w:rsid w:val="00C15A20"/>
    <w:rsid w:val="00C15CB5"/>
    <w:rsid w:val="00C15FE1"/>
    <w:rsid w:val="00C1657C"/>
    <w:rsid w:val="00C165E3"/>
    <w:rsid w:val="00C16652"/>
    <w:rsid w:val="00C16674"/>
    <w:rsid w:val="00C169D8"/>
    <w:rsid w:val="00C16A45"/>
    <w:rsid w:val="00C16C33"/>
    <w:rsid w:val="00C16CE1"/>
    <w:rsid w:val="00C17089"/>
    <w:rsid w:val="00C172D0"/>
    <w:rsid w:val="00C17575"/>
    <w:rsid w:val="00C176F7"/>
    <w:rsid w:val="00C177EB"/>
    <w:rsid w:val="00C179AE"/>
    <w:rsid w:val="00C17A68"/>
    <w:rsid w:val="00C17C0B"/>
    <w:rsid w:val="00C17E43"/>
    <w:rsid w:val="00C201A3"/>
    <w:rsid w:val="00C201AA"/>
    <w:rsid w:val="00C20254"/>
    <w:rsid w:val="00C20366"/>
    <w:rsid w:val="00C205BE"/>
    <w:rsid w:val="00C20721"/>
    <w:rsid w:val="00C208A7"/>
    <w:rsid w:val="00C2090E"/>
    <w:rsid w:val="00C21110"/>
    <w:rsid w:val="00C21284"/>
    <w:rsid w:val="00C216A8"/>
    <w:rsid w:val="00C218CB"/>
    <w:rsid w:val="00C218DC"/>
    <w:rsid w:val="00C2190D"/>
    <w:rsid w:val="00C21981"/>
    <w:rsid w:val="00C21AA0"/>
    <w:rsid w:val="00C21E3D"/>
    <w:rsid w:val="00C220D1"/>
    <w:rsid w:val="00C220F1"/>
    <w:rsid w:val="00C2250F"/>
    <w:rsid w:val="00C226C2"/>
    <w:rsid w:val="00C226DA"/>
    <w:rsid w:val="00C22788"/>
    <w:rsid w:val="00C22C26"/>
    <w:rsid w:val="00C22D69"/>
    <w:rsid w:val="00C22E35"/>
    <w:rsid w:val="00C231AC"/>
    <w:rsid w:val="00C23B05"/>
    <w:rsid w:val="00C23B84"/>
    <w:rsid w:val="00C23BCB"/>
    <w:rsid w:val="00C23BDA"/>
    <w:rsid w:val="00C23D3B"/>
    <w:rsid w:val="00C23F80"/>
    <w:rsid w:val="00C23FDD"/>
    <w:rsid w:val="00C2456A"/>
    <w:rsid w:val="00C246D4"/>
    <w:rsid w:val="00C24953"/>
    <w:rsid w:val="00C2495B"/>
    <w:rsid w:val="00C24CA2"/>
    <w:rsid w:val="00C24E90"/>
    <w:rsid w:val="00C24FC6"/>
    <w:rsid w:val="00C251D9"/>
    <w:rsid w:val="00C25312"/>
    <w:rsid w:val="00C255D5"/>
    <w:rsid w:val="00C25733"/>
    <w:rsid w:val="00C25817"/>
    <w:rsid w:val="00C25845"/>
    <w:rsid w:val="00C2585B"/>
    <w:rsid w:val="00C25AA2"/>
    <w:rsid w:val="00C263CB"/>
    <w:rsid w:val="00C264DA"/>
    <w:rsid w:val="00C266CA"/>
    <w:rsid w:val="00C268A9"/>
    <w:rsid w:val="00C268D1"/>
    <w:rsid w:val="00C26988"/>
    <w:rsid w:val="00C26A55"/>
    <w:rsid w:val="00C26B18"/>
    <w:rsid w:val="00C2711B"/>
    <w:rsid w:val="00C273DE"/>
    <w:rsid w:val="00C27473"/>
    <w:rsid w:val="00C279C2"/>
    <w:rsid w:val="00C27B1A"/>
    <w:rsid w:val="00C27BE9"/>
    <w:rsid w:val="00C30013"/>
    <w:rsid w:val="00C30355"/>
    <w:rsid w:val="00C30484"/>
    <w:rsid w:val="00C3092A"/>
    <w:rsid w:val="00C30A16"/>
    <w:rsid w:val="00C30B1D"/>
    <w:rsid w:val="00C30C09"/>
    <w:rsid w:val="00C30E1F"/>
    <w:rsid w:val="00C30F05"/>
    <w:rsid w:val="00C31029"/>
    <w:rsid w:val="00C31793"/>
    <w:rsid w:val="00C3184D"/>
    <w:rsid w:val="00C31EF1"/>
    <w:rsid w:val="00C32254"/>
    <w:rsid w:val="00C3242E"/>
    <w:rsid w:val="00C3265E"/>
    <w:rsid w:val="00C32803"/>
    <w:rsid w:val="00C32938"/>
    <w:rsid w:val="00C32945"/>
    <w:rsid w:val="00C32D3B"/>
    <w:rsid w:val="00C32E78"/>
    <w:rsid w:val="00C33331"/>
    <w:rsid w:val="00C33541"/>
    <w:rsid w:val="00C3354E"/>
    <w:rsid w:val="00C337F8"/>
    <w:rsid w:val="00C33AA3"/>
    <w:rsid w:val="00C33D0B"/>
    <w:rsid w:val="00C33FC7"/>
    <w:rsid w:val="00C343CC"/>
    <w:rsid w:val="00C345E5"/>
    <w:rsid w:val="00C34646"/>
    <w:rsid w:val="00C346DB"/>
    <w:rsid w:val="00C34796"/>
    <w:rsid w:val="00C348EC"/>
    <w:rsid w:val="00C34BE4"/>
    <w:rsid w:val="00C35159"/>
    <w:rsid w:val="00C352A1"/>
    <w:rsid w:val="00C35427"/>
    <w:rsid w:val="00C35B42"/>
    <w:rsid w:val="00C35C4C"/>
    <w:rsid w:val="00C35CA9"/>
    <w:rsid w:val="00C35D98"/>
    <w:rsid w:val="00C3601A"/>
    <w:rsid w:val="00C36160"/>
    <w:rsid w:val="00C36277"/>
    <w:rsid w:val="00C36306"/>
    <w:rsid w:val="00C365FA"/>
    <w:rsid w:val="00C3670A"/>
    <w:rsid w:val="00C36741"/>
    <w:rsid w:val="00C3689A"/>
    <w:rsid w:val="00C3692A"/>
    <w:rsid w:val="00C36B9A"/>
    <w:rsid w:val="00C371D9"/>
    <w:rsid w:val="00C3751E"/>
    <w:rsid w:val="00C37535"/>
    <w:rsid w:val="00C377A5"/>
    <w:rsid w:val="00C37924"/>
    <w:rsid w:val="00C37CEF"/>
    <w:rsid w:val="00C37D94"/>
    <w:rsid w:val="00C37D96"/>
    <w:rsid w:val="00C40202"/>
    <w:rsid w:val="00C40225"/>
    <w:rsid w:val="00C403C3"/>
    <w:rsid w:val="00C409E2"/>
    <w:rsid w:val="00C40DD5"/>
    <w:rsid w:val="00C40EED"/>
    <w:rsid w:val="00C40F49"/>
    <w:rsid w:val="00C41026"/>
    <w:rsid w:val="00C41407"/>
    <w:rsid w:val="00C41468"/>
    <w:rsid w:val="00C41645"/>
    <w:rsid w:val="00C41930"/>
    <w:rsid w:val="00C41A1E"/>
    <w:rsid w:val="00C41B0D"/>
    <w:rsid w:val="00C41B25"/>
    <w:rsid w:val="00C41FB6"/>
    <w:rsid w:val="00C420BD"/>
    <w:rsid w:val="00C42297"/>
    <w:rsid w:val="00C422B5"/>
    <w:rsid w:val="00C4239D"/>
    <w:rsid w:val="00C424CF"/>
    <w:rsid w:val="00C42544"/>
    <w:rsid w:val="00C4277A"/>
    <w:rsid w:val="00C42CF0"/>
    <w:rsid w:val="00C42ECB"/>
    <w:rsid w:val="00C42F8F"/>
    <w:rsid w:val="00C43034"/>
    <w:rsid w:val="00C43456"/>
    <w:rsid w:val="00C434F5"/>
    <w:rsid w:val="00C436D9"/>
    <w:rsid w:val="00C43A36"/>
    <w:rsid w:val="00C43AF4"/>
    <w:rsid w:val="00C43F06"/>
    <w:rsid w:val="00C440A6"/>
    <w:rsid w:val="00C4432A"/>
    <w:rsid w:val="00C44334"/>
    <w:rsid w:val="00C443DC"/>
    <w:rsid w:val="00C447BA"/>
    <w:rsid w:val="00C44B90"/>
    <w:rsid w:val="00C44C88"/>
    <w:rsid w:val="00C44DC2"/>
    <w:rsid w:val="00C44EB4"/>
    <w:rsid w:val="00C45060"/>
    <w:rsid w:val="00C450D2"/>
    <w:rsid w:val="00C45216"/>
    <w:rsid w:val="00C4529B"/>
    <w:rsid w:val="00C453B4"/>
    <w:rsid w:val="00C4569F"/>
    <w:rsid w:val="00C45764"/>
    <w:rsid w:val="00C458AD"/>
    <w:rsid w:val="00C458D0"/>
    <w:rsid w:val="00C45A65"/>
    <w:rsid w:val="00C45C6A"/>
    <w:rsid w:val="00C45CBF"/>
    <w:rsid w:val="00C45CE7"/>
    <w:rsid w:val="00C45CF5"/>
    <w:rsid w:val="00C45D9B"/>
    <w:rsid w:val="00C45DBD"/>
    <w:rsid w:val="00C45E57"/>
    <w:rsid w:val="00C45F86"/>
    <w:rsid w:val="00C45FF1"/>
    <w:rsid w:val="00C46101"/>
    <w:rsid w:val="00C46A9A"/>
    <w:rsid w:val="00C46DA8"/>
    <w:rsid w:val="00C4712D"/>
    <w:rsid w:val="00C47169"/>
    <w:rsid w:val="00C47654"/>
    <w:rsid w:val="00C47715"/>
    <w:rsid w:val="00C4781D"/>
    <w:rsid w:val="00C47A25"/>
    <w:rsid w:val="00C47A31"/>
    <w:rsid w:val="00C47CCB"/>
    <w:rsid w:val="00C47FF2"/>
    <w:rsid w:val="00C50299"/>
    <w:rsid w:val="00C504DC"/>
    <w:rsid w:val="00C50586"/>
    <w:rsid w:val="00C506E0"/>
    <w:rsid w:val="00C50711"/>
    <w:rsid w:val="00C508B1"/>
    <w:rsid w:val="00C508CB"/>
    <w:rsid w:val="00C5096E"/>
    <w:rsid w:val="00C50BAC"/>
    <w:rsid w:val="00C50D9B"/>
    <w:rsid w:val="00C50DBB"/>
    <w:rsid w:val="00C51174"/>
    <w:rsid w:val="00C5156B"/>
    <w:rsid w:val="00C515AC"/>
    <w:rsid w:val="00C5162B"/>
    <w:rsid w:val="00C5168B"/>
    <w:rsid w:val="00C519E3"/>
    <w:rsid w:val="00C51D14"/>
    <w:rsid w:val="00C51DA2"/>
    <w:rsid w:val="00C52119"/>
    <w:rsid w:val="00C52443"/>
    <w:rsid w:val="00C52619"/>
    <w:rsid w:val="00C52653"/>
    <w:rsid w:val="00C52735"/>
    <w:rsid w:val="00C5295B"/>
    <w:rsid w:val="00C529D4"/>
    <w:rsid w:val="00C52C8C"/>
    <w:rsid w:val="00C52DF8"/>
    <w:rsid w:val="00C52EF4"/>
    <w:rsid w:val="00C5302B"/>
    <w:rsid w:val="00C531D8"/>
    <w:rsid w:val="00C53903"/>
    <w:rsid w:val="00C54102"/>
    <w:rsid w:val="00C5413B"/>
    <w:rsid w:val="00C541F4"/>
    <w:rsid w:val="00C5422C"/>
    <w:rsid w:val="00C54289"/>
    <w:rsid w:val="00C54C8F"/>
    <w:rsid w:val="00C54E0A"/>
    <w:rsid w:val="00C54EF3"/>
    <w:rsid w:val="00C551C6"/>
    <w:rsid w:val="00C5529F"/>
    <w:rsid w:val="00C55354"/>
    <w:rsid w:val="00C55410"/>
    <w:rsid w:val="00C554A3"/>
    <w:rsid w:val="00C5565F"/>
    <w:rsid w:val="00C559F6"/>
    <w:rsid w:val="00C55DF3"/>
    <w:rsid w:val="00C55E45"/>
    <w:rsid w:val="00C55FF0"/>
    <w:rsid w:val="00C5601F"/>
    <w:rsid w:val="00C560DB"/>
    <w:rsid w:val="00C56501"/>
    <w:rsid w:val="00C566B3"/>
    <w:rsid w:val="00C5676E"/>
    <w:rsid w:val="00C56825"/>
    <w:rsid w:val="00C56887"/>
    <w:rsid w:val="00C56986"/>
    <w:rsid w:val="00C56A78"/>
    <w:rsid w:val="00C56C64"/>
    <w:rsid w:val="00C56E3C"/>
    <w:rsid w:val="00C56EAF"/>
    <w:rsid w:val="00C5736F"/>
    <w:rsid w:val="00C575B4"/>
    <w:rsid w:val="00C575E1"/>
    <w:rsid w:val="00C57789"/>
    <w:rsid w:val="00C57B3E"/>
    <w:rsid w:val="00C57C23"/>
    <w:rsid w:val="00C57D09"/>
    <w:rsid w:val="00C57D31"/>
    <w:rsid w:val="00C57D78"/>
    <w:rsid w:val="00C57DC8"/>
    <w:rsid w:val="00C605DF"/>
    <w:rsid w:val="00C6081E"/>
    <w:rsid w:val="00C608D4"/>
    <w:rsid w:val="00C60975"/>
    <w:rsid w:val="00C60A10"/>
    <w:rsid w:val="00C60A3F"/>
    <w:rsid w:val="00C60A42"/>
    <w:rsid w:val="00C60B39"/>
    <w:rsid w:val="00C60B52"/>
    <w:rsid w:val="00C60DDC"/>
    <w:rsid w:val="00C61165"/>
    <w:rsid w:val="00C61321"/>
    <w:rsid w:val="00C61734"/>
    <w:rsid w:val="00C617B5"/>
    <w:rsid w:val="00C61DF5"/>
    <w:rsid w:val="00C61E9A"/>
    <w:rsid w:val="00C620AD"/>
    <w:rsid w:val="00C62125"/>
    <w:rsid w:val="00C62323"/>
    <w:rsid w:val="00C627F7"/>
    <w:rsid w:val="00C62FB5"/>
    <w:rsid w:val="00C62FDF"/>
    <w:rsid w:val="00C6311F"/>
    <w:rsid w:val="00C6313A"/>
    <w:rsid w:val="00C6358A"/>
    <w:rsid w:val="00C6386E"/>
    <w:rsid w:val="00C63BA5"/>
    <w:rsid w:val="00C63C72"/>
    <w:rsid w:val="00C63CD5"/>
    <w:rsid w:val="00C64486"/>
    <w:rsid w:val="00C646AF"/>
    <w:rsid w:val="00C647E2"/>
    <w:rsid w:val="00C64A2D"/>
    <w:rsid w:val="00C6516D"/>
    <w:rsid w:val="00C65301"/>
    <w:rsid w:val="00C65426"/>
    <w:rsid w:val="00C656DD"/>
    <w:rsid w:val="00C65809"/>
    <w:rsid w:val="00C65D26"/>
    <w:rsid w:val="00C66091"/>
    <w:rsid w:val="00C6634D"/>
    <w:rsid w:val="00C6654C"/>
    <w:rsid w:val="00C669C8"/>
    <w:rsid w:val="00C66A06"/>
    <w:rsid w:val="00C66B0F"/>
    <w:rsid w:val="00C66C39"/>
    <w:rsid w:val="00C66E98"/>
    <w:rsid w:val="00C671E3"/>
    <w:rsid w:val="00C67329"/>
    <w:rsid w:val="00C673CF"/>
    <w:rsid w:val="00C67561"/>
    <w:rsid w:val="00C67605"/>
    <w:rsid w:val="00C679C1"/>
    <w:rsid w:val="00C67C0D"/>
    <w:rsid w:val="00C67CAC"/>
    <w:rsid w:val="00C67CDD"/>
    <w:rsid w:val="00C702A8"/>
    <w:rsid w:val="00C708A8"/>
    <w:rsid w:val="00C7093F"/>
    <w:rsid w:val="00C70CBC"/>
    <w:rsid w:val="00C70FB3"/>
    <w:rsid w:val="00C7109A"/>
    <w:rsid w:val="00C71105"/>
    <w:rsid w:val="00C71157"/>
    <w:rsid w:val="00C7136F"/>
    <w:rsid w:val="00C7146B"/>
    <w:rsid w:val="00C715F3"/>
    <w:rsid w:val="00C716E4"/>
    <w:rsid w:val="00C7184E"/>
    <w:rsid w:val="00C718A8"/>
    <w:rsid w:val="00C7195C"/>
    <w:rsid w:val="00C71B59"/>
    <w:rsid w:val="00C71B95"/>
    <w:rsid w:val="00C71F50"/>
    <w:rsid w:val="00C72238"/>
    <w:rsid w:val="00C7234E"/>
    <w:rsid w:val="00C72804"/>
    <w:rsid w:val="00C7292C"/>
    <w:rsid w:val="00C72CE1"/>
    <w:rsid w:val="00C72CF3"/>
    <w:rsid w:val="00C72E57"/>
    <w:rsid w:val="00C72EEC"/>
    <w:rsid w:val="00C72F2A"/>
    <w:rsid w:val="00C7300E"/>
    <w:rsid w:val="00C73069"/>
    <w:rsid w:val="00C7314D"/>
    <w:rsid w:val="00C73305"/>
    <w:rsid w:val="00C73553"/>
    <w:rsid w:val="00C735B0"/>
    <w:rsid w:val="00C739AB"/>
    <w:rsid w:val="00C739D0"/>
    <w:rsid w:val="00C73BDF"/>
    <w:rsid w:val="00C73E86"/>
    <w:rsid w:val="00C74E17"/>
    <w:rsid w:val="00C7507E"/>
    <w:rsid w:val="00C75289"/>
    <w:rsid w:val="00C75353"/>
    <w:rsid w:val="00C753F6"/>
    <w:rsid w:val="00C7552B"/>
    <w:rsid w:val="00C75667"/>
    <w:rsid w:val="00C757EC"/>
    <w:rsid w:val="00C75853"/>
    <w:rsid w:val="00C75BAE"/>
    <w:rsid w:val="00C75BD7"/>
    <w:rsid w:val="00C75EB0"/>
    <w:rsid w:val="00C7637A"/>
    <w:rsid w:val="00C765B3"/>
    <w:rsid w:val="00C76CDD"/>
    <w:rsid w:val="00C76D55"/>
    <w:rsid w:val="00C76E53"/>
    <w:rsid w:val="00C76F8D"/>
    <w:rsid w:val="00C76FD0"/>
    <w:rsid w:val="00C770E4"/>
    <w:rsid w:val="00C77539"/>
    <w:rsid w:val="00C775FB"/>
    <w:rsid w:val="00C77929"/>
    <w:rsid w:val="00C77956"/>
    <w:rsid w:val="00C77C97"/>
    <w:rsid w:val="00C80013"/>
    <w:rsid w:val="00C801A8"/>
    <w:rsid w:val="00C8037D"/>
    <w:rsid w:val="00C809CB"/>
    <w:rsid w:val="00C80BA9"/>
    <w:rsid w:val="00C80CB8"/>
    <w:rsid w:val="00C80DDC"/>
    <w:rsid w:val="00C80F4E"/>
    <w:rsid w:val="00C811C3"/>
    <w:rsid w:val="00C81319"/>
    <w:rsid w:val="00C813F4"/>
    <w:rsid w:val="00C81470"/>
    <w:rsid w:val="00C814F3"/>
    <w:rsid w:val="00C81733"/>
    <w:rsid w:val="00C81AFD"/>
    <w:rsid w:val="00C81F0D"/>
    <w:rsid w:val="00C81FD2"/>
    <w:rsid w:val="00C820E2"/>
    <w:rsid w:val="00C8216E"/>
    <w:rsid w:val="00C8221B"/>
    <w:rsid w:val="00C823C8"/>
    <w:rsid w:val="00C8253F"/>
    <w:rsid w:val="00C82542"/>
    <w:rsid w:val="00C825CD"/>
    <w:rsid w:val="00C826A3"/>
    <w:rsid w:val="00C82917"/>
    <w:rsid w:val="00C829DF"/>
    <w:rsid w:val="00C82BE3"/>
    <w:rsid w:val="00C82C59"/>
    <w:rsid w:val="00C82D02"/>
    <w:rsid w:val="00C82DBD"/>
    <w:rsid w:val="00C82EB0"/>
    <w:rsid w:val="00C833E7"/>
    <w:rsid w:val="00C83720"/>
    <w:rsid w:val="00C83774"/>
    <w:rsid w:val="00C83791"/>
    <w:rsid w:val="00C83823"/>
    <w:rsid w:val="00C83BB6"/>
    <w:rsid w:val="00C83FA7"/>
    <w:rsid w:val="00C84091"/>
    <w:rsid w:val="00C8413E"/>
    <w:rsid w:val="00C841B7"/>
    <w:rsid w:val="00C84231"/>
    <w:rsid w:val="00C842F6"/>
    <w:rsid w:val="00C84667"/>
    <w:rsid w:val="00C8469A"/>
    <w:rsid w:val="00C8486C"/>
    <w:rsid w:val="00C84A81"/>
    <w:rsid w:val="00C84C8E"/>
    <w:rsid w:val="00C84D73"/>
    <w:rsid w:val="00C85185"/>
    <w:rsid w:val="00C853CB"/>
    <w:rsid w:val="00C854E9"/>
    <w:rsid w:val="00C85660"/>
    <w:rsid w:val="00C85C16"/>
    <w:rsid w:val="00C85C3D"/>
    <w:rsid w:val="00C85C9C"/>
    <w:rsid w:val="00C85CA2"/>
    <w:rsid w:val="00C85CDB"/>
    <w:rsid w:val="00C860FD"/>
    <w:rsid w:val="00C861C4"/>
    <w:rsid w:val="00C863BE"/>
    <w:rsid w:val="00C865E0"/>
    <w:rsid w:val="00C867AF"/>
    <w:rsid w:val="00C86843"/>
    <w:rsid w:val="00C86A47"/>
    <w:rsid w:val="00C87166"/>
    <w:rsid w:val="00C879A0"/>
    <w:rsid w:val="00C87F42"/>
    <w:rsid w:val="00C90233"/>
    <w:rsid w:val="00C90364"/>
    <w:rsid w:val="00C90466"/>
    <w:rsid w:val="00C906BD"/>
    <w:rsid w:val="00C908FC"/>
    <w:rsid w:val="00C90963"/>
    <w:rsid w:val="00C90EDC"/>
    <w:rsid w:val="00C90F1D"/>
    <w:rsid w:val="00C91253"/>
    <w:rsid w:val="00C914AC"/>
    <w:rsid w:val="00C91623"/>
    <w:rsid w:val="00C91761"/>
    <w:rsid w:val="00C91820"/>
    <w:rsid w:val="00C91995"/>
    <w:rsid w:val="00C91BC7"/>
    <w:rsid w:val="00C91EFA"/>
    <w:rsid w:val="00C91F1E"/>
    <w:rsid w:val="00C92145"/>
    <w:rsid w:val="00C92918"/>
    <w:rsid w:val="00C92B94"/>
    <w:rsid w:val="00C92BBC"/>
    <w:rsid w:val="00C92D21"/>
    <w:rsid w:val="00C92F2F"/>
    <w:rsid w:val="00C93255"/>
    <w:rsid w:val="00C93520"/>
    <w:rsid w:val="00C9356E"/>
    <w:rsid w:val="00C93628"/>
    <w:rsid w:val="00C93CB1"/>
    <w:rsid w:val="00C94509"/>
    <w:rsid w:val="00C94D36"/>
    <w:rsid w:val="00C951AF"/>
    <w:rsid w:val="00C95292"/>
    <w:rsid w:val="00C95685"/>
    <w:rsid w:val="00C95808"/>
    <w:rsid w:val="00C95A0E"/>
    <w:rsid w:val="00C95D8B"/>
    <w:rsid w:val="00C95E61"/>
    <w:rsid w:val="00C95EFB"/>
    <w:rsid w:val="00C95F58"/>
    <w:rsid w:val="00C963FB"/>
    <w:rsid w:val="00C9641F"/>
    <w:rsid w:val="00C96466"/>
    <w:rsid w:val="00C9682F"/>
    <w:rsid w:val="00C96B44"/>
    <w:rsid w:val="00C96CE4"/>
    <w:rsid w:val="00C96FF1"/>
    <w:rsid w:val="00C97062"/>
    <w:rsid w:val="00C97148"/>
    <w:rsid w:val="00C971E5"/>
    <w:rsid w:val="00C97A65"/>
    <w:rsid w:val="00C97C8E"/>
    <w:rsid w:val="00CA0319"/>
    <w:rsid w:val="00CA0BE3"/>
    <w:rsid w:val="00CA0CE2"/>
    <w:rsid w:val="00CA0DA1"/>
    <w:rsid w:val="00CA1544"/>
    <w:rsid w:val="00CA1663"/>
    <w:rsid w:val="00CA1A6D"/>
    <w:rsid w:val="00CA1AD7"/>
    <w:rsid w:val="00CA1CF6"/>
    <w:rsid w:val="00CA1E90"/>
    <w:rsid w:val="00CA1F93"/>
    <w:rsid w:val="00CA223C"/>
    <w:rsid w:val="00CA25AF"/>
    <w:rsid w:val="00CA263C"/>
    <w:rsid w:val="00CA28F9"/>
    <w:rsid w:val="00CA2A19"/>
    <w:rsid w:val="00CA2A32"/>
    <w:rsid w:val="00CA2C42"/>
    <w:rsid w:val="00CA2D15"/>
    <w:rsid w:val="00CA2D16"/>
    <w:rsid w:val="00CA3090"/>
    <w:rsid w:val="00CA3101"/>
    <w:rsid w:val="00CA3106"/>
    <w:rsid w:val="00CA311A"/>
    <w:rsid w:val="00CA377C"/>
    <w:rsid w:val="00CA3EA4"/>
    <w:rsid w:val="00CA41C2"/>
    <w:rsid w:val="00CA43B0"/>
    <w:rsid w:val="00CA4735"/>
    <w:rsid w:val="00CA4743"/>
    <w:rsid w:val="00CA4AE9"/>
    <w:rsid w:val="00CA4B61"/>
    <w:rsid w:val="00CA502E"/>
    <w:rsid w:val="00CA51D9"/>
    <w:rsid w:val="00CA5209"/>
    <w:rsid w:val="00CA5890"/>
    <w:rsid w:val="00CA5A6D"/>
    <w:rsid w:val="00CA5E8B"/>
    <w:rsid w:val="00CA5EA4"/>
    <w:rsid w:val="00CA6296"/>
    <w:rsid w:val="00CA62C0"/>
    <w:rsid w:val="00CA630A"/>
    <w:rsid w:val="00CA6323"/>
    <w:rsid w:val="00CA6483"/>
    <w:rsid w:val="00CA65D8"/>
    <w:rsid w:val="00CA677E"/>
    <w:rsid w:val="00CA6846"/>
    <w:rsid w:val="00CA6A25"/>
    <w:rsid w:val="00CA6F0D"/>
    <w:rsid w:val="00CA70D2"/>
    <w:rsid w:val="00CA74CB"/>
    <w:rsid w:val="00CA74D5"/>
    <w:rsid w:val="00CA76B3"/>
    <w:rsid w:val="00CA7817"/>
    <w:rsid w:val="00CA7955"/>
    <w:rsid w:val="00CA79CF"/>
    <w:rsid w:val="00CA7D7B"/>
    <w:rsid w:val="00CB0142"/>
    <w:rsid w:val="00CB01B6"/>
    <w:rsid w:val="00CB02B4"/>
    <w:rsid w:val="00CB062C"/>
    <w:rsid w:val="00CB0968"/>
    <w:rsid w:val="00CB0AD7"/>
    <w:rsid w:val="00CB0C3A"/>
    <w:rsid w:val="00CB0D64"/>
    <w:rsid w:val="00CB0D78"/>
    <w:rsid w:val="00CB0DC9"/>
    <w:rsid w:val="00CB0EA4"/>
    <w:rsid w:val="00CB11B0"/>
    <w:rsid w:val="00CB12F3"/>
    <w:rsid w:val="00CB1570"/>
    <w:rsid w:val="00CB1576"/>
    <w:rsid w:val="00CB171D"/>
    <w:rsid w:val="00CB1747"/>
    <w:rsid w:val="00CB1A22"/>
    <w:rsid w:val="00CB1BD2"/>
    <w:rsid w:val="00CB1DBB"/>
    <w:rsid w:val="00CB217E"/>
    <w:rsid w:val="00CB233C"/>
    <w:rsid w:val="00CB23BA"/>
    <w:rsid w:val="00CB25DE"/>
    <w:rsid w:val="00CB265E"/>
    <w:rsid w:val="00CB27FE"/>
    <w:rsid w:val="00CB2C1A"/>
    <w:rsid w:val="00CB2C85"/>
    <w:rsid w:val="00CB2E3C"/>
    <w:rsid w:val="00CB326A"/>
    <w:rsid w:val="00CB354C"/>
    <w:rsid w:val="00CB35CE"/>
    <w:rsid w:val="00CB36C0"/>
    <w:rsid w:val="00CB36CE"/>
    <w:rsid w:val="00CB381E"/>
    <w:rsid w:val="00CB39DF"/>
    <w:rsid w:val="00CB3CC7"/>
    <w:rsid w:val="00CB456C"/>
    <w:rsid w:val="00CB489A"/>
    <w:rsid w:val="00CB48BE"/>
    <w:rsid w:val="00CB49C8"/>
    <w:rsid w:val="00CB4A5D"/>
    <w:rsid w:val="00CB4CC2"/>
    <w:rsid w:val="00CB4FF3"/>
    <w:rsid w:val="00CB5031"/>
    <w:rsid w:val="00CB53C3"/>
    <w:rsid w:val="00CB572F"/>
    <w:rsid w:val="00CB5849"/>
    <w:rsid w:val="00CB5A92"/>
    <w:rsid w:val="00CB5DA5"/>
    <w:rsid w:val="00CB5F99"/>
    <w:rsid w:val="00CB63EB"/>
    <w:rsid w:val="00CB658D"/>
    <w:rsid w:val="00CB65E1"/>
    <w:rsid w:val="00CB66F9"/>
    <w:rsid w:val="00CB6906"/>
    <w:rsid w:val="00CB6ECC"/>
    <w:rsid w:val="00CB6F3E"/>
    <w:rsid w:val="00CB7165"/>
    <w:rsid w:val="00CB7240"/>
    <w:rsid w:val="00CB72D9"/>
    <w:rsid w:val="00CB7556"/>
    <w:rsid w:val="00CB7B78"/>
    <w:rsid w:val="00CB7BE3"/>
    <w:rsid w:val="00CC0167"/>
    <w:rsid w:val="00CC0535"/>
    <w:rsid w:val="00CC0649"/>
    <w:rsid w:val="00CC0A25"/>
    <w:rsid w:val="00CC0C67"/>
    <w:rsid w:val="00CC0F9B"/>
    <w:rsid w:val="00CC10A2"/>
    <w:rsid w:val="00CC141D"/>
    <w:rsid w:val="00CC1684"/>
    <w:rsid w:val="00CC1951"/>
    <w:rsid w:val="00CC1E67"/>
    <w:rsid w:val="00CC1E72"/>
    <w:rsid w:val="00CC1FD5"/>
    <w:rsid w:val="00CC2277"/>
    <w:rsid w:val="00CC2552"/>
    <w:rsid w:val="00CC25EB"/>
    <w:rsid w:val="00CC2618"/>
    <w:rsid w:val="00CC293F"/>
    <w:rsid w:val="00CC2A03"/>
    <w:rsid w:val="00CC2A37"/>
    <w:rsid w:val="00CC2C54"/>
    <w:rsid w:val="00CC2C84"/>
    <w:rsid w:val="00CC3092"/>
    <w:rsid w:val="00CC30FD"/>
    <w:rsid w:val="00CC38A0"/>
    <w:rsid w:val="00CC38E0"/>
    <w:rsid w:val="00CC390C"/>
    <w:rsid w:val="00CC3E42"/>
    <w:rsid w:val="00CC40F5"/>
    <w:rsid w:val="00CC4490"/>
    <w:rsid w:val="00CC4635"/>
    <w:rsid w:val="00CC46E4"/>
    <w:rsid w:val="00CC47B4"/>
    <w:rsid w:val="00CC47C1"/>
    <w:rsid w:val="00CC4CA9"/>
    <w:rsid w:val="00CC511B"/>
    <w:rsid w:val="00CC55C2"/>
    <w:rsid w:val="00CC585A"/>
    <w:rsid w:val="00CC5892"/>
    <w:rsid w:val="00CC5A81"/>
    <w:rsid w:val="00CC5D5C"/>
    <w:rsid w:val="00CC5E13"/>
    <w:rsid w:val="00CC612E"/>
    <w:rsid w:val="00CC6189"/>
    <w:rsid w:val="00CC63E2"/>
    <w:rsid w:val="00CC66DF"/>
    <w:rsid w:val="00CC6732"/>
    <w:rsid w:val="00CC6853"/>
    <w:rsid w:val="00CC693B"/>
    <w:rsid w:val="00CC6A73"/>
    <w:rsid w:val="00CC6AE5"/>
    <w:rsid w:val="00CC6B95"/>
    <w:rsid w:val="00CC6DDC"/>
    <w:rsid w:val="00CC6F60"/>
    <w:rsid w:val="00CC7698"/>
    <w:rsid w:val="00CC78EB"/>
    <w:rsid w:val="00CC7CEC"/>
    <w:rsid w:val="00CC7F6A"/>
    <w:rsid w:val="00CD03FB"/>
    <w:rsid w:val="00CD0879"/>
    <w:rsid w:val="00CD0BD0"/>
    <w:rsid w:val="00CD0D2B"/>
    <w:rsid w:val="00CD108F"/>
    <w:rsid w:val="00CD1403"/>
    <w:rsid w:val="00CD1867"/>
    <w:rsid w:val="00CD1937"/>
    <w:rsid w:val="00CD1EA1"/>
    <w:rsid w:val="00CD2214"/>
    <w:rsid w:val="00CD24C3"/>
    <w:rsid w:val="00CD24F3"/>
    <w:rsid w:val="00CD2504"/>
    <w:rsid w:val="00CD265F"/>
    <w:rsid w:val="00CD26EA"/>
    <w:rsid w:val="00CD285F"/>
    <w:rsid w:val="00CD2AEF"/>
    <w:rsid w:val="00CD2D0A"/>
    <w:rsid w:val="00CD2E3D"/>
    <w:rsid w:val="00CD2F20"/>
    <w:rsid w:val="00CD2F2D"/>
    <w:rsid w:val="00CD30B1"/>
    <w:rsid w:val="00CD3120"/>
    <w:rsid w:val="00CD3556"/>
    <w:rsid w:val="00CD363E"/>
    <w:rsid w:val="00CD36A3"/>
    <w:rsid w:val="00CD3954"/>
    <w:rsid w:val="00CD3A22"/>
    <w:rsid w:val="00CD3BA2"/>
    <w:rsid w:val="00CD3E28"/>
    <w:rsid w:val="00CD3FF1"/>
    <w:rsid w:val="00CD4340"/>
    <w:rsid w:val="00CD443D"/>
    <w:rsid w:val="00CD4507"/>
    <w:rsid w:val="00CD4584"/>
    <w:rsid w:val="00CD465A"/>
    <w:rsid w:val="00CD465C"/>
    <w:rsid w:val="00CD4727"/>
    <w:rsid w:val="00CD4BA0"/>
    <w:rsid w:val="00CD4CF7"/>
    <w:rsid w:val="00CD5153"/>
    <w:rsid w:val="00CD5441"/>
    <w:rsid w:val="00CD5547"/>
    <w:rsid w:val="00CD58A1"/>
    <w:rsid w:val="00CD592F"/>
    <w:rsid w:val="00CD59E0"/>
    <w:rsid w:val="00CD5D83"/>
    <w:rsid w:val="00CD5DBF"/>
    <w:rsid w:val="00CD6015"/>
    <w:rsid w:val="00CD60F3"/>
    <w:rsid w:val="00CD6508"/>
    <w:rsid w:val="00CD6AA2"/>
    <w:rsid w:val="00CD6E27"/>
    <w:rsid w:val="00CD721B"/>
    <w:rsid w:val="00CD7914"/>
    <w:rsid w:val="00CD797B"/>
    <w:rsid w:val="00CD7CA0"/>
    <w:rsid w:val="00CD7CBC"/>
    <w:rsid w:val="00CD7CEB"/>
    <w:rsid w:val="00CD7D2B"/>
    <w:rsid w:val="00CD7EF3"/>
    <w:rsid w:val="00CE0084"/>
    <w:rsid w:val="00CE0124"/>
    <w:rsid w:val="00CE015F"/>
    <w:rsid w:val="00CE0199"/>
    <w:rsid w:val="00CE0503"/>
    <w:rsid w:val="00CE0816"/>
    <w:rsid w:val="00CE09B5"/>
    <w:rsid w:val="00CE09DC"/>
    <w:rsid w:val="00CE0A23"/>
    <w:rsid w:val="00CE0A95"/>
    <w:rsid w:val="00CE0FF2"/>
    <w:rsid w:val="00CE1129"/>
    <w:rsid w:val="00CE117C"/>
    <w:rsid w:val="00CE12DF"/>
    <w:rsid w:val="00CE1334"/>
    <w:rsid w:val="00CE14A5"/>
    <w:rsid w:val="00CE169E"/>
    <w:rsid w:val="00CE16D5"/>
    <w:rsid w:val="00CE1A51"/>
    <w:rsid w:val="00CE1AB0"/>
    <w:rsid w:val="00CE1D7D"/>
    <w:rsid w:val="00CE1E0A"/>
    <w:rsid w:val="00CE253B"/>
    <w:rsid w:val="00CE2547"/>
    <w:rsid w:val="00CE296D"/>
    <w:rsid w:val="00CE2AAB"/>
    <w:rsid w:val="00CE2D54"/>
    <w:rsid w:val="00CE2E02"/>
    <w:rsid w:val="00CE31C8"/>
    <w:rsid w:val="00CE3283"/>
    <w:rsid w:val="00CE33E7"/>
    <w:rsid w:val="00CE34C1"/>
    <w:rsid w:val="00CE3BAF"/>
    <w:rsid w:val="00CE3DA0"/>
    <w:rsid w:val="00CE40A5"/>
    <w:rsid w:val="00CE4351"/>
    <w:rsid w:val="00CE46AE"/>
    <w:rsid w:val="00CE487B"/>
    <w:rsid w:val="00CE4B18"/>
    <w:rsid w:val="00CE4D21"/>
    <w:rsid w:val="00CE4DCA"/>
    <w:rsid w:val="00CE4F5F"/>
    <w:rsid w:val="00CE50D6"/>
    <w:rsid w:val="00CE52A1"/>
    <w:rsid w:val="00CE52CA"/>
    <w:rsid w:val="00CE5602"/>
    <w:rsid w:val="00CE5A9F"/>
    <w:rsid w:val="00CE5B0D"/>
    <w:rsid w:val="00CE5B53"/>
    <w:rsid w:val="00CE6012"/>
    <w:rsid w:val="00CE6ABC"/>
    <w:rsid w:val="00CE718E"/>
    <w:rsid w:val="00CE7217"/>
    <w:rsid w:val="00CE77C9"/>
    <w:rsid w:val="00CE79B4"/>
    <w:rsid w:val="00CE7A29"/>
    <w:rsid w:val="00CE7DA1"/>
    <w:rsid w:val="00CE7E95"/>
    <w:rsid w:val="00CF00E2"/>
    <w:rsid w:val="00CF0201"/>
    <w:rsid w:val="00CF029E"/>
    <w:rsid w:val="00CF05A2"/>
    <w:rsid w:val="00CF05C6"/>
    <w:rsid w:val="00CF06DD"/>
    <w:rsid w:val="00CF0750"/>
    <w:rsid w:val="00CF0B1F"/>
    <w:rsid w:val="00CF13CF"/>
    <w:rsid w:val="00CF1675"/>
    <w:rsid w:val="00CF16F9"/>
    <w:rsid w:val="00CF188B"/>
    <w:rsid w:val="00CF1C8B"/>
    <w:rsid w:val="00CF1E48"/>
    <w:rsid w:val="00CF1EA6"/>
    <w:rsid w:val="00CF2178"/>
    <w:rsid w:val="00CF22A7"/>
    <w:rsid w:val="00CF22CB"/>
    <w:rsid w:val="00CF238E"/>
    <w:rsid w:val="00CF2445"/>
    <w:rsid w:val="00CF24DD"/>
    <w:rsid w:val="00CF267E"/>
    <w:rsid w:val="00CF2914"/>
    <w:rsid w:val="00CF298E"/>
    <w:rsid w:val="00CF2A25"/>
    <w:rsid w:val="00CF2C86"/>
    <w:rsid w:val="00CF2CAD"/>
    <w:rsid w:val="00CF3030"/>
    <w:rsid w:val="00CF30C2"/>
    <w:rsid w:val="00CF3EA2"/>
    <w:rsid w:val="00CF41D2"/>
    <w:rsid w:val="00CF4566"/>
    <w:rsid w:val="00CF45F4"/>
    <w:rsid w:val="00CF4942"/>
    <w:rsid w:val="00CF4B64"/>
    <w:rsid w:val="00CF4EE6"/>
    <w:rsid w:val="00CF5061"/>
    <w:rsid w:val="00CF54F7"/>
    <w:rsid w:val="00CF5770"/>
    <w:rsid w:val="00CF5AE8"/>
    <w:rsid w:val="00CF5BA9"/>
    <w:rsid w:val="00CF5D07"/>
    <w:rsid w:val="00CF5EA3"/>
    <w:rsid w:val="00CF5FAE"/>
    <w:rsid w:val="00CF628E"/>
    <w:rsid w:val="00CF6422"/>
    <w:rsid w:val="00CF647A"/>
    <w:rsid w:val="00CF676A"/>
    <w:rsid w:val="00CF6833"/>
    <w:rsid w:val="00CF6A20"/>
    <w:rsid w:val="00CF6B6A"/>
    <w:rsid w:val="00CF6D4D"/>
    <w:rsid w:val="00CF6DC5"/>
    <w:rsid w:val="00CF70D1"/>
    <w:rsid w:val="00CF724A"/>
    <w:rsid w:val="00CF74FB"/>
    <w:rsid w:val="00CF78C9"/>
    <w:rsid w:val="00CF7A4A"/>
    <w:rsid w:val="00CF7AA1"/>
    <w:rsid w:val="00CF7E1F"/>
    <w:rsid w:val="00CF7F01"/>
    <w:rsid w:val="00D000AE"/>
    <w:rsid w:val="00D00237"/>
    <w:rsid w:val="00D002F4"/>
    <w:rsid w:val="00D00381"/>
    <w:rsid w:val="00D008E0"/>
    <w:rsid w:val="00D00A24"/>
    <w:rsid w:val="00D00EA8"/>
    <w:rsid w:val="00D011BA"/>
    <w:rsid w:val="00D0174C"/>
    <w:rsid w:val="00D01862"/>
    <w:rsid w:val="00D018C5"/>
    <w:rsid w:val="00D0198E"/>
    <w:rsid w:val="00D01C3A"/>
    <w:rsid w:val="00D01E81"/>
    <w:rsid w:val="00D01FFD"/>
    <w:rsid w:val="00D0221A"/>
    <w:rsid w:val="00D023BE"/>
    <w:rsid w:val="00D025D5"/>
    <w:rsid w:val="00D02611"/>
    <w:rsid w:val="00D0270F"/>
    <w:rsid w:val="00D0280B"/>
    <w:rsid w:val="00D029F1"/>
    <w:rsid w:val="00D02D6D"/>
    <w:rsid w:val="00D02F61"/>
    <w:rsid w:val="00D030CA"/>
    <w:rsid w:val="00D0353C"/>
    <w:rsid w:val="00D0366A"/>
    <w:rsid w:val="00D03866"/>
    <w:rsid w:val="00D038E7"/>
    <w:rsid w:val="00D038F0"/>
    <w:rsid w:val="00D0392E"/>
    <w:rsid w:val="00D03A5E"/>
    <w:rsid w:val="00D03CD7"/>
    <w:rsid w:val="00D03D37"/>
    <w:rsid w:val="00D03D56"/>
    <w:rsid w:val="00D03DA8"/>
    <w:rsid w:val="00D04348"/>
    <w:rsid w:val="00D04377"/>
    <w:rsid w:val="00D04A06"/>
    <w:rsid w:val="00D04A4D"/>
    <w:rsid w:val="00D04A74"/>
    <w:rsid w:val="00D04F0A"/>
    <w:rsid w:val="00D051AC"/>
    <w:rsid w:val="00D05217"/>
    <w:rsid w:val="00D05367"/>
    <w:rsid w:val="00D05F3F"/>
    <w:rsid w:val="00D066D9"/>
    <w:rsid w:val="00D06753"/>
    <w:rsid w:val="00D06CCE"/>
    <w:rsid w:val="00D06E06"/>
    <w:rsid w:val="00D0721D"/>
    <w:rsid w:val="00D07354"/>
    <w:rsid w:val="00D07439"/>
    <w:rsid w:val="00D076FF"/>
    <w:rsid w:val="00D07717"/>
    <w:rsid w:val="00D07899"/>
    <w:rsid w:val="00D0790D"/>
    <w:rsid w:val="00D07C89"/>
    <w:rsid w:val="00D07CAD"/>
    <w:rsid w:val="00D07F08"/>
    <w:rsid w:val="00D101F8"/>
    <w:rsid w:val="00D1041A"/>
    <w:rsid w:val="00D105DF"/>
    <w:rsid w:val="00D10B6E"/>
    <w:rsid w:val="00D10B8C"/>
    <w:rsid w:val="00D10D2A"/>
    <w:rsid w:val="00D10DD8"/>
    <w:rsid w:val="00D10E8C"/>
    <w:rsid w:val="00D11908"/>
    <w:rsid w:val="00D1190A"/>
    <w:rsid w:val="00D11BB6"/>
    <w:rsid w:val="00D11BEE"/>
    <w:rsid w:val="00D11FC5"/>
    <w:rsid w:val="00D1233E"/>
    <w:rsid w:val="00D12D6A"/>
    <w:rsid w:val="00D12E59"/>
    <w:rsid w:val="00D1313B"/>
    <w:rsid w:val="00D13213"/>
    <w:rsid w:val="00D13322"/>
    <w:rsid w:val="00D13695"/>
    <w:rsid w:val="00D13738"/>
    <w:rsid w:val="00D13B0A"/>
    <w:rsid w:val="00D13E4F"/>
    <w:rsid w:val="00D142F5"/>
    <w:rsid w:val="00D1442F"/>
    <w:rsid w:val="00D1477B"/>
    <w:rsid w:val="00D1483E"/>
    <w:rsid w:val="00D148A7"/>
    <w:rsid w:val="00D1497F"/>
    <w:rsid w:val="00D14BB7"/>
    <w:rsid w:val="00D14D29"/>
    <w:rsid w:val="00D15798"/>
    <w:rsid w:val="00D16096"/>
    <w:rsid w:val="00D16127"/>
    <w:rsid w:val="00D161B8"/>
    <w:rsid w:val="00D16266"/>
    <w:rsid w:val="00D1644A"/>
    <w:rsid w:val="00D168B3"/>
    <w:rsid w:val="00D16BAB"/>
    <w:rsid w:val="00D16CE7"/>
    <w:rsid w:val="00D16D94"/>
    <w:rsid w:val="00D17239"/>
    <w:rsid w:val="00D17575"/>
    <w:rsid w:val="00D178A9"/>
    <w:rsid w:val="00D17A6A"/>
    <w:rsid w:val="00D200AF"/>
    <w:rsid w:val="00D20351"/>
    <w:rsid w:val="00D2042B"/>
    <w:rsid w:val="00D20A2F"/>
    <w:rsid w:val="00D20E1A"/>
    <w:rsid w:val="00D21118"/>
    <w:rsid w:val="00D2128A"/>
    <w:rsid w:val="00D2146D"/>
    <w:rsid w:val="00D2190D"/>
    <w:rsid w:val="00D21A2D"/>
    <w:rsid w:val="00D21A53"/>
    <w:rsid w:val="00D21C7E"/>
    <w:rsid w:val="00D21E33"/>
    <w:rsid w:val="00D22054"/>
    <w:rsid w:val="00D22109"/>
    <w:rsid w:val="00D22204"/>
    <w:rsid w:val="00D22341"/>
    <w:rsid w:val="00D22703"/>
    <w:rsid w:val="00D2280B"/>
    <w:rsid w:val="00D22842"/>
    <w:rsid w:val="00D228B4"/>
    <w:rsid w:val="00D22959"/>
    <w:rsid w:val="00D22DCE"/>
    <w:rsid w:val="00D22E34"/>
    <w:rsid w:val="00D230BF"/>
    <w:rsid w:val="00D230CC"/>
    <w:rsid w:val="00D23233"/>
    <w:rsid w:val="00D2350B"/>
    <w:rsid w:val="00D2378C"/>
    <w:rsid w:val="00D237A1"/>
    <w:rsid w:val="00D23A41"/>
    <w:rsid w:val="00D23F18"/>
    <w:rsid w:val="00D23F5D"/>
    <w:rsid w:val="00D23FA5"/>
    <w:rsid w:val="00D2473F"/>
    <w:rsid w:val="00D248E1"/>
    <w:rsid w:val="00D24C07"/>
    <w:rsid w:val="00D24CA2"/>
    <w:rsid w:val="00D25108"/>
    <w:rsid w:val="00D25178"/>
    <w:rsid w:val="00D25309"/>
    <w:rsid w:val="00D2549F"/>
    <w:rsid w:val="00D2569A"/>
    <w:rsid w:val="00D256DF"/>
    <w:rsid w:val="00D256E5"/>
    <w:rsid w:val="00D25953"/>
    <w:rsid w:val="00D25A1D"/>
    <w:rsid w:val="00D25A3E"/>
    <w:rsid w:val="00D25B8F"/>
    <w:rsid w:val="00D25BE1"/>
    <w:rsid w:val="00D25DE4"/>
    <w:rsid w:val="00D25E5F"/>
    <w:rsid w:val="00D260CA"/>
    <w:rsid w:val="00D2629D"/>
    <w:rsid w:val="00D26460"/>
    <w:rsid w:val="00D26539"/>
    <w:rsid w:val="00D26622"/>
    <w:rsid w:val="00D26672"/>
    <w:rsid w:val="00D26AEE"/>
    <w:rsid w:val="00D26AF3"/>
    <w:rsid w:val="00D26B5B"/>
    <w:rsid w:val="00D26BEB"/>
    <w:rsid w:val="00D26C03"/>
    <w:rsid w:val="00D26C17"/>
    <w:rsid w:val="00D26EFD"/>
    <w:rsid w:val="00D272AC"/>
    <w:rsid w:val="00D276B2"/>
    <w:rsid w:val="00D277CB"/>
    <w:rsid w:val="00D279EB"/>
    <w:rsid w:val="00D27B05"/>
    <w:rsid w:val="00D27D95"/>
    <w:rsid w:val="00D27F50"/>
    <w:rsid w:val="00D27FDF"/>
    <w:rsid w:val="00D30121"/>
    <w:rsid w:val="00D301DA"/>
    <w:rsid w:val="00D304FC"/>
    <w:rsid w:val="00D3052E"/>
    <w:rsid w:val="00D30759"/>
    <w:rsid w:val="00D3075B"/>
    <w:rsid w:val="00D30840"/>
    <w:rsid w:val="00D30A88"/>
    <w:rsid w:val="00D30BA5"/>
    <w:rsid w:val="00D30D98"/>
    <w:rsid w:val="00D30E77"/>
    <w:rsid w:val="00D30F60"/>
    <w:rsid w:val="00D311F4"/>
    <w:rsid w:val="00D316CA"/>
    <w:rsid w:val="00D3194A"/>
    <w:rsid w:val="00D31A4E"/>
    <w:rsid w:val="00D31AAF"/>
    <w:rsid w:val="00D31B4F"/>
    <w:rsid w:val="00D31BC3"/>
    <w:rsid w:val="00D31D1D"/>
    <w:rsid w:val="00D31D3E"/>
    <w:rsid w:val="00D31E7D"/>
    <w:rsid w:val="00D31F05"/>
    <w:rsid w:val="00D31F50"/>
    <w:rsid w:val="00D31F72"/>
    <w:rsid w:val="00D32203"/>
    <w:rsid w:val="00D323E9"/>
    <w:rsid w:val="00D32536"/>
    <w:rsid w:val="00D32588"/>
    <w:rsid w:val="00D326AD"/>
    <w:rsid w:val="00D3287F"/>
    <w:rsid w:val="00D32AEE"/>
    <w:rsid w:val="00D32C63"/>
    <w:rsid w:val="00D32E55"/>
    <w:rsid w:val="00D32EB6"/>
    <w:rsid w:val="00D32FB4"/>
    <w:rsid w:val="00D33080"/>
    <w:rsid w:val="00D332AE"/>
    <w:rsid w:val="00D33362"/>
    <w:rsid w:val="00D333A9"/>
    <w:rsid w:val="00D335A4"/>
    <w:rsid w:val="00D337CF"/>
    <w:rsid w:val="00D338EE"/>
    <w:rsid w:val="00D34014"/>
    <w:rsid w:val="00D340D3"/>
    <w:rsid w:val="00D34121"/>
    <w:rsid w:val="00D3435B"/>
    <w:rsid w:val="00D349C7"/>
    <w:rsid w:val="00D34AC9"/>
    <w:rsid w:val="00D34B1A"/>
    <w:rsid w:val="00D34E97"/>
    <w:rsid w:val="00D34FDE"/>
    <w:rsid w:val="00D351C9"/>
    <w:rsid w:val="00D3524D"/>
    <w:rsid w:val="00D352E2"/>
    <w:rsid w:val="00D35313"/>
    <w:rsid w:val="00D35367"/>
    <w:rsid w:val="00D35470"/>
    <w:rsid w:val="00D357EA"/>
    <w:rsid w:val="00D35B08"/>
    <w:rsid w:val="00D35CFC"/>
    <w:rsid w:val="00D35E13"/>
    <w:rsid w:val="00D3601A"/>
    <w:rsid w:val="00D3644C"/>
    <w:rsid w:val="00D366B3"/>
    <w:rsid w:val="00D36846"/>
    <w:rsid w:val="00D36B9C"/>
    <w:rsid w:val="00D36C16"/>
    <w:rsid w:val="00D36CC9"/>
    <w:rsid w:val="00D372C6"/>
    <w:rsid w:val="00D37578"/>
    <w:rsid w:val="00D37751"/>
    <w:rsid w:val="00D3782E"/>
    <w:rsid w:val="00D378FF"/>
    <w:rsid w:val="00D37BD5"/>
    <w:rsid w:val="00D37C93"/>
    <w:rsid w:val="00D37DB7"/>
    <w:rsid w:val="00D40441"/>
    <w:rsid w:val="00D40851"/>
    <w:rsid w:val="00D40C7E"/>
    <w:rsid w:val="00D40D3A"/>
    <w:rsid w:val="00D40EBA"/>
    <w:rsid w:val="00D410D1"/>
    <w:rsid w:val="00D4112C"/>
    <w:rsid w:val="00D414D5"/>
    <w:rsid w:val="00D4159A"/>
    <w:rsid w:val="00D4163F"/>
    <w:rsid w:val="00D41656"/>
    <w:rsid w:val="00D416A7"/>
    <w:rsid w:val="00D41837"/>
    <w:rsid w:val="00D4187F"/>
    <w:rsid w:val="00D41ADF"/>
    <w:rsid w:val="00D41BEF"/>
    <w:rsid w:val="00D41D5A"/>
    <w:rsid w:val="00D41E59"/>
    <w:rsid w:val="00D41E78"/>
    <w:rsid w:val="00D41FBE"/>
    <w:rsid w:val="00D42475"/>
    <w:rsid w:val="00D42835"/>
    <w:rsid w:val="00D4289C"/>
    <w:rsid w:val="00D42937"/>
    <w:rsid w:val="00D42CC8"/>
    <w:rsid w:val="00D42DEC"/>
    <w:rsid w:val="00D42E31"/>
    <w:rsid w:val="00D42FB2"/>
    <w:rsid w:val="00D42FD3"/>
    <w:rsid w:val="00D4301A"/>
    <w:rsid w:val="00D432A9"/>
    <w:rsid w:val="00D432DB"/>
    <w:rsid w:val="00D43557"/>
    <w:rsid w:val="00D4362D"/>
    <w:rsid w:val="00D437F4"/>
    <w:rsid w:val="00D43D4F"/>
    <w:rsid w:val="00D43F3A"/>
    <w:rsid w:val="00D4409E"/>
    <w:rsid w:val="00D4413C"/>
    <w:rsid w:val="00D443D3"/>
    <w:rsid w:val="00D4472B"/>
    <w:rsid w:val="00D448E2"/>
    <w:rsid w:val="00D44AEA"/>
    <w:rsid w:val="00D44BB2"/>
    <w:rsid w:val="00D44DE2"/>
    <w:rsid w:val="00D44E79"/>
    <w:rsid w:val="00D45014"/>
    <w:rsid w:val="00D454A3"/>
    <w:rsid w:val="00D45643"/>
    <w:rsid w:val="00D45645"/>
    <w:rsid w:val="00D45758"/>
    <w:rsid w:val="00D45817"/>
    <w:rsid w:val="00D458F5"/>
    <w:rsid w:val="00D45D1C"/>
    <w:rsid w:val="00D45D53"/>
    <w:rsid w:val="00D461F5"/>
    <w:rsid w:val="00D462C9"/>
    <w:rsid w:val="00D46343"/>
    <w:rsid w:val="00D465D9"/>
    <w:rsid w:val="00D468E8"/>
    <w:rsid w:val="00D46C2D"/>
    <w:rsid w:val="00D46DAA"/>
    <w:rsid w:val="00D46F90"/>
    <w:rsid w:val="00D46FE4"/>
    <w:rsid w:val="00D474C1"/>
    <w:rsid w:val="00D4772F"/>
    <w:rsid w:val="00D47847"/>
    <w:rsid w:val="00D4DFB0"/>
    <w:rsid w:val="00D500C9"/>
    <w:rsid w:val="00D501EE"/>
    <w:rsid w:val="00D502B9"/>
    <w:rsid w:val="00D502F1"/>
    <w:rsid w:val="00D506D7"/>
    <w:rsid w:val="00D50AAC"/>
    <w:rsid w:val="00D50F39"/>
    <w:rsid w:val="00D5101B"/>
    <w:rsid w:val="00D510B9"/>
    <w:rsid w:val="00D51117"/>
    <w:rsid w:val="00D51295"/>
    <w:rsid w:val="00D51420"/>
    <w:rsid w:val="00D514AF"/>
    <w:rsid w:val="00D514B4"/>
    <w:rsid w:val="00D515C9"/>
    <w:rsid w:val="00D515D0"/>
    <w:rsid w:val="00D515E0"/>
    <w:rsid w:val="00D51713"/>
    <w:rsid w:val="00D51756"/>
    <w:rsid w:val="00D519D1"/>
    <w:rsid w:val="00D51A78"/>
    <w:rsid w:val="00D51AC1"/>
    <w:rsid w:val="00D51CE2"/>
    <w:rsid w:val="00D51FFD"/>
    <w:rsid w:val="00D520CC"/>
    <w:rsid w:val="00D52345"/>
    <w:rsid w:val="00D52347"/>
    <w:rsid w:val="00D52458"/>
    <w:rsid w:val="00D527E8"/>
    <w:rsid w:val="00D52840"/>
    <w:rsid w:val="00D5289C"/>
    <w:rsid w:val="00D528F1"/>
    <w:rsid w:val="00D52B12"/>
    <w:rsid w:val="00D52D11"/>
    <w:rsid w:val="00D52E62"/>
    <w:rsid w:val="00D531A1"/>
    <w:rsid w:val="00D53313"/>
    <w:rsid w:val="00D5365D"/>
    <w:rsid w:val="00D53C52"/>
    <w:rsid w:val="00D53E87"/>
    <w:rsid w:val="00D5412E"/>
    <w:rsid w:val="00D542E1"/>
    <w:rsid w:val="00D54420"/>
    <w:rsid w:val="00D5497B"/>
    <w:rsid w:val="00D54A8A"/>
    <w:rsid w:val="00D54B02"/>
    <w:rsid w:val="00D54B38"/>
    <w:rsid w:val="00D54B3E"/>
    <w:rsid w:val="00D54BD6"/>
    <w:rsid w:val="00D54D3D"/>
    <w:rsid w:val="00D54F92"/>
    <w:rsid w:val="00D54FA6"/>
    <w:rsid w:val="00D551D1"/>
    <w:rsid w:val="00D55588"/>
    <w:rsid w:val="00D55674"/>
    <w:rsid w:val="00D556E2"/>
    <w:rsid w:val="00D557C3"/>
    <w:rsid w:val="00D557F9"/>
    <w:rsid w:val="00D55A2A"/>
    <w:rsid w:val="00D55A7D"/>
    <w:rsid w:val="00D55C70"/>
    <w:rsid w:val="00D56095"/>
    <w:rsid w:val="00D56138"/>
    <w:rsid w:val="00D56157"/>
    <w:rsid w:val="00D5615F"/>
    <w:rsid w:val="00D567B8"/>
    <w:rsid w:val="00D56AB4"/>
    <w:rsid w:val="00D56AC6"/>
    <w:rsid w:val="00D56DFD"/>
    <w:rsid w:val="00D5760B"/>
    <w:rsid w:val="00D57787"/>
    <w:rsid w:val="00D57989"/>
    <w:rsid w:val="00D57A1D"/>
    <w:rsid w:val="00D57C1B"/>
    <w:rsid w:val="00D57D65"/>
    <w:rsid w:val="00D600A7"/>
    <w:rsid w:val="00D60124"/>
    <w:rsid w:val="00D60755"/>
    <w:rsid w:val="00D60897"/>
    <w:rsid w:val="00D60BC7"/>
    <w:rsid w:val="00D60C6D"/>
    <w:rsid w:val="00D60F5F"/>
    <w:rsid w:val="00D61159"/>
    <w:rsid w:val="00D613B4"/>
    <w:rsid w:val="00D6153B"/>
    <w:rsid w:val="00D615E1"/>
    <w:rsid w:val="00D6168F"/>
    <w:rsid w:val="00D61704"/>
    <w:rsid w:val="00D617D9"/>
    <w:rsid w:val="00D6181F"/>
    <w:rsid w:val="00D61D3C"/>
    <w:rsid w:val="00D61E50"/>
    <w:rsid w:val="00D6210A"/>
    <w:rsid w:val="00D6286D"/>
    <w:rsid w:val="00D62ADF"/>
    <w:rsid w:val="00D62DB2"/>
    <w:rsid w:val="00D6309F"/>
    <w:rsid w:val="00D632A1"/>
    <w:rsid w:val="00D63419"/>
    <w:rsid w:val="00D63426"/>
    <w:rsid w:val="00D63438"/>
    <w:rsid w:val="00D63ABD"/>
    <w:rsid w:val="00D63DB2"/>
    <w:rsid w:val="00D64131"/>
    <w:rsid w:val="00D6418A"/>
    <w:rsid w:val="00D64667"/>
    <w:rsid w:val="00D649F5"/>
    <w:rsid w:val="00D64C1B"/>
    <w:rsid w:val="00D64C8F"/>
    <w:rsid w:val="00D64E11"/>
    <w:rsid w:val="00D64F84"/>
    <w:rsid w:val="00D6536B"/>
    <w:rsid w:val="00D653EC"/>
    <w:rsid w:val="00D654F7"/>
    <w:rsid w:val="00D657D2"/>
    <w:rsid w:val="00D65A64"/>
    <w:rsid w:val="00D6678A"/>
    <w:rsid w:val="00D66B15"/>
    <w:rsid w:val="00D66F5D"/>
    <w:rsid w:val="00D6737F"/>
    <w:rsid w:val="00D6740E"/>
    <w:rsid w:val="00D6762E"/>
    <w:rsid w:val="00D676C1"/>
    <w:rsid w:val="00D678C6"/>
    <w:rsid w:val="00D67B67"/>
    <w:rsid w:val="00D67F9F"/>
    <w:rsid w:val="00D70275"/>
    <w:rsid w:val="00D70529"/>
    <w:rsid w:val="00D7068D"/>
    <w:rsid w:val="00D7099D"/>
    <w:rsid w:val="00D70C0E"/>
    <w:rsid w:val="00D70ED8"/>
    <w:rsid w:val="00D70F9B"/>
    <w:rsid w:val="00D71091"/>
    <w:rsid w:val="00D710BD"/>
    <w:rsid w:val="00D7120E"/>
    <w:rsid w:val="00D71218"/>
    <w:rsid w:val="00D71563"/>
    <w:rsid w:val="00D71586"/>
    <w:rsid w:val="00D715AF"/>
    <w:rsid w:val="00D7170E"/>
    <w:rsid w:val="00D71829"/>
    <w:rsid w:val="00D718F6"/>
    <w:rsid w:val="00D71DCA"/>
    <w:rsid w:val="00D71DE2"/>
    <w:rsid w:val="00D7205F"/>
    <w:rsid w:val="00D720FF"/>
    <w:rsid w:val="00D7223A"/>
    <w:rsid w:val="00D725D8"/>
    <w:rsid w:val="00D7272E"/>
    <w:rsid w:val="00D72CDE"/>
    <w:rsid w:val="00D72D22"/>
    <w:rsid w:val="00D734C4"/>
    <w:rsid w:val="00D73AB6"/>
    <w:rsid w:val="00D7430F"/>
    <w:rsid w:val="00D74931"/>
    <w:rsid w:val="00D74E62"/>
    <w:rsid w:val="00D74ED1"/>
    <w:rsid w:val="00D74F7D"/>
    <w:rsid w:val="00D75257"/>
    <w:rsid w:val="00D752A0"/>
    <w:rsid w:val="00D7579F"/>
    <w:rsid w:val="00D758FF"/>
    <w:rsid w:val="00D75C1C"/>
    <w:rsid w:val="00D75C27"/>
    <w:rsid w:val="00D75D4D"/>
    <w:rsid w:val="00D75E4C"/>
    <w:rsid w:val="00D760F1"/>
    <w:rsid w:val="00D76184"/>
    <w:rsid w:val="00D76770"/>
    <w:rsid w:val="00D76832"/>
    <w:rsid w:val="00D768CB"/>
    <w:rsid w:val="00D76E7B"/>
    <w:rsid w:val="00D76F12"/>
    <w:rsid w:val="00D76FB2"/>
    <w:rsid w:val="00D774E0"/>
    <w:rsid w:val="00D7763B"/>
    <w:rsid w:val="00D7763E"/>
    <w:rsid w:val="00D77A05"/>
    <w:rsid w:val="00D77C0C"/>
    <w:rsid w:val="00D77CD4"/>
    <w:rsid w:val="00D77DF7"/>
    <w:rsid w:val="00D80364"/>
    <w:rsid w:val="00D80621"/>
    <w:rsid w:val="00D80AD8"/>
    <w:rsid w:val="00D80AF6"/>
    <w:rsid w:val="00D80B7E"/>
    <w:rsid w:val="00D80D59"/>
    <w:rsid w:val="00D80E14"/>
    <w:rsid w:val="00D81187"/>
    <w:rsid w:val="00D812C7"/>
    <w:rsid w:val="00D81343"/>
    <w:rsid w:val="00D813C0"/>
    <w:rsid w:val="00D816A6"/>
    <w:rsid w:val="00D816D9"/>
    <w:rsid w:val="00D81B11"/>
    <w:rsid w:val="00D82177"/>
    <w:rsid w:val="00D82891"/>
    <w:rsid w:val="00D82A76"/>
    <w:rsid w:val="00D82B92"/>
    <w:rsid w:val="00D82CF8"/>
    <w:rsid w:val="00D82FDA"/>
    <w:rsid w:val="00D839F3"/>
    <w:rsid w:val="00D83AFE"/>
    <w:rsid w:val="00D83F5C"/>
    <w:rsid w:val="00D840BB"/>
    <w:rsid w:val="00D84705"/>
    <w:rsid w:val="00D84854"/>
    <w:rsid w:val="00D848F2"/>
    <w:rsid w:val="00D84A79"/>
    <w:rsid w:val="00D84DE7"/>
    <w:rsid w:val="00D85084"/>
    <w:rsid w:val="00D850FE"/>
    <w:rsid w:val="00D8541E"/>
    <w:rsid w:val="00D8564D"/>
    <w:rsid w:val="00D85724"/>
    <w:rsid w:val="00D85869"/>
    <w:rsid w:val="00D85AE7"/>
    <w:rsid w:val="00D85B2B"/>
    <w:rsid w:val="00D85B6F"/>
    <w:rsid w:val="00D85E92"/>
    <w:rsid w:val="00D85FCF"/>
    <w:rsid w:val="00D85FDE"/>
    <w:rsid w:val="00D86624"/>
    <w:rsid w:val="00D867CF"/>
    <w:rsid w:val="00D86E60"/>
    <w:rsid w:val="00D86F3C"/>
    <w:rsid w:val="00D87A26"/>
    <w:rsid w:val="00D87ED7"/>
    <w:rsid w:val="00D87F23"/>
    <w:rsid w:val="00D900B1"/>
    <w:rsid w:val="00D904E7"/>
    <w:rsid w:val="00D90580"/>
    <w:rsid w:val="00D9064F"/>
    <w:rsid w:val="00D90661"/>
    <w:rsid w:val="00D90A13"/>
    <w:rsid w:val="00D90B92"/>
    <w:rsid w:val="00D90C2E"/>
    <w:rsid w:val="00D90EF3"/>
    <w:rsid w:val="00D91177"/>
    <w:rsid w:val="00D9189D"/>
    <w:rsid w:val="00D91A3B"/>
    <w:rsid w:val="00D91B39"/>
    <w:rsid w:val="00D91B62"/>
    <w:rsid w:val="00D91E61"/>
    <w:rsid w:val="00D91FC8"/>
    <w:rsid w:val="00D92757"/>
    <w:rsid w:val="00D9281F"/>
    <w:rsid w:val="00D92847"/>
    <w:rsid w:val="00D928AE"/>
    <w:rsid w:val="00D928CE"/>
    <w:rsid w:val="00D92C77"/>
    <w:rsid w:val="00D932B8"/>
    <w:rsid w:val="00D933C1"/>
    <w:rsid w:val="00D934B5"/>
    <w:rsid w:val="00D93669"/>
    <w:rsid w:val="00D938DF"/>
    <w:rsid w:val="00D938E8"/>
    <w:rsid w:val="00D93922"/>
    <w:rsid w:val="00D93A58"/>
    <w:rsid w:val="00D93E36"/>
    <w:rsid w:val="00D94263"/>
    <w:rsid w:val="00D94381"/>
    <w:rsid w:val="00D945AF"/>
    <w:rsid w:val="00D9468F"/>
    <w:rsid w:val="00D94A8A"/>
    <w:rsid w:val="00D95012"/>
    <w:rsid w:val="00D95384"/>
    <w:rsid w:val="00D953D1"/>
    <w:rsid w:val="00D9543A"/>
    <w:rsid w:val="00D956A1"/>
    <w:rsid w:val="00D959ED"/>
    <w:rsid w:val="00D96156"/>
    <w:rsid w:val="00D962BB"/>
    <w:rsid w:val="00D96763"/>
    <w:rsid w:val="00D970E4"/>
    <w:rsid w:val="00D9719B"/>
    <w:rsid w:val="00D97626"/>
    <w:rsid w:val="00D9763D"/>
    <w:rsid w:val="00D976EE"/>
    <w:rsid w:val="00D97942"/>
    <w:rsid w:val="00D97A95"/>
    <w:rsid w:val="00D97AA6"/>
    <w:rsid w:val="00D97ACB"/>
    <w:rsid w:val="00D97C38"/>
    <w:rsid w:val="00DA017A"/>
    <w:rsid w:val="00DA05EB"/>
    <w:rsid w:val="00DA09C4"/>
    <w:rsid w:val="00DA14CE"/>
    <w:rsid w:val="00DA165C"/>
    <w:rsid w:val="00DA16AB"/>
    <w:rsid w:val="00DA19F3"/>
    <w:rsid w:val="00DA1D46"/>
    <w:rsid w:val="00DA20FE"/>
    <w:rsid w:val="00DA23B1"/>
    <w:rsid w:val="00DA23FB"/>
    <w:rsid w:val="00DA246A"/>
    <w:rsid w:val="00DA2504"/>
    <w:rsid w:val="00DA26DD"/>
    <w:rsid w:val="00DA28AE"/>
    <w:rsid w:val="00DA2B49"/>
    <w:rsid w:val="00DA2BB1"/>
    <w:rsid w:val="00DA3158"/>
    <w:rsid w:val="00DA31AE"/>
    <w:rsid w:val="00DA33CF"/>
    <w:rsid w:val="00DA3537"/>
    <w:rsid w:val="00DA37BB"/>
    <w:rsid w:val="00DA37DE"/>
    <w:rsid w:val="00DA4040"/>
    <w:rsid w:val="00DA4121"/>
    <w:rsid w:val="00DA44C0"/>
    <w:rsid w:val="00DA4A6C"/>
    <w:rsid w:val="00DA4F24"/>
    <w:rsid w:val="00DA55E3"/>
    <w:rsid w:val="00DA5844"/>
    <w:rsid w:val="00DA589B"/>
    <w:rsid w:val="00DA5975"/>
    <w:rsid w:val="00DA59BB"/>
    <w:rsid w:val="00DA5E1C"/>
    <w:rsid w:val="00DA5E8B"/>
    <w:rsid w:val="00DA6155"/>
    <w:rsid w:val="00DA630A"/>
    <w:rsid w:val="00DA63EC"/>
    <w:rsid w:val="00DA67C5"/>
    <w:rsid w:val="00DA6A35"/>
    <w:rsid w:val="00DA6B76"/>
    <w:rsid w:val="00DA6DF7"/>
    <w:rsid w:val="00DA6ED5"/>
    <w:rsid w:val="00DA6F28"/>
    <w:rsid w:val="00DA6FA5"/>
    <w:rsid w:val="00DA6FB1"/>
    <w:rsid w:val="00DA762F"/>
    <w:rsid w:val="00DA7711"/>
    <w:rsid w:val="00DA78B0"/>
    <w:rsid w:val="00DB003F"/>
    <w:rsid w:val="00DB020C"/>
    <w:rsid w:val="00DB0243"/>
    <w:rsid w:val="00DB048D"/>
    <w:rsid w:val="00DB0595"/>
    <w:rsid w:val="00DB05EA"/>
    <w:rsid w:val="00DB0856"/>
    <w:rsid w:val="00DB08D8"/>
    <w:rsid w:val="00DB0AAF"/>
    <w:rsid w:val="00DB0F59"/>
    <w:rsid w:val="00DB0F62"/>
    <w:rsid w:val="00DB108E"/>
    <w:rsid w:val="00DB10B1"/>
    <w:rsid w:val="00DB14B2"/>
    <w:rsid w:val="00DB15EB"/>
    <w:rsid w:val="00DB1A2D"/>
    <w:rsid w:val="00DB1B2B"/>
    <w:rsid w:val="00DB1CA6"/>
    <w:rsid w:val="00DB1CC8"/>
    <w:rsid w:val="00DB1E17"/>
    <w:rsid w:val="00DB1ED7"/>
    <w:rsid w:val="00DB1F41"/>
    <w:rsid w:val="00DB2A2F"/>
    <w:rsid w:val="00DB2E0D"/>
    <w:rsid w:val="00DB307F"/>
    <w:rsid w:val="00DB3298"/>
    <w:rsid w:val="00DB3394"/>
    <w:rsid w:val="00DB3697"/>
    <w:rsid w:val="00DB38F1"/>
    <w:rsid w:val="00DB3E65"/>
    <w:rsid w:val="00DB41EB"/>
    <w:rsid w:val="00DB42ED"/>
    <w:rsid w:val="00DB4DEB"/>
    <w:rsid w:val="00DB5304"/>
    <w:rsid w:val="00DB5433"/>
    <w:rsid w:val="00DB5570"/>
    <w:rsid w:val="00DB56AF"/>
    <w:rsid w:val="00DB58AD"/>
    <w:rsid w:val="00DB5A00"/>
    <w:rsid w:val="00DB5C0B"/>
    <w:rsid w:val="00DB632F"/>
    <w:rsid w:val="00DB68F9"/>
    <w:rsid w:val="00DB6A7E"/>
    <w:rsid w:val="00DB6F95"/>
    <w:rsid w:val="00DB7072"/>
    <w:rsid w:val="00DB73DC"/>
    <w:rsid w:val="00DB7613"/>
    <w:rsid w:val="00DB7A7A"/>
    <w:rsid w:val="00DB7DBB"/>
    <w:rsid w:val="00DB7DD6"/>
    <w:rsid w:val="00DB7F40"/>
    <w:rsid w:val="00DB7FAB"/>
    <w:rsid w:val="00DC06B5"/>
    <w:rsid w:val="00DC0996"/>
    <w:rsid w:val="00DC117F"/>
    <w:rsid w:val="00DC120E"/>
    <w:rsid w:val="00DC19CC"/>
    <w:rsid w:val="00DC1F8C"/>
    <w:rsid w:val="00DC227B"/>
    <w:rsid w:val="00DC267C"/>
    <w:rsid w:val="00DC26A6"/>
    <w:rsid w:val="00DC2B33"/>
    <w:rsid w:val="00DC2D29"/>
    <w:rsid w:val="00DC2D60"/>
    <w:rsid w:val="00DC2E00"/>
    <w:rsid w:val="00DC30A1"/>
    <w:rsid w:val="00DC3C5A"/>
    <w:rsid w:val="00DC4143"/>
    <w:rsid w:val="00DC42F9"/>
    <w:rsid w:val="00DC496E"/>
    <w:rsid w:val="00DC4B24"/>
    <w:rsid w:val="00DC4C91"/>
    <w:rsid w:val="00DC4CE0"/>
    <w:rsid w:val="00DC56AE"/>
    <w:rsid w:val="00DC5E3E"/>
    <w:rsid w:val="00DC5EAA"/>
    <w:rsid w:val="00DC5FB3"/>
    <w:rsid w:val="00DC6030"/>
    <w:rsid w:val="00DC60A3"/>
    <w:rsid w:val="00DC61C9"/>
    <w:rsid w:val="00DC6394"/>
    <w:rsid w:val="00DC6753"/>
    <w:rsid w:val="00DC67C6"/>
    <w:rsid w:val="00DC6856"/>
    <w:rsid w:val="00DC6D1B"/>
    <w:rsid w:val="00DC6DFD"/>
    <w:rsid w:val="00DC70B1"/>
    <w:rsid w:val="00DC71BC"/>
    <w:rsid w:val="00DC7223"/>
    <w:rsid w:val="00DC76F5"/>
    <w:rsid w:val="00DC77F3"/>
    <w:rsid w:val="00DC79BF"/>
    <w:rsid w:val="00DC7A06"/>
    <w:rsid w:val="00DC7C40"/>
    <w:rsid w:val="00DC7F0E"/>
    <w:rsid w:val="00DC7FF1"/>
    <w:rsid w:val="00DD00C1"/>
    <w:rsid w:val="00DD01F5"/>
    <w:rsid w:val="00DD03B3"/>
    <w:rsid w:val="00DD0600"/>
    <w:rsid w:val="00DD0697"/>
    <w:rsid w:val="00DD0727"/>
    <w:rsid w:val="00DD0729"/>
    <w:rsid w:val="00DD09F5"/>
    <w:rsid w:val="00DD0A47"/>
    <w:rsid w:val="00DD0FAE"/>
    <w:rsid w:val="00DD12FC"/>
    <w:rsid w:val="00DD1344"/>
    <w:rsid w:val="00DD1396"/>
    <w:rsid w:val="00DD1646"/>
    <w:rsid w:val="00DD188B"/>
    <w:rsid w:val="00DD1A24"/>
    <w:rsid w:val="00DD1AAF"/>
    <w:rsid w:val="00DD2089"/>
    <w:rsid w:val="00DD21D9"/>
    <w:rsid w:val="00DD23BB"/>
    <w:rsid w:val="00DD25F9"/>
    <w:rsid w:val="00DD2632"/>
    <w:rsid w:val="00DD288B"/>
    <w:rsid w:val="00DD290D"/>
    <w:rsid w:val="00DD2CD9"/>
    <w:rsid w:val="00DD2ED9"/>
    <w:rsid w:val="00DD368D"/>
    <w:rsid w:val="00DD36BC"/>
    <w:rsid w:val="00DD3806"/>
    <w:rsid w:val="00DD3901"/>
    <w:rsid w:val="00DD3905"/>
    <w:rsid w:val="00DD3D75"/>
    <w:rsid w:val="00DD4058"/>
    <w:rsid w:val="00DD4344"/>
    <w:rsid w:val="00DD48A0"/>
    <w:rsid w:val="00DD4990"/>
    <w:rsid w:val="00DD517C"/>
    <w:rsid w:val="00DD545F"/>
    <w:rsid w:val="00DD597E"/>
    <w:rsid w:val="00DD5F1A"/>
    <w:rsid w:val="00DD60B3"/>
    <w:rsid w:val="00DD6AAC"/>
    <w:rsid w:val="00DD6C12"/>
    <w:rsid w:val="00DD6CD6"/>
    <w:rsid w:val="00DD708F"/>
    <w:rsid w:val="00DD767C"/>
    <w:rsid w:val="00DD76DD"/>
    <w:rsid w:val="00DD7750"/>
    <w:rsid w:val="00DD775E"/>
    <w:rsid w:val="00DD7BC6"/>
    <w:rsid w:val="00DE010F"/>
    <w:rsid w:val="00DE0237"/>
    <w:rsid w:val="00DE02D1"/>
    <w:rsid w:val="00DE037B"/>
    <w:rsid w:val="00DE05F8"/>
    <w:rsid w:val="00DE0600"/>
    <w:rsid w:val="00DE0637"/>
    <w:rsid w:val="00DE0A1B"/>
    <w:rsid w:val="00DE0AE8"/>
    <w:rsid w:val="00DE0BE0"/>
    <w:rsid w:val="00DE0C05"/>
    <w:rsid w:val="00DE0DAA"/>
    <w:rsid w:val="00DE0DBD"/>
    <w:rsid w:val="00DE0DC9"/>
    <w:rsid w:val="00DE0E4F"/>
    <w:rsid w:val="00DE148F"/>
    <w:rsid w:val="00DE16D9"/>
    <w:rsid w:val="00DE1934"/>
    <w:rsid w:val="00DE19FB"/>
    <w:rsid w:val="00DE1BA0"/>
    <w:rsid w:val="00DE1DA9"/>
    <w:rsid w:val="00DE1F1E"/>
    <w:rsid w:val="00DE24DE"/>
    <w:rsid w:val="00DE25C0"/>
    <w:rsid w:val="00DE276E"/>
    <w:rsid w:val="00DE2838"/>
    <w:rsid w:val="00DE29E8"/>
    <w:rsid w:val="00DE2CA2"/>
    <w:rsid w:val="00DE2E37"/>
    <w:rsid w:val="00DE3095"/>
    <w:rsid w:val="00DE30CF"/>
    <w:rsid w:val="00DE3206"/>
    <w:rsid w:val="00DE34B2"/>
    <w:rsid w:val="00DE3631"/>
    <w:rsid w:val="00DE36AA"/>
    <w:rsid w:val="00DE37B6"/>
    <w:rsid w:val="00DE37D5"/>
    <w:rsid w:val="00DE3AEB"/>
    <w:rsid w:val="00DE3D50"/>
    <w:rsid w:val="00DE3D8B"/>
    <w:rsid w:val="00DE400B"/>
    <w:rsid w:val="00DE40B7"/>
    <w:rsid w:val="00DE461A"/>
    <w:rsid w:val="00DE47CE"/>
    <w:rsid w:val="00DE4BF8"/>
    <w:rsid w:val="00DE4CED"/>
    <w:rsid w:val="00DE4D16"/>
    <w:rsid w:val="00DE4FD0"/>
    <w:rsid w:val="00DE538F"/>
    <w:rsid w:val="00DE53D1"/>
    <w:rsid w:val="00DE5DD2"/>
    <w:rsid w:val="00DE619A"/>
    <w:rsid w:val="00DE62BD"/>
    <w:rsid w:val="00DE67F7"/>
    <w:rsid w:val="00DE695F"/>
    <w:rsid w:val="00DE698F"/>
    <w:rsid w:val="00DE69BD"/>
    <w:rsid w:val="00DE69DA"/>
    <w:rsid w:val="00DE6A3C"/>
    <w:rsid w:val="00DE6AA4"/>
    <w:rsid w:val="00DE6AF9"/>
    <w:rsid w:val="00DE6B46"/>
    <w:rsid w:val="00DE6BD4"/>
    <w:rsid w:val="00DE6F49"/>
    <w:rsid w:val="00DE702A"/>
    <w:rsid w:val="00DE7236"/>
    <w:rsid w:val="00DE75E2"/>
    <w:rsid w:val="00DE7654"/>
    <w:rsid w:val="00DE79FE"/>
    <w:rsid w:val="00DE7D0B"/>
    <w:rsid w:val="00DE7E8F"/>
    <w:rsid w:val="00DE7F21"/>
    <w:rsid w:val="00DF01EF"/>
    <w:rsid w:val="00DF0213"/>
    <w:rsid w:val="00DF064D"/>
    <w:rsid w:val="00DF0735"/>
    <w:rsid w:val="00DF08B4"/>
    <w:rsid w:val="00DF09C9"/>
    <w:rsid w:val="00DF0ABE"/>
    <w:rsid w:val="00DF0BC6"/>
    <w:rsid w:val="00DF0D83"/>
    <w:rsid w:val="00DF0D8A"/>
    <w:rsid w:val="00DF1961"/>
    <w:rsid w:val="00DF1BBC"/>
    <w:rsid w:val="00DF1F6D"/>
    <w:rsid w:val="00DF22E3"/>
    <w:rsid w:val="00DF297A"/>
    <w:rsid w:val="00DF2B09"/>
    <w:rsid w:val="00DF2B74"/>
    <w:rsid w:val="00DF2C1B"/>
    <w:rsid w:val="00DF2FB1"/>
    <w:rsid w:val="00DF3001"/>
    <w:rsid w:val="00DF3160"/>
    <w:rsid w:val="00DF32E4"/>
    <w:rsid w:val="00DF3398"/>
    <w:rsid w:val="00DF35F7"/>
    <w:rsid w:val="00DF3B4A"/>
    <w:rsid w:val="00DF414B"/>
    <w:rsid w:val="00DF48F6"/>
    <w:rsid w:val="00DF4A7E"/>
    <w:rsid w:val="00DF4C83"/>
    <w:rsid w:val="00DF4DCD"/>
    <w:rsid w:val="00DF5297"/>
    <w:rsid w:val="00DF5456"/>
    <w:rsid w:val="00DF5712"/>
    <w:rsid w:val="00DF5AB3"/>
    <w:rsid w:val="00DF5B3E"/>
    <w:rsid w:val="00DF60BA"/>
    <w:rsid w:val="00DF62FA"/>
    <w:rsid w:val="00DF667E"/>
    <w:rsid w:val="00DF6DE9"/>
    <w:rsid w:val="00DF6DF3"/>
    <w:rsid w:val="00DF7025"/>
    <w:rsid w:val="00DF734C"/>
    <w:rsid w:val="00DF7499"/>
    <w:rsid w:val="00DF74F4"/>
    <w:rsid w:val="00DF75D2"/>
    <w:rsid w:val="00DF76CC"/>
    <w:rsid w:val="00DF7A4E"/>
    <w:rsid w:val="00DF7AD1"/>
    <w:rsid w:val="00DF7B1B"/>
    <w:rsid w:val="00DF7F0C"/>
    <w:rsid w:val="00DF7F9C"/>
    <w:rsid w:val="00DF7FC0"/>
    <w:rsid w:val="00E00885"/>
    <w:rsid w:val="00E009A0"/>
    <w:rsid w:val="00E009FD"/>
    <w:rsid w:val="00E00DEA"/>
    <w:rsid w:val="00E00FD0"/>
    <w:rsid w:val="00E0102C"/>
    <w:rsid w:val="00E010D5"/>
    <w:rsid w:val="00E013F7"/>
    <w:rsid w:val="00E014A9"/>
    <w:rsid w:val="00E0152A"/>
    <w:rsid w:val="00E01558"/>
    <w:rsid w:val="00E017BC"/>
    <w:rsid w:val="00E017F8"/>
    <w:rsid w:val="00E019B4"/>
    <w:rsid w:val="00E019F2"/>
    <w:rsid w:val="00E01B90"/>
    <w:rsid w:val="00E01BB7"/>
    <w:rsid w:val="00E01C28"/>
    <w:rsid w:val="00E01C64"/>
    <w:rsid w:val="00E02011"/>
    <w:rsid w:val="00E0295B"/>
    <w:rsid w:val="00E02AA3"/>
    <w:rsid w:val="00E02D15"/>
    <w:rsid w:val="00E02E91"/>
    <w:rsid w:val="00E02FCB"/>
    <w:rsid w:val="00E03185"/>
    <w:rsid w:val="00E032F9"/>
    <w:rsid w:val="00E036DD"/>
    <w:rsid w:val="00E0381D"/>
    <w:rsid w:val="00E03834"/>
    <w:rsid w:val="00E03860"/>
    <w:rsid w:val="00E03953"/>
    <w:rsid w:val="00E03C3D"/>
    <w:rsid w:val="00E03F30"/>
    <w:rsid w:val="00E03FDA"/>
    <w:rsid w:val="00E0414E"/>
    <w:rsid w:val="00E0416F"/>
    <w:rsid w:val="00E047B9"/>
    <w:rsid w:val="00E04A37"/>
    <w:rsid w:val="00E04ADE"/>
    <w:rsid w:val="00E04D3E"/>
    <w:rsid w:val="00E04FFE"/>
    <w:rsid w:val="00E05029"/>
    <w:rsid w:val="00E05293"/>
    <w:rsid w:val="00E0543A"/>
    <w:rsid w:val="00E05632"/>
    <w:rsid w:val="00E05714"/>
    <w:rsid w:val="00E05B91"/>
    <w:rsid w:val="00E05C48"/>
    <w:rsid w:val="00E05C4C"/>
    <w:rsid w:val="00E05CD4"/>
    <w:rsid w:val="00E06061"/>
    <w:rsid w:val="00E06099"/>
    <w:rsid w:val="00E06165"/>
    <w:rsid w:val="00E06176"/>
    <w:rsid w:val="00E0652F"/>
    <w:rsid w:val="00E06531"/>
    <w:rsid w:val="00E066D5"/>
    <w:rsid w:val="00E0676B"/>
    <w:rsid w:val="00E06AE9"/>
    <w:rsid w:val="00E06FB5"/>
    <w:rsid w:val="00E07454"/>
    <w:rsid w:val="00E0763D"/>
    <w:rsid w:val="00E07726"/>
    <w:rsid w:val="00E07811"/>
    <w:rsid w:val="00E078BD"/>
    <w:rsid w:val="00E07A55"/>
    <w:rsid w:val="00E07C71"/>
    <w:rsid w:val="00E102DF"/>
    <w:rsid w:val="00E102E4"/>
    <w:rsid w:val="00E102E7"/>
    <w:rsid w:val="00E1040A"/>
    <w:rsid w:val="00E104A2"/>
    <w:rsid w:val="00E105B3"/>
    <w:rsid w:val="00E1063B"/>
    <w:rsid w:val="00E10C95"/>
    <w:rsid w:val="00E11109"/>
    <w:rsid w:val="00E112A7"/>
    <w:rsid w:val="00E11585"/>
    <w:rsid w:val="00E1168E"/>
    <w:rsid w:val="00E118AF"/>
    <w:rsid w:val="00E118B8"/>
    <w:rsid w:val="00E118FF"/>
    <w:rsid w:val="00E11C90"/>
    <w:rsid w:val="00E120EA"/>
    <w:rsid w:val="00E120EF"/>
    <w:rsid w:val="00E122BA"/>
    <w:rsid w:val="00E12332"/>
    <w:rsid w:val="00E12668"/>
    <w:rsid w:val="00E12824"/>
    <w:rsid w:val="00E12853"/>
    <w:rsid w:val="00E12929"/>
    <w:rsid w:val="00E12FB2"/>
    <w:rsid w:val="00E12FB6"/>
    <w:rsid w:val="00E13095"/>
    <w:rsid w:val="00E130EB"/>
    <w:rsid w:val="00E132E7"/>
    <w:rsid w:val="00E133E1"/>
    <w:rsid w:val="00E136D4"/>
    <w:rsid w:val="00E13DA0"/>
    <w:rsid w:val="00E14629"/>
    <w:rsid w:val="00E1470E"/>
    <w:rsid w:val="00E14866"/>
    <w:rsid w:val="00E14B23"/>
    <w:rsid w:val="00E14EC2"/>
    <w:rsid w:val="00E14ED9"/>
    <w:rsid w:val="00E1519E"/>
    <w:rsid w:val="00E1523C"/>
    <w:rsid w:val="00E15413"/>
    <w:rsid w:val="00E1552B"/>
    <w:rsid w:val="00E1565D"/>
    <w:rsid w:val="00E1576C"/>
    <w:rsid w:val="00E157E5"/>
    <w:rsid w:val="00E15EB5"/>
    <w:rsid w:val="00E16194"/>
    <w:rsid w:val="00E165D1"/>
    <w:rsid w:val="00E169FC"/>
    <w:rsid w:val="00E174AE"/>
    <w:rsid w:val="00E174DA"/>
    <w:rsid w:val="00E17607"/>
    <w:rsid w:val="00E176DB"/>
    <w:rsid w:val="00E176F3"/>
    <w:rsid w:val="00E176FE"/>
    <w:rsid w:val="00E177BF"/>
    <w:rsid w:val="00E1780B"/>
    <w:rsid w:val="00E17A6E"/>
    <w:rsid w:val="00E17BFB"/>
    <w:rsid w:val="00E20005"/>
    <w:rsid w:val="00E2010F"/>
    <w:rsid w:val="00E20133"/>
    <w:rsid w:val="00E201A3"/>
    <w:rsid w:val="00E20E0E"/>
    <w:rsid w:val="00E20ED4"/>
    <w:rsid w:val="00E20EF8"/>
    <w:rsid w:val="00E20F3A"/>
    <w:rsid w:val="00E21125"/>
    <w:rsid w:val="00E211C7"/>
    <w:rsid w:val="00E213F7"/>
    <w:rsid w:val="00E21657"/>
    <w:rsid w:val="00E2167C"/>
    <w:rsid w:val="00E21855"/>
    <w:rsid w:val="00E218C0"/>
    <w:rsid w:val="00E21A33"/>
    <w:rsid w:val="00E21DF3"/>
    <w:rsid w:val="00E21F47"/>
    <w:rsid w:val="00E2217E"/>
    <w:rsid w:val="00E22403"/>
    <w:rsid w:val="00E224BC"/>
    <w:rsid w:val="00E2299E"/>
    <w:rsid w:val="00E22C40"/>
    <w:rsid w:val="00E22C4D"/>
    <w:rsid w:val="00E22F59"/>
    <w:rsid w:val="00E23050"/>
    <w:rsid w:val="00E23062"/>
    <w:rsid w:val="00E230CC"/>
    <w:rsid w:val="00E233B3"/>
    <w:rsid w:val="00E233F3"/>
    <w:rsid w:val="00E23AF1"/>
    <w:rsid w:val="00E23DC7"/>
    <w:rsid w:val="00E240A7"/>
    <w:rsid w:val="00E24209"/>
    <w:rsid w:val="00E24670"/>
    <w:rsid w:val="00E24A0F"/>
    <w:rsid w:val="00E24A35"/>
    <w:rsid w:val="00E24D64"/>
    <w:rsid w:val="00E24F29"/>
    <w:rsid w:val="00E2505B"/>
    <w:rsid w:val="00E25245"/>
    <w:rsid w:val="00E252F1"/>
    <w:rsid w:val="00E2562C"/>
    <w:rsid w:val="00E258E5"/>
    <w:rsid w:val="00E25947"/>
    <w:rsid w:val="00E25A76"/>
    <w:rsid w:val="00E25BA0"/>
    <w:rsid w:val="00E25C58"/>
    <w:rsid w:val="00E25C75"/>
    <w:rsid w:val="00E25EC0"/>
    <w:rsid w:val="00E26004"/>
    <w:rsid w:val="00E260C9"/>
    <w:rsid w:val="00E26121"/>
    <w:rsid w:val="00E262E3"/>
    <w:rsid w:val="00E264B4"/>
    <w:rsid w:val="00E2677E"/>
    <w:rsid w:val="00E2677F"/>
    <w:rsid w:val="00E26784"/>
    <w:rsid w:val="00E26816"/>
    <w:rsid w:val="00E26AB0"/>
    <w:rsid w:val="00E26AF4"/>
    <w:rsid w:val="00E26C74"/>
    <w:rsid w:val="00E26CE0"/>
    <w:rsid w:val="00E26D99"/>
    <w:rsid w:val="00E26E9D"/>
    <w:rsid w:val="00E26F0B"/>
    <w:rsid w:val="00E270E5"/>
    <w:rsid w:val="00E27141"/>
    <w:rsid w:val="00E27478"/>
    <w:rsid w:val="00E274D0"/>
    <w:rsid w:val="00E275F6"/>
    <w:rsid w:val="00E2767B"/>
    <w:rsid w:val="00E27927"/>
    <w:rsid w:val="00E27A86"/>
    <w:rsid w:val="00E27A93"/>
    <w:rsid w:val="00E27B6C"/>
    <w:rsid w:val="00E27CE4"/>
    <w:rsid w:val="00E30010"/>
    <w:rsid w:val="00E300CE"/>
    <w:rsid w:val="00E304FD"/>
    <w:rsid w:val="00E30A10"/>
    <w:rsid w:val="00E30BEB"/>
    <w:rsid w:val="00E30C3C"/>
    <w:rsid w:val="00E30E53"/>
    <w:rsid w:val="00E30EFF"/>
    <w:rsid w:val="00E3123D"/>
    <w:rsid w:val="00E31483"/>
    <w:rsid w:val="00E315CC"/>
    <w:rsid w:val="00E31708"/>
    <w:rsid w:val="00E3192C"/>
    <w:rsid w:val="00E31DA5"/>
    <w:rsid w:val="00E31E92"/>
    <w:rsid w:val="00E31FC0"/>
    <w:rsid w:val="00E32795"/>
    <w:rsid w:val="00E328CB"/>
    <w:rsid w:val="00E32C2D"/>
    <w:rsid w:val="00E32CF4"/>
    <w:rsid w:val="00E32EDF"/>
    <w:rsid w:val="00E32EF9"/>
    <w:rsid w:val="00E332DF"/>
    <w:rsid w:val="00E335AB"/>
    <w:rsid w:val="00E33A08"/>
    <w:rsid w:val="00E33CFA"/>
    <w:rsid w:val="00E33F4B"/>
    <w:rsid w:val="00E34216"/>
    <w:rsid w:val="00E3432C"/>
    <w:rsid w:val="00E34BA2"/>
    <w:rsid w:val="00E34BC6"/>
    <w:rsid w:val="00E35440"/>
    <w:rsid w:val="00E3571A"/>
    <w:rsid w:val="00E359D6"/>
    <w:rsid w:val="00E35AD5"/>
    <w:rsid w:val="00E35DEE"/>
    <w:rsid w:val="00E35EA4"/>
    <w:rsid w:val="00E35F11"/>
    <w:rsid w:val="00E361FC"/>
    <w:rsid w:val="00E362D3"/>
    <w:rsid w:val="00E363B3"/>
    <w:rsid w:val="00E364C9"/>
    <w:rsid w:val="00E36A68"/>
    <w:rsid w:val="00E36B98"/>
    <w:rsid w:val="00E36BE3"/>
    <w:rsid w:val="00E36CC2"/>
    <w:rsid w:val="00E36F8C"/>
    <w:rsid w:val="00E37401"/>
    <w:rsid w:val="00E375D7"/>
    <w:rsid w:val="00E3798B"/>
    <w:rsid w:val="00E37A70"/>
    <w:rsid w:val="00E37DAA"/>
    <w:rsid w:val="00E37F76"/>
    <w:rsid w:val="00E4042A"/>
    <w:rsid w:val="00E4056E"/>
    <w:rsid w:val="00E407CC"/>
    <w:rsid w:val="00E40876"/>
    <w:rsid w:val="00E4095C"/>
    <w:rsid w:val="00E40BA1"/>
    <w:rsid w:val="00E40E69"/>
    <w:rsid w:val="00E40FCE"/>
    <w:rsid w:val="00E41549"/>
    <w:rsid w:val="00E416A1"/>
    <w:rsid w:val="00E41F2A"/>
    <w:rsid w:val="00E42240"/>
    <w:rsid w:val="00E42276"/>
    <w:rsid w:val="00E423A2"/>
    <w:rsid w:val="00E42491"/>
    <w:rsid w:val="00E42653"/>
    <w:rsid w:val="00E426A8"/>
    <w:rsid w:val="00E427BB"/>
    <w:rsid w:val="00E42890"/>
    <w:rsid w:val="00E42AE6"/>
    <w:rsid w:val="00E42FFF"/>
    <w:rsid w:val="00E43403"/>
    <w:rsid w:val="00E43848"/>
    <w:rsid w:val="00E438B4"/>
    <w:rsid w:val="00E4398F"/>
    <w:rsid w:val="00E43BE9"/>
    <w:rsid w:val="00E43D4C"/>
    <w:rsid w:val="00E43D76"/>
    <w:rsid w:val="00E43DBE"/>
    <w:rsid w:val="00E43F8C"/>
    <w:rsid w:val="00E442D4"/>
    <w:rsid w:val="00E443DA"/>
    <w:rsid w:val="00E4475C"/>
    <w:rsid w:val="00E448F9"/>
    <w:rsid w:val="00E44D47"/>
    <w:rsid w:val="00E44D69"/>
    <w:rsid w:val="00E450BF"/>
    <w:rsid w:val="00E4530C"/>
    <w:rsid w:val="00E4541B"/>
    <w:rsid w:val="00E45541"/>
    <w:rsid w:val="00E455E7"/>
    <w:rsid w:val="00E45684"/>
    <w:rsid w:val="00E45792"/>
    <w:rsid w:val="00E45915"/>
    <w:rsid w:val="00E45927"/>
    <w:rsid w:val="00E45A8B"/>
    <w:rsid w:val="00E45B0A"/>
    <w:rsid w:val="00E45D9B"/>
    <w:rsid w:val="00E460B4"/>
    <w:rsid w:val="00E46294"/>
    <w:rsid w:val="00E4635D"/>
    <w:rsid w:val="00E46424"/>
    <w:rsid w:val="00E465FC"/>
    <w:rsid w:val="00E466BE"/>
    <w:rsid w:val="00E4676B"/>
    <w:rsid w:val="00E46871"/>
    <w:rsid w:val="00E46924"/>
    <w:rsid w:val="00E46A03"/>
    <w:rsid w:val="00E46A2D"/>
    <w:rsid w:val="00E46E67"/>
    <w:rsid w:val="00E46FBB"/>
    <w:rsid w:val="00E4723C"/>
    <w:rsid w:val="00E47294"/>
    <w:rsid w:val="00E473B2"/>
    <w:rsid w:val="00E475B7"/>
    <w:rsid w:val="00E47772"/>
    <w:rsid w:val="00E4792D"/>
    <w:rsid w:val="00E47ACD"/>
    <w:rsid w:val="00E47C7D"/>
    <w:rsid w:val="00E47D6D"/>
    <w:rsid w:val="00E47DC5"/>
    <w:rsid w:val="00E47FF2"/>
    <w:rsid w:val="00E500C1"/>
    <w:rsid w:val="00E5021D"/>
    <w:rsid w:val="00E5050D"/>
    <w:rsid w:val="00E50686"/>
    <w:rsid w:val="00E50769"/>
    <w:rsid w:val="00E50830"/>
    <w:rsid w:val="00E50873"/>
    <w:rsid w:val="00E509C1"/>
    <w:rsid w:val="00E509D3"/>
    <w:rsid w:val="00E50A34"/>
    <w:rsid w:val="00E50D16"/>
    <w:rsid w:val="00E50FCE"/>
    <w:rsid w:val="00E5119B"/>
    <w:rsid w:val="00E51783"/>
    <w:rsid w:val="00E519E2"/>
    <w:rsid w:val="00E51AD0"/>
    <w:rsid w:val="00E51CD0"/>
    <w:rsid w:val="00E51CE7"/>
    <w:rsid w:val="00E51DC4"/>
    <w:rsid w:val="00E523B6"/>
    <w:rsid w:val="00E526D8"/>
    <w:rsid w:val="00E528B1"/>
    <w:rsid w:val="00E529E3"/>
    <w:rsid w:val="00E52B00"/>
    <w:rsid w:val="00E52E06"/>
    <w:rsid w:val="00E52E9F"/>
    <w:rsid w:val="00E5321A"/>
    <w:rsid w:val="00E532E6"/>
    <w:rsid w:val="00E53C71"/>
    <w:rsid w:val="00E540A8"/>
    <w:rsid w:val="00E540B7"/>
    <w:rsid w:val="00E543EC"/>
    <w:rsid w:val="00E5441E"/>
    <w:rsid w:val="00E544E3"/>
    <w:rsid w:val="00E54816"/>
    <w:rsid w:val="00E548CD"/>
    <w:rsid w:val="00E54FB6"/>
    <w:rsid w:val="00E5500F"/>
    <w:rsid w:val="00E5516A"/>
    <w:rsid w:val="00E55298"/>
    <w:rsid w:val="00E553A9"/>
    <w:rsid w:val="00E553C8"/>
    <w:rsid w:val="00E55AF1"/>
    <w:rsid w:val="00E55B7B"/>
    <w:rsid w:val="00E55D7F"/>
    <w:rsid w:val="00E55F43"/>
    <w:rsid w:val="00E55FD4"/>
    <w:rsid w:val="00E56131"/>
    <w:rsid w:val="00E5617C"/>
    <w:rsid w:val="00E56353"/>
    <w:rsid w:val="00E56432"/>
    <w:rsid w:val="00E565F6"/>
    <w:rsid w:val="00E5685E"/>
    <w:rsid w:val="00E568BD"/>
    <w:rsid w:val="00E5699E"/>
    <w:rsid w:val="00E57067"/>
    <w:rsid w:val="00E57435"/>
    <w:rsid w:val="00E57437"/>
    <w:rsid w:val="00E5743D"/>
    <w:rsid w:val="00E575E1"/>
    <w:rsid w:val="00E575F0"/>
    <w:rsid w:val="00E57AB4"/>
    <w:rsid w:val="00E57B73"/>
    <w:rsid w:val="00E57B76"/>
    <w:rsid w:val="00E57C65"/>
    <w:rsid w:val="00E57F53"/>
    <w:rsid w:val="00E57F84"/>
    <w:rsid w:val="00E57FA6"/>
    <w:rsid w:val="00E600D3"/>
    <w:rsid w:val="00E602B3"/>
    <w:rsid w:val="00E60A92"/>
    <w:rsid w:val="00E60E09"/>
    <w:rsid w:val="00E60FFD"/>
    <w:rsid w:val="00E611B6"/>
    <w:rsid w:val="00E61472"/>
    <w:rsid w:val="00E6152E"/>
    <w:rsid w:val="00E61688"/>
    <w:rsid w:val="00E618A4"/>
    <w:rsid w:val="00E61BE3"/>
    <w:rsid w:val="00E61C43"/>
    <w:rsid w:val="00E61DA9"/>
    <w:rsid w:val="00E61DC3"/>
    <w:rsid w:val="00E61E29"/>
    <w:rsid w:val="00E61EBE"/>
    <w:rsid w:val="00E62328"/>
    <w:rsid w:val="00E62439"/>
    <w:rsid w:val="00E6245F"/>
    <w:rsid w:val="00E6249D"/>
    <w:rsid w:val="00E624E1"/>
    <w:rsid w:val="00E625CE"/>
    <w:rsid w:val="00E626E6"/>
    <w:rsid w:val="00E62AFD"/>
    <w:rsid w:val="00E62B66"/>
    <w:rsid w:val="00E62BFD"/>
    <w:rsid w:val="00E62D21"/>
    <w:rsid w:val="00E62E35"/>
    <w:rsid w:val="00E6311F"/>
    <w:rsid w:val="00E6315C"/>
    <w:rsid w:val="00E6330F"/>
    <w:rsid w:val="00E6333C"/>
    <w:rsid w:val="00E635B0"/>
    <w:rsid w:val="00E63658"/>
    <w:rsid w:val="00E6370D"/>
    <w:rsid w:val="00E63932"/>
    <w:rsid w:val="00E63F21"/>
    <w:rsid w:val="00E643C0"/>
    <w:rsid w:val="00E645E6"/>
    <w:rsid w:val="00E6479F"/>
    <w:rsid w:val="00E64837"/>
    <w:rsid w:val="00E64972"/>
    <w:rsid w:val="00E64AA4"/>
    <w:rsid w:val="00E64AD2"/>
    <w:rsid w:val="00E64E7D"/>
    <w:rsid w:val="00E64ECE"/>
    <w:rsid w:val="00E64F0C"/>
    <w:rsid w:val="00E6501C"/>
    <w:rsid w:val="00E6505E"/>
    <w:rsid w:val="00E65113"/>
    <w:rsid w:val="00E651E9"/>
    <w:rsid w:val="00E6552C"/>
    <w:rsid w:val="00E65796"/>
    <w:rsid w:val="00E65B34"/>
    <w:rsid w:val="00E65DB9"/>
    <w:rsid w:val="00E65DEA"/>
    <w:rsid w:val="00E65E6D"/>
    <w:rsid w:val="00E660B1"/>
    <w:rsid w:val="00E661E2"/>
    <w:rsid w:val="00E661F7"/>
    <w:rsid w:val="00E66301"/>
    <w:rsid w:val="00E66385"/>
    <w:rsid w:val="00E666F4"/>
    <w:rsid w:val="00E6671B"/>
    <w:rsid w:val="00E6686A"/>
    <w:rsid w:val="00E66A0C"/>
    <w:rsid w:val="00E66CB3"/>
    <w:rsid w:val="00E66D44"/>
    <w:rsid w:val="00E66EA6"/>
    <w:rsid w:val="00E673A3"/>
    <w:rsid w:val="00E678DB"/>
    <w:rsid w:val="00E67977"/>
    <w:rsid w:val="00E7013B"/>
    <w:rsid w:val="00E7019A"/>
    <w:rsid w:val="00E701FB"/>
    <w:rsid w:val="00E703B9"/>
    <w:rsid w:val="00E70463"/>
    <w:rsid w:val="00E706D3"/>
    <w:rsid w:val="00E7084F"/>
    <w:rsid w:val="00E70A5A"/>
    <w:rsid w:val="00E70BCC"/>
    <w:rsid w:val="00E70D5E"/>
    <w:rsid w:val="00E71060"/>
    <w:rsid w:val="00E71459"/>
    <w:rsid w:val="00E715CA"/>
    <w:rsid w:val="00E716CD"/>
    <w:rsid w:val="00E71ABE"/>
    <w:rsid w:val="00E71B46"/>
    <w:rsid w:val="00E71EAE"/>
    <w:rsid w:val="00E71FEF"/>
    <w:rsid w:val="00E72426"/>
    <w:rsid w:val="00E72541"/>
    <w:rsid w:val="00E72A4F"/>
    <w:rsid w:val="00E72B8B"/>
    <w:rsid w:val="00E72F1D"/>
    <w:rsid w:val="00E72F50"/>
    <w:rsid w:val="00E72F90"/>
    <w:rsid w:val="00E73009"/>
    <w:rsid w:val="00E73137"/>
    <w:rsid w:val="00E73400"/>
    <w:rsid w:val="00E73619"/>
    <w:rsid w:val="00E73E66"/>
    <w:rsid w:val="00E74058"/>
    <w:rsid w:val="00E740BC"/>
    <w:rsid w:val="00E74397"/>
    <w:rsid w:val="00E744FA"/>
    <w:rsid w:val="00E74587"/>
    <w:rsid w:val="00E74919"/>
    <w:rsid w:val="00E749E8"/>
    <w:rsid w:val="00E74A9F"/>
    <w:rsid w:val="00E75214"/>
    <w:rsid w:val="00E7529D"/>
    <w:rsid w:val="00E75333"/>
    <w:rsid w:val="00E753C8"/>
    <w:rsid w:val="00E7559C"/>
    <w:rsid w:val="00E75708"/>
    <w:rsid w:val="00E758AE"/>
    <w:rsid w:val="00E75B90"/>
    <w:rsid w:val="00E75BB4"/>
    <w:rsid w:val="00E761D9"/>
    <w:rsid w:val="00E7631E"/>
    <w:rsid w:val="00E76534"/>
    <w:rsid w:val="00E76850"/>
    <w:rsid w:val="00E769B7"/>
    <w:rsid w:val="00E772FC"/>
    <w:rsid w:val="00E7764C"/>
    <w:rsid w:val="00E77683"/>
    <w:rsid w:val="00E77C26"/>
    <w:rsid w:val="00E77C83"/>
    <w:rsid w:val="00E77C87"/>
    <w:rsid w:val="00E77E4F"/>
    <w:rsid w:val="00E77E82"/>
    <w:rsid w:val="00E8037F"/>
    <w:rsid w:val="00E8048B"/>
    <w:rsid w:val="00E80627"/>
    <w:rsid w:val="00E807DA"/>
    <w:rsid w:val="00E808AB"/>
    <w:rsid w:val="00E808FA"/>
    <w:rsid w:val="00E80A00"/>
    <w:rsid w:val="00E80E57"/>
    <w:rsid w:val="00E80FB1"/>
    <w:rsid w:val="00E811FC"/>
    <w:rsid w:val="00E81259"/>
    <w:rsid w:val="00E81715"/>
    <w:rsid w:val="00E8171C"/>
    <w:rsid w:val="00E819DD"/>
    <w:rsid w:val="00E81A6B"/>
    <w:rsid w:val="00E81E6B"/>
    <w:rsid w:val="00E8229B"/>
    <w:rsid w:val="00E822B8"/>
    <w:rsid w:val="00E829CA"/>
    <w:rsid w:val="00E829E5"/>
    <w:rsid w:val="00E82A57"/>
    <w:rsid w:val="00E82B80"/>
    <w:rsid w:val="00E82BEC"/>
    <w:rsid w:val="00E82C6B"/>
    <w:rsid w:val="00E82D3C"/>
    <w:rsid w:val="00E82DC2"/>
    <w:rsid w:val="00E82EBF"/>
    <w:rsid w:val="00E83041"/>
    <w:rsid w:val="00E83540"/>
    <w:rsid w:val="00E839EF"/>
    <w:rsid w:val="00E84355"/>
    <w:rsid w:val="00E845B0"/>
    <w:rsid w:val="00E8461C"/>
    <w:rsid w:val="00E84905"/>
    <w:rsid w:val="00E849B7"/>
    <w:rsid w:val="00E849DD"/>
    <w:rsid w:val="00E84AD7"/>
    <w:rsid w:val="00E85500"/>
    <w:rsid w:val="00E8577A"/>
    <w:rsid w:val="00E85A5A"/>
    <w:rsid w:val="00E85DAB"/>
    <w:rsid w:val="00E862E0"/>
    <w:rsid w:val="00E86648"/>
    <w:rsid w:val="00E86C91"/>
    <w:rsid w:val="00E8708D"/>
    <w:rsid w:val="00E87205"/>
    <w:rsid w:val="00E87225"/>
    <w:rsid w:val="00E8749A"/>
    <w:rsid w:val="00E875D8"/>
    <w:rsid w:val="00E87616"/>
    <w:rsid w:val="00E87818"/>
    <w:rsid w:val="00E87C0F"/>
    <w:rsid w:val="00E87C6A"/>
    <w:rsid w:val="00E87F43"/>
    <w:rsid w:val="00E900CB"/>
    <w:rsid w:val="00E9029A"/>
    <w:rsid w:val="00E90466"/>
    <w:rsid w:val="00E904AC"/>
    <w:rsid w:val="00E9051F"/>
    <w:rsid w:val="00E90631"/>
    <w:rsid w:val="00E906B9"/>
    <w:rsid w:val="00E90746"/>
    <w:rsid w:val="00E907C3"/>
    <w:rsid w:val="00E908AC"/>
    <w:rsid w:val="00E908F6"/>
    <w:rsid w:val="00E909C9"/>
    <w:rsid w:val="00E90A69"/>
    <w:rsid w:val="00E90A95"/>
    <w:rsid w:val="00E90B6A"/>
    <w:rsid w:val="00E90E24"/>
    <w:rsid w:val="00E91038"/>
    <w:rsid w:val="00E9130C"/>
    <w:rsid w:val="00E9155D"/>
    <w:rsid w:val="00E91A4B"/>
    <w:rsid w:val="00E91A8D"/>
    <w:rsid w:val="00E91E01"/>
    <w:rsid w:val="00E92018"/>
    <w:rsid w:val="00E9204A"/>
    <w:rsid w:val="00E92117"/>
    <w:rsid w:val="00E922D5"/>
    <w:rsid w:val="00E92347"/>
    <w:rsid w:val="00E924B7"/>
    <w:rsid w:val="00E925D1"/>
    <w:rsid w:val="00E930CD"/>
    <w:rsid w:val="00E93307"/>
    <w:rsid w:val="00E936D5"/>
    <w:rsid w:val="00E93D16"/>
    <w:rsid w:val="00E94047"/>
    <w:rsid w:val="00E94162"/>
    <w:rsid w:val="00E944BA"/>
    <w:rsid w:val="00E9464C"/>
    <w:rsid w:val="00E94795"/>
    <w:rsid w:val="00E94CB7"/>
    <w:rsid w:val="00E94E21"/>
    <w:rsid w:val="00E95013"/>
    <w:rsid w:val="00E95044"/>
    <w:rsid w:val="00E95299"/>
    <w:rsid w:val="00E95436"/>
    <w:rsid w:val="00E95639"/>
    <w:rsid w:val="00E959E5"/>
    <w:rsid w:val="00E95D8A"/>
    <w:rsid w:val="00E95EEB"/>
    <w:rsid w:val="00E9613C"/>
    <w:rsid w:val="00E965B9"/>
    <w:rsid w:val="00E965CA"/>
    <w:rsid w:val="00E966E1"/>
    <w:rsid w:val="00E96834"/>
    <w:rsid w:val="00E968D3"/>
    <w:rsid w:val="00E9691E"/>
    <w:rsid w:val="00E96A83"/>
    <w:rsid w:val="00E96C7A"/>
    <w:rsid w:val="00E97239"/>
    <w:rsid w:val="00E97316"/>
    <w:rsid w:val="00E974F7"/>
    <w:rsid w:val="00E97538"/>
    <w:rsid w:val="00E97A58"/>
    <w:rsid w:val="00E97ABD"/>
    <w:rsid w:val="00E97B88"/>
    <w:rsid w:val="00E97C3F"/>
    <w:rsid w:val="00E97DD0"/>
    <w:rsid w:val="00EA00CA"/>
    <w:rsid w:val="00EA0348"/>
    <w:rsid w:val="00EA0417"/>
    <w:rsid w:val="00EA051A"/>
    <w:rsid w:val="00EA068D"/>
    <w:rsid w:val="00EA0888"/>
    <w:rsid w:val="00EA094C"/>
    <w:rsid w:val="00EA09C8"/>
    <w:rsid w:val="00EA0B7D"/>
    <w:rsid w:val="00EA0D92"/>
    <w:rsid w:val="00EA12FB"/>
    <w:rsid w:val="00EA159A"/>
    <w:rsid w:val="00EA2005"/>
    <w:rsid w:val="00EA219C"/>
    <w:rsid w:val="00EA251A"/>
    <w:rsid w:val="00EA2598"/>
    <w:rsid w:val="00EA25C4"/>
    <w:rsid w:val="00EA28D0"/>
    <w:rsid w:val="00EA2980"/>
    <w:rsid w:val="00EA2EA5"/>
    <w:rsid w:val="00EA3119"/>
    <w:rsid w:val="00EA32F0"/>
    <w:rsid w:val="00EA3553"/>
    <w:rsid w:val="00EA35E6"/>
    <w:rsid w:val="00EA3A11"/>
    <w:rsid w:val="00EA3AC1"/>
    <w:rsid w:val="00EA3D8A"/>
    <w:rsid w:val="00EA3F4E"/>
    <w:rsid w:val="00EA4203"/>
    <w:rsid w:val="00EA43CC"/>
    <w:rsid w:val="00EA48B9"/>
    <w:rsid w:val="00EA4C10"/>
    <w:rsid w:val="00EA4DAF"/>
    <w:rsid w:val="00EA4DDB"/>
    <w:rsid w:val="00EA5065"/>
    <w:rsid w:val="00EA51CE"/>
    <w:rsid w:val="00EA5246"/>
    <w:rsid w:val="00EA52E0"/>
    <w:rsid w:val="00EA5848"/>
    <w:rsid w:val="00EA5DB0"/>
    <w:rsid w:val="00EA5ED0"/>
    <w:rsid w:val="00EA5F3F"/>
    <w:rsid w:val="00EA5FDA"/>
    <w:rsid w:val="00EA60F7"/>
    <w:rsid w:val="00EA63D8"/>
    <w:rsid w:val="00EA650F"/>
    <w:rsid w:val="00EA65AF"/>
    <w:rsid w:val="00EA66F0"/>
    <w:rsid w:val="00EA6790"/>
    <w:rsid w:val="00EA67D0"/>
    <w:rsid w:val="00EA6EBD"/>
    <w:rsid w:val="00EA6F57"/>
    <w:rsid w:val="00EA701D"/>
    <w:rsid w:val="00EA756E"/>
    <w:rsid w:val="00EA7701"/>
    <w:rsid w:val="00EA77BD"/>
    <w:rsid w:val="00EA77E4"/>
    <w:rsid w:val="00EA7862"/>
    <w:rsid w:val="00EA7C17"/>
    <w:rsid w:val="00EA7C61"/>
    <w:rsid w:val="00EA7E38"/>
    <w:rsid w:val="00EB017C"/>
    <w:rsid w:val="00EB05C0"/>
    <w:rsid w:val="00EB0761"/>
    <w:rsid w:val="00EB09D0"/>
    <w:rsid w:val="00EB0A60"/>
    <w:rsid w:val="00EB0C8C"/>
    <w:rsid w:val="00EB0F7D"/>
    <w:rsid w:val="00EB149A"/>
    <w:rsid w:val="00EB1AD3"/>
    <w:rsid w:val="00EB1B10"/>
    <w:rsid w:val="00EB1C0C"/>
    <w:rsid w:val="00EB1D94"/>
    <w:rsid w:val="00EB1DC4"/>
    <w:rsid w:val="00EB1EAA"/>
    <w:rsid w:val="00EB2579"/>
    <w:rsid w:val="00EB25C2"/>
    <w:rsid w:val="00EB2A25"/>
    <w:rsid w:val="00EB2DE0"/>
    <w:rsid w:val="00EB3198"/>
    <w:rsid w:val="00EB31BF"/>
    <w:rsid w:val="00EB31E0"/>
    <w:rsid w:val="00EB3200"/>
    <w:rsid w:val="00EB35A9"/>
    <w:rsid w:val="00EB37A8"/>
    <w:rsid w:val="00EB37F3"/>
    <w:rsid w:val="00EB396B"/>
    <w:rsid w:val="00EB3DC6"/>
    <w:rsid w:val="00EB4393"/>
    <w:rsid w:val="00EB43C0"/>
    <w:rsid w:val="00EB45BC"/>
    <w:rsid w:val="00EB46CF"/>
    <w:rsid w:val="00EB4736"/>
    <w:rsid w:val="00EB4CE0"/>
    <w:rsid w:val="00EB4FF7"/>
    <w:rsid w:val="00EB501A"/>
    <w:rsid w:val="00EB50F2"/>
    <w:rsid w:val="00EB55E2"/>
    <w:rsid w:val="00EB5640"/>
    <w:rsid w:val="00EB5937"/>
    <w:rsid w:val="00EB5974"/>
    <w:rsid w:val="00EB5A9F"/>
    <w:rsid w:val="00EB5B93"/>
    <w:rsid w:val="00EB5C6F"/>
    <w:rsid w:val="00EB6332"/>
    <w:rsid w:val="00EB6372"/>
    <w:rsid w:val="00EB66F4"/>
    <w:rsid w:val="00EB6834"/>
    <w:rsid w:val="00EB6E47"/>
    <w:rsid w:val="00EB7501"/>
    <w:rsid w:val="00EB7527"/>
    <w:rsid w:val="00EB75BB"/>
    <w:rsid w:val="00EB7913"/>
    <w:rsid w:val="00EB7968"/>
    <w:rsid w:val="00EB7A63"/>
    <w:rsid w:val="00EB7B95"/>
    <w:rsid w:val="00EB7E1B"/>
    <w:rsid w:val="00EC00A4"/>
    <w:rsid w:val="00EC0190"/>
    <w:rsid w:val="00EC03FE"/>
    <w:rsid w:val="00EC0694"/>
    <w:rsid w:val="00EC0AA8"/>
    <w:rsid w:val="00EC0FEA"/>
    <w:rsid w:val="00EC104F"/>
    <w:rsid w:val="00EC1095"/>
    <w:rsid w:val="00EC11B1"/>
    <w:rsid w:val="00EC13EA"/>
    <w:rsid w:val="00EC1432"/>
    <w:rsid w:val="00EC1471"/>
    <w:rsid w:val="00EC14BF"/>
    <w:rsid w:val="00EC15F2"/>
    <w:rsid w:val="00EC1846"/>
    <w:rsid w:val="00EC186F"/>
    <w:rsid w:val="00EC1B43"/>
    <w:rsid w:val="00EC1C45"/>
    <w:rsid w:val="00EC1D74"/>
    <w:rsid w:val="00EC1F24"/>
    <w:rsid w:val="00EC204A"/>
    <w:rsid w:val="00EC20A2"/>
    <w:rsid w:val="00EC2B5F"/>
    <w:rsid w:val="00EC2FA0"/>
    <w:rsid w:val="00EC3154"/>
    <w:rsid w:val="00EC31F9"/>
    <w:rsid w:val="00EC35DD"/>
    <w:rsid w:val="00EC36E6"/>
    <w:rsid w:val="00EC3BB9"/>
    <w:rsid w:val="00EC3BBE"/>
    <w:rsid w:val="00EC3CB2"/>
    <w:rsid w:val="00EC3D5C"/>
    <w:rsid w:val="00EC41F6"/>
    <w:rsid w:val="00EC44EF"/>
    <w:rsid w:val="00EC477A"/>
    <w:rsid w:val="00EC48CD"/>
    <w:rsid w:val="00EC4C0F"/>
    <w:rsid w:val="00EC4D5B"/>
    <w:rsid w:val="00EC4D83"/>
    <w:rsid w:val="00EC5093"/>
    <w:rsid w:val="00EC5248"/>
    <w:rsid w:val="00EC5511"/>
    <w:rsid w:val="00EC5B3F"/>
    <w:rsid w:val="00EC5D35"/>
    <w:rsid w:val="00EC5E1D"/>
    <w:rsid w:val="00EC63E4"/>
    <w:rsid w:val="00EC643D"/>
    <w:rsid w:val="00EC67C2"/>
    <w:rsid w:val="00EC6A95"/>
    <w:rsid w:val="00EC6AAB"/>
    <w:rsid w:val="00EC6B90"/>
    <w:rsid w:val="00EC6EF4"/>
    <w:rsid w:val="00EC6FB6"/>
    <w:rsid w:val="00EC700D"/>
    <w:rsid w:val="00EC72B4"/>
    <w:rsid w:val="00EC7475"/>
    <w:rsid w:val="00EC7570"/>
    <w:rsid w:val="00EC77F5"/>
    <w:rsid w:val="00EC7C26"/>
    <w:rsid w:val="00EC7C6F"/>
    <w:rsid w:val="00EC7DF6"/>
    <w:rsid w:val="00EC7E0C"/>
    <w:rsid w:val="00EC7E5B"/>
    <w:rsid w:val="00EC7E97"/>
    <w:rsid w:val="00EC7EC5"/>
    <w:rsid w:val="00ED001B"/>
    <w:rsid w:val="00ED040D"/>
    <w:rsid w:val="00ED0633"/>
    <w:rsid w:val="00ED0669"/>
    <w:rsid w:val="00ED07B9"/>
    <w:rsid w:val="00ED0882"/>
    <w:rsid w:val="00ED0958"/>
    <w:rsid w:val="00ED0C5A"/>
    <w:rsid w:val="00ED0C76"/>
    <w:rsid w:val="00ED0C9E"/>
    <w:rsid w:val="00ED100C"/>
    <w:rsid w:val="00ED1150"/>
    <w:rsid w:val="00ED1735"/>
    <w:rsid w:val="00ED17A2"/>
    <w:rsid w:val="00ED1885"/>
    <w:rsid w:val="00ED190B"/>
    <w:rsid w:val="00ED1C13"/>
    <w:rsid w:val="00ED1E4D"/>
    <w:rsid w:val="00ED1F35"/>
    <w:rsid w:val="00ED1FEA"/>
    <w:rsid w:val="00ED20D3"/>
    <w:rsid w:val="00ED2112"/>
    <w:rsid w:val="00ED2137"/>
    <w:rsid w:val="00ED2236"/>
    <w:rsid w:val="00ED22A8"/>
    <w:rsid w:val="00ED2334"/>
    <w:rsid w:val="00ED23D1"/>
    <w:rsid w:val="00ED2834"/>
    <w:rsid w:val="00ED293C"/>
    <w:rsid w:val="00ED2C83"/>
    <w:rsid w:val="00ED2D14"/>
    <w:rsid w:val="00ED32CB"/>
    <w:rsid w:val="00ED33EE"/>
    <w:rsid w:val="00ED3455"/>
    <w:rsid w:val="00ED351A"/>
    <w:rsid w:val="00ED371C"/>
    <w:rsid w:val="00ED3A8A"/>
    <w:rsid w:val="00ED3B5E"/>
    <w:rsid w:val="00ED4216"/>
    <w:rsid w:val="00ED42C8"/>
    <w:rsid w:val="00ED431B"/>
    <w:rsid w:val="00ED442B"/>
    <w:rsid w:val="00ED48F8"/>
    <w:rsid w:val="00ED4990"/>
    <w:rsid w:val="00ED4EC3"/>
    <w:rsid w:val="00ED508C"/>
    <w:rsid w:val="00ED511D"/>
    <w:rsid w:val="00ED516C"/>
    <w:rsid w:val="00ED56A5"/>
    <w:rsid w:val="00ED5803"/>
    <w:rsid w:val="00ED583A"/>
    <w:rsid w:val="00ED5A09"/>
    <w:rsid w:val="00ED5CDC"/>
    <w:rsid w:val="00ED5D88"/>
    <w:rsid w:val="00ED6146"/>
    <w:rsid w:val="00ED6713"/>
    <w:rsid w:val="00ED6BBB"/>
    <w:rsid w:val="00ED7112"/>
    <w:rsid w:val="00ED714B"/>
    <w:rsid w:val="00ED77B4"/>
    <w:rsid w:val="00ED79A0"/>
    <w:rsid w:val="00ED79F4"/>
    <w:rsid w:val="00ED7B35"/>
    <w:rsid w:val="00ED7B57"/>
    <w:rsid w:val="00ED7CBB"/>
    <w:rsid w:val="00ED7DD0"/>
    <w:rsid w:val="00ED7FD5"/>
    <w:rsid w:val="00ED7FEB"/>
    <w:rsid w:val="00EE02D3"/>
    <w:rsid w:val="00EE0301"/>
    <w:rsid w:val="00EE037C"/>
    <w:rsid w:val="00EE0B1D"/>
    <w:rsid w:val="00EE0D27"/>
    <w:rsid w:val="00EE0F7D"/>
    <w:rsid w:val="00EE10B8"/>
    <w:rsid w:val="00EE126F"/>
    <w:rsid w:val="00EE12B1"/>
    <w:rsid w:val="00EE12EC"/>
    <w:rsid w:val="00EE155D"/>
    <w:rsid w:val="00EE15A9"/>
    <w:rsid w:val="00EE162D"/>
    <w:rsid w:val="00EE1937"/>
    <w:rsid w:val="00EE1AF0"/>
    <w:rsid w:val="00EE1B7C"/>
    <w:rsid w:val="00EE1C13"/>
    <w:rsid w:val="00EE1D8F"/>
    <w:rsid w:val="00EE1E54"/>
    <w:rsid w:val="00EE1F25"/>
    <w:rsid w:val="00EE2032"/>
    <w:rsid w:val="00EE20C9"/>
    <w:rsid w:val="00EE2253"/>
    <w:rsid w:val="00EE243C"/>
    <w:rsid w:val="00EE254D"/>
    <w:rsid w:val="00EE27E5"/>
    <w:rsid w:val="00EE2922"/>
    <w:rsid w:val="00EE2ABC"/>
    <w:rsid w:val="00EE2E04"/>
    <w:rsid w:val="00EE2EC5"/>
    <w:rsid w:val="00EE318A"/>
    <w:rsid w:val="00EE325A"/>
    <w:rsid w:val="00EE3ECD"/>
    <w:rsid w:val="00EE3FB0"/>
    <w:rsid w:val="00EE400E"/>
    <w:rsid w:val="00EE414E"/>
    <w:rsid w:val="00EE4167"/>
    <w:rsid w:val="00EE43B7"/>
    <w:rsid w:val="00EE44DB"/>
    <w:rsid w:val="00EE45D9"/>
    <w:rsid w:val="00EE4A68"/>
    <w:rsid w:val="00EE4C04"/>
    <w:rsid w:val="00EE4C65"/>
    <w:rsid w:val="00EE4D94"/>
    <w:rsid w:val="00EE50CA"/>
    <w:rsid w:val="00EE56A3"/>
    <w:rsid w:val="00EE5753"/>
    <w:rsid w:val="00EE5849"/>
    <w:rsid w:val="00EE5928"/>
    <w:rsid w:val="00EE5D7F"/>
    <w:rsid w:val="00EE5E42"/>
    <w:rsid w:val="00EE5FFF"/>
    <w:rsid w:val="00EE60DD"/>
    <w:rsid w:val="00EE612E"/>
    <w:rsid w:val="00EE6749"/>
    <w:rsid w:val="00EE6801"/>
    <w:rsid w:val="00EE6EBE"/>
    <w:rsid w:val="00EE713D"/>
    <w:rsid w:val="00EE713E"/>
    <w:rsid w:val="00EE71B2"/>
    <w:rsid w:val="00EE71F6"/>
    <w:rsid w:val="00EE7355"/>
    <w:rsid w:val="00EE7806"/>
    <w:rsid w:val="00EE7FD8"/>
    <w:rsid w:val="00EF0030"/>
    <w:rsid w:val="00EF039D"/>
    <w:rsid w:val="00EF04F9"/>
    <w:rsid w:val="00EF097B"/>
    <w:rsid w:val="00EF0AD9"/>
    <w:rsid w:val="00EF0C33"/>
    <w:rsid w:val="00EF0DFF"/>
    <w:rsid w:val="00EF1917"/>
    <w:rsid w:val="00EF1E1D"/>
    <w:rsid w:val="00EF23FC"/>
    <w:rsid w:val="00EF2401"/>
    <w:rsid w:val="00EF2437"/>
    <w:rsid w:val="00EF2561"/>
    <w:rsid w:val="00EF2699"/>
    <w:rsid w:val="00EF2D2A"/>
    <w:rsid w:val="00EF2F31"/>
    <w:rsid w:val="00EF3632"/>
    <w:rsid w:val="00EF37AB"/>
    <w:rsid w:val="00EF39A7"/>
    <w:rsid w:val="00EF3A18"/>
    <w:rsid w:val="00EF3BBC"/>
    <w:rsid w:val="00EF3E5E"/>
    <w:rsid w:val="00EF4053"/>
    <w:rsid w:val="00EF45C7"/>
    <w:rsid w:val="00EF48DB"/>
    <w:rsid w:val="00EF4906"/>
    <w:rsid w:val="00EF4AED"/>
    <w:rsid w:val="00EF4B1D"/>
    <w:rsid w:val="00EF4E3C"/>
    <w:rsid w:val="00EF4EC6"/>
    <w:rsid w:val="00EF4F3A"/>
    <w:rsid w:val="00EF5961"/>
    <w:rsid w:val="00EF5B7A"/>
    <w:rsid w:val="00EF5D67"/>
    <w:rsid w:val="00EF5F9D"/>
    <w:rsid w:val="00EF636F"/>
    <w:rsid w:val="00EF6376"/>
    <w:rsid w:val="00EF67FE"/>
    <w:rsid w:val="00EF6DB6"/>
    <w:rsid w:val="00EF6EC5"/>
    <w:rsid w:val="00EF7018"/>
    <w:rsid w:val="00EF7443"/>
    <w:rsid w:val="00EF7841"/>
    <w:rsid w:val="00EF7978"/>
    <w:rsid w:val="00EF7B40"/>
    <w:rsid w:val="00EF7C00"/>
    <w:rsid w:val="00EF7C2C"/>
    <w:rsid w:val="00EF7DD0"/>
    <w:rsid w:val="00EF7FEC"/>
    <w:rsid w:val="00EFC808"/>
    <w:rsid w:val="00F00367"/>
    <w:rsid w:val="00F00675"/>
    <w:rsid w:val="00F009A0"/>
    <w:rsid w:val="00F00BBD"/>
    <w:rsid w:val="00F00BFE"/>
    <w:rsid w:val="00F00EE5"/>
    <w:rsid w:val="00F00F3B"/>
    <w:rsid w:val="00F011FD"/>
    <w:rsid w:val="00F016D9"/>
    <w:rsid w:val="00F01774"/>
    <w:rsid w:val="00F01836"/>
    <w:rsid w:val="00F018AC"/>
    <w:rsid w:val="00F01E84"/>
    <w:rsid w:val="00F01F9D"/>
    <w:rsid w:val="00F021D1"/>
    <w:rsid w:val="00F02300"/>
    <w:rsid w:val="00F02408"/>
    <w:rsid w:val="00F0267B"/>
    <w:rsid w:val="00F0272D"/>
    <w:rsid w:val="00F02A94"/>
    <w:rsid w:val="00F02AC0"/>
    <w:rsid w:val="00F02C09"/>
    <w:rsid w:val="00F02D51"/>
    <w:rsid w:val="00F03199"/>
    <w:rsid w:val="00F032E2"/>
    <w:rsid w:val="00F0338B"/>
    <w:rsid w:val="00F033C0"/>
    <w:rsid w:val="00F03495"/>
    <w:rsid w:val="00F03538"/>
    <w:rsid w:val="00F03700"/>
    <w:rsid w:val="00F037DF"/>
    <w:rsid w:val="00F0399E"/>
    <w:rsid w:val="00F03C24"/>
    <w:rsid w:val="00F0408C"/>
    <w:rsid w:val="00F04269"/>
    <w:rsid w:val="00F042B6"/>
    <w:rsid w:val="00F0478F"/>
    <w:rsid w:val="00F04AE0"/>
    <w:rsid w:val="00F04D71"/>
    <w:rsid w:val="00F05617"/>
    <w:rsid w:val="00F05762"/>
    <w:rsid w:val="00F05DC4"/>
    <w:rsid w:val="00F06895"/>
    <w:rsid w:val="00F06A04"/>
    <w:rsid w:val="00F06B83"/>
    <w:rsid w:val="00F0769A"/>
    <w:rsid w:val="00F07821"/>
    <w:rsid w:val="00F07B85"/>
    <w:rsid w:val="00F07C23"/>
    <w:rsid w:val="00F07CAA"/>
    <w:rsid w:val="00F07CE2"/>
    <w:rsid w:val="00F07D63"/>
    <w:rsid w:val="00F1019F"/>
    <w:rsid w:val="00F1024C"/>
    <w:rsid w:val="00F1035C"/>
    <w:rsid w:val="00F108AB"/>
    <w:rsid w:val="00F10AEF"/>
    <w:rsid w:val="00F10D60"/>
    <w:rsid w:val="00F10E90"/>
    <w:rsid w:val="00F114B4"/>
    <w:rsid w:val="00F11874"/>
    <w:rsid w:val="00F119D0"/>
    <w:rsid w:val="00F11A9C"/>
    <w:rsid w:val="00F11EC1"/>
    <w:rsid w:val="00F11ECC"/>
    <w:rsid w:val="00F1230E"/>
    <w:rsid w:val="00F12435"/>
    <w:rsid w:val="00F127F8"/>
    <w:rsid w:val="00F133E0"/>
    <w:rsid w:val="00F13E86"/>
    <w:rsid w:val="00F13F88"/>
    <w:rsid w:val="00F1412B"/>
    <w:rsid w:val="00F1427D"/>
    <w:rsid w:val="00F1429C"/>
    <w:rsid w:val="00F146B3"/>
    <w:rsid w:val="00F147DC"/>
    <w:rsid w:val="00F14A2D"/>
    <w:rsid w:val="00F14B5E"/>
    <w:rsid w:val="00F14C1A"/>
    <w:rsid w:val="00F15509"/>
    <w:rsid w:val="00F158C0"/>
    <w:rsid w:val="00F15B97"/>
    <w:rsid w:val="00F15D02"/>
    <w:rsid w:val="00F160AB"/>
    <w:rsid w:val="00F16199"/>
    <w:rsid w:val="00F1627B"/>
    <w:rsid w:val="00F16366"/>
    <w:rsid w:val="00F16382"/>
    <w:rsid w:val="00F165E8"/>
    <w:rsid w:val="00F166E5"/>
    <w:rsid w:val="00F1674E"/>
    <w:rsid w:val="00F1678E"/>
    <w:rsid w:val="00F16A34"/>
    <w:rsid w:val="00F16BB0"/>
    <w:rsid w:val="00F16BD7"/>
    <w:rsid w:val="00F16C16"/>
    <w:rsid w:val="00F16C5F"/>
    <w:rsid w:val="00F16D62"/>
    <w:rsid w:val="00F170AD"/>
    <w:rsid w:val="00F17277"/>
    <w:rsid w:val="00F17310"/>
    <w:rsid w:val="00F17453"/>
    <w:rsid w:val="00F17869"/>
    <w:rsid w:val="00F17F47"/>
    <w:rsid w:val="00F20155"/>
    <w:rsid w:val="00F2065F"/>
    <w:rsid w:val="00F20BBA"/>
    <w:rsid w:val="00F21094"/>
    <w:rsid w:val="00F210A8"/>
    <w:rsid w:val="00F21214"/>
    <w:rsid w:val="00F213A5"/>
    <w:rsid w:val="00F21531"/>
    <w:rsid w:val="00F21539"/>
    <w:rsid w:val="00F21648"/>
    <w:rsid w:val="00F2194C"/>
    <w:rsid w:val="00F21A61"/>
    <w:rsid w:val="00F21CDB"/>
    <w:rsid w:val="00F21D5E"/>
    <w:rsid w:val="00F21EC6"/>
    <w:rsid w:val="00F21F94"/>
    <w:rsid w:val="00F22688"/>
    <w:rsid w:val="00F2274A"/>
    <w:rsid w:val="00F227C2"/>
    <w:rsid w:val="00F22886"/>
    <w:rsid w:val="00F229F8"/>
    <w:rsid w:val="00F22A34"/>
    <w:rsid w:val="00F22A5E"/>
    <w:rsid w:val="00F22E73"/>
    <w:rsid w:val="00F23160"/>
    <w:rsid w:val="00F23599"/>
    <w:rsid w:val="00F235BF"/>
    <w:rsid w:val="00F23750"/>
    <w:rsid w:val="00F23A06"/>
    <w:rsid w:val="00F23A38"/>
    <w:rsid w:val="00F23A4A"/>
    <w:rsid w:val="00F23B19"/>
    <w:rsid w:val="00F23D3E"/>
    <w:rsid w:val="00F23DFA"/>
    <w:rsid w:val="00F240D8"/>
    <w:rsid w:val="00F24191"/>
    <w:rsid w:val="00F2426B"/>
    <w:rsid w:val="00F246E5"/>
    <w:rsid w:val="00F2473C"/>
    <w:rsid w:val="00F249BB"/>
    <w:rsid w:val="00F24F3B"/>
    <w:rsid w:val="00F25197"/>
    <w:rsid w:val="00F255AD"/>
    <w:rsid w:val="00F2593B"/>
    <w:rsid w:val="00F25948"/>
    <w:rsid w:val="00F25A75"/>
    <w:rsid w:val="00F26347"/>
    <w:rsid w:val="00F26461"/>
    <w:rsid w:val="00F2652F"/>
    <w:rsid w:val="00F26564"/>
    <w:rsid w:val="00F26929"/>
    <w:rsid w:val="00F26A5F"/>
    <w:rsid w:val="00F26B90"/>
    <w:rsid w:val="00F26C16"/>
    <w:rsid w:val="00F26CBD"/>
    <w:rsid w:val="00F26CD8"/>
    <w:rsid w:val="00F270C3"/>
    <w:rsid w:val="00F27601"/>
    <w:rsid w:val="00F27720"/>
    <w:rsid w:val="00F2772C"/>
    <w:rsid w:val="00F277C1"/>
    <w:rsid w:val="00F27B65"/>
    <w:rsid w:val="00F27D28"/>
    <w:rsid w:val="00F27E65"/>
    <w:rsid w:val="00F30116"/>
    <w:rsid w:val="00F30246"/>
    <w:rsid w:val="00F30321"/>
    <w:rsid w:val="00F3047E"/>
    <w:rsid w:val="00F304F0"/>
    <w:rsid w:val="00F30684"/>
    <w:rsid w:val="00F30855"/>
    <w:rsid w:val="00F30EF8"/>
    <w:rsid w:val="00F30FD5"/>
    <w:rsid w:val="00F310CC"/>
    <w:rsid w:val="00F31150"/>
    <w:rsid w:val="00F31342"/>
    <w:rsid w:val="00F3143F"/>
    <w:rsid w:val="00F31928"/>
    <w:rsid w:val="00F31A53"/>
    <w:rsid w:val="00F31A9B"/>
    <w:rsid w:val="00F31E67"/>
    <w:rsid w:val="00F31F88"/>
    <w:rsid w:val="00F32051"/>
    <w:rsid w:val="00F3281C"/>
    <w:rsid w:val="00F32ED5"/>
    <w:rsid w:val="00F33102"/>
    <w:rsid w:val="00F33329"/>
    <w:rsid w:val="00F33453"/>
    <w:rsid w:val="00F3358A"/>
    <w:rsid w:val="00F33696"/>
    <w:rsid w:val="00F33A20"/>
    <w:rsid w:val="00F3404A"/>
    <w:rsid w:val="00F341F3"/>
    <w:rsid w:val="00F344FF"/>
    <w:rsid w:val="00F34612"/>
    <w:rsid w:val="00F3476A"/>
    <w:rsid w:val="00F34A6F"/>
    <w:rsid w:val="00F34AD8"/>
    <w:rsid w:val="00F34CC6"/>
    <w:rsid w:val="00F34D1C"/>
    <w:rsid w:val="00F34D8C"/>
    <w:rsid w:val="00F34DBF"/>
    <w:rsid w:val="00F34E24"/>
    <w:rsid w:val="00F34FFC"/>
    <w:rsid w:val="00F3524A"/>
    <w:rsid w:val="00F3525C"/>
    <w:rsid w:val="00F353B1"/>
    <w:rsid w:val="00F35540"/>
    <w:rsid w:val="00F355EC"/>
    <w:rsid w:val="00F35653"/>
    <w:rsid w:val="00F356D7"/>
    <w:rsid w:val="00F35B85"/>
    <w:rsid w:val="00F35C0A"/>
    <w:rsid w:val="00F35F8C"/>
    <w:rsid w:val="00F3612C"/>
    <w:rsid w:val="00F369A7"/>
    <w:rsid w:val="00F370C7"/>
    <w:rsid w:val="00F373B1"/>
    <w:rsid w:val="00F37647"/>
    <w:rsid w:val="00F37694"/>
    <w:rsid w:val="00F37A53"/>
    <w:rsid w:val="00F37B65"/>
    <w:rsid w:val="00F40028"/>
    <w:rsid w:val="00F4020F"/>
    <w:rsid w:val="00F40A66"/>
    <w:rsid w:val="00F40F77"/>
    <w:rsid w:val="00F41023"/>
    <w:rsid w:val="00F41345"/>
    <w:rsid w:val="00F41672"/>
    <w:rsid w:val="00F41714"/>
    <w:rsid w:val="00F41765"/>
    <w:rsid w:val="00F41CE4"/>
    <w:rsid w:val="00F4202A"/>
    <w:rsid w:val="00F423FA"/>
    <w:rsid w:val="00F427BF"/>
    <w:rsid w:val="00F42A9B"/>
    <w:rsid w:val="00F42D26"/>
    <w:rsid w:val="00F42E0B"/>
    <w:rsid w:val="00F42E81"/>
    <w:rsid w:val="00F42FAE"/>
    <w:rsid w:val="00F4305B"/>
    <w:rsid w:val="00F431F2"/>
    <w:rsid w:val="00F432E5"/>
    <w:rsid w:val="00F43A59"/>
    <w:rsid w:val="00F43A5E"/>
    <w:rsid w:val="00F43B11"/>
    <w:rsid w:val="00F43B16"/>
    <w:rsid w:val="00F43C91"/>
    <w:rsid w:val="00F43F9A"/>
    <w:rsid w:val="00F440A0"/>
    <w:rsid w:val="00F4416F"/>
    <w:rsid w:val="00F44329"/>
    <w:rsid w:val="00F443CE"/>
    <w:rsid w:val="00F44530"/>
    <w:rsid w:val="00F44BA9"/>
    <w:rsid w:val="00F45444"/>
    <w:rsid w:val="00F457CA"/>
    <w:rsid w:val="00F45853"/>
    <w:rsid w:val="00F45937"/>
    <w:rsid w:val="00F45969"/>
    <w:rsid w:val="00F45A6B"/>
    <w:rsid w:val="00F45FF5"/>
    <w:rsid w:val="00F46011"/>
    <w:rsid w:val="00F46041"/>
    <w:rsid w:val="00F4604A"/>
    <w:rsid w:val="00F460FA"/>
    <w:rsid w:val="00F461A5"/>
    <w:rsid w:val="00F462D0"/>
    <w:rsid w:val="00F4632A"/>
    <w:rsid w:val="00F463CC"/>
    <w:rsid w:val="00F464EB"/>
    <w:rsid w:val="00F46609"/>
    <w:rsid w:val="00F46873"/>
    <w:rsid w:val="00F468FC"/>
    <w:rsid w:val="00F46EBD"/>
    <w:rsid w:val="00F47528"/>
    <w:rsid w:val="00F47540"/>
    <w:rsid w:val="00F4755E"/>
    <w:rsid w:val="00F4765D"/>
    <w:rsid w:val="00F477B3"/>
    <w:rsid w:val="00F479E0"/>
    <w:rsid w:val="00F47A69"/>
    <w:rsid w:val="00F47AED"/>
    <w:rsid w:val="00F47B45"/>
    <w:rsid w:val="00F501ED"/>
    <w:rsid w:val="00F50249"/>
    <w:rsid w:val="00F502B3"/>
    <w:rsid w:val="00F50C21"/>
    <w:rsid w:val="00F50CC7"/>
    <w:rsid w:val="00F50F54"/>
    <w:rsid w:val="00F510EF"/>
    <w:rsid w:val="00F51199"/>
    <w:rsid w:val="00F518B4"/>
    <w:rsid w:val="00F51925"/>
    <w:rsid w:val="00F51988"/>
    <w:rsid w:val="00F51B99"/>
    <w:rsid w:val="00F51C60"/>
    <w:rsid w:val="00F51CCF"/>
    <w:rsid w:val="00F51E6F"/>
    <w:rsid w:val="00F5228C"/>
    <w:rsid w:val="00F5296B"/>
    <w:rsid w:val="00F529C0"/>
    <w:rsid w:val="00F52E57"/>
    <w:rsid w:val="00F52ED1"/>
    <w:rsid w:val="00F53561"/>
    <w:rsid w:val="00F53888"/>
    <w:rsid w:val="00F53C3C"/>
    <w:rsid w:val="00F53C43"/>
    <w:rsid w:val="00F54306"/>
    <w:rsid w:val="00F54326"/>
    <w:rsid w:val="00F5452E"/>
    <w:rsid w:val="00F5474C"/>
    <w:rsid w:val="00F54833"/>
    <w:rsid w:val="00F54B6F"/>
    <w:rsid w:val="00F550EF"/>
    <w:rsid w:val="00F55127"/>
    <w:rsid w:val="00F551D8"/>
    <w:rsid w:val="00F55A4D"/>
    <w:rsid w:val="00F55C2C"/>
    <w:rsid w:val="00F56060"/>
    <w:rsid w:val="00F5622B"/>
    <w:rsid w:val="00F562E5"/>
    <w:rsid w:val="00F56319"/>
    <w:rsid w:val="00F564F8"/>
    <w:rsid w:val="00F566C3"/>
    <w:rsid w:val="00F56927"/>
    <w:rsid w:val="00F56BA9"/>
    <w:rsid w:val="00F56D69"/>
    <w:rsid w:val="00F56F20"/>
    <w:rsid w:val="00F56FCF"/>
    <w:rsid w:val="00F5799A"/>
    <w:rsid w:val="00F579C9"/>
    <w:rsid w:val="00F57B3B"/>
    <w:rsid w:val="00F57C11"/>
    <w:rsid w:val="00F57D69"/>
    <w:rsid w:val="00F57FFB"/>
    <w:rsid w:val="00F60176"/>
    <w:rsid w:val="00F60B41"/>
    <w:rsid w:val="00F60E03"/>
    <w:rsid w:val="00F60E0D"/>
    <w:rsid w:val="00F60E95"/>
    <w:rsid w:val="00F60EEC"/>
    <w:rsid w:val="00F611B6"/>
    <w:rsid w:val="00F6150E"/>
    <w:rsid w:val="00F615FF"/>
    <w:rsid w:val="00F6172B"/>
    <w:rsid w:val="00F618D6"/>
    <w:rsid w:val="00F619F0"/>
    <w:rsid w:val="00F61A56"/>
    <w:rsid w:val="00F61C67"/>
    <w:rsid w:val="00F61C87"/>
    <w:rsid w:val="00F61E6E"/>
    <w:rsid w:val="00F61F72"/>
    <w:rsid w:val="00F6216B"/>
    <w:rsid w:val="00F6229B"/>
    <w:rsid w:val="00F624A3"/>
    <w:rsid w:val="00F626D6"/>
    <w:rsid w:val="00F62BD6"/>
    <w:rsid w:val="00F62C3A"/>
    <w:rsid w:val="00F62CA2"/>
    <w:rsid w:val="00F62D1E"/>
    <w:rsid w:val="00F62D78"/>
    <w:rsid w:val="00F62E38"/>
    <w:rsid w:val="00F62F7A"/>
    <w:rsid w:val="00F6307D"/>
    <w:rsid w:val="00F63294"/>
    <w:rsid w:val="00F637CB"/>
    <w:rsid w:val="00F63984"/>
    <w:rsid w:val="00F63B50"/>
    <w:rsid w:val="00F63BF2"/>
    <w:rsid w:val="00F63D43"/>
    <w:rsid w:val="00F64013"/>
    <w:rsid w:val="00F6402B"/>
    <w:rsid w:val="00F6423D"/>
    <w:rsid w:val="00F64390"/>
    <w:rsid w:val="00F64487"/>
    <w:rsid w:val="00F646A0"/>
    <w:rsid w:val="00F647E2"/>
    <w:rsid w:val="00F64C64"/>
    <w:rsid w:val="00F64DC2"/>
    <w:rsid w:val="00F650BA"/>
    <w:rsid w:val="00F65200"/>
    <w:rsid w:val="00F6550B"/>
    <w:rsid w:val="00F65661"/>
    <w:rsid w:val="00F65814"/>
    <w:rsid w:val="00F65D4E"/>
    <w:rsid w:val="00F65D59"/>
    <w:rsid w:val="00F65F26"/>
    <w:rsid w:val="00F66667"/>
    <w:rsid w:val="00F66705"/>
    <w:rsid w:val="00F667E6"/>
    <w:rsid w:val="00F668C5"/>
    <w:rsid w:val="00F66A49"/>
    <w:rsid w:val="00F66E6B"/>
    <w:rsid w:val="00F66F75"/>
    <w:rsid w:val="00F67573"/>
    <w:rsid w:val="00F675AC"/>
    <w:rsid w:val="00F6764F"/>
    <w:rsid w:val="00F676B1"/>
    <w:rsid w:val="00F677B0"/>
    <w:rsid w:val="00F678BB"/>
    <w:rsid w:val="00F67BEE"/>
    <w:rsid w:val="00F700AD"/>
    <w:rsid w:val="00F704F8"/>
    <w:rsid w:val="00F705D0"/>
    <w:rsid w:val="00F705EE"/>
    <w:rsid w:val="00F70AC1"/>
    <w:rsid w:val="00F70D34"/>
    <w:rsid w:val="00F70EF3"/>
    <w:rsid w:val="00F71274"/>
    <w:rsid w:val="00F7175B"/>
    <w:rsid w:val="00F718C2"/>
    <w:rsid w:val="00F71AA3"/>
    <w:rsid w:val="00F71CF0"/>
    <w:rsid w:val="00F71D5A"/>
    <w:rsid w:val="00F721A9"/>
    <w:rsid w:val="00F72286"/>
    <w:rsid w:val="00F72461"/>
    <w:rsid w:val="00F72504"/>
    <w:rsid w:val="00F7287E"/>
    <w:rsid w:val="00F72C76"/>
    <w:rsid w:val="00F72CFD"/>
    <w:rsid w:val="00F72FF6"/>
    <w:rsid w:val="00F7332A"/>
    <w:rsid w:val="00F73539"/>
    <w:rsid w:val="00F737B8"/>
    <w:rsid w:val="00F73940"/>
    <w:rsid w:val="00F73A4A"/>
    <w:rsid w:val="00F73D5F"/>
    <w:rsid w:val="00F73F3D"/>
    <w:rsid w:val="00F7440A"/>
    <w:rsid w:val="00F7483F"/>
    <w:rsid w:val="00F7490F"/>
    <w:rsid w:val="00F749FF"/>
    <w:rsid w:val="00F74A3B"/>
    <w:rsid w:val="00F750A1"/>
    <w:rsid w:val="00F75106"/>
    <w:rsid w:val="00F7565F"/>
    <w:rsid w:val="00F75C3B"/>
    <w:rsid w:val="00F75E02"/>
    <w:rsid w:val="00F75E42"/>
    <w:rsid w:val="00F761A4"/>
    <w:rsid w:val="00F7671A"/>
    <w:rsid w:val="00F768EB"/>
    <w:rsid w:val="00F76948"/>
    <w:rsid w:val="00F76978"/>
    <w:rsid w:val="00F76C66"/>
    <w:rsid w:val="00F771DE"/>
    <w:rsid w:val="00F77543"/>
    <w:rsid w:val="00F77743"/>
    <w:rsid w:val="00F77C00"/>
    <w:rsid w:val="00F77F89"/>
    <w:rsid w:val="00F80170"/>
    <w:rsid w:val="00F80184"/>
    <w:rsid w:val="00F801DD"/>
    <w:rsid w:val="00F801FE"/>
    <w:rsid w:val="00F80514"/>
    <w:rsid w:val="00F8055D"/>
    <w:rsid w:val="00F80712"/>
    <w:rsid w:val="00F80DE7"/>
    <w:rsid w:val="00F80E49"/>
    <w:rsid w:val="00F81051"/>
    <w:rsid w:val="00F810A9"/>
    <w:rsid w:val="00F81200"/>
    <w:rsid w:val="00F81820"/>
    <w:rsid w:val="00F81CEC"/>
    <w:rsid w:val="00F82103"/>
    <w:rsid w:val="00F8223F"/>
    <w:rsid w:val="00F822C1"/>
    <w:rsid w:val="00F82633"/>
    <w:rsid w:val="00F82B8C"/>
    <w:rsid w:val="00F82F23"/>
    <w:rsid w:val="00F830B6"/>
    <w:rsid w:val="00F83161"/>
    <w:rsid w:val="00F8326E"/>
    <w:rsid w:val="00F83476"/>
    <w:rsid w:val="00F834A1"/>
    <w:rsid w:val="00F834C0"/>
    <w:rsid w:val="00F837BE"/>
    <w:rsid w:val="00F83891"/>
    <w:rsid w:val="00F839D7"/>
    <w:rsid w:val="00F83BC0"/>
    <w:rsid w:val="00F83BDC"/>
    <w:rsid w:val="00F83CB3"/>
    <w:rsid w:val="00F83FC0"/>
    <w:rsid w:val="00F8408C"/>
    <w:rsid w:val="00F842BB"/>
    <w:rsid w:val="00F842D9"/>
    <w:rsid w:val="00F843C8"/>
    <w:rsid w:val="00F84673"/>
    <w:rsid w:val="00F846B2"/>
    <w:rsid w:val="00F84DE4"/>
    <w:rsid w:val="00F84ECC"/>
    <w:rsid w:val="00F85349"/>
    <w:rsid w:val="00F853C6"/>
    <w:rsid w:val="00F85412"/>
    <w:rsid w:val="00F854F8"/>
    <w:rsid w:val="00F85880"/>
    <w:rsid w:val="00F85BBE"/>
    <w:rsid w:val="00F85D20"/>
    <w:rsid w:val="00F860CD"/>
    <w:rsid w:val="00F86124"/>
    <w:rsid w:val="00F8628C"/>
    <w:rsid w:val="00F863A9"/>
    <w:rsid w:val="00F865FD"/>
    <w:rsid w:val="00F86C3A"/>
    <w:rsid w:val="00F86C9C"/>
    <w:rsid w:val="00F86D07"/>
    <w:rsid w:val="00F870AA"/>
    <w:rsid w:val="00F87341"/>
    <w:rsid w:val="00F878BE"/>
    <w:rsid w:val="00F87A02"/>
    <w:rsid w:val="00F87A9F"/>
    <w:rsid w:val="00F87BA7"/>
    <w:rsid w:val="00F87CC9"/>
    <w:rsid w:val="00F90042"/>
    <w:rsid w:val="00F900EB"/>
    <w:rsid w:val="00F901A2"/>
    <w:rsid w:val="00F90D28"/>
    <w:rsid w:val="00F90DDE"/>
    <w:rsid w:val="00F90DFC"/>
    <w:rsid w:val="00F910D0"/>
    <w:rsid w:val="00F912F5"/>
    <w:rsid w:val="00F916A6"/>
    <w:rsid w:val="00F91A03"/>
    <w:rsid w:val="00F91BF5"/>
    <w:rsid w:val="00F91DF9"/>
    <w:rsid w:val="00F9200C"/>
    <w:rsid w:val="00F92412"/>
    <w:rsid w:val="00F92465"/>
    <w:rsid w:val="00F9269E"/>
    <w:rsid w:val="00F9274B"/>
    <w:rsid w:val="00F927ED"/>
    <w:rsid w:val="00F929B3"/>
    <w:rsid w:val="00F92E24"/>
    <w:rsid w:val="00F92FAC"/>
    <w:rsid w:val="00F93083"/>
    <w:rsid w:val="00F930E3"/>
    <w:rsid w:val="00F931FB"/>
    <w:rsid w:val="00F93833"/>
    <w:rsid w:val="00F93AB9"/>
    <w:rsid w:val="00F93D4B"/>
    <w:rsid w:val="00F93D9A"/>
    <w:rsid w:val="00F93F76"/>
    <w:rsid w:val="00F940D6"/>
    <w:rsid w:val="00F948CC"/>
    <w:rsid w:val="00F948D9"/>
    <w:rsid w:val="00F94A07"/>
    <w:rsid w:val="00F94A8C"/>
    <w:rsid w:val="00F94C0C"/>
    <w:rsid w:val="00F94C64"/>
    <w:rsid w:val="00F94CAC"/>
    <w:rsid w:val="00F95073"/>
    <w:rsid w:val="00F952DE"/>
    <w:rsid w:val="00F954E0"/>
    <w:rsid w:val="00F9573C"/>
    <w:rsid w:val="00F957F3"/>
    <w:rsid w:val="00F95D46"/>
    <w:rsid w:val="00F963B6"/>
    <w:rsid w:val="00F963C0"/>
    <w:rsid w:val="00F963DB"/>
    <w:rsid w:val="00F963E4"/>
    <w:rsid w:val="00F9651E"/>
    <w:rsid w:val="00F965C6"/>
    <w:rsid w:val="00F965DE"/>
    <w:rsid w:val="00F968E4"/>
    <w:rsid w:val="00F969FD"/>
    <w:rsid w:val="00F96AEB"/>
    <w:rsid w:val="00F96C9F"/>
    <w:rsid w:val="00F96F68"/>
    <w:rsid w:val="00F96FE8"/>
    <w:rsid w:val="00F975D1"/>
    <w:rsid w:val="00F978A0"/>
    <w:rsid w:val="00F97A95"/>
    <w:rsid w:val="00F97AEB"/>
    <w:rsid w:val="00F97B2D"/>
    <w:rsid w:val="00F97DC3"/>
    <w:rsid w:val="00FA0297"/>
    <w:rsid w:val="00FA0433"/>
    <w:rsid w:val="00FA0ABE"/>
    <w:rsid w:val="00FA0C0A"/>
    <w:rsid w:val="00FA11F1"/>
    <w:rsid w:val="00FA1835"/>
    <w:rsid w:val="00FA185C"/>
    <w:rsid w:val="00FA1896"/>
    <w:rsid w:val="00FA2251"/>
    <w:rsid w:val="00FA2318"/>
    <w:rsid w:val="00FA23E7"/>
    <w:rsid w:val="00FA29C8"/>
    <w:rsid w:val="00FA2BB3"/>
    <w:rsid w:val="00FA2FDA"/>
    <w:rsid w:val="00FA2FE0"/>
    <w:rsid w:val="00FA3378"/>
    <w:rsid w:val="00FA348E"/>
    <w:rsid w:val="00FA386E"/>
    <w:rsid w:val="00FA3A52"/>
    <w:rsid w:val="00FA3D15"/>
    <w:rsid w:val="00FA4B53"/>
    <w:rsid w:val="00FA5059"/>
    <w:rsid w:val="00FA52D7"/>
    <w:rsid w:val="00FA52FF"/>
    <w:rsid w:val="00FA551F"/>
    <w:rsid w:val="00FA5EF1"/>
    <w:rsid w:val="00FA61FF"/>
    <w:rsid w:val="00FA63B5"/>
    <w:rsid w:val="00FA63F4"/>
    <w:rsid w:val="00FA6664"/>
    <w:rsid w:val="00FA6A6D"/>
    <w:rsid w:val="00FA6AEC"/>
    <w:rsid w:val="00FA6DB7"/>
    <w:rsid w:val="00FA6DFD"/>
    <w:rsid w:val="00FA6ECD"/>
    <w:rsid w:val="00FA7091"/>
    <w:rsid w:val="00FA71DB"/>
    <w:rsid w:val="00FA7222"/>
    <w:rsid w:val="00FA7680"/>
    <w:rsid w:val="00FA7935"/>
    <w:rsid w:val="00FA7C4A"/>
    <w:rsid w:val="00FA7F09"/>
    <w:rsid w:val="00FB0047"/>
    <w:rsid w:val="00FB008A"/>
    <w:rsid w:val="00FB052B"/>
    <w:rsid w:val="00FB0543"/>
    <w:rsid w:val="00FB054A"/>
    <w:rsid w:val="00FB05C3"/>
    <w:rsid w:val="00FB0701"/>
    <w:rsid w:val="00FB089B"/>
    <w:rsid w:val="00FB0B48"/>
    <w:rsid w:val="00FB0B5A"/>
    <w:rsid w:val="00FB0C41"/>
    <w:rsid w:val="00FB0C53"/>
    <w:rsid w:val="00FB0D63"/>
    <w:rsid w:val="00FB0DF3"/>
    <w:rsid w:val="00FB1218"/>
    <w:rsid w:val="00FB163B"/>
    <w:rsid w:val="00FB17A0"/>
    <w:rsid w:val="00FB17BC"/>
    <w:rsid w:val="00FB1823"/>
    <w:rsid w:val="00FB2015"/>
    <w:rsid w:val="00FB205D"/>
    <w:rsid w:val="00FB2095"/>
    <w:rsid w:val="00FB21FD"/>
    <w:rsid w:val="00FB2275"/>
    <w:rsid w:val="00FB25B3"/>
    <w:rsid w:val="00FB2985"/>
    <w:rsid w:val="00FB2B6E"/>
    <w:rsid w:val="00FB2C60"/>
    <w:rsid w:val="00FB2C89"/>
    <w:rsid w:val="00FB2D66"/>
    <w:rsid w:val="00FB2E85"/>
    <w:rsid w:val="00FB30C0"/>
    <w:rsid w:val="00FB3489"/>
    <w:rsid w:val="00FB3538"/>
    <w:rsid w:val="00FB35B6"/>
    <w:rsid w:val="00FB381B"/>
    <w:rsid w:val="00FB3AA2"/>
    <w:rsid w:val="00FB3C80"/>
    <w:rsid w:val="00FB3CC8"/>
    <w:rsid w:val="00FB3DC2"/>
    <w:rsid w:val="00FB3E5B"/>
    <w:rsid w:val="00FB3EE3"/>
    <w:rsid w:val="00FB3F38"/>
    <w:rsid w:val="00FB3F87"/>
    <w:rsid w:val="00FB3F9D"/>
    <w:rsid w:val="00FB4055"/>
    <w:rsid w:val="00FB412F"/>
    <w:rsid w:val="00FB4215"/>
    <w:rsid w:val="00FB42F3"/>
    <w:rsid w:val="00FB469D"/>
    <w:rsid w:val="00FB474E"/>
    <w:rsid w:val="00FB4795"/>
    <w:rsid w:val="00FB4B41"/>
    <w:rsid w:val="00FB4C73"/>
    <w:rsid w:val="00FB50DC"/>
    <w:rsid w:val="00FB5159"/>
    <w:rsid w:val="00FB5301"/>
    <w:rsid w:val="00FB5308"/>
    <w:rsid w:val="00FB5744"/>
    <w:rsid w:val="00FB59A5"/>
    <w:rsid w:val="00FB5B45"/>
    <w:rsid w:val="00FB5DCC"/>
    <w:rsid w:val="00FB5F74"/>
    <w:rsid w:val="00FB616B"/>
    <w:rsid w:val="00FB63F7"/>
    <w:rsid w:val="00FB6417"/>
    <w:rsid w:val="00FB66A5"/>
    <w:rsid w:val="00FB6759"/>
    <w:rsid w:val="00FB68C1"/>
    <w:rsid w:val="00FB6962"/>
    <w:rsid w:val="00FB699F"/>
    <w:rsid w:val="00FB69E9"/>
    <w:rsid w:val="00FB6B04"/>
    <w:rsid w:val="00FB6C83"/>
    <w:rsid w:val="00FB705A"/>
    <w:rsid w:val="00FB70CE"/>
    <w:rsid w:val="00FB7269"/>
    <w:rsid w:val="00FB759B"/>
    <w:rsid w:val="00FB7991"/>
    <w:rsid w:val="00FB7A19"/>
    <w:rsid w:val="00FB7A7A"/>
    <w:rsid w:val="00FB7AC9"/>
    <w:rsid w:val="00FB7AE2"/>
    <w:rsid w:val="00FB7C66"/>
    <w:rsid w:val="00FB7D6B"/>
    <w:rsid w:val="00FB7F60"/>
    <w:rsid w:val="00FC023D"/>
    <w:rsid w:val="00FC04D0"/>
    <w:rsid w:val="00FC04DA"/>
    <w:rsid w:val="00FC0681"/>
    <w:rsid w:val="00FC06DD"/>
    <w:rsid w:val="00FC06FF"/>
    <w:rsid w:val="00FC08AA"/>
    <w:rsid w:val="00FC0AA1"/>
    <w:rsid w:val="00FC0B59"/>
    <w:rsid w:val="00FC0F1E"/>
    <w:rsid w:val="00FC1077"/>
    <w:rsid w:val="00FC135B"/>
    <w:rsid w:val="00FC1368"/>
    <w:rsid w:val="00FC13C1"/>
    <w:rsid w:val="00FC1596"/>
    <w:rsid w:val="00FC1AC0"/>
    <w:rsid w:val="00FC1DF6"/>
    <w:rsid w:val="00FC266A"/>
    <w:rsid w:val="00FC26A5"/>
    <w:rsid w:val="00FC2780"/>
    <w:rsid w:val="00FC29DD"/>
    <w:rsid w:val="00FC2AC9"/>
    <w:rsid w:val="00FC2B25"/>
    <w:rsid w:val="00FC2E86"/>
    <w:rsid w:val="00FC301C"/>
    <w:rsid w:val="00FC3042"/>
    <w:rsid w:val="00FC3279"/>
    <w:rsid w:val="00FC35D9"/>
    <w:rsid w:val="00FC37E8"/>
    <w:rsid w:val="00FC38D4"/>
    <w:rsid w:val="00FC3A81"/>
    <w:rsid w:val="00FC3BAC"/>
    <w:rsid w:val="00FC3CE8"/>
    <w:rsid w:val="00FC3E71"/>
    <w:rsid w:val="00FC4E3F"/>
    <w:rsid w:val="00FC4E45"/>
    <w:rsid w:val="00FC4F81"/>
    <w:rsid w:val="00FC50DF"/>
    <w:rsid w:val="00FC54C3"/>
    <w:rsid w:val="00FC5785"/>
    <w:rsid w:val="00FC5B26"/>
    <w:rsid w:val="00FC5BF3"/>
    <w:rsid w:val="00FC620C"/>
    <w:rsid w:val="00FC622E"/>
    <w:rsid w:val="00FC625A"/>
    <w:rsid w:val="00FC6578"/>
    <w:rsid w:val="00FC6B76"/>
    <w:rsid w:val="00FC6C18"/>
    <w:rsid w:val="00FC6F35"/>
    <w:rsid w:val="00FC6FC8"/>
    <w:rsid w:val="00FC71BF"/>
    <w:rsid w:val="00FC745E"/>
    <w:rsid w:val="00FC77CF"/>
    <w:rsid w:val="00FC7B9A"/>
    <w:rsid w:val="00FC7E0B"/>
    <w:rsid w:val="00FD020A"/>
    <w:rsid w:val="00FD0688"/>
    <w:rsid w:val="00FD069D"/>
    <w:rsid w:val="00FD0792"/>
    <w:rsid w:val="00FD09B9"/>
    <w:rsid w:val="00FD0AE9"/>
    <w:rsid w:val="00FD0BDF"/>
    <w:rsid w:val="00FD1078"/>
    <w:rsid w:val="00FD13BC"/>
    <w:rsid w:val="00FD143C"/>
    <w:rsid w:val="00FD14F3"/>
    <w:rsid w:val="00FD17CA"/>
    <w:rsid w:val="00FD18DD"/>
    <w:rsid w:val="00FD1F49"/>
    <w:rsid w:val="00FD200D"/>
    <w:rsid w:val="00FD22EB"/>
    <w:rsid w:val="00FD230A"/>
    <w:rsid w:val="00FD250D"/>
    <w:rsid w:val="00FD255C"/>
    <w:rsid w:val="00FD28FC"/>
    <w:rsid w:val="00FD2931"/>
    <w:rsid w:val="00FD2968"/>
    <w:rsid w:val="00FD2CDC"/>
    <w:rsid w:val="00FD3048"/>
    <w:rsid w:val="00FD3075"/>
    <w:rsid w:val="00FD3201"/>
    <w:rsid w:val="00FD34D6"/>
    <w:rsid w:val="00FD34DB"/>
    <w:rsid w:val="00FD3672"/>
    <w:rsid w:val="00FD387A"/>
    <w:rsid w:val="00FD3A76"/>
    <w:rsid w:val="00FD3DB8"/>
    <w:rsid w:val="00FD3EAF"/>
    <w:rsid w:val="00FD49A3"/>
    <w:rsid w:val="00FD4A5D"/>
    <w:rsid w:val="00FD4C09"/>
    <w:rsid w:val="00FD4F0C"/>
    <w:rsid w:val="00FD54F0"/>
    <w:rsid w:val="00FD558F"/>
    <w:rsid w:val="00FD598C"/>
    <w:rsid w:val="00FD5B9A"/>
    <w:rsid w:val="00FD5BC6"/>
    <w:rsid w:val="00FD5D0A"/>
    <w:rsid w:val="00FD5FB0"/>
    <w:rsid w:val="00FD6317"/>
    <w:rsid w:val="00FD6666"/>
    <w:rsid w:val="00FD66B4"/>
    <w:rsid w:val="00FD6B14"/>
    <w:rsid w:val="00FD6DF7"/>
    <w:rsid w:val="00FD7036"/>
    <w:rsid w:val="00FD742E"/>
    <w:rsid w:val="00FD7AA1"/>
    <w:rsid w:val="00FD7D30"/>
    <w:rsid w:val="00FD7E3A"/>
    <w:rsid w:val="00FE003C"/>
    <w:rsid w:val="00FE0168"/>
    <w:rsid w:val="00FE020C"/>
    <w:rsid w:val="00FE059C"/>
    <w:rsid w:val="00FE0E95"/>
    <w:rsid w:val="00FE0E9A"/>
    <w:rsid w:val="00FE10D2"/>
    <w:rsid w:val="00FE1A7F"/>
    <w:rsid w:val="00FE1D44"/>
    <w:rsid w:val="00FE1D6E"/>
    <w:rsid w:val="00FE1E81"/>
    <w:rsid w:val="00FE2377"/>
    <w:rsid w:val="00FE2417"/>
    <w:rsid w:val="00FE2786"/>
    <w:rsid w:val="00FE29A2"/>
    <w:rsid w:val="00FE29B0"/>
    <w:rsid w:val="00FE2E93"/>
    <w:rsid w:val="00FE2F74"/>
    <w:rsid w:val="00FE3117"/>
    <w:rsid w:val="00FE31BB"/>
    <w:rsid w:val="00FE3226"/>
    <w:rsid w:val="00FE3BD1"/>
    <w:rsid w:val="00FE3C9B"/>
    <w:rsid w:val="00FE3CD5"/>
    <w:rsid w:val="00FE3D8B"/>
    <w:rsid w:val="00FE3E4B"/>
    <w:rsid w:val="00FE3FD4"/>
    <w:rsid w:val="00FE49D7"/>
    <w:rsid w:val="00FE4A36"/>
    <w:rsid w:val="00FE4A67"/>
    <w:rsid w:val="00FE4B3E"/>
    <w:rsid w:val="00FE4CDC"/>
    <w:rsid w:val="00FE4FC2"/>
    <w:rsid w:val="00FE5B2A"/>
    <w:rsid w:val="00FE5C85"/>
    <w:rsid w:val="00FE5C9E"/>
    <w:rsid w:val="00FE5E37"/>
    <w:rsid w:val="00FE5F43"/>
    <w:rsid w:val="00FE60C3"/>
    <w:rsid w:val="00FE61F6"/>
    <w:rsid w:val="00FE6585"/>
    <w:rsid w:val="00FE6760"/>
    <w:rsid w:val="00FE6C35"/>
    <w:rsid w:val="00FE6FC1"/>
    <w:rsid w:val="00FE707D"/>
    <w:rsid w:val="00FE70BD"/>
    <w:rsid w:val="00FE7114"/>
    <w:rsid w:val="00FE7123"/>
    <w:rsid w:val="00FE7272"/>
    <w:rsid w:val="00FE7747"/>
    <w:rsid w:val="00FE78EC"/>
    <w:rsid w:val="00FE7CAE"/>
    <w:rsid w:val="00FF002C"/>
    <w:rsid w:val="00FF045B"/>
    <w:rsid w:val="00FF0645"/>
    <w:rsid w:val="00FF0668"/>
    <w:rsid w:val="00FF06EB"/>
    <w:rsid w:val="00FF0B87"/>
    <w:rsid w:val="00FF0D7E"/>
    <w:rsid w:val="00FF0F20"/>
    <w:rsid w:val="00FF0FF8"/>
    <w:rsid w:val="00FF11D1"/>
    <w:rsid w:val="00FF1234"/>
    <w:rsid w:val="00FF1378"/>
    <w:rsid w:val="00FF1386"/>
    <w:rsid w:val="00FF184E"/>
    <w:rsid w:val="00FF1901"/>
    <w:rsid w:val="00FF1982"/>
    <w:rsid w:val="00FF2687"/>
    <w:rsid w:val="00FF26C2"/>
    <w:rsid w:val="00FF27F0"/>
    <w:rsid w:val="00FF299A"/>
    <w:rsid w:val="00FF2C71"/>
    <w:rsid w:val="00FF2F0B"/>
    <w:rsid w:val="00FF3047"/>
    <w:rsid w:val="00FF3369"/>
    <w:rsid w:val="00FF35B4"/>
    <w:rsid w:val="00FF4395"/>
    <w:rsid w:val="00FF47BE"/>
    <w:rsid w:val="00FF4815"/>
    <w:rsid w:val="00FF4A45"/>
    <w:rsid w:val="00FF4BD7"/>
    <w:rsid w:val="00FF5021"/>
    <w:rsid w:val="00FF54F4"/>
    <w:rsid w:val="00FF5688"/>
    <w:rsid w:val="00FF56EF"/>
    <w:rsid w:val="00FF5BB0"/>
    <w:rsid w:val="00FF6144"/>
    <w:rsid w:val="00FF61E2"/>
    <w:rsid w:val="00FF6207"/>
    <w:rsid w:val="00FF621F"/>
    <w:rsid w:val="00FF6235"/>
    <w:rsid w:val="00FF68DE"/>
    <w:rsid w:val="00FF6C14"/>
    <w:rsid w:val="00FF6C91"/>
    <w:rsid w:val="00FF6E65"/>
    <w:rsid w:val="00FF72FE"/>
    <w:rsid w:val="00FF7350"/>
    <w:rsid w:val="00FF7544"/>
    <w:rsid w:val="00FF757F"/>
    <w:rsid w:val="00FF7AA2"/>
    <w:rsid w:val="010A2E9D"/>
    <w:rsid w:val="01160AD4"/>
    <w:rsid w:val="011B57C0"/>
    <w:rsid w:val="0132D19D"/>
    <w:rsid w:val="01417101"/>
    <w:rsid w:val="01464959"/>
    <w:rsid w:val="015782C4"/>
    <w:rsid w:val="015D9ED5"/>
    <w:rsid w:val="016B5573"/>
    <w:rsid w:val="017434DC"/>
    <w:rsid w:val="01773DE9"/>
    <w:rsid w:val="018DCA56"/>
    <w:rsid w:val="019844BB"/>
    <w:rsid w:val="019D03C2"/>
    <w:rsid w:val="01B3EA1B"/>
    <w:rsid w:val="01CF956A"/>
    <w:rsid w:val="01DB5E41"/>
    <w:rsid w:val="01E6FEA0"/>
    <w:rsid w:val="023AAB04"/>
    <w:rsid w:val="025450F2"/>
    <w:rsid w:val="026254FD"/>
    <w:rsid w:val="0284CFF2"/>
    <w:rsid w:val="02B12D1D"/>
    <w:rsid w:val="02D419E4"/>
    <w:rsid w:val="02ECAE6B"/>
    <w:rsid w:val="02EFBF83"/>
    <w:rsid w:val="02F706F5"/>
    <w:rsid w:val="03353602"/>
    <w:rsid w:val="034DF17A"/>
    <w:rsid w:val="03779C15"/>
    <w:rsid w:val="037A3198"/>
    <w:rsid w:val="03820A23"/>
    <w:rsid w:val="03936154"/>
    <w:rsid w:val="03B63043"/>
    <w:rsid w:val="03D2E8E3"/>
    <w:rsid w:val="04314162"/>
    <w:rsid w:val="0439AE4B"/>
    <w:rsid w:val="044E5D59"/>
    <w:rsid w:val="044F3378"/>
    <w:rsid w:val="0451B28F"/>
    <w:rsid w:val="04535B51"/>
    <w:rsid w:val="04787617"/>
    <w:rsid w:val="0480E37A"/>
    <w:rsid w:val="04848C08"/>
    <w:rsid w:val="048EECFA"/>
    <w:rsid w:val="04A3E388"/>
    <w:rsid w:val="04B96EE2"/>
    <w:rsid w:val="04E42BE6"/>
    <w:rsid w:val="04F699F3"/>
    <w:rsid w:val="0540049F"/>
    <w:rsid w:val="0575F821"/>
    <w:rsid w:val="057AC47D"/>
    <w:rsid w:val="05979A20"/>
    <w:rsid w:val="059884EA"/>
    <w:rsid w:val="05B47CB7"/>
    <w:rsid w:val="05C4A0DB"/>
    <w:rsid w:val="05CD1FC0"/>
    <w:rsid w:val="05D37BF9"/>
    <w:rsid w:val="05E45E02"/>
    <w:rsid w:val="05F9CA0C"/>
    <w:rsid w:val="05FF09B9"/>
    <w:rsid w:val="06006F42"/>
    <w:rsid w:val="06218FBB"/>
    <w:rsid w:val="062FE97F"/>
    <w:rsid w:val="063496EB"/>
    <w:rsid w:val="064C53BE"/>
    <w:rsid w:val="066C1240"/>
    <w:rsid w:val="0676456F"/>
    <w:rsid w:val="068B9B71"/>
    <w:rsid w:val="069B525A"/>
    <w:rsid w:val="06A707CD"/>
    <w:rsid w:val="06B3CEF9"/>
    <w:rsid w:val="06BB15E9"/>
    <w:rsid w:val="06CDA30C"/>
    <w:rsid w:val="0700CA4A"/>
    <w:rsid w:val="07545A9C"/>
    <w:rsid w:val="0754D546"/>
    <w:rsid w:val="076CABAE"/>
    <w:rsid w:val="0772BA18"/>
    <w:rsid w:val="0784ED5E"/>
    <w:rsid w:val="07A0631B"/>
    <w:rsid w:val="07AC5BB4"/>
    <w:rsid w:val="07B81DC5"/>
    <w:rsid w:val="07CE7EAA"/>
    <w:rsid w:val="07D04801"/>
    <w:rsid w:val="07E1860C"/>
    <w:rsid w:val="07F5B559"/>
    <w:rsid w:val="0805B11E"/>
    <w:rsid w:val="080E0C57"/>
    <w:rsid w:val="08134E0C"/>
    <w:rsid w:val="08260DDF"/>
    <w:rsid w:val="084A817F"/>
    <w:rsid w:val="0864926E"/>
    <w:rsid w:val="087C7F33"/>
    <w:rsid w:val="088E73C7"/>
    <w:rsid w:val="08A1E1F9"/>
    <w:rsid w:val="08DE739F"/>
    <w:rsid w:val="08E8572F"/>
    <w:rsid w:val="08F23B19"/>
    <w:rsid w:val="08FA9D9B"/>
    <w:rsid w:val="09110B9A"/>
    <w:rsid w:val="091C658A"/>
    <w:rsid w:val="092D7BB1"/>
    <w:rsid w:val="092EE282"/>
    <w:rsid w:val="093E9AA9"/>
    <w:rsid w:val="09420AF7"/>
    <w:rsid w:val="09472168"/>
    <w:rsid w:val="09641484"/>
    <w:rsid w:val="0975157B"/>
    <w:rsid w:val="098C41C8"/>
    <w:rsid w:val="09ADF077"/>
    <w:rsid w:val="09BC1F6B"/>
    <w:rsid w:val="09D52711"/>
    <w:rsid w:val="0A0EC715"/>
    <w:rsid w:val="0A23FFC5"/>
    <w:rsid w:val="0A2A9EB9"/>
    <w:rsid w:val="0A2C5DDA"/>
    <w:rsid w:val="0A34308F"/>
    <w:rsid w:val="0A3AF6DF"/>
    <w:rsid w:val="0A3D6522"/>
    <w:rsid w:val="0A624EE1"/>
    <w:rsid w:val="0A822DB9"/>
    <w:rsid w:val="0A8D7D36"/>
    <w:rsid w:val="0A984C27"/>
    <w:rsid w:val="0AA4C1CE"/>
    <w:rsid w:val="0AB01328"/>
    <w:rsid w:val="0AC0DAFB"/>
    <w:rsid w:val="0AC34B88"/>
    <w:rsid w:val="0B14E018"/>
    <w:rsid w:val="0B1E89D0"/>
    <w:rsid w:val="0B69AD2F"/>
    <w:rsid w:val="0B8BA27A"/>
    <w:rsid w:val="0BD51E46"/>
    <w:rsid w:val="0BE0FE46"/>
    <w:rsid w:val="0BFA2C01"/>
    <w:rsid w:val="0BFEA1AB"/>
    <w:rsid w:val="0C1516B2"/>
    <w:rsid w:val="0C1E0FDE"/>
    <w:rsid w:val="0C2D991E"/>
    <w:rsid w:val="0C6BA1F5"/>
    <w:rsid w:val="0C989AB8"/>
    <w:rsid w:val="0CA8B84F"/>
    <w:rsid w:val="0CB1C36B"/>
    <w:rsid w:val="0CCA59F4"/>
    <w:rsid w:val="0CCA9C83"/>
    <w:rsid w:val="0CEB6DF3"/>
    <w:rsid w:val="0CF0ADA4"/>
    <w:rsid w:val="0CF49CF4"/>
    <w:rsid w:val="0CF6D6BD"/>
    <w:rsid w:val="0CFCE9D9"/>
    <w:rsid w:val="0D02AD5E"/>
    <w:rsid w:val="0D28EA81"/>
    <w:rsid w:val="0D55235F"/>
    <w:rsid w:val="0D8BE537"/>
    <w:rsid w:val="0DA65298"/>
    <w:rsid w:val="0DA84538"/>
    <w:rsid w:val="0DACF0AD"/>
    <w:rsid w:val="0DB8686F"/>
    <w:rsid w:val="0DCBAE75"/>
    <w:rsid w:val="0DD7A7F5"/>
    <w:rsid w:val="0E384D18"/>
    <w:rsid w:val="0E63CFC8"/>
    <w:rsid w:val="0E6AF5FB"/>
    <w:rsid w:val="0EC15437"/>
    <w:rsid w:val="0EDCF2F3"/>
    <w:rsid w:val="0EED067D"/>
    <w:rsid w:val="0EF64D1B"/>
    <w:rsid w:val="0F082203"/>
    <w:rsid w:val="0F228DE9"/>
    <w:rsid w:val="0F30706B"/>
    <w:rsid w:val="0F35A68C"/>
    <w:rsid w:val="0F3982C3"/>
    <w:rsid w:val="0F405949"/>
    <w:rsid w:val="0F42F05A"/>
    <w:rsid w:val="0F457B94"/>
    <w:rsid w:val="0F52F0CC"/>
    <w:rsid w:val="0F567384"/>
    <w:rsid w:val="0F83700C"/>
    <w:rsid w:val="0FA9DEAB"/>
    <w:rsid w:val="0FBE7FD2"/>
    <w:rsid w:val="0FC70241"/>
    <w:rsid w:val="0FCFCE1A"/>
    <w:rsid w:val="0FD692DC"/>
    <w:rsid w:val="100953D0"/>
    <w:rsid w:val="101E40DB"/>
    <w:rsid w:val="102251DC"/>
    <w:rsid w:val="10358C4F"/>
    <w:rsid w:val="104D31D6"/>
    <w:rsid w:val="107EEBF0"/>
    <w:rsid w:val="10A3A344"/>
    <w:rsid w:val="10A3C4AA"/>
    <w:rsid w:val="10A4BEFA"/>
    <w:rsid w:val="10BCE532"/>
    <w:rsid w:val="10C458BA"/>
    <w:rsid w:val="10FA1A9C"/>
    <w:rsid w:val="10FB03A4"/>
    <w:rsid w:val="110EC262"/>
    <w:rsid w:val="111CB5A1"/>
    <w:rsid w:val="11625FA1"/>
    <w:rsid w:val="1179B4A2"/>
    <w:rsid w:val="1182AAA0"/>
    <w:rsid w:val="11B0C9C8"/>
    <w:rsid w:val="11C5EA31"/>
    <w:rsid w:val="11CB28DB"/>
    <w:rsid w:val="11E05AB2"/>
    <w:rsid w:val="11E23928"/>
    <w:rsid w:val="11E3EACE"/>
    <w:rsid w:val="121EF4ED"/>
    <w:rsid w:val="12216808"/>
    <w:rsid w:val="12282E1A"/>
    <w:rsid w:val="1278A39D"/>
    <w:rsid w:val="1293B9D4"/>
    <w:rsid w:val="12A42221"/>
    <w:rsid w:val="12BC6145"/>
    <w:rsid w:val="12BD9FB0"/>
    <w:rsid w:val="12F012DF"/>
    <w:rsid w:val="130B8035"/>
    <w:rsid w:val="13336AD2"/>
    <w:rsid w:val="134BB859"/>
    <w:rsid w:val="13565C63"/>
    <w:rsid w:val="1364D9A7"/>
    <w:rsid w:val="13746578"/>
    <w:rsid w:val="137634FA"/>
    <w:rsid w:val="138264D7"/>
    <w:rsid w:val="13A3903D"/>
    <w:rsid w:val="13D8A670"/>
    <w:rsid w:val="13E3C831"/>
    <w:rsid w:val="142AF3DE"/>
    <w:rsid w:val="1436914E"/>
    <w:rsid w:val="1455DEC3"/>
    <w:rsid w:val="145C7021"/>
    <w:rsid w:val="1469C449"/>
    <w:rsid w:val="1472AB12"/>
    <w:rsid w:val="149D66D3"/>
    <w:rsid w:val="14E2F3C7"/>
    <w:rsid w:val="14F51378"/>
    <w:rsid w:val="14FA2FDF"/>
    <w:rsid w:val="14FD0940"/>
    <w:rsid w:val="1502F4C5"/>
    <w:rsid w:val="1504432A"/>
    <w:rsid w:val="153ABDC4"/>
    <w:rsid w:val="154648DC"/>
    <w:rsid w:val="154CB46E"/>
    <w:rsid w:val="156E9E4E"/>
    <w:rsid w:val="15836B30"/>
    <w:rsid w:val="158B8236"/>
    <w:rsid w:val="159FD0D3"/>
    <w:rsid w:val="15A4A05F"/>
    <w:rsid w:val="15AD8994"/>
    <w:rsid w:val="15BF38E5"/>
    <w:rsid w:val="15D5743C"/>
    <w:rsid w:val="15E08520"/>
    <w:rsid w:val="161020A8"/>
    <w:rsid w:val="161E4BD5"/>
    <w:rsid w:val="161F84B4"/>
    <w:rsid w:val="16339A94"/>
    <w:rsid w:val="1638EC99"/>
    <w:rsid w:val="164C58A9"/>
    <w:rsid w:val="1678F16A"/>
    <w:rsid w:val="16932F54"/>
    <w:rsid w:val="169D6EE3"/>
    <w:rsid w:val="16A51A65"/>
    <w:rsid w:val="16C1F2B1"/>
    <w:rsid w:val="16D7F618"/>
    <w:rsid w:val="16DC2CEF"/>
    <w:rsid w:val="16F1A658"/>
    <w:rsid w:val="16F30DDE"/>
    <w:rsid w:val="170E5685"/>
    <w:rsid w:val="17120104"/>
    <w:rsid w:val="171ED339"/>
    <w:rsid w:val="1732CC5B"/>
    <w:rsid w:val="1733127F"/>
    <w:rsid w:val="174E3B0B"/>
    <w:rsid w:val="174ED2B6"/>
    <w:rsid w:val="175FF829"/>
    <w:rsid w:val="1762BD8E"/>
    <w:rsid w:val="1768D35F"/>
    <w:rsid w:val="176A54CD"/>
    <w:rsid w:val="17845194"/>
    <w:rsid w:val="17937FD9"/>
    <w:rsid w:val="1796B7F7"/>
    <w:rsid w:val="179D5A4B"/>
    <w:rsid w:val="179EABE3"/>
    <w:rsid w:val="17A97318"/>
    <w:rsid w:val="17AECE75"/>
    <w:rsid w:val="17BE2AB1"/>
    <w:rsid w:val="17C0F580"/>
    <w:rsid w:val="17CED60B"/>
    <w:rsid w:val="17D5EE7F"/>
    <w:rsid w:val="1805094D"/>
    <w:rsid w:val="18241A52"/>
    <w:rsid w:val="1827EA99"/>
    <w:rsid w:val="183A89BF"/>
    <w:rsid w:val="184E44F5"/>
    <w:rsid w:val="186366A9"/>
    <w:rsid w:val="18D2698A"/>
    <w:rsid w:val="18DF3436"/>
    <w:rsid w:val="192418D3"/>
    <w:rsid w:val="193627DA"/>
    <w:rsid w:val="193707CE"/>
    <w:rsid w:val="193E5FA3"/>
    <w:rsid w:val="1967D5A3"/>
    <w:rsid w:val="19864613"/>
    <w:rsid w:val="198F5B12"/>
    <w:rsid w:val="19A66191"/>
    <w:rsid w:val="19B89B1B"/>
    <w:rsid w:val="19CE00EF"/>
    <w:rsid w:val="19D3543F"/>
    <w:rsid w:val="19DDC551"/>
    <w:rsid w:val="1A251B3F"/>
    <w:rsid w:val="1A36AB1D"/>
    <w:rsid w:val="1A3DBF64"/>
    <w:rsid w:val="1A51B9B8"/>
    <w:rsid w:val="1A55F0A4"/>
    <w:rsid w:val="1A5BAB71"/>
    <w:rsid w:val="1A6EC5D7"/>
    <w:rsid w:val="1A7B0CE4"/>
    <w:rsid w:val="1A957FF1"/>
    <w:rsid w:val="1AA31C96"/>
    <w:rsid w:val="1AEA72CB"/>
    <w:rsid w:val="1AF621EE"/>
    <w:rsid w:val="1AF7BA6C"/>
    <w:rsid w:val="1B23030A"/>
    <w:rsid w:val="1B2524AD"/>
    <w:rsid w:val="1B41A640"/>
    <w:rsid w:val="1B44F553"/>
    <w:rsid w:val="1B545B45"/>
    <w:rsid w:val="1B63CCD3"/>
    <w:rsid w:val="1B67727B"/>
    <w:rsid w:val="1B693D7D"/>
    <w:rsid w:val="1B719F42"/>
    <w:rsid w:val="1B73B4A7"/>
    <w:rsid w:val="1B9FC9BE"/>
    <w:rsid w:val="1BAD7B79"/>
    <w:rsid w:val="1BC35342"/>
    <w:rsid w:val="1BC5D7DE"/>
    <w:rsid w:val="1BD015EA"/>
    <w:rsid w:val="1BD630E0"/>
    <w:rsid w:val="1BE1ED6A"/>
    <w:rsid w:val="1BE31D37"/>
    <w:rsid w:val="1BF2F1B0"/>
    <w:rsid w:val="1BF9BDDE"/>
    <w:rsid w:val="1C373A63"/>
    <w:rsid w:val="1C43E3D7"/>
    <w:rsid w:val="1C503065"/>
    <w:rsid w:val="1C535B99"/>
    <w:rsid w:val="1C6AFFA8"/>
    <w:rsid w:val="1C78B501"/>
    <w:rsid w:val="1CA4EAA5"/>
    <w:rsid w:val="1CECE48E"/>
    <w:rsid w:val="1CF59425"/>
    <w:rsid w:val="1D18EAF1"/>
    <w:rsid w:val="1D657AA2"/>
    <w:rsid w:val="1D72BADC"/>
    <w:rsid w:val="1DA99C81"/>
    <w:rsid w:val="1DC340AF"/>
    <w:rsid w:val="1DD20846"/>
    <w:rsid w:val="1DD29737"/>
    <w:rsid w:val="1DD86C2C"/>
    <w:rsid w:val="1E3C3198"/>
    <w:rsid w:val="1E488789"/>
    <w:rsid w:val="1E6AA3A5"/>
    <w:rsid w:val="1E877659"/>
    <w:rsid w:val="1EACF5CF"/>
    <w:rsid w:val="1EBCF061"/>
    <w:rsid w:val="1EC621CA"/>
    <w:rsid w:val="1ED183C4"/>
    <w:rsid w:val="1EF53C01"/>
    <w:rsid w:val="1F2095A9"/>
    <w:rsid w:val="1F2C85F4"/>
    <w:rsid w:val="1F5A5F0E"/>
    <w:rsid w:val="1F7628FC"/>
    <w:rsid w:val="1F89E011"/>
    <w:rsid w:val="1F8AAE8A"/>
    <w:rsid w:val="1FAD8E9B"/>
    <w:rsid w:val="200D742F"/>
    <w:rsid w:val="200EA16A"/>
    <w:rsid w:val="20127895"/>
    <w:rsid w:val="201422C6"/>
    <w:rsid w:val="20B1639B"/>
    <w:rsid w:val="20BD81F1"/>
    <w:rsid w:val="20BDB812"/>
    <w:rsid w:val="20E76026"/>
    <w:rsid w:val="210AA14E"/>
    <w:rsid w:val="2111B479"/>
    <w:rsid w:val="211BF9F2"/>
    <w:rsid w:val="21208FB0"/>
    <w:rsid w:val="214090B6"/>
    <w:rsid w:val="214D50A6"/>
    <w:rsid w:val="2179AF4B"/>
    <w:rsid w:val="217E86C1"/>
    <w:rsid w:val="218A49E0"/>
    <w:rsid w:val="218F8539"/>
    <w:rsid w:val="21A07721"/>
    <w:rsid w:val="21A15654"/>
    <w:rsid w:val="21B95EA7"/>
    <w:rsid w:val="21BEFBE7"/>
    <w:rsid w:val="21EB416C"/>
    <w:rsid w:val="21F09B21"/>
    <w:rsid w:val="21FF5DB6"/>
    <w:rsid w:val="221519B6"/>
    <w:rsid w:val="222C68D9"/>
    <w:rsid w:val="225658EF"/>
    <w:rsid w:val="22841985"/>
    <w:rsid w:val="22D05DA5"/>
    <w:rsid w:val="22D4D5B3"/>
    <w:rsid w:val="22F63364"/>
    <w:rsid w:val="23364580"/>
    <w:rsid w:val="23405DAC"/>
    <w:rsid w:val="238D9BBF"/>
    <w:rsid w:val="23B3B7F6"/>
    <w:rsid w:val="23BFDED4"/>
    <w:rsid w:val="23D57099"/>
    <w:rsid w:val="23D9A921"/>
    <w:rsid w:val="23F460A2"/>
    <w:rsid w:val="241906D5"/>
    <w:rsid w:val="241B374A"/>
    <w:rsid w:val="241D008A"/>
    <w:rsid w:val="243890F1"/>
    <w:rsid w:val="2451DA44"/>
    <w:rsid w:val="2453DA12"/>
    <w:rsid w:val="245E8412"/>
    <w:rsid w:val="246BF9B5"/>
    <w:rsid w:val="246F568D"/>
    <w:rsid w:val="247B33C2"/>
    <w:rsid w:val="2485BC75"/>
    <w:rsid w:val="2490332C"/>
    <w:rsid w:val="24968405"/>
    <w:rsid w:val="24A1C961"/>
    <w:rsid w:val="24C45444"/>
    <w:rsid w:val="24E06B19"/>
    <w:rsid w:val="24E0EB02"/>
    <w:rsid w:val="24F0B4C7"/>
    <w:rsid w:val="25404B4D"/>
    <w:rsid w:val="2545C7E5"/>
    <w:rsid w:val="254CA6C9"/>
    <w:rsid w:val="2553AF4B"/>
    <w:rsid w:val="255942E5"/>
    <w:rsid w:val="255ADD4A"/>
    <w:rsid w:val="2560204E"/>
    <w:rsid w:val="25744669"/>
    <w:rsid w:val="258586F1"/>
    <w:rsid w:val="25935256"/>
    <w:rsid w:val="25A9D46C"/>
    <w:rsid w:val="25F4AA81"/>
    <w:rsid w:val="25FD9490"/>
    <w:rsid w:val="26054919"/>
    <w:rsid w:val="2608EA56"/>
    <w:rsid w:val="260F1CB3"/>
    <w:rsid w:val="26223631"/>
    <w:rsid w:val="2628174B"/>
    <w:rsid w:val="2628D1F9"/>
    <w:rsid w:val="2629563B"/>
    <w:rsid w:val="263B6D78"/>
    <w:rsid w:val="2664E1B3"/>
    <w:rsid w:val="267DFEC9"/>
    <w:rsid w:val="26A93742"/>
    <w:rsid w:val="26AA29E9"/>
    <w:rsid w:val="26AE8CB3"/>
    <w:rsid w:val="26B34703"/>
    <w:rsid w:val="271BD36C"/>
    <w:rsid w:val="27255F97"/>
    <w:rsid w:val="273240B4"/>
    <w:rsid w:val="27380E46"/>
    <w:rsid w:val="27443E95"/>
    <w:rsid w:val="2744C05D"/>
    <w:rsid w:val="274DCDE8"/>
    <w:rsid w:val="2767C4AC"/>
    <w:rsid w:val="2770BD91"/>
    <w:rsid w:val="2772D56C"/>
    <w:rsid w:val="27827C17"/>
    <w:rsid w:val="27B0B4E3"/>
    <w:rsid w:val="27B57539"/>
    <w:rsid w:val="27C07BD1"/>
    <w:rsid w:val="27D384CF"/>
    <w:rsid w:val="27E49D0E"/>
    <w:rsid w:val="27E8E8EB"/>
    <w:rsid w:val="27EE8291"/>
    <w:rsid w:val="27F37562"/>
    <w:rsid w:val="2808D941"/>
    <w:rsid w:val="2832ED75"/>
    <w:rsid w:val="2834603C"/>
    <w:rsid w:val="2852C147"/>
    <w:rsid w:val="285E7B8D"/>
    <w:rsid w:val="28739B78"/>
    <w:rsid w:val="288192DE"/>
    <w:rsid w:val="28AF755A"/>
    <w:rsid w:val="28B9D636"/>
    <w:rsid w:val="28F217A1"/>
    <w:rsid w:val="2902C43E"/>
    <w:rsid w:val="290AE16B"/>
    <w:rsid w:val="293A2586"/>
    <w:rsid w:val="293F8D87"/>
    <w:rsid w:val="29432DD8"/>
    <w:rsid w:val="298A9C57"/>
    <w:rsid w:val="298EA139"/>
    <w:rsid w:val="2990BEDA"/>
    <w:rsid w:val="29A7BFD8"/>
    <w:rsid w:val="29C5CE6B"/>
    <w:rsid w:val="29CB55D6"/>
    <w:rsid w:val="29E141D4"/>
    <w:rsid w:val="29EC7CD8"/>
    <w:rsid w:val="29F4B776"/>
    <w:rsid w:val="2A0828FC"/>
    <w:rsid w:val="2A08454C"/>
    <w:rsid w:val="2A1FDDD0"/>
    <w:rsid w:val="2A2DFB67"/>
    <w:rsid w:val="2A4343A8"/>
    <w:rsid w:val="2A4BDFF3"/>
    <w:rsid w:val="2A727948"/>
    <w:rsid w:val="2A7ABB1D"/>
    <w:rsid w:val="2A9EB272"/>
    <w:rsid w:val="2ABDE3DC"/>
    <w:rsid w:val="2AC49F72"/>
    <w:rsid w:val="2AD64F83"/>
    <w:rsid w:val="2AD7878E"/>
    <w:rsid w:val="2AE9ED24"/>
    <w:rsid w:val="2AEDF2BC"/>
    <w:rsid w:val="2AF8592D"/>
    <w:rsid w:val="2B281F98"/>
    <w:rsid w:val="2B351DB1"/>
    <w:rsid w:val="2B3791E0"/>
    <w:rsid w:val="2B514B54"/>
    <w:rsid w:val="2BA14C19"/>
    <w:rsid w:val="2BC90328"/>
    <w:rsid w:val="2BD8B46A"/>
    <w:rsid w:val="2BE4AC74"/>
    <w:rsid w:val="2BFBCE3B"/>
    <w:rsid w:val="2C1687D1"/>
    <w:rsid w:val="2C2630E5"/>
    <w:rsid w:val="2C4220D1"/>
    <w:rsid w:val="2C5E9840"/>
    <w:rsid w:val="2C82F2CF"/>
    <w:rsid w:val="2C88CBD8"/>
    <w:rsid w:val="2C920957"/>
    <w:rsid w:val="2C9B4873"/>
    <w:rsid w:val="2CB281F1"/>
    <w:rsid w:val="2CCA742B"/>
    <w:rsid w:val="2CDA6F62"/>
    <w:rsid w:val="2CECD97B"/>
    <w:rsid w:val="2CEFA407"/>
    <w:rsid w:val="2D1506F0"/>
    <w:rsid w:val="2D36930F"/>
    <w:rsid w:val="2D5CD9DE"/>
    <w:rsid w:val="2D69D822"/>
    <w:rsid w:val="2D6B05A7"/>
    <w:rsid w:val="2D6F1668"/>
    <w:rsid w:val="2D769532"/>
    <w:rsid w:val="2D8D6A4F"/>
    <w:rsid w:val="2D8F7E15"/>
    <w:rsid w:val="2D9DF0E0"/>
    <w:rsid w:val="2DAB2D30"/>
    <w:rsid w:val="2DB7EF12"/>
    <w:rsid w:val="2DC198F4"/>
    <w:rsid w:val="2DCFB1D0"/>
    <w:rsid w:val="2DFA1C21"/>
    <w:rsid w:val="2E03E7DA"/>
    <w:rsid w:val="2E124044"/>
    <w:rsid w:val="2E2713E8"/>
    <w:rsid w:val="2E40B767"/>
    <w:rsid w:val="2E537B4A"/>
    <w:rsid w:val="2E690799"/>
    <w:rsid w:val="2E69310C"/>
    <w:rsid w:val="2E6D1F95"/>
    <w:rsid w:val="2E6EE9E9"/>
    <w:rsid w:val="2E7DF2D0"/>
    <w:rsid w:val="2E85193D"/>
    <w:rsid w:val="2E9894AD"/>
    <w:rsid w:val="2EAC728E"/>
    <w:rsid w:val="2EAD2650"/>
    <w:rsid w:val="2EBD8750"/>
    <w:rsid w:val="2EC46C71"/>
    <w:rsid w:val="2EF0AA45"/>
    <w:rsid w:val="2EF2EF94"/>
    <w:rsid w:val="2F4FB505"/>
    <w:rsid w:val="2F4FEE33"/>
    <w:rsid w:val="2FA4E81E"/>
    <w:rsid w:val="2FCA0183"/>
    <w:rsid w:val="2FF8E1E0"/>
    <w:rsid w:val="3005AB8F"/>
    <w:rsid w:val="3015715C"/>
    <w:rsid w:val="3020DCEF"/>
    <w:rsid w:val="3032BF85"/>
    <w:rsid w:val="3035E101"/>
    <w:rsid w:val="3050EED7"/>
    <w:rsid w:val="3053B2E0"/>
    <w:rsid w:val="305B4D4D"/>
    <w:rsid w:val="3072E86D"/>
    <w:rsid w:val="309FF850"/>
    <w:rsid w:val="30BECEF2"/>
    <w:rsid w:val="30BF6AB6"/>
    <w:rsid w:val="30C56D05"/>
    <w:rsid w:val="30C5BA61"/>
    <w:rsid w:val="312A62A3"/>
    <w:rsid w:val="3132BCB4"/>
    <w:rsid w:val="31346BE3"/>
    <w:rsid w:val="31403B07"/>
    <w:rsid w:val="314C336D"/>
    <w:rsid w:val="314F8B50"/>
    <w:rsid w:val="31503A55"/>
    <w:rsid w:val="315A934B"/>
    <w:rsid w:val="31A72374"/>
    <w:rsid w:val="31AB4598"/>
    <w:rsid w:val="31D0E0C2"/>
    <w:rsid w:val="31EEC7CC"/>
    <w:rsid w:val="320DBB27"/>
    <w:rsid w:val="3217FCBF"/>
    <w:rsid w:val="323137B3"/>
    <w:rsid w:val="3243C887"/>
    <w:rsid w:val="324A84D7"/>
    <w:rsid w:val="32519477"/>
    <w:rsid w:val="32576BBF"/>
    <w:rsid w:val="3268AB77"/>
    <w:rsid w:val="328859FF"/>
    <w:rsid w:val="328BBB54"/>
    <w:rsid w:val="32A0D001"/>
    <w:rsid w:val="32D09C30"/>
    <w:rsid w:val="32D3669D"/>
    <w:rsid w:val="32D6EC48"/>
    <w:rsid w:val="32EF881B"/>
    <w:rsid w:val="32F2289D"/>
    <w:rsid w:val="32F4420D"/>
    <w:rsid w:val="33334F74"/>
    <w:rsid w:val="33682C0C"/>
    <w:rsid w:val="337AE9DC"/>
    <w:rsid w:val="338A1EE8"/>
    <w:rsid w:val="3390BF89"/>
    <w:rsid w:val="33962FAA"/>
    <w:rsid w:val="33A5347B"/>
    <w:rsid w:val="33C21E9E"/>
    <w:rsid w:val="33C9EA08"/>
    <w:rsid w:val="33CDBE7A"/>
    <w:rsid w:val="33CF5844"/>
    <w:rsid w:val="33D120FD"/>
    <w:rsid w:val="33FEC845"/>
    <w:rsid w:val="34037344"/>
    <w:rsid w:val="341344A4"/>
    <w:rsid w:val="3417F3C6"/>
    <w:rsid w:val="34209C11"/>
    <w:rsid w:val="34217A66"/>
    <w:rsid w:val="342B9D31"/>
    <w:rsid w:val="342C6F10"/>
    <w:rsid w:val="34339616"/>
    <w:rsid w:val="3435962D"/>
    <w:rsid w:val="3437E012"/>
    <w:rsid w:val="3456E4D5"/>
    <w:rsid w:val="345E58ED"/>
    <w:rsid w:val="3466A684"/>
    <w:rsid w:val="3481C1FC"/>
    <w:rsid w:val="34B8EB09"/>
    <w:rsid w:val="34DBC978"/>
    <w:rsid w:val="34DE22DF"/>
    <w:rsid w:val="3507002F"/>
    <w:rsid w:val="355F9CAF"/>
    <w:rsid w:val="356C78BD"/>
    <w:rsid w:val="357D2EF0"/>
    <w:rsid w:val="3591A6EF"/>
    <w:rsid w:val="3599D1B6"/>
    <w:rsid w:val="35BE4E4A"/>
    <w:rsid w:val="35C2A6C1"/>
    <w:rsid w:val="35C9B98C"/>
    <w:rsid w:val="35CE7A32"/>
    <w:rsid w:val="35D1DE50"/>
    <w:rsid w:val="35D9BBF8"/>
    <w:rsid w:val="35E7BB2B"/>
    <w:rsid w:val="35F52210"/>
    <w:rsid w:val="360EFDBB"/>
    <w:rsid w:val="3613C755"/>
    <w:rsid w:val="3619D7E8"/>
    <w:rsid w:val="3624314B"/>
    <w:rsid w:val="36249145"/>
    <w:rsid w:val="36527486"/>
    <w:rsid w:val="36555AED"/>
    <w:rsid w:val="36564353"/>
    <w:rsid w:val="3658A90F"/>
    <w:rsid w:val="3659CA05"/>
    <w:rsid w:val="3667DD55"/>
    <w:rsid w:val="367631D4"/>
    <w:rsid w:val="3687E447"/>
    <w:rsid w:val="36AC6CF5"/>
    <w:rsid w:val="36D3029A"/>
    <w:rsid w:val="36EF6A57"/>
    <w:rsid w:val="36FA1E9A"/>
    <w:rsid w:val="3715C95C"/>
    <w:rsid w:val="372320B6"/>
    <w:rsid w:val="372F34E4"/>
    <w:rsid w:val="376C5403"/>
    <w:rsid w:val="3776BDE6"/>
    <w:rsid w:val="377F3F23"/>
    <w:rsid w:val="3797E7D3"/>
    <w:rsid w:val="37AA4BE4"/>
    <w:rsid w:val="38032549"/>
    <w:rsid w:val="380CAB62"/>
    <w:rsid w:val="382E512A"/>
    <w:rsid w:val="382FEC11"/>
    <w:rsid w:val="383AAFAC"/>
    <w:rsid w:val="3846B5B1"/>
    <w:rsid w:val="384A3C71"/>
    <w:rsid w:val="386500D9"/>
    <w:rsid w:val="38681AC7"/>
    <w:rsid w:val="3870E710"/>
    <w:rsid w:val="388A828F"/>
    <w:rsid w:val="388EF9FE"/>
    <w:rsid w:val="38BC1002"/>
    <w:rsid w:val="38D97870"/>
    <w:rsid w:val="38EA49DF"/>
    <w:rsid w:val="390B9E6F"/>
    <w:rsid w:val="3917DA8B"/>
    <w:rsid w:val="391AFB37"/>
    <w:rsid w:val="39449CC5"/>
    <w:rsid w:val="39675F23"/>
    <w:rsid w:val="3967DB01"/>
    <w:rsid w:val="39699B61"/>
    <w:rsid w:val="39760CD4"/>
    <w:rsid w:val="397BF944"/>
    <w:rsid w:val="39802024"/>
    <w:rsid w:val="39C6B8BF"/>
    <w:rsid w:val="39D9715B"/>
    <w:rsid w:val="39F93597"/>
    <w:rsid w:val="3A00CA6E"/>
    <w:rsid w:val="3A04B35E"/>
    <w:rsid w:val="3A08360E"/>
    <w:rsid w:val="3A181D72"/>
    <w:rsid w:val="3A2326DF"/>
    <w:rsid w:val="3A439C0B"/>
    <w:rsid w:val="3A61ED56"/>
    <w:rsid w:val="3A78E5BB"/>
    <w:rsid w:val="3A82D970"/>
    <w:rsid w:val="3AA6FFF1"/>
    <w:rsid w:val="3ABD7091"/>
    <w:rsid w:val="3ABDFAF7"/>
    <w:rsid w:val="3AC51C1A"/>
    <w:rsid w:val="3AD4A475"/>
    <w:rsid w:val="3AD4F8E9"/>
    <w:rsid w:val="3AE5AFE9"/>
    <w:rsid w:val="3AF1E4C1"/>
    <w:rsid w:val="3AF25A40"/>
    <w:rsid w:val="3AFEC9EC"/>
    <w:rsid w:val="3B002CC1"/>
    <w:rsid w:val="3B050EB3"/>
    <w:rsid w:val="3B0AB55F"/>
    <w:rsid w:val="3B41B09B"/>
    <w:rsid w:val="3B486E9E"/>
    <w:rsid w:val="3B6A1BE0"/>
    <w:rsid w:val="3B6B4679"/>
    <w:rsid w:val="3B9190C8"/>
    <w:rsid w:val="3B969848"/>
    <w:rsid w:val="3BBBFC65"/>
    <w:rsid w:val="3BF068DE"/>
    <w:rsid w:val="3C16BDF9"/>
    <w:rsid w:val="3C1C7C82"/>
    <w:rsid w:val="3C43EEDE"/>
    <w:rsid w:val="3C53C101"/>
    <w:rsid w:val="3C5E7390"/>
    <w:rsid w:val="3C607DD4"/>
    <w:rsid w:val="3C80EA70"/>
    <w:rsid w:val="3CC7860D"/>
    <w:rsid w:val="3CDE2A0F"/>
    <w:rsid w:val="3CE29ED5"/>
    <w:rsid w:val="3CEF9956"/>
    <w:rsid w:val="3CF7EFD2"/>
    <w:rsid w:val="3D1161C9"/>
    <w:rsid w:val="3D1ED5DC"/>
    <w:rsid w:val="3D24995A"/>
    <w:rsid w:val="3D26DDFD"/>
    <w:rsid w:val="3D2944C9"/>
    <w:rsid w:val="3D2EE803"/>
    <w:rsid w:val="3D399B28"/>
    <w:rsid w:val="3D3F1514"/>
    <w:rsid w:val="3D72369A"/>
    <w:rsid w:val="3D7E3FAA"/>
    <w:rsid w:val="3D91F4BE"/>
    <w:rsid w:val="3D9B4C93"/>
    <w:rsid w:val="3D9C0F0F"/>
    <w:rsid w:val="3DB1D5AD"/>
    <w:rsid w:val="3DC9574F"/>
    <w:rsid w:val="3DE97324"/>
    <w:rsid w:val="3E002F4B"/>
    <w:rsid w:val="3E078B97"/>
    <w:rsid w:val="3E19541A"/>
    <w:rsid w:val="3E3F16EA"/>
    <w:rsid w:val="3E49433A"/>
    <w:rsid w:val="3E61306C"/>
    <w:rsid w:val="3E75D8C9"/>
    <w:rsid w:val="3E9E5F8D"/>
    <w:rsid w:val="3E9E7EB5"/>
    <w:rsid w:val="3EA0784E"/>
    <w:rsid w:val="3EA7D547"/>
    <w:rsid w:val="3EC7B0FC"/>
    <w:rsid w:val="3ECFCBEE"/>
    <w:rsid w:val="3EDC7890"/>
    <w:rsid w:val="3EDFB50D"/>
    <w:rsid w:val="3EE625BD"/>
    <w:rsid w:val="3EEF77A0"/>
    <w:rsid w:val="3EF05F49"/>
    <w:rsid w:val="3EF4F736"/>
    <w:rsid w:val="3F0F2CC8"/>
    <w:rsid w:val="3F1672CA"/>
    <w:rsid w:val="3F181FAD"/>
    <w:rsid w:val="3F27FE96"/>
    <w:rsid w:val="3F2AEAC5"/>
    <w:rsid w:val="3F843E94"/>
    <w:rsid w:val="3F8A2CC1"/>
    <w:rsid w:val="3F92CD2C"/>
    <w:rsid w:val="3FA196EB"/>
    <w:rsid w:val="3FA6BA75"/>
    <w:rsid w:val="3FAA28BB"/>
    <w:rsid w:val="3FAF303D"/>
    <w:rsid w:val="3FC2264F"/>
    <w:rsid w:val="3FC6EBCD"/>
    <w:rsid w:val="3FF0771E"/>
    <w:rsid w:val="4030C6ED"/>
    <w:rsid w:val="403AD5BE"/>
    <w:rsid w:val="403F017D"/>
    <w:rsid w:val="404D7FDD"/>
    <w:rsid w:val="404E6916"/>
    <w:rsid w:val="40522352"/>
    <w:rsid w:val="406918A7"/>
    <w:rsid w:val="40857454"/>
    <w:rsid w:val="40B1F2D9"/>
    <w:rsid w:val="40D279E7"/>
    <w:rsid w:val="40D5DD1F"/>
    <w:rsid w:val="40D8CB01"/>
    <w:rsid w:val="40D96833"/>
    <w:rsid w:val="40F417CD"/>
    <w:rsid w:val="41062446"/>
    <w:rsid w:val="410D75B2"/>
    <w:rsid w:val="410E7F87"/>
    <w:rsid w:val="4112E2D0"/>
    <w:rsid w:val="412AB3C7"/>
    <w:rsid w:val="412F11A3"/>
    <w:rsid w:val="41344046"/>
    <w:rsid w:val="41383BB6"/>
    <w:rsid w:val="413CD7BA"/>
    <w:rsid w:val="416ADDD6"/>
    <w:rsid w:val="4177D580"/>
    <w:rsid w:val="418699FC"/>
    <w:rsid w:val="419272D3"/>
    <w:rsid w:val="419D6F7A"/>
    <w:rsid w:val="41B95E11"/>
    <w:rsid w:val="41BA02EA"/>
    <w:rsid w:val="41C75AB2"/>
    <w:rsid w:val="41D525ED"/>
    <w:rsid w:val="41E8C54E"/>
    <w:rsid w:val="41EF42DA"/>
    <w:rsid w:val="41F94E5D"/>
    <w:rsid w:val="421DFE49"/>
    <w:rsid w:val="422C130D"/>
    <w:rsid w:val="425918D4"/>
    <w:rsid w:val="42604B96"/>
    <w:rsid w:val="42AE44EF"/>
    <w:rsid w:val="42CC1CDD"/>
    <w:rsid w:val="42D54896"/>
    <w:rsid w:val="42DE89A7"/>
    <w:rsid w:val="42E80CBB"/>
    <w:rsid w:val="431827AA"/>
    <w:rsid w:val="433D2C68"/>
    <w:rsid w:val="4384A13B"/>
    <w:rsid w:val="43880F7B"/>
    <w:rsid w:val="43B8F01D"/>
    <w:rsid w:val="43C378DC"/>
    <w:rsid w:val="43CF67DC"/>
    <w:rsid w:val="443751A3"/>
    <w:rsid w:val="444896CA"/>
    <w:rsid w:val="44539633"/>
    <w:rsid w:val="445E537D"/>
    <w:rsid w:val="4469BCC8"/>
    <w:rsid w:val="446F807F"/>
    <w:rsid w:val="4476097F"/>
    <w:rsid w:val="44912426"/>
    <w:rsid w:val="44964AE7"/>
    <w:rsid w:val="449F2449"/>
    <w:rsid w:val="44AE5123"/>
    <w:rsid w:val="44DCC5ED"/>
    <w:rsid w:val="4538630D"/>
    <w:rsid w:val="45395F2F"/>
    <w:rsid w:val="454EC874"/>
    <w:rsid w:val="45605EDB"/>
    <w:rsid w:val="457E711F"/>
    <w:rsid w:val="457F11A2"/>
    <w:rsid w:val="458497E8"/>
    <w:rsid w:val="45AC18CE"/>
    <w:rsid w:val="45C8DBC4"/>
    <w:rsid w:val="45DC2872"/>
    <w:rsid w:val="45EC5D23"/>
    <w:rsid w:val="461DE01D"/>
    <w:rsid w:val="463BA176"/>
    <w:rsid w:val="4655CB1E"/>
    <w:rsid w:val="467BBA80"/>
    <w:rsid w:val="467C5B90"/>
    <w:rsid w:val="468A9854"/>
    <w:rsid w:val="46981311"/>
    <w:rsid w:val="46A50763"/>
    <w:rsid w:val="46A9D306"/>
    <w:rsid w:val="46BD41F8"/>
    <w:rsid w:val="46CB1DB6"/>
    <w:rsid w:val="47222E69"/>
    <w:rsid w:val="47383D43"/>
    <w:rsid w:val="474D0E57"/>
    <w:rsid w:val="4761FA85"/>
    <w:rsid w:val="476B9FF6"/>
    <w:rsid w:val="477C2F5A"/>
    <w:rsid w:val="47999C35"/>
    <w:rsid w:val="479FA448"/>
    <w:rsid w:val="47D8F8AC"/>
    <w:rsid w:val="47DF9631"/>
    <w:rsid w:val="48050070"/>
    <w:rsid w:val="48055547"/>
    <w:rsid w:val="480F8128"/>
    <w:rsid w:val="48112644"/>
    <w:rsid w:val="485ABD83"/>
    <w:rsid w:val="4868DDF7"/>
    <w:rsid w:val="486B36AE"/>
    <w:rsid w:val="4885E3A3"/>
    <w:rsid w:val="48B4BE93"/>
    <w:rsid w:val="48C7FFEE"/>
    <w:rsid w:val="48FB79A9"/>
    <w:rsid w:val="490DE217"/>
    <w:rsid w:val="49154C9A"/>
    <w:rsid w:val="491A29B6"/>
    <w:rsid w:val="49227057"/>
    <w:rsid w:val="494C218F"/>
    <w:rsid w:val="49686FF4"/>
    <w:rsid w:val="4992D787"/>
    <w:rsid w:val="49A8A273"/>
    <w:rsid w:val="49AEC132"/>
    <w:rsid w:val="49C6AE07"/>
    <w:rsid w:val="49D5A5BC"/>
    <w:rsid w:val="49D61657"/>
    <w:rsid w:val="49EBFB37"/>
    <w:rsid w:val="49FFB3C7"/>
    <w:rsid w:val="4A1FDC1D"/>
    <w:rsid w:val="4A230947"/>
    <w:rsid w:val="4A258D20"/>
    <w:rsid w:val="4A2E2D43"/>
    <w:rsid w:val="4A486A2E"/>
    <w:rsid w:val="4A51BAEB"/>
    <w:rsid w:val="4A51F5FB"/>
    <w:rsid w:val="4A91B415"/>
    <w:rsid w:val="4ADAF0B5"/>
    <w:rsid w:val="4ADFF11A"/>
    <w:rsid w:val="4AE0BA6D"/>
    <w:rsid w:val="4B00A4B9"/>
    <w:rsid w:val="4B3E2438"/>
    <w:rsid w:val="4B44B88E"/>
    <w:rsid w:val="4B4519FB"/>
    <w:rsid w:val="4B5352A1"/>
    <w:rsid w:val="4B6564D1"/>
    <w:rsid w:val="4B9319FA"/>
    <w:rsid w:val="4BA8CCFC"/>
    <w:rsid w:val="4BAA736B"/>
    <w:rsid w:val="4BAB2C22"/>
    <w:rsid w:val="4BBE15BB"/>
    <w:rsid w:val="4BC1CDDF"/>
    <w:rsid w:val="4BE312CE"/>
    <w:rsid w:val="4BFC3D60"/>
    <w:rsid w:val="4C0785C2"/>
    <w:rsid w:val="4C0D48DE"/>
    <w:rsid w:val="4C281A69"/>
    <w:rsid w:val="4C459389"/>
    <w:rsid w:val="4C7BA882"/>
    <w:rsid w:val="4C82224E"/>
    <w:rsid w:val="4CBB2AC5"/>
    <w:rsid w:val="4CC5C44B"/>
    <w:rsid w:val="4CC9BE57"/>
    <w:rsid w:val="4CCC29E5"/>
    <w:rsid w:val="4CD37DE6"/>
    <w:rsid w:val="4CDA65A8"/>
    <w:rsid w:val="4CDE75CD"/>
    <w:rsid w:val="4CE9D6D4"/>
    <w:rsid w:val="4CEBD316"/>
    <w:rsid w:val="4CEE8F6F"/>
    <w:rsid w:val="4D246F34"/>
    <w:rsid w:val="4D2C25C7"/>
    <w:rsid w:val="4D39F57E"/>
    <w:rsid w:val="4D499010"/>
    <w:rsid w:val="4D51C720"/>
    <w:rsid w:val="4D554572"/>
    <w:rsid w:val="4D5EA99C"/>
    <w:rsid w:val="4D690508"/>
    <w:rsid w:val="4D6B74F7"/>
    <w:rsid w:val="4D774110"/>
    <w:rsid w:val="4D98FE68"/>
    <w:rsid w:val="4DA99D9A"/>
    <w:rsid w:val="4DBD8484"/>
    <w:rsid w:val="4DC013F6"/>
    <w:rsid w:val="4DEDE3B8"/>
    <w:rsid w:val="4DF0D0DF"/>
    <w:rsid w:val="4E154FAA"/>
    <w:rsid w:val="4E3FF521"/>
    <w:rsid w:val="4E4F44E4"/>
    <w:rsid w:val="4E7B0652"/>
    <w:rsid w:val="4E8DBC2A"/>
    <w:rsid w:val="4E9D4D33"/>
    <w:rsid w:val="4EAF5EA0"/>
    <w:rsid w:val="4EE00738"/>
    <w:rsid w:val="4EE4AF51"/>
    <w:rsid w:val="4EF45FF8"/>
    <w:rsid w:val="4F01C979"/>
    <w:rsid w:val="4F0DFD32"/>
    <w:rsid w:val="4F151CC2"/>
    <w:rsid w:val="4F3A6290"/>
    <w:rsid w:val="4F54E30A"/>
    <w:rsid w:val="4F59F02B"/>
    <w:rsid w:val="4F5F5225"/>
    <w:rsid w:val="4F997468"/>
    <w:rsid w:val="4FD9E8F7"/>
    <w:rsid w:val="4FDFD4A9"/>
    <w:rsid w:val="50128DA2"/>
    <w:rsid w:val="501C1E5D"/>
    <w:rsid w:val="5020C4D7"/>
    <w:rsid w:val="502F7AE2"/>
    <w:rsid w:val="503EFD4C"/>
    <w:rsid w:val="504E4C10"/>
    <w:rsid w:val="50508669"/>
    <w:rsid w:val="506284C7"/>
    <w:rsid w:val="5064E7C6"/>
    <w:rsid w:val="50A59F98"/>
    <w:rsid w:val="50AA44A5"/>
    <w:rsid w:val="50D7D1CE"/>
    <w:rsid w:val="50E13651"/>
    <w:rsid w:val="51067700"/>
    <w:rsid w:val="510A1A28"/>
    <w:rsid w:val="51137472"/>
    <w:rsid w:val="51200F99"/>
    <w:rsid w:val="513DF8D1"/>
    <w:rsid w:val="514A6568"/>
    <w:rsid w:val="5168B48A"/>
    <w:rsid w:val="5172D787"/>
    <w:rsid w:val="517A2177"/>
    <w:rsid w:val="517CB142"/>
    <w:rsid w:val="5184E163"/>
    <w:rsid w:val="51985BA3"/>
    <w:rsid w:val="51AF02AA"/>
    <w:rsid w:val="51B019E0"/>
    <w:rsid w:val="51D9BBA3"/>
    <w:rsid w:val="51EB407A"/>
    <w:rsid w:val="5224B1BE"/>
    <w:rsid w:val="526D8B81"/>
    <w:rsid w:val="52750E6D"/>
    <w:rsid w:val="52C32279"/>
    <w:rsid w:val="52FBBC39"/>
    <w:rsid w:val="5306E3EC"/>
    <w:rsid w:val="5348CD86"/>
    <w:rsid w:val="5355F657"/>
    <w:rsid w:val="5370839E"/>
    <w:rsid w:val="538BA6BD"/>
    <w:rsid w:val="53A16832"/>
    <w:rsid w:val="53A69E54"/>
    <w:rsid w:val="53D9D25F"/>
    <w:rsid w:val="53DC08A4"/>
    <w:rsid w:val="53E20350"/>
    <w:rsid w:val="53E7FADD"/>
    <w:rsid w:val="53F9DB99"/>
    <w:rsid w:val="54639B2C"/>
    <w:rsid w:val="54783CD5"/>
    <w:rsid w:val="5486CB9F"/>
    <w:rsid w:val="5495D579"/>
    <w:rsid w:val="54B68B4D"/>
    <w:rsid w:val="54C8F02C"/>
    <w:rsid w:val="54D1C8E8"/>
    <w:rsid w:val="54D2D9A6"/>
    <w:rsid w:val="54D67D33"/>
    <w:rsid w:val="54D87551"/>
    <w:rsid w:val="54DA78D5"/>
    <w:rsid w:val="54DE4C34"/>
    <w:rsid w:val="54E5850A"/>
    <w:rsid w:val="54F8798F"/>
    <w:rsid w:val="552DD431"/>
    <w:rsid w:val="553174B8"/>
    <w:rsid w:val="553C711B"/>
    <w:rsid w:val="55577995"/>
    <w:rsid w:val="555D75AA"/>
    <w:rsid w:val="55753DFD"/>
    <w:rsid w:val="557A1E08"/>
    <w:rsid w:val="55D14614"/>
    <w:rsid w:val="55E8E7B9"/>
    <w:rsid w:val="560305DB"/>
    <w:rsid w:val="5603DE81"/>
    <w:rsid w:val="5611F956"/>
    <w:rsid w:val="562A9A87"/>
    <w:rsid w:val="5637BC66"/>
    <w:rsid w:val="5640F82E"/>
    <w:rsid w:val="5641AA25"/>
    <w:rsid w:val="56573F5B"/>
    <w:rsid w:val="566EA202"/>
    <w:rsid w:val="5674E43A"/>
    <w:rsid w:val="5697ED70"/>
    <w:rsid w:val="569C7CBA"/>
    <w:rsid w:val="56AD9AAD"/>
    <w:rsid w:val="56BD9FB3"/>
    <w:rsid w:val="56C99DC3"/>
    <w:rsid w:val="56DD5A42"/>
    <w:rsid w:val="56DDF3C5"/>
    <w:rsid w:val="56E2FB2B"/>
    <w:rsid w:val="56F015D3"/>
    <w:rsid w:val="56F35A59"/>
    <w:rsid w:val="56FE2163"/>
    <w:rsid w:val="57041F17"/>
    <w:rsid w:val="5714F10A"/>
    <w:rsid w:val="5715D838"/>
    <w:rsid w:val="57170CF5"/>
    <w:rsid w:val="571B3D88"/>
    <w:rsid w:val="5734FF3D"/>
    <w:rsid w:val="575BCCB4"/>
    <w:rsid w:val="5768324E"/>
    <w:rsid w:val="577C408B"/>
    <w:rsid w:val="57808B4C"/>
    <w:rsid w:val="578B48FB"/>
    <w:rsid w:val="57C1B8D2"/>
    <w:rsid w:val="57EA9DDB"/>
    <w:rsid w:val="57FF3DB1"/>
    <w:rsid w:val="58053C62"/>
    <w:rsid w:val="58153C8D"/>
    <w:rsid w:val="583F8E4D"/>
    <w:rsid w:val="5871BA1F"/>
    <w:rsid w:val="5878FE92"/>
    <w:rsid w:val="5895F50B"/>
    <w:rsid w:val="58B87953"/>
    <w:rsid w:val="58E42718"/>
    <w:rsid w:val="58F0F5FD"/>
    <w:rsid w:val="58F47511"/>
    <w:rsid w:val="590A2A1B"/>
    <w:rsid w:val="59242533"/>
    <w:rsid w:val="592C3E38"/>
    <w:rsid w:val="5942D3CE"/>
    <w:rsid w:val="594B461C"/>
    <w:rsid w:val="5961AA27"/>
    <w:rsid w:val="5970B5BE"/>
    <w:rsid w:val="5976424F"/>
    <w:rsid w:val="5977C355"/>
    <w:rsid w:val="5980A91B"/>
    <w:rsid w:val="5984603E"/>
    <w:rsid w:val="59AC8E4B"/>
    <w:rsid w:val="59C59170"/>
    <w:rsid w:val="59C929FC"/>
    <w:rsid w:val="59D32654"/>
    <w:rsid w:val="59D80A67"/>
    <w:rsid w:val="59DF4976"/>
    <w:rsid w:val="59EDBFFF"/>
    <w:rsid w:val="59EDC169"/>
    <w:rsid w:val="59F004C2"/>
    <w:rsid w:val="59F1E18B"/>
    <w:rsid w:val="5A02C14E"/>
    <w:rsid w:val="5A0447D5"/>
    <w:rsid w:val="5A316B0D"/>
    <w:rsid w:val="5A4DCE53"/>
    <w:rsid w:val="5A6BC8FD"/>
    <w:rsid w:val="5A6BFFA6"/>
    <w:rsid w:val="5A7B7014"/>
    <w:rsid w:val="5A8B5DBC"/>
    <w:rsid w:val="5AC1E063"/>
    <w:rsid w:val="5AD15C06"/>
    <w:rsid w:val="5AD7C318"/>
    <w:rsid w:val="5AFDCB03"/>
    <w:rsid w:val="5AFF22F6"/>
    <w:rsid w:val="5B1F0DC8"/>
    <w:rsid w:val="5B25B292"/>
    <w:rsid w:val="5B27D5E5"/>
    <w:rsid w:val="5B4C581B"/>
    <w:rsid w:val="5B6BCC0C"/>
    <w:rsid w:val="5B764366"/>
    <w:rsid w:val="5B8902A3"/>
    <w:rsid w:val="5B994C03"/>
    <w:rsid w:val="5BA9F12E"/>
    <w:rsid w:val="5BB93EB6"/>
    <w:rsid w:val="5BC4E20C"/>
    <w:rsid w:val="5BC6E187"/>
    <w:rsid w:val="5BCB987F"/>
    <w:rsid w:val="5BD2EE2F"/>
    <w:rsid w:val="5BF0015E"/>
    <w:rsid w:val="5C057C87"/>
    <w:rsid w:val="5C1EE0E7"/>
    <w:rsid w:val="5C22EEC7"/>
    <w:rsid w:val="5C3A5AB0"/>
    <w:rsid w:val="5C428165"/>
    <w:rsid w:val="5C4506C4"/>
    <w:rsid w:val="5C791781"/>
    <w:rsid w:val="5C9976C9"/>
    <w:rsid w:val="5CA88473"/>
    <w:rsid w:val="5CCD575F"/>
    <w:rsid w:val="5CD3388B"/>
    <w:rsid w:val="5CD8EE86"/>
    <w:rsid w:val="5D2305A5"/>
    <w:rsid w:val="5D3FD36E"/>
    <w:rsid w:val="5D715EDF"/>
    <w:rsid w:val="5D96FF9F"/>
    <w:rsid w:val="5DB8FF6A"/>
    <w:rsid w:val="5DC9622C"/>
    <w:rsid w:val="5DD17A24"/>
    <w:rsid w:val="5DE8753C"/>
    <w:rsid w:val="5DEFD3A6"/>
    <w:rsid w:val="5E5292F6"/>
    <w:rsid w:val="5E54C162"/>
    <w:rsid w:val="5E95A316"/>
    <w:rsid w:val="5EABF7BC"/>
    <w:rsid w:val="5EAD64FA"/>
    <w:rsid w:val="5EB886A2"/>
    <w:rsid w:val="5EC0D061"/>
    <w:rsid w:val="5EC93A27"/>
    <w:rsid w:val="5EE357CC"/>
    <w:rsid w:val="5F3A0627"/>
    <w:rsid w:val="5F3A6ECA"/>
    <w:rsid w:val="5F53B992"/>
    <w:rsid w:val="5F669C80"/>
    <w:rsid w:val="5F6B4D6F"/>
    <w:rsid w:val="5F7A3869"/>
    <w:rsid w:val="5F83DED6"/>
    <w:rsid w:val="5F884E96"/>
    <w:rsid w:val="5F8B1512"/>
    <w:rsid w:val="5FB1B5DF"/>
    <w:rsid w:val="5FCD2D91"/>
    <w:rsid w:val="600DB70B"/>
    <w:rsid w:val="6020F55D"/>
    <w:rsid w:val="6023BD5E"/>
    <w:rsid w:val="604ACE23"/>
    <w:rsid w:val="6063268A"/>
    <w:rsid w:val="606B2A38"/>
    <w:rsid w:val="607E3982"/>
    <w:rsid w:val="6086B4F2"/>
    <w:rsid w:val="608CB8B5"/>
    <w:rsid w:val="608DDBEF"/>
    <w:rsid w:val="6095F5B3"/>
    <w:rsid w:val="6097776E"/>
    <w:rsid w:val="60E0EB36"/>
    <w:rsid w:val="60EEFEC4"/>
    <w:rsid w:val="613DCA45"/>
    <w:rsid w:val="615AD89D"/>
    <w:rsid w:val="61659601"/>
    <w:rsid w:val="6186EB62"/>
    <w:rsid w:val="619182DA"/>
    <w:rsid w:val="61A81D27"/>
    <w:rsid w:val="61BCCC8B"/>
    <w:rsid w:val="61BDED99"/>
    <w:rsid w:val="62151AA4"/>
    <w:rsid w:val="62341024"/>
    <w:rsid w:val="623E3F2D"/>
    <w:rsid w:val="624DEE86"/>
    <w:rsid w:val="62583AAD"/>
    <w:rsid w:val="62689CDD"/>
    <w:rsid w:val="62772405"/>
    <w:rsid w:val="62987542"/>
    <w:rsid w:val="62C6BB1A"/>
    <w:rsid w:val="62D0985E"/>
    <w:rsid w:val="631E24B8"/>
    <w:rsid w:val="6351D65F"/>
    <w:rsid w:val="63744BFC"/>
    <w:rsid w:val="638A98B0"/>
    <w:rsid w:val="638C5656"/>
    <w:rsid w:val="639690C4"/>
    <w:rsid w:val="6399CDFD"/>
    <w:rsid w:val="63A34A8C"/>
    <w:rsid w:val="63A49AD2"/>
    <w:rsid w:val="63C311AA"/>
    <w:rsid w:val="64007979"/>
    <w:rsid w:val="6409C0E2"/>
    <w:rsid w:val="6427E3FE"/>
    <w:rsid w:val="642A88E1"/>
    <w:rsid w:val="643CEADE"/>
    <w:rsid w:val="643F9C1E"/>
    <w:rsid w:val="644C88A1"/>
    <w:rsid w:val="645E8A22"/>
    <w:rsid w:val="64881C3D"/>
    <w:rsid w:val="64904A99"/>
    <w:rsid w:val="649982BE"/>
    <w:rsid w:val="64BE1E5B"/>
    <w:rsid w:val="64C06B7B"/>
    <w:rsid w:val="64D0666E"/>
    <w:rsid w:val="64D6AC25"/>
    <w:rsid w:val="6514AC25"/>
    <w:rsid w:val="653E0845"/>
    <w:rsid w:val="65409AD7"/>
    <w:rsid w:val="654A17AA"/>
    <w:rsid w:val="6557A38D"/>
    <w:rsid w:val="655A3CAF"/>
    <w:rsid w:val="65708F2C"/>
    <w:rsid w:val="6580BBF2"/>
    <w:rsid w:val="658DC270"/>
    <w:rsid w:val="659DD9E9"/>
    <w:rsid w:val="659E7B04"/>
    <w:rsid w:val="65C9526B"/>
    <w:rsid w:val="65FBDD96"/>
    <w:rsid w:val="6604DE77"/>
    <w:rsid w:val="6644912F"/>
    <w:rsid w:val="668E3026"/>
    <w:rsid w:val="66B1EC80"/>
    <w:rsid w:val="66BC3D6F"/>
    <w:rsid w:val="66D0036E"/>
    <w:rsid w:val="66E9EB73"/>
    <w:rsid w:val="66F4BFEF"/>
    <w:rsid w:val="6723B75E"/>
    <w:rsid w:val="6732A659"/>
    <w:rsid w:val="674D2600"/>
    <w:rsid w:val="675A96CE"/>
    <w:rsid w:val="67AE505B"/>
    <w:rsid w:val="67C33F96"/>
    <w:rsid w:val="6806DB13"/>
    <w:rsid w:val="680A7362"/>
    <w:rsid w:val="681AFA09"/>
    <w:rsid w:val="682AE1E1"/>
    <w:rsid w:val="682DDC43"/>
    <w:rsid w:val="685DE73F"/>
    <w:rsid w:val="68779D50"/>
    <w:rsid w:val="687A19F2"/>
    <w:rsid w:val="687A4625"/>
    <w:rsid w:val="687C5ECE"/>
    <w:rsid w:val="687D4C6C"/>
    <w:rsid w:val="6884754F"/>
    <w:rsid w:val="688C3976"/>
    <w:rsid w:val="68AC4B9C"/>
    <w:rsid w:val="68D13C0E"/>
    <w:rsid w:val="68E86BB2"/>
    <w:rsid w:val="68F93B36"/>
    <w:rsid w:val="69184201"/>
    <w:rsid w:val="691ECDEA"/>
    <w:rsid w:val="69273636"/>
    <w:rsid w:val="6941EE2B"/>
    <w:rsid w:val="6951F247"/>
    <w:rsid w:val="6979EE2B"/>
    <w:rsid w:val="6988D3EC"/>
    <w:rsid w:val="698EFDA8"/>
    <w:rsid w:val="69D5C1C2"/>
    <w:rsid w:val="69E8D19B"/>
    <w:rsid w:val="69ED5C62"/>
    <w:rsid w:val="69F1F883"/>
    <w:rsid w:val="69F49A14"/>
    <w:rsid w:val="6A095D31"/>
    <w:rsid w:val="6A0C2C23"/>
    <w:rsid w:val="6A201349"/>
    <w:rsid w:val="6A2D447B"/>
    <w:rsid w:val="6A36DF8C"/>
    <w:rsid w:val="6A55BBB4"/>
    <w:rsid w:val="6A79ED97"/>
    <w:rsid w:val="6A8353B7"/>
    <w:rsid w:val="6A86A002"/>
    <w:rsid w:val="6A87DF6F"/>
    <w:rsid w:val="6A87F0DF"/>
    <w:rsid w:val="6A908948"/>
    <w:rsid w:val="6A99C17A"/>
    <w:rsid w:val="6AAFC4CB"/>
    <w:rsid w:val="6AB327E2"/>
    <w:rsid w:val="6ABD93CB"/>
    <w:rsid w:val="6AC5733B"/>
    <w:rsid w:val="6AC95018"/>
    <w:rsid w:val="6ACE4562"/>
    <w:rsid w:val="6AEA0EB8"/>
    <w:rsid w:val="6AF6FB39"/>
    <w:rsid w:val="6B05AA25"/>
    <w:rsid w:val="6B07B14F"/>
    <w:rsid w:val="6B569DC4"/>
    <w:rsid w:val="6B57AA3D"/>
    <w:rsid w:val="6B5B6610"/>
    <w:rsid w:val="6B5F2FD0"/>
    <w:rsid w:val="6B6DC211"/>
    <w:rsid w:val="6B7E46C5"/>
    <w:rsid w:val="6B854202"/>
    <w:rsid w:val="6B91FB95"/>
    <w:rsid w:val="6BA54AA4"/>
    <w:rsid w:val="6BB49FA8"/>
    <w:rsid w:val="6BBA77CB"/>
    <w:rsid w:val="6BBEF641"/>
    <w:rsid w:val="6BE6130C"/>
    <w:rsid w:val="6BE9CFB1"/>
    <w:rsid w:val="6C0190C9"/>
    <w:rsid w:val="6C056F52"/>
    <w:rsid w:val="6C157F94"/>
    <w:rsid w:val="6C176DDF"/>
    <w:rsid w:val="6C1EA478"/>
    <w:rsid w:val="6C2DD130"/>
    <w:rsid w:val="6C4B59CD"/>
    <w:rsid w:val="6C600425"/>
    <w:rsid w:val="6C8C6EBB"/>
    <w:rsid w:val="6CABB479"/>
    <w:rsid w:val="6CBA9A68"/>
    <w:rsid w:val="6D03FD1C"/>
    <w:rsid w:val="6D215C86"/>
    <w:rsid w:val="6D4AAB75"/>
    <w:rsid w:val="6D530F9D"/>
    <w:rsid w:val="6D5434FC"/>
    <w:rsid w:val="6D56D0F9"/>
    <w:rsid w:val="6D6C8676"/>
    <w:rsid w:val="6D78EBB0"/>
    <w:rsid w:val="6D932D80"/>
    <w:rsid w:val="6DB9994D"/>
    <w:rsid w:val="6DBF31AC"/>
    <w:rsid w:val="6DDC38B1"/>
    <w:rsid w:val="6DE42EA0"/>
    <w:rsid w:val="6DEAEA3F"/>
    <w:rsid w:val="6E33975E"/>
    <w:rsid w:val="6E38DD74"/>
    <w:rsid w:val="6E3CFF80"/>
    <w:rsid w:val="6E7656A7"/>
    <w:rsid w:val="6E8C7839"/>
    <w:rsid w:val="6F15AEE6"/>
    <w:rsid w:val="6F1B8684"/>
    <w:rsid w:val="6F1C4FFB"/>
    <w:rsid w:val="6F71BA47"/>
    <w:rsid w:val="6F7BED52"/>
    <w:rsid w:val="6F836054"/>
    <w:rsid w:val="6F8E8DA5"/>
    <w:rsid w:val="6F9DC2DE"/>
    <w:rsid w:val="6FB95A4B"/>
    <w:rsid w:val="6FFE72D4"/>
    <w:rsid w:val="700293FC"/>
    <w:rsid w:val="70087AFE"/>
    <w:rsid w:val="70144B53"/>
    <w:rsid w:val="7016206C"/>
    <w:rsid w:val="702396FB"/>
    <w:rsid w:val="703A0F65"/>
    <w:rsid w:val="7074F267"/>
    <w:rsid w:val="7075D185"/>
    <w:rsid w:val="708857F0"/>
    <w:rsid w:val="709D822F"/>
    <w:rsid w:val="70B06257"/>
    <w:rsid w:val="70B4C91C"/>
    <w:rsid w:val="70C91082"/>
    <w:rsid w:val="70ECFC57"/>
    <w:rsid w:val="7117233A"/>
    <w:rsid w:val="711B1300"/>
    <w:rsid w:val="71284D22"/>
    <w:rsid w:val="7135A90A"/>
    <w:rsid w:val="7136D697"/>
    <w:rsid w:val="71482A87"/>
    <w:rsid w:val="7149CCE3"/>
    <w:rsid w:val="715953F3"/>
    <w:rsid w:val="715F7FB2"/>
    <w:rsid w:val="71848F0D"/>
    <w:rsid w:val="719F4D9B"/>
    <w:rsid w:val="71BC2B08"/>
    <w:rsid w:val="71C26E1F"/>
    <w:rsid w:val="71C5C8D5"/>
    <w:rsid w:val="71F54A47"/>
    <w:rsid w:val="71FB7751"/>
    <w:rsid w:val="72019781"/>
    <w:rsid w:val="7207CF33"/>
    <w:rsid w:val="7208D561"/>
    <w:rsid w:val="721C1883"/>
    <w:rsid w:val="726FA989"/>
    <w:rsid w:val="728606AD"/>
    <w:rsid w:val="72921D53"/>
    <w:rsid w:val="72A7FC02"/>
    <w:rsid w:val="72AAA77E"/>
    <w:rsid w:val="72B0C49F"/>
    <w:rsid w:val="72BD9B8B"/>
    <w:rsid w:val="72E18B91"/>
    <w:rsid w:val="72E393C9"/>
    <w:rsid w:val="72E573B7"/>
    <w:rsid w:val="73025B5B"/>
    <w:rsid w:val="731CC4EF"/>
    <w:rsid w:val="73233FE1"/>
    <w:rsid w:val="73378D20"/>
    <w:rsid w:val="7338AE76"/>
    <w:rsid w:val="733C79FE"/>
    <w:rsid w:val="733FF005"/>
    <w:rsid w:val="7343A661"/>
    <w:rsid w:val="73591D81"/>
    <w:rsid w:val="7364B3DD"/>
    <w:rsid w:val="7368A42A"/>
    <w:rsid w:val="736DC111"/>
    <w:rsid w:val="7370897E"/>
    <w:rsid w:val="73A27178"/>
    <w:rsid w:val="73DCD31A"/>
    <w:rsid w:val="73F3B513"/>
    <w:rsid w:val="74066C4D"/>
    <w:rsid w:val="742021FB"/>
    <w:rsid w:val="7440ACF8"/>
    <w:rsid w:val="746275F6"/>
    <w:rsid w:val="7492C01A"/>
    <w:rsid w:val="74A41051"/>
    <w:rsid w:val="74AFF579"/>
    <w:rsid w:val="74C105EB"/>
    <w:rsid w:val="74CF577F"/>
    <w:rsid w:val="74DA195A"/>
    <w:rsid w:val="74EECF19"/>
    <w:rsid w:val="74F3077F"/>
    <w:rsid w:val="74FF5CA9"/>
    <w:rsid w:val="752065FF"/>
    <w:rsid w:val="75552ABC"/>
    <w:rsid w:val="755F561F"/>
    <w:rsid w:val="7560A277"/>
    <w:rsid w:val="7560A287"/>
    <w:rsid w:val="756A1347"/>
    <w:rsid w:val="756A234C"/>
    <w:rsid w:val="75753861"/>
    <w:rsid w:val="75920AD2"/>
    <w:rsid w:val="75A9E58A"/>
    <w:rsid w:val="75B63102"/>
    <w:rsid w:val="75BDBF5C"/>
    <w:rsid w:val="75C613F1"/>
    <w:rsid w:val="75D1F67D"/>
    <w:rsid w:val="75E26428"/>
    <w:rsid w:val="761C7217"/>
    <w:rsid w:val="7659C27C"/>
    <w:rsid w:val="765FA770"/>
    <w:rsid w:val="766FCB8A"/>
    <w:rsid w:val="76768AEF"/>
    <w:rsid w:val="7677863C"/>
    <w:rsid w:val="76958040"/>
    <w:rsid w:val="76B24359"/>
    <w:rsid w:val="76CA3BD4"/>
    <w:rsid w:val="76D06562"/>
    <w:rsid w:val="76D70F0D"/>
    <w:rsid w:val="76E5C3A5"/>
    <w:rsid w:val="76F83CA1"/>
    <w:rsid w:val="770128CD"/>
    <w:rsid w:val="772AFB6A"/>
    <w:rsid w:val="772F0D6A"/>
    <w:rsid w:val="7732AE8B"/>
    <w:rsid w:val="77341033"/>
    <w:rsid w:val="773799A9"/>
    <w:rsid w:val="77391590"/>
    <w:rsid w:val="7758C4C0"/>
    <w:rsid w:val="775C0BDE"/>
    <w:rsid w:val="776C5177"/>
    <w:rsid w:val="7782D3CD"/>
    <w:rsid w:val="77B8116E"/>
    <w:rsid w:val="77DC75D3"/>
    <w:rsid w:val="77DFF310"/>
    <w:rsid w:val="77EF7E32"/>
    <w:rsid w:val="784020CA"/>
    <w:rsid w:val="78420E53"/>
    <w:rsid w:val="784F61DA"/>
    <w:rsid w:val="78611BF4"/>
    <w:rsid w:val="786397E3"/>
    <w:rsid w:val="786F8B7F"/>
    <w:rsid w:val="78792719"/>
    <w:rsid w:val="787F3634"/>
    <w:rsid w:val="788C0808"/>
    <w:rsid w:val="788E3B6C"/>
    <w:rsid w:val="789382DC"/>
    <w:rsid w:val="78EA631C"/>
    <w:rsid w:val="78EE6204"/>
    <w:rsid w:val="78F874C2"/>
    <w:rsid w:val="78FBC920"/>
    <w:rsid w:val="793D579D"/>
    <w:rsid w:val="795C11FE"/>
    <w:rsid w:val="7968EFD4"/>
    <w:rsid w:val="799CACDB"/>
    <w:rsid w:val="79C65C6E"/>
    <w:rsid w:val="79EDEDF5"/>
    <w:rsid w:val="7A06AB4B"/>
    <w:rsid w:val="7A0AD94C"/>
    <w:rsid w:val="7A161BB1"/>
    <w:rsid w:val="7A252FCE"/>
    <w:rsid w:val="7A31BB53"/>
    <w:rsid w:val="7A355051"/>
    <w:rsid w:val="7A3807F9"/>
    <w:rsid w:val="7A6E5A78"/>
    <w:rsid w:val="7A7D9890"/>
    <w:rsid w:val="7A802649"/>
    <w:rsid w:val="7A96B739"/>
    <w:rsid w:val="7AA18FAA"/>
    <w:rsid w:val="7AB57F8C"/>
    <w:rsid w:val="7ABABFA5"/>
    <w:rsid w:val="7AC778F7"/>
    <w:rsid w:val="7AE07575"/>
    <w:rsid w:val="7AE44777"/>
    <w:rsid w:val="7AFA0DAF"/>
    <w:rsid w:val="7B00FC94"/>
    <w:rsid w:val="7B27EA0A"/>
    <w:rsid w:val="7B28CEDB"/>
    <w:rsid w:val="7B2CD588"/>
    <w:rsid w:val="7B35445B"/>
    <w:rsid w:val="7B640E8C"/>
    <w:rsid w:val="7B683FF5"/>
    <w:rsid w:val="7B6F696A"/>
    <w:rsid w:val="7B82D213"/>
    <w:rsid w:val="7BA1D0C9"/>
    <w:rsid w:val="7BE59F9C"/>
    <w:rsid w:val="7BF83FFB"/>
    <w:rsid w:val="7C000691"/>
    <w:rsid w:val="7C15FE97"/>
    <w:rsid w:val="7C218413"/>
    <w:rsid w:val="7C244E2F"/>
    <w:rsid w:val="7C38BDD2"/>
    <w:rsid w:val="7C47BB81"/>
    <w:rsid w:val="7C520E55"/>
    <w:rsid w:val="7C681F22"/>
    <w:rsid w:val="7CBD0C78"/>
    <w:rsid w:val="7CC68CD2"/>
    <w:rsid w:val="7CE3823A"/>
    <w:rsid w:val="7D1780CC"/>
    <w:rsid w:val="7D3C3149"/>
    <w:rsid w:val="7D6D8A14"/>
    <w:rsid w:val="7D731A0D"/>
    <w:rsid w:val="7DABA3F5"/>
    <w:rsid w:val="7DB67B88"/>
    <w:rsid w:val="7DBEEFEF"/>
    <w:rsid w:val="7DCC5843"/>
    <w:rsid w:val="7DD09263"/>
    <w:rsid w:val="7DF6368F"/>
    <w:rsid w:val="7E0032F2"/>
    <w:rsid w:val="7E00ECB7"/>
    <w:rsid w:val="7E32BBD1"/>
    <w:rsid w:val="7E337BB9"/>
    <w:rsid w:val="7E37C5C8"/>
    <w:rsid w:val="7E4204F1"/>
    <w:rsid w:val="7E4920A9"/>
    <w:rsid w:val="7E64284E"/>
    <w:rsid w:val="7E68688D"/>
    <w:rsid w:val="7E86BBC9"/>
    <w:rsid w:val="7E985D6D"/>
    <w:rsid w:val="7EA30F0F"/>
    <w:rsid w:val="7ED14AD1"/>
    <w:rsid w:val="7EFBE9B3"/>
    <w:rsid w:val="7F034211"/>
    <w:rsid w:val="7F2296B5"/>
    <w:rsid w:val="7F419402"/>
    <w:rsid w:val="7F55ACE8"/>
    <w:rsid w:val="7F618724"/>
    <w:rsid w:val="7F921FB5"/>
    <w:rsid w:val="7F954C5D"/>
    <w:rsid w:val="7F9E49C4"/>
    <w:rsid w:val="7FAD7A8F"/>
    <w:rsid w:val="7FB6FB8F"/>
    <w:rsid w:val="7FC32B80"/>
    <w:rsid w:val="7FC3A928"/>
    <w:rsid w:val="7FD45D8F"/>
    <w:rsid w:val="7FDABF58"/>
    <w:rsid w:val="7FE360B6"/>
    <w:rsid w:val="7FE54996"/>
    <w:rsid w:val="7FE9C71F"/>
    <w:rsid w:val="7FEEEA29"/>
    <w:rsid w:val="7FF9E3D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44D53"/>
  <w15:chartTrackingRefBased/>
  <w15:docId w15:val="{B947D52E-3CDF-475B-BE84-3DD98016E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22222" w:themeColor="text1"/>
        <w:sz w:val="21"/>
        <w:szCs w:val="22"/>
        <w:lang w:val="en-AU" w:eastAsia="en-US" w:bidi="ar-SA"/>
      </w:rPr>
    </w:rPrDefault>
    <w:pPrDefault>
      <w:pPr>
        <w:spacing w:after="21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qFormat="1"/>
    <w:lsdException w:name="header" w:locked="0"/>
    <w:lsdException w:name="footer" w:locked="0"/>
    <w:lsdException w:name="index heading" w:semiHidden="1"/>
    <w:lsdException w:name="caption" w:locked="0" w:uiPriority="20" w:qFormat="1"/>
    <w:lsdException w:name="table of figures" w:locked="0"/>
    <w:lsdException w:name="envelope address" w:locked="0" w:uiPriority="34"/>
    <w:lsdException w:name="envelope return" w:locked="0" w:semiHidden="1"/>
    <w:lsdException w:name="footnote reference" w:locked="0"/>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semiHidden="1"/>
    <w:lsdException w:name="List Bullet" w:locked="0" w:uiPriority="16" w:qFormat="1"/>
    <w:lsdException w:name="List Number" w:locked="0" w:uiPriority="16" w:qFormat="1"/>
    <w:lsdException w:name="List 2" w:locked="0" w:semiHidden="1"/>
    <w:lsdException w:name="List 3" w:locked="0" w:semiHidden="1"/>
    <w:lsdException w:name="List 4" w:locked="0" w:semiHidden="1"/>
    <w:lsdException w:name="List 5" w:locked="0" w:semiHidden="1"/>
    <w:lsdException w:name="List Bullet 2" w:locked="0" w:uiPriority="16" w:qFormat="1"/>
    <w:lsdException w:name="List Bullet 3" w:locked="0" w:uiPriority="16" w:qFormat="1"/>
    <w:lsdException w:name="List Bullet 4" w:locked="0"/>
    <w:lsdException w:name="List Bullet 5" w:locked="0"/>
    <w:lsdException w:name="List Number 2" w:locked="0" w:uiPriority="16" w:qFormat="1"/>
    <w:lsdException w:name="List Number 3" w:locked="0" w:uiPriority="16"/>
    <w:lsdException w:name="List Number 4" w:locked="0" w:uiPriority="17"/>
    <w:lsdException w:name="List Number 5" w:locked="0" w:uiPriority="17"/>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uiPriority="17"/>
    <w:lsdException w:name="List Continue 2" w:locked="0" w:uiPriority="17"/>
    <w:lsdException w:name="List Continue 3" w:locked="0" w:uiPriority="17"/>
    <w:lsdException w:name="List Continue 4" w:locked="0" w:uiPriority="17"/>
    <w:lsdException w:name="List Continue 5" w:locked="0" w:uiPriority="17"/>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070EBE"/>
  </w:style>
  <w:style w:type="paragraph" w:styleId="Heading1">
    <w:name w:val="heading 1"/>
    <w:basedOn w:val="Normal"/>
    <w:next w:val="Normal"/>
    <w:link w:val="Heading1Char"/>
    <w:uiPriority w:val="9"/>
    <w:qFormat/>
    <w:rsid w:val="00D066D9"/>
    <w:pPr>
      <w:keepNext/>
      <w:keepLines/>
      <w:pageBreakBefore/>
      <w:numPr>
        <w:numId w:val="1"/>
      </w:numPr>
      <w:pBdr>
        <w:top w:val="single" w:sz="8" w:space="10" w:color="CC6600" w:themeColor="accent1"/>
      </w:pBdr>
      <w:spacing w:after="360"/>
      <w:outlineLvl w:val="0"/>
    </w:pPr>
    <w:rPr>
      <w:rFonts w:asciiTheme="majorHAnsi" w:eastAsiaTheme="majorEastAsia" w:hAnsiTheme="majorHAnsi" w:cstheme="majorBidi"/>
      <w:caps/>
      <w:sz w:val="40"/>
      <w:szCs w:val="32"/>
    </w:rPr>
  </w:style>
  <w:style w:type="paragraph" w:styleId="Heading2">
    <w:name w:val="heading 2"/>
    <w:basedOn w:val="Normal"/>
    <w:next w:val="Normal"/>
    <w:link w:val="Heading2Char"/>
    <w:uiPriority w:val="9"/>
    <w:qFormat/>
    <w:rsid w:val="00D066D9"/>
    <w:pPr>
      <w:keepNext/>
      <w:keepLines/>
      <w:numPr>
        <w:ilvl w:val="1"/>
        <w:numId w:val="1"/>
      </w:numPr>
      <w:spacing w:before="240" w:after="120"/>
      <w:outlineLvl w:val="1"/>
    </w:pPr>
    <w:rPr>
      <w:rFonts w:asciiTheme="majorHAnsi" w:eastAsiaTheme="majorEastAsia" w:hAnsiTheme="majorHAnsi" w:cstheme="majorBidi"/>
      <w:color w:val="0D3E67" w:themeColor="accent3"/>
      <w:sz w:val="32"/>
      <w:szCs w:val="26"/>
    </w:rPr>
  </w:style>
  <w:style w:type="paragraph" w:styleId="Heading3">
    <w:name w:val="heading 3"/>
    <w:basedOn w:val="Normal"/>
    <w:next w:val="Normal"/>
    <w:link w:val="Heading3Char"/>
    <w:uiPriority w:val="9"/>
    <w:qFormat/>
    <w:rsid w:val="00D066D9"/>
    <w:pPr>
      <w:keepNext/>
      <w:keepLines/>
      <w:numPr>
        <w:ilvl w:val="2"/>
        <w:numId w:val="1"/>
      </w:numPr>
      <w:spacing w:before="240" w:after="120"/>
      <w:outlineLvl w:val="2"/>
    </w:pPr>
    <w:rPr>
      <w:rFonts w:asciiTheme="majorHAnsi" w:eastAsiaTheme="majorEastAsia" w:hAnsiTheme="majorHAnsi" w:cstheme="majorBidi"/>
      <w:sz w:val="28"/>
      <w:szCs w:val="24"/>
    </w:rPr>
  </w:style>
  <w:style w:type="paragraph" w:styleId="Heading4">
    <w:name w:val="heading 4"/>
    <w:basedOn w:val="Normal"/>
    <w:next w:val="Normal"/>
    <w:link w:val="Heading4Char"/>
    <w:uiPriority w:val="9"/>
    <w:qFormat/>
    <w:rsid w:val="00D066D9"/>
    <w:pPr>
      <w:keepNext/>
      <w:keepLines/>
      <w:numPr>
        <w:ilvl w:val="3"/>
        <w:numId w:val="1"/>
      </w:numPr>
      <w:spacing w:before="240"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qFormat/>
    <w:rsid w:val="00D066D9"/>
    <w:pPr>
      <w:keepNext/>
      <w:keepLines/>
      <w:spacing w:before="240" w:after="60" w:line="240" w:lineRule="auto"/>
      <w:outlineLvl w:val="4"/>
    </w:pPr>
    <w:rPr>
      <w:rFonts w:asciiTheme="majorHAnsi" w:eastAsiaTheme="majorEastAsia" w:hAnsiTheme="majorHAnsi" w:cstheme="majorBidi"/>
      <w:color w:val="CC6600" w:themeColor="accent1"/>
    </w:rPr>
  </w:style>
  <w:style w:type="paragraph" w:styleId="Heading6">
    <w:name w:val="heading 6"/>
    <w:basedOn w:val="Normal"/>
    <w:next w:val="Normal"/>
    <w:link w:val="Heading6Char"/>
    <w:uiPriority w:val="9"/>
    <w:qFormat/>
    <w:rsid w:val="00D066D9"/>
    <w:pPr>
      <w:keepNext/>
      <w:keepLines/>
      <w:spacing w:before="240" w:after="60" w:line="240" w:lineRule="auto"/>
      <w:outlineLvl w:val="5"/>
    </w:pPr>
    <w:rPr>
      <w:rFonts w:asciiTheme="majorHAnsi" w:eastAsiaTheme="majorEastAsia" w:hAnsiTheme="majorHAnsi" w:cstheme="majorBidi"/>
      <w:color w:val="CC6600" w:themeColor="accent1"/>
    </w:rPr>
  </w:style>
  <w:style w:type="paragraph" w:styleId="Heading7">
    <w:name w:val="heading 7"/>
    <w:basedOn w:val="Normal"/>
    <w:next w:val="Normal"/>
    <w:link w:val="Heading7Char"/>
    <w:uiPriority w:val="9"/>
    <w:qFormat/>
    <w:rsid w:val="00D066D9"/>
    <w:pPr>
      <w:keepNext/>
      <w:keepLines/>
      <w:spacing w:before="240" w:after="60" w:line="240" w:lineRule="auto"/>
      <w:outlineLvl w:val="6"/>
    </w:pPr>
    <w:rPr>
      <w:rFonts w:asciiTheme="majorHAnsi" w:eastAsiaTheme="majorEastAsia" w:hAnsiTheme="majorHAnsi" w:cstheme="majorBidi"/>
      <w:i/>
      <w:iCs/>
      <w:color w:val="CC6600" w:themeColor="accent1"/>
    </w:rPr>
  </w:style>
  <w:style w:type="paragraph" w:styleId="Heading8">
    <w:name w:val="heading 8"/>
    <w:basedOn w:val="Normal"/>
    <w:next w:val="Normal"/>
    <w:link w:val="Heading8Char"/>
    <w:uiPriority w:val="12"/>
    <w:qFormat/>
    <w:rsid w:val="00D066D9"/>
    <w:pPr>
      <w:keepNext/>
      <w:keepLines/>
      <w:pageBreakBefore/>
      <w:numPr>
        <w:numId w:val="6"/>
      </w:numPr>
      <w:pBdr>
        <w:top w:val="single" w:sz="8" w:space="10" w:color="CC6600" w:themeColor="accent1"/>
      </w:pBdr>
      <w:spacing w:before="240" w:after="120"/>
      <w:outlineLvl w:val="7"/>
    </w:pPr>
    <w:rPr>
      <w:rFonts w:asciiTheme="majorHAnsi" w:eastAsiaTheme="majorEastAsia" w:hAnsiTheme="majorHAnsi" w:cstheme="majorBidi"/>
      <w:caps/>
      <w:sz w:val="40"/>
      <w:szCs w:val="21"/>
    </w:rPr>
  </w:style>
  <w:style w:type="paragraph" w:styleId="Heading9">
    <w:name w:val="heading 9"/>
    <w:basedOn w:val="Normal"/>
    <w:next w:val="Normal"/>
    <w:link w:val="Heading9Char"/>
    <w:uiPriority w:val="12"/>
    <w:qFormat/>
    <w:rsid w:val="00D066D9"/>
    <w:pPr>
      <w:keepNext/>
      <w:keepLines/>
      <w:numPr>
        <w:ilvl w:val="1"/>
        <w:numId w:val="6"/>
      </w:numPr>
      <w:spacing w:before="240" w:line="240" w:lineRule="auto"/>
      <w:outlineLvl w:val="8"/>
    </w:pPr>
    <w:rPr>
      <w:rFonts w:asciiTheme="majorHAnsi" w:eastAsiaTheme="majorEastAsia" w:hAnsiTheme="majorHAnsi" w:cstheme="majorBidi"/>
      <w:iCs/>
      <w:color w:val="0D3E67" w:themeColor="accent3"/>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066D9"/>
    <w:pPr>
      <w:spacing w:after="0"/>
    </w:pPr>
  </w:style>
  <w:style w:type="character" w:customStyle="1" w:styleId="Heading1Char">
    <w:name w:val="Heading 1 Char"/>
    <w:basedOn w:val="DefaultParagraphFont"/>
    <w:link w:val="Heading1"/>
    <w:uiPriority w:val="9"/>
    <w:rsid w:val="00D066D9"/>
    <w:rPr>
      <w:rFonts w:asciiTheme="majorHAnsi" w:eastAsiaTheme="majorEastAsia" w:hAnsiTheme="majorHAnsi" w:cstheme="majorBidi"/>
      <w:caps/>
      <w:sz w:val="40"/>
      <w:szCs w:val="32"/>
    </w:rPr>
  </w:style>
  <w:style w:type="character" w:customStyle="1" w:styleId="Heading2Char">
    <w:name w:val="Heading 2 Char"/>
    <w:basedOn w:val="DefaultParagraphFont"/>
    <w:link w:val="Heading2"/>
    <w:uiPriority w:val="9"/>
    <w:rsid w:val="00D066D9"/>
    <w:rPr>
      <w:rFonts w:asciiTheme="majorHAnsi" w:eastAsiaTheme="majorEastAsia" w:hAnsiTheme="majorHAnsi" w:cstheme="majorBidi"/>
      <w:color w:val="0D3E67" w:themeColor="accent3"/>
      <w:sz w:val="32"/>
      <w:szCs w:val="26"/>
    </w:rPr>
  </w:style>
  <w:style w:type="character" w:customStyle="1" w:styleId="Heading3Char">
    <w:name w:val="Heading 3 Char"/>
    <w:basedOn w:val="DefaultParagraphFont"/>
    <w:link w:val="Heading3"/>
    <w:uiPriority w:val="9"/>
    <w:rsid w:val="00D066D9"/>
    <w:rPr>
      <w:rFonts w:asciiTheme="majorHAnsi" w:eastAsiaTheme="majorEastAsia" w:hAnsiTheme="majorHAnsi" w:cstheme="majorBidi"/>
      <w:sz w:val="28"/>
      <w:szCs w:val="24"/>
    </w:rPr>
  </w:style>
  <w:style w:type="character" w:customStyle="1" w:styleId="Heading4Char">
    <w:name w:val="Heading 4 Char"/>
    <w:basedOn w:val="DefaultParagraphFont"/>
    <w:link w:val="Heading4"/>
    <w:uiPriority w:val="9"/>
    <w:rsid w:val="00D066D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rsid w:val="00D066D9"/>
    <w:rPr>
      <w:rFonts w:asciiTheme="majorHAnsi" w:eastAsiaTheme="majorEastAsia" w:hAnsiTheme="majorHAnsi" w:cstheme="majorBidi"/>
      <w:color w:val="CC6600" w:themeColor="accent1"/>
    </w:rPr>
  </w:style>
  <w:style w:type="character" w:customStyle="1" w:styleId="Heading6Char">
    <w:name w:val="Heading 6 Char"/>
    <w:basedOn w:val="DefaultParagraphFont"/>
    <w:link w:val="Heading6"/>
    <w:uiPriority w:val="9"/>
    <w:rsid w:val="00D066D9"/>
    <w:rPr>
      <w:rFonts w:asciiTheme="majorHAnsi" w:eastAsiaTheme="majorEastAsia" w:hAnsiTheme="majorHAnsi" w:cstheme="majorBidi"/>
      <w:color w:val="CC6600" w:themeColor="accent1"/>
    </w:rPr>
  </w:style>
  <w:style w:type="character" w:customStyle="1" w:styleId="Heading7Char">
    <w:name w:val="Heading 7 Char"/>
    <w:basedOn w:val="DefaultParagraphFont"/>
    <w:link w:val="Heading7"/>
    <w:uiPriority w:val="9"/>
    <w:rsid w:val="00D066D9"/>
    <w:rPr>
      <w:rFonts w:asciiTheme="majorHAnsi" w:eastAsiaTheme="majorEastAsia" w:hAnsiTheme="majorHAnsi" w:cstheme="majorBidi"/>
      <w:i/>
      <w:iCs/>
      <w:color w:val="CC6600" w:themeColor="accent1"/>
    </w:rPr>
  </w:style>
  <w:style w:type="character" w:customStyle="1" w:styleId="Heading8Char">
    <w:name w:val="Heading 8 Char"/>
    <w:basedOn w:val="DefaultParagraphFont"/>
    <w:link w:val="Heading8"/>
    <w:uiPriority w:val="12"/>
    <w:rsid w:val="00D066D9"/>
    <w:rPr>
      <w:rFonts w:asciiTheme="majorHAnsi" w:eastAsiaTheme="majorEastAsia" w:hAnsiTheme="majorHAnsi" w:cstheme="majorBidi"/>
      <w:caps/>
      <w:sz w:val="40"/>
      <w:szCs w:val="21"/>
    </w:rPr>
  </w:style>
  <w:style w:type="character" w:customStyle="1" w:styleId="Heading9Char">
    <w:name w:val="Heading 9 Char"/>
    <w:basedOn w:val="DefaultParagraphFont"/>
    <w:link w:val="Heading9"/>
    <w:uiPriority w:val="12"/>
    <w:rsid w:val="00D066D9"/>
    <w:rPr>
      <w:rFonts w:asciiTheme="majorHAnsi" w:eastAsiaTheme="majorEastAsia" w:hAnsiTheme="majorHAnsi" w:cstheme="majorBidi"/>
      <w:iCs/>
      <w:color w:val="0D3E67" w:themeColor="accent3"/>
      <w:sz w:val="28"/>
      <w:szCs w:val="21"/>
    </w:rPr>
  </w:style>
  <w:style w:type="paragraph" w:styleId="ListBullet">
    <w:name w:val="List Bullet"/>
    <w:basedOn w:val="Normal"/>
    <w:uiPriority w:val="16"/>
    <w:qFormat/>
    <w:rsid w:val="00D066D9"/>
    <w:pPr>
      <w:numPr>
        <w:numId w:val="4"/>
      </w:numPr>
      <w:spacing w:after="120"/>
      <w:contextualSpacing/>
    </w:pPr>
  </w:style>
  <w:style w:type="paragraph" w:styleId="ListParagraph">
    <w:name w:val="List Paragraph"/>
    <w:basedOn w:val="Normal"/>
    <w:link w:val="ListParagraphChar"/>
    <w:uiPriority w:val="18"/>
    <w:qFormat/>
    <w:rsid w:val="00D066D9"/>
    <w:pPr>
      <w:spacing w:after="120"/>
      <w:ind w:left="357"/>
      <w:contextualSpacing/>
    </w:pPr>
  </w:style>
  <w:style w:type="paragraph" w:styleId="ListBullet2">
    <w:name w:val="List Bullet 2"/>
    <w:basedOn w:val="Normal"/>
    <w:uiPriority w:val="16"/>
    <w:qFormat/>
    <w:rsid w:val="00D066D9"/>
    <w:pPr>
      <w:numPr>
        <w:ilvl w:val="1"/>
        <w:numId w:val="4"/>
      </w:numPr>
      <w:spacing w:after="120"/>
      <w:contextualSpacing/>
    </w:pPr>
  </w:style>
  <w:style w:type="paragraph" w:styleId="ListBullet4">
    <w:name w:val="List Bullet 4"/>
    <w:basedOn w:val="Normal"/>
    <w:uiPriority w:val="99"/>
    <w:semiHidden/>
    <w:rsid w:val="00D066D9"/>
    <w:pPr>
      <w:spacing w:after="120"/>
      <w:contextualSpacing/>
    </w:pPr>
  </w:style>
  <w:style w:type="paragraph" w:styleId="FootnoteText">
    <w:name w:val="footnote text"/>
    <w:basedOn w:val="Normal"/>
    <w:link w:val="FootnoteTextChar"/>
    <w:uiPriority w:val="99"/>
    <w:rsid w:val="00D066D9"/>
    <w:pPr>
      <w:tabs>
        <w:tab w:val="left" w:pos="357"/>
      </w:tabs>
      <w:spacing w:after="0" w:line="240" w:lineRule="auto"/>
      <w:ind w:left="357" w:hanging="357"/>
    </w:pPr>
    <w:rPr>
      <w:sz w:val="18"/>
      <w:szCs w:val="20"/>
    </w:rPr>
  </w:style>
  <w:style w:type="paragraph" w:styleId="ListBullet5">
    <w:name w:val="List Bullet 5"/>
    <w:basedOn w:val="Normal"/>
    <w:uiPriority w:val="99"/>
    <w:semiHidden/>
    <w:rsid w:val="00D066D9"/>
    <w:pPr>
      <w:spacing w:after="120"/>
      <w:contextualSpacing/>
    </w:pPr>
  </w:style>
  <w:style w:type="numbering" w:styleId="111111">
    <w:name w:val="Outline List 2"/>
    <w:basedOn w:val="NoList"/>
    <w:uiPriority w:val="99"/>
    <w:semiHidden/>
    <w:unhideWhenUsed/>
    <w:rsid w:val="00D066D9"/>
    <w:pPr>
      <w:numPr>
        <w:numId w:val="15"/>
      </w:numPr>
    </w:pPr>
  </w:style>
  <w:style w:type="numbering" w:styleId="1ai">
    <w:name w:val="Outline List 1"/>
    <w:basedOn w:val="NoList"/>
    <w:uiPriority w:val="99"/>
    <w:semiHidden/>
    <w:unhideWhenUsed/>
    <w:rsid w:val="00D066D9"/>
    <w:pPr>
      <w:numPr>
        <w:numId w:val="35"/>
      </w:numPr>
    </w:pPr>
  </w:style>
  <w:style w:type="paragraph" w:styleId="ListNumber">
    <w:name w:val="List Number"/>
    <w:basedOn w:val="Normal"/>
    <w:uiPriority w:val="16"/>
    <w:qFormat/>
    <w:rsid w:val="00D066D9"/>
    <w:pPr>
      <w:numPr>
        <w:numId w:val="7"/>
      </w:numPr>
      <w:spacing w:after="120"/>
    </w:pPr>
  </w:style>
  <w:style w:type="paragraph" w:styleId="ListNumber2">
    <w:name w:val="List Number 2"/>
    <w:basedOn w:val="Normal"/>
    <w:uiPriority w:val="16"/>
    <w:qFormat/>
    <w:rsid w:val="00D066D9"/>
    <w:pPr>
      <w:numPr>
        <w:ilvl w:val="1"/>
        <w:numId w:val="7"/>
      </w:numPr>
      <w:spacing w:after="120"/>
      <w:contextualSpacing/>
    </w:pPr>
  </w:style>
  <w:style w:type="paragraph" w:styleId="ListNumber3">
    <w:name w:val="List Number 3"/>
    <w:basedOn w:val="Normal"/>
    <w:uiPriority w:val="16"/>
    <w:semiHidden/>
    <w:rsid w:val="00D066D9"/>
    <w:pPr>
      <w:spacing w:after="120"/>
      <w:contextualSpacing/>
    </w:pPr>
  </w:style>
  <w:style w:type="paragraph" w:styleId="ListNumber4">
    <w:name w:val="List Number 4"/>
    <w:basedOn w:val="Normal"/>
    <w:uiPriority w:val="17"/>
    <w:semiHidden/>
    <w:rsid w:val="00D066D9"/>
    <w:pPr>
      <w:spacing w:after="120"/>
      <w:contextualSpacing/>
    </w:pPr>
  </w:style>
  <w:style w:type="paragraph" w:styleId="ListNumber5">
    <w:name w:val="List Number 5"/>
    <w:basedOn w:val="Normal"/>
    <w:uiPriority w:val="17"/>
    <w:semiHidden/>
    <w:rsid w:val="00D066D9"/>
    <w:pPr>
      <w:spacing w:after="120"/>
      <w:contextualSpacing/>
    </w:pPr>
  </w:style>
  <w:style w:type="character" w:customStyle="1" w:styleId="FootnoteTextChar">
    <w:name w:val="Footnote Text Char"/>
    <w:basedOn w:val="DefaultParagraphFont"/>
    <w:link w:val="FootnoteText"/>
    <w:uiPriority w:val="99"/>
    <w:rsid w:val="00D066D9"/>
    <w:rPr>
      <w:sz w:val="18"/>
      <w:szCs w:val="20"/>
    </w:rPr>
  </w:style>
  <w:style w:type="character" w:styleId="FootnoteReference">
    <w:name w:val="footnote reference"/>
    <w:basedOn w:val="DefaultParagraphFont"/>
    <w:link w:val="Char2"/>
    <w:uiPriority w:val="99"/>
    <w:rsid w:val="00D066D9"/>
    <w:rPr>
      <w:vertAlign w:val="superscript"/>
    </w:rPr>
  </w:style>
  <w:style w:type="paragraph" w:styleId="Caption">
    <w:name w:val="caption"/>
    <w:basedOn w:val="Normal"/>
    <w:next w:val="Normal"/>
    <w:uiPriority w:val="21"/>
    <w:qFormat/>
    <w:rsid w:val="00D066D9"/>
    <w:pPr>
      <w:spacing w:before="240" w:after="60" w:line="240" w:lineRule="auto"/>
    </w:pPr>
    <w:rPr>
      <w:b/>
      <w:iCs/>
      <w:sz w:val="18"/>
      <w:szCs w:val="18"/>
    </w:rPr>
  </w:style>
  <w:style w:type="paragraph" w:styleId="NoteHeading">
    <w:name w:val="Note Heading"/>
    <w:basedOn w:val="Normal"/>
    <w:next w:val="Normal"/>
    <w:link w:val="NoteHeadingChar"/>
    <w:uiPriority w:val="20"/>
    <w:semiHidden/>
    <w:rsid w:val="00D066D9"/>
    <w:pPr>
      <w:spacing w:before="60" w:after="240" w:line="240" w:lineRule="auto"/>
    </w:pPr>
    <w:rPr>
      <w:sz w:val="18"/>
    </w:rPr>
  </w:style>
  <w:style w:type="character" w:customStyle="1" w:styleId="NoteHeadingChar">
    <w:name w:val="Note Heading Char"/>
    <w:basedOn w:val="DefaultParagraphFont"/>
    <w:link w:val="NoteHeading"/>
    <w:uiPriority w:val="20"/>
    <w:semiHidden/>
    <w:rsid w:val="00D066D9"/>
    <w:rPr>
      <w:sz w:val="18"/>
    </w:rPr>
  </w:style>
  <w:style w:type="paragraph" w:styleId="IntenseQuote">
    <w:name w:val="Intense Quote"/>
    <w:basedOn w:val="Normal"/>
    <w:next w:val="Normal"/>
    <w:link w:val="IntenseQuoteChar"/>
    <w:uiPriority w:val="30"/>
    <w:semiHidden/>
    <w:rsid w:val="00D066D9"/>
    <w:pPr>
      <w:spacing w:before="240" w:after="240"/>
    </w:pPr>
    <w:rPr>
      <w:b/>
      <w:iCs/>
      <w:color w:val="CC6600" w:themeColor="accent1"/>
      <w:sz w:val="26"/>
    </w:rPr>
  </w:style>
  <w:style w:type="character" w:customStyle="1" w:styleId="IntenseQuoteChar">
    <w:name w:val="Intense Quote Char"/>
    <w:basedOn w:val="DefaultParagraphFont"/>
    <w:link w:val="IntenseQuote"/>
    <w:uiPriority w:val="30"/>
    <w:semiHidden/>
    <w:rsid w:val="00D066D9"/>
    <w:rPr>
      <w:b/>
      <w:iCs/>
      <w:color w:val="CC6600" w:themeColor="accent1"/>
      <w:sz w:val="26"/>
    </w:rPr>
  </w:style>
  <w:style w:type="paragraph" w:styleId="Salutation">
    <w:name w:val="Salutation"/>
    <w:basedOn w:val="Normal"/>
    <w:next w:val="Normal"/>
    <w:link w:val="SalutationChar"/>
    <w:uiPriority w:val="34"/>
    <w:semiHidden/>
    <w:rsid w:val="00D066D9"/>
    <w:pPr>
      <w:spacing w:before="700"/>
    </w:pPr>
  </w:style>
  <w:style w:type="character" w:customStyle="1" w:styleId="SalutationChar">
    <w:name w:val="Salutation Char"/>
    <w:basedOn w:val="DefaultParagraphFont"/>
    <w:link w:val="Salutation"/>
    <w:uiPriority w:val="34"/>
    <w:semiHidden/>
    <w:rsid w:val="00D066D9"/>
  </w:style>
  <w:style w:type="paragraph" w:styleId="Signature">
    <w:name w:val="Signature"/>
    <w:basedOn w:val="Normal"/>
    <w:link w:val="SignatureChar"/>
    <w:uiPriority w:val="34"/>
    <w:semiHidden/>
    <w:rsid w:val="00D066D9"/>
    <w:pPr>
      <w:contextualSpacing/>
    </w:pPr>
  </w:style>
  <w:style w:type="character" w:customStyle="1" w:styleId="SignatureChar">
    <w:name w:val="Signature Char"/>
    <w:basedOn w:val="DefaultParagraphFont"/>
    <w:link w:val="Signature"/>
    <w:uiPriority w:val="34"/>
    <w:semiHidden/>
    <w:rsid w:val="00D066D9"/>
  </w:style>
  <w:style w:type="paragraph" w:styleId="Date">
    <w:name w:val="Date"/>
    <w:basedOn w:val="Title"/>
    <w:next w:val="Normal"/>
    <w:link w:val="DateChar"/>
    <w:uiPriority w:val="34"/>
    <w:rsid w:val="00D066D9"/>
    <w:pPr>
      <w:spacing w:after="210" w:line="276" w:lineRule="auto"/>
    </w:pPr>
    <w:rPr>
      <w:rFonts w:asciiTheme="minorHAnsi" w:hAnsiTheme="minorHAnsi"/>
      <w:caps w:val="0"/>
      <w:sz w:val="28"/>
    </w:rPr>
  </w:style>
  <w:style w:type="character" w:customStyle="1" w:styleId="DateChar">
    <w:name w:val="Date Char"/>
    <w:basedOn w:val="DefaultParagraphFont"/>
    <w:link w:val="Date"/>
    <w:uiPriority w:val="34"/>
    <w:rsid w:val="00D066D9"/>
    <w:rPr>
      <w:rFonts w:eastAsiaTheme="majorEastAsia" w:cstheme="majorBidi"/>
      <w:kern w:val="28"/>
      <w:sz w:val="28"/>
      <w:szCs w:val="56"/>
      <w:shd w:val="clear" w:color="auto" w:fill="FFFFFF" w:themeFill="background1"/>
    </w:rPr>
  </w:style>
  <w:style w:type="paragraph" w:styleId="EnvelopeAddress">
    <w:name w:val="envelope address"/>
    <w:basedOn w:val="Normal"/>
    <w:uiPriority w:val="34"/>
    <w:semiHidden/>
    <w:rsid w:val="00D066D9"/>
    <w:pPr>
      <w:spacing w:after="0" w:line="240" w:lineRule="auto"/>
      <w:contextualSpacing/>
    </w:pPr>
    <w:rPr>
      <w:rFonts w:eastAsiaTheme="majorEastAsia" w:cstheme="majorBidi"/>
      <w:szCs w:val="24"/>
    </w:rPr>
  </w:style>
  <w:style w:type="paragraph" w:styleId="Title">
    <w:name w:val="Title"/>
    <w:basedOn w:val="Normal"/>
    <w:next w:val="Normal"/>
    <w:link w:val="TitleChar"/>
    <w:uiPriority w:val="38"/>
    <w:rsid w:val="00D066D9"/>
    <w:pPr>
      <w:pBdr>
        <w:top w:val="single" w:sz="2" w:space="20" w:color="FFFFFF" w:themeColor="background1"/>
        <w:left w:val="single" w:sz="2" w:space="20" w:color="FFFFFF" w:themeColor="background1"/>
        <w:bottom w:val="single" w:sz="2" w:space="20" w:color="FFFFFF" w:themeColor="background1"/>
        <w:right w:val="single" w:sz="2" w:space="20" w:color="FFFFFF" w:themeColor="background1"/>
      </w:pBdr>
      <w:shd w:val="clear" w:color="auto" w:fill="FFFFFF" w:themeFill="background1"/>
      <w:spacing w:after="240" w:line="240" w:lineRule="auto"/>
      <w:ind w:left="709" w:right="4077"/>
      <w:contextualSpacing/>
    </w:pPr>
    <w:rPr>
      <w:rFonts w:asciiTheme="majorHAnsi" w:eastAsiaTheme="majorEastAsia" w:hAnsiTheme="majorHAnsi" w:cstheme="majorBidi"/>
      <w:caps/>
      <w:kern w:val="28"/>
      <w:sz w:val="52"/>
      <w:szCs w:val="56"/>
    </w:rPr>
  </w:style>
  <w:style w:type="character" w:customStyle="1" w:styleId="TitleChar">
    <w:name w:val="Title Char"/>
    <w:basedOn w:val="DefaultParagraphFont"/>
    <w:link w:val="Title"/>
    <w:uiPriority w:val="38"/>
    <w:rsid w:val="00D066D9"/>
    <w:rPr>
      <w:rFonts w:asciiTheme="majorHAnsi" w:eastAsiaTheme="majorEastAsia" w:hAnsiTheme="majorHAnsi" w:cstheme="majorBidi"/>
      <w:caps/>
      <w:kern w:val="28"/>
      <w:sz w:val="52"/>
      <w:szCs w:val="56"/>
      <w:shd w:val="clear" w:color="auto" w:fill="FFFFFF" w:themeFill="background1"/>
    </w:rPr>
  </w:style>
  <w:style w:type="paragraph" w:customStyle="1" w:styleId="CoverSubtitle">
    <w:name w:val="Cover Subtitle"/>
    <w:basedOn w:val="Title"/>
    <w:next w:val="Normal"/>
    <w:uiPriority w:val="36"/>
    <w:rsid w:val="00D066D9"/>
    <w:pPr>
      <w:spacing w:after="160" w:line="276" w:lineRule="auto"/>
    </w:pPr>
    <w:rPr>
      <w:caps w:val="0"/>
      <w:sz w:val="36"/>
    </w:rPr>
  </w:style>
  <w:style w:type="paragraph" w:styleId="Subtitle">
    <w:name w:val="Subtitle"/>
    <w:basedOn w:val="Title"/>
    <w:next w:val="Normal"/>
    <w:link w:val="SubtitleChar"/>
    <w:uiPriority w:val="38"/>
    <w:semiHidden/>
    <w:qFormat/>
    <w:rsid w:val="00D066D9"/>
    <w:pPr>
      <w:numPr>
        <w:ilvl w:val="1"/>
      </w:numPr>
      <w:ind w:left="709"/>
    </w:pPr>
    <w:rPr>
      <w:rFonts w:asciiTheme="minorHAnsi" w:eastAsiaTheme="minorEastAsia" w:hAnsiTheme="minorHAnsi"/>
      <w:b/>
      <w:color w:val="CC6600" w:themeColor="accent1"/>
      <w:kern w:val="0"/>
      <w:sz w:val="22"/>
      <w:szCs w:val="22"/>
    </w:rPr>
  </w:style>
  <w:style w:type="character" w:customStyle="1" w:styleId="SubtitleChar">
    <w:name w:val="Subtitle Char"/>
    <w:basedOn w:val="DefaultParagraphFont"/>
    <w:link w:val="Subtitle"/>
    <w:uiPriority w:val="38"/>
    <w:semiHidden/>
    <w:rsid w:val="00D066D9"/>
    <w:rPr>
      <w:rFonts w:eastAsiaTheme="minorEastAsia" w:cstheme="majorBidi"/>
      <w:b/>
      <w:caps/>
      <w:color w:val="CC6600" w:themeColor="accent1"/>
      <w:sz w:val="22"/>
      <w:shd w:val="clear" w:color="auto" w:fill="FFFFFF" w:themeFill="background1"/>
    </w:rPr>
  </w:style>
  <w:style w:type="table" w:styleId="TableGrid">
    <w:name w:val="Table Grid"/>
    <w:aliases w:val="Basic Table,McLL Table General Text,DPS Table Grid,Plain Table"/>
    <w:basedOn w:val="TableNormal"/>
    <w:uiPriority w:val="59"/>
    <w:rsid w:val="00D066D9"/>
    <w:pPr>
      <w:spacing w:before="60" w:after="60" w:line="240" w:lineRule="auto"/>
    </w:pPr>
    <w:rPr>
      <w:sz w:val="20"/>
    </w:rPr>
    <w:tblPr>
      <w:tblStyleRowBandSize w:val="1"/>
      <w:tblStyleColBandSize w:val="1"/>
      <w:tblBorders>
        <w:top w:val="single" w:sz="4" w:space="0" w:color="CBC3BB" w:themeColor="text2"/>
        <w:bottom w:val="single" w:sz="4" w:space="0" w:color="CBC3BB" w:themeColor="text2"/>
        <w:insideH w:val="single" w:sz="4" w:space="0" w:color="CBC3BB" w:themeColor="text2"/>
        <w:insideV w:val="single" w:sz="4" w:space="0" w:color="CBC3BB" w:themeColor="text2"/>
      </w:tblBorders>
    </w:tblPr>
    <w:tcPr>
      <w:shd w:val="clear" w:color="auto" w:fill="FFFFFF" w:themeFill="background1"/>
    </w:tcPr>
    <w:tblStylePr w:type="firstRow">
      <w:rPr>
        <w:b/>
        <w:color w:val="FFFFFF" w:themeColor="background1"/>
        <w:sz w:val="21"/>
      </w:rPr>
      <w:tblPr/>
      <w:tcPr>
        <w:tcBorders>
          <w:top w:val="nil"/>
          <w:left w:val="nil"/>
          <w:bottom w:val="nil"/>
          <w:right w:val="nil"/>
          <w:insideH w:val="nil"/>
          <w:insideV w:val="single" w:sz="4" w:space="0" w:color="CBC3BB" w:themeColor="text2"/>
          <w:tl2br w:val="nil"/>
          <w:tr2bl w:val="nil"/>
        </w:tcBorders>
        <w:shd w:val="clear" w:color="auto" w:fill="0D3E67" w:themeFill="accent3"/>
      </w:tcPr>
    </w:tblStylePr>
    <w:tblStylePr w:type="lastRow">
      <w:rPr>
        <w:b/>
      </w:rPr>
    </w:tblStylePr>
    <w:tblStylePr w:type="firstCol">
      <w:rPr>
        <w:b/>
        <w:color w:val="222222" w:themeColor="text1"/>
      </w:rPr>
      <w:tblPr/>
      <w:tcPr>
        <w:shd w:val="clear" w:color="auto" w:fill="FFFFFF" w:themeFill="background1"/>
      </w:tcPr>
    </w:tblStylePr>
    <w:tblStylePr w:type="lastCol">
      <w:pPr>
        <w:jc w:val="left"/>
      </w:pPr>
    </w:tblStylePr>
  </w:style>
  <w:style w:type="character" w:styleId="PlaceholderText">
    <w:name w:val="Placeholder Text"/>
    <w:basedOn w:val="DefaultParagraphFont"/>
    <w:uiPriority w:val="99"/>
    <w:rsid w:val="00D066D9"/>
    <w:rPr>
      <w:color w:val="0D8577" w:themeColor="accent5"/>
    </w:rPr>
  </w:style>
  <w:style w:type="table" w:customStyle="1" w:styleId="TableHidden">
    <w:name w:val="Table Hidden"/>
    <w:basedOn w:val="TableNormal"/>
    <w:uiPriority w:val="99"/>
    <w:rsid w:val="00D066D9"/>
    <w:tblPr>
      <w:tblCellMar>
        <w:left w:w="0" w:type="dxa"/>
        <w:right w:w="0" w:type="dxa"/>
      </w:tblCellMar>
    </w:tblPr>
  </w:style>
  <w:style w:type="numbering" w:customStyle="1" w:styleId="AppendixList">
    <w:name w:val="Appendix List"/>
    <w:uiPriority w:val="99"/>
    <w:rsid w:val="00D066D9"/>
    <w:pPr>
      <w:numPr>
        <w:numId w:val="10"/>
      </w:numPr>
    </w:pPr>
  </w:style>
  <w:style w:type="paragraph" w:styleId="Quote">
    <w:name w:val="Quote"/>
    <w:basedOn w:val="Normal"/>
    <w:next w:val="Normal"/>
    <w:link w:val="QuoteChar"/>
    <w:uiPriority w:val="20"/>
    <w:qFormat/>
    <w:rsid w:val="00D066D9"/>
    <w:pPr>
      <w:pBdr>
        <w:top w:val="single" w:sz="4" w:space="5" w:color="CBC3BB" w:themeColor="text2"/>
        <w:bottom w:val="single" w:sz="4" w:space="5" w:color="CBC3BB" w:themeColor="text2"/>
      </w:pBdr>
      <w:spacing w:before="240"/>
      <w:ind w:left="567"/>
    </w:pPr>
    <w:rPr>
      <w:i/>
      <w:iCs/>
    </w:rPr>
  </w:style>
  <w:style w:type="character" w:customStyle="1" w:styleId="QuoteChar">
    <w:name w:val="Quote Char"/>
    <w:basedOn w:val="DefaultParagraphFont"/>
    <w:link w:val="Quote"/>
    <w:uiPriority w:val="20"/>
    <w:rsid w:val="00D066D9"/>
    <w:rPr>
      <w:i/>
      <w:iCs/>
    </w:rPr>
  </w:style>
  <w:style w:type="table" w:customStyle="1" w:styleId="TableGridwithOptions">
    <w:name w:val="Table Grid with Options"/>
    <w:basedOn w:val="TableGrid"/>
    <w:uiPriority w:val="99"/>
    <w:rsid w:val="00D066D9"/>
    <w:tblPr/>
    <w:tblStylePr w:type="firstRow">
      <w:rPr>
        <w:b/>
        <w:color w:val="FFFFFF" w:themeColor="background1"/>
        <w:sz w:val="21"/>
      </w:rPr>
      <w:tblPr/>
      <w:tcPr>
        <w:tcBorders>
          <w:top w:val="nil"/>
          <w:left w:val="nil"/>
          <w:bottom w:val="nil"/>
          <w:right w:val="nil"/>
          <w:insideH w:val="nil"/>
          <w:insideV w:val="single" w:sz="4" w:space="0" w:color="CBC3BB" w:themeColor="text2"/>
          <w:tl2br w:val="nil"/>
          <w:tr2bl w:val="nil"/>
        </w:tcBorders>
        <w:shd w:val="clear" w:color="auto" w:fill="0D3E67" w:themeFill="accent3"/>
      </w:tcPr>
    </w:tblStylePr>
    <w:tblStylePr w:type="lastRow">
      <w:rPr>
        <w:b/>
      </w:rPr>
      <w:tblPr/>
      <w:tcPr>
        <w:tcBorders>
          <w:top w:val="single" w:sz="4" w:space="0" w:color="CBC3BB" w:themeColor="text2"/>
          <w:left w:val="nil"/>
          <w:bottom w:val="single" w:sz="4" w:space="0" w:color="CBC3BB" w:themeColor="text2"/>
          <w:right w:val="nil"/>
          <w:insideH w:val="nil"/>
          <w:insideV w:val="single" w:sz="4" w:space="0" w:color="CBC3BB" w:themeColor="text2"/>
          <w:tl2br w:val="nil"/>
          <w:tr2bl w:val="nil"/>
        </w:tcBorders>
      </w:tcPr>
    </w:tblStylePr>
    <w:tblStylePr w:type="firstCol">
      <w:rPr>
        <w:b/>
        <w:color w:val="FFFFFF" w:themeColor="background1"/>
      </w:rPr>
      <w:tblPr/>
      <w:tcPr>
        <w:tcBorders>
          <w:top w:val="nil"/>
          <w:left w:val="nil"/>
          <w:bottom w:val="nil"/>
          <w:right w:val="nil"/>
          <w:insideH w:val="nil"/>
          <w:insideV w:val="nil"/>
          <w:tl2br w:val="nil"/>
          <w:tr2bl w:val="nil"/>
        </w:tcBorders>
        <w:shd w:val="clear" w:color="auto" w:fill="0D3E67" w:themeFill="accent3"/>
      </w:tcPr>
    </w:tblStylePr>
    <w:tblStylePr w:type="lastCol">
      <w:pPr>
        <w:jc w:val="right"/>
      </w:pPr>
      <w:rPr>
        <w:b/>
      </w:rPr>
    </w:tblStylePr>
    <w:tblStylePr w:type="band1Horz">
      <w:tblPr/>
      <w:tcPr>
        <w:tcBorders>
          <w:top w:val="single" w:sz="4" w:space="0" w:color="CBC3BB" w:themeColor="text2"/>
          <w:left w:val="nil"/>
          <w:bottom w:val="single" w:sz="4" w:space="0" w:color="CBC3BB" w:themeColor="text2"/>
          <w:right w:val="nil"/>
          <w:insideH w:val="nil"/>
          <w:insideV w:val="single" w:sz="4" w:space="0" w:color="CBC3BB" w:themeColor="text2"/>
          <w:tl2br w:val="nil"/>
          <w:tr2bl w:val="nil"/>
        </w:tcBorders>
        <w:shd w:val="clear" w:color="auto" w:fill="FFFFFF" w:themeFill="background1"/>
      </w:tcPr>
    </w:tblStylePr>
    <w:tblStylePr w:type="band2Horz">
      <w:tblPr/>
      <w:tcPr>
        <w:tcBorders>
          <w:top w:val="single" w:sz="4" w:space="0" w:color="CBC3BB" w:themeColor="text2"/>
          <w:left w:val="nil"/>
          <w:bottom w:val="single" w:sz="4" w:space="0" w:color="CBC3BB" w:themeColor="text2"/>
          <w:right w:val="nil"/>
          <w:insideH w:val="single" w:sz="4" w:space="0" w:color="auto"/>
          <w:insideV w:val="single" w:sz="4" w:space="0" w:color="CBC3BB" w:themeColor="text2"/>
          <w:tl2br w:val="nil"/>
          <w:tr2bl w:val="nil"/>
        </w:tcBorders>
        <w:shd w:val="clear" w:color="auto" w:fill="EAE7E3" w:themeFill="background2"/>
      </w:tcPr>
    </w:tblStylePr>
  </w:style>
  <w:style w:type="paragraph" w:styleId="TOCHeading">
    <w:name w:val="TOC Heading"/>
    <w:basedOn w:val="Heading1"/>
    <w:next w:val="Normal"/>
    <w:uiPriority w:val="39"/>
    <w:rsid w:val="00D066D9"/>
    <w:pPr>
      <w:pageBreakBefore w:val="0"/>
      <w:numPr>
        <w:numId w:val="0"/>
      </w:numPr>
      <w:spacing w:line="259" w:lineRule="auto"/>
      <w:outlineLvl w:val="9"/>
    </w:pPr>
  </w:style>
  <w:style w:type="paragraph" w:styleId="TOC1">
    <w:name w:val="toc 1"/>
    <w:basedOn w:val="Normal"/>
    <w:next w:val="Normal"/>
    <w:autoRedefine/>
    <w:uiPriority w:val="39"/>
    <w:rsid w:val="00D066D9"/>
    <w:pPr>
      <w:tabs>
        <w:tab w:val="right" w:leader="dot" w:pos="9742"/>
      </w:tabs>
      <w:spacing w:after="240"/>
    </w:pPr>
    <w:rPr>
      <w:rFonts w:asciiTheme="majorHAnsi" w:hAnsiTheme="majorHAnsi"/>
      <w:caps/>
      <w:sz w:val="24"/>
    </w:rPr>
  </w:style>
  <w:style w:type="paragraph" w:styleId="TOC2">
    <w:name w:val="toc 2"/>
    <w:basedOn w:val="Normal"/>
    <w:next w:val="Normal"/>
    <w:autoRedefine/>
    <w:uiPriority w:val="39"/>
    <w:rsid w:val="00D066D9"/>
    <w:pPr>
      <w:spacing w:after="240"/>
      <w:ind w:left="357"/>
    </w:pPr>
    <w:rPr>
      <w:rFonts w:asciiTheme="majorHAnsi" w:hAnsiTheme="majorHAnsi"/>
      <w:sz w:val="22"/>
    </w:rPr>
  </w:style>
  <w:style w:type="character" w:styleId="Hyperlink">
    <w:name w:val="Hyperlink"/>
    <w:basedOn w:val="DefaultParagraphFont"/>
    <w:uiPriority w:val="99"/>
    <w:unhideWhenUsed/>
    <w:rsid w:val="00D066D9"/>
    <w:rPr>
      <w:color w:val="0D3E67" w:themeColor="hyperlink"/>
      <w:u w:val="single"/>
    </w:rPr>
  </w:style>
  <w:style w:type="paragraph" w:customStyle="1" w:styleId="Heading1nonumber">
    <w:name w:val="Heading 1 no number"/>
    <w:basedOn w:val="Heading1"/>
    <w:next w:val="Normal"/>
    <w:link w:val="Heading1nonumberChar"/>
    <w:uiPriority w:val="6"/>
    <w:qFormat/>
    <w:rsid w:val="00D066D9"/>
    <w:pPr>
      <w:numPr>
        <w:numId w:val="0"/>
      </w:numPr>
    </w:pPr>
  </w:style>
  <w:style w:type="paragraph" w:customStyle="1" w:styleId="Heading3nonumber">
    <w:name w:val="Heading 3 no number"/>
    <w:basedOn w:val="Heading3"/>
    <w:next w:val="Normal"/>
    <w:link w:val="Heading3nonumberChar"/>
    <w:uiPriority w:val="10"/>
    <w:qFormat/>
    <w:rsid w:val="00D066D9"/>
    <w:pPr>
      <w:numPr>
        <w:ilvl w:val="0"/>
        <w:numId w:val="0"/>
      </w:numPr>
    </w:pPr>
  </w:style>
  <w:style w:type="paragraph" w:customStyle="1" w:styleId="Heading2nonumber">
    <w:name w:val="Heading 2 no number"/>
    <w:basedOn w:val="Heading2"/>
    <w:next w:val="Normal"/>
    <w:link w:val="Heading2nonumberChar"/>
    <w:uiPriority w:val="8"/>
    <w:qFormat/>
    <w:rsid w:val="00D066D9"/>
    <w:pPr>
      <w:numPr>
        <w:ilvl w:val="0"/>
        <w:numId w:val="0"/>
      </w:numPr>
    </w:pPr>
  </w:style>
  <w:style w:type="character" w:customStyle="1" w:styleId="Heading2nonumberChar">
    <w:name w:val="Heading 2 no number Char"/>
    <w:basedOn w:val="Heading2Char"/>
    <w:link w:val="Heading2nonumber"/>
    <w:uiPriority w:val="8"/>
    <w:rsid w:val="00D066D9"/>
    <w:rPr>
      <w:rFonts w:asciiTheme="majorHAnsi" w:eastAsiaTheme="majorEastAsia" w:hAnsiTheme="majorHAnsi" w:cstheme="majorBidi"/>
      <w:color w:val="0D3E67" w:themeColor="accent3"/>
      <w:sz w:val="32"/>
      <w:szCs w:val="26"/>
    </w:rPr>
  </w:style>
  <w:style w:type="paragraph" w:customStyle="1" w:styleId="Heading4nonumber">
    <w:name w:val="Heading 4 no number"/>
    <w:basedOn w:val="Heading4"/>
    <w:next w:val="Normal"/>
    <w:link w:val="Heading4nonumberChar"/>
    <w:uiPriority w:val="12"/>
    <w:qFormat/>
    <w:rsid w:val="00D066D9"/>
    <w:pPr>
      <w:numPr>
        <w:ilvl w:val="0"/>
        <w:numId w:val="0"/>
      </w:numPr>
    </w:pPr>
  </w:style>
  <w:style w:type="paragraph" w:customStyle="1" w:styleId="Introduction">
    <w:name w:val="Introduction"/>
    <w:basedOn w:val="IntenseQuote"/>
    <w:next w:val="Normal"/>
    <w:uiPriority w:val="10"/>
    <w:semiHidden/>
    <w:rsid w:val="00D066D9"/>
  </w:style>
  <w:style w:type="paragraph" w:styleId="Header">
    <w:name w:val="header"/>
    <w:basedOn w:val="Normal"/>
    <w:link w:val="HeaderChar"/>
    <w:uiPriority w:val="99"/>
    <w:rsid w:val="00D066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6D9"/>
  </w:style>
  <w:style w:type="paragraph" w:styleId="Footer">
    <w:name w:val="footer"/>
    <w:basedOn w:val="Normal"/>
    <w:link w:val="FooterChar"/>
    <w:uiPriority w:val="99"/>
    <w:rsid w:val="00D066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6D9"/>
  </w:style>
  <w:style w:type="paragraph" w:customStyle="1" w:styleId="Subheading">
    <w:name w:val="Subheading"/>
    <w:basedOn w:val="Normal"/>
    <w:next w:val="Normal"/>
    <w:uiPriority w:val="9"/>
    <w:qFormat/>
    <w:rsid w:val="00D066D9"/>
    <w:pPr>
      <w:keepNext/>
      <w:spacing w:before="240" w:after="120"/>
    </w:pPr>
    <w:rPr>
      <w:rFonts w:asciiTheme="majorHAnsi" w:hAnsiTheme="majorHAnsi"/>
      <w:color w:val="0D3E67" w:themeColor="accent3"/>
      <w:sz w:val="32"/>
    </w:rPr>
  </w:style>
  <w:style w:type="numbering" w:customStyle="1" w:styleId="TableList">
    <w:name w:val="Table List"/>
    <w:basedOn w:val="NoList"/>
    <w:uiPriority w:val="99"/>
    <w:rsid w:val="00D066D9"/>
  </w:style>
  <w:style w:type="paragraph" w:styleId="ListContinue">
    <w:name w:val="List Continue"/>
    <w:basedOn w:val="Normal"/>
    <w:uiPriority w:val="17"/>
    <w:semiHidden/>
    <w:rsid w:val="00D066D9"/>
    <w:pPr>
      <w:numPr>
        <w:numId w:val="2"/>
      </w:numPr>
      <w:spacing w:before="60" w:after="60"/>
    </w:pPr>
  </w:style>
  <w:style w:type="paragraph" w:styleId="ListContinue2">
    <w:name w:val="List Continue 2"/>
    <w:basedOn w:val="Normal"/>
    <w:uiPriority w:val="17"/>
    <w:semiHidden/>
    <w:rsid w:val="00D066D9"/>
    <w:pPr>
      <w:numPr>
        <w:ilvl w:val="1"/>
        <w:numId w:val="2"/>
      </w:numPr>
      <w:spacing w:before="60" w:after="60"/>
    </w:pPr>
  </w:style>
  <w:style w:type="paragraph" w:styleId="ListContinue3">
    <w:name w:val="List Continue 3"/>
    <w:basedOn w:val="Normal"/>
    <w:uiPriority w:val="17"/>
    <w:semiHidden/>
    <w:rsid w:val="00D066D9"/>
    <w:pPr>
      <w:numPr>
        <w:ilvl w:val="2"/>
        <w:numId w:val="2"/>
      </w:numPr>
      <w:spacing w:before="60" w:after="60"/>
    </w:pPr>
  </w:style>
  <w:style w:type="paragraph" w:styleId="ListContinue4">
    <w:name w:val="List Continue 4"/>
    <w:basedOn w:val="Normal"/>
    <w:uiPriority w:val="17"/>
    <w:semiHidden/>
    <w:rsid w:val="00D066D9"/>
    <w:pPr>
      <w:numPr>
        <w:ilvl w:val="3"/>
        <w:numId w:val="2"/>
      </w:numPr>
      <w:spacing w:before="60" w:after="60"/>
    </w:pPr>
  </w:style>
  <w:style w:type="paragraph" w:styleId="ListContinue5">
    <w:name w:val="List Continue 5"/>
    <w:basedOn w:val="Normal"/>
    <w:uiPriority w:val="17"/>
    <w:semiHidden/>
    <w:rsid w:val="00D066D9"/>
    <w:pPr>
      <w:numPr>
        <w:ilvl w:val="4"/>
        <w:numId w:val="2"/>
      </w:numPr>
      <w:spacing w:before="60" w:after="60"/>
    </w:pPr>
  </w:style>
  <w:style w:type="paragraph" w:styleId="ListBullet3">
    <w:name w:val="List Bullet 3"/>
    <w:basedOn w:val="Normal"/>
    <w:uiPriority w:val="16"/>
    <w:qFormat/>
    <w:rsid w:val="00D066D9"/>
    <w:pPr>
      <w:numPr>
        <w:ilvl w:val="2"/>
        <w:numId w:val="4"/>
      </w:numPr>
      <w:spacing w:after="120" w:line="240" w:lineRule="auto"/>
      <w:contextualSpacing/>
    </w:pPr>
    <w:rPr>
      <w:sz w:val="20"/>
    </w:rPr>
  </w:style>
  <w:style w:type="paragraph" w:styleId="TOC3">
    <w:name w:val="toc 3"/>
    <w:basedOn w:val="Normal"/>
    <w:next w:val="Normal"/>
    <w:autoRedefine/>
    <w:uiPriority w:val="39"/>
    <w:semiHidden/>
    <w:rsid w:val="00D066D9"/>
    <w:pPr>
      <w:spacing w:after="100"/>
      <w:ind w:left="440"/>
    </w:pPr>
  </w:style>
  <w:style w:type="paragraph" w:styleId="TOC4">
    <w:name w:val="toc 4"/>
    <w:basedOn w:val="Normal"/>
    <w:next w:val="Normal"/>
    <w:autoRedefine/>
    <w:uiPriority w:val="39"/>
    <w:semiHidden/>
    <w:rsid w:val="00D066D9"/>
    <w:pPr>
      <w:spacing w:after="100"/>
      <w:ind w:left="660"/>
    </w:pPr>
  </w:style>
  <w:style w:type="paragraph" w:customStyle="1" w:styleId="Orangeblocktext">
    <w:name w:val="Orange block text"/>
    <w:basedOn w:val="Normal"/>
    <w:link w:val="OrangeblocktextChar"/>
    <w:autoRedefine/>
    <w:uiPriority w:val="20"/>
    <w:qFormat/>
    <w:rsid w:val="00384259"/>
    <w:pPr>
      <w:pBdr>
        <w:top w:val="single" w:sz="4" w:space="5" w:color="FCE2CC" w:themeColor="accent2"/>
        <w:left w:val="single" w:sz="36" w:space="5" w:color="CC6600" w:themeColor="accent1"/>
        <w:bottom w:val="single" w:sz="4" w:space="5" w:color="FCE2CC" w:themeColor="accent2"/>
        <w:right w:val="single" w:sz="4" w:space="5" w:color="FCE2CC" w:themeColor="accent2"/>
      </w:pBdr>
      <w:shd w:val="clear" w:color="auto" w:fill="FEF1E6"/>
      <w:spacing w:before="120"/>
    </w:pPr>
    <w:rPr>
      <w:rFonts w:ascii="Arial" w:eastAsia="Arial" w:hAnsi="Arial" w:cs="Arial"/>
    </w:rPr>
  </w:style>
  <w:style w:type="paragraph" w:customStyle="1" w:styleId="Orangeblockheading">
    <w:name w:val="Orange block heading"/>
    <w:basedOn w:val="Normal"/>
    <w:next w:val="Orangeblocktext"/>
    <w:link w:val="OrangeblockheadingChar"/>
    <w:uiPriority w:val="19"/>
    <w:qFormat/>
    <w:rsid w:val="00D066D9"/>
    <w:pPr>
      <w:keepNext/>
      <w:pBdr>
        <w:top w:val="single" w:sz="4" w:space="5" w:color="FCE2CC" w:themeColor="accent2"/>
        <w:left w:val="single" w:sz="36" w:space="5" w:color="CC6600" w:themeColor="accent1"/>
        <w:bottom w:val="single" w:sz="4" w:space="5" w:color="FCE2CC" w:themeColor="accent2"/>
        <w:right w:val="single" w:sz="36" w:space="5" w:color="FCE2CC" w:themeColor="accent2"/>
      </w:pBdr>
      <w:shd w:val="clear" w:color="auto" w:fill="FCE2CC" w:themeFill="accent2"/>
    </w:pPr>
    <w:rPr>
      <w:rFonts w:asciiTheme="majorHAnsi" w:hAnsiTheme="majorHAnsi"/>
      <w:sz w:val="28"/>
    </w:rPr>
  </w:style>
  <w:style w:type="paragraph" w:customStyle="1" w:styleId="Listorangeblockbullet">
    <w:name w:val="List orange block bullet"/>
    <w:basedOn w:val="Orangeblocktext"/>
    <w:uiPriority w:val="19"/>
    <w:qFormat/>
    <w:rsid w:val="00D066D9"/>
    <w:pPr>
      <w:numPr>
        <w:ilvl w:val="2"/>
        <w:numId w:val="3"/>
      </w:numPr>
      <w:tabs>
        <w:tab w:val="left" w:pos="357"/>
      </w:tabs>
    </w:pPr>
  </w:style>
  <w:style w:type="paragraph" w:customStyle="1" w:styleId="Tealblocktext">
    <w:name w:val="Teal block text"/>
    <w:basedOn w:val="Orangeblocktext"/>
    <w:link w:val="TealblocktextChar"/>
    <w:uiPriority w:val="23"/>
    <w:qFormat/>
    <w:rsid w:val="00D066D9"/>
    <w:pPr>
      <w:pBdr>
        <w:top w:val="single" w:sz="4" w:space="5" w:color="D9F1ED"/>
        <w:left w:val="single" w:sz="36" w:space="5" w:color="0D8577" w:themeColor="accent5"/>
        <w:bottom w:val="single" w:sz="4" w:space="5" w:color="D9F1ED"/>
        <w:right w:val="single" w:sz="36" w:space="5" w:color="D9F1ED"/>
      </w:pBdr>
      <w:shd w:val="clear" w:color="auto" w:fill="D9F1ED"/>
    </w:pPr>
  </w:style>
  <w:style w:type="paragraph" w:customStyle="1" w:styleId="Tealblockheading">
    <w:name w:val="Teal block heading"/>
    <w:basedOn w:val="Orangeblockheading"/>
    <w:next w:val="Tealblocktext"/>
    <w:link w:val="TealblockheadingChar"/>
    <w:uiPriority w:val="22"/>
    <w:qFormat/>
    <w:rsid w:val="00D066D9"/>
    <w:pPr>
      <w:pBdr>
        <w:top w:val="single" w:sz="4" w:space="5" w:color="D9F1ED"/>
        <w:left w:val="single" w:sz="36" w:space="5" w:color="0D8577" w:themeColor="accent5"/>
        <w:bottom w:val="single" w:sz="4" w:space="5" w:color="D9F1ED"/>
        <w:right w:val="single" w:sz="36" w:space="5" w:color="D9F1ED"/>
      </w:pBdr>
      <w:shd w:val="clear" w:color="auto" w:fill="D9F1ED"/>
    </w:pPr>
  </w:style>
  <w:style w:type="paragraph" w:customStyle="1" w:styleId="Listtealblockbullet">
    <w:name w:val="List teal block bullet"/>
    <w:basedOn w:val="Listorangeblockbullet"/>
    <w:uiPriority w:val="19"/>
    <w:qFormat/>
    <w:rsid w:val="00D066D9"/>
    <w:pPr>
      <w:numPr>
        <w:ilvl w:val="3"/>
      </w:numPr>
      <w:pBdr>
        <w:top w:val="single" w:sz="4" w:space="5" w:color="D9F1ED"/>
        <w:left w:val="single" w:sz="36" w:space="5" w:color="0D8577" w:themeColor="accent5"/>
        <w:bottom w:val="single" w:sz="4" w:space="5" w:color="D9F1ED"/>
        <w:right w:val="single" w:sz="36" w:space="5" w:color="D9F1ED"/>
      </w:pBdr>
      <w:shd w:val="clear" w:color="auto" w:fill="D9F1ED"/>
    </w:pPr>
  </w:style>
  <w:style w:type="paragraph" w:customStyle="1" w:styleId="Greyblocktext">
    <w:name w:val="Grey block text"/>
    <w:basedOn w:val="Orangeblocktext"/>
    <w:uiPriority w:val="19"/>
    <w:qFormat/>
    <w:rsid w:val="00D066D9"/>
    <w:pPr>
      <w:pBdr>
        <w:top w:val="single" w:sz="4" w:space="5" w:color="EAE7E3"/>
        <w:left w:val="single" w:sz="36" w:space="5" w:color="CBC3BB" w:themeColor="text2"/>
        <w:bottom w:val="single" w:sz="4" w:space="5" w:color="EAE7E3"/>
        <w:right w:val="single" w:sz="36" w:space="5" w:color="EAE7E3"/>
      </w:pBdr>
      <w:shd w:val="clear" w:color="auto" w:fill="EAE7E3"/>
    </w:pPr>
  </w:style>
  <w:style w:type="paragraph" w:customStyle="1" w:styleId="Greyblockheading">
    <w:name w:val="Grey block heading"/>
    <w:basedOn w:val="Orangeblockheading"/>
    <w:next w:val="Greyblocktext"/>
    <w:uiPriority w:val="19"/>
    <w:qFormat/>
    <w:rsid w:val="00D066D9"/>
    <w:pPr>
      <w:pBdr>
        <w:top w:val="single" w:sz="4" w:space="5" w:color="EAE7E3"/>
        <w:left w:val="single" w:sz="36" w:space="5" w:color="CBC3BB" w:themeColor="text2"/>
        <w:bottom w:val="single" w:sz="4" w:space="5" w:color="EAE7E3"/>
        <w:right w:val="single" w:sz="36" w:space="5" w:color="EAE7E3"/>
      </w:pBdr>
      <w:shd w:val="clear" w:color="auto" w:fill="EAE7E3"/>
    </w:pPr>
  </w:style>
  <w:style w:type="paragraph" w:customStyle="1" w:styleId="Listgreyblockbullet">
    <w:name w:val="List grey block bullet"/>
    <w:basedOn w:val="Listorangeblockbullet"/>
    <w:uiPriority w:val="19"/>
    <w:qFormat/>
    <w:rsid w:val="00D066D9"/>
    <w:pPr>
      <w:numPr>
        <w:ilvl w:val="1"/>
      </w:numPr>
      <w:pBdr>
        <w:top w:val="single" w:sz="4" w:space="5" w:color="EAE7E3"/>
        <w:left w:val="single" w:sz="36" w:space="5" w:color="CBC3BB" w:themeColor="text2"/>
        <w:bottom w:val="single" w:sz="4" w:space="5" w:color="EAE7E3"/>
        <w:right w:val="single" w:sz="36" w:space="5" w:color="EAE7E3"/>
      </w:pBdr>
      <w:shd w:val="clear" w:color="auto" w:fill="EAE7E3"/>
    </w:pPr>
  </w:style>
  <w:style w:type="paragraph" w:customStyle="1" w:styleId="Blueblocktext">
    <w:name w:val="Blue block text"/>
    <w:basedOn w:val="Orangeblocktext"/>
    <w:uiPriority w:val="19"/>
    <w:qFormat/>
    <w:rsid w:val="00D066D9"/>
    <w:pPr>
      <w:pBdr>
        <w:top w:val="single" w:sz="4" w:space="5" w:color="E4E9F0"/>
        <w:left w:val="single" w:sz="36" w:space="5" w:color="0D3E67" w:themeColor="accent3"/>
        <w:bottom w:val="single" w:sz="4" w:space="5" w:color="E4E9F0"/>
        <w:right w:val="single" w:sz="36" w:space="5" w:color="E4E9F0"/>
      </w:pBdr>
      <w:shd w:val="clear" w:color="auto" w:fill="E4E9F0"/>
    </w:pPr>
  </w:style>
  <w:style w:type="paragraph" w:customStyle="1" w:styleId="Blueblockheading">
    <w:name w:val="Blue block heading"/>
    <w:basedOn w:val="Orangeblockheading"/>
    <w:next w:val="Blueblocktext"/>
    <w:uiPriority w:val="19"/>
    <w:qFormat/>
    <w:rsid w:val="00D066D9"/>
    <w:pPr>
      <w:pBdr>
        <w:top w:val="single" w:sz="4" w:space="5" w:color="E4E9F0"/>
        <w:left w:val="single" w:sz="36" w:space="5" w:color="0D3E67" w:themeColor="accent3"/>
        <w:bottom w:val="single" w:sz="4" w:space="5" w:color="E4E9F0"/>
        <w:right w:val="single" w:sz="36" w:space="5" w:color="E4E9F0"/>
      </w:pBdr>
      <w:shd w:val="clear" w:color="auto" w:fill="E4E9F0"/>
    </w:pPr>
  </w:style>
  <w:style w:type="paragraph" w:customStyle="1" w:styleId="Listblueblockbullet">
    <w:name w:val="List blue block bullet"/>
    <w:basedOn w:val="Blueblocktext"/>
    <w:uiPriority w:val="19"/>
    <w:qFormat/>
    <w:rsid w:val="00D066D9"/>
    <w:pPr>
      <w:numPr>
        <w:numId w:val="3"/>
      </w:numPr>
    </w:pPr>
  </w:style>
  <w:style w:type="paragraph" w:styleId="TableofFigures">
    <w:name w:val="table of figures"/>
    <w:basedOn w:val="Normal"/>
    <w:next w:val="Normal"/>
    <w:uiPriority w:val="99"/>
    <w:rsid w:val="00D066D9"/>
    <w:pPr>
      <w:spacing w:after="0"/>
    </w:pPr>
    <w:rPr>
      <w:sz w:val="22"/>
    </w:rPr>
  </w:style>
  <w:style w:type="paragraph" w:customStyle="1" w:styleId="LetterheadDate">
    <w:name w:val="Letterhead Date"/>
    <w:basedOn w:val="Normal"/>
    <w:uiPriority w:val="34"/>
    <w:semiHidden/>
    <w:rsid w:val="00D066D9"/>
  </w:style>
  <w:style w:type="character" w:styleId="Strong">
    <w:name w:val="Strong"/>
    <w:basedOn w:val="DefaultParagraphFont"/>
    <w:uiPriority w:val="22"/>
    <w:qFormat/>
    <w:rsid w:val="00D066D9"/>
    <w:rPr>
      <w:b/>
      <w:bCs/>
    </w:rPr>
  </w:style>
  <w:style w:type="numbering" w:styleId="ArticleSection">
    <w:name w:val="Outline List 3"/>
    <w:basedOn w:val="NoList"/>
    <w:uiPriority w:val="99"/>
    <w:semiHidden/>
    <w:unhideWhenUsed/>
    <w:locked/>
    <w:rsid w:val="00D066D9"/>
    <w:pPr>
      <w:numPr>
        <w:numId w:val="9"/>
      </w:numPr>
    </w:pPr>
  </w:style>
  <w:style w:type="paragraph" w:styleId="BalloonText">
    <w:name w:val="Balloon Text"/>
    <w:basedOn w:val="Normal"/>
    <w:link w:val="BalloonTextChar"/>
    <w:uiPriority w:val="99"/>
    <w:semiHidden/>
    <w:locked/>
    <w:rsid w:val="00D066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6D9"/>
    <w:rPr>
      <w:rFonts w:ascii="Segoe UI" w:hAnsi="Segoe UI" w:cs="Segoe UI"/>
      <w:sz w:val="18"/>
      <w:szCs w:val="18"/>
    </w:rPr>
  </w:style>
  <w:style w:type="paragraph" w:styleId="Bibliography">
    <w:name w:val="Bibliography"/>
    <w:basedOn w:val="Normal"/>
    <w:next w:val="Normal"/>
    <w:uiPriority w:val="37"/>
    <w:semiHidden/>
    <w:locked/>
    <w:rsid w:val="00D066D9"/>
  </w:style>
  <w:style w:type="paragraph" w:styleId="BlockText">
    <w:name w:val="Block Text"/>
    <w:basedOn w:val="Normal"/>
    <w:uiPriority w:val="99"/>
    <w:semiHidden/>
    <w:locked/>
    <w:rsid w:val="00D066D9"/>
    <w:pPr>
      <w:pBdr>
        <w:top w:val="single" w:sz="2" w:space="10" w:color="CC6600" w:themeColor="accent1"/>
        <w:left w:val="single" w:sz="2" w:space="10" w:color="CC6600" w:themeColor="accent1"/>
        <w:bottom w:val="single" w:sz="2" w:space="10" w:color="CC6600" w:themeColor="accent1"/>
        <w:right w:val="single" w:sz="2" w:space="10" w:color="CC6600" w:themeColor="accent1"/>
      </w:pBdr>
      <w:ind w:left="1152" w:right="1152"/>
    </w:pPr>
    <w:rPr>
      <w:rFonts w:eastAsiaTheme="minorEastAsia"/>
      <w:i/>
      <w:iCs/>
      <w:color w:val="CC6600" w:themeColor="accent1"/>
    </w:rPr>
  </w:style>
  <w:style w:type="paragraph" w:styleId="BodyText">
    <w:name w:val="Body Text"/>
    <w:basedOn w:val="Normal"/>
    <w:link w:val="BodyTextChar"/>
    <w:uiPriority w:val="99"/>
    <w:semiHidden/>
    <w:rsid w:val="00D066D9"/>
    <w:pPr>
      <w:spacing w:after="120"/>
    </w:pPr>
  </w:style>
  <w:style w:type="character" w:customStyle="1" w:styleId="BodyTextChar">
    <w:name w:val="Body Text Char"/>
    <w:basedOn w:val="DefaultParagraphFont"/>
    <w:link w:val="BodyText"/>
    <w:uiPriority w:val="99"/>
    <w:semiHidden/>
    <w:rsid w:val="00D066D9"/>
  </w:style>
  <w:style w:type="paragraph" w:styleId="BodyText2">
    <w:name w:val="Body Text 2"/>
    <w:basedOn w:val="Normal"/>
    <w:link w:val="BodyText2Char"/>
    <w:uiPriority w:val="99"/>
    <w:semiHidden/>
    <w:rsid w:val="00D066D9"/>
    <w:pPr>
      <w:spacing w:after="120" w:line="480" w:lineRule="auto"/>
    </w:pPr>
  </w:style>
  <w:style w:type="character" w:customStyle="1" w:styleId="BodyText2Char">
    <w:name w:val="Body Text 2 Char"/>
    <w:basedOn w:val="DefaultParagraphFont"/>
    <w:link w:val="BodyText2"/>
    <w:uiPriority w:val="99"/>
    <w:semiHidden/>
    <w:rsid w:val="00D066D9"/>
  </w:style>
  <w:style w:type="paragraph" w:styleId="BodyText3">
    <w:name w:val="Body Text 3"/>
    <w:basedOn w:val="Normal"/>
    <w:link w:val="BodyText3Char"/>
    <w:uiPriority w:val="99"/>
    <w:semiHidden/>
    <w:locked/>
    <w:rsid w:val="00D066D9"/>
    <w:pPr>
      <w:spacing w:after="120"/>
    </w:pPr>
    <w:rPr>
      <w:sz w:val="16"/>
      <w:szCs w:val="16"/>
    </w:rPr>
  </w:style>
  <w:style w:type="character" w:customStyle="1" w:styleId="BodyText3Char">
    <w:name w:val="Body Text 3 Char"/>
    <w:basedOn w:val="DefaultParagraphFont"/>
    <w:link w:val="BodyText3"/>
    <w:uiPriority w:val="99"/>
    <w:semiHidden/>
    <w:rsid w:val="00D066D9"/>
    <w:rPr>
      <w:sz w:val="16"/>
      <w:szCs w:val="16"/>
    </w:rPr>
  </w:style>
  <w:style w:type="paragraph" w:styleId="BodyTextFirstIndent">
    <w:name w:val="Body Text First Indent"/>
    <w:basedOn w:val="BodyText"/>
    <w:link w:val="BodyTextFirstIndentChar"/>
    <w:uiPriority w:val="99"/>
    <w:semiHidden/>
    <w:rsid w:val="00D066D9"/>
    <w:pPr>
      <w:spacing w:after="210"/>
      <w:ind w:firstLine="360"/>
    </w:pPr>
  </w:style>
  <w:style w:type="character" w:customStyle="1" w:styleId="BodyTextFirstIndentChar">
    <w:name w:val="Body Text First Indent Char"/>
    <w:basedOn w:val="BodyTextChar"/>
    <w:link w:val="BodyTextFirstIndent"/>
    <w:uiPriority w:val="99"/>
    <w:semiHidden/>
    <w:rsid w:val="00D066D9"/>
  </w:style>
  <w:style w:type="paragraph" w:styleId="BodyTextIndent">
    <w:name w:val="Body Text Indent"/>
    <w:basedOn w:val="Normal"/>
    <w:link w:val="BodyTextIndentChar"/>
    <w:uiPriority w:val="99"/>
    <w:semiHidden/>
    <w:rsid w:val="00D066D9"/>
    <w:pPr>
      <w:spacing w:after="120"/>
      <w:ind w:left="283"/>
    </w:pPr>
  </w:style>
  <w:style w:type="character" w:customStyle="1" w:styleId="BodyTextIndentChar">
    <w:name w:val="Body Text Indent Char"/>
    <w:basedOn w:val="DefaultParagraphFont"/>
    <w:link w:val="BodyTextIndent"/>
    <w:uiPriority w:val="99"/>
    <w:semiHidden/>
    <w:rsid w:val="00D066D9"/>
  </w:style>
  <w:style w:type="paragraph" w:styleId="BodyTextFirstIndent2">
    <w:name w:val="Body Text First Indent 2"/>
    <w:basedOn w:val="BodyTextIndent"/>
    <w:link w:val="BodyTextFirstIndent2Char"/>
    <w:uiPriority w:val="99"/>
    <w:semiHidden/>
    <w:rsid w:val="00D066D9"/>
    <w:pPr>
      <w:spacing w:after="210"/>
      <w:ind w:left="360" w:firstLine="360"/>
    </w:pPr>
  </w:style>
  <w:style w:type="character" w:customStyle="1" w:styleId="BodyTextFirstIndent2Char">
    <w:name w:val="Body Text First Indent 2 Char"/>
    <w:basedOn w:val="BodyTextIndentChar"/>
    <w:link w:val="BodyTextFirstIndent2"/>
    <w:uiPriority w:val="99"/>
    <w:semiHidden/>
    <w:rsid w:val="00D066D9"/>
  </w:style>
  <w:style w:type="paragraph" w:styleId="BodyTextIndent2">
    <w:name w:val="Body Text Indent 2"/>
    <w:basedOn w:val="Normal"/>
    <w:link w:val="BodyTextIndent2Char"/>
    <w:uiPriority w:val="99"/>
    <w:semiHidden/>
    <w:rsid w:val="00D066D9"/>
    <w:pPr>
      <w:spacing w:after="120" w:line="480" w:lineRule="auto"/>
      <w:ind w:left="283"/>
    </w:pPr>
  </w:style>
  <w:style w:type="character" w:customStyle="1" w:styleId="BodyTextIndent2Char">
    <w:name w:val="Body Text Indent 2 Char"/>
    <w:basedOn w:val="DefaultParagraphFont"/>
    <w:link w:val="BodyTextIndent2"/>
    <w:uiPriority w:val="99"/>
    <w:semiHidden/>
    <w:rsid w:val="00D066D9"/>
  </w:style>
  <w:style w:type="paragraph" w:styleId="BodyTextIndent3">
    <w:name w:val="Body Text Indent 3"/>
    <w:basedOn w:val="Normal"/>
    <w:link w:val="BodyTextIndent3Char"/>
    <w:uiPriority w:val="99"/>
    <w:semiHidden/>
    <w:rsid w:val="00D066D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066D9"/>
    <w:rPr>
      <w:sz w:val="16"/>
      <w:szCs w:val="16"/>
    </w:rPr>
  </w:style>
  <w:style w:type="character" w:styleId="BookTitle">
    <w:name w:val="Book Title"/>
    <w:basedOn w:val="DefaultParagraphFont"/>
    <w:uiPriority w:val="33"/>
    <w:semiHidden/>
    <w:qFormat/>
    <w:locked/>
    <w:rsid w:val="00D066D9"/>
    <w:rPr>
      <w:b/>
      <w:bCs/>
      <w:i/>
      <w:iCs/>
      <w:spacing w:val="5"/>
    </w:rPr>
  </w:style>
  <w:style w:type="paragraph" w:styleId="Closing">
    <w:name w:val="Closing"/>
    <w:basedOn w:val="Normal"/>
    <w:link w:val="ClosingChar"/>
    <w:uiPriority w:val="99"/>
    <w:semiHidden/>
    <w:locked/>
    <w:rsid w:val="00D066D9"/>
    <w:pPr>
      <w:spacing w:after="0" w:line="240" w:lineRule="auto"/>
      <w:ind w:left="4252"/>
    </w:pPr>
  </w:style>
  <w:style w:type="character" w:customStyle="1" w:styleId="ClosingChar">
    <w:name w:val="Closing Char"/>
    <w:basedOn w:val="DefaultParagraphFont"/>
    <w:link w:val="Closing"/>
    <w:uiPriority w:val="99"/>
    <w:semiHidden/>
    <w:rsid w:val="00D066D9"/>
  </w:style>
  <w:style w:type="character" w:styleId="CommentReference">
    <w:name w:val="annotation reference"/>
    <w:basedOn w:val="DefaultParagraphFont"/>
    <w:uiPriority w:val="99"/>
    <w:semiHidden/>
    <w:locked/>
    <w:rsid w:val="00D066D9"/>
    <w:rPr>
      <w:sz w:val="16"/>
      <w:szCs w:val="16"/>
    </w:rPr>
  </w:style>
  <w:style w:type="paragraph" w:styleId="CommentText">
    <w:name w:val="annotation text"/>
    <w:basedOn w:val="Normal"/>
    <w:link w:val="CommentTextChar"/>
    <w:uiPriority w:val="99"/>
    <w:locked/>
    <w:rsid w:val="00D066D9"/>
    <w:pPr>
      <w:spacing w:line="240" w:lineRule="auto"/>
    </w:pPr>
    <w:rPr>
      <w:sz w:val="20"/>
      <w:szCs w:val="20"/>
    </w:rPr>
  </w:style>
  <w:style w:type="character" w:customStyle="1" w:styleId="CommentTextChar">
    <w:name w:val="Comment Text Char"/>
    <w:basedOn w:val="DefaultParagraphFont"/>
    <w:link w:val="CommentText"/>
    <w:uiPriority w:val="99"/>
    <w:rsid w:val="00D066D9"/>
    <w:rPr>
      <w:sz w:val="20"/>
      <w:szCs w:val="20"/>
    </w:rPr>
  </w:style>
  <w:style w:type="paragraph" w:styleId="CommentSubject">
    <w:name w:val="annotation subject"/>
    <w:basedOn w:val="CommentText"/>
    <w:next w:val="CommentText"/>
    <w:link w:val="CommentSubjectChar"/>
    <w:uiPriority w:val="99"/>
    <w:semiHidden/>
    <w:locked/>
    <w:rsid w:val="00D066D9"/>
    <w:rPr>
      <w:b/>
      <w:bCs/>
    </w:rPr>
  </w:style>
  <w:style w:type="character" w:customStyle="1" w:styleId="CommentSubjectChar">
    <w:name w:val="Comment Subject Char"/>
    <w:basedOn w:val="CommentTextChar"/>
    <w:link w:val="CommentSubject"/>
    <w:uiPriority w:val="99"/>
    <w:semiHidden/>
    <w:rsid w:val="00D066D9"/>
    <w:rPr>
      <w:b/>
      <w:bCs/>
      <w:sz w:val="20"/>
      <w:szCs w:val="20"/>
    </w:rPr>
  </w:style>
  <w:style w:type="paragraph" w:styleId="DocumentMap">
    <w:name w:val="Document Map"/>
    <w:basedOn w:val="Normal"/>
    <w:link w:val="DocumentMapChar"/>
    <w:uiPriority w:val="99"/>
    <w:semiHidden/>
    <w:locked/>
    <w:rsid w:val="00D066D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066D9"/>
    <w:rPr>
      <w:rFonts w:ascii="Segoe UI" w:hAnsi="Segoe UI" w:cs="Segoe UI"/>
      <w:sz w:val="16"/>
      <w:szCs w:val="16"/>
    </w:rPr>
  </w:style>
  <w:style w:type="paragraph" w:styleId="E-mailSignature">
    <w:name w:val="E-mail Signature"/>
    <w:basedOn w:val="Normal"/>
    <w:link w:val="E-mailSignatureChar"/>
    <w:uiPriority w:val="99"/>
    <w:semiHidden/>
    <w:locked/>
    <w:rsid w:val="00D066D9"/>
    <w:pPr>
      <w:spacing w:after="0" w:line="240" w:lineRule="auto"/>
    </w:pPr>
  </w:style>
  <w:style w:type="character" w:customStyle="1" w:styleId="E-mailSignatureChar">
    <w:name w:val="E-mail Signature Char"/>
    <w:basedOn w:val="DefaultParagraphFont"/>
    <w:link w:val="E-mailSignature"/>
    <w:uiPriority w:val="99"/>
    <w:semiHidden/>
    <w:rsid w:val="00D066D9"/>
  </w:style>
  <w:style w:type="character" w:styleId="Emphasis">
    <w:name w:val="Emphasis"/>
    <w:basedOn w:val="DefaultParagraphFont"/>
    <w:uiPriority w:val="20"/>
    <w:qFormat/>
    <w:locked/>
    <w:rsid w:val="00D066D9"/>
    <w:rPr>
      <w:i/>
      <w:iCs/>
    </w:rPr>
  </w:style>
  <w:style w:type="character" w:styleId="EndnoteReference">
    <w:name w:val="endnote reference"/>
    <w:basedOn w:val="DefaultParagraphFont"/>
    <w:uiPriority w:val="99"/>
    <w:locked/>
    <w:rsid w:val="00D066D9"/>
    <w:rPr>
      <w:vertAlign w:val="superscript"/>
    </w:rPr>
  </w:style>
  <w:style w:type="paragraph" w:styleId="EndnoteText">
    <w:name w:val="endnote text"/>
    <w:basedOn w:val="Normal"/>
    <w:link w:val="EndnoteTextChar"/>
    <w:uiPriority w:val="99"/>
    <w:locked/>
    <w:rsid w:val="00D066D9"/>
    <w:pPr>
      <w:spacing w:after="0" w:line="240" w:lineRule="auto"/>
    </w:pPr>
    <w:rPr>
      <w:sz w:val="20"/>
      <w:szCs w:val="20"/>
    </w:rPr>
  </w:style>
  <w:style w:type="character" w:customStyle="1" w:styleId="EndnoteTextChar">
    <w:name w:val="Endnote Text Char"/>
    <w:basedOn w:val="DefaultParagraphFont"/>
    <w:link w:val="EndnoteText"/>
    <w:uiPriority w:val="99"/>
    <w:rsid w:val="00D066D9"/>
    <w:rPr>
      <w:sz w:val="20"/>
      <w:szCs w:val="20"/>
    </w:rPr>
  </w:style>
  <w:style w:type="paragraph" w:styleId="EnvelopeReturn">
    <w:name w:val="envelope return"/>
    <w:basedOn w:val="Normal"/>
    <w:uiPriority w:val="99"/>
    <w:semiHidden/>
    <w:rsid w:val="00D066D9"/>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44"/>
    <w:rsid w:val="00D066D9"/>
    <w:rPr>
      <w:color w:val="954F72" w:themeColor="followedHyperlink"/>
      <w:u w:val="single"/>
    </w:rPr>
  </w:style>
  <w:style w:type="character" w:styleId="Hashtag">
    <w:name w:val="Hashtag"/>
    <w:basedOn w:val="DefaultParagraphFont"/>
    <w:uiPriority w:val="99"/>
    <w:semiHidden/>
    <w:locked/>
    <w:rsid w:val="00D066D9"/>
    <w:rPr>
      <w:color w:val="2B579A"/>
      <w:shd w:val="clear" w:color="auto" w:fill="E1DFDD"/>
    </w:rPr>
  </w:style>
  <w:style w:type="character" w:styleId="HTMLAcronym">
    <w:name w:val="HTML Acronym"/>
    <w:basedOn w:val="DefaultParagraphFont"/>
    <w:uiPriority w:val="99"/>
    <w:semiHidden/>
    <w:locked/>
    <w:rsid w:val="00D066D9"/>
  </w:style>
  <w:style w:type="paragraph" w:styleId="HTMLAddress">
    <w:name w:val="HTML Address"/>
    <w:basedOn w:val="Normal"/>
    <w:link w:val="HTMLAddressChar"/>
    <w:uiPriority w:val="99"/>
    <w:semiHidden/>
    <w:locked/>
    <w:rsid w:val="00D066D9"/>
    <w:pPr>
      <w:spacing w:after="0" w:line="240" w:lineRule="auto"/>
    </w:pPr>
    <w:rPr>
      <w:i/>
      <w:iCs/>
    </w:rPr>
  </w:style>
  <w:style w:type="character" w:customStyle="1" w:styleId="HTMLAddressChar">
    <w:name w:val="HTML Address Char"/>
    <w:basedOn w:val="DefaultParagraphFont"/>
    <w:link w:val="HTMLAddress"/>
    <w:uiPriority w:val="99"/>
    <w:semiHidden/>
    <w:rsid w:val="00D066D9"/>
    <w:rPr>
      <w:i/>
      <w:iCs/>
    </w:rPr>
  </w:style>
  <w:style w:type="character" w:styleId="HTMLCite">
    <w:name w:val="HTML Cite"/>
    <w:basedOn w:val="DefaultParagraphFont"/>
    <w:uiPriority w:val="99"/>
    <w:semiHidden/>
    <w:locked/>
    <w:rsid w:val="00D066D9"/>
    <w:rPr>
      <w:i/>
      <w:iCs/>
    </w:rPr>
  </w:style>
  <w:style w:type="character" w:styleId="HTMLCode">
    <w:name w:val="HTML Code"/>
    <w:basedOn w:val="DefaultParagraphFont"/>
    <w:uiPriority w:val="99"/>
    <w:semiHidden/>
    <w:locked/>
    <w:rsid w:val="00D066D9"/>
    <w:rPr>
      <w:rFonts w:ascii="Consolas" w:hAnsi="Consolas"/>
      <w:sz w:val="20"/>
      <w:szCs w:val="20"/>
    </w:rPr>
  </w:style>
  <w:style w:type="character" w:styleId="HTMLDefinition">
    <w:name w:val="HTML Definition"/>
    <w:basedOn w:val="DefaultParagraphFont"/>
    <w:uiPriority w:val="99"/>
    <w:semiHidden/>
    <w:locked/>
    <w:rsid w:val="00D066D9"/>
    <w:rPr>
      <w:i/>
      <w:iCs/>
    </w:rPr>
  </w:style>
  <w:style w:type="character" w:styleId="HTMLKeyboard">
    <w:name w:val="HTML Keyboard"/>
    <w:basedOn w:val="DefaultParagraphFont"/>
    <w:uiPriority w:val="99"/>
    <w:semiHidden/>
    <w:locked/>
    <w:rsid w:val="00D066D9"/>
    <w:rPr>
      <w:rFonts w:ascii="Consolas" w:hAnsi="Consolas"/>
      <w:sz w:val="20"/>
      <w:szCs w:val="20"/>
    </w:rPr>
  </w:style>
  <w:style w:type="paragraph" w:styleId="HTMLPreformatted">
    <w:name w:val="HTML Preformatted"/>
    <w:basedOn w:val="Normal"/>
    <w:link w:val="HTMLPreformattedChar"/>
    <w:uiPriority w:val="99"/>
    <w:semiHidden/>
    <w:locked/>
    <w:rsid w:val="00D066D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066D9"/>
    <w:rPr>
      <w:rFonts w:ascii="Consolas" w:hAnsi="Consolas"/>
      <w:sz w:val="20"/>
      <w:szCs w:val="20"/>
    </w:rPr>
  </w:style>
  <w:style w:type="character" w:styleId="HTMLSample">
    <w:name w:val="HTML Sample"/>
    <w:basedOn w:val="DefaultParagraphFont"/>
    <w:uiPriority w:val="99"/>
    <w:semiHidden/>
    <w:locked/>
    <w:rsid w:val="00D066D9"/>
    <w:rPr>
      <w:rFonts w:ascii="Consolas" w:hAnsi="Consolas"/>
      <w:sz w:val="24"/>
      <w:szCs w:val="24"/>
    </w:rPr>
  </w:style>
  <w:style w:type="character" w:styleId="HTMLTypewriter">
    <w:name w:val="HTML Typewriter"/>
    <w:basedOn w:val="DefaultParagraphFont"/>
    <w:uiPriority w:val="99"/>
    <w:semiHidden/>
    <w:locked/>
    <w:rsid w:val="00D066D9"/>
    <w:rPr>
      <w:rFonts w:ascii="Consolas" w:hAnsi="Consolas"/>
      <w:sz w:val="20"/>
      <w:szCs w:val="20"/>
    </w:rPr>
  </w:style>
  <w:style w:type="character" w:styleId="HTMLVariable">
    <w:name w:val="HTML Variable"/>
    <w:basedOn w:val="DefaultParagraphFont"/>
    <w:uiPriority w:val="99"/>
    <w:semiHidden/>
    <w:locked/>
    <w:rsid w:val="00D066D9"/>
    <w:rPr>
      <w:i/>
      <w:iCs/>
    </w:rPr>
  </w:style>
  <w:style w:type="paragraph" w:styleId="Index1">
    <w:name w:val="index 1"/>
    <w:basedOn w:val="Normal"/>
    <w:next w:val="Normal"/>
    <w:autoRedefine/>
    <w:uiPriority w:val="99"/>
    <w:semiHidden/>
    <w:locked/>
    <w:rsid w:val="00D066D9"/>
    <w:pPr>
      <w:spacing w:after="0" w:line="240" w:lineRule="auto"/>
      <w:ind w:left="210" w:hanging="210"/>
    </w:pPr>
  </w:style>
  <w:style w:type="paragraph" w:styleId="Index2">
    <w:name w:val="index 2"/>
    <w:basedOn w:val="Normal"/>
    <w:next w:val="Normal"/>
    <w:autoRedefine/>
    <w:uiPriority w:val="99"/>
    <w:semiHidden/>
    <w:locked/>
    <w:rsid w:val="00D066D9"/>
    <w:pPr>
      <w:spacing w:after="0" w:line="240" w:lineRule="auto"/>
      <w:ind w:left="420" w:hanging="210"/>
    </w:pPr>
  </w:style>
  <w:style w:type="paragraph" w:styleId="Index3">
    <w:name w:val="index 3"/>
    <w:basedOn w:val="Normal"/>
    <w:next w:val="Normal"/>
    <w:autoRedefine/>
    <w:uiPriority w:val="99"/>
    <w:semiHidden/>
    <w:locked/>
    <w:rsid w:val="00D066D9"/>
    <w:pPr>
      <w:spacing w:after="0" w:line="240" w:lineRule="auto"/>
      <w:ind w:left="630" w:hanging="210"/>
    </w:pPr>
  </w:style>
  <w:style w:type="paragraph" w:styleId="Index4">
    <w:name w:val="index 4"/>
    <w:basedOn w:val="Normal"/>
    <w:next w:val="Normal"/>
    <w:autoRedefine/>
    <w:uiPriority w:val="99"/>
    <w:semiHidden/>
    <w:locked/>
    <w:rsid w:val="00D066D9"/>
    <w:pPr>
      <w:spacing w:after="0" w:line="240" w:lineRule="auto"/>
      <w:ind w:left="840" w:hanging="210"/>
    </w:pPr>
  </w:style>
  <w:style w:type="paragraph" w:styleId="Index5">
    <w:name w:val="index 5"/>
    <w:basedOn w:val="Normal"/>
    <w:next w:val="Normal"/>
    <w:autoRedefine/>
    <w:uiPriority w:val="99"/>
    <w:semiHidden/>
    <w:locked/>
    <w:rsid w:val="00D066D9"/>
    <w:pPr>
      <w:spacing w:after="0" w:line="240" w:lineRule="auto"/>
      <w:ind w:left="1050" w:hanging="210"/>
    </w:pPr>
  </w:style>
  <w:style w:type="paragraph" w:styleId="Index6">
    <w:name w:val="index 6"/>
    <w:basedOn w:val="Normal"/>
    <w:next w:val="Normal"/>
    <w:autoRedefine/>
    <w:uiPriority w:val="99"/>
    <w:semiHidden/>
    <w:locked/>
    <w:rsid w:val="00D066D9"/>
    <w:pPr>
      <w:spacing w:after="0" w:line="240" w:lineRule="auto"/>
      <w:ind w:left="1260" w:hanging="210"/>
    </w:pPr>
  </w:style>
  <w:style w:type="paragraph" w:styleId="Index7">
    <w:name w:val="index 7"/>
    <w:basedOn w:val="Normal"/>
    <w:next w:val="Normal"/>
    <w:autoRedefine/>
    <w:uiPriority w:val="99"/>
    <w:semiHidden/>
    <w:locked/>
    <w:rsid w:val="00D066D9"/>
    <w:pPr>
      <w:spacing w:after="0" w:line="240" w:lineRule="auto"/>
      <w:ind w:left="1470" w:hanging="210"/>
    </w:pPr>
  </w:style>
  <w:style w:type="paragraph" w:styleId="Index8">
    <w:name w:val="index 8"/>
    <w:basedOn w:val="Normal"/>
    <w:next w:val="Normal"/>
    <w:autoRedefine/>
    <w:uiPriority w:val="99"/>
    <w:semiHidden/>
    <w:locked/>
    <w:rsid w:val="00D066D9"/>
    <w:pPr>
      <w:spacing w:after="0" w:line="240" w:lineRule="auto"/>
      <w:ind w:left="1680" w:hanging="210"/>
    </w:pPr>
  </w:style>
  <w:style w:type="paragraph" w:styleId="Index9">
    <w:name w:val="index 9"/>
    <w:basedOn w:val="Normal"/>
    <w:next w:val="Normal"/>
    <w:autoRedefine/>
    <w:uiPriority w:val="99"/>
    <w:semiHidden/>
    <w:locked/>
    <w:rsid w:val="00D066D9"/>
    <w:pPr>
      <w:spacing w:after="0" w:line="240" w:lineRule="auto"/>
      <w:ind w:left="1890" w:hanging="210"/>
    </w:pPr>
  </w:style>
  <w:style w:type="paragraph" w:styleId="IndexHeading">
    <w:name w:val="index heading"/>
    <w:basedOn w:val="Normal"/>
    <w:next w:val="Index1"/>
    <w:uiPriority w:val="99"/>
    <w:semiHidden/>
    <w:locked/>
    <w:rsid w:val="00D066D9"/>
    <w:rPr>
      <w:rFonts w:asciiTheme="majorHAnsi" w:eastAsiaTheme="majorEastAsia" w:hAnsiTheme="majorHAnsi" w:cstheme="majorBidi"/>
      <w:b/>
      <w:bCs/>
    </w:rPr>
  </w:style>
  <w:style w:type="character" w:styleId="IntenseEmphasis">
    <w:name w:val="Intense Emphasis"/>
    <w:basedOn w:val="DefaultParagraphFont"/>
    <w:uiPriority w:val="21"/>
    <w:semiHidden/>
    <w:rsid w:val="00D066D9"/>
    <w:rPr>
      <w:i/>
      <w:iCs/>
      <w:color w:val="CC6600" w:themeColor="accent1"/>
    </w:rPr>
  </w:style>
  <w:style w:type="character" w:styleId="IntenseReference">
    <w:name w:val="Intense Reference"/>
    <w:basedOn w:val="DefaultParagraphFont"/>
    <w:uiPriority w:val="32"/>
    <w:semiHidden/>
    <w:rsid w:val="00D066D9"/>
    <w:rPr>
      <w:b/>
      <w:bCs/>
      <w:smallCaps/>
      <w:color w:val="CC6600" w:themeColor="accent1"/>
      <w:spacing w:val="5"/>
    </w:rPr>
  </w:style>
  <w:style w:type="character" w:styleId="LineNumber">
    <w:name w:val="line number"/>
    <w:basedOn w:val="DefaultParagraphFont"/>
    <w:uiPriority w:val="99"/>
    <w:semiHidden/>
    <w:locked/>
    <w:rsid w:val="00D066D9"/>
  </w:style>
  <w:style w:type="paragraph" w:styleId="MacroText">
    <w:name w:val="macro"/>
    <w:link w:val="MacroTextChar"/>
    <w:uiPriority w:val="99"/>
    <w:semiHidden/>
    <w:locked/>
    <w:rsid w:val="00D066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D066D9"/>
    <w:rPr>
      <w:rFonts w:ascii="Consolas" w:hAnsi="Consolas"/>
      <w:sz w:val="20"/>
      <w:szCs w:val="20"/>
    </w:rPr>
  </w:style>
  <w:style w:type="character" w:styleId="Mention">
    <w:name w:val="Mention"/>
    <w:basedOn w:val="DefaultParagraphFont"/>
    <w:uiPriority w:val="99"/>
    <w:semiHidden/>
    <w:locked/>
    <w:rsid w:val="00D066D9"/>
    <w:rPr>
      <w:color w:val="2B579A"/>
      <w:shd w:val="clear" w:color="auto" w:fill="E1DFDD"/>
    </w:rPr>
  </w:style>
  <w:style w:type="paragraph" w:styleId="MessageHeader">
    <w:name w:val="Message Header"/>
    <w:basedOn w:val="Normal"/>
    <w:link w:val="MessageHeaderChar"/>
    <w:uiPriority w:val="99"/>
    <w:semiHidden/>
    <w:locked/>
    <w:rsid w:val="00D066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066D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rsid w:val="00D066D9"/>
    <w:rPr>
      <w:rFonts w:ascii="Times New Roman" w:hAnsi="Times New Roman" w:cs="Times New Roman"/>
      <w:sz w:val="24"/>
      <w:szCs w:val="24"/>
    </w:rPr>
  </w:style>
  <w:style w:type="paragraph" w:styleId="NormalIndent">
    <w:name w:val="Normal Indent"/>
    <w:basedOn w:val="Normal"/>
    <w:uiPriority w:val="99"/>
    <w:semiHidden/>
    <w:locked/>
    <w:rsid w:val="00D066D9"/>
    <w:pPr>
      <w:ind w:left="720"/>
    </w:pPr>
  </w:style>
  <w:style w:type="character" w:styleId="PageNumber">
    <w:name w:val="page number"/>
    <w:basedOn w:val="DefaultParagraphFont"/>
    <w:uiPriority w:val="99"/>
    <w:semiHidden/>
    <w:locked/>
    <w:rsid w:val="00D066D9"/>
  </w:style>
  <w:style w:type="paragraph" w:styleId="PlainText">
    <w:name w:val="Plain Text"/>
    <w:basedOn w:val="Normal"/>
    <w:link w:val="PlainTextChar"/>
    <w:uiPriority w:val="99"/>
    <w:semiHidden/>
    <w:rsid w:val="00D066D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066D9"/>
    <w:rPr>
      <w:rFonts w:ascii="Consolas" w:hAnsi="Consolas"/>
      <w:szCs w:val="21"/>
    </w:rPr>
  </w:style>
  <w:style w:type="character" w:styleId="SmartHyperlink">
    <w:name w:val="Smart Hyperlink"/>
    <w:basedOn w:val="DefaultParagraphFont"/>
    <w:uiPriority w:val="99"/>
    <w:semiHidden/>
    <w:locked/>
    <w:rsid w:val="00D066D9"/>
    <w:rPr>
      <w:u w:val="dotted"/>
    </w:rPr>
  </w:style>
  <w:style w:type="character" w:styleId="SmartLink">
    <w:name w:val="Smart Link"/>
    <w:basedOn w:val="DefaultParagraphFont"/>
    <w:uiPriority w:val="99"/>
    <w:semiHidden/>
    <w:locked/>
    <w:rsid w:val="00D066D9"/>
    <w:rPr>
      <w:color w:val="0000FF"/>
      <w:u w:val="single"/>
      <w:shd w:val="clear" w:color="auto" w:fill="F3F2F1"/>
    </w:rPr>
  </w:style>
  <w:style w:type="character" w:styleId="SubtleEmphasis">
    <w:name w:val="Subtle Emphasis"/>
    <w:basedOn w:val="DefaultParagraphFont"/>
    <w:uiPriority w:val="19"/>
    <w:semiHidden/>
    <w:rsid w:val="00D066D9"/>
    <w:rPr>
      <w:i/>
      <w:iCs/>
      <w:color w:val="595959" w:themeColor="text1" w:themeTint="BF"/>
    </w:rPr>
  </w:style>
  <w:style w:type="character" w:styleId="SubtleReference">
    <w:name w:val="Subtle Reference"/>
    <w:basedOn w:val="DefaultParagraphFont"/>
    <w:uiPriority w:val="31"/>
    <w:semiHidden/>
    <w:rsid w:val="00D066D9"/>
    <w:rPr>
      <w:smallCaps/>
      <w:color w:val="707070" w:themeColor="text1" w:themeTint="A5"/>
    </w:rPr>
  </w:style>
  <w:style w:type="paragraph" w:styleId="TableofAuthorities">
    <w:name w:val="table of authorities"/>
    <w:basedOn w:val="Normal"/>
    <w:next w:val="Normal"/>
    <w:uiPriority w:val="99"/>
    <w:semiHidden/>
    <w:rsid w:val="00D066D9"/>
    <w:pPr>
      <w:spacing w:after="0"/>
      <w:ind w:left="210" w:hanging="210"/>
    </w:pPr>
  </w:style>
  <w:style w:type="paragraph" w:styleId="TOAHeading">
    <w:name w:val="toa heading"/>
    <w:basedOn w:val="Normal"/>
    <w:next w:val="Normal"/>
    <w:uiPriority w:val="99"/>
    <w:semiHidden/>
    <w:rsid w:val="00D066D9"/>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rsid w:val="00D066D9"/>
    <w:pPr>
      <w:spacing w:after="100"/>
      <w:ind w:left="840"/>
    </w:pPr>
  </w:style>
  <w:style w:type="paragraph" w:styleId="TOC6">
    <w:name w:val="toc 6"/>
    <w:basedOn w:val="Normal"/>
    <w:next w:val="Normal"/>
    <w:autoRedefine/>
    <w:uiPriority w:val="39"/>
    <w:semiHidden/>
    <w:rsid w:val="00D066D9"/>
    <w:pPr>
      <w:spacing w:after="100"/>
      <w:ind w:left="1050"/>
    </w:pPr>
  </w:style>
  <w:style w:type="paragraph" w:styleId="TOC7">
    <w:name w:val="toc 7"/>
    <w:basedOn w:val="Normal"/>
    <w:next w:val="Normal"/>
    <w:autoRedefine/>
    <w:uiPriority w:val="39"/>
    <w:semiHidden/>
    <w:rsid w:val="00D066D9"/>
    <w:pPr>
      <w:spacing w:after="100"/>
      <w:ind w:left="1260"/>
    </w:pPr>
  </w:style>
  <w:style w:type="paragraph" w:styleId="TOC8">
    <w:name w:val="toc 8"/>
    <w:basedOn w:val="Normal"/>
    <w:next w:val="Normal"/>
    <w:autoRedefine/>
    <w:uiPriority w:val="39"/>
    <w:semiHidden/>
    <w:rsid w:val="00D066D9"/>
    <w:pPr>
      <w:spacing w:after="100"/>
      <w:ind w:left="1470"/>
    </w:pPr>
  </w:style>
  <w:style w:type="paragraph" w:styleId="TOC9">
    <w:name w:val="toc 9"/>
    <w:basedOn w:val="Normal"/>
    <w:next w:val="Normal"/>
    <w:autoRedefine/>
    <w:uiPriority w:val="39"/>
    <w:semiHidden/>
    <w:rsid w:val="00D066D9"/>
    <w:pPr>
      <w:spacing w:after="100"/>
      <w:ind w:left="1680"/>
    </w:pPr>
  </w:style>
  <w:style w:type="character" w:styleId="UnresolvedMention">
    <w:name w:val="Unresolved Mention"/>
    <w:basedOn w:val="DefaultParagraphFont"/>
    <w:uiPriority w:val="99"/>
    <w:semiHidden/>
    <w:locked/>
    <w:rsid w:val="00D066D9"/>
    <w:rPr>
      <w:color w:val="605E5C"/>
      <w:shd w:val="clear" w:color="auto" w:fill="E1DFDD"/>
    </w:rPr>
  </w:style>
  <w:style w:type="paragraph" w:customStyle="1" w:styleId="ToH2">
    <w:name w:val="ToH2"/>
    <w:basedOn w:val="Normal"/>
    <w:uiPriority w:val="39"/>
    <w:rsid w:val="00D066D9"/>
    <w:pPr>
      <w:spacing w:before="240" w:after="120"/>
    </w:pPr>
    <w:rPr>
      <w:rFonts w:asciiTheme="majorHAnsi" w:hAnsiTheme="majorHAnsi"/>
      <w:color w:val="0D3E67" w:themeColor="accent3"/>
      <w:sz w:val="32"/>
    </w:rPr>
  </w:style>
  <w:style w:type="table" w:styleId="PlainTable5">
    <w:name w:val="Plain Table 5"/>
    <w:basedOn w:val="TableNormal"/>
    <w:uiPriority w:val="45"/>
    <w:locked/>
    <w:rsid w:val="00D066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umnBlock">
    <w:name w:val="Column Block"/>
    <w:basedOn w:val="Normal"/>
    <w:next w:val="Normal"/>
    <w:uiPriority w:val="19"/>
    <w:qFormat/>
    <w:rsid w:val="00D066D9"/>
    <w:pPr>
      <w:pBdr>
        <w:top w:val="single" w:sz="4" w:space="5" w:color="CBC3BB" w:themeColor="text2"/>
        <w:left w:val="single" w:sz="4" w:space="5" w:color="CBC3BB" w:themeColor="text2"/>
        <w:bottom w:val="single" w:sz="4" w:space="5" w:color="CBC3BB" w:themeColor="text2"/>
        <w:right w:val="single" w:sz="4" w:space="5" w:color="CBC3BB" w:themeColor="text2"/>
      </w:pBdr>
      <w:shd w:val="clear" w:color="auto" w:fill="0D3E67" w:themeFill="accent3"/>
    </w:pPr>
    <w:rPr>
      <w:color w:val="FFFFFF" w:themeColor="background1"/>
    </w:rPr>
  </w:style>
  <w:style w:type="paragraph" w:customStyle="1" w:styleId="Pulloutquote">
    <w:name w:val="Pull out quote"/>
    <w:basedOn w:val="Normal"/>
    <w:uiPriority w:val="20"/>
    <w:qFormat/>
    <w:rsid w:val="00D066D9"/>
    <w:pPr>
      <w:pBdr>
        <w:top w:val="single" w:sz="24" w:space="10" w:color="0D3E67" w:themeColor="accent3"/>
        <w:bottom w:val="single" w:sz="24" w:space="10" w:color="0D3E67" w:themeColor="accent3"/>
      </w:pBdr>
      <w:spacing w:before="360" w:after="360"/>
      <w:ind w:left="567" w:right="816"/>
      <w:jc w:val="center"/>
    </w:pPr>
    <w:rPr>
      <w:i/>
      <w:color w:val="0D3E67" w:themeColor="accent3"/>
      <w:sz w:val="24"/>
    </w:rPr>
  </w:style>
  <w:style w:type="paragraph" w:customStyle="1" w:styleId="ExecutiveSummary">
    <w:name w:val="Executive Summary"/>
    <w:basedOn w:val="Normal"/>
    <w:uiPriority w:val="11"/>
    <w:semiHidden/>
    <w:qFormat/>
    <w:rsid w:val="00D066D9"/>
    <w:pPr>
      <w:pBdr>
        <w:top w:val="single" w:sz="8" w:space="10" w:color="CC6600" w:themeColor="accent1"/>
      </w:pBdr>
      <w:spacing w:after="360"/>
    </w:pPr>
    <w:rPr>
      <w:rFonts w:asciiTheme="majorHAnsi" w:hAnsiTheme="majorHAnsi"/>
      <w:sz w:val="40"/>
    </w:rPr>
  </w:style>
  <w:style w:type="paragraph" w:customStyle="1" w:styleId="ExecutiveSummary2">
    <w:name w:val="Executive Summary2"/>
    <w:basedOn w:val="Normal"/>
    <w:next w:val="Normal"/>
    <w:uiPriority w:val="11"/>
    <w:semiHidden/>
    <w:qFormat/>
    <w:rsid w:val="00D066D9"/>
    <w:pPr>
      <w:spacing w:before="240" w:after="120"/>
    </w:pPr>
    <w:rPr>
      <w:rFonts w:asciiTheme="majorHAnsi" w:hAnsiTheme="majorHAnsi"/>
      <w:color w:val="0D3E67" w:themeColor="accent3"/>
      <w:sz w:val="32"/>
    </w:rPr>
  </w:style>
  <w:style w:type="numbering" w:customStyle="1" w:styleId="BlockList">
    <w:name w:val="Block List"/>
    <w:basedOn w:val="NoList"/>
    <w:uiPriority w:val="99"/>
    <w:rsid w:val="00D066D9"/>
    <w:pPr>
      <w:numPr>
        <w:numId w:val="3"/>
      </w:numPr>
    </w:pPr>
  </w:style>
  <w:style w:type="paragraph" w:styleId="List">
    <w:name w:val="List"/>
    <w:basedOn w:val="Normal"/>
    <w:uiPriority w:val="99"/>
    <w:semiHidden/>
    <w:rsid w:val="00D066D9"/>
    <w:pPr>
      <w:ind w:left="283" w:hanging="283"/>
      <w:contextualSpacing/>
    </w:pPr>
  </w:style>
  <w:style w:type="paragraph" w:styleId="List2">
    <w:name w:val="List 2"/>
    <w:basedOn w:val="Normal"/>
    <w:uiPriority w:val="99"/>
    <w:semiHidden/>
    <w:rsid w:val="00D066D9"/>
    <w:pPr>
      <w:ind w:left="566" w:hanging="283"/>
      <w:contextualSpacing/>
    </w:pPr>
  </w:style>
  <w:style w:type="paragraph" w:styleId="List3">
    <w:name w:val="List 3"/>
    <w:basedOn w:val="Normal"/>
    <w:uiPriority w:val="99"/>
    <w:semiHidden/>
    <w:rsid w:val="00D066D9"/>
    <w:pPr>
      <w:ind w:left="849" w:hanging="283"/>
      <w:contextualSpacing/>
    </w:pPr>
  </w:style>
  <w:style w:type="paragraph" w:styleId="List4">
    <w:name w:val="List 4"/>
    <w:basedOn w:val="Normal"/>
    <w:uiPriority w:val="99"/>
    <w:semiHidden/>
    <w:rsid w:val="00D066D9"/>
    <w:pPr>
      <w:ind w:left="1132" w:hanging="283"/>
      <w:contextualSpacing/>
    </w:pPr>
  </w:style>
  <w:style w:type="paragraph" w:styleId="List5">
    <w:name w:val="List 5"/>
    <w:basedOn w:val="Normal"/>
    <w:uiPriority w:val="99"/>
    <w:semiHidden/>
    <w:rsid w:val="00D066D9"/>
    <w:pPr>
      <w:ind w:left="1415" w:hanging="283"/>
      <w:contextualSpacing/>
    </w:pPr>
  </w:style>
  <w:style w:type="paragraph" w:customStyle="1" w:styleId="ContactDetails">
    <w:name w:val="Contact Details"/>
    <w:basedOn w:val="ExecutiveSummary"/>
    <w:uiPriority w:val="99"/>
    <w:rsid w:val="00D066D9"/>
    <w:rPr>
      <w:caps/>
    </w:rPr>
  </w:style>
  <w:style w:type="character" w:customStyle="1" w:styleId="TealblocktextChar">
    <w:name w:val="Teal block text Char"/>
    <w:basedOn w:val="OrangeblocktextChar"/>
    <w:link w:val="Tealblocktext"/>
    <w:uiPriority w:val="23"/>
    <w:rsid w:val="00D066D9"/>
    <w:rPr>
      <w:rFonts w:ascii="Arial" w:eastAsia="Arial" w:hAnsi="Arial" w:cs="Arial"/>
      <w:shd w:val="clear" w:color="auto" w:fill="D9F1ED"/>
    </w:rPr>
  </w:style>
  <w:style w:type="character" w:customStyle="1" w:styleId="OrangeblockheadingChar">
    <w:name w:val="Orange block heading Char"/>
    <w:basedOn w:val="DefaultParagraphFont"/>
    <w:link w:val="Orangeblockheading"/>
    <w:uiPriority w:val="19"/>
    <w:rsid w:val="00D066D9"/>
    <w:rPr>
      <w:rFonts w:asciiTheme="majorHAnsi" w:hAnsiTheme="majorHAnsi"/>
      <w:sz w:val="28"/>
      <w:shd w:val="clear" w:color="auto" w:fill="FCE2CC" w:themeFill="accent2"/>
    </w:rPr>
  </w:style>
  <w:style w:type="character" w:customStyle="1" w:styleId="OrangeblocktextChar">
    <w:name w:val="Orange block text Char"/>
    <w:basedOn w:val="DefaultParagraphFont"/>
    <w:link w:val="Orangeblocktext"/>
    <w:uiPriority w:val="20"/>
    <w:rsid w:val="00384259"/>
    <w:rPr>
      <w:rFonts w:ascii="Arial" w:eastAsia="Arial" w:hAnsi="Arial" w:cs="Arial"/>
      <w:shd w:val="clear" w:color="auto" w:fill="FEF1E6"/>
    </w:rPr>
  </w:style>
  <w:style w:type="character" w:customStyle="1" w:styleId="TealblockheadingChar">
    <w:name w:val="Teal block heading Char"/>
    <w:basedOn w:val="TealblocktextChar"/>
    <w:link w:val="Tealblockheading"/>
    <w:uiPriority w:val="22"/>
    <w:rsid w:val="00D066D9"/>
    <w:rPr>
      <w:rFonts w:asciiTheme="majorHAnsi" w:eastAsia="Arial" w:hAnsiTheme="majorHAnsi" w:cs="Arial"/>
      <w:sz w:val="28"/>
      <w:shd w:val="clear" w:color="auto" w:fill="D9F1ED"/>
    </w:rPr>
  </w:style>
  <w:style w:type="character" w:customStyle="1" w:styleId="Heading1nonumberChar">
    <w:name w:val="Heading 1 no number Char"/>
    <w:basedOn w:val="Heading1Char"/>
    <w:link w:val="Heading1nonumber"/>
    <w:uiPriority w:val="6"/>
    <w:rsid w:val="00D066D9"/>
    <w:rPr>
      <w:rFonts w:asciiTheme="majorHAnsi" w:eastAsiaTheme="majorEastAsia" w:hAnsiTheme="majorHAnsi" w:cstheme="majorBidi"/>
      <w:caps/>
      <w:sz w:val="40"/>
      <w:szCs w:val="32"/>
    </w:rPr>
  </w:style>
  <w:style w:type="character" w:customStyle="1" w:styleId="Heading3nonumberChar">
    <w:name w:val="Heading 3 no number Char"/>
    <w:basedOn w:val="Heading3Char"/>
    <w:link w:val="Heading3nonumber"/>
    <w:uiPriority w:val="10"/>
    <w:rsid w:val="00D066D9"/>
    <w:rPr>
      <w:rFonts w:asciiTheme="majorHAnsi" w:eastAsiaTheme="majorEastAsia" w:hAnsiTheme="majorHAnsi" w:cstheme="majorBidi"/>
      <w:sz w:val="28"/>
      <w:szCs w:val="24"/>
    </w:rPr>
  </w:style>
  <w:style w:type="character" w:customStyle="1" w:styleId="Heading4nonumberChar">
    <w:name w:val="Heading 4 no number Char"/>
    <w:basedOn w:val="Heading4Char"/>
    <w:link w:val="Heading4nonumber"/>
    <w:uiPriority w:val="12"/>
    <w:rsid w:val="00D066D9"/>
    <w:rPr>
      <w:rFonts w:asciiTheme="majorHAnsi" w:eastAsiaTheme="majorEastAsia" w:hAnsiTheme="majorHAnsi" w:cstheme="majorBidi"/>
      <w:i/>
      <w:iCs/>
      <w:sz w:val="24"/>
    </w:rPr>
  </w:style>
  <w:style w:type="table" w:styleId="ColorfulGrid">
    <w:name w:val="Colorful Grid"/>
    <w:basedOn w:val="TableNormal"/>
    <w:uiPriority w:val="73"/>
    <w:semiHidden/>
    <w:unhideWhenUsed/>
    <w:locked/>
    <w:rsid w:val="008E4939"/>
    <w:pPr>
      <w:spacing w:after="0" w:line="240" w:lineRule="auto"/>
    </w:pPr>
    <w:tblPr>
      <w:tblStyleRowBandSize w:val="1"/>
      <w:tblStyleColBandSize w:val="1"/>
      <w:tblBorders>
        <w:insideH w:val="single" w:sz="4" w:space="0" w:color="FFFFFF" w:themeColor="background1"/>
      </w:tblBorders>
    </w:tblPr>
    <w:tcPr>
      <w:shd w:val="clear" w:color="auto" w:fill="D2D2D2" w:themeFill="text1" w:themeFillTint="33"/>
    </w:tcPr>
    <w:tblStylePr w:type="firstRow">
      <w:rPr>
        <w:b/>
        <w:bCs/>
      </w:rPr>
      <w:tblPr/>
      <w:tcPr>
        <w:shd w:val="clear" w:color="auto" w:fill="A6A6A6" w:themeFill="text1" w:themeFillTint="66"/>
      </w:tcPr>
    </w:tblStylePr>
    <w:tblStylePr w:type="lastRow">
      <w:rPr>
        <w:b/>
        <w:bCs/>
        <w:color w:val="222222" w:themeColor="text1"/>
      </w:rPr>
      <w:tblPr/>
      <w:tcPr>
        <w:shd w:val="clear" w:color="auto" w:fill="A6A6A6" w:themeFill="text1" w:themeFillTint="66"/>
      </w:tcPr>
    </w:tblStylePr>
    <w:tblStylePr w:type="firstCol">
      <w:rPr>
        <w:color w:val="FFFFFF" w:themeColor="background1"/>
      </w:rPr>
      <w:tblPr/>
      <w:tcPr>
        <w:shd w:val="clear" w:color="auto" w:fill="191919" w:themeFill="text1" w:themeFillShade="BF"/>
      </w:tcPr>
    </w:tblStylePr>
    <w:tblStylePr w:type="lastCol">
      <w:rPr>
        <w:color w:val="FFFFFF" w:themeColor="background1"/>
      </w:rPr>
      <w:tblPr/>
      <w:tcPr>
        <w:shd w:val="clear" w:color="auto" w:fill="191919" w:themeFill="text1" w:themeFillShade="BF"/>
      </w:tcPr>
    </w:tblStylePr>
    <w:tblStylePr w:type="band1Vert">
      <w:tblPr/>
      <w:tcPr>
        <w:shd w:val="clear" w:color="auto" w:fill="909090" w:themeFill="text1" w:themeFillTint="7F"/>
      </w:tcPr>
    </w:tblStylePr>
    <w:tblStylePr w:type="band1Horz">
      <w:tblPr/>
      <w:tcPr>
        <w:shd w:val="clear" w:color="auto" w:fill="909090" w:themeFill="text1" w:themeFillTint="7F"/>
      </w:tcPr>
    </w:tblStylePr>
  </w:style>
  <w:style w:type="table" w:styleId="ColorfulGrid-Accent1">
    <w:name w:val="Colorful Grid Accent 1"/>
    <w:basedOn w:val="TableNormal"/>
    <w:uiPriority w:val="73"/>
    <w:semiHidden/>
    <w:unhideWhenUsed/>
    <w:locked/>
    <w:rsid w:val="008E4939"/>
    <w:pPr>
      <w:spacing w:after="0" w:line="240" w:lineRule="auto"/>
    </w:pPr>
    <w:tblPr>
      <w:tblStyleRowBandSize w:val="1"/>
      <w:tblStyleColBandSize w:val="1"/>
      <w:tblBorders>
        <w:insideH w:val="single" w:sz="4" w:space="0" w:color="FFFFFF" w:themeColor="background1"/>
      </w:tblBorders>
    </w:tblPr>
    <w:tcPr>
      <w:shd w:val="clear" w:color="auto" w:fill="FFE0C1" w:themeFill="accent1" w:themeFillTint="33"/>
    </w:tcPr>
    <w:tblStylePr w:type="firstRow">
      <w:rPr>
        <w:b/>
        <w:bCs/>
      </w:rPr>
      <w:tblPr/>
      <w:tcPr>
        <w:shd w:val="clear" w:color="auto" w:fill="FFC184" w:themeFill="accent1" w:themeFillTint="66"/>
      </w:tcPr>
    </w:tblStylePr>
    <w:tblStylePr w:type="lastRow">
      <w:rPr>
        <w:b/>
        <w:bCs/>
        <w:color w:val="222222" w:themeColor="text1"/>
      </w:rPr>
      <w:tblPr/>
      <w:tcPr>
        <w:shd w:val="clear" w:color="auto" w:fill="FFC184" w:themeFill="accent1" w:themeFillTint="66"/>
      </w:tcPr>
    </w:tblStylePr>
    <w:tblStylePr w:type="firstCol">
      <w:rPr>
        <w:color w:val="FFFFFF" w:themeColor="background1"/>
      </w:rPr>
      <w:tblPr/>
      <w:tcPr>
        <w:shd w:val="clear" w:color="auto" w:fill="984C00" w:themeFill="accent1" w:themeFillShade="BF"/>
      </w:tcPr>
    </w:tblStylePr>
    <w:tblStylePr w:type="lastCol">
      <w:rPr>
        <w:color w:val="FFFFFF" w:themeColor="background1"/>
      </w:rPr>
      <w:tblPr/>
      <w:tcPr>
        <w:shd w:val="clear" w:color="auto" w:fill="984C00" w:themeFill="accent1" w:themeFillShade="BF"/>
      </w:tcPr>
    </w:tblStylePr>
    <w:tblStylePr w:type="band1Vert">
      <w:tblPr/>
      <w:tcPr>
        <w:shd w:val="clear" w:color="auto" w:fill="FFB266" w:themeFill="accent1" w:themeFillTint="7F"/>
      </w:tcPr>
    </w:tblStylePr>
    <w:tblStylePr w:type="band1Horz">
      <w:tblPr/>
      <w:tcPr>
        <w:shd w:val="clear" w:color="auto" w:fill="FFB266" w:themeFill="accent1" w:themeFillTint="7F"/>
      </w:tcPr>
    </w:tblStylePr>
  </w:style>
  <w:style w:type="table" w:styleId="ColorfulGrid-Accent2">
    <w:name w:val="Colorful Grid Accent 2"/>
    <w:basedOn w:val="TableNormal"/>
    <w:uiPriority w:val="73"/>
    <w:semiHidden/>
    <w:unhideWhenUsed/>
    <w:locked/>
    <w:rsid w:val="008E4939"/>
    <w:pPr>
      <w:spacing w:after="0" w:line="240" w:lineRule="auto"/>
    </w:pPr>
    <w:tblPr>
      <w:tblStyleRowBandSize w:val="1"/>
      <w:tblStyleColBandSize w:val="1"/>
      <w:tblBorders>
        <w:insideH w:val="single" w:sz="4" w:space="0" w:color="FFFFFF" w:themeColor="background1"/>
      </w:tblBorders>
    </w:tblPr>
    <w:tcPr>
      <w:shd w:val="clear" w:color="auto" w:fill="FEF9F4" w:themeFill="accent2" w:themeFillTint="33"/>
    </w:tcPr>
    <w:tblStylePr w:type="firstRow">
      <w:rPr>
        <w:b/>
        <w:bCs/>
      </w:rPr>
      <w:tblPr/>
      <w:tcPr>
        <w:shd w:val="clear" w:color="auto" w:fill="FDF3EA" w:themeFill="accent2" w:themeFillTint="66"/>
      </w:tcPr>
    </w:tblStylePr>
    <w:tblStylePr w:type="lastRow">
      <w:rPr>
        <w:b/>
        <w:bCs/>
        <w:color w:val="222222" w:themeColor="text1"/>
      </w:rPr>
      <w:tblPr/>
      <w:tcPr>
        <w:shd w:val="clear" w:color="auto" w:fill="FDF3EA" w:themeFill="accent2" w:themeFillTint="66"/>
      </w:tcPr>
    </w:tblStylePr>
    <w:tblStylePr w:type="firstCol">
      <w:rPr>
        <w:color w:val="FFFFFF" w:themeColor="background1"/>
      </w:rPr>
      <w:tblPr/>
      <w:tcPr>
        <w:shd w:val="clear" w:color="auto" w:fill="F5A35F" w:themeFill="accent2" w:themeFillShade="BF"/>
      </w:tcPr>
    </w:tblStylePr>
    <w:tblStylePr w:type="lastCol">
      <w:rPr>
        <w:color w:val="FFFFFF" w:themeColor="background1"/>
      </w:rPr>
      <w:tblPr/>
      <w:tcPr>
        <w:shd w:val="clear" w:color="auto" w:fill="F5A35F" w:themeFill="accent2" w:themeFillShade="BF"/>
      </w:tcPr>
    </w:tblStylePr>
    <w:tblStylePr w:type="band1Vert">
      <w:tblPr/>
      <w:tcPr>
        <w:shd w:val="clear" w:color="auto" w:fill="FDF0E5" w:themeFill="accent2" w:themeFillTint="7F"/>
      </w:tcPr>
    </w:tblStylePr>
    <w:tblStylePr w:type="band1Horz">
      <w:tblPr/>
      <w:tcPr>
        <w:shd w:val="clear" w:color="auto" w:fill="FDF0E5" w:themeFill="accent2" w:themeFillTint="7F"/>
      </w:tcPr>
    </w:tblStylePr>
  </w:style>
  <w:style w:type="table" w:styleId="ColorfulGrid-Accent3">
    <w:name w:val="Colorful Grid Accent 3"/>
    <w:basedOn w:val="TableNormal"/>
    <w:uiPriority w:val="73"/>
    <w:semiHidden/>
    <w:unhideWhenUsed/>
    <w:locked/>
    <w:rsid w:val="008E4939"/>
    <w:pPr>
      <w:spacing w:after="0" w:line="240" w:lineRule="auto"/>
    </w:pPr>
    <w:tblPr>
      <w:tblStyleRowBandSize w:val="1"/>
      <w:tblStyleColBandSize w:val="1"/>
      <w:tblBorders>
        <w:insideH w:val="single" w:sz="4" w:space="0" w:color="FFFFFF" w:themeColor="background1"/>
      </w:tblBorders>
    </w:tblPr>
    <w:tcPr>
      <w:shd w:val="clear" w:color="auto" w:fill="B8DAF6" w:themeFill="accent3" w:themeFillTint="33"/>
    </w:tcPr>
    <w:tblStylePr w:type="firstRow">
      <w:rPr>
        <w:b/>
        <w:bCs/>
      </w:rPr>
      <w:tblPr/>
      <w:tcPr>
        <w:shd w:val="clear" w:color="auto" w:fill="73B5ED" w:themeFill="accent3" w:themeFillTint="66"/>
      </w:tcPr>
    </w:tblStylePr>
    <w:tblStylePr w:type="lastRow">
      <w:rPr>
        <w:b/>
        <w:bCs/>
        <w:color w:val="222222" w:themeColor="text1"/>
      </w:rPr>
      <w:tblPr/>
      <w:tcPr>
        <w:shd w:val="clear" w:color="auto" w:fill="73B5ED" w:themeFill="accent3" w:themeFillTint="66"/>
      </w:tcPr>
    </w:tblStylePr>
    <w:tblStylePr w:type="firstCol">
      <w:rPr>
        <w:color w:val="FFFFFF" w:themeColor="background1"/>
      </w:rPr>
      <w:tblPr/>
      <w:tcPr>
        <w:shd w:val="clear" w:color="auto" w:fill="092E4C" w:themeFill="accent3" w:themeFillShade="BF"/>
      </w:tcPr>
    </w:tblStylePr>
    <w:tblStylePr w:type="lastCol">
      <w:rPr>
        <w:color w:val="FFFFFF" w:themeColor="background1"/>
      </w:rPr>
      <w:tblPr/>
      <w:tcPr>
        <w:shd w:val="clear" w:color="auto" w:fill="092E4C" w:themeFill="accent3" w:themeFillShade="BF"/>
      </w:tcPr>
    </w:tblStylePr>
    <w:tblStylePr w:type="band1Vert">
      <w:tblPr/>
      <w:tcPr>
        <w:shd w:val="clear" w:color="auto" w:fill="50A3E9" w:themeFill="accent3" w:themeFillTint="7F"/>
      </w:tcPr>
    </w:tblStylePr>
    <w:tblStylePr w:type="band1Horz">
      <w:tblPr/>
      <w:tcPr>
        <w:shd w:val="clear" w:color="auto" w:fill="50A3E9" w:themeFill="accent3" w:themeFillTint="7F"/>
      </w:tcPr>
    </w:tblStylePr>
  </w:style>
  <w:style w:type="table" w:styleId="ColorfulGrid-Accent4">
    <w:name w:val="Colorful Grid Accent 4"/>
    <w:basedOn w:val="TableNormal"/>
    <w:uiPriority w:val="73"/>
    <w:semiHidden/>
    <w:unhideWhenUsed/>
    <w:locked/>
    <w:rsid w:val="008E4939"/>
    <w:pPr>
      <w:spacing w:after="0" w:line="240" w:lineRule="auto"/>
    </w:pPr>
    <w:tblPr>
      <w:tblStyleRowBandSize w:val="1"/>
      <w:tblStyleColBandSize w:val="1"/>
      <w:tblBorders>
        <w:insideH w:val="single" w:sz="4" w:space="0" w:color="FFFFFF" w:themeColor="background1"/>
      </w:tblBorders>
    </w:tblPr>
    <w:tcPr>
      <w:shd w:val="clear" w:color="auto" w:fill="E4E9F0" w:themeFill="accent4" w:themeFillTint="33"/>
    </w:tcPr>
    <w:tblStylePr w:type="firstRow">
      <w:rPr>
        <w:b/>
        <w:bCs/>
      </w:rPr>
      <w:tblPr/>
      <w:tcPr>
        <w:shd w:val="clear" w:color="auto" w:fill="CAD4E1" w:themeFill="accent4" w:themeFillTint="66"/>
      </w:tcPr>
    </w:tblStylePr>
    <w:tblStylePr w:type="lastRow">
      <w:rPr>
        <w:b/>
        <w:bCs/>
        <w:color w:val="222222" w:themeColor="text1"/>
      </w:rPr>
      <w:tblPr/>
      <w:tcPr>
        <w:shd w:val="clear" w:color="auto" w:fill="CAD4E1" w:themeFill="accent4" w:themeFillTint="66"/>
      </w:tcPr>
    </w:tblStylePr>
    <w:tblStylePr w:type="firstCol">
      <w:rPr>
        <w:color w:val="FFFFFF" w:themeColor="background1"/>
      </w:rPr>
      <w:tblPr/>
      <w:tcPr>
        <w:shd w:val="clear" w:color="auto" w:fill="536E91" w:themeFill="accent4" w:themeFillShade="BF"/>
      </w:tcPr>
    </w:tblStylePr>
    <w:tblStylePr w:type="lastCol">
      <w:rPr>
        <w:color w:val="FFFFFF" w:themeColor="background1"/>
      </w:rPr>
      <w:tblPr/>
      <w:tcPr>
        <w:shd w:val="clear" w:color="auto" w:fill="536E91" w:themeFill="accent4" w:themeFillShade="BF"/>
      </w:tcPr>
    </w:tblStylePr>
    <w:tblStylePr w:type="band1Vert">
      <w:tblPr/>
      <w:tcPr>
        <w:shd w:val="clear" w:color="auto" w:fill="BECADA" w:themeFill="accent4" w:themeFillTint="7F"/>
      </w:tcPr>
    </w:tblStylePr>
    <w:tblStylePr w:type="band1Horz">
      <w:tblPr/>
      <w:tcPr>
        <w:shd w:val="clear" w:color="auto" w:fill="BECADA" w:themeFill="accent4" w:themeFillTint="7F"/>
      </w:tcPr>
    </w:tblStylePr>
  </w:style>
  <w:style w:type="table" w:styleId="ColorfulGrid-Accent5">
    <w:name w:val="Colorful Grid Accent 5"/>
    <w:basedOn w:val="TableNormal"/>
    <w:uiPriority w:val="73"/>
    <w:semiHidden/>
    <w:unhideWhenUsed/>
    <w:locked/>
    <w:rsid w:val="008E4939"/>
    <w:pPr>
      <w:spacing w:after="0" w:line="240" w:lineRule="auto"/>
    </w:pPr>
    <w:tblPr>
      <w:tblStyleRowBandSize w:val="1"/>
      <w:tblStyleColBandSize w:val="1"/>
      <w:tblBorders>
        <w:insideH w:val="single" w:sz="4" w:space="0" w:color="FFFFFF" w:themeColor="background1"/>
      </w:tblBorders>
    </w:tblPr>
    <w:tcPr>
      <w:shd w:val="clear" w:color="auto" w:fill="BCF8F1" w:themeFill="accent5" w:themeFillTint="33"/>
    </w:tcPr>
    <w:tblStylePr w:type="firstRow">
      <w:rPr>
        <w:b/>
        <w:bCs/>
      </w:rPr>
      <w:tblPr/>
      <w:tcPr>
        <w:shd w:val="clear" w:color="auto" w:fill="7AF2E4" w:themeFill="accent5" w:themeFillTint="66"/>
      </w:tcPr>
    </w:tblStylePr>
    <w:tblStylePr w:type="lastRow">
      <w:rPr>
        <w:b/>
        <w:bCs/>
        <w:color w:val="222222" w:themeColor="text1"/>
      </w:rPr>
      <w:tblPr/>
      <w:tcPr>
        <w:shd w:val="clear" w:color="auto" w:fill="7AF2E4" w:themeFill="accent5" w:themeFillTint="66"/>
      </w:tcPr>
    </w:tblStylePr>
    <w:tblStylePr w:type="firstCol">
      <w:rPr>
        <w:color w:val="FFFFFF" w:themeColor="background1"/>
      </w:rPr>
      <w:tblPr/>
      <w:tcPr>
        <w:shd w:val="clear" w:color="auto" w:fill="096358" w:themeFill="accent5" w:themeFillShade="BF"/>
      </w:tcPr>
    </w:tblStylePr>
    <w:tblStylePr w:type="lastCol">
      <w:rPr>
        <w:color w:val="FFFFFF" w:themeColor="background1"/>
      </w:rPr>
      <w:tblPr/>
      <w:tcPr>
        <w:shd w:val="clear" w:color="auto" w:fill="096358" w:themeFill="accent5" w:themeFillShade="BF"/>
      </w:tcPr>
    </w:tblStylePr>
    <w:tblStylePr w:type="band1Vert">
      <w:tblPr/>
      <w:tcPr>
        <w:shd w:val="clear" w:color="auto" w:fill="59EEDD" w:themeFill="accent5" w:themeFillTint="7F"/>
      </w:tcPr>
    </w:tblStylePr>
    <w:tblStylePr w:type="band1Horz">
      <w:tblPr/>
      <w:tcPr>
        <w:shd w:val="clear" w:color="auto" w:fill="59EEDD" w:themeFill="accent5" w:themeFillTint="7F"/>
      </w:tcPr>
    </w:tblStylePr>
  </w:style>
  <w:style w:type="table" w:styleId="ColorfulGrid-Accent6">
    <w:name w:val="Colorful Grid Accent 6"/>
    <w:basedOn w:val="TableNormal"/>
    <w:uiPriority w:val="73"/>
    <w:semiHidden/>
    <w:unhideWhenUsed/>
    <w:locked/>
    <w:rsid w:val="008E4939"/>
    <w:pPr>
      <w:spacing w:after="0" w:line="240" w:lineRule="auto"/>
    </w:pPr>
    <w:tblPr>
      <w:tblStyleRowBandSize w:val="1"/>
      <w:tblStyleColBandSize w:val="1"/>
      <w:tblBorders>
        <w:insideH w:val="single" w:sz="4" w:space="0" w:color="FFFFFF" w:themeColor="background1"/>
      </w:tblBorders>
    </w:tblPr>
    <w:tcPr>
      <w:shd w:val="clear" w:color="auto" w:fill="D9F1ED" w:themeFill="accent6" w:themeFillTint="33"/>
    </w:tcPr>
    <w:tblStylePr w:type="firstRow">
      <w:rPr>
        <w:b/>
        <w:bCs/>
      </w:rPr>
      <w:tblPr/>
      <w:tcPr>
        <w:shd w:val="clear" w:color="auto" w:fill="B4E2DC" w:themeFill="accent6" w:themeFillTint="66"/>
      </w:tcPr>
    </w:tblStylePr>
    <w:tblStylePr w:type="lastRow">
      <w:rPr>
        <w:b/>
        <w:bCs/>
        <w:color w:val="222222" w:themeColor="text1"/>
      </w:rPr>
      <w:tblPr/>
      <w:tcPr>
        <w:shd w:val="clear" w:color="auto" w:fill="B4E2DC" w:themeFill="accent6" w:themeFillTint="66"/>
      </w:tcPr>
    </w:tblStylePr>
    <w:tblStylePr w:type="firstCol">
      <w:rPr>
        <w:color w:val="FFFFFF" w:themeColor="background1"/>
      </w:rPr>
      <w:tblPr/>
      <w:tcPr>
        <w:shd w:val="clear" w:color="auto" w:fill="34897E" w:themeFill="accent6" w:themeFillShade="BF"/>
      </w:tcPr>
    </w:tblStylePr>
    <w:tblStylePr w:type="lastCol">
      <w:rPr>
        <w:color w:val="FFFFFF" w:themeColor="background1"/>
      </w:rPr>
      <w:tblPr/>
      <w:tcPr>
        <w:shd w:val="clear" w:color="auto" w:fill="34897E" w:themeFill="accent6" w:themeFillShade="BF"/>
      </w:tcPr>
    </w:tblStylePr>
    <w:tblStylePr w:type="band1Vert">
      <w:tblPr/>
      <w:tcPr>
        <w:shd w:val="clear" w:color="auto" w:fill="A2DBD4" w:themeFill="accent6" w:themeFillTint="7F"/>
      </w:tcPr>
    </w:tblStylePr>
    <w:tblStylePr w:type="band1Horz">
      <w:tblPr/>
      <w:tcPr>
        <w:shd w:val="clear" w:color="auto" w:fill="A2DBD4" w:themeFill="accent6" w:themeFillTint="7F"/>
      </w:tcPr>
    </w:tblStylePr>
  </w:style>
  <w:style w:type="table" w:styleId="ColorfulList">
    <w:name w:val="Colorful List"/>
    <w:basedOn w:val="TableNormal"/>
    <w:uiPriority w:val="72"/>
    <w:semiHidden/>
    <w:unhideWhenUsed/>
    <w:locked/>
    <w:rsid w:val="008E4939"/>
    <w:pPr>
      <w:spacing w:after="0" w:line="240" w:lineRule="auto"/>
    </w:pPr>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7B075" w:themeFill="accent2" w:themeFillShade="CC"/>
      </w:tcPr>
    </w:tblStylePr>
    <w:tblStylePr w:type="lastRow">
      <w:rPr>
        <w:b/>
        <w:bCs/>
        <w:color w:val="F7B075" w:themeColor="accent2"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C8" w:themeFill="text1" w:themeFillTint="3F"/>
      </w:tcPr>
    </w:tblStylePr>
    <w:tblStylePr w:type="band1Horz">
      <w:tblPr/>
      <w:tcPr>
        <w:shd w:val="clear" w:color="auto" w:fill="D2D2D2" w:themeFill="text1" w:themeFillTint="33"/>
      </w:tcPr>
    </w:tblStylePr>
  </w:style>
  <w:style w:type="table" w:styleId="ColorfulList-Accent1">
    <w:name w:val="Colorful List Accent 1"/>
    <w:basedOn w:val="TableNormal"/>
    <w:uiPriority w:val="72"/>
    <w:semiHidden/>
    <w:unhideWhenUsed/>
    <w:locked/>
    <w:rsid w:val="008E4939"/>
    <w:pPr>
      <w:spacing w:after="0" w:line="240" w:lineRule="auto"/>
    </w:pPr>
    <w:tblPr>
      <w:tblStyleRowBandSize w:val="1"/>
      <w:tblStyleColBandSize w:val="1"/>
    </w:tblPr>
    <w:tcPr>
      <w:shd w:val="clear" w:color="auto" w:fill="FFEFE1" w:themeFill="accent1" w:themeFillTint="19"/>
    </w:tcPr>
    <w:tblStylePr w:type="firstRow">
      <w:rPr>
        <w:b/>
        <w:bCs/>
        <w:color w:val="FFFFFF" w:themeColor="background1"/>
      </w:rPr>
      <w:tblPr/>
      <w:tcPr>
        <w:tcBorders>
          <w:bottom w:val="single" w:sz="12" w:space="0" w:color="FFFFFF" w:themeColor="background1"/>
        </w:tcBorders>
        <w:shd w:val="clear" w:color="auto" w:fill="F7B075" w:themeFill="accent2" w:themeFillShade="CC"/>
      </w:tcPr>
    </w:tblStylePr>
    <w:tblStylePr w:type="lastRow">
      <w:rPr>
        <w:b/>
        <w:bCs/>
        <w:color w:val="F7B075" w:themeColor="accent2"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9B3" w:themeFill="accent1" w:themeFillTint="3F"/>
      </w:tcPr>
    </w:tblStylePr>
    <w:tblStylePr w:type="band1Horz">
      <w:tblPr/>
      <w:tcPr>
        <w:shd w:val="clear" w:color="auto" w:fill="FFE0C1" w:themeFill="accent1" w:themeFillTint="33"/>
      </w:tcPr>
    </w:tblStylePr>
  </w:style>
  <w:style w:type="table" w:styleId="ColorfulList-Accent2">
    <w:name w:val="Colorful List Accent 2"/>
    <w:basedOn w:val="TableNormal"/>
    <w:uiPriority w:val="72"/>
    <w:semiHidden/>
    <w:unhideWhenUsed/>
    <w:locked/>
    <w:rsid w:val="008E4939"/>
    <w:pPr>
      <w:spacing w:after="0" w:line="240" w:lineRule="auto"/>
    </w:pPr>
    <w:tblPr>
      <w:tblStyleRowBandSize w:val="1"/>
      <w:tblStyleColBandSize w:val="1"/>
    </w:tblPr>
    <w:tcPr>
      <w:shd w:val="clear" w:color="auto" w:fill="FEFCF9" w:themeFill="accent2" w:themeFillTint="19"/>
    </w:tcPr>
    <w:tblStylePr w:type="firstRow">
      <w:rPr>
        <w:b/>
        <w:bCs/>
        <w:color w:val="FFFFFF" w:themeColor="background1"/>
      </w:rPr>
      <w:tblPr/>
      <w:tcPr>
        <w:tcBorders>
          <w:bottom w:val="single" w:sz="12" w:space="0" w:color="FFFFFF" w:themeColor="background1"/>
        </w:tcBorders>
        <w:shd w:val="clear" w:color="auto" w:fill="F7B075" w:themeFill="accent2" w:themeFillShade="CC"/>
      </w:tcPr>
    </w:tblStylePr>
    <w:tblStylePr w:type="lastRow">
      <w:rPr>
        <w:b/>
        <w:bCs/>
        <w:color w:val="F7B075" w:themeColor="accent2"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7F2" w:themeFill="accent2" w:themeFillTint="3F"/>
      </w:tcPr>
    </w:tblStylePr>
    <w:tblStylePr w:type="band1Horz">
      <w:tblPr/>
      <w:tcPr>
        <w:shd w:val="clear" w:color="auto" w:fill="FEF9F4" w:themeFill="accent2" w:themeFillTint="33"/>
      </w:tcPr>
    </w:tblStylePr>
  </w:style>
  <w:style w:type="table" w:styleId="ColorfulList-Accent3">
    <w:name w:val="Colorful List Accent 3"/>
    <w:basedOn w:val="TableNormal"/>
    <w:uiPriority w:val="72"/>
    <w:semiHidden/>
    <w:unhideWhenUsed/>
    <w:locked/>
    <w:rsid w:val="008E4939"/>
    <w:pPr>
      <w:spacing w:after="0" w:line="240" w:lineRule="auto"/>
    </w:pPr>
    <w:tblPr>
      <w:tblStyleRowBandSize w:val="1"/>
      <w:tblStyleColBandSize w:val="1"/>
    </w:tblPr>
    <w:tcPr>
      <w:shd w:val="clear" w:color="auto" w:fill="DCECFA" w:themeFill="accent3" w:themeFillTint="19"/>
    </w:tcPr>
    <w:tblStylePr w:type="firstRow">
      <w:rPr>
        <w:b/>
        <w:bCs/>
        <w:color w:val="FFFFFF" w:themeColor="background1"/>
      </w:rPr>
      <w:tblPr/>
      <w:tcPr>
        <w:tcBorders>
          <w:bottom w:val="single" w:sz="12" w:space="0" w:color="FFFFFF" w:themeColor="background1"/>
        </w:tcBorders>
        <w:shd w:val="clear" w:color="auto" w:fill="58769B" w:themeFill="accent4" w:themeFillShade="CC"/>
      </w:tcPr>
    </w:tblStylePr>
    <w:tblStylePr w:type="lastRow">
      <w:rPr>
        <w:b/>
        <w:bCs/>
        <w:color w:val="58769B" w:themeColor="accent4"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1F4" w:themeFill="accent3" w:themeFillTint="3F"/>
      </w:tcPr>
    </w:tblStylePr>
    <w:tblStylePr w:type="band1Horz">
      <w:tblPr/>
      <w:tcPr>
        <w:shd w:val="clear" w:color="auto" w:fill="B8DAF6" w:themeFill="accent3" w:themeFillTint="33"/>
      </w:tcPr>
    </w:tblStylePr>
  </w:style>
  <w:style w:type="table" w:styleId="ColorfulList-Accent4">
    <w:name w:val="Colorful List Accent 4"/>
    <w:basedOn w:val="TableNormal"/>
    <w:uiPriority w:val="72"/>
    <w:semiHidden/>
    <w:unhideWhenUsed/>
    <w:locked/>
    <w:rsid w:val="008E4939"/>
    <w:pPr>
      <w:spacing w:after="0" w:line="240" w:lineRule="auto"/>
    </w:pPr>
    <w:tblPr>
      <w:tblStyleRowBandSize w:val="1"/>
      <w:tblStyleColBandSize w:val="1"/>
    </w:tblPr>
    <w:tcPr>
      <w:shd w:val="clear" w:color="auto" w:fill="F2F4F7" w:themeFill="accent4" w:themeFillTint="19"/>
    </w:tcPr>
    <w:tblStylePr w:type="firstRow">
      <w:rPr>
        <w:b/>
        <w:bCs/>
        <w:color w:val="FFFFFF" w:themeColor="background1"/>
      </w:rPr>
      <w:tblPr/>
      <w:tcPr>
        <w:tcBorders>
          <w:bottom w:val="single" w:sz="12" w:space="0" w:color="FFFFFF" w:themeColor="background1"/>
        </w:tcBorders>
        <w:shd w:val="clear" w:color="auto" w:fill="0A3152" w:themeFill="accent3" w:themeFillShade="CC"/>
      </w:tcPr>
    </w:tblStylePr>
    <w:tblStylePr w:type="lastRow">
      <w:rPr>
        <w:b/>
        <w:bCs/>
        <w:color w:val="0A3152" w:themeColor="accent3"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4EC" w:themeFill="accent4" w:themeFillTint="3F"/>
      </w:tcPr>
    </w:tblStylePr>
    <w:tblStylePr w:type="band1Horz">
      <w:tblPr/>
      <w:tcPr>
        <w:shd w:val="clear" w:color="auto" w:fill="E4E9F0" w:themeFill="accent4" w:themeFillTint="33"/>
      </w:tcPr>
    </w:tblStylePr>
  </w:style>
  <w:style w:type="table" w:styleId="ColorfulList-Accent5">
    <w:name w:val="Colorful List Accent 5"/>
    <w:basedOn w:val="TableNormal"/>
    <w:uiPriority w:val="72"/>
    <w:semiHidden/>
    <w:unhideWhenUsed/>
    <w:locked/>
    <w:rsid w:val="008E4939"/>
    <w:pPr>
      <w:spacing w:after="0" w:line="240" w:lineRule="auto"/>
    </w:pPr>
    <w:tblPr>
      <w:tblStyleRowBandSize w:val="1"/>
      <w:tblStyleColBandSize w:val="1"/>
    </w:tblPr>
    <w:tcPr>
      <w:shd w:val="clear" w:color="auto" w:fill="DEFBF8" w:themeFill="accent5" w:themeFillTint="19"/>
    </w:tcPr>
    <w:tblStylePr w:type="firstRow">
      <w:rPr>
        <w:b/>
        <w:bCs/>
        <w:color w:val="FFFFFF" w:themeColor="background1"/>
      </w:rPr>
      <w:tblPr/>
      <w:tcPr>
        <w:tcBorders>
          <w:bottom w:val="single" w:sz="12" w:space="0" w:color="FFFFFF" w:themeColor="background1"/>
        </w:tcBorders>
        <w:shd w:val="clear" w:color="auto" w:fill="389386" w:themeFill="accent6" w:themeFillShade="CC"/>
      </w:tcPr>
    </w:tblStylePr>
    <w:tblStylePr w:type="lastRow">
      <w:rPr>
        <w:b/>
        <w:bCs/>
        <w:color w:val="389386" w:themeColor="accent6"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7EE" w:themeFill="accent5" w:themeFillTint="3F"/>
      </w:tcPr>
    </w:tblStylePr>
    <w:tblStylePr w:type="band1Horz">
      <w:tblPr/>
      <w:tcPr>
        <w:shd w:val="clear" w:color="auto" w:fill="BCF8F1" w:themeFill="accent5" w:themeFillTint="33"/>
      </w:tcPr>
    </w:tblStylePr>
  </w:style>
  <w:style w:type="table" w:styleId="ColorfulList-Accent6">
    <w:name w:val="Colorful List Accent 6"/>
    <w:basedOn w:val="TableNormal"/>
    <w:uiPriority w:val="72"/>
    <w:semiHidden/>
    <w:unhideWhenUsed/>
    <w:locked/>
    <w:rsid w:val="008E4939"/>
    <w:pPr>
      <w:spacing w:after="0" w:line="240" w:lineRule="auto"/>
    </w:pPr>
    <w:tblPr>
      <w:tblStyleRowBandSize w:val="1"/>
      <w:tblStyleColBandSize w:val="1"/>
    </w:tblPr>
    <w:tcPr>
      <w:shd w:val="clear" w:color="auto" w:fill="ECF8F6" w:themeFill="accent6" w:themeFillTint="19"/>
    </w:tcPr>
    <w:tblStylePr w:type="firstRow">
      <w:rPr>
        <w:b/>
        <w:bCs/>
        <w:color w:val="FFFFFF" w:themeColor="background1"/>
      </w:rPr>
      <w:tblPr/>
      <w:tcPr>
        <w:tcBorders>
          <w:bottom w:val="single" w:sz="12" w:space="0" w:color="FFFFFF" w:themeColor="background1"/>
        </w:tcBorders>
        <w:shd w:val="clear" w:color="auto" w:fill="0A6A5E" w:themeFill="accent5" w:themeFillShade="CC"/>
      </w:tcPr>
    </w:tblStylePr>
    <w:tblStylePr w:type="lastRow">
      <w:rPr>
        <w:b/>
        <w:bCs/>
        <w:color w:val="0A6A5E" w:themeColor="accent5"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DE9" w:themeFill="accent6" w:themeFillTint="3F"/>
      </w:tcPr>
    </w:tblStylePr>
    <w:tblStylePr w:type="band1Horz">
      <w:tblPr/>
      <w:tcPr>
        <w:shd w:val="clear" w:color="auto" w:fill="D9F1ED" w:themeFill="accent6" w:themeFillTint="33"/>
      </w:tcPr>
    </w:tblStylePr>
  </w:style>
  <w:style w:type="table" w:styleId="ColorfulShading">
    <w:name w:val="Colorful Shading"/>
    <w:basedOn w:val="TableNormal"/>
    <w:uiPriority w:val="71"/>
    <w:semiHidden/>
    <w:unhideWhenUsed/>
    <w:locked/>
    <w:rsid w:val="008E4939"/>
    <w:pPr>
      <w:spacing w:after="0" w:line="240" w:lineRule="auto"/>
    </w:pPr>
    <w:tblPr>
      <w:tblStyleRowBandSize w:val="1"/>
      <w:tblStyleColBandSize w:val="1"/>
      <w:tblBorders>
        <w:top w:val="single" w:sz="24" w:space="0" w:color="FCE2CC" w:themeColor="accent2"/>
        <w:left w:val="single" w:sz="4" w:space="0" w:color="222222" w:themeColor="text1"/>
        <w:bottom w:val="single" w:sz="4" w:space="0" w:color="222222" w:themeColor="text1"/>
        <w:right w:val="single" w:sz="4" w:space="0" w:color="22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CE2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91919" w:themeFill="text1" w:themeFillShade="BF"/>
      </w:tcPr>
    </w:tblStylePr>
    <w:tblStylePr w:type="band1Vert">
      <w:tblPr/>
      <w:tcPr>
        <w:shd w:val="clear" w:color="auto" w:fill="A6A6A6" w:themeFill="text1" w:themeFillTint="66"/>
      </w:tcPr>
    </w:tblStylePr>
    <w:tblStylePr w:type="band1Horz">
      <w:tblPr/>
      <w:tcPr>
        <w:shd w:val="clear" w:color="auto" w:fill="909090" w:themeFill="text1" w:themeFillTint="7F"/>
      </w:tcPr>
    </w:tblStylePr>
    <w:tblStylePr w:type="neCell">
      <w:rPr>
        <w:color w:val="222222" w:themeColor="text1"/>
      </w:rPr>
    </w:tblStylePr>
    <w:tblStylePr w:type="nwCell">
      <w:rPr>
        <w:color w:val="222222" w:themeColor="text1"/>
      </w:rPr>
    </w:tblStylePr>
  </w:style>
  <w:style w:type="table" w:styleId="ColorfulShading-Accent1">
    <w:name w:val="Colorful Shading Accent 1"/>
    <w:basedOn w:val="TableNormal"/>
    <w:uiPriority w:val="71"/>
    <w:semiHidden/>
    <w:unhideWhenUsed/>
    <w:locked/>
    <w:rsid w:val="008E4939"/>
    <w:pPr>
      <w:spacing w:after="0" w:line="240" w:lineRule="auto"/>
    </w:pPr>
    <w:tblPr>
      <w:tblStyleRowBandSize w:val="1"/>
      <w:tblStyleColBandSize w:val="1"/>
      <w:tblBorders>
        <w:top w:val="single" w:sz="24" w:space="0" w:color="FCE2CC" w:themeColor="accent2"/>
        <w:left w:val="single" w:sz="4" w:space="0" w:color="CC6600" w:themeColor="accent1"/>
        <w:bottom w:val="single" w:sz="4" w:space="0" w:color="CC6600" w:themeColor="accent1"/>
        <w:right w:val="single" w:sz="4" w:space="0" w:color="CC6600" w:themeColor="accent1"/>
        <w:insideH w:val="single" w:sz="4" w:space="0" w:color="FFFFFF" w:themeColor="background1"/>
        <w:insideV w:val="single" w:sz="4" w:space="0" w:color="FFFFFF" w:themeColor="background1"/>
      </w:tblBorders>
    </w:tblPr>
    <w:tcPr>
      <w:shd w:val="clear" w:color="auto" w:fill="FFEFE1" w:themeFill="accent1" w:themeFillTint="19"/>
    </w:tcPr>
    <w:tblStylePr w:type="firstRow">
      <w:rPr>
        <w:b/>
        <w:bCs/>
      </w:rPr>
      <w:tblPr/>
      <w:tcPr>
        <w:tcBorders>
          <w:top w:val="nil"/>
          <w:left w:val="nil"/>
          <w:bottom w:val="single" w:sz="24" w:space="0" w:color="FCE2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3C00" w:themeFill="accent1" w:themeFillShade="99"/>
      </w:tcPr>
    </w:tblStylePr>
    <w:tblStylePr w:type="firstCol">
      <w:rPr>
        <w:color w:val="FFFFFF" w:themeColor="background1"/>
      </w:rPr>
      <w:tblPr/>
      <w:tcPr>
        <w:tcBorders>
          <w:top w:val="nil"/>
          <w:left w:val="nil"/>
          <w:bottom w:val="nil"/>
          <w:right w:val="nil"/>
          <w:insideH w:val="single" w:sz="4" w:space="0" w:color="7A3C00" w:themeColor="accent1" w:themeShade="99"/>
          <w:insideV w:val="nil"/>
        </w:tcBorders>
        <w:shd w:val="clear" w:color="auto" w:fill="7A3C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A3C00" w:themeFill="accent1" w:themeFillShade="99"/>
      </w:tcPr>
    </w:tblStylePr>
    <w:tblStylePr w:type="band1Vert">
      <w:tblPr/>
      <w:tcPr>
        <w:shd w:val="clear" w:color="auto" w:fill="FFC184" w:themeFill="accent1" w:themeFillTint="66"/>
      </w:tcPr>
    </w:tblStylePr>
    <w:tblStylePr w:type="band1Horz">
      <w:tblPr/>
      <w:tcPr>
        <w:shd w:val="clear" w:color="auto" w:fill="FFB266" w:themeFill="accent1" w:themeFillTint="7F"/>
      </w:tcPr>
    </w:tblStylePr>
    <w:tblStylePr w:type="neCell">
      <w:rPr>
        <w:color w:val="222222" w:themeColor="text1"/>
      </w:rPr>
    </w:tblStylePr>
    <w:tblStylePr w:type="nwCell">
      <w:rPr>
        <w:color w:val="222222" w:themeColor="text1"/>
      </w:rPr>
    </w:tblStylePr>
  </w:style>
  <w:style w:type="table" w:styleId="ColorfulShading-Accent2">
    <w:name w:val="Colorful Shading Accent 2"/>
    <w:basedOn w:val="TableNormal"/>
    <w:uiPriority w:val="71"/>
    <w:semiHidden/>
    <w:unhideWhenUsed/>
    <w:locked/>
    <w:rsid w:val="008E4939"/>
    <w:pPr>
      <w:spacing w:after="0" w:line="240" w:lineRule="auto"/>
    </w:pPr>
    <w:tblPr>
      <w:tblStyleRowBandSize w:val="1"/>
      <w:tblStyleColBandSize w:val="1"/>
      <w:tblBorders>
        <w:top w:val="single" w:sz="24" w:space="0" w:color="FCE2CC" w:themeColor="accent2"/>
        <w:left w:val="single" w:sz="4" w:space="0" w:color="FCE2CC" w:themeColor="accent2"/>
        <w:bottom w:val="single" w:sz="4" w:space="0" w:color="FCE2CC" w:themeColor="accent2"/>
        <w:right w:val="single" w:sz="4" w:space="0" w:color="FCE2CC" w:themeColor="accent2"/>
        <w:insideH w:val="single" w:sz="4" w:space="0" w:color="FFFFFF" w:themeColor="background1"/>
        <w:insideV w:val="single" w:sz="4" w:space="0" w:color="FFFFFF" w:themeColor="background1"/>
      </w:tblBorders>
    </w:tblPr>
    <w:tcPr>
      <w:shd w:val="clear" w:color="auto" w:fill="FEFCF9" w:themeFill="accent2" w:themeFillTint="19"/>
    </w:tcPr>
    <w:tblStylePr w:type="firstRow">
      <w:rPr>
        <w:b/>
        <w:bCs/>
      </w:rPr>
      <w:tblPr/>
      <w:tcPr>
        <w:tcBorders>
          <w:top w:val="nil"/>
          <w:left w:val="nil"/>
          <w:bottom w:val="single" w:sz="24" w:space="0" w:color="FCE2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27F1F" w:themeFill="accent2" w:themeFillShade="99"/>
      </w:tcPr>
    </w:tblStylePr>
    <w:tblStylePr w:type="firstCol">
      <w:rPr>
        <w:color w:val="FFFFFF" w:themeColor="background1"/>
      </w:rPr>
      <w:tblPr/>
      <w:tcPr>
        <w:tcBorders>
          <w:top w:val="nil"/>
          <w:left w:val="nil"/>
          <w:bottom w:val="nil"/>
          <w:right w:val="nil"/>
          <w:insideH w:val="single" w:sz="4" w:space="0" w:color="F27F1F" w:themeColor="accent2" w:themeShade="99"/>
          <w:insideV w:val="nil"/>
        </w:tcBorders>
        <w:shd w:val="clear" w:color="auto" w:fill="F27F1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F27F1F" w:themeFill="accent2" w:themeFillShade="99"/>
      </w:tcPr>
    </w:tblStylePr>
    <w:tblStylePr w:type="band1Vert">
      <w:tblPr/>
      <w:tcPr>
        <w:shd w:val="clear" w:color="auto" w:fill="FDF3EA" w:themeFill="accent2" w:themeFillTint="66"/>
      </w:tcPr>
    </w:tblStylePr>
    <w:tblStylePr w:type="band1Horz">
      <w:tblPr/>
      <w:tcPr>
        <w:shd w:val="clear" w:color="auto" w:fill="FDF0E5" w:themeFill="accent2" w:themeFillTint="7F"/>
      </w:tcPr>
    </w:tblStylePr>
    <w:tblStylePr w:type="neCell">
      <w:rPr>
        <w:color w:val="222222" w:themeColor="text1"/>
      </w:rPr>
    </w:tblStylePr>
    <w:tblStylePr w:type="nwCell">
      <w:rPr>
        <w:color w:val="222222" w:themeColor="text1"/>
      </w:rPr>
    </w:tblStylePr>
  </w:style>
  <w:style w:type="table" w:styleId="ColorfulShading-Accent3">
    <w:name w:val="Colorful Shading Accent 3"/>
    <w:basedOn w:val="TableNormal"/>
    <w:uiPriority w:val="71"/>
    <w:semiHidden/>
    <w:unhideWhenUsed/>
    <w:locked/>
    <w:rsid w:val="008E4939"/>
    <w:pPr>
      <w:spacing w:after="0" w:line="240" w:lineRule="auto"/>
    </w:pPr>
    <w:tblPr>
      <w:tblStyleRowBandSize w:val="1"/>
      <w:tblStyleColBandSize w:val="1"/>
      <w:tblBorders>
        <w:top w:val="single" w:sz="24" w:space="0" w:color="7D96B5" w:themeColor="accent4"/>
        <w:left w:val="single" w:sz="4" w:space="0" w:color="0D3E67" w:themeColor="accent3"/>
        <w:bottom w:val="single" w:sz="4" w:space="0" w:color="0D3E67" w:themeColor="accent3"/>
        <w:right w:val="single" w:sz="4" w:space="0" w:color="0D3E67" w:themeColor="accent3"/>
        <w:insideH w:val="single" w:sz="4" w:space="0" w:color="FFFFFF" w:themeColor="background1"/>
        <w:insideV w:val="single" w:sz="4" w:space="0" w:color="FFFFFF" w:themeColor="background1"/>
      </w:tblBorders>
    </w:tblPr>
    <w:tcPr>
      <w:shd w:val="clear" w:color="auto" w:fill="DCECFA" w:themeFill="accent3" w:themeFillTint="19"/>
    </w:tcPr>
    <w:tblStylePr w:type="firstRow">
      <w:rPr>
        <w:b/>
        <w:bCs/>
      </w:rPr>
      <w:tblPr/>
      <w:tcPr>
        <w:tcBorders>
          <w:top w:val="nil"/>
          <w:left w:val="nil"/>
          <w:bottom w:val="single" w:sz="24" w:space="0" w:color="7D96B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243D" w:themeFill="accent3" w:themeFillShade="99"/>
      </w:tcPr>
    </w:tblStylePr>
    <w:tblStylePr w:type="firstCol">
      <w:rPr>
        <w:color w:val="FFFFFF" w:themeColor="background1"/>
      </w:rPr>
      <w:tblPr/>
      <w:tcPr>
        <w:tcBorders>
          <w:top w:val="nil"/>
          <w:left w:val="nil"/>
          <w:bottom w:val="nil"/>
          <w:right w:val="nil"/>
          <w:insideH w:val="single" w:sz="4" w:space="0" w:color="07243D" w:themeColor="accent3" w:themeShade="99"/>
          <w:insideV w:val="nil"/>
        </w:tcBorders>
        <w:shd w:val="clear" w:color="auto" w:fill="0724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243D" w:themeFill="accent3" w:themeFillShade="99"/>
      </w:tcPr>
    </w:tblStylePr>
    <w:tblStylePr w:type="band1Vert">
      <w:tblPr/>
      <w:tcPr>
        <w:shd w:val="clear" w:color="auto" w:fill="73B5ED" w:themeFill="accent3" w:themeFillTint="66"/>
      </w:tcPr>
    </w:tblStylePr>
    <w:tblStylePr w:type="band1Horz">
      <w:tblPr/>
      <w:tcPr>
        <w:shd w:val="clear" w:color="auto" w:fill="50A3E9" w:themeFill="accent3" w:themeFillTint="7F"/>
      </w:tcPr>
    </w:tblStylePr>
  </w:style>
  <w:style w:type="table" w:styleId="ColorfulShading-Accent4">
    <w:name w:val="Colorful Shading Accent 4"/>
    <w:basedOn w:val="TableNormal"/>
    <w:uiPriority w:val="71"/>
    <w:semiHidden/>
    <w:unhideWhenUsed/>
    <w:locked/>
    <w:rsid w:val="008E4939"/>
    <w:pPr>
      <w:spacing w:after="0" w:line="240" w:lineRule="auto"/>
    </w:pPr>
    <w:tblPr>
      <w:tblStyleRowBandSize w:val="1"/>
      <w:tblStyleColBandSize w:val="1"/>
      <w:tblBorders>
        <w:top w:val="single" w:sz="24" w:space="0" w:color="0D3E67" w:themeColor="accent3"/>
        <w:left w:val="single" w:sz="4" w:space="0" w:color="7D96B5" w:themeColor="accent4"/>
        <w:bottom w:val="single" w:sz="4" w:space="0" w:color="7D96B5" w:themeColor="accent4"/>
        <w:right w:val="single" w:sz="4" w:space="0" w:color="7D96B5" w:themeColor="accent4"/>
        <w:insideH w:val="single" w:sz="4" w:space="0" w:color="FFFFFF" w:themeColor="background1"/>
        <w:insideV w:val="single" w:sz="4" w:space="0" w:color="FFFFFF" w:themeColor="background1"/>
      </w:tblBorders>
    </w:tblPr>
    <w:tcPr>
      <w:shd w:val="clear" w:color="auto" w:fill="F2F4F7" w:themeFill="accent4" w:themeFillTint="19"/>
    </w:tcPr>
    <w:tblStylePr w:type="firstRow">
      <w:rPr>
        <w:b/>
        <w:bCs/>
      </w:rPr>
      <w:tblPr/>
      <w:tcPr>
        <w:tcBorders>
          <w:top w:val="nil"/>
          <w:left w:val="nil"/>
          <w:bottom w:val="single" w:sz="24" w:space="0" w:color="0D3E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5874" w:themeFill="accent4" w:themeFillShade="99"/>
      </w:tcPr>
    </w:tblStylePr>
    <w:tblStylePr w:type="firstCol">
      <w:rPr>
        <w:color w:val="FFFFFF" w:themeColor="background1"/>
      </w:rPr>
      <w:tblPr/>
      <w:tcPr>
        <w:tcBorders>
          <w:top w:val="nil"/>
          <w:left w:val="nil"/>
          <w:bottom w:val="nil"/>
          <w:right w:val="nil"/>
          <w:insideH w:val="single" w:sz="4" w:space="0" w:color="425874" w:themeColor="accent4" w:themeShade="99"/>
          <w:insideV w:val="nil"/>
        </w:tcBorders>
        <w:shd w:val="clear" w:color="auto" w:fill="42587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5874" w:themeFill="accent4" w:themeFillShade="99"/>
      </w:tcPr>
    </w:tblStylePr>
    <w:tblStylePr w:type="band1Vert">
      <w:tblPr/>
      <w:tcPr>
        <w:shd w:val="clear" w:color="auto" w:fill="CAD4E1" w:themeFill="accent4" w:themeFillTint="66"/>
      </w:tcPr>
    </w:tblStylePr>
    <w:tblStylePr w:type="band1Horz">
      <w:tblPr/>
      <w:tcPr>
        <w:shd w:val="clear" w:color="auto" w:fill="BECADA" w:themeFill="accent4" w:themeFillTint="7F"/>
      </w:tcPr>
    </w:tblStylePr>
    <w:tblStylePr w:type="neCell">
      <w:rPr>
        <w:color w:val="222222" w:themeColor="text1"/>
      </w:rPr>
    </w:tblStylePr>
    <w:tblStylePr w:type="nwCell">
      <w:rPr>
        <w:color w:val="222222" w:themeColor="text1"/>
      </w:rPr>
    </w:tblStylePr>
  </w:style>
  <w:style w:type="table" w:styleId="ColorfulShading-Accent5">
    <w:name w:val="Colorful Shading Accent 5"/>
    <w:basedOn w:val="TableNormal"/>
    <w:uiPriority w:val="71"/>
    <w:semiHidden/>
    <w:unhideWhenUsed/>
    <w:locked/>
    <w:rsid w:val="008E4939"/>
    <w:pPr>
      <w:spacing w:after="0" w:line="240" w:lineRule="auto"/>
    </w:pPr>
    <w:tblPr>
      <w:tblStyleRowBandSize w:val="1"/>
      <w:tblStyleColBandSize w:val="1"/>
      <w:tblBorders>
        <w:top w:val="single" w:sz="24" w:space="0" w:color="46B8A9" w:themeColor="accent6"/>
        <w:left w:val="single" w:sz="4" w:space="0" w:color="0D8577" w:themeColor="accent5"/>
        <w:bottom w:val="single" w:sz="4" w:space="0" w:color="0D8577" w:themeColor="accent5"/>
        <w:right w:val="single" w:sz="4" w:space="0" w:color="0D8577" w:themeColor="accent5"/>
        <w:insideH w:val="single" w:sz="4" w:space="0" w:color="FFFFFF" w:themeColor="background1"/>
        <w:insideV w:val="single" w:sz="4" w:space="0" w:color="FFFFFF" w:themeColor="background1"/>
      </w:tblBorders>
    </w:tblPr>
    <w:tcPr>
      <w:shd w:val="clear" w:color="auto" w:fill="DEFBF8" w:themeFill="accent5" w:themeFillTint="19"/>
    </w:tcPr>
    <w:tblStylePr w:type="firstRow">
      <w:rPr>
        <w:b/>
        <w:bCs/>
      </w:rPr>
      <w:tblPr/>
      <w:tcPr>
        <w:tcBorders>
          <w:top w:val="nil"/>
          <w:left w:val="nil"/>
          <w:bottom w:val="single" w:sz="24" w:space="0" w:color="46B8A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4F47" w:themeFill="accent5" w:themeFillShade="99"/>
      </w:tcPr>
    </w:tblStylePr>
    <w:tblStylePr w:type="firstCol">
      <w:rPr>
        <w:color w:val="FFFFFF" w:themeColor="background1"/>
      </w:rPr>
      <w:tblPr/>
      <w:tcPr>
        <w:tcBorders>
          <w:top w:val="nil"/>
          <w:left w:val="nil"/>
          <w:bottom w:val="nil"/>
          <w:right w:val="nil"/>
          <w:insideH w:val="single" w:sz="4" w:space="0" w:color="074F47" w:themeColor="accent5" w:themeShade="99"/>
          <w:insideV w:val="nil"/>
        </w:tcBorders>
        <w:shd w:val="clear" w:color="auto" w:fill="074F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74F47" w:themeFill="accent5" w:themeFillShade="99"/>
      </w:tcPr>
    </w:tblStylePr>
    <w:tblStylePr w:type="band1Vert">
      <w:tblPr/>
      <w:tcPr>
        <w:shd w:val="clear" w:color="auto" w:fill="7AF2E4" w:themeFill="accent5" w:themeFillTint="66"/>
      </w:tcPr>
    </w:tblStylePr>
    <w:tblStylePr w:type="band1Horz">
      <w:tblPr/>
      <w:tcPr>
        <w:shd w:val="clear" w:color="auto" w:fill="59EEDD" w:themeFill="accent5" w:themeFillTint="7F"/>
      </w:tcPr>
    </w:tblStylePr>
    <w:tblStylePr w:type="neCell">
      <w:rPr>
        <w:color w:val="222222" w:themeColor="text1"/>
      </w:rPr>
    </w:tblStylePr>
    <w:tblStylePr w:type="nwCell">
      <w:rPr>
        <w:color w:val="222222" w:themeColor="text1"/>
      </w:rPr>
    </w:tblStylePr>
  </w:style>
  <w:style w:type="table" w:styleId="ColorfulShading-Accent6">
    <w:name w:val="Colorful Shading Accent 6"/>
    <w:basedOn w:val="TableNormal"/>
    <w:uiPriority w:val="71"/>
    <w:semiHidden/>
    <w:unhideWhenUsed/>
    <w:locked/>
    <w:rsid w:val="008E4939"/>
    <w:pPr>
      <w:spacing w:after="0" w:line="240" w:lineRule="auto"/>
    </w:pPr>
    <w:tblPr>
      <w:tblStyleRowBandSize w:val="1"/>
      <w:tblStyleColBandSize w:val="1"/>
      <w:tblBorders>
        <w:top w:val="single" w:sz="24" w:space="0" w:color="0D8577" w:themeColor="accent5"/>
        <w:left w:val="single" w:sz="4" w:space="0" w:color="46B8A9" w:themeColor="accent6"/>
        <w:bottom w:val="single" w:sz="4" w:space="0" w:color="46B8A9" w:themeColor="accent6"/>
        <w:right w:val="single" w:sz="4" w:space="0" w:color="46B8A9" w:themeColor="accent6"/>
        <w:insideH w:val="single" w:sz="4" w:space="0" w:color="FFFFFF" w:themeColor="background1"/>
        <w:insideV w:val="single" w:sz="4" w:space="0" w:color="FFFFFF" w:themeColor="background1"/>
      </w:tblBorders>
    </w:tblPr>
    <w:tcPr>
      <w:shd w:val="clear" w:color="auto" w:fill="ECF8F6" w:themeFill="accent6" w:themeFillTint="19"/>
    </w:tcPr>
    <w:tblStylePr w:type="firstRow">
      <w:rPr>
        <w:b/>
        <w:bCs/>
      </w:rPr>
      <w:tblPr/>
      <w:tcPr>
        <w:tcBorders>
          <w:top w:val="nil"/>
          <w:left w:val="nil"/>
          <w:bottom w:val="single" w:sz="24" w:space="0" w:color="0D857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6E65" w:themeFill="accent6" w:themeFillShade="99"/>
      </w:tcPr>
    </w:tblStylePr>
    <w:tblStylePr w:type="firstCol">
      <w:rPr>
        <w:color w:val="FFFFFF" w:themeColor="background1"/>
      </w:rPr>
      <w:tblPr/>
      <w:tcPr>
        <w:tcBorders>
          <w:top w:val="nil"/>
          <w:left w:val="nil"/>
          <w:bottom w:val="nil"/>
          <w:right w:val="nil"/>
          <w:insideH w:val="single" w:sz="4" w:space="0" w:color="2A6E65" w:themeColor="accent6" w:themeShade="99"/>
          <w:insideV w:val="nil"/>
        </w:tcBorders>
        <w:shd w:val="clear" w:color="auto" w:fill="2A6E6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A6E65" w:themeFill="accent6" w:themeFillShade="99"/>
      </w:tcPr>
    </w:tblStylePr>
    <w:tblStylePr w:type="band1Vert">
      <w:tblPr/>
      <w:tcPr>
        <w:shd w:val="clear" w:color="auto" w:fill="B4E2DC" w:themeFill="accent6" w:themeFillTint="66"/>
      </w:tcPr>
    </w:tblStylePr>
    <w:tblStylePr w:type="band1Horz">
      <w:tblPr/>
      <w:tcPr>
        <w:shd w:val="clear" w:color="auto" w:fill="A2DBD4" w:themeFill="accent6" w:themeFillTint="7F"/>
      </w:tcPr>
    </w:tblStylePr>
    <w:tblStylePr w:type="neCell">
      <w:rPr>
        <w:color w:val="222222" w:themeColor="text1"/>
      </w:rPr>
    </w:tblStylePr>
    <w:tblStylePr w:type="nwCell">
      <w:rPr>
        <w:color w:val="222222" w:themeColor="text1"/>
      </w:rPr>
    </w:tblStylePr>
  </w:style>
  <w:style w:type="table" w:styleId="DarkList">
    <w:name w:val="Dark List"/>
    <w:basedOn w:val="TableNormal"/>
    <w:uiPriority w:val="70"/>
    <w:semiHidden/>
    <w:unhideWhenUsed/>
    <w:locked/>
    <w:rsid w:val="008E4939"/>
    <w:pPr>
      <w:spacing w:after="0" w:line="240" w:lineRule="auto"/>
    </w:pPr>
    <w:rPr>
      <w:color w:val="FFFFFF" w:themeColor="background1"/>
    </w:rPr>
    <w:tblPr>
      <w:tblStyleRowBandSize w:val="1"/>
      <w:tblStyleColBandSize w:val="1"/>
    </w:tblPr>
    <w:tcPr>
      <w:shd w:val="clear" w:color="auto" w:fill="22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10101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9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91919" w:themeFill="text1" w:themeFillShade="BF"/>
      </w:tcPr>
    </w:tblStylePr>
    <w:tblStylePr w:type="band1Vert">
      <w:tblPr/>
      <w:tcPr>
        <w:tcBorders>
          <w:top w:val="nil"/>
          <w:left w:val="nil"/>
          <w:bottom w:val="nil"/>
          <w:right w:val="nil"/>
          <w:insideH w:val="nil"/>
          <w:insideV w:val="nil"/>
        </w:tcBorders>
        <w:shd w:val="clear" w:color="auto" w:fill="191919" w:themeFill="text1" w:themeFillShade="BF"/>
      </w:tcPr>
    </w:tblStylePr>
    <w:tblStylePr w:type="band1Horz">
      <w:tblPr/>
      <w:tcPr>
        <w:tcBorders>
          <w:top w:val="nil"/>
          <w:left w:val="nil"/>
          <w:bottom w:val="nil"/>
          <w:right w:val="nil"/>
          <w:insideH w:val="nil"/>
          <w:insideV w:val="nil"/>
        </w:tcBorders>
        <w:shd w:val="clear" w:color="auto" w:fill="191919" w:themeFill="text1" w:themeFillShade="BF"/>
      </w:tcPr>
    </w:tblStylePr>
  </w:style>
  <w:style w:type="table" w:styleId="DarkList-Accent1">
    <w:name w:val="Dark List Accent 1"/>
    <w:basedOn w:val="TableNormal"/>
    <w:uiPriority w:val="70"/>
    <w:semiHidden/>
    <w:unhideWhenUsed/>
    <w:locked/>
    <w:rsid w:val="008E4939"/>
    <w:pPr>
      <w:spacing w:after="0" w:line="240" w:lineRule="auto"/>
    </w:pPr>
    <w:rPr>
      <w:color w:val="FFFFFF" w:themeColor="background1"/>
    </w:rPr>
    <w:tblPr>
      <w:tblStyleRowBandSize w:val="1"/>
      <w:tblStyleColBandSize w:val="1"/>
    </w:tblPr>
    <w:tcPr>
      <w:shd w:val="clear" w:color="auto" w:fill="CC66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6532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84C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84C00" w:themeFill="accent1" w:themeFillShade="BF"/>
      </w:tcPr>
    </w:tblStylePr>
    <w:tblStylePr w:type="band1Vert">
      <w:tblPr/>
      <w:tcPr>
        <w:tcBorders>
          <w:top w:val="nil"/>
          <w:left w:val="nil"/>
          <w:bottom w:val="nil"/>
          <w:right w:val="nil"/>
          <w:insideH w:val="nil"/>
          <w:insideV w:val="nil"/>
        </w:tcBorders>
        <w:shd w:val="clear" w:color="auto" w:fill="984C00" w:themeFill="accent1" w:themeFillShade="BF"/>
      </w:tcPr>
    </w:tblStylePr>
    <w:tblStylePr w:type="band1Horz">
      <w:tblPr/>
      <w:tcPr>
        <w:tcBorders>
          <w:top w:val="nil"/>
          <w:left w:val="nil"/>
          <w:bottom w:val="nil"/>
          <w:right w:val="nil"/>
          <w:insideH w:val="nil"/>
          <w:insideV w:val="nil"/>
        </w:tcBorders>
        <w:shd w:val="clear" w:color="auto" w:fill="984C00" w:themeFill="accent1" w:themeFillShade="BF"/>
      </w:tcPr>
    </w:tblStylePr>
  </w:style>
  <w:style w:type="table" w:styleId="DarkList-Accent2">
    <w:name w:val="Dark List Accent 2"/>
    <w:basedOn w:val="TableNormal"/>
    <w:uiPriority w:val="70"/>
    <w:semiHidden/>
    <w:unhideWhenUsed/>
    <w:locked/>
    <w:rsid w:val="008E4939"/>
    <w:pPr>
      <w:spacing w:after="0" w:line="240" w:lineRule="auto"/>
    </w:pPr>
    <w:rPr>
      <w:color w:val="FFFFFF" w:themeColor="background1"/>
    </w:rPr>
    <w:tblPr>
      <w:tblStyleRowBandSize w:val="1"/>
      <w:tblStyleColBandSize w:val="1"/>
    </w:tblPr>
    <w:tcPr>
      <w:shd w:val="clear" w:color="auto" w:fill="FCE2C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D6680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5A3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5A35F" w:themeFill="accent2" w:themeFillShade="BF"/>
      </w:tcPr>
    </w:tblStylePr>
    <w:tblStylePr w:type="band1Vert">
      <w:tblPr/>
      <w:tcPr>
        <w:tcBorders>
          <w:top w:val="nil"/>
          <w:left w:val="nil"/>
          <w:bottom w:val="nil"/>
          <w:right w:val="nil"/>
          <w:insideH w:val="nil"/>
          <w:insideV w:val="nil"/>
        </w:tcBorders>
        <w:shd w:val="clear" w:color="auto" w:fill="F5A35F" w:themeFill="accent2" w:themeFillShade="BF"/>
      </w:tcPr>
    </w:tblStylePr>
    <w:tblStylePr w:type="band1Horz">
      <w:tblPr/>
      <w:tcPr>
        <w:tcBorders>
          <w:top w:val="nil"/>
          <w:left w:val="nil"/>
          <w:bottom w:val="nil"/>
          <w:right w:val="nil"/>
          <w:insideH w:val="nil"/>
          <w:insideV w:val="nil"/>
        </w:tcBorders>
        <w:shd w:val="clear" w:color="auto" w:fill="F5A35F" w:themeFill="accent2" w:themeFillShade="BF"/>
      </w:tcPr>
    </w:tblStylePr>
  </w:style>
  <w:style w:type="table" w:styleId="DarkList-Accent3">
    <w:name w:val="Dark List Accent 3"/>
    <w:basedOn w:val="TableNormal"/>
    <w:uiPriority w:val="70"/>
    <w:semiHidden/>
    <w:unhideWhenUsed/>
    <w:locked/>
    <w:rsid w:val="008E4939"/>
    <w:pPr>
      <w:spacing w:after="0" w:line="240" w:lineRule="auto"/>
    </w:pPr>
    <w:rPr>
      <w:color w:val="FFFFFF" w:themeColor="background1"/>
    </w:rPr>
    <w:tblPr>
      <w:tblStyleRowBandSize w:val="1"/>
      <w:tblStyleColBandSize w:val="1"/>
    </w:tblPr>
    <w:tcPr>
      <w:shd w:val="clear" w:color="auto" w:fill="0D3E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061E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2E4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2E4C" w:themeFill="accent3" w:themeFillShade="BF"/>
      </w:tcPr>
    </w:tblStylePr>
    <w:tblStylePr w:type="band1Vert">
      <w:tblPr/>
      <w:tcPr>
        <w:tcBorders>
          <w:top w:val="nil"/>
          <w:left w:val="nil"/>
          <w:bottom w:val="nil"/>
          <w:right w:val="nil"/>
          <w:insideH w:val="nil"/>
          <w:insideV w:val="nil"/>
        </w:tcBorders>
        <w:shd w:val="clear" w:color="auto" w:fill="092E4C" w:themeFill="accent3" w:themeFillShade="BF"/>
      </w:tcPr>
    </w:tblStylePr>
    <w:tblStylePr w:type="band1Horz">
      <w:tblPr/>
      <w:tcPr>
        <w:tcBorders>
          <w:top w:val="nil"/>
          <w:left w:val="nil"/>
          <w:bottom w:val="nil"/>
          <w:right w:val="nil"/>
          <w:insideH w:val="nil"/>
          <w:insideV w:val="nil"/>
        </w:tcBorders>
        <w:shd w:val="clear" w:color="auto" w:fill="092E4C" w:themeFill="accent3" w:themeFillShade="BF"/>
      </w:tcPr>
    </w:tblStylePr>
  </w:style>
  <w:style w:type="table" w:styleId="DarkList-Accent4">
    <w:name w:val="Dark List Accent 4"/>
    <w:basedOn w:val="TableNormal"/>
    <w:uiPriority w:val="70"/>
    <w:semiHidden/>
    <w:unhideWhenUsed/>
    <w:locked/>
    <w:rsid w:val="008E4939"/>
    <w:pPr>
      <w:spacing w:after="0" w:line="240" w:lineRule="auto"/>
    </w:pPr>
    <w:rPr>
      <w:color w:val="FFFFFF" w:themeColor="background1"/>
    </w:rPr>
    <w:tblPr>
      <w:tblStyleRowBandSize w:val="1"/>
      <w:tblStyleColBandSize w:val="1"/>
    </w:tblPr>
    <w:tcPr>
      <w:shd w:val="clear" w:color="auto" w:fill="7D96B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37496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6E9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6E91" w:themeFill="accent4" w:themeFillShade="BF"/>
      </w:tcPr>
    </w:tblStylePr>
    <w:tblStylePr w:type="band1Vert">
      <w:tblPr/>
      <w:tcPr>
        <w:tcBorders>
          <w:top w:val="nil"/>
          <w:left w:val="nil"/>
          <w:bottom w:val="nil"/>
          <w:right w:val="nil"/>
          <w:insideH w:val="nil"/>
          <w:insideV w:val="nil"/>
        </w:tcBorders>
        <w:shd w:val="clear" w:color="auto" w:fill="536E91" w:themeFill="accent4" w:themeFillShade="BF"/>
      </w:tcPr>
    </w:tblStylePr>
    <w:tblStylePr w:type="band1Horz">
      <w:tblPr/>
      <w:tcPr>
        <w:tcBorders>
          <w:top w:val="nil"/>
          <w:left w:val="nil"/>
          <w:bottom w:val="nil"/>
          <w:right w:val="nil"/>
          <w:insideH w:val="nil"/>
          <w:insideV w:val="nil"/>
        </w:tcBorders>
        <w:shd w:val="clear" w:color="auto" w:fill="536E91" w:themeFill="accent4" w:themeFillShade="BF"/>
      </w:tcPr>
    </w:tblStylePr>
  </w:style>
  <w:style w:type="table" w:styleId="DarkList-Accent5">
    <w:name w:val="Dark List Accent 5"/>
    <w:basedOn w:val="TableNormal"/>
    <w:uiPriority w:val="70"/>
    <w:semiHidden/>
    <w:unhideWhenUsed/>
    <w:locked/>
    <w:rsid w:val="008E4939"/>
    <w:pPr>
      <w:spacing w:after="0" w:line="240" w:lineRule="auto"/>
    </w:pPr>
    <w:rPr>
      <w:color w:val="FFFFFF" w:themeColor="background1"/>
    </w:rPr>
    <w:tblPr>
      <w:tblStyleRowBandSize w:val="1"/>
      <w:tblStyleColBandSize w:val="1"/>
    </w:tblPr>
    <w:tcPr>
      <w:shd w:val="clear" w:color="auto" w:fill="0D857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0642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963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96358" w:themeFill="accent5" w:themeFillShade="BF"/>
      </w:tcPr>
    </w:tblStylePr>
    <w:tblStylePr w:type="band1Vert">
      <w:tblPr/>
      <w:tcPr>
        <w:tcBorders>
          <w:top w:val="nil"/>
          <w:left w:val="nil"/>
          <w:bottom w:val="nil"/>
          <w:right w:val="nil"/>
          <w:insideH w:val="nil"/>
          <w:insideV w:val="nil"/>
        </w:tcBorders>
        <w:shd w:val="clear" w:color="auto" w:fill="096358" w:themeFill="accent5" w:themeFillShade="BF"/>
      </w:tcPr>
    </w:tblStylePr>
    <w:tblStylePr w:type="band1Horz">
      <w:tblPr/>
      <w:tcPr>
        <w:tcBorders>
          <w:top w:val="nil"/>
          <w:left w:val="nil"/>
          <w:bottom w:val="nil"/>
          <w:right w:val="nil"/>
          <w:insideH w:val="nil"/>
          <w:insideV w:val="nil"/>
        </w:tcBorders>
        <w:shd w:val="clear" w:color="auto" w:fill="096358" w:themeFill="accent5" w:themeFillShade="BF"/>
      </w:tcPr>
    </w:tblStylePr>
  </w:style>
  <w:style w:type="table" w:styleId="DarkList-Accent6">
    <w:name w:val="Dark List Accent 6"/>
    <w:basedOn w:val="TableNormal"/>
    <w:uiPriority w:val="70"/>
    <w:semiHidden/>
    <w:unhideWhenUsed/>
    <w:locked/>
    <w:rsid w:val="008E4939"/>
    <w:pPr>
      <w:spacing w:after="0" w:line="240" w:lineRule="auto"/>
    </w:pPr>
    <w:rPr>
      <w:color w:val="FFFFFF" w:themeColor="background1"/>
    </w:rPr>
    <w:tblPr>
      <w:tblStyleRowBandSize w:val="1"/>
      <w:tblStyleColBandSize w:val="1"/>
    </w:tblPr>
    <w:tcPr>
      <w:shd w:val="clear" w:color="auto" w:fill="46B8A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235B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489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4897E" w:themeFill="accent6" w:themeFillShade="BF"/>
      </w:tcPr>
    </w:tblStylePr>
    <w:tblStylePr w:type="band1Vert">
      <w:tblPr/>
      <w:tcPr>
        <w:tcBorders>
          <w:top w:val="nil"/>
          <w:left w:val="nil"/>
          <w:bottom w:val="nil"/>
          <w:right w:val="nil"/>
          <w:insideH w:val="nil"/>
          <w:insideV w:val="nil"/>
        </w:tcBorders>
        <w:shd w:val="clear" w:color="auto" w:fill="34897E" w:themeFill="accent6" w:themeFillShade="BF"/>
      </w:tcPr>
    </w:tblStylePr>
    <w:tblStylePr w:type="band1Horz">
      <w:tblPr/>
      <w:tcPr>
        <w:tcBorders>
          <w:top w:val="nil"/>
          <w:left w:val="nil"/>
          <w:bottom w:val="nil"/>
          <w:right w:val="nil"/>
          <w:insideH w:val="nil"/>
          <w:insideV w:val="nil"/>
        </w:tcBorders>
        <w:shd w:val="clear" w:color="auto" w:fill="34897E" w:themeFill="accent6" w:themeFillShade="BF"/>
      </w:tcPr>
    </w:tblStylePr>
  </w:style>
  <w:style w:type="table" w:styleId="LightGrid">
    <w:name w:val="Light Grid"/>
    <w:basedOn w:val="TableNormal"/>
    <w:uiPriority w:val="62"/>
    <w:semiHidden/>
    <w:unhideWhenUsed/>
    <w:locked/>
    <w:rsid w:val="008E4939"/>
    <w:pPr>
      <w:spacing w:after="0" w:line="240" w:lineRule="auto"/>
    </w:pPr>
    <w:tblPr>
      <w:tblStyleRowBandSize w:val="1"/>
      <w:tblStyleColBandSize w:val="1"/>
      <w:tblBorders>
        <w:top w:val="single" w:sz="8" w:space="0" w:color="222222" w:themeColor="text1"/>
        <w:left w:val="single" w:sz="8" w:space="0" w:color="222222" w:themeColor="text1"/>
        <w:bottom w:val="single" w:sz="8" w:space="0" w:color="222222" w:themeColor="text1"/>
        <w:right w:val="single" w:sz="8" w:space="0" w:color="222222" w:themeColor="text1"/>
        <w:insideH w:val="single" w:sz="8" w:space="0" w:color="222222" w:themeColor="text1"/>
        <w:insideV w:val="single" w:sz="8" w:space="0" w:color="22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22222" w:themeColor="text1"/>
          <w:left w:val="single" w:sz="8" w:space="0" w:color="222222" w:themeColor="text1"/>
          <w:bottom w:val="single" w:sz="18" w:space="0" w:color="222222" w:themeColor="text1"/>
          <w:right w:val="single" w:sz="8" w:space="0" w:color="222222" w:themeColor="text1"/>
          <w:insideH w:val="nil"/>
          <w:insideV w:val="single" w:sz="8" w:space="0" w:color="22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22222" w:themeColor="text1"/>
          <w:left w:val="single" w:sz="8" w:space="0" w:color="222222" w:themeColor="text1"/>
          <w:bottom w:val="single" w:sz="8" w:space="0" w:color="222222" w:themeColor="text1"/>
          <w:right w:val="single" w:sz="8" w:space="0" w:color="222222" w:themeColor="text1"/>
          <w:insideH w:val="nil"/>
          <w:insideV w:val="single" w:sz="8" w:space="0" w:color="22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22222" w:themeColor="text1"/>
          <w:left w:val="single" w:sz="8" w:space="0" w:color="222222" w:themeColor="text1"/>
          <w:bottom w:val="single" w:sz="8" w:space="0" w:color="222222" w:themeColor="text1"/>
          <w:right w:val="single" w:sz="8" w:space="0" w:color="222222" w:themeColor="text1"/>
        </w:tcBorders>
      </w:tcPr>
    </w:tblStylePr>
    <w:tblStylePr w:type="band1Vert">
      <w:tblPr/>
      <w:tcPr>
        <w:tcBorders>
          <w:top w:val="single" w:sz="8" w:space="0" w:color="222222" w:themeColor="text1"/>
          <w:left w:val="single" w:sz="8" w:space="0" w:color="222222" w:themeColor="text1"/>
          <w:bottom w:val="single" w:sz="8" w:space="0" w:color="222222" w:themeColor="text1"/>
          <w:right w:val="single" w:sz="8" w:space="0" w:color="222222" w:themeColor="text1"/>
        </w:tcBorders>
        <w:shd w:val="clear" w:color="auto" w:fill="C8C8C8" w:themeFill="text1" w:themeFillTint="3F"/>
      </w:tcPr>
    </w:tblStylePr>
    <w:tblStylePr w:type="band1Horz">
      <w:tblPr/>
      <w:tcPr>
        <w:tcBorders>
          <w:top w:val="single" w:sz="8" w:space="0" w:color="222222" w:themeColor="text1"/>
          <w:left w:val="single" w:sz="8" w:space="0" w:color="222222" w:themeColor="text1"/>
          <w:bottom w:val="single" w:sz="8" w:space="0" w:color="222222" w:themeColor="text1"/>
          <w:right w:val="single" w:sz="8" w:space="0" w:color="222222" w:themeColor="text1"/>
          <w:insideV w:val="single" w:sz="8" w:space="0" w:color="222222" w:themeColor="text1"/>
        </w:tcBorders>
        <w:shd w:val="clear" w:color="auto" w:fill="C8C8C8" w:themeFill="text1" w:themeFillTint="3F"/>
      </w:tcPr>
    </w:tblStylePr>
    <w:tblStylePr w:type="band2Horz">
      <w:tblPr/>
      <w:tcPr>
        <w:tcBorders>
          <w:top w:val="single" w:sz="8" w:space="0" w:color="222222" w:themeColor="text1"/>
          <w:left w:val="single" w:sz="8" w:space="0" w:color="222222" w:themeColor="text1"/>
          <w:bottom w:val="single" w:sz="8" w:space="0" w:color="222222" w:themeColor="text1"/>
          <w:right w:val="single" w:sz="8" w:space="0" w:color="222222" w:themeColor="text1"/>
          <w:insideV w:val="single" w:sz="8" w:space="0" w:color="222222" w:themeColor="text1"/>
        </w:tcBorders>
      </w:tcPr>
    </w:tblStylePr>
  </w:style>
  <w:style w:type="table" w:styleId="LightGrid-Accent1">
    <w:name w:val="Light Grid Accent 1"/>
    <w:basedOn w:val="TableNormal"/>
    <w:uiPriority w:val="62"/>
    <w:semiHidden/>
    <w:unhideWhenUsed/>
    <w:locked/>
    <w:rsid w:val="008E4939"/>
    <w:pPr>
      <w:spacing w:after="0" w:line="240" w:lineRule="auto"/>
    </w:pPr>
    <w:tblPr>
      <w:tblStyleRowBandSize w:val="1"/>
      <w:tblStyleColBandSize w:val="1"/>
      <w:tblBorders>
        <w:top w:val="single" w:sz="8" w:space="0" w:color="CC6600" w:themeColor="accent1"/>
        <w:left w:val="single" w:sz="8" w:space="0" w:color="CC6600" w:themeColor="accent1"/>
        <w:bottom w:val="single" w:sz="8" w:space="0" w:color="CC6600" w:themeColor="accent1"/>
        <w:right w:val="single" w:sz="8" w:space="0" w:color="CC6600" w:themeColor="accent1"/>
        <w:insideH w:val="single" w:sz="8" w:space="0" w:color="CC6600" w:themeColor="accent1"/>
        <w:insideV w:val="single" w:sz="8" w:space="0" w:color="CC6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6600" w:themeColor="accent1"/>
          <w:left w:val="single" w:sz="8" w:space="0" w:color="CC6600" w:themeColor="accent1"/>
          <w:bottom w:val="single" w:sz="18" w:space="0" w:color="CC6600" w:themeColor="accent1"/>
          <w:right w:val="single" w:sz="8" w:space="0" w:color="CC6600" w:themeColor="accent1"/>
          <w:insideH w:val="nil"/>
          <w:insideV w:val="single" w:sz="8" w:space="0" w:color="CC6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6600" w:themeColor="accent1"/>
          <w:left w:val="single" w:sz="8" w:space="0" w:color="CC6600" w:themeColor="accent1"/>
          <w:bottom w:val="single" w:sz="8" w:space="0" w:color="CC6600" w:themeColor="accent1"/>
          <w:right w:val="single" w:sz="8" w:space="0" w:color="CC6600" w:themeColor="accent1"/>
          <w:insideH w:val="nil"/>
          <w:insideV w:val="single" w:sz="8" w:space="0" w:color="CC6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6600" w:themeColor="accent1"/>
          <w:left w:val="single" w:sz="8" w:space="0" w:color="CC6600" w:themeColor="accent1"/>
          <w:bottom w:val="single" w:sz="8" w:space="0" w:color="CC6600" w:themeColor="accent1"/>
          <w:right w:val="single" w:sz="8" w:space="0" w:color="CC6600" w:themeColor="accent1"/>
        </w:tcBorders>
      </w:tcPr>
    </w:tblStylePr>
    <w:tblStylePr w:type="band1Vert">
      <w:tblPr/>
      <w:tcPr>
        <w:tcBorders>
          <w:top w:val="single" w:sz="8" w:space="0" w:color="CC6600" w:themeColor="accent1"/>
          <w:left w:val="single" w:sz="8" w:space="0" w:color="CC6600" w:themeColor="accent1"/>
          <w:bottom w:val="single" w:sz="8" w:space="0" w:color="CC6600" w:themeColor="accent1"/>
          <w:right w:val="single" w:sz="8" w:space="0" w:color="CC6600" w:themeColor="accent1"/>
        </w:tcBorders>
        <w:shd w:val="clear" w:color="auto" w:fill="FFD9B3" w:themeFill="accent1" w:themeFillTint="3F"/>
      </w:tcPr>
    </w:tblStylePr>
    <w:tblStylePr w:type="band1Horz">
      <w:tblPr/>
      <w:tcPr>
        <w:tcBorders>
          <w:top w:val="single" w:sz="8" w:space="0" w:color="CC6600" w:themeColor="accent1"/>
          <w:left w:val="single" w:sz="8" w:space="0" w:color="CC6600" w:themeColor="accent1"/>
          <w:bottom w:val="single" w:sz="8" w:space="0" w:color="CC6600" w:themeColor="accent1"/>
          <w:right w:val="single" w:sz="8" w:space="0" w:color="CC6600" w:themeColor="accent1"/>
          <w:insideV w:val="single" w:sz="8" w:space="0" w:color="CC6600" w:themeColor="accent1"/>
        </w:tcBorders>
        <w:shd w:val="clear" w:color="auto" w:fill="FFD9B3" w:themeFill="accent1" w:themeFillTint="3F"/>
      </w:tcPr>
    </w:tblStylePr>
    <w:tblStylePr w:type="band2Horz">
      <w:tblPr/>
      <w:tcPr>
        <w:tcBorders>
          <w:top w:val="single" w:sz="8" w:space="0" w:color="CC6600" w:themeColor="accent1"/>
          <w:left w:val="single" w:sz="8" w:space="0" w:color="CC6600" w:themeColor="accent1"/>
          <w:bottom w:val="single" w:sz="8" w:space="0" w:color="CC6600" w:themeColor="accent1"/>
          <w:right w:val="single" w:sz="8" w:space="0" w:color="CC6600" w:themeColor="accent1"/>
          <w:insideV w:val="single" w:sz="8" w:space="0" w:color="CC6600" w:themeColor="accent1"/>
        </w:tcBorders>
      </w:tcPr>
    </w:tblStylePr>
  </w:style>
  <w:style w:type="table" w:styleId="LightGrid-Accent2">
    <w:name w:val="Light Grid Accent 2"/>
    <w:basedOn w:val="TableNormal"/>
    <w:uiPriority w:val="62"/>
    <w:semiHidden/>
    <w:unhideWhenUsed/>
    <w:locked/>
    <w:rsid w:val="008E4939"/>
    <w:pPr>
      <w:spacing w:after="0" w:line="240" w:lineRule="auto"/>
    </w:pPr>
    <w:tblPr>
      <w:tblStyleRowBandSize w:val="1"/>
      <w:tblStyleColBandSize w:val="1"/>
      <w:tblBorders>
        <w:top w:val="single" w:sz="8" w:space="0" w:color="FCE2CC" w:themeColor="accent2"/>
        <w:left w:val="single" w:sz="8" w:space="0" w:color="FCE2CC" w:themeColor="accent2"/>
        <w:bottom w:val="single" w:sz="8" w:space="0" w:color="FCE2CC" w:themeColor="accent2"/>
        <w:right w:val="single" w:sz="8" w:space="0" w:color="FCE2CC" w:themeColor="accent2"/>
        <w:insideH w:val="single" w:sz="8" w:space="0" w:color="FCE2CC" w:themeColor="accent2"/>
        <w:insideV w:val="single" w:sz="8" w:space="0" w:color="FCE2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E2CC" w:themeColor="accent2"/>
          <w:left w:val="single" w:sz="8" w:space="0" w:color="FCE2CC" w:themeColor="accent2"/>
          <w:bottom w:val="single" w:sz="18" w:space="0" w:color="FCE2CC" w:themeColor="accent2"/>
          <w:right w:val="single" w:sz="8" w:space="0" w:color="FCE2CC" w:themeColor="accent2"/>
          <w:insideH w:val="nil"/>
          <w:insideV w:val="single" w:sz="8" w:space="0" w:color="FCE2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E2CC" w:themeColor="accent2"/>
          <w:left w:val="single" w:sz="8" w:space="0" w:color="FCE2CC" w:themeColor="accent2"/>
          <w:bottom w:val="single" w:sz="8" w:space="0" w:color="FCE2CC" w:themeColor="accent2"/>
          <w:right w:val="single" w:sz="8" w:space="0" w:color="FCE2CC" w:themeColor="accent2"/>
          <w:insideH w:val="nil"/>
          <w:insideV w:val="single" w:sz="8" w:space="0" w:color="FCE2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E2CC" w:themeColor="accent2"/>
          <w:left w:val="single" w:sz="8" w:space="0" w:color="FCE2CC" w:themeColor="accent2"/>
          <w:bottom w:val="single" w:sz="8" w:space="0" w:color="FCE2CC" w:themeColor="accent2"/>
          <w:right w:val="single" w:sz="8" w:space="0" w:color="FCE2CC" w:themeColor="accent2"/>
        </w:tcBorders>
      </w:tcPr>
    </w:tblStylePr>
    <w:tblStylePr w:type="band1Vert">
      <w:tblPr/>
      <w:tcPr>
        <w:tcBorders>
          <w:top w:val="single" w:sz="8" w:space="0" w:color="FCE2CC" w:themeColor="accent2"/>
          <w:left w:val="single" w:sz="8" w:space="0" w:color="FCE2CC" w:themeColor="accent2"/>
          <w:bottom w:val="single" w:sz="8" w:space="0" w:color="FCE2CC" w:themeColor="accent2"/>
          <w:right w:val="single" w:sz="8" w:space="0" w:color="FCE2CC" w:themeColor="accent2"/>
        </w:tcBorders>
        <w:shd w:val="clear" w:color="auto" w:fill="FEF7F2" w:themeFill="accent2" w:themeFillTint="3F"/>
      </w:tcPr>
    </w:tblStylePr>
    <w:tblStylePr w:type="band1Horz">
      <w:tblPr/>
      <w:tcPr>
        <w:tcBorders>
          <w:top w:val="single" w:sz="8" w:space="0" w:color="FCE2CC" w:themeColor="accent2"/>
          <w:left w:val="single" w:sz="8" w:space="0" w:color="FCE2CC" w:themeColor="accent2"/>
          <w:bottom w:val="single" w:sz="8" w:space="0" w:color="FCE2CC" w:themeColor="accent2"/>
          <w:right w:val="single" w:sz="8" w:space="0" w:color="FCE2CC" w:themeColor="accent2"/>
          <w:insideV w:val="single" w:sz="8" w:space="0" w:color="FCE2CC" w:themeColor="accent2"/>
        </w:tcBorders>
        <w:shd w:val="clear" w:color="auto" w:fill="FEF7F2" w:themeFill="accent2" w:themeFillTint="3F"/>
      </w:tcPr>
    </w:tblStylePr>
    <w:tblStylePr w:type="band2Horz">
      <w:tblPr/>
      <w:tcPr>
        <w:tcBorders>
          <w:top w:val="single" w:sz="8" w:space="0" w:color="FCE2CC" w:themeColor="accent2"/>
          <w:left w:val="single" w:sz="8" w:space="0" w:color="FCE2CC" w:themeColor="accent2"/>
          <w:bottom w:val="single" w:sz="8" w:space="0" w:color="FCE2CC" w:themeColor="accent2"/>
          <w:right w:val="single" w:sz="8" w:space="0" w:color="FCE2CC" w:themeColor="accent2"/>
          <w:insideV w:val="single" w:sz="8" w:space="0" w:color="FCE2CC" w:themeColor="accent2"/>
        </w:tcBorders>
      </w:tcPr>
    </w:tblStylePr>
  </w:style>
  <w:style w:type="table" w:styleId="LightGrid-Accent3">
    <w:name w:val="Light Grid Accent 3"/>
    <w:basedOn w:val="TableNormal"/>
    <w:uiPriority w:val="62"/>
    <w:semiHidden/>
    <w:unhideWhenUsed/>
    <w:locked/>
    <w:rsid w:val="008E4939"/>
    <w:pPr>
      <w:spacing w:after="0" w:line="240" w:lineRule="auto"/>
    </w:pPr>
    <w:tblPr>
      <w:tblStyleRowBandSize w:val="1"/>
      <w:tblStyleColBandSize w:val="1"/>
      <w:tblBorders>
        <w:top w:val="single" w:sz="8" w:space="0" w:color="0D3E67" w:themeColor="accent3"/>
        <w:left w:val="single" w:sz="8" w:space="0" w:color="0D3E67" w:themeColor="accent3"/>
        <w:bottom w:val="single" w:sz="8" w:space="0" w:color="0D3E67" w:themeColor="accent3"/>
        <w:right w:val="single" w:sz="8" w:space="0" w:color="0D3E67" w:themeColor="accent3"/>
        <w:insideH w:val="single" w:sz="8" w:space="0" w:color="0D3E67" w:themeColor="accent3"/>
        <w:insideV w:val="single" w:sz="8" w:space="0" w:color="0D3E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3E67" w:themeColor="accent3"/>
          <w:left w:val="single" w:sz="8" w:space="0" w:color="0D3E67" w:themeColor="accent3"/>
          <w:bottom w:val="single" w:sz="18" w:space="0" w:color="0D3E67" w:themeColor="accent3"/>
          <w:right w:val="single" w:sz="8" w:space="0" w:color="0D3E67" w:themeColor="accent3"/>
          <w:insideH w:val="nil"/>
          <w:insideV w:val="single" w:sz="8" w:space="0" w:color="0D3E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3E67" w:themeColor="accent3"/>
          <w:left w:val="single" w:sz="8" w:space="0" w:color="0D3E67" w:themeColor="accent3"/>
          <w:bottom w:val="single" w:sz="8" w:space="0" w:color="0D3E67" w:themeColor="accent3"/>
          <w:right w:val="single" w:sz="8" w:space="0" w:color="0D3E67" w:themeColor="accent3"/>
          <w:insideH w:val="nil"/>
          <w:insideV w:val="single" w:sz="8" w:space="0" w:color="0D3E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3E67" w:themeColor="accent3"/>
          <w:left w:val="single" w:sz="8" w:space="0" w:color="0D3E67" w:themeColor="accent3"/>
          <w:bottom w:val="single" w:sz="8" w:space="0" w:color="0D3E67" w:themeColor="accent3"/>
          <w:right w:val="single" w:sz="8" w:space="0" w:color="0D3E67" w:themeColor="accent3"/>
        </w:tcBorders>
      </w:tcPr>
    </w:tblStylePr>
    <w:tblStylePr w:type="band1Vert">
      <w:tblPr/>
      <w:tcPr>
        <w:tcBorders>
          <w:top w:val="single" w:sz="8" w:space="0" w:color="0D3E67" w:themeColor="accent3"/>
          <w:left w:val="single" w:sz="8" w:space="0" w:color="0D3E67" w:themeColor="accent3"/>
          <w:bottom w:val="single" w:sz="8" w:space="0" w:color="0D3E67" w:themeColor="accent3"/>
          <w:right w:val="single" w:sz="8" w:space="0" w:color="0D3E67" w:themeColor="accent3"/>
        </w:tcBorders>
        <w:shd w:val="clear" w:color="auto" w:fill="A8D1F4" w:themeFill="accent3" w:themeFillTint="3F"/>
      </w:tcPr>
    </w:tblStylePr>
    <w:tblStylePr w:type="band1Horz">
      <w:tblPr/>
      <w:tcPr>
        <w:tcBorders>
          <w:top w:val="single" w:sz="8" w:space="0" w:color="0D3E67" w:themeColor="accent3"/>
          <w:left w:val="single" w:sz="8" w:space="0" w:color="0D3E67" w:themeColor="accent3"/>
          <w:bottom w:val="single" w:sz="8" w:space="0" w:color="0D3E67" w:themeColor="accent3"/>
          <w:right w:val="single" w:sz="8" w:space="0" w:color="0D3E67" w:themeColor="accent3"/>
          <w:insideV w:val="single" w:sz="8" w:space="0" w:color="0D3E67" w:themeColor="accent3"/>
        </w:tcBorders>
        <w:shd w:val="clear" w:color="auto" w:fill="A8D1F4" w:themeFill="accent3" w:themeFillTint="3F"/>
      </w:tcPr>
    </w:tblStylePr>
    <w:tblStylePr w:type="band2Horz">
      <w:tblPr/>
      <w:tcPr>
        <w:tcBorders>
          <w:top w:val="single" w:sz="8" w:space="0" w:color="0D3E67" w:themeColor="accent3"/>
          <w:left w:val="single" w:sz="8" w:space="0" w:color="0D3E67" w:themeColor="accent3"/>
          <w:bottom w:val="single" w:sz="8" w:space="0" w:color="0D3E67" w:themeColor="accent3"/>
          <w:right w:val="single" w:sz="8" w:space="0" w:color="0D3E67" w:themeColor="accent3"/>
          <w:insideV w:val="single" w:sz="8" w:space="0" w:color="0D3E67" w:themeColor="accent3"/>
        </w:tcBorders>
      </w:tcPr>
    </w:tblStylePr>
  </w:style>
  <w:style w:type="table" w:styleId="LightGrid-Accent4">
    <w:name w:val="Light Grid Accent 4"/>
    <w:basedOn w:val="TableNormal"/>
    <w:uiPriority w:val="62"/>
    <w:semiHidden/>
    <w:unhideWhenUsed/>
    <w:locked/>
    <w:rsid w:val="008E4939"/>
    <w:pPr>
      <w:spacing w:after="0" w:line="240" w:lineRule="auto"/>
    </w:pPr>
    <w:tblPr>
      <w:tblStyleRowBandSize w:val="1"/>
      <w:tblStyleColBandSize w:val="1"/>
      <w:tblBorders>
        <w:top w:val="single" w:sz="8" w:space="0" w:color="7D96B5" w:themeColor="accent4"/>
        <w:left w:val="single" w:sz="8" w:space="0" w:color="7D96B5" w:themeColor="accent4"/>
        <w:bottom w:val="single" w:sz="8" w:space="0" w:color="7D96B5" w:themeColor="accent4"/>
        <w:right w:val="single" w:sz="8" w:space="0" w:color="7D96B5" w:themeColor="accent4"/>
        <w:insideH w:val="single" w:sz="8" w:space="0" w:color="7D96B5" w:themeColor="accent4"/>
        <w:insideV w:val="single" w:sz="8" w:space="0" w:color="7D96B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96B5" w:themeColor="accent4"/>
          <w:left w:val="single" w:sz="8" w:space="0" w:color="7D96B5" w:themeColor="accent4"/>
          <w:bottom w:val="single" w:sz="18" w:space="0" w:color="7D96B5" w:themeColor="accent4"/>
          <w:right w:val="single" w:sz="8" w:space="0" w:color="7D96B5" w:themeColor="accent4"/>
          <w:insideH w:val="nil"/>
          <w:insideV w:val="single" w:sz="8" w:space="0" w:color="7D96B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96B5" w:themeColor="accent4"/>
          <w:left w:val="single" w:sz="8" w:space="0" w:color="7D96B5" w:themeColor="accent4"/>
          <w:bottom w:val="single" w:sz="8" w:space="0" w:color="7D96B5" w:themeColor="accent4"/>
          <w:right w:val="single" w:sz="8" w:space="0" w:color="7D96B5" w:themeColor="accent4"/>
          <w:insideH w:val="nil"/>
          <w:insideV w:val="single" w:sz="8" w:space="0" w:color="7D96B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96B5" w:themeColor="accent4"/>
          <w:left w:val="single" w:sz="8" w:space="0" w:color="7D96B5" w:themeColor="accent4"/>
          <w:bottom w:val="single" w:sz="8" w:space="0" w:color="7D96B5" w:themeColor="accent4"/>
          <w:right w:val="single" w:sz="8" w:space="0" w:color="7D96B5" w:themeColor="accent4"/>
        </w:tcBorders>
      </w:tcPr>
    </w:tblStylePr>
    <w:tblStylePr w:type="band1Vert">
      <w:tblPr/>
      <w:tcPr>
        <w:tcBorders>
          <w:top w:val="single" w:sz="8" w:space="0" w:color="7D96B5" w:themeColor="accent4"/>
          <w:left w:val="single" w:sz="8" w:space="0" w:color="7D96B5" w:themeColor="accent4"/>
          <w:bottom w:val="single" w:sz="8" w:space="0" w:color="7D96B5" w:themeColor="accent4"/>
          <w:right w:val="single" w:sz="8" w:space="0" w:color="7D96B5" w:themeColor="accent4"/>
        </w:tcBorders>
        <w:shd w:val="clear" w:color="auto" w:fill="DEE4EC" w:themeFill="accent4" w:themeFillTint="3F"/>
      </w:tcPr>
    </w:tblStylePr>
    <w:tblStylePr w:type="band1Horz">
      <w:tblPr/>
      <w:tcPr>
        <w:tcBorders>
          <w:top w:val="single" w:sz="8" w:space="0" w:color="7D96B5" w:themeColor="accent4"/>
          <w:left w:val="single" w:sz="8" w:space="0" w:color="7D96B5" w:themeColor="accent4"/>
          <w:bottom w:val="single" w:sz="8" w:space="0" w:color="7D96B5" w:themeColor="accent4"/>
          <w:right w:val="single" w:sz="8" w:space="0" w:color="7D96B5" w:themeColor="accent4"/>
          <w:insideV w:val="single" w:sz="8" w:space="0" w:color="7D96B5" w:themeColor="accent4"/>
        </w:tcBorders>
        <w:shd w:val="clear" w:color="auto" w:fill="DEE4EC" w:themeFill="accent4" w:themeFillTint="3F"/>
      </w:tcPr>
    </w:tblStylePr>
    <w:tblStylePr w:type="band2Horz">
      <w:tblPr/>
      <w:tcPr>
        <w:tcBorders>
          <w:top w:val="single" w:sz="8" w:space="0" w:color="7D96B5" w:themeColor="accent4"/>
          <w:left w:val="single" w:sz="8" w:space="0" w:color="7D96B5" w:themeColor="accent4"/>
          <w:bottom w:val="single" w:sz="8" w:space="0" w:color="7D96B5" w:themeColor="accent4"/>
          <w:right w:val="single" w:sz="8" w:space="0" w:color="7D96B5" w:themeColor="accent4"/>
          <w:insideV w:val="single" w:sz="8" w:space="0" w:color="7D96B5" w:themeColor="accent4"/>
        </w:tcBorders>
      </w:tcPr>
    </w:tblStylePr>
  </w:style>
  <w:style w:type="table" w:styleId="LightGrid-Accent5">
    <w:name w:val="Light Grid Accent 5"/>
    <w:basedOn w:val="TableNormal"/>
    <w:uiPriority w:val="62"/>
    <w:semiHidden/>
    <w:unhideWhenUsed/>
    <w:locked/>
    <w:rsid w:val="008E4939"/>
    <w:pPr>
      <w:spacing w:after="0" w:line="240" w:lineRule="auto"/>
    </w:pPr>
    <w:tblPr>
      <w:tblStyleRowBandSize w:val="1"/>
      <w:tblStyleColBandSize w:val="1"/>
      <w:tblBorders>
        <w:top w:val="single" w:sz="8" w:space="0" w:color="0D8577" w:themeColor="accent5"/>
        <w:left w:val="single" w:sz="8" w:space="0" w:color="0D8577" w:themeColor="accent5"/>
        <w:bottom w:val="single" w:sz="8" w:space="0" w:color="0D8577" w:themeColor="accent5"/>
        <w:right w:val="single" w:sz="8" w:space="0" w:color="0D8577" w:themeColor="accent5"/>
        <w:insideH w:val="single" w:sz="8" w:space="0" w:color="0D8577" w:themeColor="accent5"/>
        <w:insideV w:val="single" w:sz="8" w:space="0" w:color="0D857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8577" w:themeColor="accent5"/>
          <w:left w:val="single" w:sz="8" w:space="0" w:color="0D8577" w:themeColor="accent5"/>
          <w:bottom w:val="single" w:sz="18" w:space="0" w:color="0D8577" w:themeColor="accent5"/>
          <w:right w:val="single" w:sz="8" w:space="0" w:color="0D8577" w:themeColor="accent5"/>
          <w:insideH w:val="nil"/>
          <w:insideV w:val="single" w:sz="8" w:space="0" w:color="0D857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8577" w:themeColor="accent5"/>
          <w:left w:val="single" w:sz="8" w:space="0" w:color="0D8577" w:themeColor="accent5"/>
          <w:bottom w:val="single" w:sz="8" w:space="0" w:color="0D8577" w:themeColor="accent5"/>
          <w:right w:val="single" w:sz="8" w:space="0" w:color="0D8577" w:themeColor="accent5"/>
          <w:insideH w:val="nil"/>
          <w:insideV w:val="single" w:sz="8" w:space="0" w:color="0D857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8577" w:themeColor="accent5"/>
          <w:left w:val="single" w:sz="8" w:space="0" w:color="0D8577" w:themeColor="accent5"/>
          <w:bottom w:val="single" w:sz="8" w:space="0" w:color="0D8577" w:themeColor="accent5"/>
          <w:right w:val="single" w:sz="8" w:space="0" w:color="0D8577" w:themeColor="accent5"/>
        </w:tcBorders>
      </w:tcPr>
    </w:tblStylePr>
    <w:tblStylePr w:type="band1Vert">
      <w:tblPr/>
      <w:tcPr>
        <w:tcBorders>
          <w:top w:val="single" w:sz="8" w:space="0" w:color="0D8577" w:themeColor="accent5"/>
          <w:left w:val="single" w:sz="8" w:space="0" w:color="0D8577" w:themeColor="accent5"/>
          <w:bottom w:val="single" w:sz="8" w:space="0" w:color="0D8577" w:themeColor="accent5"/>
          <w:right w:val="single" w:sz="8" w:space="0" w:color="0D8577" w:themeColor="accent5"/>
        </w:tcBorders>
        <w:shd w:val="clear" w:color="auto" w:fill="ADF7EE" w:themeFill="accent5" w:themeFillTint="3F"/>
      </w:tcPr>
    </w:tblStylePr>
    <w:tblStylePr w:type="band1Horz">
      <w:tblPr/>
      <w:tcPr>
        <w:tcBorders>
          <w:top w:val="single" w:sz="8" w:space="0" w:color="0D8577" w:themeColor="accent5"/>
          <w:left w:val="single" w:sz="8" w:space="0" w:color="0D8577" w:themeColor="accent5"/>
          <w:bottom w:val="single" w:sz="8" w:space="0" w:color="0D8577" w:themeColor="accent5"/>
          <w:right w:val="single" w:sz="8" w:space="0" w:color="0D8577" w:themeColor="accent5"/>
          <w:insideV w:val="single" w:sz="8" w:space="0" w:color="0D8577" w:themeColor="accent5"/>
        </w:tcBorders>
        <w:shd w:val="clear" w:color="auto" w:fill="ADF7EE" w:themeFill="accent5" w:themeFillTint="3F"/>
      </w:tcPr>
    </w:tblStylePr>
    <w:tblStylePr w:type="band2Horz">
      <w:tblPr/>
      <w:tcPr>
        <w:tcBorders>
          <w:top w:val="single" w:sz="8" w:space="0" w:color="0D8577" w:themeColor="accent5"/>
          <w:left w:val="single" w:sz="8" w:space="0" w:color="0D8577" w:themeColor="accent5"/>
          <w:bottom w:val="single" w:sz="8" w:space="0" w:color="0D8577" w:themeColor="accent5"/>
          <w:right w:val="single" w:sz="8" w:space="0" w:color="0D8577" w:themeColor="accent5"/>
          <w:insideV w:val="single" w:sz="8" w:space="0" w:color="0D8577" w:themeColor="accent5"/>
        </w:tcBorders>
      </w:tcPr>
    </w:tblStylePr>
  </w:style>
  <w:style w:type="table" w:styleId="LightGrid-Accent6">
    <w:name w:val="Light Grid Accent 6"/>
    <w:basedOn w:val="TableNormal"/>
    <w:uiPriority w:val="62"/>
    <w:semiHidden/>
    <w:unhideWhenUsed/>
    <w:locked/>
    <w:rsid w:val="008E4939"/>
    <w:pPr>
      <w:spacing w:after="0" w:line="240" w:lineRule="auto"/>
    </w:pPr>
    <w:tblPr>
      <w:tblStyleRowBandSize w:val="1"/>
      <w:tblStyleColBandSize w:val="1"/>
      <w:tblBorders>
        <w:top w:val="single" w:sz="8" w:space="0" w:color="46B8A9" w:themeColor="accent6"/>
        <w:left w:val="single" w:sz="8" w:space="0" w:color="46B8A9" w:themeColor="accent6"/>
        <w:bottom w:val="single" w:sz="8" w:space="0" w:color="46B8A9" w:themeColor="accent6"/>
        <w:right w:val="single" w:sz="8" w:space="0" w:color="46B8A9" w:themeColor="accent6"/>
        <w:insideH w:val="single" w:sz="8" w:space="0" w:color="46B8A9" w:themeColor="accent6"/>
        <w:insideV w:val="single" w:sz="8" w:space="0" w:color="46B8A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B8A9" w:themeColor="accent6"/>
          <w:left w:val="single" w:sz="8" w:space="0" w:color="46B8A9" w:themeColor="accent6"/>
          <w:bottom w:val="single" w:sz="18" w:space="0" w:color="46B8A9" w:themeColor="accent6"/>
          <w:right w:val="single" w:sz="8" w:space="0" w:color="46B8A9" w:themeColor="accent6"/>
          <w:insideH w:val="nil"/>
          <w:insideV w:val="single" w:sz="8" w:space="0" w:color="46B8A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B8A9" w:themeColor="accent6"/>
          <w:left w:val="single" w:sz="8" w:space="0" w:color="46B8A9" w:themeColor="accent6"/>
          <w:bottom w:val="single" w:sz="8" w:space="0" w:color="46B8A9" w:themeColor="accent6"/>
          <w:right w:val="single" w:sz="8" w:space="0" w:color="46B8A9" w:themeColor="accent6"/>
          <w:insideH w:val="nil"/>
          <w:insideV w:val="single" w:sz="8" w:space="0" w:color="46B8A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B8A9" w:themeColor="accent6"/>
          <w:left w:val="single" w:sz="8" w:space="0" w:color="46B8A9" w:themeColor="accent6"/>
          <w:bottom w:val="single" w:sz="8" w:space="0" w:color="46B8A9" w:themeColor="accent6"/>
          <w:right w:val="single" w:sz="8" w:space="0" w:color="46B8A9" w:themeColor="accent6"/>
        </w:tcBorders>
      </w:tcPr>
    </w:tblStylePr>
    <w:tblStylePr w:type="band1Vert">
      <w:tblPr/>
      <w:tcPr>
        <w:tcBorders>
          <w:top w:val="single" w:sz="8" w:space="0" w:color="46B8A9" w:themeColor="accent6"/>
          <w:left w:val="single" w:sz="8" w:space="0" w:color="46B8A9" w:themeColor="accent6"/>
          <w:bottom w:val="single" w:sz="8" w:space="0" w:color="46B8A9" w:themeColor="accent6"/>
          <w:right w:val="single" w:sz="8" w:space="0" w:color="46B8A9" w:themeColor="accent6"/>
        </w:tcBorders>
        <w:shd w:val="clear" w:color="auto" w:fill="D1EDE9" w:themeFill="accent6" w:themeFillTint="3F"/>
      </w:tcPr>
    </w:tblStylePr>
    <w:tblStylePr w:type="band1Horz">
      <w:tblPr/>
      <w:tcPr>
        <w:tcBorders>
          <w:top w:val="single" w:sz="8" w:space="0" w:color="46B8A9" w:themeColor="accent6"/>
          <w:left w:val="single" w:sz="8" w:space="0" w:color="46B8A9" w:themeColor="accent6"/>
          <w:bottom w:val="single" w:sz="8" w:space="0" w:color="46B8A9" w:themeColor="accent6"/>
          <w:right w:val="single" w:sz="8" w:space="0" w:color="46B8A9" w:themeColor="accent6"/>
          <w:insideV w:val="single" w:sz="8" w:space="0" w:color="46B8A9" w:themeColor="accent6"/>
        </w:tcBorders>
        <w:shd w:val="clear" w:color="auto" w:fill="D1EDE9" w:themeFill="accent6" w:themeFillTint="3F"/>
      </w:tcPr>
    </w:tblStylePr>
    <w:tblStylePr w:type="band2Horz">
      <w:tblPr/>
      <w:tcPr>
        <w:tcBorders>
          <w:top w:val="single" w:sz="8" w:space="0" w:color="46B8A9" w:themeColor="accent6"/>
          <w:left w:val="single" w:sz="8" w:space="0" w:color="46B8A9" w:themeColor="accent6"/>
          <w:bottom w:val="single" w:sz="8" w:space="0" w:color="46B8A9" w:themeColor="accent6"/>
          <w:right w:val="single" w:sz="8" w:space="0" w:color="46B8A9" w:themeColor="accent6"/>
          <w:insideV w:val="single" w:sz="8" w:space="0" w:color="46B8A9" w:themeColor="accent6"/>
        </w:tcBorders>
      </w:tcPr>
    </w:tblStylePr>
  </w:style>
  <w:style w:type="table" w:styleId="LightList">
    <w:name w:val="Light List"/>
    <w:basedOn w:val="TableNormal"/>
    <w:uiPriority w:val="61"/>
    <w:semiHidden/>
    <w:unhideWhenUsed/>
    <w:locked/>
    <w:rsid w:val="008E4939"/>
    <w:pPr>
      <w:spacing w:after="0" w:line="240" w:lineRule="auto"/>
    </w:pPr>
    <w:tblPr>
      <w:tblStyleRowBandSize w:val="1"/>
      <w:tblStyleColBandSize w:val="1"/>
      <w:tblBorders>
        <w:top w:val="single" w:sz="8" w:space="0" w:color="222222" w:themeColor="text1"/>
        <w:left w:val="single" w:sz="8" w:space="0" w:color="222222" w:themeColor="text1"/>
        <w:bottom w:val="single" w:sz="8" w:space="0" w:color="222222" w:themeColor="text1"/>
        <w:right w:val="single" w:sz="8" w:space="0" w:color="222222" w:themeColor="text1"/>
      </w:tblBorders>
    </w:tblPr>
    <w:tblStylePr w:type="firstRow">
      <w:pPr>
        <w:spacing w:before="0" w:after="0" w:line="240" w:lineRule="auto"/>
      </w:pPr>
      <w:rPr>
        <w:b/>
        <w:bCs/>
        <w:color w:val="FFFFFF" w:themeColor="background1"/>
      </w:rPr>
      <w:tblPr/>
      <w:tcPr>
        <w:shd w:val="clear" w:color="auto" w:fill="222222" w:themeFill="text1"/>
      </w:tcPr>
    </w:tblStylePr>
    <w:tblStylePr w:type="lastRow">
      <w:pPr>
        <w:spacing w:before="0" w:after="0" w:line="240" w:lineRule="auto"/>
      </w:pPr>
      <w:rPr>
        <w:b/>
        <w:bCs/>
      </w:rPr>
      <w:tblPr/>
      <w:tcPr>
        <w:tcBorders>
          <w:top w:val="double" w:sz="6" w:space="0" w:color="222222" w:themeColor="text1"/>
          <w:left w:val="single" w:sz="8" w:space="0" w:color="222222" w:themeColor="text1"/>
          <w:bottom w:val="single" w:sz="8" w:space="0" w:color="222222" w:themeColor="text1"/>
          <w:right w:val="single" w:sz="8" w:space="0" w:color="222222" w:themeColor="text1"/>
        </w:tcBorders>
      </w:tcPr>
    </w:tblStylePr>
    <w:tblStylePr w:type="firstCol">
      <w:rPr>
        <w:b/>
        <w:bCs/>
      </w:rPr>
    </w:tblStylePr>
    <w:tblStylePr w:type="lastCol">
      <w:rPr>
        <w:b/>
        <w:bCs/>
      </w:rPr>
    </w:tblStylePr>
    <w:tblStylePr w:type="band1Vert">
      <w:tblPr/>
      <w:tcPr>
        <w:tcBorders>
          <w:top w:val="single" w:sz="8" w:space="0" w:color="222222" w:themeColor="text1"/>
          <w:left w:val="single" w:sz="8" w:space="0" w:color="222222" w:themeColor="text1"/>
          <w:bottom w:val="single" w:sz="8" w:space="0" w:color="222222" w:themeColor="text1"/>
          <w:right w:val="single" w:sz="8" w:space="0" w:color="222222" w:themeColor="text1"/>
        </w:tcBorders>
      </w:tcPr>
    </w:tblStylePr>
    <w:tblStylePr w:type="band1Horz">
      <w:tblPr/>
      <w:tcPr>
        <w:tcBorders>
          <w:top w:val="single" w:sz="8" w:space="0" w:color="222222" w:themeColor="text1"/>
          <w:left w:val="single" w:sz="8" w:space="0" w:color="222222" w:themeColor="text1"/>
          <w:bottom w:val="single" w:sz="8" w:space="0" w:color="222222" w:themeColor="text1"/>
          <w:right w:val="single" w:sz="8" w:space="0" w:color="222222" w:themeColor="text1"/>
        </w:tcBorders>
      </w:tcPr>
    </w:tblStylePr>
  </w:style>
  <w:style w:type="table" w:styleId="LightList-Accent1">
    <w:name w:val="Light List Accent 1"/>
    <w:basedOn w:val="TableNormal"/>
    <w:uiPriority w:val="61"/>
    <w:semiHidden/>
    <w:unhideWhenUsed/>
    <w:locked/>
    <w:rsid w:val="008E4939"/>
    <w:pPr>
      <w:spacing w:after="0" w:line="240" w:lineRule="auto"/>
    </w:pPr>
    <w:tblPr>
      <w:tblStyleRowBandSize w:val="1"/>
      <w:tblStyleColBandSize w:val="1"/>
      <w:tblBorders>
        <w:top w:val="single" w:sz="8" w:space="0" w:color="CC6600" w:themeColor="accent1"/>
        <w:left w:val="single" w:sz="8" w:space="0" w:color="CC6600" w:themeColor="accent1"/>
        <w:bottom w:val="single" w:sz="8" w:space="0" w:color="CC6600" w:themeColor="accent1"/>
        <w:right w:val="single" w:sz="8" w:space="0" w:color="CC6600" w:themeColor="accent1"/>
      </w:tblBorders>
    </w:tblPr>
    <w:tblStylePr w:type="firstRow">
      <w:pPr>
        <w:spacing w:before="0" w:after="0" w:line="240" w:lineRule="auto"/>
      </w:pPr>
      <w:rPr>
        <w:b/>
        <w:bCs/>
        <w:color w:val="FFFFFF" w:themeColor="background1"/>
      </w:rPr>
      <w:tblPr/>
      <w:tcPr>
        <w:shd w:val="clear" w:color="auto" w:fill="CC6600" w:themeFill="accent1"/>
      </w:tcPr>
    </w:tblStylePr>
    <w:tblStylePr w:type="lastRow">
      <w:pPr>
        <w:spacing w:before="0" w:after="0" w:line="240" w:lineRule="auto"/>
      </w:pPr>
      <w:rPr>
        <w:b/>
        <w:bCs/>
      </w:rPr>
      <w:tblPr/>
      <w:tcPr>
        <w:tcBorders>
          <w:top w:val="double" w:sz="6" w:space="0" w:color="CC6600" w:themeColor="accent1"/>
          <w:left w:val="single" w:sz="8" w:space="0" w:color="CC6600" w:themeColor="accent1"/>
          <w:bottom w:val="single" w:sz="8" w:space="0" w:color="CC6600" w:themeColor="accent1"/>
          <w:right w:val="single" w:sz="8" w:space="0" w:color="CC6600" w:themeColor="accent1"/>
        </w:tcBorders>
      </w:tcPr>
    </w:tblStylePr>
    <w:tblStylePr w:type="firstCol">
      <w:rPr>
        <w:b/>
        <w:bCs/>
      </w:rPr>
    </w:tblStylePr>
    <w:tblStylePr w:type="lastCol">
      <w:rPr>
        <w:b/>
        <w:bCs/>
      </w:rPr>
    </w:tblStylePr>
    <w:tblStylePr w:type="band1Vert">
      <w:tblPr/>
      <w:tcPr>
        <w:tcBorders>
          <w:top w:val="single" w:sz="8" w:space="0" w:color="CC6600" w:themeColor="accent1"/>
          <w:left w:val="single" w:sz="8" w:space="0" w:color="CC6600" w:themeColor="accent1"/>
          <w:bottom w:val="single" w:sz="8" w:space="0" w:color="CC6600" w:themeColor="accent1"/>
          <w:right w:val="single" w:sz="8" w:space="0" w:color="CC6600" w:themeColor="accent1"/>
        </w:tcBorders>
      </w:tcPr>
    </w:tblStylePr>
    <w:tblStylePr w:type="band1Horz">
      <w:tblPr/>
      <w:tcPr>
        <w:tcBorders>
          <w:top w:val="single" w:sz="8" w:space="0" w:color="CC6600" w:themeColor="accent1"/>
          <w:left w:val="single" w:sz="8" w:space="0" w:color="CC6600" w:themeColor="accent1"/>
          <w:bottom w:val="single" w:sz="8" w:space="0" w:color="CC6600" w:themeColor="accent1"/>
          <w:right w:val="single" w:sz="8" w:space="0" w:color="CC6600" w:themeColor="accent1"/>
        </w:tcBorders>
      </w:tcPr>
    </w:tblStylePr>
  </w:style>
  <w:style w:type="table" w:styleId="LightList-Accent2">
    <w:name w:val="Light List Accent 2"/>
    <w:basedOn w:val="TableNormal"/>
    <w:uiPriority w:val="61"/>
    <w:semiHidden/>
    <w:unhideWhenUsed/>
    <w:locked/>
    <w:rsid w:val="008E4939"/>
    <w:pPr>
      <w:spacing w:after="0" w:line="240" w:lineRule="auto"/>
    </w:pPr>
    <w:tblPr>
      <w:tblStyleRowBandSize w:val="1"/>
      <w:tblStyleColBandSize w:val="1"/>
      <w:tblBorders>
        <w:top w:val="single" w:sz="8" w:space="0" w:color="FCE2CC" w:themeColor="accent2"/>
        <w:left w:val="single" w:sz="8" w:space="0" w:color="FCE2CC" w:themeColor="accent2"/>
        <w:bottom w:val="single" w:sz="8" w:space="0" w:color="FCE2CC" w:themeColor="accent2"/>
        <w:right w:val="single" w:sz="8" w:space="0" w:color="FCE2CC" w:themeColor="accent2"/>
      </w:tblBorders>
    </w:tblPr>
    <w:tblStylePr w:type="firstRow">
      <w:pPr>
        <w:spacing w:before="0" w:after="0" w:line="240" w:lineRule="auto"/>
      </w:pPr>
      <w:rPr>
        <w:b/>
        <w:bCs/>
        <w:color w:val="FFFFFF" w:themeColor="background1"/>
      </w:rPr>
      <w:tblPr/>
      <w:tcPr>
        <w:shd w:val="clear" w:color="auto" w:fill="FCE2CC" w:themeFill="accent2"/>
      </w:tcPr>
    </w:tblStylePr>
    <w:tblStylePr w:type="lastRow">
      <w:pPr>
        <w:spacing w:before="0" w:after="0" w:line="240" w:lineRule="auto"/>
      </w:pPr>
      <w:rPr>
        <w:b/>
        <w:bCs/>
      </w:rPr>
      <w:tblPr/>
      <w:tcPr>
        <w:tcBorders>
          <w:top w:val="double" w:sz="6" w:space="0" w:color="FCE2CC" w:themeColor="accent2"/>
          <w:left w:val="single" w:sz="8" w:space="0" w:color="FCE2CC" w:themeColor="accent2"/>
          <w:bottom w:val="single" w:sz="8" w:space="0" w:color="FCE2CC" w:themeColor="accent2"/>
          <w:right w:val="single" w:sz="8" w:space="0" w:color="FCE2CC" w:themeColor="accent2"/>
        </w:tcBorders>
      </w:tcPr>
    </w:tblStylePr>
    <w:tblStylePr w:type="firstCol">
      <w:rPr>
        <w:b/>
        <w:bCs/>
      </w:rPr>
    </w:tblStylePr>
    <w:tblStylePr w:type="lastCol">
      <w:rPr>
        <w:b/>
        <w:bCs/>
      </w:rPr>
    </w:tblStylePr>
    <w:tblStylePr w:type="band1Vert">
      <w:tblPr/>
      <w:tcPr>
        <w:tcBorders>
          <w:top w:val="single" w:sz="8" w:space="0" w:color="FCE2CC" w:themeColor="accent2"/>
          <w:left w:val="single" w:sz="8" w:space="0" w:color="FCE2CC" w:themeColor="accent2"/>
          <w:bottom w:val="single" w:sz="8" w:space="0" w:color="FCE2CC" w:themeColor="accent2"/>
          <w:right w:val="single" w:sz="8" w:space="0" w:color="FCE2CC" w:themeColor="accent2"/>
        </w:tcBorders>
      </w:tcPr>
    </w:tblStylePr>
    <w:tblStylePr w:type="band1Horz">
      <w:tblPr/>
      <w:tcPr>
        <w:tcBorders>
          <w:top w:val="single" w:sz="8" w:space="0" w:color="FCE2CC" w:themeColor="accent2"/>
          <w:left w:val="single" w:sz="8" w:space="0" w:color="FCE2CC" w:themeColor="accent2"/>
          <w:bottom w:val="single" w:sz="8" w:space="0" w:color="FCE2CC" w:themeColor="accent2"/>
          <w:right w:val="single" w:sz="8" w:space="0" w:color="FCE2CC" w:themeColor="accent2"/>
        </w:tcBorders>
      </w:tcPr>
    </w:tblStylePr>
  </w:style>
  <w:style w:type="table" w:styleId="LightList-Accent3">
    <w:name w:val="Light List Accent 3"/>
    <w:basedOn w:val="TableNormal"/>
    <w:uiPriority w:val="61"/>
    <w:semiHidden/>
    <w:unhideWhenUsed/>
    <w:locked/>
    <w:rsid w:val="008E4939"/>
    <w:pPr>
      <w:spacing w:after="0" w:line="240" w:lineRule="auto"/>
    </w:pPr>
    <w:tblPr>
      <w:tblStyleRowBandSize w:val="1"/>
      <w:tblStyleColBandSize w:val="1"/>
      <w:tblBorders>
        <w:top w:val="single" w:sz="8" w:space="0" w:color="0D3E67" w:themeColor="accent3"/>
        <w:left w:val="single" w:sz="8" w:space="0" w:color="0D3E67" w:themeColor="accent3"/>
        <w:bottom w:val="single" w:sz="8" w:space="0" w:color="0D3E67" w:themeColor="accent3"/>
        <w:right w:val="single" w:sz="8" w:space="0" w:color="0D3E67" w:themeColor="accent3"/>
      </w:tblBorders>
    </w:tblPr>
    <w:tblStylePr w:type="firstRow">
      <w:pPr>
        <w:spacing w:before="0" w:after="0" w:line="240" w:lineRule="auto"/>
      </w:pPr>
      <w:rPr>
        <w:b/>
        <w:bCs/>
        <w:color w:val="FFFFFF" w:themeColor="background1"/>
      </w:rPr>
      <w:tblPr/>
      <w:tcPr>
        <w:shd w:val="clear" w:color="auto" w:fill="0D3E67" w:themeFill="accent3"/>
      </w:tcPr>
    </w:tblStylePr>
    <w:tblStylePr w:type="lastRow">
      <w:pPr>
        <w:spacing w:before="0" w:after="0" w:line="240" w:lineRule="auto"/>
      </w:pPr>
      <w:rPr>
        <w:b/>
        <w:bCs/>
      </w:rPr>
      <w:tblPr/>
      <w:tcPr>
        <w:tcBorders>
          <w:top w:val="double" w:sz="6" w:space="0" w:color="0D3E67" w:themeColor="accent3"/>
          <w:left w:val="single" w:sz="8" w:space="0" w:color="0D3E67" w:themeColor="accent3"/>
          <w:bottom w:val="single" w:sz="8" w:space="0" w:color="0D3E67" w:themeColor="accent3"/>
          <w:right w:val="single" w:sz="8" w:space="0" w:color="0D3E67" w:themeColor="accent3"/>
        </w:tcBorders>
      </w:tcPr>
    </w:tblStylePr>
    <w:tblStylePr w:type="firstCol">
      <w:rPr>
        <w:b/>
        <w:bCs/>
      </w:rPr>
    </w:tblStylePr>
    <w:tblStylePr w:type="lastCol">
      <w:rPr>
        <w:b/>
        <w:bCs/>
      </w:rPr>
    </w:tblStylePr>
    <w:tblStylePr w:type="band1Vert">
      <w:tblPr/>
      <w:tcPr>
        <w:tcBorders>
          <w:top w:val="single" w:sz="8" w:space="0" w:color="0D3E67" w:themeColor="accent3"/>
          <w:left w:val="single" w:sz="8" w:space="0" w:color="0D3E67" w:themeColor="accent3"/>
          <w:bottom w:val="single" w:sz="8" w:space="0" w:color="0D3E67" w:themeColor="accent3"/>
          <w:right w:val="single" w:sz="8" w:space="0" w:color="0D3E67" w:themeColor="accent3"/>
        </w:tcBorders>
      </w:tcPr>
    </w:tblStylePr>
    <w:tblStylePr w:type="band1Horz">
      <w:tblPr/>
      <w:tcPr>
        <w:tcBorders>
          <w:top w:val="single" w:sz="8" w:space="0" w:color="0D3E67" w:themeColor="accent3"/>
          <w:left w:val="single" w:sz="8" w:space="0" w:color="0D3E67" w:themeColor="accent3"/>
          <w:bottom w:val="single" w:sz="8" w:space="0" w:color="0D3E67" w:themeColor="accent3"/>
          <w:right w:val="single" w:sz="8" w:space="0" w:color="0D3E67" w:themeColor="accent3"/>
        </w:tcBorders>
      </w:tcPr>
    </w:tblStylePr>
  </w:style>
  <w:style w:type="table" w:styleId="LightList-Accent4">
    <w:name w:val="Light List Accent 4"/>
    <w:basedOn w:val="TableNormal"/>
    <w:uiPriority w:val="61"/>
    <w:semiHidden/>
    <w:unhideWhenUsed/>
    <w:locked/>
    <w:rsid w:val="008E4939"/>
    <w:pPr>
      <w:spacing w:after="0" w:line="240" w:lineRule="auto"/>
    </w:pPr>
    <w:tblPr>
      <w:tblStyleRowBandSize w:val="1"/>
      <w:tblStyleColBandSize w:val="1"/>
      <w:tblBorders>
        <w:top w:val="single" w:sz="8" w:space="0" w:color="7D96B5" w:themeColor="accent4"/>
        <w:left w:val="single" w:sz="8" w:space="0" w:color="7D96B5" w:themeColor="accent4"/>
        <w:bottom w:val="single" w:sz="8" w:space="0" w:color="7D96B5" w:themeColor="accent4"/>
        <w:right w:val="single" w:sz="8" w:space="0" w:color="7D96B5" w:themeColor="accent4"/>
      </w:tblBorders>
    </w:tblPr>
    <w:tblStylePr w:type="firstRow">
      <w:pPr>
        <w:spacing w:before="0" w:after="0" w:line="240" w:lineRule="auto"/>
      </w:pPr>
      <w:rPr>
        <w:b/>
        <w:bCs/>
        <w:color w:val="FFFFFF" w:themeColor="background1"/>
      </w:rPr>
      <w:tblPr/>
      <w:tcPr>
        <w:shd w:val="clear" w:color="auto" w:fill="7D96B5" w:themeFill="accent4"/>
      </w:tcPr>
    </w:tblStylePr>
    <w:tblStylePr w:type="lastRow">
      <w:pPr>
        <w:spacing w:before="0" w:after="0" w:line="240" w:lineRule="auto"/>
      </w:pPr>
      <w:rPr>
        <w:b/>
        <w:bCs/>
      </w:rPr>
      <w:tblPr/>
      <w:tcPr>
        <w:tcBorders>
          <w:top w:val="double" w:sz="6" w:space="0" w:color="7D96B5" w:themeColor="accent4"/>
          <w:left w:val="single" w:sz="8" w:space="0" w:color="7D96B5" w:themeColor="accent4"/>
          <w:bottom w:val="single" w:sz="8" w:space="0" w:color="7D96B5" w:themeColor="accent4"/>
          <w:right w:val="single" w:sz="8" w:space="0" w:color="7D96B5" w:themeColor="accent4"/>
        </w:tcBorders>
      </w:tcPr>
    </w:tblStylePr>
    <w:tblStylePr w:type="firstCol">
      <w:rPr>
        <w:b/>
        <w:bCs/>
      </w:rPr>
    </w:tblStylePr>
    <w:tblStylePr w:type="lastCol">
      <w:rPr>
        <w:b/>
        <w:bCs/>
      </w:rPr>
    </w:tblStylePr>
    <w:tblStylePr w:type="band1Vert">
      <w:tblPr/>
      <w:tcPr>
        <w:tcBorders>
          <w:top w:val="single" w:sz="8" w:space="0" w:color="7D96B5" w:themeColor="accent4"/>
          <w:left w:val="single" w:sz="8" w:space="0" w:color="7D96B5" w:themeColor="accent4"/>
          <w:bottom w:val="single" w:sz="8" w:space="0" w:color="7D96B5" w:themeColor="accent4"/>
          <w:right w:val="single" w:sz="8" w:space="0" w:color="7D96B5" w:themeColor="accent4"/>
        </w:tcBorders>
      </w:tcPr>
    </w:tblStylePr>
    <w:tblStylePr w:type="band1Horz">
      <w:tblPr/>
      <w:tcPr>
        <w:tcBorders>
          <w:top w:val="single" w:sz="8" w:space="0" w:color="7D96B5" w:themeColor="accent4"/>
          <w:left w:val="single" w:sz="8" w:space="0" w:color="7D96B5" w:themeColor="accent4"/>
          <w:bottom w:val="single" w:sz="8" w:space="0" w:color="7D96B5" w:themeColor="accent4"/>
          <w:right w:val="single" w:sz="8" w:space="0" w:color="7D96B5" w:themeColor="accent4"/>
        </w:tcBorders>
      </w:tcPr>
    </w:tblStylePr>
  </w:style>
  <w:style w:type="table" w:styleId="LightList-Accent5">
    <w:name w:val="Light List Accent 5"/>
    <w:basedOn w:val="TableNormal"/>
    <w:uiPriority w:val="61"/>
    <w:semiHidden/>
    <w:unhideWhenUsed/>
    <w:locked/>
    <w:rsid w:val="008E4939"/>
    <w:pPr>
      <w:spacing w:after="0" w:line="240" w:lineRule="auto"/>
    </w:pPr>
    <w:tblPr>
      <w:tblStyleRowBandSize w:val="1"/>
      <w:tblStyleColBandSize w:val="1"/>
      <w:tblBorders>
        <w:top w:val="single" w:sz="8" w:space="0" w:color="0D8577" w:themeColor="accent5"/>
        <w:left w:val="single" w:sz="8" w:space="0" w:color="0D8577" w:themeColor="accent5"/>
        <w:bottom w:val="single" w:sz="8" w:space="0" w:color="0D8577" w:themeColor="accent5"/>
        <w:right w:val="single" w:sz="8" w:space="0" w:color="0D8577" w:themeColor="accent5"/>
      </w:tblBorders>
    </w:tblPr>
    <w:tblStylePr w:type="firstRow">
      <w:pPr>
        <w:spacing w:before="0" w:after="0" w:line="240" w:lineRule="auto"/>
      </w:pPr>
      <w:rPr>
        <w:b/>
        <w:bCs/>
        <w:color w:val="FFFFFF" w:themeColor="background1"/>
      </w:rPr>
      <w:tblPr/>
      <w:tcPr>
        <w:shd w:val="clear" w:color="auto" w:fill="0D8577" w:themeFill="accent5"/>
      </w:tcPr>
    </w:tblStylePr>
    <w:tblStylePr w:type="lastRow">
      <w:pPr>
        <w:spacing w:before="0" w:after="0" w:line="240" w:lineRule="auto"/>
      </w:pPr>
      <w:rPr>
        <w:b/>
        <w:bCs/>
      </w:rPr>
      <w:tblPr/>
      <w:tcPr>
        <w:tcBorders>
          <w:top w:val="double" w:sz="6" w:space="0" w:color="0D8577" w:themeColor="accent5"/>
          <w:left w:val="single" w:sz="8" w:space="0" w:color="0D8577" w:themeColor="accent5"/>
          <w:bottom w:val="single" w:sz="8" w:space="0" w:color="0D8577" w:themeColor="accent5"/>
          <w:right w:val="single" w:sz="8" w:space="0" w:color="0D8577" w:themeColor="accent5"/>
        </w:tcBorders>
      </w:tcPr>
    </w:tblStylePr>
    <w:tblStylePr w:type="firstCol">
      <w:rPr>
        <w:b/>
        <w:bCs/>
      </w:rPr>
    </w:tblStylePr>
    <w:tblStylePr w:type="lastCol">
      <w:rPr>
        <w:b/>
        <w:bCs/>
      </w:rPr>
    </w:tblStylePr>
    <w:tblStylePr w:type="band1Vert">
      <w:tblPr/>
      <w:tcPr>
        <w:tcBorders>
          <w:top w:val="single" w:sz="8" w:space="0" w:color="0D8577" w:themeColor="accent5"/>
          <w:left w:val="single" w:sz="8" w:space="0" w:color="0D8577" w:themeColor="accent5"/>
          <w:bottom w:val="single" w:sz="8" w:space="0" w:color="0D8577" w:themeColor="accent5"/>
          <w:right w:val="single" w:sz="8" w:space="0" w:color="0D8577" w:themeColor="accent5"/>
        </w:tcBorders>
      </w:tcPr>
    </w:tblStylePr>
    <w:tblStylePr w:type="band1Horz">
      <w:tblPr/>
      <w:tcPr>
        <w:tcBorders>
          <w:top w:val="single" w:sz="8" w:space="0" w:color="0D8577" w:themeColor="accent5"/>
          <w:left w:val="single" w:sz="8" w:space="0" w:color="0D8577" w:themeColor="accent5"/>
          <w:bottom w:val="single" w:sz="8" w:space="0" w:color="0D8577" w:themeColor="accent5"/>
          <w:right w:val="single" w:sz="8" w:space="0" w:color="0D8577" w:themeColor="accent5"/>
        </w:tcBorders>
      </w:tcPr>
    </w:tblStylePr>
  </w:style>
  <w:style w:type="table" w:styleId="LightList-Accent6">
    <w:name w:val="Light List Accent 6"/>
    <w:basedOn w:val="TableNormal"/>
    <w:uiPriority w:val="61"/>
    <w:semiHidden/>
    <w:unhideWhenUsed/>
    <w:locked/>
    <w:rsid w:val="008E4939"/>
    <w:pPr>
      <w:spacing w:after="0" w:line="240" w:lineRule="auto"/>
    </w:pPr>
    <w:tblPr>
      <w:tblStyleRowBandSize w:val="1"/>
      <w:tblStyleColBandSize w:val="1"/>
      <w:tblBorders>
        <w:top w:val="single" w:sz="8" w:space="0" w:color="46B8A9" w:themeColor="accent6"/>
        <w:left w:val="single" w:sz="8" w:space="0" w:color="46B8A9" w:themeColor="accent6"/>
        <w:bottom w:val="single" w:sz="8" w:space="0" w:color="46B8A9" w:themeColor="accent6"/>
        <w:right w:val="single" w:sz="8" w:space="0" w:color="46B8A9" w:themeColor="accent6"/>
      </w:tblBorders>
    </w:tblPr>
    <w:tblStylePr w:type="firstRow">
      <w:pPr>
        <w:spacing w:before="0" w:after="0" w:line="240" w:lineRule="auto"/>
      </w:pPr>
      <w:rPr>
        <w:b/>
        <w:bCs/>
        <w:color w:val="FFFFFF" w:themeColor="background1"/>
      </w:rPr>
      <w:tblPr/>
      <w:tcPr>
        <w:shd w:val="clear" w:color="auto" w:fill="46B8A9" w:themeFill="accent6"/>
      </w:tcPr>
    </w:tblStylePr>
    <w:tblStylePr w:type="lastRow">
      <w:pPr>
        <w:spacing w:before="0" w:after="0" w:line="240" w:lineRule="auto"/>
      </w:pPr>
      <w:rPr>
        <w:b/>
        <w:bCs/>
      </w:rPr>
      <w:tblPr/>
      <w:tcPr>
        <w:tcBorders>
          <w:top w:val="double" w:sz="6" w:space="0" w:color="46B8A9" w:themeColor="accent6"/>
          <w:left w:val="single" w:sz="8" w:space="0" w:color="46B8A9" w:themeColor="accent6"/>
          <w:bottom w:val="single" w:sz="8" w:space="0" w:color="46B8A9" w:themeColor="accent6"/>
          <w:right w:val="single" w:sz="8" w:space="0" w:color="46B8A9" w:themeColor="accent6"/>
        </w:tcBorders>
      </w:tcPr>
    </w:tblStylePr>
    <w:tblStylePr w:type="firstCol">
      <w:rPr>
        <w:b/>
        <w:bCs/>
      </w:rPr>
    </w:tblStylePr>
    <w:tblStylePr w:type="lastCol">
      <w:rPr>
        <w:b/>
        <w:bCs/>
      </w:rPr>
    </w:tblStylePr>
    <w:tblStylePr w:type="band1Vert">
      <w:tblPr/>
      <w:tcPr>
        <w:tcBorders>
          <w:top w:val="single" w:sz="8" w:space="0" w:color="46B8A9" w:themeColor="accent6"/>
          <w:left w:val="single" w:sz="8" w:space="0" w:color="46B8A9" w:themeColor="accent6"/>
          <w:bottom w:val="single" w:sz="8" w:space="0" w:color="46B8A9" w:themeColor="accent6"/>
          <w:right w:val="single" w:sz="8" w:space="0" w:color="46B8A9" w:themeColor="accent6"/>
        </w:tcBorders>
      </w:tcPr>
    </w:tblStylePr>
    <w:tblStylePr w:type="band1Horz">
      <w:tblPr/>
      <w:tcPr>
        <w:tcBorders>
          <w:top w:val="single" w:sz="8" w:space="0" w:color="46B8A9" w:themeColor="accent6"/>
          <w:left w:val="single" w:sz="8" w:space="0" w:color="46B8A9" w:themeColor="accent6"/>
          <w:bottom w:val="single" w:sz="8" w:space="0" w:color="46B8A9" w:themeColor="accent6"/>
          <w:right w:val="single" w:sz="8" w:space="0" w:color="46B8A9" w:themeColor="accent6"/>
        </w:tcBorders>
      </w:tcPr>
    </w:tblStylePr>
  </w:style>
  <w:style w:type="table" w:styleId="LightShading">
    <w:name w:val="Light Shading"/>
    <w:basedOn w:val="TableNormal"/>
    <w:uiPriority w:val="60"/>
    <w:semiHidden/>
    <w:unhideWhenUsed/>
    <w:locked/>
    <w:rsid w:val="008E4939"/>
    <w:pPr>
      <w:spacing w:after="0" w:line="240" w:lineRule="auto"/>
    </w:pPr>
    <w:rPr>
      <w:color w:val="191919" w:themeColor="text1" w:themeShade="BF"/>
    </w:rPr>
    <w:tblPr>
      <w:tblStyleRowBandSize w:val="1"/>
      <w:tblStyleColBandSize w:val="1"/>
      <w:tblBorders>
        <w:top w:val="single" w:sz="8" w:space="0" w:color="222222" w:themeColor="text1"/>
        <w:bottom w:val="single" w:sz="8" w:space="0" w:color="222222" w:themeColor="text1"/>
      </w:tblBorders>
    </w:tblPr>
    <w:tblStylePr w:type="fir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la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8" w:themeFill="text1" w:themeFillTint="3F"/>
      </w:tcPr>
    </w:tblStylePr>
    <w:tblStylePr w:type="band1Horz">
      <w:tblPr/>
      <w:tcPr>
        <w:tcBorders>
          <w:left w:val="nil"/>
          <w:right w:val="nil"/>
          <w:insideH w:val="nil"/>
          <w:insideV w:val="nil"/>
        </w:tcBorders>
        <w:shd w:val="clear" w:color="auto" w:fill="C8C8C8" w:themeFill="text1" w:themeFillTint="3F"/>
      </w:tcPr>
    </w:tblStylePr>
  </w:style>
  <w:style w:type="table" w:styleId="LightShading-Accent1">
    <w:name w:val="Light Shading Accent 1"/>
    <w:basedOn w:val="TableNormal"/>
    <w:uiPriority w:val="60"/>
    <w:semiHidden/>
    <w:unhideWhenUsed/>
    <w:locked/>
    <w:rsid w:val="008E4939"/>
    <w:pPr>
      <w:spacing w:after="0" w:line="240" w:lineRule="auto"/>
    </w:pPr>
    <w:rPr>
      <w:color w:val="984C00" w:themeColor="accent1" w:themeShade="BF"/>
    </w:rPr>
    <w:tblPr>
      <w:tblStyleRowBandSize w:val="1"/>
      <w:tblStyleColBandSize w:val="1"/>
      <w:tblBorders>
        <w:top w:val="single" w:sz="8" w:space="0" w:color="CC6600" w:themeColor="accent1"/>
        <w:bottom w:val="single" w:sz="8" w:space="0" w:color="CC6600" w:themeColor="accent1"/>
      </w:tblBorders>
    </w:tblPr>
    <w:tblStylePr w:type="firstRow">
      <w:pPr>
        <w:spacing w:before="0" w:after="0" w:line="240" w:lineRule="auto"/>
      </w:pPr>
      <w:rPr>
        <w:b/>
        <w:bCs/>
      </w:rPr>
      <w:tblPr/>
      <w:tcPr>
        <w:tcBorders>
          <w:top w:val="single" w:sz="8" w:space="0" w:color="CC6600" w:themeColor="accent1"/>
          <w:left w:val="nil"/>
          <w:bottom w:val="single" w:sz="8" w:space="0" w:color="CC6600" w:themeColor="accent1"/>
          <w:right w:val="nil"/>
          <w:insideH w:val="nil"/>
          <w:insideV w:val="nil"/>
        </w:tcBorders>
      </w:tcPr>
    </w:tblStylePr>
    <w:tblStylePr w:type="lastRow">
      <w:pPr>
        <w:spacing w:before="0" w:after="0" w:line="240" w:lineRule="auto"/>
      </w:pPr>
      <w:rPr>
        <w:b/>
        <w:bCs/>
      </w:rPr>
      <w:tblPr/>
      <w:tcPr>
        <w:tcBorders>
          <w:top w:val="single" w:sz="8" w:space="0" w:color="CC6600" w:themeColor="accent1"/>
          <w:left w:val="nil"/>
          <w:bottom w:val="single" w:sz="8" w:space="0" w:color="CC6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B3" w:themeFill="accent1" w:themeFillTint="3F"/>
      </w:tcPr>
    </w:tblStylePr>
    <w:tblStylePr w:type="band1Horz">
      <w:tblPr/>
      <w:tcPr>
        <w:tcBorders>
          <w:left w:val="nil"/>
          <w:right w:val="nil"/>
          <w:insideH w:val="nil"/>
          <w:insideV w:val="nil"/>
        </w:tcBorders>
        <w:shd w:val="clear" w:color="auto" w:fill="FFD9B3" w:themeFill="accent1" w:themeFillTint="3F"/>
      </w:tcPr>
    </w:tblStylePr>
  </w:style>
  <w:style w:type="table" w:styleId="LightShading-Accent2">
    <w:name w:val="Light Shading Accent 2"/>
    <w:basedOn w:val="TableNormal"/>
    <w:uiPriority w:val="60"/>
    <w:semiHidden/>
    <w:unhideWhenUsed/>
    <w:locked/>
    <w:rsid w:val="008E4939"/>
    <w:pPr>
      <w:spacing w:after="0" w:line="240" w:lineRule="auto"/>
    </w:pPr>
    <w:rPr>
      <w:color w:val="F5A35F" w:themeColor="accent2" w:themeShade="BF"/>
    </w:rPr>
    <w:tblPr>
      <w:tblStyleRowBandSize w:val="1"/>
      <w:tblStyleColBandSize w:val="1"/>
      <w:tblBorders>
        <w:top w:val="single" w:sz="8" w:space="0" w:color="FCE2CC" w:themeColor="accent2"/>
        <w:bottom w:val="single" w:sz="8" w:space="0" w:color="FCE2CC" w:themeColor="accent2"/>
      </w:tblBorders>
    </w:tblPr>
    <w:tblStylePr w:type="firstRow">
      <w:pPr>
        <w:spacing w:before="0" w:after="0" w:line="240" w:lineRule="auto"/>
      </w:pPr>
      <w:rPr>
        <w:b/>
        <w:bCs/>
      </w:rPr>
      <w:tblPr/>
      <w:tcPr>
        <w:tcBorders>
          <w:top w:val="single" w:sz="8" w:space="0" w:color="FCE2CC" w:themeColor="accent2"/>
          <w:left w:val="nil"/>
          <w:bottom w:val="single" w:sz="8" w:space="0" w:color="FCE2CC" w:themeColor="accent2"/>
          <w:right w:val="nil"/>
          <w:insideH w:val="nil"/>
          <w:insideV w:val="nil"/>
        </w:tcBorders>
      </w:tcPr>
    </w:tblStylePr>
    <w:tblStylePr w:type="lastRow">
      <w:pPr>
        <w:spacing w:before="0" w:after="0" w:line="240" w:lineRule="auto"/>
      </w:pPr>
      <w:rPr>
        <w:b/>
        <w:bCs/>
      </w:rPr>
      <w:tblPr/>
      <w:tcPr>
        <w:tcBorders>
          <w:top w:val="single" w:sz="8" w:space="0" w:color="FCE2CC" w:themeColor="accent2"/>
          <w:left w:val="nil"/>
          <w:bottom w:val="single" w:sz="8" w:space="0" w:color="FCE2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7F2" w:themeFill="accent2" w:themeFillTint="3F"/>
      </w:tcPr>
    </w:tblStylePr>
    <w:tblStylePr w:type="band1Horz">
      <w:tblPr/>
      <w:tcPr>
        <w:tcBorders>
          <w:left w:val="nil"/>
          <w:right w:val="nil"/>
          <w:insideH w:val="nil"/>
          <w:insideV w:val="nil"/>
        </w:tcBorders>
        <w:shd w:val="clear" w:color="auto" w:fill="FEF7F2" w:themeFill="accent2" w:themeFillTint="3F"/>
      </w:tcPr>
    </w:tblStylePr>
  </w:style>
  <w:style w:type="table" w:styleId="LightShading-Accent3">
    <w:name w:val="Light Shading Accent 3"/>
    <w:basedOn w:val="TableNormal"/>
    <w:uiPriority w:val="60"/>
    <w:semiHidden/>
    <w:unhideWhenUsed/>
    <w:locked/>
    <w:rsid w:val="008E4939"/>
    <w:pPr>
      <w:spacing w:after="0" w:line="240" w:lineRule="auto"/>
    </w:pPr>
    <w:rPr>
      <w:color w:val="092E4C" w:themeColor="accent3" w:themeShade="BF"/>
    </w:rPr>
    <w:tblPr>
      <w:tblStyleRowBandSize w:val="1"/>
      <w:tblStyleColBandSize w:val="1"/>
      <w:tblBorders>
        <w:top w:val="single" w:sz="8" w:space="0" w:color="0D3E67" w:themeColor="accent3"/>
        <w:bottom w:val="single" w:sz="8" w:space="0" w:color="0D3E67" w:themeColor="accent3"/>
      </w:tblBorders>
    </w:tblPr>
    <w:tblStylePr w:type="firstRow">
      <w:pPr>
        <w:spacing w:before="0" w:after="0" w:line="240" w:lineRule="auto"/>
      </w:pPr>
      <w:rPr>
        <w:b/>
        <w:bCs/>
      </w:rPr>
      <w:tblPr/>
      <w:tcPr>
        <w:tcBorders>
          <w:top w:val="single" w:sz="8" w:space="0" w:color="0D3E67" w:themeColor="accent3"/>
          <w:left w:val="nil"/>
          <w:bottom w:val="single" w:sz="8" w:space="0" w:color="0D3E67" w:themeColor="accent3"/>
          <w:right w:val="nil"/>
          <w:insideH w:val="nil"/>
          <w:insideV w:val="nil"/>
        </w:tcBorders>
      </w:tcPr>
    </w:tblStylePr>
    <w:tblStylePr w:type="lastRow">
      <w:pPr>
        <w:spacing w:before="0" w:after="0" w:line="240" w:lineRule="auto"/>
      </w:pPr>
      <w:rPr>
        <w:b/>
        <w:bCs/>
      </w:rPr>
      <w:tblPr/>
      <w:tcPr>
        <w:tcBorders>
          <w:top w:val="single" w:sz="8" w:space="0" w:color="0D3E67" w:themeColor="accent3"/>
          <w:left w:val="nil"/>
          <w:bottom w:val="single" w:sz="8" w:space="0" w:color="0D3E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1F4" w:themeFill="accent3" w:themeFillTint="3F"/>
      </w:tcPr>
    </w:tblStylePr>
    <w:tblStylePr w:type="band1Horz">
      <w:tblPr/>
      <w:tcPr>
        <w:tcBorders>
          <w:left w:val="nil"/>
          <w:right w:val="nil"/>
          <w:insideH w:val="nil"/>
          <w:insideV w:val="nil"/>
        </w:tcBorders>
        <w:shd w:val="clear" w:color="auto" w:fill="A8D1F4" w:themeFill="accent3" w:themeFillTint="3F"/>
      </w:tcPr>
    </w:tblStylePr>
  </w:style>
  <w:style w:type="table" w:styleId="LightShading-Accent4">
    <w:name w:val="Light Shading Accent 4"/>
    <w:basedOn w:val="TableNormal"/>
    <w:uiPriority w:val="60"/>
    <w:semiHidden/>
    <w:unhideWhenUsed/>
    <w:locked/>
    <w:rsid w:val="008E4939"/>
    <w:pPr>
      <w:spacing w:after="0" w:line="240" w:lineRule="auto"/>
    </w:pPr>
    <w:rPr>
      <w:color w:val="536E91" w:themeColor="accent4" w:themeShade="BF"/>
    </w:rPr>
    <w:tblPr>
      <w:tblStyleRowBandSize w:val="1"/>
      <w:tblStyleColBandSize w:val="1"/>
      <w:tblBorders>
        <w:top w:val="single" w:sz="8" w:space="0" w:color="7D96B5" w:themeColor="accent4"/>
        <w:bottom w:val="single" w:sz="8" w:space="0" w:color="7D96B5" w:themeColor="accent4"/>
      </w:tblBorders>
    </w:tblPr>
    <w:tblStylePr w:type="firstRow">
      <w:pPr>
        <w:spacing w:before="0" w:after="0" w:line="240" w:lineRule="auto"/>
      </w:pPr>
      <w:rPr>
        <w:b/>
        <w:bCs/>
      </w:rPr>
      <w:tblPr/>
      <w:tcPr>
        <w:tcBorders>
          <w:top w:val="single" w:sz="8" w:space="0" w:color="7D96B5" w:themeColor="accent4"/>
          <w:left w:val="nil"/>
          <w:bottom w:val="single" w:sz="8" w:space="0" w:color="7D96B5" w:themeColor="accent4"/>
          <w:right w:val="nil"/>
          <w:insideH w:val="nil"/>
          <w:insideV w:val="nil"/>
        </w:tcBorders>
      </w:tcPr>
    </w:tblStylePr>
    <w:tblStylePr w:type="lastRow">
      <w:pPr>
        <w:spacing w:before="0" w:after="0" w:line="240" w:lineRule="auto"/>
      </w:pPr>
      <w:rPr>
        <w:b/>
        <w:bCs/>
      </w:rPr>
      <w:tblPr/>
      <w:tcPr>
        <w:tcBorders>
          <w:top w:val="single" w:sz="8" w:space="0" w:color="7D96B5" w:themeColor="accent4"/>
          <w:left w:val="nil"/>
          <w:bottom w:val="single" w:sz="8" w:space="0" w:color="7D96B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4EC" w:themeFill="accent4" w:themeFillTint="3F"/>
      </w:tcPr>
    </w:tblStylePr>
    <w:tblStylePr w:type="band1Horz">
      <w:tblPr/>
      <w:tcPr>
        <w:tcBorders>
          <w:left w:val="nil"/>
          <w:right w:val="nil"/>
          <w:insideH w:val="nil"/>
          <w:insideV w:val="nil"/>
        </w:tcBorders>
        <w:shd w:val="clear" w:color="auto" w:fill="DEE4EC" w:themeFill="accent4" w:themeFillTint="3F"/>
      </w:tcPr>
    </w:tblStylePr>
  </w:style>
  <w:style w:type="table" w:styleId="LightShading-Accent5">
    <w:name w:val="Light Shading Accent 5"/>
    <w:basedOn w:val="TableNormal"/>
    <w:uiPriority w:val="60"/>
    <w:semiHidden/>
    <w:unhideWhenUsed/>
    <w:locked/>
    <w:rsid w:val="008E4939"/>
    <w:pPr>
      <w:spacing w:after="0" w:line="240" w:lineRule="auto"/>
    </w:pPr>
    <w:rPr>
      <w:color w:val="096358" w:themeColor="accent5" w:themeShade="BF"/>
    </w:rPr>
    <w:tblPr>
      <w:tblStyleRowBandSize w:val="1"/>
      <w:tblStyleColBandSize w:val="1"/>
      <w:tblBorders>
        <w:top w:val="single" w:sz="8" w:space="0" w:color="0D8577" w:themeColor="accent5"/>
        <w:bottom w:val="single" w:sz="8" w:space="0" w:color="0D8577" w:themeColor="accent5"/>
      </w:tblBorders>
    </w:tblPr>
    <w:tblStylePr w:type="firstRow">
      <w:pPr>
        <w:spacing w:before="0" w:after="0" w:line="240" w:lineRule="auto"/>
      </w:pPr>
      <w:rPr>
        <w:b/>
        <w:bCs/>
      </w:rPr>
      <w:tblPr/>
      <w:tcPr>
        <w:tcBorders>
          <w:top w:val="single" w:sz="8" w:space="0" w:color="0D8577" w:themeColor="accent5"/>
          <w:left w:val="nil"/>
          <w:bottom w:val="single" w:sz="8" w:space="0" w:color="0D8577" w:themeColor="accent5"/>
          <w:right w:val="nil"/>
          <w:insideH w:val="nil"/>
          <w:insideV w:val="nil"/>
        </w:tcBorders>
      </w:tcPr>
    </w:tblStylePr>
    <w:tblStylePr w:type="lastRow">
      <w:pPr>
        <w:spacing w:before="0" w:after="0" w:line="240" w:lineRule="auto"/>
      </w:pPr>
      <w:rPr>
        <w:b/>
        <w:bCs/>
      </w:rPr>
      <w:tblPr/>
      <w:tcPr>
        <w:tcBorders>
          <w:top w:val="single" w:sz="8" w:space="0" w:color="0D8577" w:themeColor="accent5"/>
          <w:left w:val="nil"/>
          <w:bottom w:val="single" w:sz="8" w:space="0" w:color="0D857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7EE" w:themeFill="accent5" w:themeFillTint="3F"/>
      </w:tcPr>
    </w:tblStylePr>
    <w:tblStylePr w:type="band1Horz">
      <w:tblPr/>
      <w:tcPr>
        <w:tcBorders>
          <w:left w:val="nil"/>
          <w:right w:val="nil"/>
          <w:insideH w:val="nil"/>
          <w:insideV w:val="nil"/>
        </w:tcBorders>
        <w:shd w:val="clear" w:color="auto" w:fill="ADF7EE" w:themeFill="accent5" w:themeFillTint="3F"/>
      </w:tcPr>
    </w:tblStylePr>
  </w:style>
  <w:style w:type="table" w:styleId="LightShading-Accent6">
    <w:name w:val="Light Shading Accent 6"/>
    <w:basedOn w:val="TableNormal"/>
    <w:uiPriority w:val="60"/>
    <w:semiHidden/>
    <w:unhideWhenUsed/>
    <w:locked/>
    <w:rsid w:val="008E4939"/>
    <w:pPr>
      <w:spacing w:after="0" w:line="240" w:lineRule="auto"/>
    </w:pPr>
    <w:rPr>
      <w:color w:val="34897E" w:themeColor="accent6" w:themeShade="BF"/>
    </w:rPr>
    <w:tblPr>
      <w:tblStyleRowBandSize w:val="1"/>
      <w:tblStyleColBandSize w:val="1"/>
      <w:tblBorders>
        <w:top w:val="single" w:sz="8" w:space="0" w:color="46B8A9" w:themeColor="accent6"/>
        <w:bottom w:val="single" w:sz="8" w:space="0" w:color="46B8A9" w:themeColor="accent6"/>
      </w:tblBorders>
    </w:tblPr>
    <w:tblStylePr w:type="firstRow">
      <w:pPr>
        <w:spacing w:before="0" w:after="0" w:line="240" w:lineRule="auto"/>
      </w:pPr>
      <w:rPr>
        <w:b/>
        <w:bCs/>
      </w:rPr>
      <w:tblPr/>
      <w:tcPr>
        <w:tcBorders>
          <w:top w:val="single" w:sz="8" w:space="0" w:color="46B8A9" w:themeColor="accent6"/>
          <w:left w:val="nil"/>
          <w:bottom w:val="single" w:sz="8" w:space="0" w:color="46B8A9" w:themeColor="accent6"/>
          <w:right w:val="nil"/>
          <w:insideH w:val="nil"/>
          <w:insideV w:val="nil"/>
        </w:tcBorders>
      </w:tcPr>
    </w:tblStylePr>
    <w:tblStylePr w:type="lastRow">
      <w:pPr>
        <w:spacing w:before="0" w:after="0" w:line="240" w:lineRule="auto"/>
      </w:pPr>
      <w:rPr>
        <w:b/>
        <w:bCs/>
      </w:rPr>
      <w:tblPr/>
      <w:tcPr>
        <w:tcBorders>
          <w:top w:val="single" w:sz="8" w:space="0" w:color="46B8A9" w:themeColor="accent6"/>
          <w:left w:val="nil"/>
          <w:bottom w:val="single" w:sz="8" w:space="0" w:color="46B8A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DE9" w:themeFill="accent6" w:themeFillTint="3F"/>
      </w:tcPr>
    </w:tblStylePr>
    <w:tblStylePr w:type="band1Horz">
      <w:tblPr/>
      <w:tcPr>
        <w:tcBorders>
          <w:left w:val="nil"/>
          <w:right w:val="nil"/>
          <w:insideH w:val="nil"/>
          <w:insideV w:val="nil"/>
        </w:tcBorders>
        <w:shd w:val="clear" w:color="auto" w:fill="D1EDE9" w:themeFill="accent6" w:themeFillTint="3F"/>
      </w:tcPr>
    </w:tblStylePr>
  </w:style>
  <w:style w:type="table" w:styleId="MediumGrid1">
    <w:name w:val="Medium Grid 1"/>
    <w:basedOn w:val="TableNormal"/>
    <w:uiPriority w:val="67"/>
    <w:semiHidden/>
    <w:unhideWhenUsed/>
    <w:locked/>
    <w:rsid w:val="008E4939"/>
    <w:pPr>
      <w:spacing w:after="0" w:line="240" w:lineRule="auto"/>
    </w:pPr>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insideV w:val="single" w:sz="8" w:space="0" w:color="595959" w:themeColor="text1" w:themeTint="BF"/>
      </w:tblBorders>
    </w:tblPr>
    <w:tcPr>
      <w:shd w:val="clear" w:color="auto" w:fill="C8C8C8" w:themeFill="text1" w:themeFillTint="3F"/>
    </w:tcPr>
    <w:tblStylePr w:type="firstRow">
      <w:rPr>
        <w:b/>
        <w:bCs/>
      </w:rPr>
    </w:tblStylePr>
    <w:tblStylePr w:type="lastRow">
      <w:rPr>
        <w:b/>
        <w:bCs/>
      </w:rPr>
      <w:tblPr/>
      <w:tcPr>
        <w:tcBorders>
          <w:top w:val="single" w:sz="18" w:space="0" w:color="595959" w:themeColor="text1" w:themeTint="BF"/>
        </w:tcBorders>
      </w:tcPr>
    </w:tblStylePr>
    <w:tblStylePr w:type="firstCol">
      <w:rPr>
        <w:b/>
        <w:bCs/>
      </w:rPr>
    </w:tblStylePr>
    <w:tblStylePr w:type="lastCol">
      <w:rPr>
        <w:b/>
        <w:bCs/>
      </w:rPr>
    </w:tblStylePr>
    <w:tblStylePr w:type="band1Vert">
      <w:tblPr/>
      <w:tcPr>
        <w:shd w:val="clear" w:color="auto" w:fill="909090" w:themeFill="text1" w:themeFillTint="7F"/>
      </w:tcPr>
    </w:tblStylePr>
    <w:tblStylePr w:type="band1Horz">
      <w:tblPr/>
      <w:tcPr>
        <w:shd w:val="clear" w:color="auto" w:fill="909090" w:themeFill="text1" w:themeFillTint="7F"/>
      </w:tcPr>
    </w:tblStylePr>
  </w:style>
  <w:style w:type="table" w:styleId="MediumGrid1-Accent1">
    <w:name w:val="Medium Grid 1 Accent 1"/>
    <w:basedOn w:val="TableNormal"/>
    <w:uiPriority w:val="67"/>
    <w:semiHidden/>
    <w:unhideWhenUsed/>
    <w:locked/>
    <w:rsid w:val="008E4939"/>
    <w:pPr>
      <w:spacing w:after="0" w:line="240" w:lineRule="auto"/>
    </w:pPr>
    <w:tblPr>
      <w:tblStyleRowBandSize w:val="1"/>
      <w:tblStyleColBandSize w:val="1"/>
      <w:tblBorders>
        <w:top w:val="single" w:sz="8" w:space="0" w:color="FF8B19" w:themeColor="accent1" w:themeTint="BF"/>
        <w:left w:val="single" w:sz="8" w:space="0" w:color="FF8B19" w:themeColor="accent1" w:themeTint="BF"/>
        <w:bottom w:val="single" w:sz="8" w:space="0" w:color="FF8B19" w:themeColor="accent1" w:themeTint="BF"/>
        <w:right w:val="single" w:sz="8" w:space="0" w:color="FF8B19" w:themeColor="accent1" w:themeTint="BF"/>
        <w:insideH w:val="single" w:sz="8" w:space="0" w:color="FF8B19" w:themeColor="accent1" w:themeTint="BF"/>
        <w:insideV w:val="single" w:sz="8" w:space="0" w:color="FF8B19" w:themeColor="accent1" w:themeTint="BF"/>
      </w:tblBorders>
    </w:tblPr>
    <w:tcPr>
      <w:shd w:val="clear" w:color="auto" w:fill="FFD9B3" w:themeFill="accent1" w:themeFillTint="3F"/>
    </w:tcPr>
    <w:tblStylePr w:type="firstRow">
      <w:rPr>
        <w:b/>
        <w:bCs/>
      </w:rPr>
    </w:tblStylePr>
    <w:tblStylePr w:type="lastRow">
      <w:rPr>
        <w:b/>
        <w:bCs/>
      </w:rPr>
      <w:tblPr/>
      <w:tcPr>
        <w:tcBorders>
          <w:top w:val="single" w:sz="18" w:space="0" w:color="FF8B19" w:themeColor="accent1" w:themeTint="BF"/>
        </w:tcBorders>
      </w:tcPr>
    </w:tblStylePr>
    <w:tblStylePr w:type="firstCol">
      <w:rPr>
        <w:b/>
        <w:bCs/>
      </w:rPr>
    </w:tblStylePr>
    <w:tblStylePr w:type="lastCol">
      <w:rPr>
        <w:b/>
        <w:bCs/>
      </w:rPr>
    </w:tblStylePr>
    <w:tblStylePr w:type="band1Vert">
      <w:tblPr/>
      <w:tcPr>
        <w:shd w:val="clear" w:color="auto" w:fill="FFB266" w:themeFill="accent1" w:themeFillTint="7F"/>
      </w:tcPr>
    </w:tblStylePr>
    <w:tblStylePr w:type="band1Horz">
      <w:tblPr/>
      <w:tcPr>
        <w:shd w:val="clear" w:color="auto" w:fill="FFB266" w:themeFill="accent1" w:themeFillTint="7F"/>
      </w:tcPr>
    </w:tblStylePr>
  </w:style>
  <w:style w:type="table" w:styleId="MediumGrid1-Accent2">
    <w:name w:val="Medium Grid 1 Accent 2"/>
    <w:basedOn w:val="TableNormal"/>
    <w:uiPriority w:val="67"/>
    <w:semiHidden/>
    <w:unhideWhenUsed/>
    <w:locked/>
    <w:rsid w:val="008E4939"/>
    <w:pPr>
      <w:spacing w:after="0" w:line="240" w:lineRule="auto"/>
    </w:pPr>
    <w:tblPr>
      <w:tblStyleRowBandSize w:val="1"/>
      <w:tblStyleColBandSize w:val="1"/>
      <w:tblBorders>
        <w:top w:val="single" w:sz="8" w:space="0" w:color="FCE9D8" w:themeColor="accent2" w:themeTint="BF"/>
        <w:left w:val="single" w:sz="8" w:space="0" w:color="FCE9D8" w:themeColor="accent2" w:themeTint="BF"/>
        <w:bottom w:val="single" w:sz="8" w:space="0" w:color="FCE9D8" w:themeColor="accent2" w:themeTint="BF"/>
        <w:right w:val="single" w:sz="8" w:space="0" w:color="FCE9D8" w:themeColor="accent2" w:themeTint="BF"/>
        <w:insideH w:val="single" w:sz="8" w:space="0" w:color="FCE9D8" w:themeColor="accent2" w:themeTint="BF"/>
        <w:insideV w:val="single" w:sz="8" w:space="0" w:color="FCE9D8" w:themeColor="accent2" w:themeTint="BF"/>
      </w:tblBorders>
    </w:tblPr>
    <w:tcPr>
      <w:shd w:val="clear" w:color="auto" w:fill="FEF7F2" w:themeFill="accent2" w:themeFillTint="3F"/>
    </w:tcPr>
    <w:tblStylePr w:type="firstRow">
      <w:rPr>
        <w:b/>
        <w:bCs/>
      </w:rPr>
    </w:tblStylePr>
    <w:tblStylePr w:type="lastRow">
      <w:rPr>
        <w:b/>
        <w:bCs/>
      </w:rPr>
      <w:tblPr/>
      <w:tcPr>
        <w:tcBorders>
          <w:top w:val="single" w:sz="18" w:space="0" w:color="FCE9D8" w:themeColor="accent2" w:themeTint="BF"/>
        </w:tcBorders>
      </w:tcPr>
    </w:tblStylePr>
    <w:tblStylePr w:type="firstCol">
      <w:rPr>
        <w:b/>
        <w:bCs/>
      </w:rPr>
    </w:tblStylePr>
    <w:tblStylePr w:type="lastCol">
      <w:rPr>
        <w:b/>
        <w:bCs/>
      </w:rPr>
    </w:tblStylePr>
    <w:tblStylePr w:type="band1Vert">
      <w:tblPr/>
      <w:tcPr>
        <w:shd w:val="clear" w:color="auto" w:fill="FDF0E5" w:themeFill="accent2" w:themeFillTint="7F"/>
      </w:tcPr>
    </w:tblStylePr>
    <w:tblStylePr w:type="band1Horz">
      <w:tblPr/>
      <w:tcPr>
        <w:shd w:val="clear" w:color="auto" w:fill="FDF0E5" w:themeFill="accent2" w:themeFillTint="7F"/>
      </w:tcPr>
    </w:tblStylePr>
  </w:style>
  <w:style w:type="table" w:styleId="MediumGrid1-Accent3">
    <w:name w:val="Medium Grid 1 Accent 3"/>
    <w:basedOn w:val="TableNormal"/>
    <w:uiPriority w:val="67"/>
    <w:semiHidden/>
    <w:unhideWhenUsed/>
    <w:locked/>
    <w:rsid w:val="008E4939"/>
    <w:pPr>
      <w:spacing w:after="0" w:line="240" w:lineRule="auto"/>
    </w:pPr>
    <w:tblPr>
      <w:tblStyleRowBandSize w:val="1"/>
      <w:tblStyleColBandSize w:val="1"/>
      <w:tblBorders>
        <w:top w:val="single" w:sz="8" w:space="0" w:color="1872BE" w:themeColor="accent3" w:themeTint="BF"/>
        <w:left w:val="single" w:sz="8" w:space="0" w:color="1872BE" w:themeColor="accent3" w:themeTint="BF"/>
        <w:bottom w:val="single" w:sz="8" w:space="0" w:color="1872BE" w:themeColor="accent3" w:themeTint="BF"/>
        <w:right w:val="single" w:sz="8" w:space="0" w:color="1872BE" w:themeColor="accent3" w:themeTint="BF"/>
        <w:insideH w:val="single" w:sz="8" w:space="0" w:color="1872BE" w:themeColor="accent3" w:themeTint="BF"/>
        <w:insideV w:val="single" w:sz="8" w:space="0" w:color="1872BE" w:themeColor="accent3" w:themeTint="BF"/>
      </w:tblBorders>
    </w:tblPr>
    <w:tcPr>
      <w:shd w:val="clear" w:color="auto" w:fill="A8D1F4" w:themeFill="accent3" w:themeFillTint="3F"/>
    </w:tcPr>
    <w:tblStylePr w:type="firstRow">
      <w:rPr>
        <w:b/>
        <w:bCs/>
      </w:rPr>
    </w:tblStylePr>
    <w:tblStylePr w:type="lastRow">
      <w:rPr>
        <w:b/>
        <w:bCs/>
      </w:rPr>
      <w:tblPr/>
      <w:tcPr>
        <w:tcBorders>
          <w:top w:val="single" w:sz="18" w:space="0" w:color="1872BE" w:themeColor="accent3" w:themeTint="BF"/>
        </w:tcBorders>
      </w:tcPr>
    </w:tblStylePr>
    <w:tblStylePr w:type="firstCol">
      <w:rPr>
        <w:b/>
        <w:bCs/>
      </w:rPr>
    </w:tblStylePr>
    <w:tblStylePr w:type="lastCol">
      <w:rPr>
        <w:b/>
        <w:bCs/>
      </w:rPr>
    </w:tblStylePr>
    <w:tblStylePr w:type="band1Vert">
      <w:tblPr/>
      <w:tcPr>
        <w:shd w:val="clear" w:color="auto" w:fill="50A3E9" w:themeFill="accent3" w:themeFillTint="7F"/>
      </w:tcPr>
    </w:tblStylePr>
    <w:tblStylePr w:type="band1Horz">
      <w:tblPr/>
      <w:tcPr>
        <w:shd w:val="clear" w:color="auto" w:fill="50A3E9" w:themeFill="accent3" w:themeFillTint="7F"/>
      </w:tcPr>
    </w:tblStylePr>
  </w:style>
  <w:style w:type="table" w:styleId="MediumGrid1-Accent4">
    <w:name w:val="Medium Grid 1 Accent 4"/>
    <w:basedOn w:val="TableNormal"/>
    <w:uiPriority w:val="67"/>
    <w:semiHidden/>
    <w:unhideWhenUsed/>
    <w:locked/>
    <w:rsid w:val="008E4939"/>
    <w:pPr>
      <w:spacing w:after="0" w:line="240" w:lineRule="auto"/>
    </w:pPr>
    <w:tblPr>
      <w:tblStyleRowBandSize w:val="1"/>
      <w:tblStyleColBandSize w:val="1"/>
      <w:tblBorders>
        <w:top w:val="single" w:sz="8" w:space="0" w:color="9DB0C7" w:themeColor="accent4" w:themeTint="BF"/>
        <w:left w:val="single" w:sz="8" w:space="0" w:color="9DB0C7" w:themeColor="accent4" w:themeTint="BF"/>
        <w:bottom w:val="single" w:sz="8" w:space="0" w:color="9DB0C7" w:themeColor="accent4" w:themeTint="BF"/>
        <w:right w:val="single" w:sz="8" w:space="0" w:color="9DB0C7" w:themeColor="accent4" w:themeTint="BF"/>
        <w:insideH w:val="single" w:sz="8" w:space="0" w:color="9DB0C7" w:themeColor="accent4" w:themeTint="BF"/>
        <w:insideV w:val="single" w:sz="8" w:space="0" w:color="9DB0C7" w:themeColor="accent4" w:themeTint="BF"/>
      </w:tblBorders>
    </w:tblPr>
    <w:tcPr>
      <w:shd w:val="clear" w:color="auto" w:fill="DEE4EC" w:themeFill="accent4" w:themeFillTint="3F"/>
    </w:tcPr>
    <w:tblStylePr w:type="firstRow">
      <w:rPr>
        <w:b/>
        <w:bCs/>
      </w:rPr>
    </w:tblStylePr>
    <w:tblStylePr w:type="lastRow">
      <w:rPr>
        <w:b/>
        <w:bCs/>
      </w:rPr>
      <w:tblPr/>
      <w:tcPr>
        <w:tcBorders>
          <w:top w:val="single" w:sz="18" w:space="0" w:color="9DB0C7" w:themeColor="accent4" w:themeTint="BF"/>
        </w:tcBorders>
      </w:tcPr>
    </w:tblStylePr>
    <w:tblStylePr w:type="firstCol">
      <w:rPr>
        <w:b/>
        <w:bCs/>
      </w:rPr>
    </w:tblStylePr>
    <w:tblStylePr w:type="lastCol">
      <w:rPr>
        <w:b/>
        <w:bCs/>
      </w:rPr>
    </w:tblStylePr>
    <w:tblStylePr w:type="band1Vert">
      <w:tblPr/>
      <w:tcPr>
        <w:shd w:val="clear" w:color="auto" w:fill="BECADA" w:themeFill="accent4" w:themeFillTint="7F"/>
      </w:tcPr>
    </w:tblStylePr>
    <w:tblStylePr w:type="band1Horz">
      <w:tblPr/>
      <w:tcPr>
        <w:shd w:val="clear" w:color="auto" w:fill="BECADA" w:themeFill="accent4" w:themeFillTint="7F"/>
      </w:tcPr>
    </w:tblStylePr>
  </w:style>
  <w:style w:type="table" w:styleId="MediumGrid1-Accent5">
    <w:name w:val="Medium Grid 1 Accent 5"/>
    <w:basedOn w:val="TableNormal"/>
    <w:uiPriority w:val="67"/>
    <w:semiHidden/>
    <w:unhideWhenUsed/>
    <w:locked/>
    <w:rsid w:val="008E4939"/>
    <w:pPr>
      <w:spacing w:after="0" w:line="240" w:lineRule="auto"/>
    </w:pPr>
    <w:tblPr>
      <w:tblStyleRowBandSize w:val="1"/>
      <w:tblStyleColBandSize w:val="1"/>
      <w:tblBorders>
        <w:top w:val="single" w:sz="8" w:space="0" w:color="15D8C1" w:themeColor="accent5" w:themeTint="BF"/>
        <w:left w:val="single" w:sz="8" w:space="0" w:color="15D8C1" w:themeColor="accent5" w:themeTint="BF"/>
        <w:bottom w:val="single" w:sz="8" w:space="0" w:color="15D8C1" w:themeColor="accent5" w:themeTint="BF"/>
        <w:right w:val="single" w:sz="8" w:space="0" w:color="15D8C1" w:themeColor="accent5" w:themeTint="BF"/>
        <w:insideH w:val="single" w:sz="8" w:space="0" w:color="15D8C1" w:themeColor="accent5" w:themeTint="BF"/>
        <w:insideV w:val="single" w:sz="8" w:space="0" w:color="15D8C1" w:themeColor="accent5" w:themeTint="BF"/>
      </w:tblBorders>
    </w:tblPr>
    <w:tcPr>
      <w:shd w:val="clear" w:color="auto" w:fill="ADF7EE" w:themeFill="accent5" w:themeFillTint="3F"/>
    </w:tcPr>
    <w:tblStylePr w:type="firstRow">
      <w:rPr>
        <w:b/>
        <w:bCs/>
      </w:rPr>
    </w:tblStylePr>
    <w:tblStylePr w:type="lastRow">
      <w:rPr>
        <w:b/>
        <w:bCs/>
      </w:rPr>
      <w:tblPr/>
      <w:tcPr>
        <w:tcBorders>
          <w:top w:val="single" w:sz="18" w:space="0" w:color="15D8C1" w:themeColor="accent5" w:themeTint="BF"/>
        </w:tcBorders>
      </w:tcPr>
    </w:tblStylePr>
    <w:tblStylePr w:type="firstCol">
      <w:rPr>
        <w:b/>
        <w:bCs/>
      </w:rPr>
    </w:tblStylePr>
    <w:tblStylePr w:type="lastCol">
      <w:rPr>
        <w:b/>
        <w:bCs/>
      </w:rPr>
    </w:tblStylePr>
    <w:tblStylePr w:type="band1Vert">
      <w:tblPr/>
      <w:tcPr>
        <w:shd w:val="clear" w:color="auto" w:fill="59EEDD" w:themeFill="accent5" w:themeFillTint="7F"/>
      </w:tcPr>
    </w:tblStylePr>
    <w:tblStylePr w:type="band1Horz">
      <w:tblPr/>
      <w:tcPr>
        <w:shd w:val="clear" w:color="auto" w:fill="59EEDD" w:themeFill="accent5" w:themeFillTint="7F"/>
      </w:tcPr>
    </w:tblStylePr>
  </w:style>
  <w:style w:type="table" w:styleId="MediumGrid1-Accent6">
    <w:name w:val="Medium Grid 1 Accent 6"/>
    <w:basedOn w:val="TableNormal"/>
    <w:uiPriority w:val="67"/>
    <w:semiHidden/>
    <w:unhideWhenUsed/>
    <w:locked/>
    <w:rsid w:val="008E4939"/>
    <w:pPr>
      <w:spacing w:after="0" w:line="240" w:lineRule="auto"/>
    </w:pPr>
    <w:tblPr>
      <w:tblStyleRowBandSize w:val="1"/>
      <w:tblStyleColBandSize w:val="1"/>
      <w:tblBorders>
        <w:top w:val="single" w:sz="8" w:space="0" w:color="73CABE" w:themeColor="accent6" w:themeTint="BF"/>
        <w:left w:val="single" w:sz="8" w:space="0" w:color="73CABE" w:themeColor="accent6" w:themeTint="BF"/>
        <w:bottom w:val="single" w:sz="8" w:space="0" w:color="73CABE" w:themeColor="accent6" w:themeTint="BF"/>
        <w:right w:val="single" w:sz="8" w:space="0" w:color="73CABE" w:themeColor="accent6" w:themeTint="BF"/>
        <w:insideH w:val="single" w:sz="8" w:space="0" w:color="73CABE" w:themeColor="accent6" w:themeTint="BF"/>
        <w:insideV w:val="single" w:sz="8" w:space="0" w:color="73CABE" w:themeColor="accent6" w:themeTint="BF"/>
      </w:tblBorders>
    </w:tblPr>
    <w:tcPr>
      <w:shd w:val="clear" w:color="auto" w:fill="D1EDE9" w:themeFill="accent6" w:themeFillTint="3F"/>
    </w:tcPr>
    <w:tblStylePr w:type="firstRow">
      <w:rPr>
        <w:b/>
        <w:bCs/>
      </w:rPr>
    </w:tblStylePr>
    <w:tblStylePr w:type="lastRow">
      <w:rPr>
        <w:b/>
        <w:bCs/>
      </w:rPr>
      <w:tblPr/>
      <w:tcPr>
        <w:tcBorders>
          <w:top w:val="single" w:sz="18" w:space="0" w:color="73CABE" w:themeColor="accent6" w:themeTint="BF"/>
        </w:tcBorders>
      </w:tcPr>
    </w:tblStylePr>
    <w:tblStylePr w:type="firstCol">
      <w:rPr>
        <w:b/>
        <w:bCs/>
      </w:rPr>
    </w:tblStylePr>
    <w:tblStylePr w:type="lastCol">
      <w:rPr>
        <w:b/>
        <w:bCs/>
      </w:rPr>
    </w:tblStylePr>
    <w:tblStylePr w:type="band1Vert">
      <w:tblPr/>
      <w:tcPr>
        <w:shd w:val="clear" w:color="auto" w:fill="A2DBD4" w:themeFill="accent6" w:themeFillTint="7F"/>
      </w:tcPr>
    </w:tblStylePr>
    <w:tblStylePr w:type="band1Horz">
      <w:tblPr/>
      <w:tcPr>
        <w:shd w:val="clear" w:color="auto" w:fill="A2DBD4" w:themeFill="accent6" w:themeFillTint="7F"/>
      </w:tcPr>
    </w:tblStylePr>
  </w:style>
  <w:style w:type="table" w:styleId="MediumGrid2">
    <w:name w:val="Medium Grid 2"/>
    <w:basedOn w:val="TableNormal"/>
    <w:uiPriority w:val="68"/>
    <w:semiHidden/>
    <w:unhideWhenUsed/>
    <w:locked/>
    <w:rsid w:val="008E4939"/>
    <w:pPr>
      <w:spacing w:after="0" w:line="240" w:lineRule="auto"/>
    </w:pPr>
    <w:rPr>
      <w:rFonts w:asciiTheme="majorHAnsi" w:eastAsiaTheme="majorEastAsia" w:hAnsiTheme="majorHAnsi" w:cstheme="majorBidi"/>
    </w:rPr>
    <w:tblPr>
      <w:tblStyleRowBandSize w:val="1"/>
      <w:tblStyleColBandSize w:val="1"/>
      <w:tblBorders>
        <w:top w:val="single" w:sz="8" w:space="0" w:color="222222" w:themeColor="text1"/>
        <w:left w:val="single" w:sz="8" w:space="0" w:color="222222" w:themeColor="text1"/>
        <w:bottom w:val="single" w:sz="8" w:space="0" w:color="222222" w:themeColor="text1"/>
        <w:right w:val="single" w:sz="8" w:space="0" w:color="222222" w:themeColor="text1"/>
        <w:insideH w:val="single" w:sz="8" w:space="0" w:color="222222" w:themeColor="text1"/>
        <w:insideV w:val="single" w:sz="8" w:space="0" w:color="222222" w:themeColor="text1"/>
      </w:tblBorders>
    </w:tblPr>
    <w:tcPr>
      <w:shd w:val="clear" w:color="auto" w:fill="C8C8C8" w:themeFill="text1" w:themeFillTint="3F"/>
    </w:tcPr>
    <w:tblStylePr w:type="firstRow">
      <w:rPr>
        <w:b/>
        <w:bCs/>
        <w:color w:val="222222" w:themeColor="text1"/>
      </w:rPr>
      <w:tblPr/>
      <w:tcPr>
        <w:shd w:val="clear" w:color="auto" w:fill="E9E9E9" w:themeFill="text1"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D2D2D2" w:themeFill="text1" w:themeFillTint="33"/>
      </w:tcPr>
    </w:tblStylePr>
    <w:tblStylePr w:type="band1Vert">
      <w:tblPr/>
      <w:tcPr>
        <w:shd w:val="clear" w:color="auto" w:fill="909090" w:themeFill="text1" w:themeFillTint="7F"/>
      </w:tcPr>
    </w:tblStylePr>
    <w:tblStylePr w:type="band1Horz">
      <w:tblPr/>
      <w:tcPr>
        <w:tcBorders>
          <w:insideH w:val="single" w:sz="6" w:space="0" w:color="222222" w:themeColor="text1"/>
          <w:insideV w:val="single" w:sz="6" w:space="0" w:color="222222" w:themeColor="text1"/>
        </w:tcBorders>
        <w:shd w:val="clear" w:color="auto" w:fill="90909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8E4939"/>
    <w:pPr>
      <w:spacing w:after="0" w:line="240" w:lineRule="auto"/>
    </w:pPr>
    <w:rPr>
      <w:rFonts w:asciiTheme="majorHAnsi" w:eastAsiaTheme="majorEastAsia" w:hAnsiTheme="majorHAnsi" w:cstheme="majorBidi"/>
    </w:rPr>
    <w:tblPr>
      <w:tblStyleRowBandSize w:val="1"/>
      <w:tblStyleColBandSize w:val="1"/>
      <w:tblBorders>
        <w:top w:val="single" w:sz="8" w:space="0" w:color="CC6600" w:themeColor="accent1"/>
        <w:left w:val="single" w:sz="8" w:space="0" w:color="CC6600" w:themeColor="accent1"/>
        <w:bottom w:val="single" w:sz="8" w:space="0" w:color="CC6600" w:themeColor="accent1"/>
        <w:right w:val="single" w:sz="8" w:space="0" w:color="CC6600" w:themeColor="accent1"/>
        <w:insideH w:val="single" w:sz="8" w:space="0" w:color="CC6600" w:themeColor="accent1"/>
        <w:insideV w:val="single" w:sz="8" w:space="0" w:color="CC6600" w:themeColor="accent1"/>
      </w:tblBorders>
    </w:tblPr>
    <w:tcPr>
      <w:shd w:val="clear" w:color="auto" w:fill="FFD9B3" w:themeFill="accent1" w:themeFillTint="3F"/>
    </w:tcPr>
    <w:tblStylePr w:type="firstRow">
      <w:rPr>
        <w:b/>
        <w:bCs/>
        <w:color w:val="222222" w:themeColor="text1"/>
      </w:rPr>
      <w:tblPr/>
      <w:tcPr>
        <w:shd w:val="clear" w:color="auto" w:fill="FFEFE1" w:themeFill="accent1"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FFE0C1" w:themeFill="accent1" w:themeFillTint="33"/>
      </w:tcPr>
    </w:tblStylePr>
    <w:tblStylePr w:type="band1Vert">
      <w:tblPr/>
      <w:tcPr>
        <w:shd w:val="clear" w:color="auto" w:fill="FFB266" w:themeFill="accent1" w:themeFillTint="7F"/>
      </w:tcPr>
    </w:tblStylePr>
    <w:tblStylePr w:type="band1Horz">
      <w:tblPr/>
      <w:tcPr>
        <w:tcBorders>
          <w:insideH w:val="single" w:sz="6" w:space="0" w:color="CC6600" w:themeColor="accent1"/>
          <w:insideV w:val="single" w:sz="6" w:space="0" w:color="CC6600" w:themeColor="accent1"/>
        </w:tcBorders>
        <w:shd w:val="clear" w:color="auto" w:fill="FFB26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8E4939"/>
    <w:pPr>
      <w:spacing w:after="0" w:line="240" w:lineRule="auto"/>
    </w:pPr>
    <w:rPr>
      <w:rFonts w:asciiTheme="majorHAnsi" w:eastAsiaTheme="majorEastAsia" w:hAnsiTheme="majorHAnsi" w:cstheme="majorBidi"/>
    </w:rPr>
    <w:tblPr>
      <w:tblStyleRowBandSize w:val="1"/>
      <w:tblStyleColBandSize w:val="1"/>
      <w:tblBorders>
        <w:top w:val="single" w:sz="8" w:space="0" w:color="FCE2CC" w:themeColor="accent2"/>
        <w:left w:val="single" w:sz="8" w:space="0" w:color="FCE2CC" w:themeColor="accent2"/>
        <w:bottom w:val="single" w:sz="8" w:space="0" w:color="FCE2CC" w:themeColor="accent2"/>
        <w:right w:val="single" w:sz="8" w:space="0" w:color="FCE2CC" w:themeColor="accent2"/>
        <w:insideH w:val="single" w:sz="8" w:space="0" w:color="FCE2CC" w:themeColor="accent2"/>
        <w:insideV w:val="single" w:sz="8" w:space="0" w:color="FCE2CC" w:themeColor="accent2"/>
      </w:tblBorders>
    </w:tblPr>
    <w:tcPr>
      <w:shd w:val="clear" w:color="auto" w:fill="FEF7F2" w:themeFill="accent2" w:themeFillTint="3F"/>
    </w:tcPr>
    <w:tblStylePr w:type="firstRow">
      <w:rPr>
        <w:b/>
        <w:bCs/>
        <w:color w:val="222222" w:themeColor="text1"/>
      </w:rPr>
      <w:tblPr/>
      <w:tcPr>
        <w:shd w:val="clear" w:color="auto" w:fill="FEFCF9" w:themeFill="accent2"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FEF9F4" w:themeFill="accent2" w:themeFillTint="33"/>
      </w:tcPr>
    </w:tblStylePr>
    <w:tblStylePr w:type="band1Vert">
      <w:tblPr/>
      <w:tcPr>
        <w:shd w:val="clear" w:color="auto" w:fill="FDF0E5" w:themeFill="accent2" w:themeFillTint="7F"/>
      </w:tcPr>
    </w:tblStylePr>
    <w:tblStylePr w:type="band1Horz">
      <w:tblPr/>
      <w:tcPr>
        <w:tcBorders>
          <w:insideH w:val="single" w:sz="6" w:space="0" w:color="FCE2CC" w:themeColor="accent2"/>
          <w:insideV w:val="single" w:sz="6" w:space="0" w:color="FCE2CC" w:themeColor="accent2"/>
        </w:tcBorders>
        <w:shd w:val="clear" w:color="auto" w:fill="FDF0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8E4939"/>
    <w:pPr>
      <w:spacing w:after="0" w:line="240" w:lineRule="auto"/>
    </w:pPr>
    <w:rPr>
      <w:rFonts w:asciiTheme="majorHAnsi" w:eastAsiaTheme="majorEastAsia" w:hAnsiTheme="majorHAnsi" w:cstheme="majorBidi"/>
    </w:rPr>
    <w:tblPr>
      <w:tblStyleRowBandSize w:val="1"/>
      <w:tblStyleColBandSize w:val="1"/>
      <w:tblBorders>
        <w:top w:val="single" w:sz="8" w:space="0" w:color="0D3E67" w:themeColor="accent3"/>
        <w:left w:val="single" w:sz="8" w:space="0" w:color="0D3E67" w:themeColor="accent3"/>
        <w:bottom w:val="single" w:sz="8" w:space="0" w:color="0D3E67" w:themeColor="accent3"/>
        <w:right w:val="single" w:sz="8" w:space="0" w:color="0D3E67" w:themeColor="accent3"/>
        <w:insideH w:val="single" w:sz="8" w:space="0" w:color="0D3E67" w:themeColor="accent3"/>
        <w:insideV w:val="single" w:sz="8" w:space="0" w:color="0D3E67" w:themeColor="accent3"/>
      </w:tblBorders>
    </w:tblPr>
    <w:tcPr>
      <w:shd w:val="clear" w:color="auto" w:fill="A8D1F4" w:themeFill="accent3" w:themeFillTint="3F"/>
    </w:tcPr>
    <w:tblStylePr w:type="firstRow">
      <w:rPr>
        <w:b/>
        <w:bCs/>
        <w:color w:val="222222" w:themeColor="text1"/>
      </w:rPr>
      <w:tblPr/>
      <w:tcPr>
        <w:shd w:val="clear" w:color="auto" w:fill="DCECFA" w:themeFill="accent3"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B8DAF6" w:themeFill="accent3" w:themeFillTint="33"/>
      </w:tcPr>
    </w:tblStylePr>
    <w:tblStylePr w:type="band1Vert">
      <w:tblPr/>
      <w:tcPr>
        <w:shd w:val="clear" w:color="auto" w:fill="50A3E9" w:themeFill="accent3" w:themeFillTint="7F"/>
      </w:tcPr>
    </w:tblStylePr>
    <w:tblStylePr w:type="band1Horz">
      <w:tblPr/>
      <w:tcPr>
        <w:tcBorders>
          <w:insideH w:val="single" w:sz="6" w:space="0" w:color="0D3E67" w:themeColor="accent3"/>
          <w:insideV w:val="single" w:sz="6" w:space="0" w:color="0D3E67" w:themeColor="accent3"/>
        </w:tcBorders>
        <w:shd w:val="clear" w:color="auto" w:fill="50A3E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8E4939"/>
    <w:pPr>
      <w:spacing w:after="0" w:line="240" w:lineRule="auto"/>
    </w:pPr>
    <w:rPr>
      <w:rFonts w:asciiTheme="majorHAnsi" w:eastAsiaTheme="majorEastAsia" w:hAnsiTheme="majorHAnsi" w:cstheme="majorBidi"/>
    </w:rPr>
    <w:tblPr>
      <w:tblStyleRowBandSize w:val="1"/>
      <w:tblStyleColBandSize w:val="1"/>
      <w:tblBorders>
        <w:top w:val="single" w:sz="8" w:space="0" w:color="7D96B5" w:themeColor="accent4"/>
        <w:left w:val="single" w:sz="8" w:space="0" w:color="7D96B5" w:themeColor="accent4"/>
        <w:bottom w:val="single" w:sz="8" w:space="0" w:color="7D96B5" w:themeColor="accent4"/>
        <w:right w:val="single" w:sz="8" w:space="0" w:color="7D96B5" w:themeColor="accent4"/>
        <w:insideH w:val="single" w:sz="8" w:space="0" w:color="7D96B5" w:themeColor="accent4"/>
        <w:insideV w:val="single" w:sz="8" w:space="0" w:color="7D96B5" w:themeColor="accent4"/>
      </w:tblBorders>
    </w:tblPr>
    <w:tcPr>
      <w:shd w:val="clear" w:color="auto" w:fill="DEE4EC" w:themeFill="accent4" w:themeFillTint="3F"/>
    </w:tcPr>
    <w:tblStylePr w:type="firstRow">
      <w:rPr>
        <w:b/>
        <w:bCs/>
        <w:color w:val="222222" w:themeColor="text1"/>
      </w:rPr>
      <w:tblPr/>
      <w:tcPr>
        <w:shd w:val="clear" w:color="auto" w:fill="F2F4F7" w:themeFill="accent4"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E4E9F0" w:themeFill="accent4" w:themeFillTint="33"/>
      </w:tcPr>
    </w:tblStylePr>
    <w:tblStylePr w:type="band1Vert">
      <w:tblPr/>
      <w:tcPr>
        <w:shd w:val="clear" w:color="auto" w:fill="BECADA" w:themeFill="accent4" w:themeFillTint="7F"/>
      </w:tcPr>
    </w:tblStylePr>
    <w:tblStylePr w:type="band1Horz">
      <w:tblPr/>
      <w:tcPr>
        <w:tcBorders>
          <w:insideH w:val="single" w:sz="6" w:space="0" w:color="7D96B5" w:themeColor="accent4"/>
          <w:insideV w:val="single" w:sz="6" w:space="0" w:color="7D96B5" w:themeColor="accent4"/>
        </w:tcBorders>
        <w:shd w:val="clear" w:color="auto" w:fill="BECAD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8E4939"/>
    <w:pPr>
      <w:spacing w:after="0" w:line="240" w:lineRule="auto"/>
    </w:pPr>
    <w:rPr>
      <w:rFonts w:asciiTheme="majorHAnsi" w:eastAsiaTheme="majorEastAsia" w:hAnsiTheme="majorHAnsi" w:cstheme="majorBidi"/>
    </w:rPr>
    <w:tblPr>
      <w:tblStyleRowBandSize w:val="1"/>
      <w:tblStyleColBandSize w:val="1"/>
      <w:tblBorders>
        <w:top w:val="single" w:sz="8" w:space="0" w:color="0D8577" w:themeColor="accent5"/>
        <w:left w:val="single" w:sz="8" w:space="0" w:color="0D8577" w:themeColor="accent5"/>
        <w:bottom w:val="single" w:sz="8" w:space="0" w:color="0D8577" w:themeColor="accent5"/>
        <w:right w:val="single" w:sz="8" w:space="0" w:color="0D8577" w:themeColor="accent5"/>
        <w:insideH w:val="single" w:sz="8" w:space="0" w:color="0D8577" w:themeColor="accent5"/>
        <w:insideV w:val="single" w:sz="8" w:space="0" w:color="0D8577" w:themeColor="accent5"/>
      </w:tblBorders>
    </w:tblPr>
    <w:tcPr>
      <w:shd w:val="clear" w:color="auto" w:fill="ADF7EE" w:themeFill="accent5" w:themeFillTint="3F"/>
    </w:tcPr>
    <w:tblStylePr w:type="firstRow">
      <w:rPr>
        <w:b/>
        <w:bCs/>
        <w:color w:val="222222" w:themeColor="text1"/>
      </w:rPr>
      <w:tblPr/>
      <w:tcPr>
        <w:shd w:val="clear" w:color="auto" w:fill="DEFBF8" w:themeFill="accent5"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BCF8F1" w:themeFill="accent5" w:themeFillTint="33"/>
      </w:tcPr>
    </w:tblStylePr>
    <w:tblStylePr w:type="band1Vert">
      <w:tblPr/>
      <w:tcPr>
        <w:shd w:val="clear" w:color="auto" w:fill="59EEDD" w:themeFill="accent5" w:themeFillTint="7F"/>
      </w:tcPr>
    </w:tblStylePr>
    <w:tblStylePr w:type="band1Horz">
      <w:tblPr/>
      <w:tcPr>
        <w:tcBorders>
          <w:insideH w:val="single" w:sz="6" w:space="0" w:color="0D8577" w:themeColor="accent5"/>
          <w:insideV w:val="single" w:sz="6" w:space="0" w:color="0D8577" w:themeColor="accent5"/>
        </w:tcBorders>
        <w:shd w:val="clear" w:color="auto" w:fill="59EE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8E4939"/>
    <w:pPr>
      <w:spacing w:after="0" w:line="240" w:lineRule="auto"/>
    </w:pPr>
    <w:rPr>
      <w:rFonts w:asciiTheme="majorHAnsi" w:eastAsiaTheme="majorEastAsia" w:hAnsiTheme="majorHAnsi" w:cstheme="majorBidi"/>
    </w:rPr>
    <w:tblPr>
      <w:tblStyleRowBandSize w:val="1"/>
      <w:tblStyleColBandSize w:val="1"/>
      <w:tblBorders>
        <w:top w:val="single" w:sz="8" w:space="0" w:color="46B8A9" w:themeColor="accent6"/>
        <w:left w:val="single" w:sz="8" w:space="0" w:color="46B8A9" w:themeColor="accent6"/>
        <w:bottom w:val="single" w:sz="8" w:space="0" w:color="46B8A9" w:themeColor="accent6"/>
        <w:right w:val="single" w:sz="8" w:space="0" w:color="46B8A9" w:themeColor="accent6"/>
        <w:insideH w:val="single" w:sz="8" w:space="0" w:color="46B8A9" w:themeColor="accent6"/>
        <w:insideV w:val="single" w:sz="8" w:space="0" w:color="46B8A9" w:themeColor="accent6"/>
      </w:tblBorders>
    </w:tblPr>
    <w:tcPr>
      <w:shd w:val="clear" w:color="auto" w:fill="D1EDE9" w:themeFill="accent6" w:themeFillTint="3F"/>
    </w:tcPr>
    <w:tblStylePr w:type="firstRow">
      <w:rPr>
        <w:b/>
        <w:bCs/>
        <w:color w:val="222222" w:themeColor="text1"/>
      </w:rPr>
      <w:tblPr/>
      <w:tcPr>
        <w:shd w:val="clear" w:color="auto" w:fill="ECF8F6" w:themeFill="accent6"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D9F1ED" w:themeFill="accent6" w:themeFillTint="33"/>
      </w:tcPr>
    </w:tblStylePr>
    <w:tblStylePr w:type="band1Vert">
      <w:tblPr/>
      <w:tcPr>
        <w:shd w:val="clear" w:color="auto" w:fill="A2DBD4" w:themeFill="accent6" w:themeFillTint="7F"/>
      </w:tcPr>
    </w:tblStylePr>
    <w:tblStylePr w:type="band1Horz">
      <w:tblPr/>
      <w:tcPr>
        <w:tcBorders>
          <w:insideH w:val="single" w:sz="6" w:space="0" w:color="46B8A9" w:themeColor="accent6"/>
          <w:insideV w:val="single" w:sz="6" w:space="0" w:color="46B8A9" w:themeColor="accent6"/>
        </w:tcBorders>
        <w:shd w:val="clear" w:color="auto" w:fill="A2DBD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8E493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C8"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2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2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2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2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909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9090" w:themeFill="text1" w:themeFillTint="7F"/>
      </w:tcPr>
    </w:tblStylePr>
  </w:style>
  <w:style w:type="table" w:styleId="MediumGrid3-Accent1">
    <w:name w:val="Medium Grid 3 Accent 1"/>
    <w:basedOn w:val="TableNormal"/>
    <w:uiPriority w:val="69"/>
    <w:semiHidden/>
    <w:unhideWhenUsed/>
    <w:locked/>
    <w:rsid w:val="008E493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9B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66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66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66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66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26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266" w:themeFill="accent1" w:themeFillTint="7F"/>
      </w:tcPr>
    </w:tblStylePr>
  </w:style>
  <w:style w:type="table" w:styleId="MediumGrid3-Accent2">
    <w:name w:val="Medium Grid 3 Accent 2"/>
    <w:basedOn w:val="TableNormal"/>
    <w:uiPriority w:val="69"/>
    <w:semiHidden/>
    <w:unhideWhenUsed/>
    <w:locked/>
    <w:rsid w:val="008E493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7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E2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E2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E2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E2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F0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F0E5" w:themeFill="accent2" w:themeFillTint="7F"/>
      </w:tcPr>
    </w:tblStylePr>
  </w:style>
  <w:style w:type="table" w:styleId="MediumGrid3-Accent3">
    <w:name w:val="Medium Grid 3 Accent 3"/>
    <w:basedOn w:val="TableNormal"/>
    <w:uiPriority w:val="69"/>
    <w:semiHidden/>
    <w:unhideWhenUsed/>
    <w:locked/>
    <w:rsid w:val="008E493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1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3E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3E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3E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3E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A3E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A3E9" w:themeFill="accent3" w:themeFillTint="7F"/>
      </w:tcPr>
    </w:tblStylePr>
  </w:style>
  <w:style w:type="table" w:styleId="MediumGrid3-Accent4">
    <w:name w:val="Medium Grid 3 Accent 4"/>
    <w:basedOn w:val="TableNormal"/>
    <w:uiPriority w:val="69"/>
    <w:semiHidden/>
    <w:unhideWhenUsed/>
    <w:locked/>
    <w:rsid w:val="008E493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4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96B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96B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96B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96B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AD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ADA" w:themeFill="accent4" w:themeFillTint="7F"/>
      </w:tcPr>
    </w:tblStylePr>
  </w:style>
  <w:style w:type="table" w:styleId="MediumGrid3-Accent5">
    <w:name w:val="Medium Grid 3 Accent 5"/>
    <w:basedOn w:val="TableNormal"/>
    <w:uiPriority w:val="69"/>
    <w:semiHidden/>
    <w:unhideWhenUsed/>
    <w:locked/>
    <w:rsid w:val="008E493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7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857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857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857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857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EE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EEDD" w:themeFill="accent5" w:themeFillTint="7F"/>
      </w:tcPr>
    </w:tblStylePr>
  </w:style>
  <w:style w:type="table" w:styleId="MediumGrid3-Accent6">
    <w:name w:val="Medium Grid 3 Accent 6"/>
    <w:basedOn w:val="TableNormal"/>
    <w:uiPriority w:val="69"/>
    <w:semiHidden/>
    <w:unhideWhenUsed/>
    <w:locked/>
    <w:rsid w:val="008E493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D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B8A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B8A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B8A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B8A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BD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BD4" w:themeFill="accent6" w:themeFillTint="7F"/>
      </w:tcPr>
    </w:tblStylePr>
  </w:style>
  <w:style w:type="table" w:styleId="MediumList1">
    <w:name w:val="Medium List 1"/>
    <w:basedOn w:val="TableNormal"/>
    <w:uiPriority w:val="65"/>
    <w:semiHidden/>
    <w:unhideWhenUsed/>
    <w:locked/>
    <w:rsid w:val="008E4939"/>
    <w:pPr>
      <w:spacing w:after="0" w:line="240" w:lineRule="auto"/>
    </w:pPr>
    <w:tblPr>
      <w:tblStyleRowBandSize w:val="1"/>
      <w:tblStyleColBandSize w:val="1"/>
      <w:tblBorders>
        <w:top w:val="single" w:sz="8" w:space="0" w:color="222222" w:themeColor="text1"/>
        <w:bottom w:val="single" w:sz="8" w:space="0" w:color="222222" w:themeColor="text1"/>
      </w:tblBorders>
    </w:tblPr>
    <w:tblStylePr w:type="firstRow">
      <w:rPr>
        <w:rFonts w:asciiTheme="majorHAnsi" w:eastAsiaTheme="majorEastAsia" w:hAnsiTheme="majorHAnsi" w:cstheme="majorBidi"/>
      </w:rPr>
      <w:tblPr/>
      <w:tcPr>
        <w:tcBorders>
          <w:top w:val="nil"/>
          <w:bottom w:val="single" w:sz="8" w:space="0" w:color="222222" w:themeColor="text1"/>
        </w:tcBorders>
      </w:tcPr>
    </w:tblStylePr>
    <w:tblStylePr w:type="lastRow">
      <w:rPr>
        <w:b/>
        <w:bCs/>
        <w:color w:val="CBC3BB" w:themeColor="text2"/>
      </w:rPr>
      <w:tblPr/>
      <w:tcPr>
        <w:tcBorders>
          <w:top w:val="single" w:sz="8" w:space="0" w:color="222222" w:themeColor="text1"/>
          <w:bottom w:val="single" w:sz="8" w:space="0" w:color="222222" w:themeColor="text1"/>
        </w:tcBorders>
      </w:tcPr>
    </w:tblStylePr>
    <w:tblStylePr w:type="firstCol">
      <w:rPr>
        <w:b/>
        <w:bCs/>
      </w:rPr>
    </w:tblStylePr>
    <w:tblStylePr w:type="lastCol">
      <w:rPr>
        <w:b/>
        <w:bCs/>
      </w:rPr>
      <w:tblPr/>
      <w:tcPr>
        <w:tcBorders>
          <w:top w:val="single" w:sz="8" w:space="0" w:color="222222" w:themeColor="text1"/>
          <w:bottom w:val="single" w:sz="8" w:space="0" w:color="222222" w:themeColor="text1"/>
        </w:tcBorders>
      </w:tcPr>
    </w:tblStylePr>
    <w:tblStylePr w:type="band1Vert">
      <w:tblPr/>
      <w:tcPr>
        <w:shd w:val="clear" w:color="auto" w:fill="C8C8C8" w:themeFill="text1" w:themeFillTint="3F"/>
      </w:tcPr>
    </w:tblStylePr>
    <w:tblStylePr w:type="band1Horz">
      <w:tblPr/>
      <w:tcPr>
        <w:shd w:val="clear" w:color="auto" w:fill="C8C8C8" w:themeFill="text1" w:themeFillTint="3F"/>
      </w:tcPr>
    </w:tblStylePr>
  </w:style>
  <w:style w:type="table" w:styleId="MediumList1-Accent1">
    <w:name w:val="Medium List 1 Accent 1"/>
    <w:basedOn w:val="TableNormal"/>
    <w:uiPriority w:val="65"/>
    <w:semiHidden/>
    <w:unhideWhenUsed/>
    <w:locked/>
    <w:rsid w:val="008E4939"/>
    <w:pPr>
      <w:spacing w:after="0" w:line="240" w:lineRule="auto"/>
    </w:pPr>
    <w:tblPr>
      <w:tblStyleRowBandSize w:val="1"/>
      <w:tblStyleColBandSize w:val="1"/>
      <w:tblBorders>
        <w:top w:val="single" w:sz="8" w:space="0" w:color="CC6600" w:themeColor="accent1"/>
        <w:bottom w:val="single" w:sz="8" w:space="0" w:color="CC6600" w:themeColor="accent1"/>
      </w:tblBorders>
    </w:tblPr>
    <w:tblStylePr w:type="firstRow">
      <w:rPr>
        <w:rFonts w:asciiTheme="majorHAnsi" w:eastAsiaTheme="majorEastAsia" w:hAnsiTheme="majorHAnsi" w:cstheme="majorBidi"/>
      </w:rPr>
      <w:tblPr/>
      <w:tcPr>
        <w:tcBorders>
          <w:top w:val="nil"/>
          <w:bottom w:val="single" w:sz="8" w:space="0" w:color="CC6600" w:themeColor="accent1"/>
        </w:tcBorders>
      </w:tcPr>
    </w:tblStylePr>
    <w:tblStylePr w:type="lastRow">
      <w:rPr>
        <w:b/>
        <w:bCs/>
        <w:color w:val="CBC3BB" w:themeColor="text2"/>
      </w:rPr>
      <w:tblPr/>
      <w:tcPr>
        <w:tcBorders>
          <w:top w:val="single" w:sz="8" w:space="0" w:color="CC6600" w:themeColor="accent1"/>
          <w:bottom w:val="single" w:sz="8" w:space="0" w:color="CC6600" w:themeColor="accent1"/>
        </w:tcBorders>
      </w:tcPr>
    </w:tblStylePr>
    <w:tblStylePr w:type="firstCol">
      <w:rPr>
        <w:b/>
        <w:bCs/>
      </w:rPr>
    </w:tblStylePr>
    <w:tblStylePr w:type="lastCol">
      <w:rPr>
        <w:b/>
        <w:bCs/>
      </w:rPr>
      <w:tblPr/>
      <w:tcPr>
        <w:tcBorders>
          <w:top w:val="single" w:sz="8" w:space="0" w:color="CC6600" w:themeColor="accent1"/>
          <w:bottom w:val="single" w:sz="8" w:space="0" w:color="CC6600" w:themeColor="accent1"/>
        </w:tcBorders>
      </w:tcPr>
    </w:tblStylePr>
    <w:tblStylePr w:type="band1Vert">
      <w:tblPr/>
      <w:tcPr>
        <w:shd w:val="clear" w:color="auto" w:fill="FFD9B3" w:themeFill="accent1" w:themeFillTint="3F"/>
      </w:tcPr>
    </w:tblStylePr>
    <w:tblStylePr w:type="band1Horz">
      <w:tblPr/>
      <w:tcPr>
        <w:shd w:val="clear" w:color="auto" w:fill="FFD9B3" w:themeFill="accent1" w:themeFillTint="3F"/>
      </w:tcPr>
    </w:tblStylePr>
  </w:style>
  <w:style w:type="table" w:styleId="MediumList1-Accent2">
    <w:name w:val="Medium List 1 Accent 2"/>
    <w:basedOn w:val="TableNormal"/>
    <w:uiPriority w:val="65"/>
    <w:semiHidden/>
    <w:unhideWhenUsed/>
    <w:locked/>
    <w:rsid w:val="008E4939"/>
    <w:pPr>
      <w:spacing w:after="0" w:line="240" w:lineRule="auto"/>
    </w:pPr>
    <w:tblPr>
      <w:tblStyleRowBandSize w:val="1"/>
      <w:tblStyleColBandSize w:val="1"/>
      <w:tblBorders>
        <w:top w:val="single" w:sz="8" w:space="0" w:color="FCE2CC" w:themeColor="accent2"/>
        <w:bottom w:val="single" w:sz="8" w:space="0" w:color="FCE2CC" w:themeColor="accent2"/>
      </w:tblBorders>
    </w:tblPr>
    <w:tblStylePr w:type="firstRow">
      <w:rPr>
        <w:rFonts w:asciiTheme="majorHAnsi" w:eastAsiaTheme="majorEastAsia" w:hAnsiTheme="majorHAnsi" w:cstheme="majorBidi"/>
      </w:rPr>
      <w:tblPr/>
      <w:tcPr>
        <w:tcBorders>
          <w:top w:val="nil"/>
          <w:bottom w:val="single" w:sz="8" w:space="0" w:color="FCE2CC" w:themeColor="accent2"/>
        </w:tcBorders>
      </w:tcPr>
    </w:tblStylePr>
    <w:tblStylePr w:type="lastRow">
      <w:rPr>
        <w:b/>
        <w:bCs/>
        <w:color w:val="CBC3BB" w:themeColor="text2"/>
      </w:rPr>
      <w:tblPr/>
      <w:tcPr>
        <w:tcBorders>
          <w:top w:val="single" w:sz="8" w:space="0" w:color="FCE2CC" w:themeColor="accent2"/>
          <w:bottom w:val="single" w:sz="8" w:space="0" w:color="FCE2CC" w:themeColor="accent2"/>
        </w:tcBorders>
      </w:tcPr>
    </w:tblStylePr>
    <w:tblStylePr w:type="firstCol">
      <w:rPr>
        <w:b/>
        <w:bCs/>
      </w:rPr>
    </w:tblStylePr>
    <w:tblStylePr w:type="lastCol">
      <w:rPr>
        <w:b/>
        <w:bCs/>
      </w:rPr>
      <w:tblPr/>
      <w:tcPr>
        <w:tcBorders>
          <w:top w:val="single" w:sz="8" w:space="0" w:color="FCE2CC" w:themeColor="accent2"/>
          <w:bottom w:val="single" w:sz="8" w:space="0" w:color="FCE2CC" w:themeColor="accent2"/>
        </w:tcBorders>
      </w:tcPr>
    </w:tblStylePr>
    <w:tblStylePr w:type="band1Vert">
      <w:tblPr/>
      <w:tcPr>
        <w:shd w:val="clear" w:color="auto" w:fill="FEF7F2" w:themeFill="accent2" w:themeFillTint="3F"/>
      </w:tcPr>
    </w:tblStylePr>
    <w:tblStylePr w:type="band1Horz">
      <w:tblPr/>
      <w:tcPr>
        <w:shd w:val="clear" w:color="auto" w:fill="FEF7F2" w:themeFill="accent2" w:themeFillTint="3F"/>
      </w:tcPr>
    </w:tblStylePr>
  </w:style>
  <w:style w:type="table" w:styleId="MediumList1-Accent3">
    <w:name w:val="Medium List 1 Accent 3"/>
    <w:basedOn w:val="TableNormal"/>
    <w:uiPriority w:val="65"/>
    <w:semiHidden/>
    <w:unhideWhenUsed/>
    <w:locked/>
    <w:rsid w:val="008E4939"/>
    <w:pPr>
      <w:spacing w:after="0" w:line="240" w:lineRule="auto"/>
    </w:pPr>
    <w:tblPr>
      <w:tblStyleRowBandSize w:val="1"/>
      <w:tblStyleColBandSize w:val="1"/>
      <w:tblBorders>
        <w:top w:val="single" w:sz="8" w:space="0" w:color="0D3E67" w:themeColor="accent3"/>
        <w:bottom w:val="single" w:sz="8" w:space="0" w:color="0D3E67" w:themeColor="accent3"/>
      </w:tblBorders>
    </w:tblPr>
    <w:tblStylePr w:type="firstRow">
      <w:rPr>
        <w:rFonts w:asciiTheme="majorHAnsi" w:eastAsiaTheme="majorEastAsia" w:hAnsiTheme="majorHAnsi" w:cstheme="majorBidi"/>
      </w:rPr>
      <w:tblPr/>
      <w:tcPr>
        <w:tcBorders>
          <w:top w:val="nil"/>
          <w:bottom w:val="single" w:sz="8" w:space="0" w:color="0D3E67" w:themeColor="accent3"/>
        </w:tcBorders>
      </w:tcPr>
    </w:tblStylePr>
    <w:tblStylePr w:type="lastRow">
      <w:rPr>
        <w:b/>
        <w:bCs/>
        <w:color w:val="CBC3BB" w:themeColor="text2"/>
      </w:rPr>
      <w:tblPr/>
      <w:tcPr>
        <w:tcBorders>
          <w:top w:val="single" w:sz="8" w:space="0" w:color="0D3E67" w:themeColor="accent3"/>
          <w:bottom w:val="single" w:sz="8" w:space="0" w:color="0D3E67" w:themeColor="accent3"/>
        </w:tcBorders>
      </w:tcPr>
    </w:tblStylePr>
    <w:tblStylePr w:type="firstCol">
      <w:rPr>
        <w:b/>
        <w:bCs/>
      </w:rPr>
    </w:tblStylePr>
    <w:tblStylePr w:type="lastCol">
      <w:rPr>
        <w:b/>
        <w:bCs/>
      </w:rPr>
      <w:tblPr/>
      <w:tcPr>
        <w:tcBorders>
          <w:top w:val="single" w:sz="8" w:space="0" w:color="0D3E67" w:themeColor="accent3"/>
          <w:bottom w:val="single" w:sz="8" w:space="0" w:color="0D3E67" w:themeColor="accent3"/>
        </w:tcBorders>
      </w:tcPr>
    </w:tblStylePr>
    <w:tblStylePr w:type="band1Vert">
      <w:tblPr/>
      <w:tcPr>
        <w:shd w:val="clear" w:color="auto" w:fill="A8D1F4" w:themeFill="accent3" w:themeFillTint="3F"/>
      </w:tcPr>
    </w:tblStylePr>
    <w:tblStylePr w:type="band1Horz">
      <w:tblPr/>
      <w:tcPr>
        <w:shd w:val="clear" w:color="auto" w:fill="A8D1F4" w:themeFill="accent3" w:themeFillTint="3F"/>
      </w:tcPr>
    </w:tblStylePr>
  </w:style>
  <w:style w:type="table" w:styleId="MediumList1-Accent4">
    <w:name w:val="Medium List 1 Accent 4"/>
    <w:basedOn w:val="TableNormal"/>
    <w:uiPriority w:val="65"/>
    <w:semiHidden/>
    <w:unhideWhenUsed/>
    <w:locked/>
    <w:rsid w:val="008E4939"/>
    <w:pPr>
      <w:spacing w:after="0" w:line="240" w:lineRule="auto"/>
    </w:pPr>
    <w:tblPr>
      <w:tblStyleRowBandSize w:val="1"/>
      <w:tblStyleColBandSize w:val="1"/>
      <w:tblBorders>
        <w:top w:val="single" w:sz="8" w:space="0" w:color="7D96B5" w:themeColor="accent4"/>
        <w:bottom w:val="single" w:sz="8" w:space="0" w:color="7D96B5" w:themeColor="accent4"/>
      </w:tblBorders>
    </w:tblPr>
    <w:tblStylePr w:type="firstRow">
      <w:rPr>
        <w:rFonts w:asciiTheme="majorHAnsi" w:eastAsiaTheme="majorEastAsia" w:hAnsiTheme="majorHAnsi" w:cstheme="majorBidi"/>
      </w:rPr>
      <w:tblPr/>
      <w:tcPr>
        <w:tcBorders>
          <w:top w:val="nil"/>
          <w:bottom w:val="single" w:sz="8" w:space="0" w:color="7D96B5" w:themeColor="accent4"/>
        </w:tcBorders>
      </w:tcPr>
    </w:tblStylePr>
    <w:tblStylePr w:type="lastRow">
      <w:rPr>
        <w:b/>
        <w:bCs/>
        <w:color w:val="CBC3BB" w:themeColor="text2"/>
      </w:rPr>
      <w:tblPr/>
      <w:tcPr>
        <w:tcBorders>
          <w:top w:val="single" w:sz="8" w:space="0" w:color="7D96B5" w:themeColor="accent4"/>
          <w:bottom w:val="single" w:sz="8" w:space="0" w:color="7D96B5" w:themeColor="accent4"/>
        </w:tcBorders>
      </w:tcPr>
    </w:tblStylePr>
    <w:tblStylePr w:type="firstCol">
      <w:rPr>
        <w:b/>
        <w:bCs/>
      </w:rPr>
    </w:tblStylePr>
    <w:tblStylePr w:type="lastCol">
      <w:rPr>
        <w:b/>
        <w:bCs/>
      </w:rPr>
      <w:tblPr/>
      <w:tcPr>
        <w:tcBorders>
          <w:top w:val="single" w:sz="8" w:space="0" w:color="7D96B5" w:themeColor="accent4"/>
          <w:bottom w:val="single" w:sz="8" w:space="0" w:color="7D96B5" w:themeColor="accent4"/>
        </w:tcBorders>
      </w:tcPr>
    </w:tblStylePr>
    <w:tblStylePr w:type="band1Vert">
      <w:tblPr/>
      <w:tcPr>
        <w:shd w:val="clear" w:color="auto" w:fill="DEE4EC" w:themeFill="accent4" w:themeFillTint="3F"/>
      </w:tcPr>
    </w:tblStylePr>
    <w:tblStylePr w:type="band1Horz">
      <w:tblPr/>
      <w:tcPr>
        <w:shd w:val="clear" w:color="auto" w:fill="DEE4EC" w:themeFill="accent4" w:themeFillTint="3F"/>
      </w:tcPr>
    </w:tblStylePr>
  </w:style>
  <w:style w:type="table" w:styleId="MediumList1-Accent5">
    <w:name w:val="Medium List 1 Accent 5"/>
    <w:basedOn w:val="TableNormal"/>
    <w:uiPriority w:val="65"/>
    <w:semiHidden/>
    <w:unhideWhenUsed/>
    <w:locked/>
    <w:rsid w:val="008E4939"/>
    <w:pPr>
      <w:spacing w:after="0" w:line="240" w:lineRule="auto"/>
    </w:pPr>
    <w:tblPr>
      <w:tblStyleRowBandSize w:val="1"/>
      <w:tblStyleColBandSize w:val="1"/>
      <w:tblBorders>
        <w:top w:val="single" w:sz="8" w:space="0" w:color="0D8577" w:themeColor="accent5"/>
        <w:bottom w:val="single" w:sz="8" w:space="0" w:color="0D8577" w:themeColor="accent5"/>
      </w:tblBorders>
    </w:tblPr>
    <w:tblStylePr w:type="firstRow">
      <w:rPr>
        <w:rFonts w:asciiTheme="majorHAnsi" w:eastAsiaTheme="majorEastAsia" w:hAnsiTheme="majorHAnsi" w:cstheme="majorBidi"/>
      </w:rPr>
      <w:tblPr/>
      <w:tcPr>
        <w:tcBorders>
          <w:top w:val="nil"/>
          <w:bottom w:val="single" w:sz="8" w:space="0" w:color="0D8577" w:themeColor="accent5"/>
        </w:tcBorders>
      </w:tcPr>
    </w:tblStylePr>
    <w:tblStylePr w:type="lastRow">
      <w:rPr>
        <w:b/>
        <w:bCs/>
        <w:color w:val="CBC3BB" w:themeColor="text2"/>
      </w:rPr>
      <w:tblPr/>
      <w:tcPr>
        <w:tcBorders>
          <w:top w:val="single" w:sz="8" w:space="0" w:color="0D8577" w:themeColor="accent5"/>
          <w:bottom w:val="single" w:sz="8" w:space="0" w:color="0D8577" w:themeColor="accent5"/>
        </w:tcBorders>
      </w:tcPr>
    </w:tblStylePr>
    <w:tblStylePr w:type="firstCol">
      <w:rPr>
        <w:b/>
        <w:bCs/>
      </w:rPr>
    </w:tblStylePr>
    <w:tblStylePr w:type="lastCol">
      <w:rPr>
        <w:b/>
        <w:bCs/>
      </w:rPr>
      <w:tblPr/>
      <w:tcPr>
        <w:tcBorders>
          <w:top w:val="single" w:sz="8" w:space="0" w:color="0D8577" w:themeColor="accent5"/>
          <w:bottom w:val="single" w:sz="8" w:space="0" w:color="0D8577" w:themeColor="accent5"/>
        </w:tcBorders>
      </w:tcPr>
    </w:tblStylePr>
    <w:tblStylePr w:type="band1Vert">
      <w:tblPr/>
      <w:tcPr>
        <w:shd w:val="clear" w:color="auto" w:fill="ADF7EE" w:themeFill="accent5" w:themeFillTint="3F"/>
      </w:tcPr>
    </w:tblStylePr>
    <w:tblStylePr w:type="band1Horz">
      <w:tblPr/>
      <w:tcPr>
        <w:shd w:val="clear" w:color="auto" w:fill="ADF7EE" w:themeFill="accent5" w:themeFillTint="3F"/>
      </w:tcPr>
    </w:tblStylePr>
  </w:style>
  <w:style w:type="table" w:styleId="MediumList1-Accent6">
    <w:name w:val="Medium List 1 Accent 6"/>
    <w:basedOn w:val="TableNormal"/>
    <w:uiPriority w:val="65"/>
    <w:semiHidden/>
    <w:unhideWhenUsed/>
    <w:locked/>
    <w:rsid w:val="008E4939"/>
    <w:pPr>
      <w:spacing w:after="0" w:line="240" w:lineRule="auto"/>
    </w:pPr>
    <w:tblPr>
      <w:tblStyleRowBandSize w:val="1"/>
      <w:tblStyleColBandSize w:val="1"/>
      <w:tblBorders>
        <w:top w:val="single" w:sz="8" w:space="0" w:color="46B8A9" w:themeColor="accent6"/>
        <w:bottom w:val="single" w:sz="8" w:space="0" w:color="46B8A9" w:themeColor="accent6"/>
      </w:tblBorders>
    </w:tblPr>
    <w:tblStylePr w:type="firstRow">
      <w:rPr>
        <w:rFonts w:asciiTheme="majorHAnsi" w:eastAsiaTheme="majorEastAsia" w:hAnsiTheme="majorHAnsi" w:cstheme="majorBidi"/>
      </w:rPr>
      <w:tblPr/>
      <w:tcPr>
        <w:tcBorders>
          <w:top w:val="nil"/>
          <w:bottom w:val="single" w:sz="8" w:space="0" w:color="46B8A9" w:themeColor="accent6"/>
        </w:tcBorders>
      </w:tcPr>
    </w:tblStylePr>
    <w:tblStylePr w:type="lastRow">
      <w:rPr>
        <w:b/>
        <w:bCs/>
        <w:color w:val="CBC3BB" w:themeColor="text2"/>
      </w:rPr>
      <w:tblPr/>
      <w:tcPr>
        <w:tcBorders>
          <w:top w:val="single" w:sz="8" w:space="0" w:color="46B8A9" w:themeColor="accent6"/>
          <w:bottom w:val="single" w:sz="8" w:space="0" w:color="46B8A9" w:themeColor="accent6"/>
        </w:tcBorders>
      </w:tcPr>
    </w:tblStylePr>
    <w:tblStylePr w:type="firstCol">
      <w:rPr>
        <w:b/>
        <w:bCs/>
      </w:rPr>
    </w:tblStylePr>
    <w:tblStylePr w:type="lastCol">
      <w:rPr>
        <w:b/>
        <w:bCs/>
      </w:rPr>
      <w:tblPr/>
      <w:tcPr>
        <w:tcBorders>
          <w:top w:val="single" w:sz="8" w:space="0" w:color="46B8A9" w:themeColor="accent6"/>
          <w:bottom w:val="single" w:sz="8" w:space="0" w:color="46B8A9" w:themeColor="accent6"/>
        </w:tcBorders>
      </w:tcPr>
    </w:tblStylePr>
    <w:tblStylePr w:type="band1Vert">
      <w:tblPr/>
      <w:tcPr>
        <w:shd w:val="clear" w:color="auto" w:fill="D1EDE9" w:themeFill="accent6" w:themeFillTint="3F"/>
      </w:tcPr>
    </w:tblStylePr>
    <w:tblStylePr w:type="band1Horz">
      <w:tblPr/>
      <w:tcPr>
        <w:shd w:val="clear" w:color="auto" w:fill="D1EDE9" w:themeFill="accent6" w:themeFillTint="3F"/>
      </w:tcPr>
    </w:tblStylePr>
  </w:style>
  <w:style w:type="table" w:styleId="MediumList2">
    <w:name w:val="Medium List 2"/>
    <w:basedOn w:val="TableNormal"/>
    <w:uiPriority w:val="66"/>
    <w:semiHidden/>
    <w:unhideWhenUsed/>
    <w:locked/>
    <w:rsid w:val="008E4939"/>
    <w:pPr>
      <w:spacing w:after="0" w:line="240" w:lineRule="auto"/>
    </w:pPr>
    <w:rPr>
      <w:rFonts w:asciiTheme="majorHAnsi" w:eastAsiaTheme="majorEastAsia" w:hAnsiTheme="majorHAnsi" w:cstheme="majorBidi"/>
    </w:rPr>
    <w:tblPr>
      <w:tblStyleRowBandSize w:val="1"/>
      <w:tblStyleColBandSize w:val="1"/>
      <w:tblBorders>
        <w:top w:val="single" w:sz="8" w:space="0" w:color="222222" w:themeColor="text1"/>
        <w:left w:val="single" w:sz="8" w:space="0" w:color="222222" w:themeColor="text1"/>
        <w:bottom w:val="single" w:sz="8" w:space="0" w:color="222222" w:themeColor="text1"/>
        <w:right w:val="single" w:sz="8" w:space="0" w:color="222222" w:themeColor="text1"/>
      </w:tblBorders>
    </w:tblPr>
    <w:tblStylePr w:type="firstRow">
      <w:rPr>
        <w:sz w:val="24"/>
        <w:szCs w:val="24"/>
      </w:rPr>
      <w:tblPr/>
      <w:tcPr>
        <w:tcBorders>
          <w:top w:val="nil"/>
          <w:left w:val="nil"/>
          <w:bottom w:val="single" w:sz="24" w:space="0" w:color="222222" w:themeColor="text1"/>
          <w:right w:val="nil"/>
          <w:insideH w:val="nil"/>
          <w:insideV w:val="nil"/>
        </w:tcBorders>
        <w:shd w:val="clear" w:color="auto" w:fill="FFFFFF" w:themeFill="background1"/>
      </w:tcPr>
    </w:tblStylePr>
    <w:tblStylePr w:type="lastRow">
      <w:tblPr/>
      <w:tcPr>
        <w:tcBorders>
          <w:top w:val="single" w:sz="8" w:space="0" w:color="22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22222" w:themeColor="text1"/>
          <w:insideH w:val="nil"/>
          <w:insideV w:val="nil"/>
        </w:tcBorders>
        <w:shd w:val="clear" w:color="auto" w:fill="FFFFFF" w:themeFill="background1"/>
      </w:tcPr>
    </w:tblStylePr>
    <w:tblStylePr w:type="lastCol">
      <w:tblPr/>
      <w:tcPr>
        <w:tcBorders>
          <w:top w:val="nil"/>
          <w:left w:val="single" w:sz="8" w:space="0" w:color="22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C8" w:themeFill="text1" w:themeFillTint="3F"/>
      </w:tcPr>
    </w:tblStylePr>
    <w:tblStylePr w:type="band1Horz">
      <w:tblPr/>
      <w:tcPr>
        <w:tcBorders>
          <w:top w:val="nil"/>
          <w:bottom w:val="nil"/>
          <w:insideH w:val="nil"/>
          <w:insideV w:val="nil"/>
        </w:tcBorders>
        <w:shd w:val="clear" w:color="auto" w:fill="C8C8C8"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8E4939"/>
    <w:pPr>
      <w:spacing w:after="0" w:line="240" w:lineRule="auto"/>
    </w:pPr>
    <w:rPr>
      <w:rFonts w:asciiTheme="majorHAnsi" w:eastAsiaTheme="majorEastAsia" w:hAnsiTheme="majorHAnsi" w:cstheme="majorBidi"/>
    </w:rPr>
    <w:tblPr>
      <w:tblStyleRowBandSize w:val="1"/>
      <w:tblStyleColBandSize w:val="1"/>
      <w:tblBorders>
        <w:top w:val="single" w:sz="8" w:space="0" w:color="CC6600" w:themeColor="accent1"/>
        <w:left w:val="single" w:sz="8" w:space="0" w:color="CC6600" w:themeColor="accent1"/>
        <w:bottom w:val="single" w:sz="8" w:space="0" w:color="CC6600" w:themeColor="accent1"/>
        <w:right w:val="single" w:sz="8" w:space="0" w:color="CC6600" w:themeColor="accent1"/>
      </w:tblBorders>
    </w:tblPr>
    <w:tblStylePr w:type="firstRow">
      <w:rPr>
        <w:sz w:val="24"/>
        <w:szCs w:val="24"/>
      </w:rPr>
      <w:tblPr/>
      <w:tcPr>
        <w:tcBorders>
          <w:top w:val="nil"/>
          <w:left w:val="nil"/>
          <w:bottom w:val="single" w:sz="24" w:space="0" w:color="CC6600" w:themeColor="accent1"/>
          <w:right w:val="nil"/>
          <w:insideH w:val="nil"/>
          <w:insideV w:val="nil"/>
        </w:tcBorders>
        <w:shd w:val="clear" w:color="auto" w:fill="FFFFFF" w:themeFill="background1"/>
      </w:tcPr>
    </w:tblStylePr>
    <w:tblStylePr w:type="lastRow">
      <w:tblPr/>
      <w:tcPr>
        <w:tcBorders>
          <w:top w:val="single" w:sz="8" w:space="0" w:color="CC66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6600" w:themeColor="accent1"/>
          <w:insideH w:val="nil"/>
          <w:insideV w:val="nil"/>
        </w:tcBorders>
        <w:shd w:val="clear" w:color="auto" w:fill="FFFFFF" w:themeFill="background1"/>
      </w:tcPr>
    </w:tblStylePr>
    <w:tblStylePr w:type="lastCol">
      <w:tblPr/>
      <w:tcPr>
        <w:tcBorders>
          <w:top w:val="nil"/>
          <w:left w:val="single" w:sz="8" w:space="0" w:color="CC66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B3" w:themeFill="accent1" w:themeFillTint="3F"/>
      </w:tcPr>
    </w:tblStylePr>
    <w:tblStylePr w:type="band1Horz">
      <w:tblPr/>
      <w:tcPr>
        <w:tcBorders>
          <w:top w:val="nil"/>
          <w:bottom w:val="nil"/>
          <w:insideH w:val="nil"/>
          <w:insideV w:val="nil"/>
        </w:tcBorders>
        <w:shd w:val="clear" w:color="auto" w:fill="FFD9B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8E4939"/>
    <w:pPr>
      <w:spacing w:after="0" w:line="240" w:lineRule="auto"/>
    </w:pPr>
    <w:rPr>
      <w:rFonts w:asciiTheme="majorHAnsi" w:eastAsiaTheme="majorEastAsia" w:hAnsiTheme="majorHAnsi" w:cstheme="majorBidi"/>
    </w:rPr>
    <w:tblPr>
      <w:tblStyleRowBandSize w:val="1"/>
      <w:tblStyleColBandSize w:val="1"/>
      <w:tblBorders>
        <w:top w:val="single" w:sz="8" w:space="0" w:color="FCE2CC" w:themeColor="accent2"/>
        <w:left w:val="single" w:sz="8" w:space="0" w:color="FCE2CC" w:themeColor="accent2"/>
        <w:bottom w:val="single" w:sz="8" w:space="0" w:color="FCE2CC" w:themeColor="accent2"/>
        <w:right w:val="single" w:sz="8" w:space="0" w:color="FCE2CC" w:themeColor="accent2"/>
      </w:tblBorders>
    </w:tblPr>
    <w:tblStylePr w:type="firstRow">
      <w:rPr>
        <w:sz w:val="24"/>
        <w:szCs w:val="24"/>
      </w:rPr>
      <w:tblPr/>
      <w:tcPr>
        <w:tcBorders>
          <w:top w:val="nil"/>
          <w:left w:val="nil"/>
          <w:bottom w:val="single" w:sz="24" w:space="0" w:color="FCE2CC" w:themeColor="accent2"/>
          <w:right w:val="nil"/>
          <w:insideH w:val="nil"/>
          <w:insideV w:val="nil"/>
        </w:tcBorders>
        <w:shd w:val="clear" w:color="auto" w:fill="FFFFFF" w:themeFill="background1"/>
      </w:tcPr>
    </w:tblStylePr>
    <w:tblStylePr w:type="lastRow">
      <w:tblPr/>
      <w:tcPr>
        <w:tcBorders>
          <w:top w:val="single" w:sz="8" w:space="0" w:color="FCE2CC"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FCE2CC" w:themeColor="accent2"/>
          <w:insideH w:val="nil"/>
          <w:insideV w:val="nil"/>
        </w:tcBorders>
        <w:shd w:val="clear" w:color="auto" w:fill="FFFFFF" w:themeFill="background1"/>
      </w:tcPr>
    </w:tblStylePr>
    <w:tblStylePr w:type="lastCol">
      <w:tblPr/>
      <w:tcPr>
        <w:tcBorders>
          <w:top w:val="nil"/>
          <w:left w:val="single" w:sz="8" w:space="0" w:color="FCE2C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7F2" w:themeFill="accent2" w:themeFillTint="3F"/>
      </w:tcPr>
    </w:tblStylePr>
    <w:tblStylePr w:type="band1Horz">
      <w:tblPr/>
      <w:tcPr>
        <w:tcBorders>
          <w:top w:val="nil"/>
          <w:bottom w:val="nil"/>
          <w:insideH w:val="nil"/>
          <w:insideV w:val="nil"/>
        </w:tcBorders>
        <w:shd w:val="clear" w:color="auto" w:fill="FEF7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8E4939"/>
    <w:pPr>
      <w:spacing w:after="0" w:line="240" w:lineRule="auto"/>
    </w:pPr>
    <w:rPr>
      <w:rFonts w:asciiTheme="majorHAnsi" w:eastAsiaTheme="majorEastAsia" w:hAnsiTheme="majorHAnsi" w:cstheme="majorBidi"/>
    </w:rPr>
    <w:tblPr>
      <w:tblStyleRowBandSize w:val="1"/>
      <w:tblStyleColBandSize w:val="1"/>
      <w:tblBorders>
        <w:top w:val="single" w:sz="8" w:space="0" w:color="0D3E67" w:themeColor="accent3"/>
        <w:left w:val="single" w:sz="8" w:space="0" w:color="0D3E67" w:themeColor="accent3"/>
        <w:bottom w:val="single" w:sz="8" w:space="0" w:color="0D3E67" w:themeColor="accent3"/>
        <w:right w:val="single" w:sz="8" w:space="0" w:color="0D3E67" w:themeColor="accent3"/>
      </w:tblBorders>
    </w:tblPr>
    <w:tblStylePr w:type="firstRow">
      <w:rPr>
        <w:sz w:val="24"/>
        <w:szCs w:val="24"/>
      </w:rPr>
      <w:tblPr/>
      <w:tcPr>
        <w:tcBorders>
          <w:top w:val="nil"/>
          <w:left w:val="nil"/>
          <w:bottom w:val="single" w:sz="24" w:space="0" w:color="0D3E67" w:themeColor="accent3"/>
          <w:right w:val="nil"/>
          <w:insideH w:val="nil"/>
          <w:insideV w:val="nil"/>
        </w:tcBorders>
        <w:shd w:val="clear" w:color="auto" w:fill="FFFFFF" w:themeFill="background1"/>
      </w:tcPr>
    </w:tblStylePr>
    <w:tblStylePr w:type="lastRow">
      <w:tblPr/>
      <w:tcPr>
        <w:tcBorders>
          <w:top w:val="single" w:sz="8" w:space="0" w:color="0D3E6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3E67" w:themeColor="accent3"/>
          <w:insideH w:val="nil"/>
          <w:insideV w:val="nil"/>
        </w:tcBorders>
        <w:shd w:val="clear" w:color="auto" w:fill="FFFFFF" w:themeFill="background1"/>
      </w:tcPr>
    </w:tblStylePr>
    <w:tblStylePr w:type="lastCol">
      <w:tblPr/>
      <w:tcPr>
        <w:tcBorders>
          <w:top w:val="nil"/>
          <w:left w:val="single" w:sz="8" w:space="0" w:color="0D3E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1F4" w:themeFill="accent3" w:themeFillTint="3F"/>
      </w:tcPr>
    </w:tblStylePr>
    <w:tblStylePr w:type="band1Horz">
      <w:tblPr/>
      <w:tcPr>
        <w:tcBorders>
          <w:top w:val="nil"/>
          <w:bottom w:val="nil"/>
          <w:insideH w:val="nil"/>
          <w:insideV w:val="nil"/>
        </w:tcBorders>
        <w:shd w:val="clear" w:color="auto" w:fill="A8D1F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8E4939"/>
    <w:pPr>
      <w:spacing w:after="0" w:line="240" w:lineRule="auto"/>
    </w:pPr>
    <w:rPr>
      <w:rFonts w:asciiTheme="majorHAnsi" w:eastAsiaTheme="majorEastAsia" w:hAnsiTheme="majorHAnsi" w:cstheme="majorBidi"/>
    </w:rPr>
    <w:tblPr>
      <w:tblStyleRowBandSize w:val="1"/>
      <w:tblStyleColBandSize w:val="1"/>
      <w:tblBorders>
        <w:top w:val="single" w:sz="8" w:space="0" w:color="7D96B5" w:themeColor="accent4"/>
        <w:left w:val="single" w:sz="8" w:space="0" w:color="7D96B5" w:themeColor="accent4"/>
        <w:bottom w:val="single" w:sz="8" w:space="0" w:color="7D96B5" w:themeColor="accent4"/>
        <w:right w:val="single" w:sz="8" w:space="0" w:color="7D96B5" w:themeColor="accent4"/>
      </w:tblBorders>
    </w:tblPr>
    <w:tblStylePr w:type="firstRow">
      <w:rPr>
        <w:sz w:val="24"/>
        <w:szCs w:val="24"/>
      </w:rPr>
      <w:tblPr/>
      <w:tcPr>
        <w:tcBorders>
          <w:top w:val="nil"/>
          <w:left w:val="nil"/>
          <w:bottom w:val="single" w:sz="24" w:space="0" w:color="7D96B5" w:themeColor="accent4"/>
          <w:right w:val="nil"/>
          <w:insideH w:val="nil"/>
          <w:insideV w:val="nil"/>
        </w:tcBorders>
        <w:shd w:val="clear" w:color="auto" w:fill="FFFFFF" w:themeFill="background1"/>
      </w:tcPr>
    </w:tblStylePr>
    <w:tblStylePr w:type="lastRow">
      <w:tblPr/>
      <w:tcPr>
        <w:tcBorders>
          <w:top w:val="single" w:sz="8" w:space="0" w:color="7D96B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96B5" w:themeColor="accent4"/>
          <w:insideH w:val="nil"/>
          <w:insideV w:val="nil"/>
        </w:tcBorders>
        <w:shd w:val="clear" w:color="auto" w:fill="FFFFFF" w:themeFill="background1"/>
      </w:tcPr>
    </w:tblStylePr>
    <w:tblStylePr w:type="lastCol">
      <w:tblPr/>
      <w:tcPr>
        <w:tcBorders>
          <w:top w:val="nil"/>
          <w:left w:val="single" w:sz="8" w:space="0" w:color="7D96B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4EC" w:themeFill="accent4" w:themeFillTint="3F"/>
      </w:tcPr>
    </w:tblStylePr>
    <w:tblStylePr w:type="band1Horz">
      <w:tblPr/>
      <w:tcPr>
        <w:tcBorders>
          <w:top w:val="nil"/>
          <w:bottom w:val="nil"/>
          <w:insideH w:val="nil"/>
          <w:insideV w:val="nil"/>
        </w:tcBorders>
        <w:shd w:val="clear" w:color="auto" w:fill="DEE4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8E4939"/>
    <w:pPr>
      <w:spacing w:after="0" w:line="240" w:lineRule="auto"/>
    </w:pPr>
    <w:rPr>
      <w:rFonts w:asciiTheme="majorHAnsi" w:eastAsiaTheme="majorEastAsia" w:hAnsiTheme="majorHAnsi" w:cstheme="majorBidi"/>
    </w:rPr>
    <w:tblPr>
      <w:tblStyleRowBandSize w:val="1"/>
      <w:tblStyleColBandSize w:val="1"/>
      <w:tblBorders>
        <w:top w:val="single" w:sz="8" w:space="0" w:color="0D8577" w:themeColor="accent5"/>
        <w:left w:val="single" w:sz="8" w:space="0" w:color="0D8577" w:themeColor="accent5"/>
        <w:bottom w:val="single" w:sz="8" w:space="0" w:color="0D8577" w:themeColor="accent5"/>
        <w:right w:val="single" w:sz="8" w:space="0" w:color="0D8577" w:themeColor="accent5"/>
      </w:tblBorders>
    </w:tblPr>
    <w:tblStylePr w:type="firstRow">
      <w:rPr>
        <w:sz w:val="24"/>
        <w:szCs w:val="24"/>
      </w:rPr>
      <w:tblPr/>
      <w:tcPr>
        <w:tcBorders>
          <w:top w:val="nil"/>
          <w:left w:val="nil"/>
          <w:bottom w:val="single" w:sz="24" w:space="0" w:color="0D8577" w:themeColor="accent5"/>
          <w:right w:val="nil"/>
          <w:insideH w:val="nil"/>
          <w:insideV w:val="nil"/>
        </w:tcBorders>
        <w:shd w:val="clear" w:color="auto" w:fill="FFFFFF" w:themeFill="background1"/>
      </w:tcPr>
    </w:tblStylePr>
    <w:tblStylePr w:type="lastRow">
      <w:tblPr/>
      <w:tcPr>
        <w:tcBorders>
          <w:top w:val="single" w:sz="8" w:space="0" w:color="0D857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8577" w:themeColor="accent5"/>
          <w:insideH w:val="nil"/>
          <w:insideV w:val="nil"/>
        </w:tcBorders>
        <w:shd w:val="clear" w:color="auto" w:fill="FFFFFF" w:themeFill="background1"/>
      </w:tcPr>
    </w:tblStylePr>
    <w:tblStylePr w:type="lastCol">
      <w:tblPr/>
      <w:tcPr>
        <w:tcBorders>
          <w:top w:val="nil"/>
          <w:left w:val="single" w:sz="8" w:space="0" w:color="0D857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7EE" w:themeFill="accent5" w:themeFillTint="3F"/>
      </w:tcPr>
    </w:tblStylePr>
    <w:tblStylePr w:type="band1Horz">
      <w:tblPr/>
      <w:tcPr>
        <w:tcBorders>
          <w:top w:val="nil"/>
          <w:bottom w:val="nil"/>
          <w:insideH w:val="nil"/>
          <w:insideV w:val="nil"/>
        </w:tcBorders>
        <w:shd w:val="clear" w:color="auto" w:fill="ADF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8E4939"/>
    <w:pPr>
      <w:spacing w:after="0" w:line="240" w:lineRule="auto"/>
    </w:pPr>
    <w:rPr>
      <w:rFonts w:asciiTheme="majorHAnsi" w:eastAsiaTheme="majorEastAsia" w:hAnsiTheme="majorHAnsi" w:cstheme="majorBidi"/>
    </w:rPr>
    <w:tblPr>
      <w:tblStyleRowBandSize w:val="1"/>
      <w:tblStyleColBandSize w:val="1"/>
      <w:tblBorders>
        <w:top w:val="single" w:sz="8" w:space="0" w:color="46B8A9" w:themeColor="accent6"/>
        <w:left w:val="single" w:sz="8" w:space="0" w:color="46B8A9" w:themeColor="accent6"/>
        <w:bottom w:val="single" w:sz="8" w:space="0" w:color="46B8A9" w:themeColor="accent6"/>
        <w:right w:val="single" w:sz="8" w:space="0" w:color="46B8A9" w:themeColor="accent6"/>
      </w:tblBorders>
    </w:tblPr>
    <w:tblStylePr w:type="firstRow">
      <w:rPr>
        <w:sz w:val="24"/>
        <w:szCs w:val="24"/>
      </w:rPr>
      <w:tblPr/>
      <w:tcPr>
        <w:tcBorders>
          <w:top w:val="nil"/>
          <w:left w:val="nil"/>
          <w:bottom w:val="single" w:sz="24" w:space="0" w:color="46B8A9" w:themeColor="accent6"/>
          <w:right w:val="nil"/>
          <w:insideH w:val="nil"/>
          <w:insideV w:val="nil"/>
        </w:tcBorders>
        <w:shd w:val="clear" w:color="auto" w:fill="FFFFFF" w:themeFill="background1"/>
      </w:tcPr>
    </w:tblStylePr>
    <w:tblStylePr w:type="lastRow">
      <w:tblPr/>
      <w:tcPr>
        <w:tcBorders>
          <w:top w:val="single" w:sz="8" w:space="0" w:color="46B8A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B8A9" w:themeColor="accent6"/>
          <w:insideH w:val="nil"/>
          <w:insideV w:val="nil"/>
        </w:tcBorders>
        <w:shd w:val="clear" w:color="auto" w:fill="FFFFFF" w:themeFill="background1"/>
      </w:tcPr>
    </w:tblStylePr>
    <w:tblStylePr w:type="lastCol">
      <w:tblPr/>
      <w:tcPr>
        <w:tcBorders>
          <w:top w:val="nil"/>
          <w:left w:val="single" w:sz="8" w:space="0" w:color="46B8A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DE9" w:themeFill="accent6" w:themeFillTint="3F"/>
      </w:tcPr>
    </w:tblStylePr>
    <w:tblStylePr w:type="band1Horz">
      <w:tblPr/>
      <w:tcPr>
        <w:tcBorders>
          <w:top w:val="nil"/>
          <w:bottom w:val="nil"/>
          <w:insideH w:val="nil"/>
          <w:insideV w:val="nil"/>
        </w:tcBorders>
        <w:shd w:val="clear" w:color="auto" w:fill="D1ED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8E4939"/>
    <w:pPr>
      <w:spacing w:after="0" w:line="240" w:lineRule="auto"/>
    </w:pPr>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tblBorders>
    </w:tblPr>
    <w:tblStylePr w:type="firstRow">
      <w:pPr>
        <w:spacing w:before="0" w:after="0" w:line="240" w:lineRule="auto"/>
      </w:pPr>
      <w:rPr>
        <w:b/>
        <w:bCs/>
        <w:color w:val="FFFFFF" w:themeColor="background1"/>
      </w:rPr>
      <w:tblPr/>
      <w:tcPr>
        <w:tc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shd w:val="clear" w:color="auto" w:fill="222222" w:themeFill="text1"/>
      </w:tcPr>
    </w:tblStylePr>
    <w:tblStylePr w:type="lastRow">
      <w:pPr>
        <w:spacing w:before="0" w:after="0" w:line="240" w:lineRule="auto"/>
      </w:pPr>
      <w:rPr>
        <w:b/>
        <w:bCs/>
      </w:rPr>
      <w:tblPr/>
      <w:tcPr>
        <w:tcBorders>
          <w:top w:val="double" w:sz="6"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8" w:themeFill="text1" w:themeFillTint="3F"/>
      </w:tcPr>
    </w:tblStylePr>
    <w:tblStylePr w:type="band1Horz">
      <w:tblPr/>
      <w:tcPr>
        <w:tcBorders>
          <w:insideH w:val="nil"/>
          <w:insideV w:val="nil"/>
        </w:tcBorders>
        <w:shd w:val="clear" w:color="auto" w:fill="C8C8C8"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8E4939"/>
    <w:pPr>
      <w:spacing w:after="0" w:line="240" w:lineRule="auto"/>
    </w:pPr>
    <w:tblPr>
      <w:tblStyleRowBandSize w:val="1"/>
      <w:tblStyleColBandSize w:val="1"/>
      <w:tblBorders>
        <w:top w:val="single" w:sz="8" w:space="0" w:color="FF8B19" w:themeColor="accent1" w:themeTint="BF"/>
        <w:left w:val="single" w:sz="8" w:space="0" w:color="FF8B19" w:themeColor="accent1" w:themeTint="BF"/>
        <w:bottom w:val="single" w:sz="8" w:space="0" w:color="FF8B19" w:themeColor="accent1" w:themeTint="BF"/>
        <w:right w:val="single" w:sz="8" w:space="0" w:color="FF8B19" w:themeColor="accent1" w:themeTint="BF"/>
        <w:insideH w:val="single" w:sz="8" w:space="0" w:color="FF8B19" w:themeColor="accent1" w:themeTint="BF"/>
      </w:tblBorders>
    </w:tblPr>
    <w:tblStylePr w:type="firstRow">
      <w:pPr>
        <w:spacing w:before="0" w:after="0" w:line="240" w:lineRule="auto"/>
      </w:pPr>
      <w:rPr>
        <w:b/>
        <w:bCs/>
        <w:color w:val="FFFFFF" w:themeColor="background1"/>
      </w:rPr>
      <w:tblPr/>
      <w:tcPr>
        <w:tcBorders>
          <w:top w:val="single" w:sz="8" w:space="0" w:color="FF8B19" w:themeColor="accent1" w:themeTint="BF"/>
          <w:left w:val="single" w:sz="8" w:space="0" w:color="FF8B19" w:themeColor="accent1" w:themeTint="BF"/>
          <w:bottom w:val="single" w:sz="8" w:space="0" w:color="FF8B19" w:themeColor="accent1" w:themeTint="BF"/>
          <w:right w:val="single" w:sz="8" w:space="0" w:color="FF8B19" w:themeColor="accent1" w:themeTint="BF"/>
          <w:insideH w:val="nil"/>
          <w:insideV w:val="nil"/>
        </w:tcBorders>
        <w:shd w:val="clear" w:color="auto" w:fill="CC6600" w:themeFill="accent1"/>
      </w:tcPr>
    </w:tblStylePr>
    <w:tblStylePr w:type="lastRow">
      <w:pPr>
        <w:spacing w:before="0" w:after="0" w:line="240" w:lineRule="auto"/>
      </w:pPr>
      <w:rPr>
        <w:b/>
        <w:bCs/>
      </w:rPr>
      <w:tblPr/>
      <w:tcPr>
        <w:tcBorders>
          <w:top w:val="double" w:sz="6" w:space="0" w:color="FF8B19" w:themeColor="accent1" w:themeTint="BF"/>
          <w:left w:val="single" w:sz="8" w:space="0" w:color="FF8B19" w:themeColor="accent1" w:themeTint="BF"/>
          <w:bottom w:val="single" w:sz="8" w:space="0" w:color="FF8B19" w:themeColor="accent1" w:themeTint="BF"/>
          <w:right w:val="single" w:sz="8" w:space="0" w:color="FF8B1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9B3" w:themeFill="accent1" w:themeFillTint="3F"/>
      </w:tcPr>
    </w:tblStylePr>
    <w:tblStylePr w:type="band1Horz">
      <w:tblPr/>
      <w:tcPr>
        <w:tcBorders>
          <w:insideH w:val="nil"/>
          <w:insideV w:val="nil"/>
        </w:tcBorders>
        <w:shd w:val="clear" w:color="auto" w:fill="FFD9B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8E4939"/>
    <w:pPr>
      <w:spacing w:after="0" w:line="240" w:lineRule="auto"/>
    </w:pPr>
    <w:tblPr>
      <w:tblStyleRowBandSize w:val="1"/>
      <w:tblStyleColBandSize w:val="1"/>
      <w:tblBorders>
        <w:top w:val="single" w:sz="8" w:space="0" w:color="FCE9D8" w:themeColor="accent2" w:themeTint="BF"/>
        <w:left w:val="single" w:sz="8" w:space="0" w:color="FCE9D8" w:themeColor="accent2" w:themeTint="BF"/>
        <w:bottom w:val="single" w:sz="8" w:space="0" w:color="FCE9D8" w:themeColor="accent2" w:themeTint="BF"/>
        <w:right w:val="single" w:sz="8" w:space="0" w:color="FCE9D8" w:themeColor="accent2" w:themeTint="BF"/>
        <w:insideH w:val="single" w:sz="8" w:space="0" w:color="FCE9D8" w:themeColor="accent2" w:themeTint="BF"/>
      </w:tblBorders>
    </w:tblPr>
    <w:tblStylePr w:type="firstRow">
      <w:pPr>
        <w:spacing w:before="0" w:after="0" w:line="240" w:lineRule="auto"/>
      </w:pPr>
      <w:rPr>
        <w:b/>
        <w:bCs/>
        <w:color w:val="FFFFFF" w:themeColor="background1"/>
      </w:rPr>
      <w:tblPr/>
      <w:tcPr>
        <w:tcBorders>
          <w:top w:val="single" w:sz="8" w:space="0" w:color="FCE9D8" w:themeColor="accent2" w:themeTint="BF"/>
          <w:left w:val="single" w:sz="8" w:space="0" w:color="FCE9D8" w:themeColor="accent2" w:themeTint="BF"/>
          <w:bottom w:val="single" w:sz="8" w:space="0" w:color="FCE9D8" w:themeColor="accent2" w:themeTint="BF"/>
          <w:right w:val="single" w:sz="8" w:space="0" w:color="FCE9D8" w:themeColor="accent2" w:themeTint="BF"/>
          <w:insideH w:val="nil"/>
          <w:insideV w:val="nil"/>
        </w:tcBorders>
        <w:shd w:val="clear" w:color="auto" w:fill="FCE2CC" w:themeFill="accent2"/>
      </w:tcPr>
    </w:tblStylePr>
    <w:tblStylePr w:type="lastRow">
      <w:pPr>
        <w:spacing w:before="0" w:after="0" w:line="240" w:lineRule="auto"/>
      </w:pPr>
      <w:rPr>
        <w:b/>
        <w:bCs/>
      </w:rPr>
      <w:tblPr/>
      <w:tcPr>
        <w:tcBorders>
          <w:top w:val="double" w:sz="6" w:space="0" w:color="FCE9D8" w:themeColor="accent2" w:themeTint="BF"/>
          <w:left w:val="single" w:sz="8" w:space="0" w:color="FCE9D8" w:themeColor="accent2" w:themeTint="BF"/>
          <w:bottom w:val="single" w:sz="8" w:space="0" w:color="FCE9D8" w:themeColor="accent2" w:themeTint="BF"/>
          <w:right w:val="single" w:sz="8" w:space="0" w:color="FCE9D8"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7F2" w:themeFill="accent2" w:themeFillTint="3F"/>
      </w:tcPr>
    </w:tblStylePr>
    <w:tblStylePr w:type="band1Horz">
      <w:tblPr/>
      <w:tcPr>
        <w:tcBorders>
          <w:insideH w:val="nil"/>
          <w:insideV w:val="nil"/>
        </w:tcBorders>
        <w:shd w:val="clear" w:color="auto" w:fill="FEF7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8E4939"/>
    <w:pPr>
      <w:spacing w:after="0" w:line="240" w:lineRule="auto"/>
    </w:pPr>
    <w:tblPr>
      <w:tblStyleRowBandSize w:val="1"/>
      <w:tblStyleColBandSize w:val="1"/>
      <w:tblBorders>
        <w:top w:val="single" w:sz="8" w:space="0" w:color="1872BE" w:themeColor="accent3" w:themeTint="BF"/>
        <w:left w:val="single" w:sz="8" w:space="0" w:color="1872BE" w:themeColor="accent3" w:themeTint="BF"/>
        <w:bottom w:val="single" w:sz="8" w:space="0" w:color="1872BE" w:themeColor="accent3" w:themeTint="BF"/>
        <w:right w:val="single" w:sz="8" w:space="0" w:color="1872BE" w:themeColor="accent3" w:themeTint="BF"/>
        <w:insideH w:val="single" w:sz="8" w:space="0" w:color="1872BE" w:themeColor="accent3" w:themeTint="BF"/>
      </w:tblBorders>
    </w:tblPr>
    <w:tblStylePr w:type="firstRow">
      <w:pPr>
        <w:spacing w:before="0" w:after="0" w:line="240" w:lineRule="auto"/>
      </w:pPr>
      <w:rPr>
        <w:b/>
        <w:bCs/>
        <w:color w:val="FFFFFF" w:themeColor="background1"/>
      </w:rPr>
      <w:tblPr/>
      <w:tcPr>
        <w:tcBorders>
          <w:top w:val="single" w:sz="8" w:space="0" w:color="1872BE" w:themeColor="accent3" w:themeTint="BF"/>
          <w:left w:val="single" w:sz="8" w:space="0" w:color="1872BE" w:themeColor="accent3" w:themeTint="BF"/>
          <w:bottom w:val="single" w:sz="8" w:space="0" w:color="1872BE" w:themeColor="accent3" w:themeTint="BF"/>
          <w:right w:val="single" w:sz="8" w:space="0" w:color="1872BE" w:themeColor="accent3" w:themeTint="BF"/>
          <w:insideH w:val="nil"/>
          <w:insideV w:val="nil"/>
        </w:tcBorders>
        <w:shd w:val="clear" w:color="auto" w:fill="0D3E67" w:themeFill="accent3"/>
      </w:tcPr>
    </w:tblStylePr>
    <w:tblStylePr w:type="lastRow">
      <w:pPr>
        <w:spacing w:before="0" w:after="0" w:line="240" w:lineRule="auto"/>
      </w:pPr>
      <w:rPr>
        <w:b/>
        <w:bCs/>
      </w:rPr>
      <w:tblPr/>
      <w:tcPr>
        <w:tcBorders>
          <w:top w:val="double" w:sz="6" w:space="0" w:color="1872BE" w:themeColor="accent3" w:themeTint="BF"/>
          <w:left w:val="single" w:sz="8" w:space="0" w:color="1872BE" w:themeColor="accent3" w:themeTint="BF"/>
          <w:bottom w:val="single" w:sz="8" w:space="0" w:color="1872BE" w:themeColor="accent3" w:themeTint="BF"/>
          <w:right w:val="single" w:sz="8" w:space="0" w:color="1872BE" w:themeColor="accent3" w:themeTint="BF"/>
          <w:insideH w:val="nil"/>
          <w:insideV w:val="nil"/>
        </w:tcBorders>
      </w:tcPr>
    </w:tblStylePr>
    <w:tblStylePr w:type="firstCol">
      <w:rPr>
        <w:b/>
        <w:bCs/>
      </w:rPr>
    </w:tblStylePr>
    <w:tblStylePr w:type="lastCol">
      <w:rPr>
        <w:b/>
        <w:bCs/>
      </w:rPr>
    </w:tblStylePr>
    <w:tblStylePr w:type="band1Vert">
      <w:tblPr/>
      <w:tcPr>
        <w:shd w:val="clear" w:color="auto" w:fill="A8D1F4" w:themeFill="accent3" w:themeFillTint="3F"/>
      </w:tcPr>
    </w:tblStylePr>
    <w:tblStylePr w:type="band1Horz">
      <w:tblPr/>
      <w:tcPr>
        <w:tcBorders>
          <w:insideH w:val="nil"/>
          <w:insideV w:val="nil"/>
        </w:tcBorders>
        <w:shd w:val="clear" w:color="auto" w:fill="A8D1F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8E4939"/>
    <w:pPr>
      <w:spacing w:after="0" w:line="240" w:lineRule="auto"/>
    </w:pPr>
    <w:tblPr>
      <w:tblStyleRowBandSize w:val="1"/>
      <w:tblStyleColBandSize w:val="1"/>
      <w:tblBorders>
        <w:top w:val="single" w:sz="8" w:space="0" w:color="9DB0C7" w:themeColor="accent4" w:themeTint="BF"/>
        <w:left w:val="single" w:sz="8" w:space="0" w:color="9DB0C7" w:themeColor="accent4" w:themeTint="BF"/>
        <w:bottom w:val="single" w:sz="8" w:space="0" w:color="9DB0C7" w:themeColor="accent4" w:themeTint="BF"/>
        <w:right w:val="single" w:sz="8" w:space="0" w:color="9DB0C7" w:themeColor="accent4" w:themeTint="BF"/>
        <w:insideH w:val="single" w:sz="8" w:space="0" w:color="9DB0C7" w:themeColor="accent4" w:themeTint="BF"/>
      </w:tblBorders>
    </w:tblPr>
    <w:tblStylePr w:type="firstRow">
      <w:pPr>
        <w:spacing w:before="0" w:after="0" w:line="240" w:lineRule="auto"/>
      </w:pPr>
      <w:rPr>
        <w:b/>
        <w:bCs/>
        <w:color w:val="FFFFFF" w:themeColor="background1"/>
      </w:rPr>
      <w:tblPr/>
      <w:tcPr>
        <w:tcBorders>
          <w:top w:val="single" w:sz="8" w:space="0" w:color="9DB0C7" w:themeColor="accent4" w:themeTint="BF"/>
          <w:left w:val="single" w:sz="8" w:space="0" w:color="9DB0C7" w:themeColor="accent4" w:themeTint="BF"/>
          <w:bottom w:val="single" w:sz="8" w:space="0" w:color="9DB0C7" w:themeColor="accent4" w:themeTint="BF"/>
          <w:right w:val="single" w:sz="8" w:space="0" w:color="9DB0C7" w:themeColor="accent4" w:themeTint="BF"/>
          <w:insideH w:val="nil"/>
          <w:insideV w:val="nil"/>
        </w:tcBorders>
        <w:shd w:val="clear" w:color="auto" w:fill="7D96B5" w:themeFill="accent4"/>
      </w:tcPr>
    </w:tblStylePr>
    <w:tblStylePr w:type="lastRow">
      <w:pPr>
        <w:spacing w:before="0" w:after="0" w:line="240" w:lineRule="auto"/>
      </w:pPr>
      <w:rPr>
        <w:b/>
        <w:bCs/>
      </w:rPr>
      <w:tblPr/>
      <w:tcPr>
        <w:tcBorders>
          <w:top w:val="double" w:sz="6" w:space="0" w:color="9DB0C7" w:themeColor="accent4" w:themeTint="BF"/>
          <w:left w:val="single" w:sz="8" w:space="0" w:color="9DB0C7" w:themeColor="accent4" w:themeTint="BF"/>
          <w:bottom w:val="single" w:sz="8" w:space="0" w:color="9DB0C7" w:themeColor="accent4" w:themeTint="BF"/>
          <w:right w:val="single" w:sz="8" w:space="0" w:color="9DB0C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4EC" w:themeFill="accent4" w:themeFillTint="3F"/>
      </w:tcPr>
    </w:tblStylePr>
    <w:tblStylePr w:type="band1Horz">
      <w:tblPr/>
      <w:tcPr>
        <w:tcBorders>
          <w:insideH w:val="nil"/>
          <w:insideV w:val="nil"/>
        </w:tcBorders>
        <w:shd w:val="clear" w:color="auto" w:fill="DEE4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8E4939"/>
    <w:pPr>
      <w:spacing w:after="0" w:line="240" w:lineRule="auto"/>
    </w:pPr>
    <w:tblPr>
      <w:tblStyleRowBandSize w:val="1"/>
      <w:tblStyleColBandSize w:val="1"/>
      <w:tblBorders>
        <w:top w:val="single" w:sz="8" w:space="0" w:color="15D8C1" w:themeColor="accent5" w:themeTint="BF"/>
        <w:left w:val="single" w:sz="8" w:space="0" w:color="15D8C1" w:themeColor="accent5" w:themeTint="BF"/>
        <w:bottom w:val="single" w:sz="8" w:space="0" w:color="15D8C1" w:themeColor="accent5" w:themeTint="BF"/>
        <w:right w:val="single" w:sz="8" w:space="0" w:color="15D8C1" w:themeColor="accent5" w:themeTint="BF"/>
        <w:insideH w:val="single" w:sz="8" w:space="0" w:color="15D8C1" w:themeColor="accent5" w:themeTint="BF"/>
      </w:tblBorders>
    </w:tblPr>
    <w:tblStylePr w:type="firstRow">
      <w:pPr>
        <w:spacing w:before="0" w:after="0" w:line="240" w:lineRule="auto"/>
      </w:pPr>
      <w:rPr>
        <w:b/>
        <w:bCs/>
        <w:color w:val="FFFFFF" w:themeColor="background1"/>
      </w:rPr>
      <w:tblPr/>
      <w:tcPr>
        <w:tcBorders>
          <w:top w:val="single" w:sz="8" w:space="0" w:color="15D8C1" w:themeColor="accent5" w:themeTint="BF"/>
          <w:left w:val="single" w:sz="8" w:space="0" w:color="15D8C1" w:themeColor="accent5" w:themeTint="BF"/>
          <w:bottom w:val="single" w:sz="8" w:space="0" w:color="15D8C1" w:themeColor="accent5" w:themeTint="BF"/>
          <w:right w:val="single" w:sz="8" w:space="0" w:color="15D8C1" w:themeColor="accent5" w:themeTint="BF"/>
          <w:insideH w:val="nil"/>
          <w:insideV w:val="nil"/>
        </w:tcBorders>
        <w:shd w:val="clear" w:color="auto" w:fill="0D8577" w:themeFill="accent5"/>
      </w:tcPr>
    </w:tblStylePr>
    <w:tblStylePr w:type="lastRow">
      <w:pPr>
        <w:spacing w:before="0" w:after="0" w:line="240" w:lineRule="auto"/>
      </w:pPr>
      <w:rPr>
        <w:b/>
        <w:bCs/>
      </w:rPr>
      <w:tblPr/>
      <w:tcPr>
        <w:tcBorders>
          <w:top w:val="double" w:sz="6" w:space="0" w:color="15D8C1" w:themeColor="accent5" w:themeTint="BF"/>
          <w:left w:val="single" w:sz="8" w:space="0" w:color="15D8C1" w:themeColor="accent5" w:themeTint="BF"/>
          <w:bottom w:val="single" w:sz="8" w:space="0" w:color="15D8C1" w:themeColor="accent5" w:themeTint="BF"/>
          <w:right w:val="single" w:sz="8" w:space="0" w:color="15D8C1" w:themeColor="accent5" w:themeTint="BF"/>
          <w:insideH w:val="nil"/>
          <w:insideV w:val="nil"/>
        </w:tcBorders>
      </w:tcPr>
    </w:tblStylePr>
    <w:tblStylePr w:type="firstCol">
      <w:rPr>
        <w:b/>
        <w:bCs/>
      </w:rPr>
    </w:tblStylePr>
    <w:tblStylePr w:type="lastCol">
      <w:rPr>
        <w:b/>
        <w:bCs/>
      </w:rPr>
    </w:tblStylePr>
    <w:tblStylePr w:type="band1Vert">
      <w:tblPr/>
      <w:tcPr>
        <w:shd w:val="clear" w:color="auto" w:fill="ADF7EE" w:themeFill="accent5" w:themeFillTint="3F"/>
      </w:tcPr>
    </w:tblStylePr>
    <w:tblStylePr w:type="band1Horz">
      <w:tblPr/>
      <w:tcPr>
        <w:tcBorders>
          <w:insideH w:val="nil"/>
          <w:insideV w:val="nil"/>
        </w:tcBorders>
        <w:shd w:val="clear" w:color="auto" w:fill="ADF7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8E4939"/>
    <w:pPr>
      <w:spacing w:after="0" w:line="240" w:lineRule="auto"/>
    </w:pPr>
    <w:tblPr>
      <w:tblStyleRowBandSize w:val="1"/>
      <w:tblStyleColBandSize w:val="1"/>
      <w:tblBorders>
        <w:top w:val="single" w:sz="8" w:space="0" w:color="73CABE" w:themeColor="accent6" w:themeTint="BF"/>
        <w:left w:val="single" w:sz="8" w:space="0" w:color="73CABE" w:themeColor="accent6" w:themeTint="BF"/>
        <w:bottom w:val="single" w:sz="8" w:space="0" w:color="73CABE" w:themeColor="accent6" w:themeTint="BF"/>
        <w:right w:val="single" w:sz="8" w:space="0" w:color="73CABE" w:themeColor="accent6" w:themeTint="BF"/>
        <w:insideH w:val="single" w:sz="8" w:space="0" w:color="73CABE" w:themeColor="accent6" w:themeTint="BF"/>
      </w:tblBorders>
    </w:tblPr>
    <w:tblStylePr w:type="firstRow">
      <w:pPr>
        <w:spacing w:before="0" w:after="0" w:line="240" w:lineRule="auto"/>
      </w:pPr>
      <w:rPr>
        <w:b/>
        <w:bCs/>
        <w:color w:val="FFFFFF" w:themeColor="background1"/>
      </w:rPr>
      <w:tblPr/>
      <w:tcPr>
        <w:tcBorders>
          <w:top w:val="single" w:sz="8" w:space="0" w:color="73CABE" w:themeColor="accent6" w:themeTint="BF"/>
          <w:left w:val="single" w:sz="8" w:space="0" w:color="73CABE" w:themeColor="accent6" w:themeTint="BF"/>
          <w:bottom w:val="single" w:sz="8" w:space="0" w:color="73CABE" w:themeColor="accent6" w:themeTint="BF"/>
          <w:right w:val="single" w:sz="8" w:space="0" w:color="73CABE" w:themeColor="accent6" w:themeTint="BF"/>
          <w:insideH w:val="nil"/>
          <w:insideV w:val="nil"/>
        </w:tcBorders>
        <w:shd w:val="clear" w:color="auto" w:fill="46B8A9" w:themeFill="accent6"/>
      </w:tcPr>
    </w:tblStylePr>
    <w:tblStylePr w:type="lastRow">
      <w:pPr>
        <w:spacing w:before="0" w:after="0" w:line="240" w:lineRule="auto"/>
      </w:pPr>
      <w:rPr>
        <w:b/>
        <w:bCs/>
      </w:rPr>
      <w:tblPr/>
      <w:tcPr>
        <w:tcBorders>
          <w:top w:val="double" w:sz="6" w:space="0" w:color="73CABE" w:themeColor="accent6" w:themeTint="BF"/>
          <w:left w:val="single" w:sz="8" w:space="0" w:color="73CABE" w:themeColor="accent6" w:themeTint="BF"/>
          <w:bottom w:val="single" w:sz="8" w:space="0" w:color="73CABE" w:themeColor="accent6" w:themeTint="BF"/>
          <w:right w:val="single" w:sz="8" w:space="0" w:color="73CABE"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EDE9" w:themeFill="accent6" w:themeFillTint="3F"/>
      </w:tcPr>
    </w:tblStylePr>
    <w:tblStylePr w:type="band1Horz">
      <w:tblPr/>
      <w:tcPr>
        <w:tcBorders>
          <w:insideH w:val="nil"/>
          <w:insideV w:val="nil"/>
        </w:tcBorders>
        <w:shd w:val="clear" w:color="auto" w:fill="D1ED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8E49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2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22222" w:themeFill="text1"/>
      </w:tcPr>
    </w:tblStylePr>
    <w:tblStylePr w:type="lastCol">
      <w:rPr>
        <w:b/>
        <w:bCs/>
        <w:color w:val="FFFFFF" w:themeColor="background1"/>
      </w:rPr>
      <w:tblPr/>
      <w:tcPr>
        <w:tcBorders>
          <w:left w:val="nil"/>
          <w:right w:val="nil"/>
          <w:insideH w:val="nil"/>
          <w:insideV w:val="nil"/>
        </w:tcBorders>
        <w:shd w:val="clear" w:color="auto" w:fill="22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8E49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6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6600" w:themeFill="accent1"/>
      </w:tcPr>
    </w:tblStylePr>
    <w:tblStylePr w:type="lastCol">
      <w:rPr>
        <w:b/>
        <w:bCs/>
        <w:color w:val="FFFFFF" w:themeColor="background1"/>
      </w:rPr>
      <w:tblPr/>
      <w:tcPr>
        <w:tcBorders>
          <w:left w:val="nil"/>
          <w:right w:val="nil"/>
          <w:insideH w:val="nil"/>
          <w:insideV w:val="nil"/>
        </w:tcBorders>
        <w:shd w:val="clear" w:color="auto" w:fill="CC6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8E49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E2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E2CC" w:themeFill="accent2"/>
      </w:tcPr>
    </w:tblStylePr>
    <w:tblStylePr w:type="lastCol">
      <w:rPr>
        <w:b/>
        <w:bCs/>
        <w:color w:val="FFFFFF" w:themeColor="background1"/>
      </w:rPr>
      <w:tblPr/>
      <w:tcPr>
        <w:tcBorders>
          <w:left w:val="nil"/>
          <w:right w:val="nil"/>
          <w:insideH w:val="nil"/>
          <w:insideV w:val="nil"/>
        </w:tcBorders>
        <w:shd w:val="clear" w:color="auto" w:fill="FCE2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8E49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3E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D3E67" w:themeFill="accent3"/>
      </w:tcPr>
    </w:tblStylePr>
    <w:tblStylePr w:type="lastCol">
      <w:rPr>
        <w:b/>
        <w:bCs/>
        <w:color w:val="FFFFFF" w:themeColor="background1"/>
      </w:rPr>
      <w:tblPr/>
      <w:tcPr>
        <w:tcBorders>
          <w:left w:val="nil"/>
          <w:right w:val="nil"/>
          <w:insideH w:val="nil"/>
          <w:insideV w:val="nil"/>
        </w:tcBorders>
        <w:shd w:val="clear" w:color="auto" w:fill="0D3E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8E49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96B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96B5" w:themeFill="accent4"/>
      </w:tcPr>
    </w:tblStylePr>
    <w:tblStylePr w:type="lastCol">
      <w:rPr>
        <w:b/>
        <w:bCs/>
        <w:color w:val="FFFFFF" w:themeColor="background1"/>
      </w:rPr>
      <w:tblPr/>
      <w:tcPr>
        <w:tcBorders>
          <w:left w:val="nil"/>
          <w:right w:val="nil"/>
          <w:insideH w:val="nil"/>
          <w:insideV w:val="nil"/>
        </w:tcBorders>
        <w:shd w:val="clear" w:color="auto" w:fill="7D96B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8E49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857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D8577" w:themeFill="accent5"/>
      </w:tcPr>
    </w:tblStylePr>
    <w:tblStylePr w:type="lastCol">
      <w:rPr>
        <w:b/>
        <w:bCs/>
        <w:color w:val="FFFFFF" w:themeColor="background1"/>
      </w:rPr>
      <w:tblPr/>
      <w:tcPr>
        <w:tcBorders>
          <w:left w:val="nil"/>
          <w:right w:val="nil"/>
          <w:insideH w:val="nil"/>
          <w:insideV w:val="nil"/>
        </w:tcBorders>
        <w:shd w:val="clear" w:color="auto" w:fill="0D857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locked/>
    <w:rsid w:val="008E493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B8A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B8A9" w:themeFill="accent6"/>
      </w:tcPr>
    </w:tblStylePr>
    <w:tblStylePr w:type="lastCol">
      <w:rPr>
        <w:b/>
        <w:bCs/>
        <w:color w:val="FFFFFF" w:themeColor="background1"/>
      </w:rPr>
      <w:tblPr/>
      <w:tcPr>
        <w:tcBorders>
          <w:left w:val="nil"/>
          <w:right w:val="nil"/>
          <w:insideH w:val="nil"/>
          <w:insideV w:val="nil"/>
        </w:tcBorders>
        <w:shd w:val="clear" w:color="auto" w:fill="46B8A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locked/>
    <w:rsid w:val="008E493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8E493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8E493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8E493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8E493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8E493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8E493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8E493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8E493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8E493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8E493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8E493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8E493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8E493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8E493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8E493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8E493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8E493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8E493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8E493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8E493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8E493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8E493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8E493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8E493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8E493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8E493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8E493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8E493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8E493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8E493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8E493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8E493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locked/>
    <w:rsid w:val="008E493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8E493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8E493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8E493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8E493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8E493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8E4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8E493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8E493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8E493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8E4939"/>
    <w:pPr>
      <w:spacing w:after="0" w:line="240" w:lineRule="auto"/>
    </w:pPr>
  </w:style>
  <w:style w:type="character" w:customStyle="1" w:styleId="ListParagraphChar">
    <w:name w:val="List Paragraph Char"/>
    <w:basedOn w:val="DefaultParagraphFont"/>
    <w:link w:val="ListParagraph"/>
    <w:uiPriority w:val="18"/>
    <w:qFormat/>
    <w:locked/>
    <w:rsid w:val="008E4939"/>
  </w:style>
  <w:style w:type="table" w:styleId="GridTable1Light">
    <w:name w:val="Grid Table 1 Light"/>
    <w:basedOn w:val="TableNormal"/>
    <w:uiPriority w:val="46"/>
    <w:locked/>
    <w:rsid w:val="008E4939"/>
    <w:pPr>
      <w:spacing w:after="0" w:line="240" w:lineRule="auto"/>
    </w:pPr>
    <w:tblPr>
      <w:tblStyleRowBandSize w:val="1"/>
      <w:tblStyleColBandSize w:val="1"/>
      <w:tblBorders>
        <w:top w:val="single" w:sz="4" w:space="0" w:color="A6A6A6" w:themeColor="text1" w:themeTint="66"/>
        <w:left w:val="single" w:sz="4" w:space="0" w:color="A6A6A6" w:themeColor="text1" w:themeTint="66"/>
        <w:bottom w:val="single" w:sz="4" w:space="0" w:color="A6A6A6" w:themeColor="text1" w:themeTint="66"/>
        <w:right w:val="single" w:sz="4" w:space="0" w:color="A6A6A6" w:themeColor="text1" w:themeTint="66"/>
        <w:insideH w:val="single" w:sz="4" w:space="0" w:color="A6A6A6" w:themeColor="text1" w:themeTint="66"/>
        <w:insideV w:val="single" w:sz="4" w:space="0" w:color="A6A6A6" w:themeColor="text1" w:themeTint="66"/>
      </w:tblBorders>
    </w:tblPr>
    <w:tblStylePr w:type="firstRow">
      <w:rPr>
        <w:b/>
        <w:bCs/>
      </w:rPr>
      <w:tblPr/>
      <w:tcPr>
        <w:tcBorders>
          <w:bottom w:val="single" w:sz="12" w:space="0" w:color="7A7A7A" w:themeColor="text1" w:themeTint="99"/>
        </w:tcBorders>
      </w:tcPr>
    </w:tblStylePr>
    <w:tblStylePr w:type="lastRow">
      <w:rPr>
        <w:b/>
        <w:bCs/>
      </w:rPr>
      <w:tblPr/>
      <w:tcPr>
        <w:tcBorders>
          <w:top w:val="double" w:sz="2" w:space="0" w:color="7A7A7A"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8E4939"/>
    <w:pPr>
      <w:spacing w:after="0" w:line="240" w:lineRule="auto"/>
    </w:pPr>
    <w:tblPr>
      <w:tblStyleRowBandSize w:val="1"/>
      <w:tblStyleColBandSize w:val="1"/>
      <w:tblBorders>
        <w:top w:val="single" w:sz="4" w:space="0" w:color="FFC184" w:themeColor="accent1" w:themeTint="66"/>
        <w:left w:val="single" w:sz="4" w:space="0" w:color="FFC184" w:themeColor="accent1" w:themeTint="66"/>
        <w:bottom w:val="single" w:sz="4" w:space="0" w:color="FFC184" w:themeColor="accent1" w:themeTint="66"/>
        <w:right w:val="single" w:sz="4" w:space="0" w:color="FFC184" w:themeColor="accent1" w:themeTint="66"/>
        <w:insideH w:val="single" w:sz="4" w:space="0" w:color="FFC184" w:themeColor="accent1" w:themeTint="66"/>
        <w:insideV w:val="single" w:sz="4" w:space="0" w:color="FFC184" w:themeColor="accent1" w:themeTint="66"/>
      </w:tblBorders>
    </w:tblPr>
    <w:tblStylePr w:type="firstRow">
      <w:rPr>
        <w:b/>
        <w:bCs/>
      </w:rPr>
      <w:tblPr/>
      <w:tcPr>
        <w:tcBorders>
          <w:bottom w:val="single" w:sz="12" w:space="0" w:color="FFA247" w:themeColor="accent1" w:themeTint="99"/>
        </w:tcBorders>
      </w:tcPr>
    </w:tblStylePr>
    <w:tblStylePr w:type="lastRow">
      <w:rPr>
        <w:b/>
        <w:bCs/>
      </w:rPr>
      <w:tblPr/>
      <w:tcPr>
        <w:tcBorders>
          <w:top w:val="double" w:sz="2" w:space="0" w:color="FFA24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8E4939"/>
    <w:pPr>
      <w:spacing w:after="0" w:line="240" w:lineRule="auto"/>
    </w:pPr>
    <w:tblPr>
      <w:tblStyleRowBandSize w:val="1"/>
      <w:tblStyleColBandSize w:val="1"/>
      <w:tblBorders>
        <w:top w:val="single" w:sz="4" w:space="0" w:color="FDF3EA" w:themeColor="accent2" w:themeTint="66"/>
        <w:left w:val="single" w:sz="4" w:space="0" w:color="FDF3EA" w:themeColor="accent2" w:themeTint="66"/>
        <w:bottom w:val="single" w:sz="4" w:space="0" w:color="FDF3EA" w:themeColor="accent2" w:themeTint="66"/>
        <w:right w:val="single" w:sz="4" w:space="0" w:color="FDF3EA" w:themeColor="accent2" w:themeTint="66"/>
        <w:insideH w:val="single" w:sz="4" w:space="0" w:color="FDF3EA" w:themeColor="accent2" w:themeTint="66"/>
        <w:insideV w:val="single" w:sz="4" w:space="0" w:color="FDF3EA" w:themeColor="accent2" w:themeTint="66"/>
      </w:tblBorders>
    </w:tblPr>
    <w:tblStylePr w:type="firstRow">
      <w:rPr>
        <w:b/>
        <w:bCs/>
      </w:rPr>
      <w:tblPr/>
      <w:tcPr>
        <w:tcBorders>
          <w:bottom w:val="single" w:sz="12" w:space="0" w:color="FDEDE0" w:themeColor="accent2" w:themeTint="99"/>
        </w:tcBorders>
      </w:tcPr>
    </w:tblStylePr>
    <w:tblStylePr w:type="lastRow">
      <w:rPr>
        <w:b/>
        <w:bCs/>
      </w:rPr>
      <w:tblPr/>
      <w:tcPr>
        <w:tcBorders>
          <w:top w:val="double" w:sz="2" w:space="0" w:color="FDEDE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8E4939"/>
    <w:pPr>
      <w:spacing w:after="0" w:line="240" w:lineRule="auto"/>
    </w:pPr>
    <w:tblPr>
      <w:tblStyleRowBandSize w:val="1"/>
      <w:tblStyleColBandSize w:val="1"/>
      <w:tblBorders>
        <w:top w:val="single" w:sz="4" w:space="0" w:color="73B5ED" w:themeColor="accent3" w:themeTint="66"/>
        <w:left w:val="single" w:sz="4" w:space="0" w:color="73B5ED" w:themeColor="accent3" w:themeTint="66"/>
        <w:bottom w:val="single" w:sz="4" w:space="0" w:color="73B5ED" w:themeColor="accent3" w:themeTint="66"/>
        <w:right w:val="single" w:sz="4" w:space="0" w:color="73B5ED" w:themeColor="accent3" w:themeTint="66"/>
        <w:insideH w:val="single" w:sz="4" w:space="0" w:color="73B5ED" w:themeColor="accent3" w:themeTint="66"/>
        <w:insideV w:val="single" w:sz="4" w:space="0" w:color="73B5ED" w:themeColor="accent3" w:themeTint="66"/>
      </w:tblBorders>
    </w:tblPr>
    <w:tblStylePr w:type="firstRow">
      <w:rPr>
        <w:b/>
        <w:bCs/>
      </w:rPr>
      <w:tblPr/>
      <w:tcPr>
        <w:tcBorders>
          <w:bottom w:val="single" w:sz="12" w:space="0" w:color="2C90E4" w:themeColor="accent3" w:themeTint="99"/>
        </w:tcBorders>
      </w:tcPr>
    </w:tblStylePr>
    <w:tblStylePr w:type="lastRow">
      <w:rPr>
        <w:b/>
        <w:bCs/>
      </w:rPr>
      <w:tblPr/>
      <w:tcPr>
        <w:tcBorders>
          <w:top w:val="double" w:sz="2" w:space="0" w:color="2C90E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E4939"/>
    <w:pPr>
      <w:spacing w:after="0" w:line="240" w:lineRule="auto"/>
    </w:pPr>
    <w:tblPr>
      <w:tblStyleRowBandSize w:val="1"/>
      <w:tblStyleColBandSize w:val="1"/>
      <w:tblBorders>
        <w:top w:val="single" w:sz="4" w:space="0" w:color="CAD4E1" w:themeColor="accent4" w:themeTint="66"/>
        <w:left w:val="single" w:sz="4" w:space="0" w:color="CAD4E1" w:themeColor="accent4" w:themeTint="66"/>
        <w:bottom w:val="single" w:sz="4" w:space="0" w:color="CAD4E1" w:themeColor="accent4" w:themeTint="66"/>
        <w:right w:val="single" w:sz="4" w:space="0" w:color="CAD4E1" w:themeColor="accent4" w:themeTint="66"/>
        <w:insideH w:val="single" w:sz="4" w:space="0" w:color="CAD4E1" w:themeColor="accent4" w:themeTint="66"/>
        <w:insideV w:val="single" w:sz="4" w:space="0" w:color="CAD4E1" w:themeColor="accent4" w:themeTint="66"/>
      </w:tblBorders>
    </w:tblPr>
    <w:tblStylePr w:type="firstRow">
      <w:rPr>
        <w:b/>
        <w:bCs/>
      </w:rPr>
      <w:tblPr/>
      <w:tcPr>
        <w:tcBorders>
          <w:bottom w:val="single" w:sz="12" w:space="0" w:color="B0BFD2" w:themeColor="accent4" w:themeTint="99"/>
        </w:tcBorders>
      </w:tcPr>
    </w:tblStylePr>
    <w:tblStylePr w:type="lastRow">
      <w:rPr>
        <w:b/>
        <w:bCs/>
      </w:rPr>
      <w:tblPr/>
      <w:tcPr>
        <w:tcBorders>
          <w:top w:val="double" w:sz="2" w:space="0" w:color="B0BFD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8E4939"/>
    <w:pPr>
      <w:spacing w:after="0" w:line="240" w:lineRule="auto"/>
    </w:pPr>
    <w:tblPr>
      <w:tblStyleRowBandSize w:val="1"/>
      <w:tblStyleColBandSize w:val="1"/>
      <w:tblBorders>
        <w:top w:val="single" w:sz="4" w:space="0" w:color="7AF2E4" w:themeColor="accent5" w:themeTint="66"/>
        <w:left w:val="single" w:sz="4" w:space="0" w:color="7AF2E4" w:themeColor="accent5" w:themeTint="66"/>
        <w:bottom w:val="single" w:sz="4" w:space="0" w:color="7AF2E4" w:themeColor="accent5" w:themeTint="66"/>
        <w:right w:val="single" w:sz="4" w:space="0" w:color="7AF2E4" w:themeColor="accent5" w:themeTint="66"/>
        <w:insideH w:val="single" w:sz="4" w:space="0" w:color="7AF2E4" w:themeColor="accent5" w:themeTint="66"/>
        <w:insideV w:val="single" w:sz="4" w:space="0" w:color="7AF2E4" w:themeColor="accent5" w:themeTint="66"/>
      </w:tblBorders>
    </w:tblPr>
    <w:tblStylePr w:type="firstRow">
      <w:rPr>
        <w:b/>
        <w:bCs/>
      </w:rPr>
      <w:tblPr/>
      <w:tcPr>
        <w:tcBorders>
          <w:bottom w:val="single" w:sz="12" w:space="0" w:color="37EBD6" w:themeColor="accent5" w:themeTint="99"/>
        </w:tcBorders>
      </w:tcPr>
    </w:tblStylePr>
    <w:tblStylePr w:type="lastRow">
      <w:rPr>
        <w:b/>
        <w:bCs/>
      </w:rPr>
      <w:tblPr/>
      <w:tcPr>
        <w:tcBorders>
          <w:top w:val="double" w:sz="2" w:space="0" w:color="37EBD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8E4939"/>
    <w:pPr>
      <w:spacing w:after="0" w:line="240" w:lineRule="auto"/>
    </w:pPr>
    <w:tblPr>
      <w:tblStyleRowBandSize w:val="1"/>
      <w:tblStyleColBandSize w:val="1"/>
      <w:tblBorders>
        <w:top w:val="single" w:sz="4" w:space="0" w:color="B4E2DC" w:themeColor="accent6" w:themeTint="66"/>
        <w:left w:val="single" w:sz="4" w:space="0" w:color="B4E2DC" w:themeColor="accent6" w:themeTint="66"/>
        <w:bottom w:val="single" w:sz="4" w:space="0" w:color="B4E2DC" w:themeColor="accent6" w:themeTint="66"/>
        <w:right w:val="single" w:sz="4" w:space="0" w:color="B4E2DC" w:themeColor="accent6" w:themeTint="66"/>
        <w:insideH w:val="single" w:sz="4" w:space="0" w:color="B4E2DC" w:themeColor="accent6" w:themeTint="66"/>
        <w:insideV w:val="single" w:sz="4" w:space="0" w:color="B4E2DC" w:themeColor="accent6" w:themeTint="66"/>
      </w:tblBorders>
    </w:tblPr>
    <w:tblStylePr w:type="firstRow">
      <w:rPr>
        <w:b/>
        <w:bCs/>
      </w:rPr>
      <w:tblPr/>
      <w:tcPr>
        <w:tcBorders>
          <w:bottom w:val="single" w:sz="12" w:space="0" w:color="8FD4CB" w:themeColor="accent6" w:themeTint="99"/>
        </w:tcBorders>
      </w:tcPr>
    </w:tblStylePr>
    <w:tblStylePr w:type="lastRow">
      <w:rPr>
        <w:b/>
        <w:bCs/>
      </w:rPr>
      <w:tblPr/>
      <w:tcPr>
        <w:tcBorders>
          <w:top w:val="double" w:sz="2" w:space="0" w:color="8FD4C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8E4939"/>
    <w:pPr>
      <w:spacing w:after="0" w:line="240" w:lineRule="auto"/>
    </w:pPr>
    <w:tblPr>
      <w:tblStyleRowBandSize w:val="1"/>
      <w:tblStyleColBandSize w:val="1"/>
      <w:tblBorders>
        <w:top w:val="single" w:sz="2" w:space="0" w:color="7A7A7A" w:themeColor="text1" w:themeTint="99"/>
        <w:bottom w:val="single" w:sz="2" w:space="0" w:color="7A7A7A" w:themeColor="text1" w:themeTint="99"/>
        <w:insideH w:val="single" w:sz="2" w:space="0" w:color="7A7A7A" w:themeColor="text1" w:themeTint="99"/>
        <w:insideV w:val="single" w:sz="2" w:space="0" w:color="7A7A7A" w:themeColor="text1" w:themeTint="99"/>
      </w:tblBorders>
    </w:tblPr>
    <w:tblStylePr w:type="firstRow">
      <w:rPr>
        <w:b/>
        <w:bCs/>
      </w:rPr>
      <w:tblPr/>
      <w:tcPr>
        <w:tcBorders>
          <w:top w:val="nil"/>
          <w:bottom w:val="single" w:sz="12" w:space="0" w:color="7A7A7A" w:themeColor="text1" w:themeTint="99"/>
          <w:insideH w:val="nil"/>
          <w:insideV w:val="nil"/>
        </w:tcBorders>
        <w:shd w:val="clear" w:color="auto" w:fill="FFFFFF" w:themeFill="background1"/>
      </w:tcPr>
    </w:tblStylePr>
    <w:tblStylePr w:type="lastRow">
      <w:rPr>
        <w:b/>
        <w:bCs/>
      </w:rPr>
      <w:tblPr/>
      <w:tcPr>
        <w:tcBorders>
          <w:top w:val="double" w:sz="2" w:space="0" w:color="7A7A7A"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GridTable2-Accent1">
    <w:name w:val="Grid Table 2 Accent 1"/>
    <w:basedOn w:val="TableNormal"/>
    <w:uiPriority w:val="47"/>
    <w:locked/>
    <w:rsid w:val="008E4939"/>
    <w:pPr>
      <w:spacing w:after="0" w:line="240" w:lineRule="auto"/>
    </w:pPr>
    <w:tblPr>
      <w:tblStyleRowBandSize w:val="1"/>
      <w:tblStyleColBandSize w:val="1"/>
      <w:tblBorders>
        <w:top w:val="single" w:sz="2" w:space="0" w:color="FFA247" w:themeColor="accent1" w:themeTint="99"/>
        <w:bottom w:val="single" w:sz="2" w:space="0" w:color="FFA247" w:themeColor="accent1" w:themeTint="99"/>
        <w:insideH w:val="single" w:sz="2" w:space="0" w:color="FFA247" w:themeColor="accent1" w:themeTint="99"/>
        <w:insideV w:val="single" w:sz="2" w:space="0" w:color="FFA247" w:themeColor="accent1" w:themeTint="99"/>
      </w:tblBorders>
    </w:tblPr>
    <w:tblStylePr w:type="firstRow">
      <w:rPr>
        <w:b/>
        <w:bCs/>
      </w:rPr>
      <w:tblPr/>
      <w:tcPr>
        <w:tcBorders>
          <w:top w:val="nil"/>
          <w:bottom w:val="single" w:sz="12" w:space="0" w:color="FFA247" w:themeColor="accent1" w:themeTint="99"/>
          <w:insideH w:val="nil"/>
          <w:insideV w:val="nil"/>
        </w:tcBorders>
        <w:shd w:val="clear" w:color="auto" w:fill="FFFFFF" w:themeFill="background1"/>
      </w:tcPr>
    </w:tblStylePr>
    <w:tblStylePr w:type="lastRow">
      <w:rPr>
        <w:b/>
        <w:bCs/>
      </w:rPr>
      <w:tblPr/>
      <w:tcPr>
        <w:tcBorders>
          <w:top w:val="double" w:sz="2" w:space="0" w:color="FFA24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styleId="GridTable2-Accent2">
    <w:name w:val="Grid Table 2 Accent 2"/>
    <w:basedOn w:val="TableNormal"/>
    <w:uiPriority w:val="47"/>
    <w:locked/>
    <w:rsid w:val="008E4939"/>
    <w:pPr>
      <w:spacing w:after="0" w:line="240" w:lineRule="auto"/>
    </w:pPr>
    <w:tblPr>
      <w:tblStyleRowBandSize w:val="1"/>
      <w:tblStyleColBandSize w:val="1"/>
      <w:tblBorders>
        <w:top w:val="single" w:sz="2" w:space="0" w:color="FDEDE0" w:themeColor="accent2" w:themeTint="99"/>
        <w:bottom w:val="single" w:sz="2" w:space="0" w:color="FDEDE0" w:themeColor="accent2" w:themeTint="99"/>
        <w:insideH w:val="single" w:sz="2" w:space="0" w:color="FDEDE0" w:themeColor="accent2" w:themeTint="99"/>
        <w:insideV w:val="single" w:sz="2" w:space="0" w:color="FDEDE0" w:themeColor="accent2" w:themeTint="99"/>
      </w:tblBorders>
    </w:tblPr>
    <w:tblStylePr w:type="firstRow">
      <w:rPr>
        <w:b/>
        <w:bCs/>
      </w:rPr>
      <w:tblPr/>
      <w:tcPr>
        <w:tcBorders>
          <w:top w:val="nil"/>
          <w:bottom w:val="single" w:sz="12" w:space="0" w:color="FDEDE0" w:themeColor="accent2" w:themeTint="99"/>
          <w:insideH w:val="nil"/>
          <w:insideV w:val="nil"/>
        </w:tcBorders>
        <w:shd w:val="clear" w:color="auto" w:fill="FFFFFF" w:themeFill="background1"/>
      </w:tcPr>
    </w:tblStylePr>
    <w:tblStylePr w:type="lastRow">
      <w:rPr>
        <w:b/>
        <w:bCs/>
      </w:rPr>
      <w:tblPr/>
      <w:tcPr>
        <w:tcBorders>
          <w:top w:val="double" w:sz="2" w:space="0" w:color="FDEDE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styleId="GridTable2-Accent3">
    <w:name w:val="Grid Table 2 Accent 3"/>
    <w:basedOn w:val="TableNormal"/>
    <w:uiPriority w:val="47"/>
    <w:locked/>
    <w:rsid w:val="008E4939"/>
    <w:pPr>
      <w:spacing w:after="0" w:line="240" w:lineRule="auto"/>
    </w:pPr>
    <w:tblPr>
      <w:tblStyleRowBandSize w:val="1"/>
      <w:tblStyleColBandSize w:val="1"/>
      <w:tblBorders>
        <w:top w:val="single" w:sz="2" w:space="0" w:color="2C90E4" w:themeColor="accent3" w:themeTint="99"/>
        <w:bottom w:val="single" w:sz="2" w:space="0" w:color="2C90E4" w:themeColor="accent3" w:themeTint="99"/>
        <w:insideH w:val="single" w:sz="2" w:space="0" w:color="2C90E4" w:themeColor="accent3" w:themeTint="99"/>
        <w:insideV w:val="single" w:sz="2" w:space="0" w:color="2C90E4" w:themeColor="accent3" w:themeTint="99"/>
      </w:tblBorders>
    </w:tblPr>
    <w:tblStylePr w:type="firstRow">
      <w:rPr>
        <w:b/>
        <w:bCs/>
      </w:rPr>
      <w:tblPr/>
      <w:tcPr>
        <w:tcBorders>
          <w:top w:val="nil"/>
          <w:bottom w:val="single" w:sz="12" w:space="0" w:color="2C90E4" w:themeColor="accent3" w:themeTint="99"/>
          <w:insideH w:val="nil"/>
          <w:insideV w:val="nil"/>
        </w:tcBorders>
        <w:shd w:val="clear" w:color="auto" w:fill="FFFFFF" w:themeFill="background1"/>
      </w:tcPr>
    </w:tblStylePr>
    <w:tblStylePr w:type="lastRow">
      <w:rPr>
        <w:b/>
        <w:bCs/>
      </w:rPr>
      <w:tblPr/>
      <w:tcPr>
        <w:tcBorders>
          <w:top w:val="double" w:sz="2" w:space="0" w:color="2C90E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styleId="GridTable2-Accent4">
    <w:name w:val="Grid Table 2 Accent 4"/>
    <w:basedOn w:val="TableNormal"/>
    <w:uiPriority w:val="47"/>
    <w:locked/>
    <w:rsid w:val="008E4939"/>
    <w:pPr>
      <w:spacing w:after="0" w:line="240" w:lineRule="auto"/>
    </w:pPr>
    <w:tblPr>
      <w:tblStyleRowBandSize w:val="1"/>
      <w:tblStyleColBandSize w:val="1"/>
      <w:tblBorders>
        <w:top w:val="single" w:sz="2" w:space="0" w:color="B0BFD2" w:themeColor="accent4" w:themeTint="99"/>
        <w:bottom w:val="single" w:sz="2" w:space="0" w:color="B0BFD2" w:themeColor="accent4" w:themeTint="99"/>
        <w:insideH w:val="single" w:sz="2" w:space="0" w:color="B0BFD2" w:themeColor="accent4" w:themeTint="99"/>
        <w:insideV w:val="single" w:sz="2" w:space="0" w:color="B0BFD2" w:themeColor="accent4" w:themeTint="99"/>
      </w:tblBorders>
    </w:tblPr>
    <w:tblStylePr w:type="firstRow">
      <w:rPr>
        <w:b/>
        <w:bCs/>
      </w:rPr>
      <w:tblPr/>
      <w:tcPr>
        <w:tcBorders>
          <w:top w:val="nil"/>
          <w:bottom w:val="single" w:sz="12" w:space="0" w:color="B0BFD2" w:themeColor="accent4" w:themeTint="99"/>
          <w:insideH w:val="nil"/>
          <w:insideV w:val="nil"/>
        </w:tcBorders>
        <w:shd w:val="clear" w:color="auto" w:fill="FFFFFF" w:themeFill="background1"/>
      </w:tcPr>
    </w:tblStylePr>
    <w:tblStylePr w:type="lastRow">
      <w:rPr>
        <w:b/>
        <w:bCs/>
      </w:rPr>
      <w:tblPr/>
      <w:tcPr>
        <w:tcBorders>
          <w:top w:val="double" w:sz="2" w:space="0" w:color="B0BFD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styleId="GridTable2-Accent5">
    <w:name w:val="Grid Table 2 Accent 5"/>
    <w:basedOn w:val="TableNormal"/>
    <w:uiPriority w:val="47"/>
    <w:locked/>
    <w:rsid w:val="008E4939"/>
    <w:pPr>
      <w:spacing w:after="0" w:line="240" w:lineRule="auto"/>
    </w:pPr>
    <w:tblPr>
      <w:tblStyleRowBandSize w:val="1"/>
      <w:tblStyleColBandSize w:val="1"/>
      <w:tblBorders>
        <w:top w:val="single" w:sz="2" w:space="0" w:color="37EBD6" w:themeColor="accent5" w:themeTint="99"/>
        <w:bottom w:val="single" w:sz="2" w:space="0" w:color="37EBD6" w:themeColor="accent5" w:themeTint="99"/>
        <w:insideH w:val="single" w:sz="2" w:space="0" w:color="37EBD6" w:themeColor="accent5" w:themeTint="99"/>
        <w:insideV w:val="single" w:sz="2" w:space="0" w:color="37EBD6" w:themeColor="accent5" w:themeTint="99"/>
      </w:tblBorders>
    </w:tblPr>
    <w:tblStylePr w:type="firstRow">
      <w:rPr>
        <w:b/>
        <w:bCs/>
      </w:rPr>
      <w:tblPr/>
      <w:tcPr>
        <w:tcBorders>
          <w:top w:val="nil"/>
          <w:bottom w:val="single" w:sz="12" w:space="0" w:color="37EBD6" w:themeColor="accent5" w:themeTint="99"/>
          <w:insideH w:val="nil"/>
          <w:insideV w:val="nil"/>
        </w:tcBorders>
        <w:shd w:val="clear" w:color="auto" w:fill="FFFFFF" w:themeFill="background1"/>
      </w:tcPr>
    </w:tblStylePr>
    <w:tblStylePr w:type="lastRow">
      <w:rPr>
        <w:b/>
        <w:bCs/>
      </w:rPr>
      <w:tblPr/>
      <w:tcPr>
        <w:tcBorders>
          <w:top w:val="double" w:sz="2" w:space="0" w:color="37EB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styleId="GridTable2-Accent6">
    <w:name w:val="Grid Table 2 Accent 6"/>
    <w:basedOn w:val="TableNormal"/>
    <w:uiPriority w:val="47"/>
    <w:locked/>
    <w:rsid w:val="008E4939"/>
    <w:pPr>
      <w:spacing w:after="0" w:line="240" w:lineRule="auto"/>
    </w:pPr>
    <w:tblPr>
      <w:tblStyleRowBandSize w:val="1"/>
      <w:tblStyleColBandSize w:val="1"/>
      <w:tblBorders>
        <w:top w:val="single" w:sz="2" w:space="0" w:color="8FD4CB" w:themeColor="accent6" w:themeTint="99"/>
        <w:bottom w:val="single" w:sz="2" w:space="0" w:color="8FD4CB" w:themeColor="accent6" w:themeTint="99"/>
        <w:insideH w:val="single" w:sz="2" w:space="0" w:color="8FD4CB" w:themeColor="accent6" w:themeTint="99"/>
        <w:insideV w:val="single" w:sz="2" w:space="0" w:color="8FD4CB" w:themeColor="accent6" w:themeTint="99"/>
      </w:tblBorders>
    </w:tblPr>
    <w:tblStylePr w:type="firstRow">
      <w:rPr>
        <w:b/>
        <w:bCs/>
      </w:rPr>
      <w:tblPr/>
      <w:tcPr>
        <w:tcBorders>
          <w:top w:val="nil"/>
          <w:bottom w:val="single" w:sz="12" w:space="0" w:color="8FD4CB" w:themeColor="accent6" w:themeTint="99"/>
          <w:insideH w:val="nil"/>
          <w:insideV w:val="nil"/>
        </w:tcBorders>
        <w:shd w:val="clear" w:color="auto" w:fill="FFFFFF" w:themeFill="background1"/>
      </w:tcPr>
    </w:tblStylePr>
    <w:tblStylePr w:type="lastRow">
      <w:rPr>
        <w:b/>
        <w:bCs/>
      </w:rPr>
      <w:tblPr/>
      <w:tcPr>
        <w:tcBorders>
          <w:top w:val="double" w:sz="2" w:space="0" w:color="8FD4C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styleId="GridTable3">
    <w:name w:val="Grid Table 3"/>
    <w:basedOn w:val="TableNormal"/>
    <w:uiPriority w:val="48"/>
    <w:locked/>
    <w:rsid w:val="008E4939"/>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insideV w:val="single" w:sz="4" w:space="0" w:color="7A7A7A"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bottom w:val="single" w:sz="4" w:space="0" w:color="7A7A7A" w:themeColor="text1" w:themeTint="99"/>
        </w:tcBorders>
      </w:tcPr>
    </w:tblStylePr>
    <w:tblStylePr w:type="nwCell">
      <w:tblPr/>
      <w:tcPr>
        <w:tcBorders>
          <w:bottom w:val="single" w:sz="4" w:space="0" w:color="7A7A7A" w:themeColor="text1" w:themeTint="99"/>
        </w:tcBorders>
      </w:tcPr>
    </w:tblStylePr>
    <w:tblStylePr w:type="seCell">
      <w:tblPr/>
      <w:tcPr>
        <w:tcBorders>
          <w:top w:val="single" w:sz="4" w:space="0" w:color="7A7A7A" w:themeColor="text1" w:themeTint="99"/>
        </w:tcBorders>
      </w:tcPr>
    </w:tblStylePr>
    <w:tblStylePr w:type="swCell">
      <w:tblPr/>
      <w:tcPr>
        <w:tcBorders>
          <w:top w:val="single" w:sz="4" w:space="0" w:color="7A7A7A" w:themeColor="text1" w:themeTint="99"/>
        </w:tcBorders>
      </w:tcPr>
    </w:tblStylePr>
  </w:style>
  <w:style w:type="table" w:styleId="GridTable3-Accent1">
    <w:name w:val="Grid Table 3 Accent 1"/>
    <w:basedOn w:val="TableNormal"/>
    <w:uiPriority w:val="48"/>
    <w:locked/>
    <w:rsid w:val="008E4939"/>
    <w:pPr>
      <w:spacing w:after="0" w:line="240" w:lineRule="auto"/>
    </w:p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C1" w:themeFill="accent1" w:themeFillTint="33"/>
      </w:tcPr>
    </w:tblStylePr>
    <w:tblStylePr w:type="band1Horz">
      <w:tblPr/>
      <w:tcPr>
        <w:shd w:val="clear" w:color="auto" w:fill="FFE0C1" w:themeFill="accent1" w:themeFillTint="33"/>
      </w:tcPr>
    </w:tblStylePr>
    <w:tblStylePr w:type="neCell">
      <w:tblPr/>
      <w:tcPr>
        <w:tcBorders>
          <w:bottom w:val="single" w:sz="4" w:space="0" w:color="FFA247" w:themeColor="accent1" w:themeTint="99"/>
        </w:tcBorders>
      </w:tcPr>
    </w:tblStylePr>
    <w:tblStylePr w:type="nwCell">
      <w:tblPr/>
      <w:tcPr>
        <w:tcBorders>
          <w:bottom w:val="single" w:sz="4" w:space="0" w:color="FFA247" w:themeColor="accent1" w:themeTint="99"/>
        </w:tcBorders>
      </w:tcPr>
    </w:tblStylePr>
    <w:tblStylePr w:type="seCell">
      <w:tblPr/>
      <w:tcPr>
        <w:tcBorders>
          <w:top w:val="single" w:sz="4" w:space="0" w:color="FFA247" w:themeColor="accent1" w:themeTint="99"/>
        </w:tcBorders>
      </w:tcPr>
    </w:tblStylePr>
    <w:tblStylePr w:type="swCell">
      <w:tblPr/>
      <w:tcPr>
        <w:tcBorders>
          <w:top w:val="single" w:sz="4" w:space="0" w:color="FFA247" w:themeColor="accent1" w:themeTint="99"/>
        </w:tcBorders>
      </w:tcPr>
    </w:tblStylePr>
  </w:style>
  <w:style w:type="table" w:styleId="GridTable3-Accent2">
    <w:name w:val="Grid Table 3 Accent 2"/>
    <w:basedOn w:val="TableNormal"/>
    <w:uiPriority w:val="48"/>
    <w:locked/>
    <w:rsid w:val="008E4939"/>
    <w:pPr>
      <w:spacing w:after="0" w:line="240" w:lineRule="auto"/>
    </w:p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insideV w:val="single" w:sz="4" w:space="0" w:color="FDED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9F4" w:themeFill="accent2" w:themeFillTint="33"/>
      </w:tcPr>
    </w:tblStylePr>
    <w:tblStylePr w:type="band1Horz">
      <w:tblPr/>
      <w:tcPr>
        <w:shd w:val="clear" w:color="auto" w:fill="FEF9F4" w:themeFill="accent2" w:themeFillTint="33"/>
      </w:tcPr>
    </w:tblStylePr>
    <w:tblStylePr w:type="neCell">
      <w:tblPr/>
      <w:tcPr>
        <w:tcBorders>
          <w:bottom w:val="single" w:sz="4" w:space="0" w:color="FDEDE0" w:themeColor="accent2" w:themeTint="99"/>
        </w:tcBorders>
      </w:tcPr>
    </w:tblStylePr>
    <w:tblStylePr w:type="nwCell">
      <w:tblPr/>
      <w:tcPr>
        <w:tcBorders>
          <w:bottom w:val="single" w:sz="4" w:space="0" w:color="FDEDE0" w:themeColor="accent2" w:themeTint="99"/>
        </w:tcBorders>
      </w:tcPr>
    </w:tblStylePr>
    <w:tblStylePr w:type="seCell">
      <w:tblPr/>
      <w:tcPr>
        <w:tcBorders>
          <w:top w:val="single" w:sz="4" w:space="0" w:color="FDEDE0" w:themeColor="accent2" w:themeTint="99"/>
        </w:tcBorders>
      </w:tcPr>
    </w:tblStylePr>
    <w:tblStylePr w:type="swCell">
      <w:tblPr/>
      <w:tcPr>
        <w:tcBorders>
          <w:top w:val="single" w:sz="4" w:space="0" w:color="FDEDE0" w:themeColor="accent2" w:themeTint="99"/>
        </w:tcBorders>
      </w:tcPr>
    </w:tblStylePr>
  </w:style>
  <w:style w:type="table" w:styleId="GridTable3-Accent3">
    <w:name w:val="Grid Table 3 Accent 3"/>
    <w:basedOn w:val="TableNormal"/>
    <w:uiPriority w:val="48"/>
    <w:locked/>
    <w:rsid w:val="008E4939"/>
    <w:pPr>
      <w:spacing w:after="0" w:line="240" w:lineRule="auto"/>
    </w:p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insideV w:val="single" w:sz="4" w:space="0" w:color="2C90E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DAF6" w:themeFill="accent3" w:themeFillTint="33"/>
      </w:tcPr>
    </w:tblStylePr>
    <w:tblStylePr w:type="band1Horz">
      <w:tblPr/>
      <w:tcPr>
        <w:shd w:val="clear" w:color="auto" w:fill="B8DAF6" w:themeFill="accent3" w:themeFillTint="33"/>
      </w:tcPr>
    </w:tblStylePr>
    <w:tblStylePr w:type="neCell">
      <w:tblPr/>
      <w:tcPr>
        <w:tcBorders>
          <w:bottom w:val="single" w:sz="4" w:space="0" w:color="2C90E4" w:themeColor="accent3" w:themeTint="99"/>
        </w:tcBorders>
      </w:tcPr>
    </w:tblStylePr>
    <w:tblStylePr w:type="nwCell">
      <w:tblPr/>
      <w:tcPr>
        <w:tcBorders>
          <w:bottom w:val="single" w:sz="4" w:space="0" w:color="2C90E4" w:themeColor="accent3" w:themeTint="99"/>
        </w:tcBorders>
      </w:tcPr>
    </w:tblStylePr>
    <w:tblStylePr w:type="seCell">
      <w:tblPr/>
      <w:tcPr>
        <w:tcBorders>
          <w:top w:val="single" w:sz="4" w:space="0" w:color="2C90E4" w:themeColor="accent3" w:themeTint="99"/>
        </w:tcBorders>
      </w:tcPr>
    </w:tblStylePr>
    <w:tblStylePr w:type="swCell">
      <w:tblPr/>
      <w:tcPr>
        <w:tcBorders>
          <w:top w:val="single" w:sz="4" w:space="0" w:color="2C90E4" w:themeColor="accent3" w:themeTint="99"/>
        </w:tcBorders>
      </w:tcPr>
    </w:tblStylePr>
  </w:style>
  <w:style w:type="table" w:styleId="GridTable3-Accent4">
    <w:name w:val="Grid Table 3 Accent 4"/>
    <w:basedOn w:val="TableNormal"/>
    <w:uiPriority w:val="48"/>
    <w:locked/>
    <w:rsid w:val="008E4939"/>
    <w:pPr>
      <w:spacing w:after="0" w:line="240" w:lineRule="auto"/>
    </w:p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insideV w:val="single" w:sz="4" w:space="0" w:color="B0BF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9F0" w:themeFill="accent4" w:themeFillTint="33"/>
      </w:tcPr>
    </w:tblStylePr>
    <w:tblStylePr w:type="band1Horz">
      <w:tblPr/>
      <w:tcPr>
        <w:shd w:val="clear" w:color="auto" w:fill="E4E9F0" w:themeFill="accent4" w:themeFillTint="33"/>
      </w:tcPr>
    </w:tblStylePr>
    <w:tblStylePr w:type="neCell">
      <w:tblPr/>
      <w:tcPr>
        <w:tcBorders>
          <w:bottom w:val="single" w:sz="4" w:space="0" w:color="B0BFD2" w:themeColor="accent4" w:themeTint="99"/>
        </w:tcBorders>
      </w:tcPr>
    </w:tblStylePr>
    <w:tblStylePr w:type="nwCell">
      <w:tblPr/>
      <w:tcPr>
        <w:tcBorders>
          <w:bottom w:val="single" w:sz="4" w:space="0" w:color="B0BFD2" w:themeColor="accent4" w:themeTint="99"/>
        </w:tcBorders>
      </w:tcPr>
    </w:tblStylePr>
    <w:tblStylePr w:type="seCell">
      <w:tblPr/>
      <w:tcPr>
        <w:tcBorders>
          <w:top w:val="single" w:sz="4" w:space="0" w:color="B0BFD2" w:themeColor="accent4" w:themeTint="99"/>
        </w:tcBorders>
      </w:tcPr>
    </w:tblStylePr>
    <w:tblStylePr w:type="swCell">
      <w:tblPr/>
      <w:tcPr>
        <w:tcBorders>
          <w:top w:val="single" w:sz="4" w:space="0" w:color="B0BFD2" w:themeColor="accent4" w:themeTint="99"/>
        </w:tcBorders>
      </w:tcPr>
    </w:tblStylePr>
  </w:style>
  <w:style w:type="table" w:styleId="GridTable3-Accent5">
    <w:name w:val="Grid Table 3 Accent 5"/>
    <w:basedOn w:val="TableNormal"/>
    <w:uiPriority w:val="48"/>
    <w:locked/>
    <w:rsid w:val="008E4939"/>
    <w:pPr>
      <w:spacing w:after="0" w:line="240" w:lineRule="auto"/>
    </w:p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insideV w:val="single" w:sz="4" w:space="0" w:color="37EB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8F1" w:themeFill="accent5" w:themeFillTint="33"/>
      </w:tcPr>
    </w:tblStylePr>
    <w:tblStylePr w:type="band1Horz">
      <w:tblPr/>
      <w:tcPr>
        <w:shd w:val="clear" w:color="auto" w:fill="BCF8F1" w:themeFill="accent5" w:themeFillTint="33"/>
      </w:tcPr>
    </w:tblStylePr>
    <w:tblStylePr w:type="neCell">
      <w:tblPr/>
      <w:tcPr>
        <w:tcBorders>
          <w:bottom w:val="single" w:sz="4" w:space="0" w:color="37EBD6" w:themeColor="accent5" w:themeTint="99"/>
        </w:tcBorders>
      </w:tcPr>
    </w:tblStylePr>
    <w:tblStylePr w:type="nwCell">
      <w:tblPr/>
      <w:tcPr>
        <w:tcBorders>
          <w:bottom w:val="single" w:sz="4" w:space="0" w:color="37EBD6" w:themeColor="accent5" w:themeTint="99"/>
        </w:tcBorders>
      </w:tcPr>
    </w:tblStylePr>
    <w:tblStylePr w:type="seCell">
      <w:tblPr/>
      <w:tcPr>
        <w:tcBorders>
          <w:top w:val="single" w:sz="4" w:space="0" w:color="37EBD6" w:themeColor="accent5" w:themeTint="99"/>
        </w:tcBorders>
      </w:tcPr>
    </w:tblStylePr>
    <w:tblStylePr w:type="swCell">
      <w:tblPr/>
      <w:tcPr>
        <w:tcBorders>
          <w:top w:val="single" w:sz="4" w:space="0" w:color="37EBD6" w:themeColor="accent5" w:themeTint="99"/>
        </w:tcBorders>
      </w:tcPr>
    </w:tblStylePr>
  </w:style>
  <w:style w:type="table" w:styleId="GridTable3-Accent6">
    <w:name w:val="Grid Table 3 Accent 6"/>
    <w:basedOn w:val="TableNormal"/>
    <w:uiPriority w:val="48"/>
    <w:locked/>
    <w:rsid w:val="008E4939"/>
    <w:pPr>
      <w:spacing w:after="0" w:line="240" w:lineRule="auto"/>
    </w:p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insideV w:val="single" w:sz="4" w:space="0" w:color="8FD4C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1ED" w:themeFill="accent6" w:themeFillTint="33"/>
      </w:tcPr>
    </w:tblStylePr>
    <w:tblStylePr w:type="band1Horz">
      <w:tblPr/>
      <w:tcPr>
        <w:shd w:val="clear" w:color="auto" w:fill="D9F1ED" w:themeFill="accent6" w:themeFillTint="33"/>
      </w:tcPr>
    </w:tblStylePr>
    <w:tblStylePr w:type="neCell">
      <w:tblPr/>
      <w:tcPr>
        <w:tcBorders>
          <w:bottom w:val="single" w:sz="4" w:space="0" w:color="8FD4CB" w:themeColor="accent6" w:themeTint="99"/>
        </w:tcBorders>
      </w:tcPr>
    </w:tblStylePr>
    <w:tblStylePr w:type="nwCell">
      <w:tblPr/>
      <w:tcPr>
        <w:tcBorders>
          <w:bottom w:val="single" w:sz="4" w:space="0" w:color="8FD4CB" w:themeColor="accent6" w:themeTint="99"/>
        </w:tcBorders>
      </w:tcPr>
    </w:tblStylePr>
    <w:tblStylePr w:type="seCell">
      <w:tblPr/>
      <w:tcPr>
        <w:tcBorders>
          <w:top w:val="single" w:sz="4" w:space="0" w:color="8FD4CB" w:themeColor="accent6" w:themeTint="99"/>
        </w:tcBorders>
      </w:tcPr>
    </w:tblStylePr>
    <w:tblStylePr w:type="swCell">
      <w:tblPr/>
      <w:tcPr>
        <w:tcBorders>
          <w:top w:val="single" w:sz="4" w:space="0" w:color="8FD4CB" w:themeColor="accent6" w:themeTint="99"/>
        </w:tcBorders>
      </w:tcPr>
    </w:tblStylePr>
  </w:style>
  <w:style w:type="table" w:styleId="GridTable4">
    <w:name w:val="Grid Table 4"/>
    <w:basedOn w:val="TableNormal"/>
    <w:uiPriority w:val="49"/>
    <w:locked/>
    <w:rsid w:val="008E4939"/>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insideV w:val="single" w:sz="4" w:space="0" w:color="7A7A7A" w:themeColor="text1" w:themeTint="99"/>
      </w:tblBorders>
    </w:tblPr>
    <w:tblStylePr w:type="firstRow">
      <w:rPr>
        <w:b/>
        <w:bCs/>
        <w:color w:val="FFFFFF" w:themeColor="background1"/>
      </w:rPr>
      <w:tblPr/>
      <w:tcPr>
        <w:tcBorders>
          <w:top w:val="single" w:sz="4" w:space="0" w:color="222222" w:themeColor="text1"/>
          <w:left w:val="single" w:sz="4" w:space="0" w:color="222222" w:themeColor="text1"/>
          <w:bottom w:val="single" w:sz="4" w:space="0" w:color="222222" w:themeColor="text1"/>
          <w:right w:val="single" w:sz="4" w:space="0" w:color="222222" w:themeColor="text1"/>
          <w:insideH w:val="nil"/>
          <w:insideV w:val="nil"/>
        </w:tcBorders>
        <w:shd w:val="clear" w:color="auto" w:fill="222222" w:themeFill="text1"/>
      </w:tcPr>
    </w:tblStylePr>
    <w:tblStylePr w:type="lastRow">
      <w:rPr>
        <w:b/>
        <w:bCs/>
      </w:rPr>
      <w:tblPr/>
      <w:tcPr>
        <w:tcBorders>
          <w:top w:val="double" w:sz="4" w:space="0" w:color="222222" w:themeColor="text1"/>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GridTable4-Accent1">
    <w:name w:val="Grid Table 4 Accent 1"/>
    <w:basedOn w:val="TableNormal"/>
    <w:uiPriority w:val="49"/>
    <w:locked/>
    <w:rsid w:val="008E4939"/>
    <w:pPr>
      <w:spacing w:after="0" w:line="240" w:lineRule="auto"/>
    </w:p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color w:val="FFFFFF" w:themeColor="background1"/>
      </w:rPr>
      <w:tblPr/>
      <w:tcPr>
        <w:tcBorders>
          <w:top w:val="single" w:sz="4" w:space="0" w:color="CC6600" w:themeColor="accent1"/>
          <w:left w:val="single" w:sz="4" w:space="0" w:color="CC6600" w:themeColor="accent1"/>
          <w:bottom w:val="single" w:sz="4" w:space="0" w:color="CC6600" w:themeColor="accent1"/>
          <w:right w:val="single" w:sz="4" w:space="0" w:color="CC6600" w:themeColor="accent1"/>
          <w:insideH w:val="nil"/>
          <w:insideV w:val="nil"/>
        </w:tcBorders>
        <w:shd w:val="clear" w:color="auto" w:fill="CC6600" w:themeFill="accent1"/>
      </w:tcPr>
    </w:tblStylePr>
    <w:tblStylePr w:type="lastRow">
      <w:rPr>
        <w:b/>
        <w:bCs/>
      </w:rPr>
      <w:tblPr/>
      <w:tcPr>
        <w:tcBorders>
          <w:top w:val="double" w:sz="4" w:space="0" w:color="CC6600" w:themeColor="accent1"/>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styleId="GridTable4-Accent2">
    <w:name w:val="Grid Table 4 Accent 2"/>
    <w:basedOn w:val="TableNormal"/>
    <w:uiPriority w:val="49"/>
    <w:locked/>
    <w:rsid w:val="008E4939"/>
    <w:pPr>
      <w:spacing w:after="0" w:line="240" w:lineRule="auto"/>
    </w:p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insideV w:val="single" w:sz="4" w:space="0" w:color="FDEDE0" w:themeColor="accent2" w:themeTint="99"/>
      </w:tblBorders>
    </w:tblPr>
    <w:tblStylePr w:type="firstRow">
      <w:rPr>
        <w:b/>
        <w:bCs/>
        <w:color w:val="FFFFFF" w:themeColor="background1"/>
      </w:rPr>
      <w:tblPr/>
      <w:tcPr>
        <w:tcBorders>
          <w:top w:val="single" w:sz="4" w:space="0" w:color="FCE2CC" w:themeColor="accent2"/>
          <w:left w:val="single" w:sz="4" w:space="0" w:color="FCE2CC" w:themeColor="accent2"/>
          <w:bottom w:val="single" w:sz="4" w:space="0" w:color="FCE2CC" w:themeColor="accent2"/>
          <w:right w:val="single" w:sz="4" w:space="0" w:color="FCE2CC" w:themeColor="accent2"/>
          <w:insideH w:val="nil"/>
          <w:insideV w:val="nil"/>
        </w:tcBorders>
        <w:shd w:val="clear" w:color="auto" w:fill="FCE2CC" w:themeFill="accent2"/>
      </w:tcPr>
    </w:tblStylePr>
    <w:tblStylePr w:type="lastRow">
      <w:rPr>
        <w:b/>
        <w:bCs/>
      </w:rPr>
      <w:tblPr/>
      <w:tcPr>
        <w:tcBorders>
          <w:top w:val="double" w:sz="4" w:space="0" w:color="FCE2CC" w:themeColor="accent2"/>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styleId="GridTable4-Accent3">
    <w:name w:val="Grid Table 4 Accent 3"/>
    <w:basedOn w:val="TableNormal"/>
    <w:uiPriority w:val="49"/>
    <w:locked/>
    <w:rsid w:val="008E4939"/>
    <w:pPr>
      <w:spacing w:after="0" w:line="240" w:lineRule="auto"/>
    </w:p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insideV w:val="single" w:sz="4" w:space="0" w:color="2C90E4" w:themeColor="accent3" w:themeTint="99"/>
      </w:tblBorders>
    </w:tblPr>
    <w:tblStylePr w:type="firstRow">
      <w:rPr>
        <w:b/>
        <w:bCs/>
        <w:color w:val="FFFFFF" w:themeColor="background1"/>
      </w:rPr>
      <w:tblPr/>
      <w:tcPr>
        <w:tcBorders>
          <w:top w:val="single" w:sz="4" w:space="0" w:color="0D3E67" w:themeColor="accent3"/>
          <w:left w:val="single" w:sz="4" w:space="0" w:color="0D3E67" w:themeColor="accent3"/>
          <w:bottom w:val="single" w:sz="4" w:space="0" w:color="0D3E67" w:themeColor="accent3"/>
          <w:right w:val="single" w:sz="4" w:space="0" w:color="0D3E67" w:themeColor="accent3"/>
          <w:insideH w:val="nil"/>
          <w:insideV w:val="nil"/>
        </w:tcBorders>
        <w:shd w:val="clear" w:color="auto" w:fill="0D3E67" w:themeFill="accent3"/>
      </w:tcPr>
    </w:tblStylePr>
    <w:tblStylePr w:type="lastRow">
      <w:rPr>
        <w:b/>
        <w:bCs/>
      </w:rPr>
      <w:tblPr/>
      <w:tcPr>
        <w:tcBorders>
          <w:top w:val="double" w:sz="4" w:space="0" w:color="0D3E67" w:themeColor="accent3"/>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styleId="GridTable4-Accent4">
    <w:name w:val="Grid Table 4 Accent 4"/>
    <w:basedOn w:val="TableNormal"/>
    <w:uiPriority w:val="49"/>
    <w:locked/>
    <w:rsid w:val="008E4939"/>
    <w:pPr>
      <w:spacing w:after="0" w:line="240" w:lineRule="auto"/>
    </w:p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insideV w:val="single" w:sz="4" w:space="0" w:color="B0BFD2" w:themeColor="accent4" w:themeTint="99"/>
      </w:tblBorders>
    </w:tblPr>
    <w:tblStylePr w:type="firstRow">
      <w:rPr>
        <w:b/>
        <w:bCs/>
        <w:color w:val="FFFFFF" w:themeColor="background1"/>
      </w:rPr>
      <w:tblPr/>
      <w:tcPr>
        <w:tcBorders>
          <w:top w:val="single" w:sz="4" w:space="0" w:color="7D96B5" w:themeColor="accent4"/>
          <w:left w:val="single" w:sz="4" w:space="0" w:color="7D96B5" w:themeColor="accent4"/>
          <w:bottom w:val="single" w:sz="4" w:space="0" w:color="7D96B5" w:themeColor="accent4"/>
          <w:right w:val="single" w:sz="4" w:space="0" w:color="7D96B5" w:themeColor="accent4"/>
          <w:insideH w:val="nil"/>
          <w:insideV w:val="nil"/>
        </w:tcBorders>
        <w:shd w:val="clear" w:color="auto" w:fill="7D96B5" w:themeFill="accent4"/>
      </w:tcPr>
    </w:tblStylePr>
    <w:tblStylePr w:type="lastRow">
      <w:rPr>
        <w:b/>
        <w:bCs/>
      </w:rPr>
      <w:tblPr/>
      <w:tcPr>
        <w:tcBorders>
          <w:top w:val="double" w:sz="4" w:space="0" w:color="7D96B5" w:themeColor="accent4"/>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styleId="GridTable4-Accent5">
    <w:name w:val="Grid Table 4 Accent 5"/>
    <w:basedOn w:val="TableNormal"/>
    <w:uiPriority w:val="49"/>
    <w:locked/>
    <w:rsid w:val="008E4939"/>
    <w:pPr>
      <w:spacing w:after="0" w:line="240" w:lineRule="auto"/>
    </w:p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insideV w:val="single" w:sz="4" w:space="0" w:color="37EBD6" w:themeColor="accent5" w:themeTint="99"/>
      </w:tblBorders>
    </w:tblPr>
    <w:tblStylePr w:type="firstRow">
      <w:rPr>
        <w:b/>
        <w:bCs/>
        <w:color w:val="FFFFFF" w:themeColor="background1"/>
      </w:rPr>
      <w:tblPr/>
      <w:tcPr>
        <w:tcBorders>
          <w:top w:val="single" w:sz="4" w:space="0" w:color="0D8577" w:themeColor="accent5"/>
          <w:left w:val="single" w:sz="4" w:space="0" w:color="0D8577" w:themeColor="accent5"/>
          <w:bottom w:val="single" w:sz="4" w:space="0" w:color="0D8577" w:themeColor="accent5"/>
          <w:right w:val="single" w:sz="4" w:space="0" w:color="0D8577" w:themeColor="accent5"/>
          <w:insideH w:val="nil"/>
          <w:insideV w:val="nil"/>
        </w:tcBorders>
        <w:shd w:val="clear" w:color="auto" w:fill="0D8577" w:themeFill="accent5"/>
      </w:tcPr>
    </w:tblStylePr>
    <w:tblStylePr w:type="lastRow">
      <w:rPr>
        <w:b/>
        <w:bCs/>
      </w:rPr>
      <w:tblPr/>
      <w:tcPr>
        <w:tcBorders>
          <w:top w:val="double" w:sz="4" w:space="0" w:color="0D8577" w:themeColor="accent5"/>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styleId="GridTable4-Accent6">
    <w:name w:val="Grid Table 4 Accent 6"/>
    <w:basedOn w:val="TableNormal"/>
    <w:uiPriority w:val="49"/>
    <w:locked/>
    <w:rsid w:val="008E4939"/>
    <w:pPr>
      <w:spacing w:after="0" w:line="240" w:lineRule="auto"/>
    </w:p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insideV w:val="single" w:sz="4" w:space="0" w:color="8FD4CB" w:themeColor="accent6" w:themeTint="99"/>
      </w:tblBorders>
    </w:tblPr>
    <w:tblStylePr w:type="firstRow">
      <w:rPr>
        <w:b/>
        <w:bCs/>
        <w:color w:val="FFFFFF" w:themeColor="background1"/>
      </w:rPr>
      <w:tblPr/>
      <w:tcPr>
        <w:tcBorders>
          <w:top w:val="single" w:sz="4" w:space="0" w:color="46B8A9" w:themeColor="accent6"/>
          <w:left w:val="single" w:sz="4" w:space="0" w:color="46B8A9" w:themeColor="accent6"/>
          <w:bottom w:val="single" w:sz="4" w:space="0" w:color="46B8A9" w:themeColor="accent6"/>
          <w:right w:val="single" w:sz="4" w:space="0" w:color="46B8A9" w:themeColor="accent6"/>
          <w:insideH w:val="nil"/>
          <w:insideV w:val="nil"/>
        </w:tcBorders>
        <w:shd w:val="clear" w:color="auto" w:fill="46B8A9" w:themeFill="accent6"/>
      </w:tcPr>
    </w:tblStylePr>
    <w:tblStylePr w:type="lastRow">
      <w:rPr>
        <w:b/>
        <w:bCs/>
      </w:rPr>
      <w:tblPr/>
      <w:tcPr>
        <w:tcBorders>
          <w:top w:val="double" w:sz="4" w:space="0" w:color="46B8A9" w:themeColor="accent6"/>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styleId="GridTable5Dark">
    <w:name w:val="Grid Table 5 Dark"/>
    <w:basedOn w:val="TableNormal"/>
    <w:uiPriority w:val="50"/>
    <w:locked/>
    <w:rsid w:val="008E49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2222" w:themeFill="text1"/>
      </w:tcPr>
    </w:tblStylePr>
    <w:tblStylePr w:type="band1Vert">
      <w:tblPr/>
      <w:tcPr>
        <w:shd w:val="clear" w:color="auto" w:fill="A6A6A6" w:themeFill="text1" w:themeFillTint="66"/>
      </w:tcPr>
    </w:tblStylePr>
    <w:tblStylePr w:type="band1Horz">
      <w:tblPr/>
      <w:tcPr>
        <w:shd w:val="clear" w:color="auto" w:fill="A6A6A6" w:themeFill="text1" w:themeFillTint="66"/>
      </w:tcPr>
    </w:tblStylePr>
  </w:style>
  <w:style w:type="table" w:styleId="GridTable5Dark-Accent1">
    <w:name w:val="Grid Table 5 Dark Accent 1"/>
    <w:basedOn w:val="TableNormal"/>
    <w:uiPriority w:val="50"/>
    <w:locked/>
    <w:rsid w:val="008E49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0C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66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66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66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6600" w:themeFill="accent1"/>
      </w:tcPr>
    </w:tblStylePr>
    <w:tblStylePr w:type="band1Vert">
      <w:tblPr/>
      <w:tcPr>
        <w:shd w:val="clear" w:color="auto" w:fill="FFC184" w:themeFill="accent1" w:themeFillTint="66"/>
      </w:tcPr>
    </w:tblStylePr>
    <w:tblStylePr w:type="band1Horz">
      <w:tblPr/>
      <w:tcPr>
        <w:shd w:val="clear" w:color="auto" w:fill="FFC184" w:themeFill="accent1" w:themeFillTint="66"/>
      </w:tcPr>
    </w:tblStylePr>
  </w:style>
  <w:style w:type="table" w:styleId="GridTable5Dark-Accent2">
    <w:name w:val="Grid Table 5 Dark Accent 2"/>
    <w:basedOn w:val="TableNormal"/>
    <w:uiPriority w:val="50"/>
    <w:locked/>
    <w:rsid w:val="008E49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9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E2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E2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E2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E2CC" w:themeFill="accent2"/>
      </w:tcPr>
    </w:tblStylePr>
    <w:tblStylePr w:type="band1Vert">
      <w:tblPr/>
      <w:tcPr>
        <w:shd w:val="clear" w:color="auto" w:fill="FDF3EA" w:themeFill="accent2" w:themeFillTint="66"/>
      </w:tcPr>
    </w:tblStylePr>
    <w:tblStylePr w:type="band1Horz">
      <w:tblPr/>
      <w:tcPr>
        <w:shd w:val="clear" w:color="auto" w:fill="FDF3EA" w:themeFill="accent2" w:themeFillTint="66"/>
      </w:tcPr>
    </w:tblStylePr>
  </w:style>
  <w:style w:type="table" w:styleId="GridTable5Dark-Accent3">
    <w:name w:val="Grid Table 5 Dark Accent 3"/>
    <w:basedOn w:val="TableNormal"/>
    <w:uiPriority w:val="50"/>
    <w:locked/>
    <w:rsid w:val="008E49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DA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3E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3E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3E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3E67" w:themeFill="accent3"/>
      </w:tcPr>
    </w:tblStylePr>
    <w:tblStylePr w:type="band1Vert">
      <w:tblPr/>
      <w:tcPr>
        <w:shd w:val="clear" w:color="auto" w:fill="73B5ED" w:themeFill="accent3" w:themeFillTint="66"/>
      </w:tcPr>
    </w:tblStylePr>
    <w:tblStylePr w:type="band1Horz">
      <w:tblPr/>
      <w:tcPr>
        <w:shd w:val="clear" w:color="auto" w:fill="73B5ED" w:themeFill="accent3" w:themeFillTint="66"/>
      </w:tcPr>
    </w:tblStylePr>
  </w:style>
  <w:style w:type="table" w:styleId="GridTable5Dark-Accent4">
    <w:name w:val="Grid Table 5 Dark Accent 4"/>
    <w:basedOn w:val="TableNormal"/>
    <w:uiPriority w:val="50"/>
    <w:locked/>
    <w:rsid w:val="008E49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9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96B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96B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96B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96B5" w:themeFill="accent4"/>
      </w:tcPr>
    </w:tblStylePr>
    <w:tblStylePr w:type="band1Vert">
      <w:tblPr/>
      <w:tcPr>
        <w:shd w:val="clear" w:color="auto" w:fill="CAD4E1" w:themeFill="accent4" w:themeFillTint="66"/>
      </w:tcPr>
    </w:tblStylePr>
    <w:tblStylePr w:type="band1Horz">
      <w:tblPr/>
      <w:tcPr>
        <w:shd w:val="clear" w:color="auto" w:fill="CAD4E1" w:themeFill="accent4" w:themeFillTint="66"/>
      </w:tcPr>
    </w:tblStylePr>
  </w:style>
  <w:style w:type="table" w:styleId="GridTable5Dark-Accent5">
    <w:name w:val="Grid Table 5 Dark Accent 5"/>
    <w:basedOn w:val="TableNormal"/>
    <w:uiPriority w:val="50"/>
    <w:locked/>
    <w:rsid w:val="008E49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8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857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857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857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8577" w:themeFill="accent5"/>
      </w:tcPr>
    </w:tblStylePr>
    <w:tblStylePr w:type="band1Vert">
      <w:tblPr/>
      <w:tcPr>
        <w:shd w:val="clear" w:color="auto" w:fill="7AF2E4" w:themeFill="accent5" w:themeFillTint="66"/>
      </w:tcPr>
    </w:tblStylePr>
    <w:tblStylePr w:type="band1Horz">
      <w:tblPr/>
      <w:tcPr>
        <w:shd w:val="clear" w:color="auto" w:fill="7AF2E4" w:themeFill="accent5" w:themeFillTint="66"/>
      </w:tcPr>
    </w:tblStylePr>
  </w:style>
  <w:style w:type="table" w:styleId="GridTable5Dark-Accent6">
    <w:name w:val="Grid Table 5 Dark Accent 6"/>
    <w:basedOn w:val="TableNormal"/>
    <w:uiPriority w:val="50"/>
    <w:locked/>
    <w:rsid w:val="008E49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1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B8A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B8A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B8A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B8A9" w:themeFill="accent6"/>
      </w:tcPr>
    </w:tblStylePr>
    <w:tblStylePr w:type="band1Vert">
      <w:tblPr/>
      <w:tcPr>
        <w:shd w:val="clear" w:color="auto" w:fill="B4E2DC" w:themeFill="accent6" w:themeFillTint="66"/>
      </w:tcPr>
    </w:tblStylePr>
    <w:tblStylePr w:type="band1Horz">
      <w:tblPr/>
      <w:tcPr>
        <w:shd w:val="clear" w:color="auto" w:fill="B4E2DC" w:themeFill="accent6" w:themeFillTint="66"/>
      </w:tcPr>
    </w:tblStylePr>
  </w:style>
  <w:style w:type="table" w:styleId="GridTable6Colorful">
    <w:name w:val="Grid Table 6 Colorful"/>
    <w:basedOn w:val="TableNormal"/>
    <w:uiPriority w:val="51"/>
    <w:locked/>
    <w:rsid w:val="008E4939"/>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insideV w:val="single" w:sz="4" w:space="0" w:color="7A7A7A" w:themeColor="text1" w:themeTint="99"/>
      </w:tblBorders>
    </w:tblPr>
    <w:tblStylePr w:type="firstRow">
      <w:rPr>
        <w:b/>
        <w:bCs/>
      </w:rPr>
      <w:tblPr/>
      <w:tcPr>
        <w:tcBorders>
          <w:bottom w:val="single" w:sz="12" w:space="0" w:color="7A7A7A" w:themeColor="text1" w:themeTint="99"/>
        </w:tcBorders>
      </w:tcPr>
    </w:tblStylePr>
    <w:tblStylePr w:type="lastRow">
      <w:rPr>
        <w:b/>
        <w:bCs/>
      </w:rPr>
      <w:tblPr/>
      <w:tcPr>
        <w:tcBorders>
          <w:top w:val="double" w:sz="4" w:space="0" w:color="7A7A7A"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GridTable6Colorful-Accent1">
    <w:name w:val="Grid Table 6 Colorful Accent 1"/>
    <w:basedOn w:val="TableNormal"/>
    <w:uiPriority w:val="51"/>
    <w:locked/>
    <w:rsid w:val="008E4939"/>
    <w:pPr>
      <w:spacing w:after="0" w:line="240" w:lineRule="auto"/>
    </w:pPr>
    <w:rPr>
      <w:color w:val="984C00" w:themeColor="accent1" w:themeShade="BF"/>
    </w:r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rPr>
      <w:tblPr/>
      <w:tcPr>
        <w:tcBorders>
          <w:bottom w:val="single" w:sz="12" w:space="0" w:color="FFA247" w:themeColor="accent1" w:themeTint="99"/>
        </w:tcBorders>
      </w:tcPr>
    </w:tblStylePr>
    <w:tblStylePr w:type="lastRow">
      <w:rPr>
        <w:b/>
        <w:bCs/>
      </w:rPr>
      <w:tblPr/>
      <w:tcPr>
        <w:tcBorders>
          <w:top w:val="double" w:sz="4" w:space="0" w:color="FFA247" w:themeColor="accent1" w:themeTint="99"/>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styleId="GridTable6Colorful-Accent2">
    <w:name w:val="Grid Table 6 Colorful Accent 2"/>
    <w:basedOn w:val="TableNormal"/>
    <w:uiPriority w:val="51"/>
    <w:locked/>
    <w:rsid w:val="008E4939"/>
    <w:pPr>
      <w:spacing w:after="0" w:line="240" w:lineRule="auto"/>
    </w:pPr>
    <w:rPr>
      <w:color w:val="F5A35F" w:themeColor="accent2" w:themeShade="BF"/>
    </w:r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insideV w:val="single" w:sz="4" w:space="0" w:color="FDEDE0" w:themeColor="accent2" w:themeTint="99"/>
      </w:tblBorders>
    </w:tblPr>
    <w:tblStylePr w:type="firstRow">
      <w:rPr>
        <w:b/>
        <w:bCs/>
      </w:rPr>
      <w:tblPr/>
      <w:tcPr>
        <w:tcBorders>
          <w:bottom w:val="single" w:sz="12" w:space="0" w:color="FDEDE0" w:themeColor="accent2" w:themeTint="99"/>
        </w:tcBorders>
      </w:tcPr>
    </w:tblStylePr>
    <w:tblStylePr w:type="lastRow">
      <w:rPr>
        <w:b/>
        <w:bCs/>
      </w:rPr>
      <w:tblPr/>
      <w:tcPr>
        <w:tcBorders>
          <w:top w:val="double" w:sz="4" w:space="0" w:color="FDEDE0" w:themeColor="accent2" w:themeTint="99"/>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styleId="GridTable6Colorful-Accent3">
    <w:name w:val="Grid Table 6 Colorful Accent 3"/>
    <w:basedOn w:val="TableNormal"/>
    <w:uiPriority w:val="51"/>
    <w:locked/>
    <w:rsid w:val="008E4939"/>
    <w:pPr>
      <w:spacing w:after="0" w:line="240" w:lineRule="auto"/>
    </w:pPr>
    <w:rPr>
      <w:color w:val="092E4C" w:themeColor="accent3" w:themeShade="BF"/>
    </w:r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insideV w:val="single" w:sz="4" w:space="0" w:color="2C90E4" w:themeColor="accent3" w:themeTint="99"/>
      </w:tblBorders>
    </w:tblPr>
    <w:tblStylePr w:type="firstRow">
      <w:rPr>
        <w:b/>
        <w:bCs/>
      </w:rPr>
      <w:tblPr/>
      <w:tcPr>
        <w:tcBorders>
          <w:bottom w:val="single" w:sz="12" w:space="0" w:color="2C90E4" w:themeColor="accent3" w:themeTint="99"/>
        </w:tcBorders>
      </w:tcPr>
    </w:tblStylePr>
    <w:tblStylePr w:type="lastRow">
      <w:rPr>
        <w:b/>
        <w:bCs/>
      </w:rPr>
      <w:tblPr/>
      <w:tcPr>
        <w:tcBorders>
          <w:top w:val="double" w:sz="4" w:space="0" w:color="2C90E4" w:themeColor="accent3" w:themeTint="99"/>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styleId="GridTable6Colorful-Accent4">
    <w:name w:val="Grid Table 6 Colorful Accent 4"/>
    <w:basedOn w:val="TableNormal"/>
    <w:uiPriority w:val="51"/>
    <w:locked/>
    <w:rsid w:val="008E4939"/>
    <w:pPr>
      <w:spacing w:after="0" w:line="240" w:lineRule="auto"/>
    </w:pPr>
    <w:rPr>
      <w:color w:val="536E91" w:themeColor="accent4" w:themeShade="BF"/>
    </w:r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insideV w:val="single" w:sz="4" w:space="0" w:color="B0BFD2" w:themeColor="accent4" w:themeTint="99"/>
      </w:tblBorders>
    </w:tblPr>
    <w:tblStylePr w:type="firstRow">
      <w:rPr>
        <w:b/>
        <w:bCs/>
      </w:rPr>
      <w:tblPr/>
      <w:tcPr>
        <w:tcBorders>
          <w:bottom w:val="single" w:sz="12" w:space="0" w:color="B0BFD2" w:themeColor="accent4" w:themeTint="99"/>
        </w:tcBorders>
      </w:tcPr>
    </w:tblStylePr>
    <w:tblStylePr w:type="lastRow">
      <w:rPr>
        <w:b/>
        <w:bCs/>
      </w:rPr>
      <w:tblPr/>
      <w:tcPr>
        <w:tcBorders>
          <w:top w:val="double" w:sz="4" w:space="0" w:color="B0BFD2" w:themeColor="accent4" w:themeTint="99"/>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styleId="GridTable6Colorful-Accent5">
    <w:name w:val="Grid Table 6 Colorful Accent 5"/>
    <w:basedOn w:val="TableNormal"/>
    <w:uiPriority w:val="51"/>
    <w:locked/>
    <w:rsid w:val="008E4939"/>
    <w:pPr>
      <w:spacing w:after="0" w:line="240" w:lineRule="auto"/>
    </w:pPr>
    <w:rPr>
      <w:color w:val="096358" w:themeColor="accent5" w:themeShade="BF"/>
    </w:r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insideV w:val="single" w:sz="4" w:space="0" w:color="37EBD6" w:themeColor="accent5" w:themeTint="99"/>
      </w:tblBorders>
    </w:tblPr>
    <w:tblStylePr w:type="firstRow">
      <w:rPr>
        <w:b/>
        <w:bCs/>
      </w:rPr>
      <w:tblPr/>
      <w:tcPr>
        <w:tcBorders>
          <w:bottom w:val="single" w:sz="12" w:space="0" w:color="37EBD6" w:themeColor="accent5" w:themeTint="99"/>
        </w:tcBorders>
      </w:tcPr>
    </w:tblStylePr>
    <w:tblStylePr w:type="lastRow">
      <w:rPr>
        <w:b/>
        <w:bCs/>
      </w:rPr>
      <w:tblPr/>
      <w:tcPr>
        <w:tcBorders>
          <w:top w:val="double" w:sz="4" w:space="0" w:color="37EBD6" w:themeColor="accent5" w:themeTint="99"/>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styleId="GridTable6Colorful-Accent6">
    <w:name w:val="Grid Table 6 Colorful Accent 6"/>
    <w:basedOn w:val="TableNormal"/>
    <w:uiPriority w:val="51"/>
    <w:locked/>
    <w:rsid w:val="008E4939"/>
    <w:pPr>
      <w:spacing w:after="0" w:line="240" w:lineRule="auto"/>
    </w:pPr>
    <w:rPr>
      <w:color w:val="34897E" w:themeColor="accent6" w:themeShade="BF"/>
    </w:r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insideV w:val="single" w:sz="4" w:space="0" w:color="8FD4CB" w:themeColor="accent6" w:themeTint="99"/>
      </w:tblBorders>
    </w:tblPr>
    <w:tblStylePr w:type="firstRow">
      <w:rPr>
        <w:b/>
        <w:bCs/>
      </w:rPr>
      <w:tblPr/>
      <w:tcPr>
        <w:tcBorders>
          <w:bottom w:val="single" w:sz="12" w:space="0" w:color="8FD4CB" w:themeColor="accent6" w:themeTint="99"/>
        </w:tcBorders>
      </w:tcPr>
    </w:tblStylePr>
    <w:tblStylePr w:type="lastRow">
      <w:rPr>
        <w:b/>
        <w:bCs/>
      </w:rPr>
      <w:tblPr/>
      <w:tcPr>
        <w:tcBorders>
          <w:top w:val="double" w:sz="4" w:space="0" w:color="8FD4CB" w:themeColor="accent6" w:themeTint="99"/>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styleId="GridTable7Colorful">
    <w:name w:val="Grid Table 7 Colorful"/>
    <w:basedOn w:val="TableNormal"/>
    <w:uiPriority w:val="52"/>
    <w:locked/>
    <w:rsid w:val="008E4939"/>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insideV w:val="single" w:sz="4" w:space="0" w:color="7A7A7A"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bottom w:val="single" w:sz="4" w:space="0" w:color="7A7A7A" w:themeColor="text1" w:themeTint="99"/>
        </w:tcBorders>
      </w:tcPr>
    </w:tblStylePr>
    <w:tblStylePr w:type="nwCell">
      <w:tblPr/>
      <w:tcPr>
        <w:tcBorders>
          <w:bottom w:val="single" w:sz="4" w:space="0" w:color="7A7A7A" w:themeColor="text1" w:themeTint="99"/>
        </w:tcBorders>
      </w:tcPr>
    </w:tblStylePr>
    <w:tblStylePr w:type="seCell">
      <w:tblPr/>
      <w:tcPr>
        <w:tcBorders>
          <w:top w:val="single" w:sz="4" w:space="0" w:color="7A7A7A" w:themeColor="text1" w:themeTint="99"/>
        </w:tcBorders>
      </w:tcPr>
    </w:tblStylePr>
    <w:tblStylePr w:type="swCell">
      <w:tblPr/>
      <w:tcPr>
        <w:tcBorders>
          <w:top w:val="single" w:sz="4" w:space="0" w:color="7A7A7A" w:themeColor="text1" w:themeTint="99"/>
        </w:tcBorders>
      </w:tcPr>
    </w:tblStylePr>
  </w:style>
  <w:style w:type="table" w:styleId="GridTable7Colorful-Accent1">
    <w:name w:val="Grid Table 7 Colorful Accent 1"/>
    <w:basedOn w:val="TableNormal"/>
    <w:uiPriority w:val="52"/>
    <w:locked/>
    <w:rsid w:val="008E4939"/>
    <w:pPr>
      <w:spacing w:after="0" w:line="240" w:lineRule="auto"/>
    </w:pPr>
    <w:rPr>
      <w:color w:val="984C00" w:themeColor="accent1" w:themeShade="BF"/>
    </w:r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C1" w:themeFill="accent1" w:themeFillTint="33"/>
      </w:tcPr>
    </w:tblStylePr>
    <w:tblStylePr w:type="band1Horz">
      <w:tblPr/>
      <w:tcPr>
        <w:shd w:val="clear" w:color="auto" w:fill="FFE0C1" w:themeFill="accent1" w:themeFillTint="33"/>
      </w:tcPr>
    </w:tblStylePr>
    <w:tblStylePr w:type="neCell">
      <w:tblPr/>
      <w:tcPr>
        <w:tcBorders>
          <w:bottom w:val="single" w:sz="4" w:space="0" w:color="FFA247" w:themeColor="accent1" w:themeTint="99"/>
        </w:tcBorders>
      </w:tcPr>
    </w:tblStylePr>
    <w:tblStylePr w:type="nwCell">
      <w:tblPr/>
      <w:tcPr>
        <w:tcBorders>
          <w:bottom w:val="single" w:sz="4" w:space="0" w:color="FFA247" w:themeColor="accent1" w:themeTint="99"/>
        </w:tcBorders>
      </w:tcPr>
    </w:tblStylePr>
    <w:tblStylePr w:type="seCell">
      <w:tblPr/>
      <w:tcPr>
        <w:tcBorders>
          <w:top w:val="single" w:sz="4" w:space="0" w:color="FFA247" w:themeColor="accent1" w:themeTint="99"/>
        </w:tcBorders>
      </w:tcPr>
    </w:tblStylePr>
    <w:tblStylePr w:type="swCell">
      <w:tblPr/>
      <w:tcPr>
        <w:tcBorders>
          <w:top w:val="single" w:sz="4" w:space="0" w:color="FFA247" w:themeColor="accent1" w:themeTint="99"/>
        </w:tcBorders>
      </w:tcPr>
    </w:tblStylePr>
  </w:style>
  <w:style w:type="table" w:styleId="GridTable7Colorful-Accent2">
    <w:name w:val="Grid Table 7 Colorful Accent 2"/>
    <w:basedOn w:val="TableNormal"/>
    <w:uiPriority w:val="52"/>
    <w:locked/>
    <w:rsid w:val="008E4939"/>
    <w:pPr>
      <w:spacing w:after="0" w:line="240" w:lineRule="auto"/>
    </w:pPr>
    <w:rPr>
      <w:color w:val="F5A35F" w:themeColor="accent2" w:themeShade="BF"/>
    </w:r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insideV w:val="single" w:sz="4" w:space="0" w:color="FDED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9F4" w:themeFill="accent2" w:themeFillTint="33"/>
      </w:tcPr>
    </w:tblStylePr>
    <w:tblStylePr w:type="band1Horz">
      <w:tblPr/>
      <w:tcPr>
        <w:shd w:val="clear" w:color="auto" w:fill="FEF9F4" w:themeFill="accent2" w:themeFillTint="33"/>
      </w:tcPr>
    </w:tblStylePr>
    <w:tblStylePr w:type="neCell">
      <w:tblPr/>
      <w:tcPr>
        <w:tcBorders>
          <w:bottom w:val="single" w:sz="4" w:space="0" w:color="FDEDE0" w:themeColor="accent2" w:themeTint="99"/>
        </w:tcBorders>
      </w:tcPr>
    </w:tblStylePr>
    <w:tblStylePr w:type="nwCell">
      <w:tblPr/>
      <w:tcPr>
        <w:tcBorders>
          <w:bottom w:val="single" w:sz="4" w:space="0" w:color="FDEDE0" w:themeColor="accent2" w:themeTint="99"/>
        </w:tcBorders>
      </w:tcPr>
    </w:tblStylePr>
    <w:tblStylePr w:type="seCell">
      <w:tblPr/>
      <w:tcPr>
        <w:tcBorders>
          <w:top w:val="single" w:sz="4" w:space="0" w:color="FDEDE0" w:themeColor="accent2" w:themeTint="99"/>
        </w:tcBorders>
      </w:tcPr>
    </w:tblStylePr>
    <w:tblStylePr w:type="swCell">
      <w:tblPr/>
      <w:tcPr>
        <w:tcBorders>
          <w:top w:val="single" w:sz="4" w:space="0" w:color="FDEDE0" w:themeColor="accent2" w:themeTint="99"/>
        </w:tcBorders>
      </w:tcPr>
    </w:tblStylePr>
  </w:style>
  <w:style w:type="table" w:styleId="GridTable7Colorful-Accent3">
    <w:name w:val="Grid Table 7 Colorful Accent 3"/>
    <w:basedOn w:val="TableNormal"/>
    <w:uiPriority w:val="52"/>
    <w:locked/>
    <w:rsid w:val="008E4939"/>
    <w:pPr>
      <w:spacing w:after="0" w:line="240" w:lineRule="auto"/>
    </w:pPr>
    <w:rPr>
      <w:color w:val="092E4C" w:themeColor="accent3" w:themeShade="BF"/>
    </w:r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insideV w:val="single" w:sz="4" w:space="0" w:color="2C90E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DAF6" w:themeFill="accent3" w:themeFillTint="33"/>
      </w:tcPr>
    </w:tblStylePr>
    <w:tblStylePr w:type="band1Horz">
      <w:tblPr/>
      <w:tcPr>
        <w:shd w:val="clear" w:color="auto" w:fill="B8DAF6" w:themeFill="accent3" w:themeFillTint="33"/>
      </w:tcPr>
    </w:tblStylePr>
    <w:tblStylePr w:type="neCell">
      <w:tblPr/>
      <w:tcPr>
        <w:tcBorders>
          <w:bottom w:val="single" w:sz="4" w:space="0" w:color="2C90E4" w:themeColor="accent3" w:themeTint="99"/>
        </w:tcBorders>
      </w:tcPr>
    </w:tblStylePr>
    <w:tblStylePr w:type="nwCell">
      <w:tblPr/>
      <w:tcPr>
        <w:tcBorders>
          <w:bottom w:val="single" w:sz="4" w:space="0" w:color="2C90E4" w:themeColor="accent3" w:themeTint="99"/>
        </w:tcBorders>
      </w:tcPr>
    </w:tblStylePr>
    <w:tblStylePr w:type="seCell">
      <w:tblPr/>
      <w:tcPr>
        <w:tcBorders>
          <w:top w:val="single" w:sz="4" w:space="0" w:color="2C90E4" w:themeColor="accent3" w:themeTint="99"/>
        </w:tcBorders>
      </w:tcPr>
    </w:tblStylePr>
    <w:tblStylePr w:type="swCell">
      <w:tblPr/>
      <w:tcPr>
        <w:tcBorders>
          <w:top w:val="single" w:sz="4" w:space="0" w:color="2C90E4" w:themeColor="accent3" w:themeTint="99"/>
        </w:tcBorders>
      </w:tcPr>
    </w:tblStylePr>
  </w:style>
  <w:style w:type="table" w:styleId="GridTable7Colorful-Accent4">
    <w:name w:val="Grid Table 7 Colorful Accent 4"/>
    <w:basedOn w:val="TableNormal"/>
    <w:uiPriority w:val="52"/>
    <w:locked/>
    <w:rsid w:val="008E4939"/>
    <w:pPr>
      <w:spacing w:after="0" w:line="240" w:lineRule="auto"/>
    </w:pPr>
    <w:rPr>
      <w:color w:val="536E91" w:themeColor="accent4" w:themeShade="BF"/>
    </w:r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insideV w:val="single" w:sz="4" w:space="0" w:color="B0BF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9F0" w:themeFill="accent4" w:themeFillTint="33"/>
      </w:tcPr>
    </w:tblStylePr>
    <w:tblStylePr w:type="band1Horz">
      <w:tblPr/>
      <w:tcPr>
        <w:shd w:val="clear" w:color="auto" w:fill="E4E9F0" w:themeFill="accent4" w:themeFillTint="33"/>
      </w:tcPr>
    </w:tblStylePr>
    <w:tblStylePr w:type="neCell">
      <w:tblPr/>
      <w:tcPr>
        <w:tcBorders>
          <w:bottom w:val="single" w:sz="4" w:space="0" w:color="B0BFD2" w:themeColor="accent4" w:themeTint="99"/>
        </w:tcBorders>
      </w:tcPr>
    </w:tblStylePr>
    <w:tblStylePr w:type="nwCell">
      <w:tblPr/>
      <w:tcPr>
        <w:tcBorders>
          <w:bottom w:val="single" w:sz="4" w:space="0" w:color="B0BFD2" w:themeColor="accent4" w:themeTint="99"/>
        </w:tcBorders>
      </w:tcPr>
    </w:tblStylePr>
    <w:tblStylePr w:type="seCell">
      <w:tblPr/>
      <w:tcPr>
        <w:tcBorders>
          <w:top w:val="single" w:sz="4" w:space="0" w:color="B0BFD2" w:themeColor="accent4" w:themeTint="99"/>
        </w:tcBorders>
      </w:tcPr>
    </w:tblStylePr>
    <w:tblStylePr w:type="swCell">
      <w:tblPr/>
      <w:tcPr>
        <w:tcBorders>
          <w:top w:val="single" w:sz="4" w:space="0" w:color="B0BFD2" w:themeColor="accent4" w:themeTint="99"/>
        </w:tcBorders>
      </w:tcPr>
    </w:tblStylePr>
  </w:style>
  <w:style w:type="table" w:styleId="GridTable7Colorful-Accent5">
    <w:name w:val="Grid Table 7 Colorful Accent 5"/>
    <w:basedOn w:val="TableNormal"/>
    <w:uiPriority w:val="52"/>
    <w:locked/>
    <w:rsid w:val="008E4939"/>
    <w:pPr>
      <w:spacing w:after="0" w:line="240" w:lineRule="auto"/>
    </w:pPr>
    <w:rPr>
      <w:color w:val="096358" w:themeColor="accent5" w:themeShade="BF"/>
    </w:r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insideV w:val="single" w:sz="4" w:space="0" w:color="37EB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8F1" w:themeFill="accent5" w:themeFillTint="33"/>
      </w:tcPr>
    </w:tblStylePr>
    <w:tblStylePr w:type="band1Horz">
      <w:tblPr/>
      <w:tcPr>
        <w:shd w:val="clear" w:color="auto" w:fill="BCF8F1" w:themeFill="accent5" w:themeFillTint="33"/>
      </w:tcPr>
    </w:tblStylePr>
    <w:tblStylePr w:type="neCell">
      <w:tblPr/>
      <w:tcPr>
        <w:tcBorders>
          <w:bottom w:val="single" w:sz="4" w:space="0" w:color="37EBD6" w:themeColor="accent5" w:themeTint="99"/>
        </w:tcBorders>
      </w:tcPr>
    </w:tblStylePr>
    <w:tblStylePr w:type="nwCell">
      <w:tblPr/>
      <w:tcPr>
        <w:tcBorders>
          <w:bottom w:val="single" w:sz="4" w:space="0" w:color="37EBD6" w:themeColor="accent5" w:themeTint="99"/>
        </w:tcBorders>
      </w:tcPr>
    </w:tblStylePr>
    <w:tblStylePr w:type="seCell">
      <w:tblPr/>
      <w:tcPr>
        <w:tcBorders>
          <w:top w:val="single" w:sz="4" w:space="0" w:color="37EBD6" w:themeColor="accent5" w:themeTint="99"/>
        </w:tcBorders>
      </w:tcPr>
    </w:tblStylePr>
    <w:tblStylePr w:type="swCell">
      <w:tblPr/>
      <w:tcPr>
        <w:tcBorders>
          <w:top w:val="single" w:sz="4" w:space="0" w:color="37EBD6" w:themeColor="accent5" w:themeTint="99"/>
        </w:tcBorders>
      </w:tcPr>
    </w:tblStylePr>
  </w:style>
  <w:style w:type="table" w:styleId="GridTable7Colorful-Accent6">
    <w:name w:val="Grid Table 7 Colorful Accent 6"/>
    <w:basedOn w:val="TableNormal"/>
    <w:uiPriority w:val="52"/>
    <w:locked/>
    <w:rsid w:val="008E4939"/>
    <w:pPr>
      <w:spacing w:after="0" w:line="240" w:lineRule="auto"/>
    </w:pPr>
    <w:rPr>
      <w:color w:val="34897E" w:themeColor="accent6" w:themeShade="BF"/>
    </w:r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insideV w:val="single" w:sz="4" w:space="0" w:color="8FD4C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1ED" w:themeFill="accent6" w:themeFillTint="33"/>
      </w:tcPr>
    </w:tblStylePr>
    <w:tblStylePr w:type="band1Horz">
      <w:tblPr/>
      <w:tcPr>
        <w:shd w:val="clear" w:color="auto" w:fill="D9F1ED" w:themeFill="accent6" w:themeFillTint="33"/>
      </w:tcPr>
    </w:tblStylePr>
    <w:tblStylePr w:type="neCell">
      <w:tblPr/>
      <w:tcPr>
        <w:tcBorders>
          <w:bottom w:val="single" w:sz="4" w:space="0" w:color="8FD4CB" w:themeColor="accent6" w:themeTint="99"/>
        </w:tcBorders>
      </w:tcPr>
    </w:tblStylePr>
    <w:tblStylePr w:type="nwCell">
      <w:tblPr/>
      <w:tcPr>
        <w:tcBorders>
          <w:bottom w:val="single" w:sz="4" w:space="0" w:color="8FD4CB" w:themeColor="accent6" w:themeTint="99"/>
        </w:tcBorders>
      </w:tcPr>
    </w:tblStylePr>
    <w:tblStylePr w:type="seCell">
      <w:tblPr/>
      <w:tcPr>
        <w:tcBorders>
          <w:top w:val="single" w:sz="4" w:space="0" w:color="8FD4CB" w:themeColor="accent6" w:themeTint="99"/>
        </w:tcBorders>
      </w:tcPr>
    </w:tblStylePr>
    <w:tblStylePr w:type="swCell">
      <w:tblPr/>
      <w:tcPr>
        <w:tcBorders>
          <w:top w:val="single" w:sz="4" w:space="0" w:color="8FD4CB" w:themeColor="accent6" w:themeTint="99"/>
        </w:tcBorders>
      </w:tcPr>
    </w:tblStylePr>
  </w:style>
  <w:style w:type="table" w:styleId="ListTable1Light">
    <w:name w:val="List Table 1 Light"/>
    <w:basedOn w:val="TableNormal"/>
    <w:uiPriority w:val="46"/>
    <w:locked/>
    <w:rsid w:val="008E4939"/>
    <w:pPr>
      <w:spacing w:after="0" w:line="240" w:lineRule="auto"/>
    </w:pPr>
    <w:tblPr>
      <w:tblStyleRowBandSize w:val="1"/>
      <w:tblStyleColBandSize w:val="1"/>
    </w:tblPr>
    <w:tblStylePr w:type="firstRow">
      <w:rPr>
        <w:b/>
        <w:bCs/>
      </w:rPr>
      <w:tblPr/>
      <w:tcPr>
        <w:tcBorders>
          <w:bottom w:val="single" w:sz="4" w:space="0" w:color="7A7A7A" w:themeColor="text1" w:themeTint="99"/>
        </w:tcBorders>
      </w:tcPr>
    </w:tblStylePr>
    <w:tblStylePr w:type="lastRow">
      <w:rPr>
        <w:b/>
        <w:bCs/>
      </w:rPr>
      <w:tblPr/>
      <w:tcPr>
        <w:tcBorders>
          <w:top w:val="single" w:sz="4" w:space="0" w:color="7A7A7A"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Table1Light-Accent1">
    <w:name w:val="List Table 1 Light Accent 1"/>
    <w:basedOn w:val="TableNormal"/>
    <w:uiPriority w:val="46"/>
    <w:locked/>
    <w:rsid w:val="008E4939"/>
    <w:pPr>
      <w:spacing w:after="0" w:line="240" w:lineRule="auto"/>
    </w:pPr>
    <w:tblPr>
      <w:tblStyleRowBandSize w:val="1"/>
      <w:tblStyleColBandSize w:val="1"/>
    </w:tblPr>
    <w:tblStylePr w:type="firstRow">
      <w:rPr>
        <w:b/>
        <w:bCs/>
      </w:rPr>
      <w:tblPr/>
      <w:tcPr>
        <w:tcBorders>
          <w:bottom w:val="single" w:sz="4" w:space="0" w:color="FFA247" w:themeColor="accent1" w:themeTint="99"/>
        </w:tcBorders>
      </w:tcPr>
    </w:tblStylePr>
    <w:tblStylePr w:type="lastRow">
      <w:rPr>
        <w:b/>
        <w:bCs/>
      </w:rPr>
      <w:tblPr/>
      <w:tcPr>
        <w:tcBorders>
          <w:top w:val="single" w:sz="4" w:space="0" w:color="FFA247" w:themeColor="accent1" w:themeTint="99"/>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styleId="ListTable1Light-Accent2">
    <w:name w:val="List Table 1 Light Accent 2"/>
    <w:basedOn w:val="TableNormal"/>
    <w:uiPriority w:val="46"/>
    <w:locked/>
    <w:rsid w:val="008E4939"/>
    <w:pPr>
      <w:spacing w:after="0" w:line="240" w:lineRule="auto"/>
    </w:pPr>
    <w:tblPr>
      <w:tblStyleRowBandSize w:val="1"/>
      <w:tblStyleColBandSize w:val="1"/>
    </w:tblPr>
    <w:tblStylePr w:type="firstRow">
      <w:rPr>
        <w:b/>
        <w:bCs/>
      </w:rPr>
      <w:tblPr/>
      <w:tcPr>
        <w:tcBorders>
          <w:bottom w:val="single" w:sz="4" w:space="0" w:color="FDEDE0" w:themeColor="accent2" w:themeTint="99"/>
        </w:tcBorders>
      </w:tcPr>
    </w:tblStylePr>
    <w:tblStylePr w:type="lastRow">
      <w:rPr>
        <w:b/>
        <w:bCs/>
      </w:rPr>
      <w:tblPr/>
      <w:tcPr>
        <w:tcBorders>
          <w:top w:val="single" w:sz="4" w:space="0" w:color="FDEDE0" w:themeColor="accent2" w:themeTint="99"/>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styleId="ListTable1Light-Accent3">
    <w:name w:val="List Table 1 Light Accent 3"/>
    <w:basedOn w:val="TableNormal"/>
    <w:uiPriority w:val="46"/>
    <w:locked/>
    <w:rsid w:val="008E4939"/>
    <w:pPr>
      <w:spacing w:after="0" w:line="240" w:lineRule="auto"/>
    </w:pPr>
    <w:tblPr>
      <w:tblStyleRowBandSize w:val="1"/>
      <w:tblStyleColBandSize w:val="1"/>
    </w:tblPr>
    <w:tblStylePr w:type="firstRow">
      <w:rPr>
        <w:b/>
        <w:bCs/>
      </w:rPr>
      <w:tblPr/>
      <w:tcPr>
        <w:tcBorders>
          <w:bottom w:val="single" w:sz="4" w:space="0" w:color="2C90E4" w:themeColor="accent3" w:themeTint="99"/>
        </w:tcBorders>
      </w:tcPr>
    </w:tblStylePr>
    <w:tblStylePr w:type="lastRow">
      <w:rPr>
        <w:b/>
        <w:bCs/>
      </w:rPr>
      <w:tblPr/>
      <w:tcPr>
        <w:tcBorders>
          <w:top w:val="single" w:sz="4" w:space="0" w:color="2C90E4" w:themeColor="accent3" w:themeTint="99"/>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styleId="ListTable1Light-Accent4">
    <w:name w:val="List Table 1 Light Accent 4"/>
    <w:basedOn w:val="TableNormal"/>
    <w:uiPriority w:val="46"/>
    <w:locked/>
    <w:rsid w:val="008E4939"/>
    <w:pPr>
      <w:spacing w:after="0" w:line="240" w:lineRule="auto"/>
    </w:pPr>
    <w:tblPr>
      <w:tblStyleRowBandSize w:val="1"/>
      <w:tblStyleColBandSize w:val="1"/>
    </w:tblPr>
    <w:tblStylePr w:type="firstRow">
      <w:rPr>
        <w:b/>
        <w:bCs/>
      </w:rPr>
      <w:tblPr/>
      <w:tcPr>
        <w:tcBorders>
          <w:bottom w:val="single" w:sz="4" w:space="0" w:color="B0BFD2" w:themeColor="accent4" w:themeTint="99"/>
        </w:tcBorders>
      </w:tcPr>
    </w:tblStylePr>
    <w:tblStylePr w:type="lastRow">
      <w:rPr>
        <w:b/>
        <w:bCs/>
      </w:rPr>
      <w:tblPr/>
      <w:tcPr>
        <w:tcBorders>
          <w:top w:val="single" w:sz="4" w:space="0" w:color="B0BFD2" w:themeColor="accent4" w:themeTint="99"/>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styleId="ListTable1Light-Accent5">
    <w:name w:val="List Table 1 Light Accent 5"/>
    <w:basedOn w:val="TableNormal"/>
    <w:uiPriority w:val="46"/>
    <w:locked/>
    <w:rsid w:val="008E4939"/>
    <w:pPr>
      <w:spacing w:after="0" w:line="240" w:lineRule="auto"/>
    </w:pPr>
    <w:tblPr>
      <w:tblStyleRowBandSize w:val="1"/>
      <w:tblStyleColBandSize w:val="1"/>
    </w:tblPr>
    <w:tblStylePr w:type="firstRow">
      <w:rPr>
        <w:b/>
        <w:bCs/>
      </w:rPr>
      <w:tblPr/>
      <w:tcPr>
        <w:tcBorders>
          <w:bottom w:val="single" w:sz="4" w:space="0" w:color="37EBD6" w:themeColor="accent5" w:themeTint="99"/>
        </w:tcBorders>
      </w:tcPr>
    </w:tblStylePr>
    <w:tblStylePr w:type="lastRow">
      <w:rPr>
        <w:b/>
        <w:bCs/>
      </w:rPr>
      <w:tblPr/>
      <w:tcPr>
        <w:tcBorders>
          <w:top w:val="single" w:sz="4" w:space="0" w:color="37EBD6" w:themeColor="accent5" w:themeTint="99"/>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styleId="ListTable1Light-Accent6">
    <w:name w:val="List Table 1 Light Accent 6"/>
    <w:basedOn w:val="TableNormal"/>
    <w:uiPriority w:val="46"/>
    <w:locked/>
    <w:rsid w:val="008E4939"/>
    <w:pPr>
      <w:spacing w:after="0" w:line="240" w:lineRule="auto"/>
    </w:pPr>
    <w:tblPr>
      <w:tblStyleRowBandSize w:val="1"/>
      <w:tblStyleColBandSize w:val="1"/>
    </w:tblPr>
    <w:tblStylePr w:type="firstRow">
      <w:rPr>
        <w:b/>
        <w:bCs/>
      </w:rPr>
      <w:tblPr/>
      <w:tcPr>
        <w:tcBorders>
          <w:bottom w:val="single" w:sz="4" w:space="0" w:color="8FD4CB" w:themeColor="accent6" w:themeTint="99"/>
        </w:tcBorders>
      </w:tcPr>
    </w:tblStylePr>
    <w:tblStylePr w:type="lastRow">
      <w:rPr>
        <w:b/>
        <w:bCs/>
      </w:rPr>
      <w:tblPr/>
      <w:tcPr>
        <w:tcBorders>
          <w:top w:val="single" w:sz="4" w:space="0" w:color="8FD4CB" w:themeColor="accent6" w:themeTint="99"/>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styleId="ListTable2">
    <w:name w:val="List Table 2"/>
    <w:basedOn w:val="TableNormal"/>
    <w:uiPriority w:val="47"/>
    <w:locked/>
    <w:rsid w:val="008E4939"/>
    <w:pPr>
      <w:spacing w:after="0" w:line="240" w:lineRule="auto"/>
    </w:pPr>
    <w:tblPr>
      <w:tblStyleRowBandSize w:val="1"/>
      <w:tblStyleColBandSize w:val="1"/>
      <w:tblBorders>
        <w:top w:val="single" w:sz="4" w:space="0" w:color="7A7A7A" w:themeColor="text1" w:themeTint="99"/>
        <w:bottom w:val="single" w:sz="4" w:space="0" w:color="7A7A7A" w:themeColor="text1" w:themeTint="99"/>
        <w:insideH w:val="single" w:sz="4" w:space="0" w:color="7A7A7A"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Table2-Accent1">
    <w:name w:val="List Table 2 Accent 1"/>
    <w:basedOn w:val="TableNormal"/>
    <w:uiPriority w:val="47"/>
    <w:locked/>
    <w:rsid w:val="008E4939"/>
    <w:pPr>
      <w:spacing w:after="0" w:line="240" w:lineRule="auto"/>
    </w:pPr>
    <w:tblPr>
      <w:tblStyleRowBandSize w:val="1"/>
      <w:tblStyleColBandSize w:val="1"/>
      <w:tblBorders>
        <w:top w:val="single" w:sz="4" w:space="0" w:color="FFA247" w:themeColor="accent1" w:themeTint="99"/>
        <w:bottom w:val="single" w:sz="4" w:space="0" w:color="FFA247" w:themeColor="accent1" w:themeTint="99"/>
        <w:insideH w:val="single" w:sz="4" w:space="0" w:color="FFA24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styleId="ListTable2-Accent2">
    <w:name w:val="List Table 2 Accent 2"/>
    <w:basedOn w:val="TableNormal"/>
    <w:uiPriority w:val="47"/>
    <w:locked/>
    <w:rsid w:val="008E4939"/>
    <w:pPr>
      <w:spacing w:after="0" w:line="240" w:lineRule="auto"/>
    </w:pPr>
    <w:tblPr>
      <w:tblStyleRowBandSize w:val="1"/>
      <w:tblStyleColBandSize w:val="1"/>
      <w:tblBorders>
        <w:top w:val="single" w:sz="4" w:space="0" w:color="FDEDE0" w:themeColor="accent2" w:themeTint="99"/>
        <w:bottom w:val="single" w:sz="4" w:space="0" w:color="FDEDE0" w:themeColor="accent2" w:themeTint="99"/>
        <w:insideH w:val="single" w:sz="4" w:space="0" w:color="FDEDE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styleId="ListTable2-Accent3">
    <w:name w:val="List Table 2 Accent 3"/>
    <w:basedOn w:val="TableNormal"/>
    <w:uiPriority w:val="47"/>
    <w:locked/>
    <w:rsid w:val="008E4939"/>
    <w:pPr>
      <w:spacing w:after="0" w:line="240" w:lineRule="auto"/>
    </w:pPr>
    <w:tblPr>
      <w:tblStyleRowBandSize w:val="1"/>
      <w:tblStyleColBandSize w:val="1"/>
      <w:tblBorders>
        <w:top w:val="single" w:sz="4" w:space="0" w:color="2C90E4" w:themeColor="accent3" w:themeTint="99"/>
        <w:bottom w:val="single" w:sz="4" w:space="0" w:color="2C90E4" w:themeColor="accent3" w:themeTint="99"/>
        <w:insideH w:val="single" w:sz="4" w:space="0" w:color="2C90E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styleId="ListTable2-Accent4">
    <w:name w:val="List Table 2 Accent 4"/>
    <w:basedOn w:val="TableNormal"/>
    <w:uiPriority w:val="47"/>
    <w:locked/>
    <w:rsid w:val="008E4939"/>
    <w:pPr>
      <w:spacing w:after="0" w:line="240" w:lineRule="auto"/>
    </w:pPr>
    <w:tblPr>
      <w:tblStyleRowBandSize w:val="1"/>
      <w:tblStyleColBandSize w:val="1"/>
      <w:tblBorders>
        <w:top w:val="single" w:sz="4" w:space="0" w:color="B0BFD2" w:themeColor="accent4" w:themeTint="99"/>
        <w:bottom w:val="single" w:sz="4" w:space="0" w:color="B0BFD2" w:themeColor="accent4" w:themeTint="99"/>
        <w:insideH w:val="single" w:sz="4" w:space="0" w:color="B0BFD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styleId="ListTable2-Accent5">
    <w:name w:val="List Table 2 Accent 5"/>
    <w:basedOn w:val="TableNormal"/>
    <w:uiPriority w:val="47"/>
    <w:locked/>
    <w:rsid w:val="008E4939"/>
    <w:pPr>
      <w:spacing w:after="0" w:line="240" w:lineRule="auto"/>
    </w:pPr>
    <w:tblPr>
      <w:tblStyleRowBandSize w:val="1"/>
      <w:tblStyleColBandSize w:val="1"/>
      <w:tblBorders>
        <w:top w:val="single" w:sz="4" w:space="0" w:color="37EBD6" w:themeColor="accent5" w:themeTint="99"/>
        <w:bottom w:val="single" w:sz="4" w:space="0" w:color="37EBD6" w:themeColor="accent5" w:themeTint="99"/>
        <w:insideH w:val="single" w:sz="4" w:space="0" w:color="37EB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styleId="ListTable2-Accent6">
    <w:name w:val="List Table 2 Accent 6"/>
    <w:basedOn w:val="TableNormal"/>
    <w:uiPriority w:val="47"/>
    <w:locked/>
    <w:rsid w:val="008E4939"/>
    <w:pPr>
      <w:spacing w:after="0" w:line="240" w:lineRule="auto"/>
    </w:pPr>
    <w:tblPr>
      <w:tblStyleRowBandSize w:val="1"/>
      <w:tblStyleColBandSize w:val="1"/>
      <w:tblBorders>
        <w:top w:val="single" w:sz="4" w:space="0" w:color="8FD4CB" w:themeColor="accent6" w:themeTint="99"/>
        <w:bottom w:val="single" w:sz="4" w:space="0" w:color="8FD4CB" w:themeColor="accent6" w:themeTint="99"/>
        <w:insideH w:val="single" w:sz="4" w:space="0" w:color="8FD4C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styleId="ListTable3">
    <w:name w:val="List Table 3"/>
    <w:basedOn w:val="TableNormal"/>
    <w:uiPriority w:val="48"/>
    <w:locked/>
    <w:rsid w:val="008E4939"/>
    <w:pPr>
      <w:spacing w:after="0" w:line="240" w:lineRule="auto"/>
    </w:pPr>
    <w:tblPr>
      <w:tblStyleRowBandSize w:val="1"/>
      <w:tblStyleColBandSize w:val="1"/>
      <w:tblBorders>
        <w:top w:val="single" w:sz="4" w:space="0" w:color="222222" w:themeColor="text1"/>
        <w:left w:val="single" w:sz="4" w:space="0" w:color="222222" w:themeColor="text1"/>
        <w:bottom w:val="single" w:sz="4" w:space="0" w:color="222222" w:themeColor="text1"/>
        <w:right w:val="single" w:sz="4" w:space="0" w:color="222222" w:themeColor="text1"/>
      </w:tblBorders>
    </w:tblPr>
    <w:tblStylePr w:type="firstRow">
      <w:rPr>
        <w:b/>
        <w:bCs/>
        <w:color w:val="FFFFFF" w:themeColor="background1"/>
      </w:rPr>
      <w:tblPr/>
      <w:tcPr>
        <w:shd w:val="clear" w:color="auto" w:fill="222222" w:themeFill="text1"/>
      </w:tcPr>
    </w:tblStylePr>
    <w:tblStylePr w:type="lastRow">
      <w:rPr>
        <w:b/>
        <w:bCs/>
      </w:rPr>
      <w:tblPr/>
      <w:tcPr>
        <w:tcBorders>
          <w:top w:val="double" w:sz="4" w:space="0" w:color="22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222" w:themeColor="text1"/>
          <w:right w:val="single" w:sz="4" w:space="0" w:color="222222" w:themeColor="text1"/>
        </w:tcBorders>
      </w:tcPr>
    </w:tblStylePr>
    <w:tblStylePr w:type="band1Horz">
      <w:tblPr/>
      <w:tcPr>
        <w:tcBorders>
          <w:top w:val="single" w:sz="4" w:space="0" w:color="222222" w:themeColor="text1"/>
          <w:bottom w:val="single" w:sz="4" w:space="0" w:color="22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222" w:themeColor="text1"/>
          <w:left w:val="nil"/>
        </w:tcBorders>
      </w:tcPr>
    </w:tblStylePr>
    <w:tblStylePr w:type="swCell">
      <w:tblPr/>
      <w:tcPr>
        <w:tcBorders>
          <w:top w:val="double" w:sz="4" w:space="0" w:color="222222" w:themeColor="text1"/>
          <w:right w:val="nil"/>
        </w:tcBorders>
      </w:tcPr>
    </w:tblStylePr>
  </w:style>
  <w:style w:type="table" w:styleId="ListTable3-Accent1">
    <w:name w:val="List Table 3 Accent 1"/>
    <w:basedOn w:val="TableNormal"/>
    <w:uiPriority w:val="48"/>
    <w:locked/>
    <w:rsid w:val="008E4939"/>
    <w:pPr>
      <w:spacing w:after="0" w:line="240" w:lineRule="auto"/>
    </w:pPr>
    <w:tblPr>
      <w:tblStyleRowBandSize w:val="1"/>
      <w:tblStyleColBandSize w:val="1"/>
      <w:tblBorders>
        <w:top w:val="single" w:sz="4" w:space="0" w:color="CC6600" w:themeColor="accent1"/>
        <w:left w:val="single" w:sz="4" w:space="0" w:color="CC6600" w:themeColor="accent1"/>
        <w:bottom w:val="single" w:sz="4" w:space="0" w:color="CC6600" w:themeColor="accent1"/>
        <w:right w:val="single" w:sz="4" w:space="0" w:color="CC6600" w:themeColor="accent1"/>
      </w:tblBorders>
    </w:tblPr>
    <w:tblStylePr w:type="firstRow">
      <w:rPr>
        <w:b/>
        <w:bCs/>
        <w:color w:val="FFFFFF" w:themeColor="background1"/>
      </w:rPr>
      <w:tblPr/>
      <w:tcPr>
        <w:shd w:val="clear" w:color="auto" w:fill="CC6600" w:themeFill="accent1"/>
      </w:tcPr>
    </w:tblStylePr>
    <w:tblStylePr w:type="lastRow">
      <w:rPr>
        <w:b/>
        <w:bCs/>
      </w:rPr>
      <w:tblPr/>
      <w:tcPr>
        <w:tcBorders>
          <w:top w:val="double" w:sz="4" w:space="0" w:color="CC6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6600" w:themeColor="accent1"/>
          <w:right w:val="single" w:sz="4" w:space="0" w:color="CC6600" w:themeColor="accent1"/>
        </w:tcBorders>
      </w:tcPr>
    </w:tblStylePr>
    <w:tblStylePr w:type="band1Horz">
      <w:tblPr/>
      <w:tcPr>
        <w:tcBorders>
          <w:top w:val="single" w:sz="4" w:space="0" w:color="CC6600" w:themeColor="accent1"/>
          <w:bottom w:val="single" w:sz="4" w:space="0" w:color="CC6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6600" w:themeColor="accent1"/>
          <w:left w:val="nil"/>
        </w:tcBorders>
      </w:tcPr>
    </w:tblStylePr>
    <w:tblStylePr w:type="swCell">
      <w:tblPr/>
      <w:tcPr>
        <w:tcBorders>
          <w:top w:val="double" w:sz="4" w:space="0" w:color="CC6600" w:themeColor="accent1"/>
          <w:right w:val="nil"/>
        </w:tcBorders>
      </w:tcPr>
    </w:tblStylePr>
  </w:style>
  <w:style w:type="table" w:styleId="ListTable3-Accent2">
    <w:name w:val="List Table 3 Accent 2"/>
    <w:basedOn w:val="TableNormal"/>
    <w:uiPriority w:val="48"/>
    <w:locked/>
    <w:rsid w:val="008E4939"/>
    <w:pPr>
      <w:spacing w:after="0" w:line="240" w:lineRule="auto"/>
    </w:pPr>
    <w:tblPr>
      <w:tblStyleRowBandSize w:val="1"/>
      <w:tblStyleColBandSize w:val="1"/>
      <w:tblBorders>
        <w:top w:val="single" w:sz="4" w:space="0" w:color="FCE2CC" w:themeColor="accent2"/>
        <w:left w:val="single" w:sz="4" w:space="0" w:color="FCE2CC" w:themeColor="accent2"/>
        <w:bottom w:val="single" w:sz="4" w:space="0" w:color="FCE2CC" w:themeColor="accent2"/>
        <w:right w:val="single" w:sz="4" w:space="0" w:color="FCE2CC" w:themeColor="accent2"/>
      </w:tblBorders>
    </w:tblPr>
    <w:tblStylePr w:type="firstRow">
      <w:rPr>
        <w:b/>
        <w:bCs/>
        <w:color w:val="FFFFFF" w:themeColor="background1"/>
      </w:rPr>
      <w:tblPr/>
      <w:tcPr>
        <w:shd w:val="clear" w:color="auto" w:fill="FCE2CC" w:themeFill="accent2"/>
      </w:tcPr>
    </w:tblStylePr>
    <w:tblStylePr w:type="lastRow">
      <w:rPr>
        <w:b/>
        <w:bCs/>
      </w:rPr>
      <w:tblPr/>
      <w:tcPr>
        <w:tcBorders>
          <w:top w:val="double" w:sz="4" w:space="0" w:color="FCE2C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E2CC" w:themeColor="accent2"/>
          <w:right w:val="single" w:sz="4" w:space="0" w:color="FCE2CC" w:themeColor="accent2"/>
        </w:tcBorders>
      </w:tcPr>
    </w:tblStylePr>
    <w:tblStylePr w:type="band1Horz">
      <w:tblPr/>
      <w:tcPr>
        <w:tcBorders>
          <w:top w:val="single" w:sz="4" w:space="0" w:color="FCE2CC" w:themeColor="accent2"/>
          <w:bottom w:val="single" w:sz="4" w:space="0" w:color="FCE2C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E2CC" w:themeColor="accent2"/>
          <w:left w:val="nil"/>
        </w:tcBorders>
      </w:tcPr>
    </w:tblStylePr>
    <w:tblStylePr w:type="swCell">
      <w:tblPr/>
      <w:tcPr>
        <w:tcBorders>
          <w:top w:val="double" w:sz="4" w:space="0" w:color="FCE2CC" w:themeColor="accent2"/>
          <w:right w:val="nil"/>
        </w:tcBorders>
      </w:tcPr>
    </w:tblStylePr>
  </w:style>
  <w:style w:type="table" w:styleId="ListTable3-Accent3">
    <w:name w:val="List Table 3 Accent 3"/>
    <w:basedOn w:val="TableNormal"/>
    <w:uiPriority w:val="48"/>
    <w:locked/>
    <w:rsid w:val="008E4939"/>
    <w:pPr>
      <w:spacing w:after="0" w:line="240" w:lineRule="auto"/>
    </w:pPr>
    <w:tblPr>
      <w:tblStyleRowBandSize w:val="1"/>
      <w:tblStyleColBandSize w:val="1"/>
      <w:tblBorders>
        <w:top w:val="single" w:sz="4" w:space="0" w:color="0D3E67" w:themeColor="accent3"/>
        <w:left w:val="single" w:sz="4" w:space="0" w:color="0D3E67" w:themeColor="accent3"/>
        <w:bottom w:val="single" w:sz="4" w:space="0" w:color="0D3E67" w:themeColor="accent3"/>
        <w:right w:val="single" w:sz="4" w:space="0" w:color="0D3E67" w:themeColor="accent3"/>
      </w:tblBorders>
    </w:tblPr>
    <w:tblStylePr w:type="firstRow">
      <w:rPr>
        <w:b/>
        <w:bCs/>
        <w:color w:val="FFFFFF" w:themeColor="background1"/>
      </w:rPr>
      <w:tblPr/>
      <w:tcPr>
        <w:shd w:val="clear" w:color="auto" w:fill="0D3E67" w:themeFill="accent3"/>
      </w:tcPr>
    </w:tblStylePr>
    <w:tblStylePr w:type="lastRow">
      <w:rPr>
        <w:b/>
        <w:bCs/>
      </w:rPr>
      <w:tblPr/>
      <w:tcPr>
        <w:tcBorders>
          <w:top w:val="double" w:sz="4" w:space="0" w:color="0D3E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3E67" w:themeColor="accent3"/>
          <w:right w:val="single" w:sz="4" w:space="0" w:color="0D3E67" w:themeColor="accent3"/>
        </w:tcBorders>
      </w:tcPr>
    </w:tblStylePr>
    <w:tblStylePr w:type="band1Horz">
      <w:tblPr/>
      <w:tcPr>
        <w:tcBorders>
          <w:top w:val="single" w:sz="4" w:space="0" w:color="0D3E67" w:themeColor="accent3"/>
          <w:bottom w:val="single" w:sz="4" w:space="0" w:color="0D3E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3E67" w:themeColor="accent3"/>
          <w:left w:val="nil"/>
        </w:tcBorders>
      </w:tcPr>
    </w:tblStylePr>
    <w:tblStylePr w:type="swCell">
      <w:tblPr/>
      <w:tcPr>
        <w:tcBorders>
          <w:top w:val="double" w:sz="4" w:space="0" w:color="0D3E67" w:themeColor="accent3"/>
          <w:right w:val="nil"/>
        </w:tcBorders>
      </w:tcPr>
    </w:tblStylePr>
  </w:style>
  <w:style w:type="table" w:styleId="ListTable3-Accent4">
    <w:name w:val="List Table 3 Accent 4"/>
    <w:basedOn w:val="TableNormal"/>
    <w:uiPriority w:val="48"/>
    <w:locked/>
    <w:rsid w:val="008E4939"/>
    <w:pPr>
      <w:spacing w:after="0" w:line="240" w:lineRule="auto"/>
    </w:pPr>
    <w:tblPr>
      <w:tblStyleRowBandSize w:val="1"/>
      <w:tblStyleColBandSize w:val="1"/>
      <w:tblBorders>
        <w:top w:val="single" w:sz="4" w:space="0" w:color="7D96B5" w:themeColor="accent4"/>
        <w:left w:val="single" w:sz="4" w:space="0" w:color="7D96B5" w:themeColor="accent4"/>
        <w:bottom w:val="single" w:sz="4" w:space="0" w:color="7D96B5" w:themeColor="accent4"/>
        <w:right w:val="single" w:sz="4" w:space="0" w:color="7D96B5" w:themeColor="accent4"/>
      </w:tblBorders>
    </w:tblPr>
    <w:tblStylePr w:type="firstRow">
      <w:rPr>
        <w:b/>
        <w:bCs/>
        <w:color w:val="FFFFFF" w:themeColor="background1"/>
      </w:rPr>
      <w:tblPr/>
      <w:tcPr>
        <w:shd w:val="clear" w:color="auto" w:fill="7D96B5" w:themeFill="accent4"/>
      </w:tcPr>
    </w:tblStylePr>
    <w:tblStylePr w:type="lastRow">
      <w:rPr>
        <w:b/>
        <w:bCs/>
      </w:rPr>
      <w:tblPr/>
      <w:tcPr>
        <w:tcBorders>
          <w:top w:val="double" w:sz="4" w:space="0" w:color="7D96B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96B5" w:themeColor="accent4"/>
          <w:right w:val="single" w:sz="4" w:space="0" w:color="7D96B5" w:themeColor="accent4"/>
        </w:tcBorders>
      </w:tcPr>
    </w:tblStylePr>
    <w:tblStylePr w:type="band1Horz">
      <w:tblPr/>
      <w:tcPr>
        <w:tcBorders>
          <w:top w:val="single" w:sz="4" w:space="0" w:color="7D96B5" w:themeColor="accent4"/>
          <w:bottom w:val="single" w:sz="4" w:space="0" w:color="7D96B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96B5" w:themeColor="accent4"/>
          <w:left w:val="nil"/>
        </w:tcBorders>
      </w:tcPr>
    </w:tblStylePr>
    <w:tblStylePr w:type="swCell">
      <w:tblPr/>
      <w:tcPr>
        <w:tcBorders>
          <w:top w:val="double" w:sz="4" w:space="0" w:color="7D96B5" w:themeColor="accent4"/>
          <w:right w:val="nil"/>
        </w:tcBorders>
      </w:tcPr>
    </w:tblStylePr>
  </w:style>
  <w:style w:type="table" w:styleId="ListTable3-Accent5">
    <w:name w:val="List Table 3 Accent 5"/>
    <w:basedOn w:val="TableNormal"/>
    <w:uiPriority w:val="48"/>
    <w:locked/>
    <w:rsid w:val="008E4939"/>
    <w:pPr>
      <w:spacing w:after="0" w:line="240" w:lineRule="auto"/>
    </w:pPr>
    <w:tblPr>
      <w:tblStyleRowBandSize w:val="1"/>
      <w:tblStyleColBandSize w:val="1"/>
      <w:tblBorders>
        <w:top w:val="single" w:sz="4" w:space="0" w:color="0D8577" w:themeColor="accent5"/>
        <w:left w:val="single" w:sz="4" w:space="0" w:color="0D8577" w:themeColor="accent5"/>
        <w:bottom w:val="single" w:sz="4" w:space="0" w:color="0D8577" w:themeColor="accent5"/>
        <w:right w:val="single" w:sz="4" w:space="0" w:color="0D8577" w:themeColor="accent5"/>
      </w:tblBorders>
    </w:tblPr>
    <w:tblStylePr w:type="firstRow">
      <w:rPr>
        <w:b/>
        <w:bCs/>
        <w:color w:val="FFFFFF" w:themeColor="background1"/>
      </w:rPr>
      <w:tblPr/>
      <w:tcPr>
        <w:shd w:val="clear" w:color="auto" w:fill="0D8577" w:themeFill="accent5"/>
      </w:tcPr>
    </w:tblStylePr>
    <w:tblStylePr w:type="lastRow">
      <w:rPr>
        <w:b/>
        <w:bCs/>
      </w:rPr>
      <w:tblPr/>
      <w:tcPr>
        <w:tcBorders>
          <w:top w:val="double" w:sz="4" w:space="0" w:color="0D857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8577" w:themeColor="accent5"/>
          <w:right w:val="single" w:sz="4" w:space="0" w:color="0D8577" w:themeColor="accent5"/>
        </w:tcBorders>
      </w:tcPr>
    </w:tblStylePr>
    <w:tblStylePr w:type="band1Horz">
      <w:tblPr/>
      <w:tcPr>
        <w:tcBorders>
          <w:top w:val="single" w:sz="4" w:space="0" w:color="0D8577" w:themeColor="accent5"/>
          <w:bottom w:val="single" w:sz="4" w:space="0" w:color="0D857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8577" w:themeColor="accent5"/>
          <w:left w:val="nil"/>
        </w:tcBorders>
      </w:tcPr>
    </w:tblStylePr>
    <w:tblStylePr w:type="swCell">
      <w:tblPr/>
      <w:tcPr>
        <w:tcBorders>
          <w:top w:val="double" w:sz="4" w:space="0" w:color="0D8577" w:themeColor="accent5"/>
          <w:right w:val="nil"/>
        </w:tcBorders>
      </w:tcPr>
    </w:tblStylePr>
  </w:style>
  <w:style w:type="table" w:styleId="ListTable3-Accent6">
    <w:name w:val="List Table 3 Accent 6"/>
    <w:basedOn w:val="TableNormal"/>
    <w:uiPriority w:val="48"/>
    <w:locked/>
    <w:rsid w:val="008E4939"/>
    <w:pPr>
      <w:spacing w:after="0" w:line="240" w:lineRule="auto"/>
    </w:pPr>
    <w:tblPr>
      <w:tblStyleRowBandSize w:val="1"/>
      <w:tblStyleColBandSize w:val="1"/>
      <w:tblBorders>
        <w:top w:val="single" w:sz="4" w:space="0" w:color="46B8A9" w:themeColor="accent6"/>
        <w:left w:val="single" w:sz="4" w:space="0" w:color="46B8A9" w:themeColor="accent6"/>
        <w:bottom w:val="single" w:sz="4" w:space="0" w:color="46B8A9" w:themeColor="accent6"/>
        <w:right w:val="single" w:sz="4" w:space="0" w:color="46B8A9" w:themeColor="accent6"/>
      </w:tblBorders>
    </w:tblPr>
    <w:tblStylePr w:type="firstRow">
      <w:rPr>
        <w:b/>
        <w:bCs/>
        <w:color w:val="FFFFFF" w:themeColor="background1"/>
      </w:rPr>
      <w:tblPr/>
      <w:tcPr>
        <w:shd w:val="clear" w:color="auto" w:fill="46B8A9" w:themeFill="accent6"/>
      </w:tcPr>
    </w:tblStylePr>
    <w:tblStylePr w:type="lastRow">
      <w:rPr>
        <w:b/>
        <w:bCs/>
      </w:rPr>
      <w:tblPr/>
      <w:tcPr>
        <w:tcBorders>
          <w:top w:val="double" w:sz="4" w:space="0" w:color="46B8A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B8A9" w:themeColor="accent6"/>
          <w:right w:val="single" w:sz="4" w:space="0" w:color="46B8A9" w:themeColor="accent6"/>
        </w:tcBorders>
      </w:tcPr>
    </w:tblStylePr>
    <w:tblStylePr w:type="band1Horz">
      <w:tblPr/>
      <w:tcPr>
        <w:tcBorders>
          <w:top w:val="single" w:sz="4" w:space="0" w:color="46B8A9" w:themeColor="accent6"/>
          <w:bottom w:val="single" w:sz="4" w:space="0" w:color="46B8A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B8A9" w:themeColor="accent6"/>
          <w:left w:val="nil"/>
        </w:tcBorders>
      </w:tcPr>
    </w:tblStylePr>
    <w:tblStylePr w:type="swCell">
      <w:tblPr/>
      <w:tcPr>
        <w:tcBorders>
          <w:top w:val="double" w:sz="4" w:space="0" w:color="46B8A9" w:themeColor="accent6"/>
          <w:right w:val="nil"/>
        </w:tcBorders>
      </w:tcPr>
    </w:tblStylePr>
  </w:style>
  <w:style w:type="table" w:styleId="ListTable4">
    <w:name w:val="List Table 4"/>
    <w:basedOn w:val="TableNormal"/>
    <w:uiPriority w:val="49"/>
    <w:locked/>
    <w:rsid w:val="008E4939"/>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tblBorders>
    </w:tblPr>
    <w:tblStylePr w:type="firstRow">
      <w:rPr>
        <w:b/>
        <w:bCs/>
        <w:color w:val="FFFFFF" w:themeColor="background1"/>
      </w:rPr>
      <w:tblPr/>
      <w:tcPr>
        <w:tcBorders>
          <w:top w:val="single" w:sz="4" w:space="0" w:color="222222" w:themeColor="text1"/>
          <w:left w:val="single" w:sz="4" w:space="0" w:color="222222" w:themeColor="text1"/>
          <w:bottom w:val="single" w:sz="4" w:space="0" w:color="222222" w:themeColor="text1"/>
          <w:right w:val="single" w:sz="4" w:space="0" w:color="222222" w:themeColor="text1"/>
          <w:insideH w:val="nil"/>
        </w:tcBorders>
        <w:shd w:val="clear" w:color="auto" w:fill="222222" w:themeFill="text1"/>
      </w:tcPr>
    </w:tblStylePr>
    <w:tblStylePr w:type="lastRow">
      <w:rPr>
        <w:b/>
        <w:bCs/>
      </w:rPr>
      <w:tblPr/>
      <w:tcPr>
        <w:tcBorders>
          <w:top w:val="double" w:sz="4" w:space="0" w:color="7A7A7A"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Table4-Accent1">
    <w:name w:val="List Table 4 Accent 1"/>
    <w:basedOn w:val="TableNormal"/>
    <w:uiPriority w:val="49"/>
    <w:locked/>
    <w:rsid w:val="008E4939"/>
    <w:pPr>
      <w:spacing w:after="0" w:line="240" w:lineRule="auto"/>
    </w:p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tblBorders>
    </w:tblPr>
    <w:tblStylePr w:type="firstRow">
      <w:rPr>
        <w:b/>
        <w:bCs/>
        <w:color w:val="FFFFFF" w:themeColor="background1"/>
      </w:rPr>
      <w:tblPr/>
      <w:tcPr>
        <w:tcBorders>
          <w:top w:val="single" w:sz="4" w:space="0" w:color="CC6600" w:themeColor="accent1"/>
          <w:left w:val="single" w:sz="4" w:space="0" w:color="CC6600" w:themeColor="accent1"/>
          <w:bottom w:val="single" w:sz="4" w:space="0" w:color="CC6600" w:themeColor="accent1"/>
          <w:right w:val="single" w:sz="4" w:space="0" w:color="CC6600" w:themeColor="accent1"/>
          <w:insideH w:val="nil"/>
        </w:tcBorders>
        <w:shd w:val="clear" w:color="auto" w:fill="CC6600" w:themeFill="accent1"/>
      </w:tcPr>
    </w:tblStylePr>
    <w:tblStylePr w:type="lastRow">
      <w:rPr>
        <w:b/>
        <w:bCs/>
      </w:rPr>
      <w:tblPr/>
      <w:tcPr>
        <w:tcBorders>
          <w:top w:val="double" w:sz="4" w:space="0" w:color="FFA247" w:themeColor="accent1" w:themeTint="99"/>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styleId="ListTable4-Accent2">
    <w:name w:val="List Table 4 Accent 2"/>
    <w:basedOn w:val="TableNormal"/>
    <w:uiPriority w:val="49"/>
    <w:locked/>
    <w:rsid w:val="008E4939"/>
    <w:pPr>
      <w:spacing w:after="0" w:line="240" w:lineRule="auto"/>
    </w:p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tblBorders>
    </w:tblPr>
    <w:tblStylePr w:type="firstRow">
      <w:rPr>
        <w:b/>
        <w:bCs/>
        <w:color w:val="FFFFFF" w:themeColor="background1"/>
      </w:rPr>
      <w:tblPr/>
      <w:tcPr>
        <w:tcBorders>
          <w:top w:val="single" w:sz="4" w:space="0" w:color="FCE2CC" w:themeColor="accent2"/>
          <w:left w:val="single" w:sz="4" w:space="0" w:color="FCE2CC" w:themeColor="accent2"/>
          <w:bottom w:val="single" w:sz="4" w:space="0" w:color="FCE2CC" w:themeColor="accent2"/>
          <w:right w:val="single" w:sz="4" w:space="0" w:color="FCE2CC" w:themeColor="accent2"/>
          <w:insideH w:val="nil"/>
        </w:tcBorders>
        <w:shd w:val="clear" w:color="auto" w:fill="FCE2CC" w:themeFill="accent2"/>
      </w:tcPr>
    </w:tblStylePr>
    <w:tblStylePr w:type="lastRow">
      <w:rPr>
        <w:b/>
        <w:bCs/>
      </w:rPr>
      <w:tblPr/>
      <w:tcPr>
        <w:tcBorders>
          <w:top w:val="double" w:sz="4" w:space="0" w:color="FDEDE0" w:themeColor="accent2" w:themeTint="99"/>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styleId="ListTable4-Accent3">
    <w:name w:val="List Table 4 Accent 3"/>
    <w:basedOn w:val="TableNormal"/>
    <w:uiPriority w:val="49"/>
    <w:locked/>
    <w:rsid w:val="008E4939"/>
    <w:pPr>
      <w:spacing w:after="0" w:line="240" w:lineRule="auto"/>
    </w:p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tblBorders>
    </w:tblPr>
    <w:tblStylePr w:type="firstRow">
      <w:rPr>
        <w:b/>
        <w:bCs/>
        <w:color w:val="FFFFFF" w:themeColor="background1"/>
      </w:rPr>
      <w:tblPr/>
      <w:tcPr>
        <w:tcBorders>
          <w:top w:val="single" w:sz="4" w:space="0" w:color="0D3E67" w:themeColor="accent3"/>
          <w:left w:val="single" w:sz="4" w:space="0" w:color="0D3E67" w:themeColor="accent3"/>
          <w:bottom w:val="single" w:sz="4" w:space="0" w:color="0D3E67" w:themeColor="accent3"/>
          <w:right w:val="single" w:sz="4" w:space="0" w:color="0D3E67" w:themeColor="accent3"/>
          <w:insideH w:val="nil"/>
        </w:tcBorders>
        <w:shd w:val="clear" w:color="auto" w:fill="0D3E67" w:themeFill="accent3"/>
      </w:tcPr>
    </w:tblStylePr>
    <w:tblStylePr w:type="lastRow">
      <w:rPr>
        <w:b/>
        <w:bCs/>
      </w:rPr>
      <w:tblPr/>
      <w:tcPr>
        <w:tcBorders>
          <w:top w:val="double" w:sz="4" w:space="0" w:color="2C90E4" w:themeColor="accent3" w:themeTint="99"/>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styleId="ListTable4-Accent4">
    <w:name w:val="List Table 4 Accent 4"/>
    <w:basedOn w:val="TableNormal"/>
    <w:uiPriority w:val="49"/>
    <w:locked/>
    <w:rsid w:val="008E4939"/>
    <w:pPr>
      <w:spacing w:after="0" w:line="240" w:lineRule="auto"/>
    </w:p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tblBorders>
    </w:tblPr>
    <w:tblStylePr w:type="firstRow">
      <w:rPr>
        <w:b/>
        <w:bCs/>
        <w:color w:val="FFFFFF" w:themeColor="background1"/>
      </w:rPr>
      <w:tblPr/>
      <w:tcPr>
        <w:tcBorders>
          <w:top w:val="single" w:sz="4" w:space="0" w:color="7D96B5" w:themeColor="accent4"/>
          <w:left w:val="single" w:sz="4" w:space="0" w:color="7D96B5" w:themeColor="accent4"/>
          <w:bottom w:val="single" w:sz="4" w:space="0" w:color="7D96B5" w:themeColor="accent4"/>
          <w:right w:val="single" w:sz="4" w:space="0" w:color="7D96B5" w:themeColor="accent4"/>
          <w:insideH w:val="nil"/>
        </w:tcBorders>
        <w:shd w:val="clear" w:color="auto" w:fill="7D96B5" w:themeFill="accent4"/>
      </w:tcPr>
    </w:tblStylePr>
    <w:tblStylePr w:type="lastRow">
      <w:rPr>
        <w:b/>
        <w:bCs/>
      </w:rPr>
      <w:tblPr/>
      <w:tcPr>
        <w:tcBorders>
          <w:top w:val="double" w:sz="4" w:space="0" w:color="B0BFD2" w:themeColor="accent4" w:themeTint="99"/>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styleId="ListTable4-Accent5">
    <w:name w:val="List Table 4 Accent 5"/>
    <w:basedOn w:val="TableNormal"/>
    <w:uiPriority w:val="49"/>
    <w:locked/>
    <w:rsid w:val="008E4939"/>
    <w:pPr>
      <w:spacing w:after="0" w:line="240" w:lineRule="auto"/>
    </w:p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tblBorders>
    </w:tblPr>
    <w:tblStylePr w:type="firstRow">
      <w:rPr>
        <w:b/>
        <w:bCs/>
        <w:color w:val="FFFFFF" w:themeColor="background1"/>
      </w:rPr>
      <w:tblPr/>
      <w:tcPr>
        <w:tcBorders>
          <w:top w:val="single" w:sz="4" w:space="0" w:color="0D8577" w:themeColor="accent5"/>
          <w:left w:val="single" w:sz="4" w:space="0" w:color="0D8577" w:themeColor="accent5"/>
          <w:bottom w:val="single" w:sz="4" w:space="0" w:color="0D8577" w:themeColor="accent5"/>
          <w:right w:val="single" w:sz="4" w:space="0" w:color="0D8577" w:themeColor="accent5"/>
          <w:insideH w:val="nil"/>
        </w:tcBorders>
        <w:shd w:val="clear" w:color="auto" w:fill="0D8577" w:themeFill="accent5"/>
      </w:tcPr>
    </w:tblStylePr>
    <w:tblStylePr w:type="lastRow">
      <w:rPr>
        <w:b/>
        <w:bCs/>
      </w:rPr>
      <w:tblPr/>
      <w:tcPr>
        <w:tcBorders>
          <w:top w:val="double" w:sz="4" w:space="0" w:color="37EBD6" w:themeColor="accent5" w:themeTint="99"/>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styleId="ListTable4-Accent6">
    <w:name w:val="List Table 4 Accent 6"/>
    <w:basedOn w:val="TableNormal"/>
    <w:uiPriority w:val="49"/>
    <w:locked/>
    <w:rsid w:val="008E4939"/>
    <w:pPr>
      <w:spacing w:after="0" w:line="240" w:lineRule="auto"/>
    </w:p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tblBorders>
    </w:tblPr>
    <w:tblStylePr w:type="firstRow">
      <w:rPr>
        <w:b/>
        <w:bCs/>
        <w:color w:val="FFFFFF" w:themeColor="background1"/>
      </w:rPr>
      <w:tblPr/>
      <w:tcPr>
        <w:tcBorders>
          <w:top w:val="single" w:sz="4" w:space="0" w:color="46B8A9" w:themeColor="accent6"/>
          <w:left w:val="single" w:sz="4" w:space="0" w:color="46B8A9" w:themeColor="accent6"/>
          <w:bottom w:val="single" w:sz="4" w:space="0" w:color="46B8A9" w:themeColor="accent6"/>
          <w:right w:val="single" w:sz="4" w:space="0" w:color="46B8A9" w:themeColor="accent6"/>
          <w:insideH w:val="nil"/>
        </w:tcBorders>
        <w:shd w:val="clear" w:color="auto" w:fill="46B8A9" w:themeFill="accent6"/>
      </w:tcPr>
    </w:tblStylePr>
    <w:tblStylePr w:type="lastRow">
      <w:rPr>
        <w:b/>
        <w:bCs/>
      </w:rPr>
      <w:tblPr/>
      <w:tcPr>
        <w:tcBorders>
          <w:top w:val="double" w:sz="4" w:space="0" w:color="8FD4CB" w:themeColor="accent6" w:themeTint="99"/>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styleId="ListTable5Dark">
    <w:name w:val="List Table 5 Dark"/>
    <w:basedOn w:val="TableNormal"/>
    <w:uiPriority w:val="50"/>
    <w:locked/>
    <w:rsid w:val="008E4939"/>
    <w:pPr>
      <w:spacing w:after="0" w:line="240" w:lineRule="auto"/>
    </w:pPr>
    <w:rPr>
      <w:color w:val="FFFFFF" w:themeColor="background1"/>
    </w:rPr>
    <w:tblPr>
      <w:tblStyleRowBandSize w:val="1"/>
      <w:tblStyleColBandSize w:val="1"/>
      <w:tblBorders>
        <w:top w:val="single" w:sz="24" w:space="0" w:color="222222" w:themeColor="text1"/>
        <w:left w:val="single" w:sz="24" w:space="0" w:color="222222" w:themeColor="text1"/>
        <w:bottom w:val="single" w:sz="24" w:space="0" w:color="222222" w:themeColor="text1"/>
        <w:right w:val="single" w:sz="24" w:space="0" w:color="222222" w:themeColor="text1"/>
      </w:tblBorders>
    </w:tblPr>
    <w:tcPr>
      <w:shd w:val="clear" w:color="auto" w:fill="22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8E4939"/>
    <w:pPr>
      <w:spacing w:after="0" w:line="240" w:lineRule="auto"/>
    </w:pPr>
    <w:rPr>
      <w:color w:val="FFFFFF" w:themeColor="background1"/>
    </w:rPr>
    <w:tblPr>
      <w:tblStyleRowBandSize w:val="1"/>
      <w:tblStyleColBandSize w:val="1"/>
      <w:tblBorders>
        <w:top w:val="single" w:sz="24" w:space="0" w:color="CC6600" w:themeColor="accent1"/>
        <w:left w:val="single" w:sz="24" w:space="0" w:color="CC6600" w:themeColor="accent1"/>
        <w:bottom w:val="single" w:sz="24" w:space="0" w:color="CC6600" w:themeColor="accent1"/>
        <w:right w:val="single" w:sz="24" w:space="0" w:color="CC6600" w:themeColor="accent1"/>
      </w:tblBorders>
    </w:tblPr>
    <w:tcPr>
      <w:shd w:val="clear" w:color="auto" w:fill="CC66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8E4939"/>
    <w:pPr>
      <w:spacing w:after="0" w:line="240" w:lineRule="auto"/>
    </w:pPr>
    <w:rPr>
      <w:color w:val="FFFFFF" w:themeColor="background1"/>
    </w:rPr>
    <w:tblPr>
      <w:tblStyleRowBandSize w:val="1"/>
      <w:tblStyleColBandSize w:val="1"/>
      <w:tblBorders>
        <w:top w:val="single" w:sz="24" w:space="0" w:color="FCE2CC" w:themeColor="accent2"/>
        <w:left w:val="single" w:sz="24" w:space="0" w:color="FCE2CC" w:themeColor="accent2"/>
        <w:bottom w:val="single" w:sz="24" w:space="0" w:color="FCE2CC" w:themeColor="accent2"/>
        <w:right w:val="single" w:sz="24" w:space="0" w:color="FCE2CC" w:themeColor="accent2"/>
      </w:tblBorders>
    </w:tblPr>
    <w:tcPr>
      <w:shd w:val="clear" w:color="auto" w:fill="FCE2C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8E4939"/>
    <w:pPr>
      <w:spacing w:after="0" w:line="240" w:lineRule="auto"/>
    </w:pPr>
    <w:rPr>
      <w:color w:val="FFFFFF" w:themeColor="background1"/>
    </w:rPr>
    <w:tblPr>
      <w:tblStyleRowBandSize w:val="1"/>
      <w:tblStyleColBandSize w:val="1"/>
      <w:tblBorders>
        <w:top w:val="single" w:sz="24" w:space="0" w:color="0D3E67" w:themeColor="accent3"/>
        <w:left w:val="single" w:sz="24" w:space="0" w:color="0D3E67" w:themeColor="accent3"/>
        <w:bottom w:val="single" w:sz="24" w:space="0" w:color="0D3E67" w:themeColor="accent3"/>
        <w:right w:val="single" w:sz="24" w:space="0" w:color="0D3E67" w:themeColor="accent3"/>
      </w:tblBorders>
    </w:tblPr>
    <w:tcPr>
      <w:shd w:val="clear" w:color="auto" w:fill="0D3E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8E4939"/>
    <w:pPr>
      <w:spacing w:after="0" w:line="240" w:lineRule="auto"/>
    </w:pPr>
    <w:rPr>
      <w:color w:val="FFFFFF" w:themeColor="background1"/>
    </w:rPr>
    <w:tblPr>
      <w:tblStyleRowBandSize w:val="1"/>
      <w:tblStyleColBandSize w:val="1"/>
      <w:tblBorders>
        <w:top w:val="single" w:sz="24" w:space="0" w:color="7D96B5" w:themeColor="accent4"/>
        <w:left w:val="single" w:sz="24" w:space="0" w:color="7D96B5" w:themeColor="accent4"/>
        <w:bottom w:val="single" w:sz="24" w:space="0" w:color="7D96B5" w:themeColor="accent4"/>
        <w:right w:val="single" w:sz="24" w:space="0" w:color="7D96B5" w:themeColor="accent4"/>
      </w:tblBorders>
    </w:tblPr>
    <w:tcPr>
      <w:shd w:val="clear" w:color="auto" w:fill="7D96B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8E4939"/>
    <w:pPr>
      <w:spacing w:after="0" w:line="240" w:lineRule="auto"/>
    </w:pPr>
    <w:rPr>
      <w:color w:val="FFFFFF" w:themeColor="background1"/>
    </w:rPr>
    <w:tblPr>
      <w:tblStyleRowBandSize w:val="1"/>
      <w:tblStyleColBandSize w:val="1"/>
      <w:tblBorders>
        <w:top w:val="single" w:sz="24" w:space="0" w:color="0D8577" w:themeColor="accent5"/>
        <w:left w:val="single" w:sz="24" w:space="0" w:color="0D8577" w:themeColor="accent5"/>
        <w:bottom w:val="single" w:sz="24" w:space="0" w:color="0D8577" w:themeColor="accent5"/>
        <w:right w:val="single" w:sz="24" w:space="0" w:color="0D8577" w:themeColor="accent5"/>
      </w:tblBorders>
    </w:tblPr>
    <w:tcPr>
      <w:shd w:val="clear" w:color="auto" w:fill="0D857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8E4939"/>
    <w:pPr>
      <w:spacing w:after="0" w:line="240" w:lineRule="auto"/>
    </w:pPr>
    <w:rPr>
      <w:color w:val="FFFFFF" w:themeColor="background1"/>
    </w:rPr>
    <w:tblPr>
      <w:tblStyleRowBandSize w:val="1"/>
      <w:tblStyleColBandSize w:val="1"/>
      <w:tblBorders>
        <w:top w:val="single" w:sz="24" w:space="0" w:color="46B8A9" w:themeColor="accent6"/>
        <w:left w:val="single" w:sz="24" w:space="0" w:color="46B8A9" w:themeColor="accent6"/>
        <w:bottom w:val="single" w:sz="24" w:space="0" w:color="46B8A9" w:themeColor="accent6"/>
        <w:right w:val="single" w:sz="24" w:space="0" w:color="46B8A9" w:themeColor="accent6"/>
      </w:tblBorders>
    </w:tblPr>
    <w:tcPr>
      <w:shd w:val="clear" w:color="auto" w:fill="46B8A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8E4939"/>
    <w:pPr>
      <w:spacing w:after="0" w:line="240" w:lineRule="auto"/>
    </w:pPr>
    <w:tblPr>
      <w:tblStyleRowBandSize w:val="1"/>
      <w:tblStyleColBandSize w:val="1"/>
      <w:tblBorders>
        <w:top w:val="single" w:sz="4" w:space="0" w:color="222222" w:themeColor="text1"/>
        <w:bottom w:val="single" w:sz="4" w:space="0" w:color="222222" w:themeColor="text1"/>
      </w:tblBorders>
    </w:tblPr>
    <w:tblStylePr w:type="firstRow">
      <w:rPr>
        <w:b/>
        <w:bCs/>
      </w:rPr>
      <w:tblPr/>
      <w:tcPr>
        <w:tcBorders>
          <w:bottom w:val="single" w:sz="4" w:space="0" w:color="222222" w:themeColor="text1"/>
        </w:tcBorders>
      </w:tcPr>
    </w:tblStylePr>
    <w:tblStylePr w:type="lastRow">
      <w:rPr>
        <w:b/>
        <w:bCs/>
      </w:rPr>
      <w:tblPr/>
      <w:tcPr>
        <w:tcBorders>
          <w:top w:val="double" w:sz="4" w:space="0" w:color="222222" w:themeColor="text1"/>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Table6Colorful-Accent1">
    <w:name w:val="List Table 6 Colorful Accent 1"/>
    <w:basedOn w:val="TableNormal"/>
    <w:uiPriority w:val="51"/>
    <w:locked/>
    <w:rsid w:val="008E4939"/>
    <w:pPr>
      <w:spacing w:after="0" w:line="240" w:lineRule="auto"/>
    </w:pPr>
    <w:rPr>
      <w:color w:val="984C00" w:themeColor="accent1" w:themeShade="BF"/>
    </w:rPr>
    <w:tblPr>
      <w:tblStyleRowBandSize w:val="1"/>
      <w:tblStyleColBandSize w:val="1"/>
      <w:tblBorders>
        <w:top w:val="single" w:sz="4" w:space="0" w:color="CC6600" w:themeColor="accent1"/>
        <w:bottom w:val="single" w:sz="4" w:space="0" w:color="CC6600" w:themeColor="accent1"/>
      </w:tblBorders>
    </w:tblPr>
    <w:tblStylePr w:type="firstRow">
      <w:rPr>
        <w:b/>
        <w:bCs/>
      </w:rPr>
      <w:tblPr/>
      <w:tcPr>
        <w:tcBorders>
          <w:bottom w:val="single" w:sz="4" w:space="0" w:color="CC6600" w:themeColor="accent1"/>
        </w:tcBorders>
      </w:tcPr>
    </w:tblStylePr>
    <w:tblStylePr w:type="lastRow">
      <w:rPr>
        <w:b/>
        <w:bCs/>
      </w:rPr>
      <w:tblPr/>
      <w:tcPr>
        <w:tcBorders>
          <w:top w:val="double" w:sz="4" w:space="0" w:color="CC6600" w:themeColor="accent1"/>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styleId="ListTable6Colorful-Accent2">
    <w:name w:val="List Table 6 Colorful Accent 2"/>
    <w:basedOn w:val="TableNormal"/>
    <w:uiPriority w:val="51"/>
    <w:locked/>
    <w:rsid w:val="008E4939"/>
    <w:pPr>
      <w:spacing w:after="0" w:line="240" w:lineRule="auto"/>
    </w:pPr>
    <w:rPr>
      <w:color w:val="F5A35F" w:themeColor="accent2" w:themeShade="BF"/>
    </w:rPr>
    <w:tblPr>
      <w:tblStyleRowBandSize w:val="1"/>
      <w:tblStyleColBandSize w:val="1"/>
      <w:tblBorders>
        <w:top w:val="single" w:sz="4" w:space="0" w:color="FCE2CC" w:themeColor="accent2"/>
        <w:bottom w:val="single" w:sz="4" w:space="0" w:color="FCE2CC" w:themeColor="accent2"/>
      </w:tblBorders>
    </w:tblPr>
    <w:tblStylePr w:type="firstRow">
      <w:rPr>
        <w:b/>
        <w:bCs/>
      </w:rPr>
      <w:tblPr/>
      <w:tcPr>
        <w:tcBorders>
          <w:bottom w:val="single" w:sz="4" w:space="0" w:color="FCE2CC" w:themeColor="accent2"/>
        </w:tcBorders>
      </w:tcPr>
    </w:tblStylePr>
    <w:tblStylePr w:type="lastRow">
      <w:rPr>
        <w:b/>
        <w:bCs/>
      </w:rPr>
      <w:tblPr/>
      <w:tcPr>
        <w:tcBorders>
          <w:top w:val="double" w:sz="4" w:space="0" w:color="FCE2CC" w:themeColor="accent2"/>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styleId="ListTable6Colorful-Accent3">
    <w:name w:val="List Table 6 Colorful Accent 3"/>
    <w:basedOn w:val="TableNormal"/>
    <w:uiPriority w:val="51"/>
    <w:locked/>
    <w:rsid w:val="008E4939"/>
    <w:pPr>
      <w:spacing w:after="0" w:line="240" w:lineRule="auto"/>
    </w:pPr>
    <w:rPr>
      <w:color w:val="092E4C" w:themeColor="accent3" w:themeShade="BF"/>
    </w:rPr>
    <w:tblPr>
      <w:tblStyleRowBandSize w:val="1"/>
      <w:tblStyleColBandSize w:val="1"/>
      <w:tblBorders>
        <w:top w:val="single" w:sz="4" w:space="0" w:color="0D3E67" w:themeColor="accent3"/>
        <w:bottom w:val="single" w:sz="4" w:space="0" w:color="0D3E67" w:themeColor="accent3"/>
      </w:tblBorders>
    </w:tblPr>
    <w:tblStylePr w:type="firstRow">
      <w:rPr>
        <w:b/>
        <w:bCs/>
      </w:rPr>
      <w:tblPr/>
      <w:tcPr>
        <w:tcBorders>
          <w:bottom w:val="single" w:sz="4" w:space="0" w:color="0D3E67" w:themeColor="accent3"/>
        </w:tcBorders>
      </w:tcPr>
    </w:tblStylePr>
    <w:tblStylePr w:type="lastRow">
      <w:rPr>
        <w:b/>
        <w:bCs/>
      </w:rPr>
      <w:tblPr/>
      <w:tcPr>
        <w:tcBorders>
          <w:top w:val="double" w:sz="4" w:space="0" w:color="0D3E67" w:themeColor="accent3"/>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styleId="ListTable6Colorful-Accent4">
    <w:name w:val="List Table 6 Colorful Accent 4"/>
    <w:basedOn w:val="TableNormal"/>
    <w:uiPriority w:val="51"/>
    <w:locked/>
    <w:rsid w:val="008E4939"/>
    <w:pPr>
      <w:spacing w:after="0" w:line="240" w:lineRule="auto"/>
    </w:pPr>
    <w:rPr>
      <w:color w:val="536E91" w:themeColor="accent4" w:themeShade="BF"/>
    </w:rPr>
    <w:tblPr>
      <w:tblStyleRowBandSize w:val="1"/>
      <w:tblStyleColBandSize w:val="1"/>
      <w:tblBorders>
        <w:top w:val="single" w:sz="4" w:space="0" w:color="7D96B5" w:themeColor="accent4"/>
        <w:bottom w:val="single" w:sz="4" w:space="0" w:color="7D96B5" w:themeColor="accent4"/>
      </w:tblBorders>
    </w:tblPr>
    <w:tblStylePr w:type="firstRow">
      <w:rPr>
        <w:b/>
        <w:bCs/>
      </w:rPr>
      <w:tblPr/>
      <w:tcPr>
        <w:tcBorders>
          <w:bottom w:val="single" w:sz="4" w:space="0" w:color="7D96B5" w:themeColor="accent4"/>
        </w:tcBorders>
      </w:tcPr>
    </w:tblStylePr>
    <w:tblStylePr w:type="lastRow">
      <w:rPr>
        <w:b/>
        <w:bCs/>
      </w:rPr>
      <w:tblPr/>
      <w:tcPr>
        <w:tcBorders>
          <w:top w:val="double" w:sz="4" w:space="0" w:color="7D96B5" w:themeColor="accent4"/>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styleId="ListTable6Colorful-Accent5">
    <w:name w:val="List Table 6 Colorful Accent 5"/>
    <w:basedOn w:val="TableNormal"/>
    <w:uiPriority w:val="51"/>
    <w:locked/>
    <w:rsid w:val="008E4939"/>
    <w:pPr>
      <w:spacing w:after="0" w:line="240" w:lineRule="auto"/>
    </w:pPr>
    <w:rPr>
      <w:color w:val="096358" w:themeColor="accent5" w:themeShade="BF"/>
    </w:rPr>
    <w:tblPr>
      <w:tblStyleRowBandSize w:val="1"/>
      <w:tblStyleColBandSize w:val="1"/>
      <w:tblBorders>
        <w:top w:val="single" w:sz="4" w:space="0" w:color="0D8577" w:themeColor="accent5"/>
        <w:bottom w:val="single" w:sz="4" w:space="0" w:color="0D8577" w:themeColor="accent5"/>
      </w:tblBorders>
    </w:tblPr>
    <w:tblStylePr w:type="firstRow">
      <w:rPr>
        <w:b/>
        <w:bCs/>
      </w:rPr>
      <w:tblPr/>
      <w:tcPr>
        <w:tcBorders>
          <w:bottom w:val="single" w:sz="4" w:space="0" w:color="0D8577" w:themeColor="accent5"/>
        </w:tcBorders>
      </w:tcPr>
    </w:tblStylePr>
    <w:tblStylePr w:type="lastRow">
      <w:rPr>
        <w:b/>
        <w:bCs/>
      </w:rPr>
      <w:tblPr/>
      <w:tcPr>
        <w:tcBorders>
          <w:top w:val="double" w:sz="4" w:space="0" w:color="0D8577" w:themeColor="accent5"/>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styleId="ListTable6Colorful-Accent6">
    <w:name w:val="List Table 6 Colorful Accent 6"/>
    <w:basedOn w:val="TableNormal"/>
    <w:uiPriority w:val="51"/>
    <w:locked/>
    <w:rsid w:val="008E4939"/>
    <w:pPr>
      <w:spacing w:after="0" w:line="240" w:lineRule="auto"/>
    </w:pPr>
    <w:rPr>
      <w:color w:val="34897E" w:themeColor="accent6" w:themeShade="BF"/>
    </w:rPr>
    <w:tblPr>
      <w:tblStyleRowBandSize w:val="1"/>
      <w:tblStyleColBandSize w:val="1"/>
      <w:tblBorders>
        <w:top w:val="single" w:sz="4" w:space="0" w:color="46B8A9" w:themeColor="accent6"/>
        <w:bottom w:val="single" w:sz="4" w:space="0" w:color="46B8A9" w:themeColor="accent6"/>
      </w:tblBorders>
    </w:tblPr>
    <w:tblStylePr w:type="firstRow">
      <w:rPr>
        <w:b/>
        <w:bCs/>
      </w:rPr>
      <w:tblPr/>
      <w:tcPr>
        <w:tcBorders>
          <w:bottom w:val="single" w:sz="4" w:space="0" w:color="46B8A9" w:themeColor="accent6"/>
        </w:tcBorders>
      </w:tcPr>
    </w:tblStylePr>
    <w:tblStylePr w:type="lastRow">
      <w:rPr>
        <w:b/>
        <w:bCs/>
      </w:rPr>
      <w:tblPr/>
      <w:tcPr>
        <w:tcBorders>
          <w:top w:val="double" w:sz="4" w:space="0" w:color="46B8A9" w:themeColor="accent6"/>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styleId="ListTable7Colorful">
    <w:name w:val="List Table 7 Colorful"/>
    <w:basedOn w:val="TableNormal"/>
    <w:uiPriority w:val="52"/>
    <w:locked/>
    <w:rsid w:val="008E493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2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2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2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22222" w:themeColor="text1"/>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8E4939"/>
    <w:pPr>
      <w:spacing w:after="0" w:line="240" w:lineRule="auto"/>
    </w:pPr>
    <w:rPr>
      <w:color w:val="984C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66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66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66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6600" w:themeColor="accent1"/>
        </w:tcBorders>
        <w:shd w:val="clear" w:color="auto" w:fill="FFFFFF" w:themeFill="background1"/>
      </w:tcPr>
    </w:tblStylePr>
    <w:tblStylePr w:type="band1Vert">
      <w:tblPr/>
      <w:tcPr>
        <w:shd w:val="clear" w:color="auto" w:fill="FFE0C1" w:themeFill="accent1" w:themeFillTint="33"/>
      </w:tcPr>
    </w:tblStylePr>
    <w:tblStylePr w:type="band1Horz">
      <w:tblPr/>
      <w:tcPr>
        <w:shd w:val="clear" w:color="auto" w:fill="FFE0C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8E4939"/>
    <w:pPr>
      <w:spacing w:after="0" w:line="240" w:lineRule="auto"/>
    </w:pPr>
    <w:rPr>
      <w:color w:val="F5A3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E2C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E2C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E2C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E2CC" w:themeColor="accent2"/>
        </w:tcBorders>
        <w:shd w:val="clear" w:color="auto" w:fill="FFFFFF" w:themeFill="background1"/>
      </w:tcPr>
    </w:tblStylePr>
    <w:tblStylePr w:type="band1Vert">
      <w:tblPr/>
      <w:tcPr>
        <w:shd w:val="clear" w:color="auto" w:fill="FEF9F4" w:themeFill="accent2" w:themeFillTint="33"/>
      </w:tcPr>
    </w:tblStylePr>
    <w:tblStylePr w:type="band1Horz">
      <w:tblPr/>
      <w:tcPr>
        <w:shd w:val="clear" w:color="auto" w:fill="FEF9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8E4939"/>
    <w:pPr>
      <w:spacing w:after="0" w:line="240" w:lineRule="auto"/>
    </w:pPr>
    <w:rPr>
      <w:color w:val="092E4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3E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3E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3E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3E67" w:themeColor="accent3"/>
        </w:tcBorders>
        <w:shd w:val="clear" w:color="auto" w:fill="FFFFFF" w:themeFill="background1"/>
      </w:tcPr>
    </w:tblStylePr>
    <w:tblStylePr w:type="band1Vert">
      <w:tblPr/>
      <w:tcPr>
        <w:shd w:val="clear" w:color="auto" w:fill="B8DAF6" w:themeFill="accent3" w:themeFillTint="33"/>
      </w:tcPr>
    </w:tblStylePr>
    <w:tblStylePr w:type="band1Horz">
      <w:tblPr/>
      <w:tcPr>
        <w:shd w:val="clear" w:color="auto" w:fill="B8DAF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8E4939"/>
    <w:pPr>
      <w:spacing w:after="0" w:line="240" w:lineRule="auto"/>
    </w:pPr>
    <w:rPr>
      <w:color w:val="536E9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96B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96B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96B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96B5" w:themeColor="accent4"/>
        </w:tcBorders>
        <w:shd w:val="clear" w:color="auto" w:fill="FFFFFF" w:themeFill="background1"/>
      </w:tcPr>
    </w:tblStylePr>
    <w:tblStylePr w:type="band1Vert">
      <w:tblPr/>
      <w:tcPr>
        <w:shd w:val="clear" w:color="auto" w:fill="E4E9F0" w:themeFill="accent4" w:themeFillTint="33"/>
      </w:tcPr>
    </w:tblStylePr>
    <w:tblStylePr w:type="band1Horz">
      <w:tblPr/>
      <w:tcPr>
        <w:shd w:val="clear" w:color="auto" w:fill="E4E9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8E4939"/>
    <w:pPr>
      <w:spacing w:after="0" w:line="240" w:lineRule="auto"/>
    </w:pPr>
    <w:rPr>
      <w:color w:val="0963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857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857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857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8577" w:themeColor="accent5"/>
        </w:tcBorders>
        <w:shd w:val="clear" w:color="auto" w:fill="FFFFFF" w:themeFill="background1"/>
      </w:tcPr>
    </w:tblStylePr>
    <w:tblStylePr w:type="band1Vert">
      <w:tblPr/>
      <w:tcPr>
        <w:shd w:val="clear" w:color="auto" w:fill="BCF8F1" w:themeFill="accent5" w:themeFillTint="33"/>
      </w:tcPr>
    </w:tblStylePr>
    <w:tblStylePr w:type="band1Horz">
      <w:tblPr/>
      <w:tcPr>
        <w:shd w:val="clear" w:color="auto" w:fill="BCF8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8E4939"/>
    <w:pPr>
      <w:spacing w:after="0" w:line="240" w:lineRule="auto"/>
    </w:pPr>
    <w:rPr>
      <w:color w:val="34897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B8A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B8A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B8A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B8A9" w:themeColor="accent6"/>
        </w:tcBorders>
        <w:shd w:val="clear" w:color="auto" w:fill="FFFFFF" w:themeFill="background1"/>
      </w:tcPr>
    </w:tblStylePr>
    <w:tblStylePr w:type="band1Vert">
      <w:tblPr/>
      <w:tcPr>
        <w:shd w:val="clear" w:color="auto" w:fill="D9F1ED" w:themeFill="accent6" w:themeFillTint="33"/>
      </w:tcPr>
    </w:tblStylePr>
    <w:tblStylePr w:type="band1Horz">
      <w:tblPr/>
      <w:tcPr>
        <w:shd w:val="clear" w:color="auto" w:fill="D9F1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locked/>
    <w:rsid w:val="008E49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8E4939"/>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table" w:styleId="PlainTable3">
    <w:name w:val="Plain Table 3"/>
    <w:basedOn w:val="TableNormal"/>
    <w:uiPriority w:val="43"/>
    <w:locked/>
    <w:rsid w:val="008E4939"/>
    <w:pPr>
      <w:spacing w:after="0" w:line="240" w:lineRule="auto"/>
    </w:pPr>
    <w:tblPr>
      <w:tblStyleRowBandSize w:val="1"/>
      <w:tblStyleColBandSize w:val="1"/>
    </w:tblPr>
    <w:tblStylePr w:type="firstRow">
      <w:rPr>
        <w:b/>
        <w:bCs/>
        <w:caps/>
      </w:rPr>
      <w:tblPr/>
      <w:tcPr>
        <w:tcBorders>
          <w:bottom w:val="single" w:sz="4" w:space="0" w:color="909090"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09090"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8E493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locked/>
    <w:rsid w:val="008E49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r2">
    <w:name w:val="Char2"/>
    <w:basedOn w:val="Normal"/>
    <w:link w:val="FootnoteReference"/>
    <w:uiPriority w:val="99"/>
    <w:rsid w:val="00A52130"/>
    <w:pPr>
      <w:spacing w:after="120" w:line="240" w:lineRule="exact"/>
    </w:pPr>
    <w:rPr>
      <w:vertAlign w:val="superscript"/>
    </w:rPr>
  </w:style>
  <w:style w:type="paragraph" w:customStyle="1" w:styleId="pf0">
    <w:name w:val="pf0"/>
    <w:basedOn w:val="Normal"/>
    <w:rsid w:val="002E74B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2E74BE"/>
    <w:rPr>
      <w:rFonts w:ascii="Segoe UI" w:hAnsi="Segoe UI" w:cs="Segoe UI" w:hint="default"/>
      <w:color w:val="222222"/>
      <w:sz w:val="18"/>
      <w:szCs w:val="18"/>
    </w:rPr>
  </w:style>
  <w:style w:type="character" w:customStyle="1" w:styleId="normaltextrun">
    <w:name w:val="normaltextrun"/>
    <w:basedOn w:val="DefaultParagraphFont"/>
  </w:style>
  <w:style w:type="character" w:customStyle="1" w:styleId="NoSpacingChar">
    <w:name w:val="No Spacing Char"/>
    <w:basedOn w:val="DefaultParagraphFont"/>
    <w:link w:val="NoSpacing"/>
    <w:uiPriority w:val="1"/>
    <w:rsid w:val="00D372C6"/>
  </w:style>
  <w:style w:type="paragraph" w:customStyle="1" w:styleId="whitespace-pre-wrap">
    <w:name w:val="whitespace-pre-wrap"/>
    <w:basedOn w:val="Normal"/>
    <w:rsid w:val="0029519A"/>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369">
      <w:bodyDiv w:val="1"/>
      <w:marLeft w:val="0"/>
      <w:marRight w:val="0"/>
      <w:marTop w:val="0"/>
      <w:marBottom w:val="0"/>
      <w:divBdr>
        <w:top w:val="none" w:sz="0" w:space="0" w:color="auto"/>
        <w:left w:val="none" w:sz="0" w:space="0" w:color="auto"/>
        <w:bottom w:val="none" w:sz="0" w:space="0" w:color="auto"/>
        <w:right w:val="none" w:sz="0" w:space="0" w:color="auto"/>
      </w:divBdr>
    </w:div>
    <w:div w:id="4597726">
      <w:bodyDiv w:val="1"/>
      <w:marLeft w:val="0"/>
      <w:marRight w:val="0"/>
      <w:marTop w:val="0"/>
      <w:marBottom w:val="0"/>
      <w:divBdr>
        <w:top w:val="none" w:sz="0" w:space="0" w:color="auto"/>
        <w:left w:val="none" w:sz="0" w:space="0" w:color="auto"/>
        <w:bottom w:val="none" w:sz="0" w:space="0" w:color="auto"/>
        <w:right w:val="none" w:sz="0" w:space="0" w:color="auto"/>
      </w:divBdr>
    </w:div>
    <w:div w:id="13265622">
      <w:bodyDiv w:val="1"/>
      <w:marLeft w:val="0"/>
      <w:marRight w:val="0"/>
      <w:marTop w:val="0"/>
      <w:marBottom w:val="0"/>
      <w:divBdr>
        <w:top w:val="none" w:sz="0" w:space="0" w:color="auto"/>
        <w:left w:val="none" w:sz="0" w:space="0" w:color="auto"/>
        <w:bottom w:val="none" w:sz="0" w:space="0" w:color="auto"/>
        <w:right w:val="none" w:sz="0" w:space="0" w:color="auto"/>
      </w:divBdr>
    </w:div>
    <w:div w:id="28799430">
      <w:bodyDiv w:val="1"/>
      <w:marLeft w:val="0"/>
      <w:marRight w:val="0"/>
      <w:marTop w:val="0"/>
      <w:marBottom w:val="0"/>
      <w:divBdr>
        <w:top w:val="none" w:sz="0" w:space="0" w:color="auto"/>
        <w:left w:val="none" w:sz="0" w:space="0" w:color="auto"/>
        <w:bottom w:val="none" w:sz="0" w:space="0" w:color="auto"/>
        <w:right w:val="none" w:sz="0" w:space="0" w:color="auto"/>
      </w:divBdr>
    </w:div>
    <w:div w:id="82991658">
      <w:bodyDiv w:val="1"/>
      <w:marLeft w:val="0"/>
      <w:marRight w:val="0"/>
      <w:marTop w:val="0"/>
      <w:marBottom w:val="0"/>
      <w:divBdr>
        <w:top w:val="none" w:sz="0" w:space="0" w:color="auto"/>
        <w:left w:val="none" w:sz="0" w:space="0" w:color="auto"/>
        <w:bottom w:val="none" w:sz="0" w:space="0" w:color="auto"/>
        <w:right w:val="none" w:sz="0" w:space="0" w:color="auto"/>
      </w:divBdr>
    </w:div>
    <w:div w:id="87041205">
      <w:bodyDiv w:val="1"/>
      <w:marLeft w:val="0"/>
      <w:marRight w:val="0"/>
      <w:marTop w:val="0"/>
      <w:marBottom w:val="0"/>
      <w:divBdr>
        <w:top w:val="none" w:sz="0" w:space="0" w:color="auto"/>
        <w:left w:val="none" w:sz="0" w:space="0" w:color="auto"/>
        <w:bottom w:val="none" w:sz="0" w:space="0" w:color="auto"/>
        <w:right w:val="none" w:sz="0" w:space="0" w:color="auto"/>
      </w:divBdr>
      <w:divsChild>
        <w:div w:id="1458839110">
          <w:marLeft w:val="0"/>
          <w:marRight w:val="0"/>
          <w:marTop w:val="0"/>
          <w:marBottom w:val="0"/>
          <w:divBdr>
            <w:top w:val="none" w:sz="0" w:space="0" w:color="auto"/>
            <w:left w:val="none" w:sz="0" w:space="0" w:color="auto"/>
            <w:bottom w:val="none" w:sz="0" w:space="0" w:color="auto"/>
            <w:right w:val="none" w:sz="0" w:space="0" w:color="auto"/>
          </w:divBdr>
          <w:divsChild>
            <w:div w:id="699402563">
              <w:marLeft w:val="0"/>
              <w:marRight w:val="0"/>
              <w:marTop w:val="0"/>
              <w:marBottom w:val="0"/>
              <w:divBdr>
                <w:top w:val="none" w:sz="0" w:space="0" w:color="auto"/>
                <w:left w:val="none" w:sz="0" w:space="0" w:color="auto"/>
                <w:bottom w:val="none" w:sz="0" w:space="0" w:color="auto"/>
                <w:right w:val="none" w:sz="0" w:space="0" w:color="auto"/>
              </w:divBdr>
              <w:divsChild>
                <w:div w:id="3262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9598">
      <w:bodyDiv w:val="1"/>
      <w:marLeft w:val="0"/>
      <w:marRight w:val="0"/>
      <w:marTop w:val="0"/>
      <w:marBottom w:val="0"/>
      <w:divBdr>
        <w:top w:val="none" w:sz="0" w:space="0" w:color="auto"/>
        <w:left w:val="none" w:sz="0" w:space="0" w:color="auto"/>
        <w:bottom w:val="none" w:sz="0" w:space="0" w:color="auto"/>
        <w:right w:val="none" w:sz="0" w:space="0" w:color="auto"/>
      </w:divBdr>
      <w:divsChild>
        <w:div w:id="1388988298">
          <w:marLeft w:val="0"/>
          <w:marRight w:val="0"/>
          <w:marTop w:val="0"/>
          <w:marBottom w:val="0"/>
          <w:divBdr>
            <w:top w:val="none" w:sz="0" w:space="0" w:color="auto"/>
            <w:left w:val="none" w:sz="0" w:space="0" w:color="auto"/>
            <w:bottom w:val="none" w:sz="0" w:space="0" w:color="auto"/>
            <w:right w:val="none" w:sz="0" w:space="0" w:color="auto"/>
          </w:divBdr>
          <w:divsChild>
            <w:div w:id="2045595078">
              <w:marLeft w:val="0"/>
              <w:marRight w:val="0"/>
              <w:marTop w:val="0"/>
              <w:marBottom w:val="0"/>
              <w:divBdr>
                <w:top w:val="none" w:sz="0" w:space="0" w:color="auto"/>
                <w:left w:val="none" w:sz="0" w:space="0" w:color="auto"/>
                <w:bottom w:val="none" w:sz="0" w:space="0" w:color="auto"/>
                <w:right w:val="none" w:sz="0" w:space="0" w:color="auto"/>
              </w:divBdr>
              <w:divsChild>
                <w:div w:id="210410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5419">
      <w:bodyDiv w:val="1"/>
      <w:marLeft w:val="0"/>
      <w:marRight w:val="0"/>
      <w:marTop w:val="0"/>
      <w:marBottom w:val="0"/>
      <w:divBdr>
        <w:top w:val="none" w:sz="0" w:space="0" w:color="auto"/>
        <w:left w:val="none" w:sz="0" w:space="0" w:color="auto"/>
        <w:bottom w:val="none" w:sz="0" w:space="0" w:color="auto"/>
        <w:right w:val="none" w:sz="0" w:space="0" w:color="auto"/>
      </w:divBdr>
      <w:divsChild>
        <w:div w:id="939223121">
          <w:marLeft w:val="0"/>
          <w:marRight w:val="0"/>
          <w:marTop w:val="0"/>
          <w:marBottom w:val="0"/>
          <w:divBdr>
            <w:top w:val="none" w:sz="0" w:space="0" w:color="auto"/>
            <w:left w:val="none" w:sz="0" w:space="0" w:color="auto"/>
            <w:bottom w:val="none" w:sz="0" w:space="0" w:color="auto"/>
            <w:right w:val="none" w:sz="0" w:space="0" w:color="auto"/>
          </w:divBdr>
          <w:divsChild>
            <w:div w:id="1855531669">
              <w:marLeft w:val="0"/>
              <w:marRight w:val="0"/>
              <w:marTop w:val="0"/>
              <w:marBottom w:val="0"/>
              <w:divBdr>
                <w:top w:val="none" w:sz="0" w:space="0" w:color="auto"/>
                <w:left w:val="none" w:sz="0" w:space="0" w:color="auto"/>
                <w:bottom w:val="none" w:sz="0" w:space="0" w:color="auto"/>
                <w:right w:val="none" w:sz="0" w:space="0" w:color="auto"/>
              </w:divBdr>
              <w:divsChild>
                <w:div w:id="58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1695">
      <w:bodyDiv w:val="1"/>
      <w:marLeft w:val="0"/>
      <w:marRight w:val="0"/>
      <w:marTop w:val="0"/>
      <w:marBottom w:val="0"/>
      <w:divBdr>
        <w:top w:val="none" w:sz="0" w:space="0" w:color="auto"/>
        <w:left w:val="none" w:sz="0" w:space="0" w:color="auto"/>
        <w:bottom w:val="none" w:sz="0" w:space="0" w:color="auto"/>
        <w:right w:val="none" w:sz="0" w:space="0" w:color="auto"/>
      </w:divBdr>
    </w:div>
    <w:div w:id="156112016">
      <w:bodyDiv w:val="1"/>
      <w:marLeft w:val="0"/>
      <w:marRight w:val="0"/>
      <w:marTop w:val="0"/>
      <w:marBottom w:val="0"/>
      <w:divBdr>
        <w:top w:val="none" w:sz="0" w:space="0" w:color="auto"/>
        <w:left w:val="none" w:sz="0" w:space="0" w:color="auto"/>
        <w:bottom w:val="none" w:sz="0" w:space="0" w:color="auto"/>
        <w:right w:val="none" w:sz="0" w:space="0" w:color="auto"/>
      </w:divBdr>
      <w:divsChild>
        <w:div w:id="96142657">
          <w:marLeft w:val="0"/>
          <w:marRight w:val="0"/>
          <w:marTop w:val="0"/>
          <w:marBottom w:val="0"/>
          <w:divBdr>
            <w:top w:val="none" w:sz="0" w:space="0" w:color="auto"/>
            <w:left w:val="none" w:sz="0" w:space="0" w:color="auto"/>
            <w:bottom w:val="none" w:sz="0" w:space="0" w:color="auto"/>
            <w:right w:val="none" w:sz="0" w:space="0" w:color="auto"/>
          </w:divBdr>
          <w:divsChild>
            <w:div w:id="93325613">
              <w:marLeft w:val="0"/>
              <w:marRight w:val="0"/>
              <w:marTop w:val="0"/>
              <w:marBottom w:val="0"/>
              <w:divBdr>
                <w:top w:val="none" w:sz="0" w:space="0" w:color="auto"/>
                <w:left w:val="none" w:sz="0" w:space="0" w:color="auto"/>
                <w:bottom w:val="none" w:sz="0" w:space="0" w:color="auto"/>
                <w:right w:val="none" w:sz="0" w:space="0" w:color="auto"/>
              </w:divBdr>
              <w:divsChild>
                <w:div w:id="1847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628837">
          <w:marLeft w:val="0"/>
          <w:marRight w:val="0"/>
          <w:marTop w:val="0"/>
          <w:marBottom w:val="0"/>
          <w:divBdr>
            <w:top w:val="none" w:sz="0" w:space="0" w:color="auto"/>
            <w:left w:val="none" w:sz="0" w:space="0" w:color="auto"/>
            <w:bottom w:val="none" w:sz="0" w:space="0" w:color="auto"/>
            <w:right w:val="none" w:sz="0" w:space="0" w:color="auto"/>
          </w:divBdr>
          <w:divsChild>
            <w:div w:id="289634389">
              <w:marLeft w:val="0"/>
              <w:marRight w:val="0"/>
              <w:marTop w:val="0"/>
              <w:marBottom w:val="0"/>
              <w:divBdr>
                <w:top w:val="none" w:sz="0" w:space="0" w:color="auto"/>
                <w:left w:val="none" w:sz="0" w:space="0" w:color="auto"/>
                <w:bottom w:val="none" w:sz="0" w:space="0" w:color="auto"/>
                <w:right w:val="none" w:sz="0" w:space="0" w:color="auto"/>
              </w:divBdr>
              <w:divsChild>
                <w:div w:id="100031858">
                  <w:marLeft w:val="0"/>
                  <w:marRight w:val="0"/>
                  <w:marTop w:val="0"/>
                  <w:marBottom w:val="0"/>
                  <w:divBdr>
                    <w:top w:val="none" w:sz="0" w:space="0" w:color="auto"/>
                    <w:left w:val="none" w:sz="0" w:space="0" w:color="auto"/>
                    <w:bottom w:val="none" w:sz="0" w:space="0" w:color="auto"/>
                    <w:right w:val="none" w:sz="0" w:space="0" w:color="auto"/>
                  </w:divBdr>
                  <w:divsChild>
                    <w:div w:id="1245797799">
                      <w:marLeft w:val="0"/>
                      <w:marRight w:val="0"/>
                      <w:marTop w:val="0"/>
                      <w:marBottom w:val="0"/>
                      <w:divBdr>
                        <w:top w:val="none" w:sz="0" w:space="0" w:color="auto"/>
                        <w:left w:val="none" w:sz="0" w:space="0" w:color="auto"/>
                        <w:bottom w:val="none" w:sz="0" w:space="0" w:color="auto"/>
                        <w:right w:val="none" w:sz="0" w:space="0" w:color="auto"/>
                      </w:divBdr>
                      <w:divsChild>
                        <w:div w:id="697043253">
                          <w:marLeft w:val="0"/>
                          <w:marRight w:val="0"/>
                          <w:marTop w:val="0"/>
                          <w:marBottom w:val="0"/>
                          <w:divBdr>
                            <w:top w:val="none" w:sz="0" w:space="0" w:color="auto"/>
                            <w:left w:val="none" w:sz="0" w:space="0" w:color="auto"/>
                            <w:bottom w:val="none" w:sz="0" w:space="0" w:color="auto"/>
                            <w:right w:val="none" w:sz="0" w:space="0" w:color="auto"/>
                          </w:divBdr>
                          <w:divsChild>
                            <w:div w:id="2085104150">
                              <w:marLeft w:val="0"/>
                              <w:marRight w:val="0"/>
                              <w:marTop w:val="0"/>
                              <w:marBottom w:val="0"/>
                              <w:divBdr>
                                <w:top w:val="none" w:sz="0" w:space="0" w:color="auto"/>
                                <w:left w:val="none" w:sz="0" w:space="0" w:color="auto"/>
                                <w:bottom w:val="none" w:sz="0" w:space="0" w:color="auto"/>
                                <w:right w:val="none" w:sz="0" w:space="0" w:color="auto"/>
                              </w:divBdr>
                              <w:divsChild>
                                <w:div w:id="142445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846251">
                      <w:marLeft w:val="0"/>
                      <w:marRight w:val="0"/>
                      <w:marTop w:val="0"/>
                      <w:marBottom w:val="0"/>
                      <w:divBdr>
                        <w:top w:val="none" w:sz="0" w:space="0" w:color="auto"/>
                        <w:left w:val="none" w:sz="0" w:space="0" w:color="auto"/>
                        <w:bottom w:val="none" w:sz="0" w:space="0" w:color="auto"/>
                        <w:right w:val="none" w:sz="0" w:space="0" w:color="auto"/>
                      </w:divBdr>
                      <w:divsChild>
                        <w:div w:id="399714246">
                          <w:marLeft w:val="0"/>
                          <w:marRight w:val="0"/>
                          <w:marTop w:val="0"/>
                          <w:marBottom w:val="0"/>
                          <w:divBdr>
                            <w:top w:val="none" w:sz="0" w:space="0" w:color="auto"/>
                            <w:left w:val="none" w:sz="0" w:space="0" w:color="auto"/>
                            <w:bottom w:val="none" w:sz="0" w:space="0" w:color="auto"/>
                            <w:right w:val="none" w:sz="0" w:space="0" w:color="auto"/>
                          </w:divBdr>
                          <w:divsChild>
                            <w:div w:id="185579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927291">
          <w:marLeft w:val="0"/>
          <w:marRight w:val="0"/>
          <w:marTop w:val="0"/>
          <w:marBottom w:val="0"/>
          <w:divBdr>
            <w:top w:val="none" w:sz="0" w:space="0" w:color="auto"/>
            <w:left w:val="none" w:sz="0" w:space="0" w:color="auto"/>
            <w:bottom w:val="none" w:sz="0" w:space="0" w:color="auto"/>
            <w:right w:val="none" w:sz="0" w:space="0" w:color="auto"/>
          </w:divBdr>
          <w:divsChild>
            <w:div w:id="958336432">
              <w:marLeft w:val="0"/>
              <w:marRight w:val="0"/>
              <w:marTop w:val="0"/>
              <w:marBottom w:val="0"/>
              <w:divBdr>
                <w:top w:val="none" w:sz="0" w:space="0" w:color="auto"/>
                <w:left w:val="none" w:sz="0" w:space="0" w:color="auto"/>
                <w:bottom w:val="none" w:sz="0" w:space="0" w:color="auto"/>
                <w:right w:val="none" w:sz="0" w:space="0" w:color="auto"/>
              </w:divBdr>
              <w:divsChild>
                <w:div w:id="1517230427">
                  <w:marLeft w:val="0"/>
                  <w:marRight w:val="0"/>
                  <w:marTop w:val="0"/>
                  <w:marBottom w:val="0"/>
                  <w:divBdr>
                    <w:top w:val="none" w:sz="0" w:space="0" w:color="auto"/>
                    <w:left w:val="none" w:sz="0" w:space="0" w:color="auto"/>
                    <w:bottom w:val="none" w:sz="0" w:space="0" w:color="auto"/>
                    <w:right w:val="none" w:sz="0" w:space="0" w:color="auto"/>
                  </w:divBdr>
                  <w:divsChild>
                    <w:div w:id="1782992387">
                      <w:marLeft w:val="0"/>
                      <w:marRight w:val="0"/>
                      <w:marTop w:val="0"/>
                      <w:marBottom w:val="0"/>
                      <w:divBdr>
                        <w:top w:val="none" w:sz="0" w:space="0" w:color="auto"/>
                        <w:left w:val="none" w:sz="0" w:space="0" w:color="auto"/>
                        <w:bottom w:val="none" w:sz="0" w:space="0" w:color="auto"/>
                        <w:right w:val="none" w:sz="0" w:space="0" w:color="auto"/>
                      </w:divBdr>
                      <w:divsChild>
                        <w:div w:id="661088102">
                          <w:marLeft w:val="0"/>
                          <w:marRight w:val="0"/>
                          <w:marTop w:val="0"/>
                          <w:marBottom w:val="0"/>
                          <w:divBdr>
                            <w:top w:val="none" w:sz="0" w:space="0" w:color="auto"/>
                            <w:left w:val="none" w:sz="0" w:space="0" w:color="auto"/>
                            <w:bottom w:val="none" w:sz="0" w:space="0" w:color="auto"/>
                            <w:right w:val="none" w:sz="0" w:space="0" w:color="auto"/>
                          </w:divBdr>
                          <w:divsChild>
                            <w:div w:id="160117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72644">
                      <w:marLeft w:val="0"/>
                      <w:marRight w:val="0"/>
                      <w:marTop w:val="0"/>
                      <w:marBottom w:val="0"/>
                      <w:divBdr>
                        <w:top w:val="none" w:sz="0" w:space="0" w:color="auto"/>
                        <w:left w:val="none" w:sz="0" w:space="0" w:color="auto"/>
                        <w:bottom w:val="none" w:sz="0" w:space="0" w:color="auto"/>
                        <w:right w:val="none" w:sz="0" w:space="0" w:color="auto"/>
                      </w:divBdr>
                      <w:divsChild>
                        <w:div w:id="477570576">
                          <w:marLeft w:val="0"/>
                          <w:marRight w:val="0"/>
                          <w:marTop w:val="0"/>
                          <w:marBottom w:val="0"/>
                          <w:divBdr>
                            <w:top w:val="none" w:sz="0" w:space="0" w:color="auto"/>
                            <w:left w:val="none" w:sz="0" w:space="0" w:color="auto"/>
                            <w:bottom w:val="none" w:sz="0" w:space="0" w:color="auto"/>
                            <w:right w:val="none" w:sz="0" w:space="0" w:color="auto"/>
                          </w:divBdr>
                          <w:divsChild>
                            <w:div w:id="480005870">
                              <w:marLeft w:val="0"/>
                              <w:marRight w:val="0"/>
                              <w:marTop w:val="0"/>
                              <w:marBottom w:val="0"/>
                              <w:divBdr>
                                <w:top w:val="none" w:sz="0" w:space="0" w:color="auto"/>
                                <w:left w:val="none" w:sz="0" w:space="0" w:color="auto"/>
                                <w:bottom w:val="none" w:sz="0" w:space="0" w:color="auto"/>
                                <w:right w:val="none" w:sz="0" w:space="0" w:color="auto"/>
                              </w:divBdr>
                            </w:div>
                          </w:divsChild>
                        </w:div>
                        <w:div w:id="142279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73450">
          <w:marLeft w:val="0"/>
          <w:marRight w:val="0"/>
          <w:marTop w:val="0"/>
          <w:marBottom w:val="0"/>
          <w:divBdr>
            <w:top w:val="none" w:sz="0" w:space="0" w:color="auto"/>
            <w:left w:val="none" w:sz="0" w:space="0" w:color="auto"/>
            <w:bottom w:val="none" w:sz="0" w:space="0" w:color="auto"/>
            <w:right w:val="none" w:sz="0" w:space="0" w:color="auto"/>
          </w:divBdr>
          <w:divsChild>
            <w:div w:id="1924221855">
              <w:marLeft w:val="0"/>
              <w:marRight w:val="0"/>
              <w:marTop w:val="0"/>
              <w:marBottom w:val="0"/>
              <w:divBdr>
                <w:top w:val="none" w:sz="0" w:space="0" w:color="auto"/>
                <w:left w:val="none" w:sz="0" w:space="0" w:color="auto"/>
                <w:bottom w:val="none" w:sz="0" w:space="0" w:color="auto"/>
                <w:right w:val="none" w:sz="0" w:space="0" w:color="auto"/>
              </w:divBdr>
              <w:divsChild>
                <w:div w:id="806631401">
                  <w:marLeft w:val="0"/>
                  <w:marRight w:val="0"/>
                  <w:marTop w:val="0"/>
                  <w:marBottom w:val="0"/>
                  <w:divBdr>
                    <w:top w:val="none" w:sz="0" w:space="0" w:color="auto"/>
                    <w:left w:val="none" w:sz="0" w:space="0" w:color="auto"/>
                    <w:bottom w:val="none" w:sz="0" w:space="0" w:color="auto"/>
                    <w:right w:val="none" w:sz="0" w:space="0" w:color="auto"/>
                  </w:divBdr>
                  <w:divsChild>
                    <w:div w:id="773671080">
                      <w:marLeft w:val="0"/>
                      <w:marRight w:val="0"/>
                      <w:marTop w:val="0"/>
                      <w:marBottom w:val="0"/>
                      <w:divBdr>
                        <w:top w:val="none" w:sz="0" w:space="0" w:color="auto"/>
                        <w:left w:val="none" w:sz="0" w:space="0" w:color="auto"/>
                        <w:bottom w:val="none" w:sz="0" w:space="0" w:color="auto"/>
                        <w:right w:val="none" w:sz="0" w:space="0" w:color="auto"/>
                      </w:divBdr>
                      <w:divsChild>
                        <w:div w:id="1698578958">
                          <w:marLeft w:val="0"/>
                          <w:marRight w:val="0"/>
                          <w:marTop w:val="0"/>
                          <w:marBottom w:val="0"/>
                          <w:divBdr>
                            <w:top w:val="none" w:sz="0" w:space="0" w:color="auto"/>
                            <w:left w:val="none" w:sz="0" w:space="0" w:color="auto"/>
                            <w:bottom w:val="none" w:sz="0" w:space="0" w:color="auto"/>
                            <w:right w:val="none" w:sz="0" w:space="0" w:color="auto"/>
                          </w:divBdr>
                          <w:divsChild>
                            <w:div w:id="57196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8165">
                      <w:marLeft w:val="0"/>
                      <w:marRight w:val="0"/>
                      <w:marTop w:val="0"/>
                      <w:marBottom w:val="0"/>
                      <w:divBdr>
                        <w:top w:val="none" w:sz="0" w:space="0" w:color="auto"/>
                        <w:left w:val="none" w:sz="0" w:space="0" w:color="auto"/>
                        <w:bottom w:val="none" w:sz="0" w:space="0" w:color="auto"/>
                        <w:right w:val="none" w:sz="0" w:space="0" w:color="auto"/>
                      </w:divBdr>
                      <w:divsChild>
                        <w:div w:id="1872261667">
                          <w:marLeft w:val="0"/>
                          <w:marRight w:val="0"/>
                          <w:marTop w:val="0"/>
                          <w:marBottom w:val="0"/>
                          <w:divBdr>
                            <w:top w:val="none" w:sz="0" w:space="0" w:color="auto"/>
                            <w:left w:val="none" w:sz="0" w:space="0" w:color="auto"/>
                            <w:bottom w:val="none" w:sz="0" w:space="0" w:color="auto"/>
                            <w:right w:val="none" w:sz="0" w:space="0" w:color="auto"/>
                          </w:divBdr>
                          <w:divsChild>
                            <w:div w:id="802388700">
                              <w:marLeft w:val="0"/>
                              <w:marRight w:val="0"/>
                              <w:marTop w:val="0"/>
                              <w:marBottom w:val="0"/>
                              <w:divBdr>
                                <w:top w:val="none" w:sz="0" w:space="0" w:color="auto"/>
                                <w:left w:val="none" w:sz="0" w:space="0" w:color="auto"/>
                                <w:bottom w:val="none" w:sz="0" w:space="0" w:color="auto"/>
                                <w:right w:val="none" w:sz="0" w:space="0" w:color="auto"/>
                              </w:divBdr>
                              <w:divsChild>
                                <w:div w:id="199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177320">
          <w:marLeft w:val="0"/>
          <w:marRight w:val="0"/>
          <w:marTop w:val="0"/>
          <w:marBottom w:val="0"/>
          <w:divBdr>
            <w:top w:val="none" w:sz="0" w:space="0" w:color="auto"/>
            <w:left w:val="none" w:sz="0" w:space="0" w:color="auto"/>
            <w:bottom w:val="none" w:sz="0" w:space="0" w:color="auto"/>
            <w:right w:val="none" w:sz="0" w:space="0" w:color="auto"/>
          </w:divBdr>
          <w:divsChild>
            <w:div w:id="351691040">
              <w:marLeft w:val="0"/>
              <w:marRight w:val="0"/>
              <w:marTop w:val="0"/>
              <w:marBottom w:val="0"/>
              <w:divBdr>
                <w:top w:val="none" w:sz="0" w:space="0" w:color="auto"/>
                <w:left w:val="none" w:sz="0" w:space="0" w:color="auto"/>
                <w:bottom w:val="none" w:sz="0" w:space="0" w:color="auto"/>
                <w:right w:val="none" w:sz="0" w:space="0" w:color="auto"/>
              </w:divBdr>
              <w:divsChild>
                <w:div w:id="160125581">
                  <w:marLeft w:val="0"/>
                  <w:marRight w:val="0"/>
                  <w:marTop w:val="0"/>
                  <w:marBottom w:val="0"/>
                  <w:divBdr>
                    <w:top w:val="none" w:sz="0" w:space="0" w:color="auto"/>
                    <w:left w:val="none" w:sz="0" w:space="0" w:color="auto"/>
                    <w:bottom w:val="none" w:sz="0" w:space="0" w:color="auto"/>
                    <w:right w:val="none" w:sz="0" w:space="0" w:color="auto"/>
                  </w:divBdr>
                  <w:divsChild>
                    <w:div w:id="173494321">
                      <w:marLeft w:val="0"/>
                      <w:marRight w:val="0"/>
                      <w:marTop w:val="0"/>
                      <w:marBottom w:val="0"/>
                      <w:divBdr>
                        <w:top w:val="none" w:sz="0" w:space="0" w:color="auto"/>
                        <w:left w:val="none" w:sz="0" w:space="0" w:color="auto"/>
                        <w:bottom w:val="none" w:sz="0" w:space="0" w:color="auto"/>
                        <w:right w:val="none" w:sz="0" w:space="0" w:color="auto"/>
                      </w:divBdr>
                      <w:divsChild>
                        <w:div w:id="625090552">
                          <w:marLeft w:val="0"/>
                          <w:marRight w:val="0"/>
                          <w:marTop w:val="0"/>
                          <w:marBottom w:val="0"/>
                          <w:divBdr>
                            <w:top w:val="none" w:sz="0" w:space="0" w:color="auto"/>
                            <w:left w:val="none" w:sz="0" w:space="0" w:color="auto"/>
                            <w:bottom w:val="none" w:sz="0" w:space="0" w:color="auto"/>
                            <w:right w:val="none" w:sz="0" w:space="0" w:color="auto"/>
                          </w:divBdr>
                          <w:divsChild>
                            <w:div w:id="9738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582140">
                      <w:marLeft w:val="0"/>
                      <w:marRight w:val="0"/>
                      <w:marTop w:val="0"/>
                      <w:marBottom w:val="0"/>
                      <w:divBdr>
                        <w:top w:val="none" w:sz="0" w:space="0" w:color="auto"/>
                        <w:left w:val="none" w:sz="0" w:space="0" w:color="auto"/>
                        <w:bottom w:val="none" w:sz="0" w:space="0" w:color="auto"/>
                        <w:right w:val="none" w:sz="0" w:space="0" w:color="auto"/>
                      </w:divBdr>
                      <w:divsChild>
                        <w:div w:id="574054630">
                          <w:marLeft w:val="0"/>
                          <w:marRight w:val="0"/>
                          <w:marTop w:val="0"/>
                          <w:marBottom w:val="0"/>
                          <w:divBdr>
                            <w:top w:val="none" w:sz="0" w:space="0" w:color="auto"/>
                            <w:left w:val="none" w:sz="0" w:space="0" w:color="auto"/>
                            <w:bottom w:val="none" w:sz="0" w:space="0" w:color="auto"/>
                            <w:right w:val="none" w:sz="0" w:space="0" w:color="auto"/>
                          </w:divBdr>
                          <w:divsChild>
                            <w:div w:id="60639815">
                              <w:marLeft w:val="0"/>
                              <w:marRight w:val="0"/>
                              <w:marTop w:val="0"/>
                              <w:marBottom w:val="0"/>
                              <w:divBdr>
                                <w:top w:val="none" w:sz="0" w:space="0" w:color="auto"/>
                                <w:left w:val="none" w:sz="0" w:space="0" w:color="auto"/>
                                <w:bottom w:val="none" w:sz="0" w:space="0" w:color="auto"/>
                                <w:right w:val="none" w:sz="0" w:space="0" w:color="auto"/>
                              </w:divBdr>
                            </w:div>
                          </w:divsChild>
                        </w:div>
                        <w:div w:id="198700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930887">
          <w:marLeft w:val="0"/>
          <w:marRight w:val="0"/>
          <w:marTop w:val="0"/>
          <w:marBottom w:val="0"/>
          <w:divBdr>
            <w:top w:val="none" w:sz="0" w:space="0" w:color="auto"/>
            <w:left w:val="none" w:sz="0" w:space="0" w:color="auto"/>
            <w:bottom w:val="none" w:sz="0" w:space="0" w:color="auto"/>
            <w:right w:val="none" w:sz="0" w:space="0" w:color="auto"/>
          </w:divBdr>
          <w:divsChild>
            <w:div w:id="1124231638">
              <w:marLeft w:val="0"/>
              <w:marRight w:val="0"/>
              <w:marTop w:val="0"/>
              <w:marBottom w:val="0"/>
              <w:divBdr>
                <w:top w:val="none" w:sz="0" w:space="0" w:color="auto"/>
                <w:left w:val="none" w:sz="0" w:space="0" w:color="auto"/>
                <w:bottom w:val="none" w:sz="0" w:space="0" w:color="auto"/>
                <w:right w:val="none" w:sz="0" w:space="0" w:color="auto"/>
              </w:divBdr>
              <w:divsChild>
                <w:div w:id="1981382073">
                  <w:marLeft w:val="0"/>
                  <w:marRight w:val="0"/>
                  <w:marTop w:val="0"/>
                  <w:marBottom w:val="0"/>
                  <w:divBdr>
                    <w:top w:val="none" w:sz="0" w:space="0" w:color="auto"/>
                    <w:left w:val="none" w:sz="0" w:space="0" w:color="auto"/>
                    <w:bottom w:val="none" w:sz="0" w:space="0" w:color="auto"/>
                    <w:right w:val="none" w:sz="0" w:space="0" w:color="auto"/>
                  </w:divBdr>
                  <w:divsChild>
                    <w:div w:id="808595345">
                      <w:marLeft w:val="0"/>
                      <w:marRight w:val="0"/>
                      <w:marTop w:val="0"/>
                      <w:marBottom w:val="0"/>
                      <w:divBdr>
                        <w:top w:val="none" w:sz="0" w:space="0" w:color="auto"/>
                        <w:left w:val="none" w:sz="0" w:space="0" w:color="auto"/>
                        <w:bottom w:val="none" w:sz="0" w:space="0" w:color="auto"/>
                        <w:right w:val="none" w:sz="0" w:space="0" w:color="auto"/>
                      </w:divBdr>
                      <w:divsChild>
                        <w:div w:id="701051582">
                          <w:marLeft w:val="0"/>
                          <w:marRight w:val="0"/>
                          <w:marTop w:val="0"/>
                          <w:marBottom w:val="0"/>
                          <w:divBdr>
                            <w:top w:val="none" w:sz="0" w:space="0" w:color="auto"/>
                            <w:left w:val="none" w:sz="0" w:space="0" w:color="auto"/>
                            <w:bottom w:val="none" w:sz="0" w:space="0" w:color="auto"/>
                            <w:right w:val="none" w:sz="0" w:space="0" w:color="auto"/>
                          </w:divBdr>
                          <w:divsChild>
                            <w:div w:id="1779638419">
                              <w:marLeft w:val="0"/>
                              <w:marRight w:val="0"/>
                              <w:marTop w:val="0"/>
                              <w:marBottom w:val="0"/>
                              <w:divBdr>
                                <w:top w:val="none" w:sz="0" w:space="0" w:color="auto"/>
                                <w:left w:val="none" w:sz="0" w:space="0" w:color="auto"/>
                                <w:bottom w:val="none" w:sz="0" w:space="0" w:color="auto"/>
                                <w:right w:val="none" w:sz="0" w:space="0" w:color="auto"/>
                              </w:divBdr>
                              <w:divsChild>
                                <w:div w:id="35534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81186">
                      <w:marLeft w:val="0"/>
                      <w:marRight w:val="0"/>
                      <w:marTop w:val="0"/>
                      <w:marBottom w:val="0"/>
                      <w:divBdr>
                        <w:top w:val="none" w:sz="0" w:space="0" w:color="auto"/>
                        <w:left w:val="none" w:sz="0" w:space="0" w:color="auto"/>
                        <w:bottom w:val="none" w:sz="0" w:space="0" w:color="auto"/>
                        <w:right w:val="none" w:sz="0" w:space="0" w:color="auto"/>
                      </w:divBdr>
                      <w:divsChild>
                        <w:div w:id="378945607">
                          <w:marLeft w:val="0"/>
                          <w:marRight w:val="0"/>
                          <w:marTop w:val="0"/>
                          <w:marBottom w:val="0"/>
                          <w:divBdr>
                            <w:top w:val="none" w:sz="0" w:space="0" w:color="auto"/>
                            <w:left w:val="none" w:sz="0" w:space="0" w:color="auto"/>
                            <w:bottom w:val="none" w:sz="0" w:space="0" w:color="auto"/>
                            <w:right w:val="none" w:sz="0" w:space="0" w:color="auto"/>
                          </w:divBdr>
                          <w:divsChild>
                            <w:div w:id="21180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09921">
      <w:bodyDiv w:val="1"/>
      <w:marLeft w:val="0"/>
      <w:marRight w:val="0"/>
      <w:marTop w:val="0"/>
      <w:marBottom w:val="0"/>
      <w:divBdr>
        <w:top w:val="none" w:sz="0" w:space="0" w:color="auto"/>
        <w:left w:val="none" w:sz="0" w:space="0" w:color="auto"/>
        <w:bottom w:val="none" w:sz="0" w:space="0" w:color="auto"/>
        <w:right w:val="none" w:sz="0" w:space="0" w:color="auto"/>
      </w:divBdr>
    </w:div>
    <w:div w:id="168256769">
      <w:bodyDiv w:val="1"/>
      <w:marLeft w:val="0"/>
      <w:marRight w:val="0"/>
      <w:marTop w:val="0"/>
      <w:marBottom w:val="0"/>
      <w:divBdr>
        <w:top w:val="none" w:sz="0" w:space="0" w:color="auto"/>
        <w:left w:val="none" w:sz="0" w:space="0" w:color="auto"/>
        <w:bottom w:val="none" w:sz="0" w:space="0" w:color="auto"/>
        <w:right w:val="none" w:sz="0" w:space="0" w:color="auto"/>
      </w:divBdr>
    </w:div>
    <w:div w:id="210456632">
      <w:bodyDiv w:val="1"/>
      <w:marLeft w:val="0"/>
      <w:marRight w:val="0"/>
      <w:marTop w:val="0"/>
      <w:marBottom w:val="0"/>
      <w:divBdr>
        <w:top w:val="none" w:sz="0" w:space="0" w:color="auto"/>
        <w:left w:val="none" w:sz="0" w:space="0" w:color="auto"/>
        <w:bottom w:val="none" w:sz="0" w:space="0" w:color="auto"/>
        <w:right w:val="none" w:sz="0" w:space="0" w:color="auto"/>
      </w:divBdr>
    </w:div>
    <w:div w:id="237716165">
      <w:bodyDiv w:val="1"/>
      <w:marLeft w:val="0"/>
      <w:marRight w:val="0"/>
      <w:marTop w:val="0"/>
      <w:marBottom w:val="0"/>
      <w:divBdr>
        <w:top w:val="none" w:sz="0" w:space="0" w:color="auto"/>
        <w:left w:val="none" w:sz="0" w:space="0" w:color="auto"/>
        <w:bottom w:val="none" w:sz="0" w:space="0" w:color="auto"/>
        <w:right w:val="none" w:sz="0" w:space="0" w:color="auto"/>
      </w:divBdr>
    </w:div>
    <w:div w:id="243538543">
      <w:bodyDiv w:val="1"/>
      <w:marLeft w:val="0"/>
      <w:marRight w:val="0"/>
      <w:marTop w:val="0"/>
      <w:marBottom w:val="0"/>
      <w:divBdr>
        <w:top w:val="none" w:sz="0" w:space="0" w:color="auto"/>
        <w:left w:val="none" w:sz="0" w:space="0" w:color="auto"/>
        <w:bottom w:val="none" w:sz="0" w:space="0" w:color="auto"/>
        <w:right w:val="none" w:sz="0" w:space="0" w:color="auto"/>
      </w:divBdr>
    </w:div>
    <w:div w:id="263853437">
      <w:bodyDiv w:val="1"/>
      <w:marLeft w:val="0"/>
      <w:marRight w:val="0"/>
      <w:marTop w:val="0"/>
      <w:marBottom w:val="0"/>
      <w:divBdr>
        <w:top w:val="none" w:sz="0" w:space="0" w:color="auto"/>
        <w:left w:val="none" w:sz="0" w:space="0" w:color="auto"/>
        <w:bottom w:val="none" w:sz="0" w:space="0" w:color="auto"/>
        <w:right w:val="none" w:sz="0" w:space="0" w:color="auto"/>
      </w:divBdr>
    </w:div>
    <w:div w:id="264195022">
      <w:bodyDiv w:val="1"/>
      <w:marLeft w:val="0"/>
      <w:marRight w:val="0"/>
      <w:marTop w:val="0"/>
      <w:marBottom w:val="0"/>
      <w:divBdr>
        <w:top w:val="none" w:sz="0" w:space="0" w:color="auto"/>
        <w:left w:val="none" w:sz="0" w:space="0" w:color="auto"/>
        <w:bottom w:val="none" w:sz="0" w:space="0" w:color="auto"/>
        <w:right w:val="none" w:sz="0" w:space="0" w:color="auto"/>
      </w:divBdr>
    </w:div>
    <w:div w:id="303045758">
      <w:bodyDiv w:val="1"/>
      <w:marLeft w:val="0"/>
      <w:marRight w:val="0"/>
      <w:marTop w:val="0"/>
      <w:marBottom w:val="0"/>
      <w:divBdr>
        <w:top w:val="none" w:sz="0" w:space="0" w:color="auto"/>
        <w:left w:val="none" w:sz="0" w:space="0" w:color="auto"/>
        <w:bottom w:val="none" w:sz="0" w:space="0" w:color="auto"/>
        <w:right w:val="none" w:sz="0" w:space="0" w:color="auto"/>
      </w:divBdr>
      <w:divsChild>
        <w:div w:id="329722289">
          <w:marLeft w:val="0"/>
          <w:marRight w:val="0"/>
          <w:marTop w:val="0"/>
          <w:marBottom w:val="0"/>
          <w:divBdr>
            <w:top w:val="none" w:sz="0" w:space="0" w:color="auto"/>
            <w:left w:val="none" w:sz="0" w:space="0" w:color="auto"/>
            <w:bottom w:val="none" w:sz="0" w:space="0" w:color="auto"/>
            <w:right w:val="none" w:sz="0" w:space="0" w:color="auto"/>
          </w:divBdr>
          <w:divsChild>
            <w:div w:id="125902063">
              <w:marLeft w:val="0"/>
              <w:marRight w:val="0"/>
              <w:marTop w:val="0"/>
              <w:marBottom w:val="0"/>
              <w:divBdr>
                <w:top w:val="none" w:sz="0" w:space="0" w:color="auto"/>
                <w:left w:val="none" w:sz="0" w:space="0" w:color="auto"/>
                <w:bottom w:val="none" w:sz="0" w:space="0" w:color="auto"/>
                <w:right w:val="none" w:sz="0" w:space="0" w:color="auto"/>
              </w:divBdr>
              <w:divsChild>
                <w:div w:id="3493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4781">
      <w:bodyDiv w:val="1"/>
      <w:marLeft w:val="0"/>
      <w:marRight w:val="0"/>
      <w:marTop w:val="0"/>
      <w:marBottom w:val="0"/>
      <w:divBdr>
        <w:top w:val="none" w:sz="0" w:space="0" w:color="auto"/>
        <w:left w:val="none" w:sz="0" w:space="0" w:color="auto"/>
        <w:bottom w:val="none" w:sz="0" w:space="0" w:color="auto"/>
        <w:right w:val="none" w:sz="0" w:space="0" w:color="auto"/>
      </w:divBdr>
    </w:div>
    <w:div w:id="316031912">
      <w:bodyDiv w:val="1"/>
      <w:marLeft w:val="0"/>
      <w:marRight w:val="0"/>
      <w:marTop w:val="0"/>
      <w:marBottom w:val="0"/>
      <w:divBdr>
        <w:top w:val="none" w:sz="0" w:space="0" w:color="auto"/>
        <w:left w:val="none" w:sz="0" w:space="0" w:color="auto"/>
        <w:bottom w:val="none" w:sz="0" w:space="0" w:color="auto"/>
        <w:right w:val="none" w:sz="0" w:space="0" w:color="auto"/>
      </w:divBdr>
    </w:div>
    <w:div w:id="323514478">
      <w:bodyDiv w:val="1"/>
      <w:marLeft w:val="0"/>
      <w:marRight w:val="0"/>
      <w:marTop w:val="0"/>
      <w:marBottom w:val="0"/>
      <w:divBdr>
        <w:top w:val="none" w:sz="0" w:space="0" w:color="auto"/>
        <w:left w:val="none" w:sz="0" w:space="0" w:color="auto"/>
        <w:bottom w:val="none" w:sz="0" w:space="0" w:color="auto"/>
        <w:right w:val="none" w:sz="0" w:space="0" w:color="auto"/>
      </w:divBdr>
    </w:div>
    <w:div w:id="343283121">
      <w:bodyDiv w:val="1"/>
      <w:marLeft w:val="0"/>
      <w:marRight w:val="0"/>
      <w:marTop w:val="0"/>
      <w:marBottom w:val="0"/>
      <w:divBdr>
        <w:top w:val="none" w:sz="0" w:space="0" w:color="auto"/>
        <w:left w:val="none" w:sz="0" w:space="0" w:color="auto"/>
        <w:bottom w:val="none" w:sz="0" w:space="0" w:color="auto"/>
        <w:right w:val="none" w:sz="0" w:space="0" w:color="auto"/>
      </w:divBdr>
    </w:div>
    <w:div w:id="368074433">
      <w:bodyDiv w:val="1"/>
      <w:marLeft w:val="0"/>
      <w:marRight w:val="0"/>
      <w:marTop w:val="0"/>
      <w:marBottom w:val="0"/>
      <w:divBdr>
        <w:top w:val="none" w:sz="0" w:space="0" w:color="auto"/>
        <w:left w:val="none" w:sz="0" w:space="0" w:color="auto"/>
        <w:bottom w:val="none" w:sz="0" w:space="0" w:color="auto"/>
        <w:right w:val="none" w:sz="0" w:space="0" w:color="auto"/>
      </w:divBdr>
      <w:divsChild>
        <w:div w:id="542525933">
          <w:marLeft w:val="0"/>
          <w:marRight w:val="0"/>
          <w:marTop w:val="0"/>
          <w:marBottom w:val="0"/>
          <w:divBdr>
            <w:top w:val="none" w:sz="0" w:space="0" w:color="auto"/>
            <w:left w:val="none" w:sz="0" w:space="0" w:color="auto"/>
            <w:bottom w:val="none" w:sz="0" w:space="0" w:color="auto"/>
            <w:right w:val="none" w:sz="0" w:space="0" w:color="auto"/>
          </w:divBdr>
          <w:divsChild>
            <w:div w:id="771976003">
              <w:marLeft w:val="0"/>
              <w:marRight w:val="0"/>
              <w:marTop w:val="0"/>
              <w:marBottom w:val="0"/>
              <w:divBdr>
                <w:top w:val="none" w:sz="0" w:space="0" w:color="auto"/>
                <w:left w:val="none" w:sz="0" w:space="0" w:color="auto"/>
                <w:bottom w:val="none" w:sz="0" w:space="0" w:color="auto"/>
                <w:right w:val="none" w:sz="0" w:space="0" w:color="auto"/>
              </w:divBdr>
              <w:divsChild>
                <w:div w:id="18394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1568">
      <w:bodyDiv w:val="1"/>
      <w:marLeft w:val="0"/>
      <w:marRight w:val="0"/>
      <w:marTop w:val="0"/>
      <w:marBottom w:val="0"/>
      <w:divBdr>
        <w:top w:val="none" w:sz="0" w:space="0" w:color="auto"/>
        <w:left w:val="none" w:sz="0" w:space="0" w:color="auto"/>
        <w:bottom w:val="none" w:sz="0" w:space="0" w:color="auto"/>
        <w:right w:val="none" w:sz="0" w:space="0" w:color="auto"/>
      </w:divBdr>
    </w:div>
    <w:div w:id="379937253">
      <w:bodyDiv w:val="1"/>
      <w:marLeft w:val="0"/>
      <w:marRight w:val="0"/>
      <w:marTop w:val="0"/>
      <w:marBottom w:val="0"/>
      <w:divBdr>
        <w:top w:val="none" w:sz="0" w:space="0" w:color="auto"/>
        <w:left w:val="none" w:sz="0" w:space="0" w:color="auto"/>
        <w:bottom w:val="none" w:sz="0" w:space="0" w:color="auto"/>
        <w:right w:val="none" w:sz="0" w:space="0" w:color="auto"/>
      </w:divBdr>
      <w:divsChild>
        <w:div w:id="1845362979">
          <w:marLeft w:val="0"/>
          <w:marRight w:val="0"/>
          <w:marTop w:val="0"/>
          <w:marBottom w:val="0"/>
          <w:divBdr>
            <w:top w:val="none" w:sz="0" w:space="0" w:color="auto"/>
            <w:left w:val="none" w:sz="0" w:space="0" w:color="auto"/>
            <w:bottom w:val="none" w:sz="0" w:space="0" w:color="auto"/>
            <w:right w:val="none" w:sz="0" w:space="0" w:color="auto"/>
          </w:divBdr>
          <w:divsChild>
            <w:div w:id="2106263725">
              <w:marLeft w:val="0"/>
              <w:marRight w:val="0"/>
              <w:marTop w:val="0"/>
              <w:marBottom w:val="0"/>
              <w:divBdr>
                <w:top w:val="none" w:sz="0" w:space="0" w:color="auto"/>
                <w:left w:val="none" w:sz="0" w:space="0" w:color="auto"/>
                <w:bottom w:val="none" w:sz="0" w:space="0" w:color="auto"/>
                <w:right w:val="none" w:sz="0" w:space="0" w:color="auto"/>
              </w:divBdr>
              <w:divsChild>
                <w:div w:id="13642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87917">
      <w:bodyDiv w:val="1"/>
      <w:marLeft w:val="0"/>
      <w:marRight w:val="0"/>
      <w:marTop w:val="0"/>
      <w:marBottom w:val="0"/>
      <w:divBdr>
        <w:top w:val="none" w:sz="0" w:space="0" w:color="auto"/>
        <w:left w:val="none" w:sz="0" w:space="0" w:color="auto"/>
        <w:bottom w:val="none" w:sz="0" w:space="0" w:color="auto"/>
        <w:right w:val="none" w:sz="0" w:space="0" w:color="auto"/>
      </w:divBdr>
    </w:div>
    <w:div w:id="404033042">
      <w:bodyDiv w:val="1"/>
      <w:marLeft w:val="0"/>
      <w:marRight w:val="0"/>
      <w:marTop w:val="0"/>
      <w:marBottom w:val="0"/>
      <w:divBdr>
        <w:top w:val="none" w:sz="0" w:space="0" w:color="auto"/>
        <w:left w:val="none" w:sz="0" w:space="0" w:color="auto"/>
        <w:bottom w:val="none" w:sz="0" w:space="0" w:color="auto"/>
        <w:right w:val="none" w:sz="0" w:space="0" w:color="auto"/>
      </w:divBdr>
    </w:div>
    <w:div w:id="404039206">
      <w:bodyDiv w:val="1"/>
      <w:marLeft w:val="0"/>
      <w:marRight w:val="0"/>
      <w:marTop w:val="0"/>
      <w:marBottom w:val="0"/>
      <w:divBdr>
        <w:top w:val="none" w:sz="0" w:space="0" w:color="auto"/>
        <w:left w:val="none" w:sz="0" w:space="0" w:color="auto"/>
        <w:bottom w:val="none" w:sz="0" w:space="0" w:color="auto"/>
        <w:right w:val="none" w:sz="0" w:space="0" w:color="auto"/>
      </w:divBdr>
    </w:div>
    <w:div w:id="430398480">
      <w:bodyDiv w:val="1"/>
      <w:marLeft w:val="0"/>
      <w:marRight w:val="0"/>
      <w:marTop w:val="0"/>
      <w:marBottom w:val="0"/>
      <w:divBdr>
        <w:top w:val="none" w:sz="0" w:space="0" w:color="auto"/>
        <w:left w:val="none" w:sz="0" w:space="0" w:color="auto"/>
        <w:bottom w:val="none" w:sz="0" w:space="0" w:color="auto"/>
        <w:right w:val="none" w:sz="0" w:space="0" w:color="auto"/>
      </w:divBdr>
    </w:div>
    <w:div w:id="463238647">
      <w:bodyDiv w:val="1"/>
      <w:marLeft w:val="0"/>
      <w:marRight w:val="0"/>
      <w:marTop w:val="0"/>
      <w:marBottom w:val="0"/>
      <w:divBdr>
        <w:top w:val="none" w:sz="0" w:space="0" w:color="auto"/>
        <w:left w:val="none" w:sz="0" w:space="0" w:color="auto"/>
        <w:bottom w:val="none" w:sz="0" w:space="0" w:color="auto"/>
        <w:right w:val="none" w:sz="0" w:space="0" w:color="auto"/>
      </w:divBdr>
      <w:divsChild>
        <w:div w:id="1335111414">
          <w:marLeft w:val="0"/>
          <w:marRight w:val="0"/>
          <w:marTop w:val="0"/>
          <w:marBottom w:val="0"/>
          <w:divBdr>
            <w:top w:val="none" w:sz="0" w:space="0" w:color="auto"/>
            <w:left w:val="none" w:sz="0" w:space="0" w:color="auto"/>
            <w:bottom w:val="none" w:sz="0" w:space="0" w:color="auto"/>
            <w:right w:val="none" w:sz="0" w:space="0" w:color="auto"/>
          </w:divBdr>
          <w:divsChild>
            <w:div w:id="1941252851">
              <w:marLeft w:val="0"/>
              <w:marRight w:val="0"/>
              <w:marTop w:val="0"/>
              <w:marBottom w:val="0"/>
              <w:divBdr>
                <w:top w:val="none" w:sz="0" w:space="0" w:color="auto"/>
                <w:left w:val="none" w:sz="0" w:space="0" w:color="auto"/>
                <w:bottom w:val="none" w:sz="0" w:space="0" w:color="auto"/>
                <w:right w:val="none" w:sz="0" w:space="0" w:color="auto"/>
              </w:divBdr>
              <w:divsChild>
                <w:div w:id="4908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8846">
      <w:bodyDiv w:val="1"/>
      <w:marLeft w:val="0"/>
      <w:marRight w:val="0"/>
      <w:marTop w:val="0"/>
      <w:marBottom w:val="0"/>
      <w:divBdr>
        <w:top w:val="none" w:sz="0" w:space="0" w:color="auto"/>
        <w:left w:val="none" w:sz="0" w:space="0" w:color="auto"/>
        <w:bottom w:val="none" w:sz="0" w:space="0" w:color="auto"/>
        <w:right w:val="none" w:sz="0" w:space="0" w:color="auto"/>
      </w:divBdr>
    </w:div>
    <w:div w:id="494760484">
      <w:bodyDiv w:val="1"/>
      <w:marLeft w:val="0"/>
      <w:marRight w:val="0"/>
      <w:marTop w:val="0"/>
      <w:marBottom w:val="0"/>
      <w:divBdr>
        <w:top w:val="none" w:sz="0" w:space="0" w:color="auto"/>
        <w:left w:val="none" w:sz="0" w:space="0" w:color="auto"/>
        <w:bottom w:val="none" w:sz="0" w:space="0" w:color="auto"/>
        <w:right w:val="none" w:sz="0" w:space="0" w:color="auto"/>
      </w:divBdr>
      <w:divsChild>
        <w:div w:id="739331151">
          <w:marLeft w:val="0"/>
          <w:marRight w:val="0"/>
          <w:marTop w:val="0"/>
          <w:marBottom w:val="0"/>
          <w:divBdr>
            <w:top w:val="none" w:sz="0" w:space="0" w:color="auto"/>
            <w:left w:val="none" w:sz="0" w:space="0" w:color="auto"/>
            <w:bottom w:val="none" w:sz="0" w:space="0" w:color="auto"/>
            <w:right w:val="none" w:sz="0" w:space="0" w:color="auto"/>
          </w:divBdr>
          <w:divsChild>
            <w:div w:id="249118782">
              <w:marLeft w:val="0"/>
              <w:marRight w:val="0"/>
              <w:marTop w:val="0"/>
              <w:marBottom w:val="0"/>
              <w:divBdr>
                <w:top w:val="none" w:sz="0" w:space="0" w:color="auto"/>
                <w:left w:val="none" w:sz="0" w:space="0" w:color="auto"/>
                <w:bottom w:val="none" w:sz="0" w:space="0" w:color="auto"/>
                <w:right w:val="none" w:sz="0" w:space="0" w:color="auto"/>
              </w:divBdr>
              <w:divsChild>
                <w:div w:id="6460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595520">
      <w:bodyDiv w:val="1"/>
      <w:marLeft w:val="0"/>
      <w:marRight w:val="0"/>
      <w:marTop w:val="0"/>
      <w:marBottom w:val="0"/>
      <w:divBdr>
        <w:top w:val="none" w:sz="0" w:space="0" w:color="auto"/>
        <w:left w:val="none" w:sz="0" w:space="0" w:color="auto"/>
        <w:bottom w:val="none" w:sz="0" w:space="0" w:color="auto"/>
        <w:right w:val="none" w:sz="0" w:space="0" w:color="auto"/>
      </w:divBdr>
    </w:div>
    <w:div w:id="510026199">
      <w:bodyDiv w:val="1"/>
      <w:marLeft w:val="0"/>
      <w:marRight w:val="0"/>
      <w:marTop w:val="0"/>
      <w:marBottom w:val="0"/>
      <w:divBdr>
        <w:top w:val="none" w:sz="0" w:space="0" w:color="auto"/>
        <w:left w:val="none" w:sz="0" w:space="0" w:color="auto"/>
        <w:bottom w:val="none" w:sz="0" w:space="0" w:color="auto"/>
        <w:right w:val="none" w:sz="0" w:space="0" w:color="auto"/>
      </w:divBdr>
      <w:divsChild>
        <w:div w:id="698167353">
          <w:marLeft w:val="0"/>
          <w:marRight w:val="0"/>
          <w:marTop w:val="0"/>
          <w:marBottom w:val="0"/>
          <w:divBdr>
            <w:top w:val="none" w:sz="0" w:space="0" w:color="auto"/>
            <w:left w:val="none" w:sz="0" w:space="0" w:color="auto"/>
            <w:bottom w:val="none" w:sz="0" w:space="0" w:color="auto"/>
            <w:right w:val="none" w:sz="0" w:space="0" w:color="auto"/>
          </w:divBdr>
          <w:divsChild>
            <w:div w:id="753816266">
              <w:marLeft w:val="0"/>
              <w:marRight w:val="0"/>
              <w:marTop w:val="0"/>
              <w:marBottom w:val="0"/>
              <w:divBdr>
                <w:top w:val="none" w:sz="0" w:space="0" w:color="auto"/>
                <w:left w:val="none" w:sz="0" w:space="0" w:color="auto"/>
                <w:bottom w:val="none" w:sz="0" w:space="0" w:color="auto"/>
                <w:right w:val="none" w:sz="0" w:space="0" w:color="auto"/>
              </w:divBdr>
              <w:divsChild>
                <w:div w:id="395445363">
                  <w:marLeft w:val="0"/>
                  <w:marRight w:val="0"/>
                  <w:marTop w:val="0"/>
                  <w:marBottom w:val="0"/>
                  <w:divBdr>
                    <w:top w:val="none" w:sz="0" w:space="0" w:color="auto"/>
                    <w:left w:val="none" w:sz="0" w:space="0" w:color="auto"/>
                    <w:bottom w:val="none" w:sz="0" w:space="0" w:color="auto"/>
                    <w:right w:val="none" w:sz="0" w:space="0" w:color="auto"/>
                  </w:divBdr>
                  <w:divsChild>
                    <w:div w:id="33707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26494">
          <w:marLeft w:val="0"/>
          <w:marRight w:val="0"/>
          <w:marTop w:val="0"/>
          <w:marBottom w:val="0"/>
          <w:divBdr>
            <w:top w:val="none" w:sz="0" w:space="0" w:color="auto"/>
            <w:left w:val="none" w:sz="0" w:space="0" w:color="auto"/>
            <w:bottom w:val="none" w:sz="0" w:space="0" w:color="auto"/>
            <w:right w:val="none" w:sz="0" w:space="0" w:color="auto"/>
          </w:divBdr>
          <w:divsChild>
            <w:div w:id="1253514094">
              <w:marLeft w:val="0"/>
              <w:marRight w:val="0"/>
              <w:marTop w:val="0"/>
              <w:marBottom w:val="0"/>
              <w:divBdr>
                <w:top w:val="none" w:sz="0" w:space="0" w:color="auto"/>
                <w:left w:val="none" w:sz="0" w:space="0" w:color="auto"/>
                <w:bottom w:val="none" w:sz="0" w:space="0" w:color="auto"/>
                <w:right w:val="none" w:sz="0" w:space="0" w:color="auto"/>
              </w:divBdr>
              <w:divsChild>
                <w:div w:id="843134601">
                  <w:marLeft w:val="0"/>
                  <w:marRight w:val="0"/>
                  <w:marTop w:val="0"/>
                  <w:marBottom w:val="0"/>
                  <w:divBdr>
                    <w:top w:val="none" w:sz="0" w:space="0" w:color="auto"/>
                    <w:left w:val="none" w:sz="0" w:space="0" w:color="auto"/>
                    <w:bottom w:val="none" w:sz="0" w:space="0" w:color="auto"/>
                    <w:right w:val="none" w:sz="0" w:space="0" w:color="auto"/>
                  </w:divBdr>
                  <w:divsChild>
                    <w:div w:id="1816943597">
                      <w:marLeft w:val="0"/>
                      <w:marRight w:val="0"/>
                      <w:marTop w:val="0"/>
                      <w:marBottom w:val="0"/>
                      <w:divBdr>
                        <w:top w:val="none" w:sz="0" w:space="0" w:color="auto"/>
                        <w:left w:val="none" w:sz="0" w:space="0" w:color="auto"/>
                        <w:bottom w:val="none" w:sz="0" w:space="0" w:color="auto"/>
                        <w:right w:val="none" w:sz="0" w:space="0" w:color="auto"/>
                      </w:divBdr>
                      <w:divsChild>
                        <w:div w:id="1108697655">
                          <w:marLeft w:val="0"/>
                          <w:marRight w:val="0"/>
                          <w:marTop w:val="0"/>
                          <w:marBottom w:val="0"/>
                          <w:divBdr>
                            <w:top w:val="none" w:sz="0" w:space="0" w:color="auto"/>
                            <w:left w:val="none" w:sz="0" w:space="0" w:color="auto"/>
                            <w:bottom w:val="none" w:sz="0" w:space="0" w:color="auto"/>
                            <w:right w:val="none" w:sz="0" w:space="0" w:color="auto"/>
                          </w:divBdr>
                          <w:divsChild>
                            <w:div w:id="5877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642186">
          <w:marLeft w:val="0"/>
          <w:marRight w:val="0"/>
          <w:marTop w:val="0"/>
          <w:marBottom w:val="0"/>
          <w:divBdr>
            <w:top w:val="none" w:sz="0" w:space="0" w:color="auto"/>
            <w:left w:val="none" w:sz="0" w:space="0" w:color="auto"/>
            <w:bottom w:val="none" w:sz="0" w:space="0" w:color="auto"/>
            <w:right w:val="none" w:sz="0" w:space="0" w:color="auto"/>
          </w:divBdr>
          <w:divsChild>
            <w:div w:id="579564642">
              <w:marLeft w:val="0"/>
              <w:marRight w:val="0"/>
              <w:marTop w:val="0"/>
              <w:marBottom w:val="0"/>
              <w:divBdr>
                <w:top w:val="none" w:sz="0" w:space="0" w:color="auto"/>
                <w:left w:val="none" w:sz="0" w:space="0" w:color="auto"/>
                <w:bottom w:val="none" w:sz="0" w:space="0" w:color="auto"/>
                <w:right w:val="none" w:sz="0" w:space="0" w:color="auto"/>
              </w:divBdr>
              <w:divsChild>
                <w:div w:id="9443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78906">
      <w:bodyDiv w:val="1"/>
      <w:marLeft w:val="0"/>
      <w:marRight w:val="0"/>
      <w:marTop w:val="0"/>
      <w:marBottom w:val="0"/>
      <w:divBdr>
        <w:top w:val="none" w:sz="0" w:space="0" w:color="auto"/>
        <w:left w:val="none" w:sz="0" w:space="0" w:color="auto"/>
        <w:bottom w:val="none" w:sz="0" w:space="0" w:color="auto"/>
        <w:right w:val="none" w:sz="0" w:space="0" w:color="auto"/>
      </w:divBdr>
    </w:div>
    <w:div w:id="593516645">
      <w:bodyDiv w:val="1"/>
      <w:marLeft w:val="0"/>
      <w:marRight w:val="0"/>
      <w:marTop w:val="0"/>
      <w:marBottom w:val="0"/>
      <w:divBdr>
        <w:top w:val="none" w:sz="0" w:space="0" w:color="auto"/>
        <w:left w:val="none" w:sz="0" w:space="0" w:color="auto"/>
        <w:bottom w:val="none" w:sz="0" w:space="0" w:color="auto"/>
        <w:right w:val="none" w:sz="0" w:space="0" w:color="auto"/>
      </w:divBdr>
    </w:div>
    <w:div w:id="595947643">
      <w:bodyDiv w:val="1"/>
      <w:marLeft w:val="0"/>
      <w:marRight w:val="0"/>
      <w:marTop w:val="0"/>
      <w:marBottom w:val="0"/>
      <w:divBdr>
        <w:top w:val="none" w:sz="0" w:space="0" w:color="auto"/>
        <w:left w:val="none" w:sz="0" w:space="0" w:color="auto"/>
        <w:bottom w:val="none" w:sz="0" w:space="0" w:color="auto"/>
        <w:right w:val="none" w:sz="0" w:space="0" w:color="auto"/>
      </w:divBdr>
    </w:div>
    <w:div w:id="601230101">
      <w:bodyDiv w:val="1"/>
      <w:marLeft w:val="0"/>
      <w:marRight w:val="0"/>
      <w:marTop w:val="0"/>
      <w:marBottom w:val="0"/>
      <w:divBdr>
        <w:top w:val="none" w:sz="0" w:space="0" w:color="auto"/>
        <w:left w:val="none" w:sz="0" w:space="0" w:color="auto"/>
        <w:bottom w:val="none" w:sz="0" w:space="0" w:color="auto"/>
        <w:right w:val="none" w:sz="0" w:space="0" w:color="auto"/>
      </w:divBdr>
      <w:divsChild>
        <w:div w:id="1575160600">
          <w:marLeft w:val="0"/>
          <w:marRight w:val="0"/>
          <w:marTop w:val="0"/>
          <w:marBottom w:val="0"/>
          <w:divBdr>
            <w:top w:val="none" w:sz="0" w:space="0" w:color="auto"/>
            <w:left w:val="none" w:sz="0" w:space="0" w:color="auto"/>
            <w:bottom w:val="none" w:sz="0" w:space="0" w:color="auto"/>
            <w:right w:val="none" w:sz="0" w:space="0" w:color="auto"/>
          </w:divBdr>
          <w:divsChild>
            <w:div w:id="1501382423">
              <w:marLeft w:val="0"/>
              <w:marRight w:val="0"/>
              <w:marTop w:val="0"/>
              <w:marBottom w:val="0"/>
              <w:divBdr>
                <w:top w:val="none" w:sz="0" w:space="0" w:color="auto"/>
                <w:left w:val="none" w:sz="0" w:space="0" w:color="auto"/>
                <w:bottom w:val="none" w:sz="0" w:space="0" w:color="auto"/>
                <w:right w:val="none" w:sz="0" w:space="0" w:color="auto"/>
              </w:divBdr>
              <w:divsChild>
                <w:div w:id="28149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44616">
      <w:bodyDiv w:val="1"/>
      <w:marLeft w:val="0"/>
      <w:marRight w:val="0"/>
      <w:marTop w:val="0"/>
      <w:marBottom w:val="0"/>
      <w:divBdr>
        <w:top w:val="none" w:sz="0" w:space="0" w:color="auto"/>
        <w:left w:val="none" w:sz="0" w:space="0" w:color="auto"/>
        <w:bottom w:val="none" w:sz="0" w:space="0" w:color="auto"/>
        <w:right w:val="none" w:sz="0" w:space="0" w:color="auto"/>
      </w:divBdr>
    </w:div>
    <w:div w:id="636032603">
      <w:bodyDiv w:val="1"/>
      <w:marLeft w:val="0"/>
      <w:marRight w:val="0"/>
      <w:marTop w:val="0"/>
      <w:marBottom w:val="0"/>
      <w:divBdr>
        <w:top w:val="none" w:sz="0" w:space="0" w:color="auto"/>
        <w:left w:val="none" w:sz="0" w:space="0" w:color="auto"/>
        <w:bottom w:val="none" w:sz="0" w:space="0" w:color="auto"/>
        <w:right w:val="none" w:sz="0" w:space="0" w:color="auto"/>
      </w:divBdr>
    </w:div>
    <w:div w:id="644432890">
      <w:bodyDiv w:val="1"/>
      <w:marLeft w:val="0"/>
      <w:marRight w:val="0"/>
      <w:marTop w:val="0"/>
      <w:marBottom w:val="0"/>
      <w:divBdr>
        <w:top w:val="none" w:sz="0" w:space="0" w:color="auto"/>
        <w:left w:val="none" w:sz="0" w:space="0" w:color="auto"/>
        <w:bottom w:val="none" w:sz="0" w:space="0" w:color="auto"/>
        <w:right w:val="none" w:sz="0" w:space="0" w:color="auto"/>
      </w:divBdr>
    </w:div>
    <w:div w:id="651371887">
      <w:bodyDiv w:val="1"/>
      <w:marLeft w:val="0"/>
      <w:marRight w:val="0"/>
      <w:marTop w:val="0"/>
      <w:marBottom w:val="0"/>
      <w:divBdr>
        <w:top w:val="none" w:sz="0" w:space="0" w:color="auto"/>
        <w:left w:val="none" w:sz="0" w:space="0" w:color="auto"/>
        <w:bottom w:val="none" w:sz="0" w:space="0" w:color="auto"/>
        <w:right w:val="none" w:sz="0" w:space="0" w:color="auto"/>
      </w:divBdr>
      <w:divsChild>
        <w:div w:id="1168908718">
          <w:marLeft w:val="0"/>
          <w:marRight w:val="0"/>
          <w:marTop w:val="0"/>
          <w:marBottom w:val="0"/>
          <w:divBdr>
            <w:top w:val="none" w:sz="0" w:space="0" w:color="auto"/>
            <w:left w:val="none" w:sz="0" w:space="0" w:color="auto"/>
            <w:bottom w:val="none" w:sz="0" w:space="0" w:color="auto"/>
            <w:right w:val="none" w:sz="0" w:space="0" w:color="auto"/>
          </w:divBdr>
          <w:divsChild>
            <w:div w:id="1145775115">
              <w:marLeft w:val="0"/>
              <w:marRight w:val="0"/>
              <w:marTop w:val="0"/>
              <w:marBottom w:val="0"/>
              <w:divBdr>
                <w:top w:val="none" w:sz="0" w:space="0" w:color="auto"/>
                <w:left w:val="none" w:sz="0" w:space="0" w:color="auto"/>
                <w:bottom w:val="none" w:sz="0" w:space="0" w:color="auto"/>
                <w:right w:val="none" w:sz="0" w:space="0" w:color="auto"/>
              </w:divBdr>
              <w:divsChild>
                <w:div w:id="93036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8660">
      <w:bodyDiv w:val="1"/>
      <w:marLeft w:val="0"/>
      <w:marRight w:val="0"/>
      <w:marTop w:val="0"/>
      <w:marBottom w:val="0"/>
      <w:divBdr>
        <w:top w:val="none" w:sz="0" w:space="0" w:color="auto"/>
        <w:left w:val="none" w:sz="0" w:space="0" w:color="auto"/>
        <w:bottom w:val="none" w:sz="0" w:space="0" w:color="auto"/>
        <w:right w:val="none" w:sz="0" w:space="0" w:color="auto"/>
      </w:divBdr>
    </w:div>
    <w:div w:id="660739555">
      <w:bodyDiv w:val="1"/>
      <w:marLeft w:val="0"/>
      <w:marRight w:val="0"/>
      <w:marTop w:val="0"/>
      <w:marBottom w:val="0"/>
      <w:divBdr>
        <w:top w:val="none" w:sz="0" w:space="0" w:color="auto"/>
        <w:left w:val="none" w:sz="0" w:space="0" w:color="auto"/>
        <w:bottom w:val="none" w:sz="0" w:space="0" w:color="auto"/>
        <w:right w:val="none" w:sz="0" w:space="0" w:color="auto"/>
      </w:divBdr>
      <w:divsChild>
        <w:div w:id="1525050226">
          <w:marLeft w:val="0"/>
          <w:marRight w:val="0"/>
          <w:marTop w:val="0"/>
          <w:marBottom w:val="0"/>
          <w:divBdr>
            <w:top w:val="none" w:sz="0" w:space="0" w:color="auto"/>
            <w:left w:val="none" w:sz="0" w:space="0" w:color="auto"/>
            <w:bottom w:val="none" w:sz="0" w:space="0" w:color="auto"/>
            <w:right w:val="none" w:sz="0" w:space="0" w:color="auto"/>
          </w:divBdr>
          <w:divsChild>
            <w:div w:id="1170827687">
              <w:marLeft w:val="0"/>
              <w:marRight w:val="0"/>
              <w:marTop w:val="0"/>
              <w:marBottom w:val="0"/>
              <w:divBdr>
                <w:top w:val="none" w:sz="0" w:space="0" w:color="auto"/>
                <w:left w:val="none" w:sz="0" w:space="0" w:color="auto"/>
                <w:bottom w:val="none" w:sz="0" w:space="0" w:color="auto"/>
                <w:right w:val="none" w:sz="0" w:space="0" w:color="auto"/>
              </w:divBdr>
              <w:divsChild>
                <w:div w:id="944967359">
                  <w:marLeft w:val="0"/>
                  <w:marRight w:val="0"/>
                  <w:marTop w:val="0"/>
                  <w:marBottom w:val="0"/>
                  <w:divBdr>
                    <w:top w:val="none" w:sz="0" w:space="0" w:color="auto"/>
                    <w:left w:val="none" w:sz="0" w:space="0" w:color="auto"/>
                    <w:bottom w:val="none" w:sz="0" w:space="0" w:color="auto"/>
                    <w:right w:val="none" w:sz="0" w:space="0" w:color="auto"/>
                  </w:divBdr>
                  <w:divsChild>
                    <w:div w:id="494996275">
                      <w:marLeft w:val="0"/>
                      <w:marRight w:val="0"/>
                      <w:marTop w:val="0"/>
                      <w:marBottom w:val="0"/>
                      <w:divBdr>
                        <w:top w:val="none" w:sz="0" w:space="0" w:color="auto"/>
                        <w:left w:val="none" w:sz="0" w:space="0" w:color="auto"/>
                        <w:bottom w:val="none" w:sz="0" w:space="0" w:color="auto"/>
                        <w:right w:val="none" w:sz="0" w:space="0" w:color="auto"/>
                      </w:divBdr>
                      <w:divsChild>
                        <w:div w:id="36397617">
                          <w:marLeft w:val="0"/>
                          <w:marRight w:val="0"/>
                          <w:marTop w:val="0"/>
                          <w:marBottom w:val="0"/>
                          <w:divBdr>
                            <w:top w:val="none" w:sz="0" w:space="0" w:color="auto"/>
                            <w:left w:val="none" w:sz="0" w:space="0" w:color="auto"/>
                            <w:bottom w:val="none" w:sz="0" w:space="0" w:color="auto"/>
                            <w:right w:val="none" w:sz="0" w:space="0" w:color="auto"/>
                          </w:divBdr>
                          <w:divsChild>
                            <w:div w:id="3356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8231">
          <w:marLeft w:val="0"/>
          <w:marRight w:val="0"/>
          <w:marTop w:val="0"/>
          <w:marBottom w:val="0"/>
          <w:divBdr>
            <w:top w:val="none" w:sz="0" w:space="0" w:color="auto"/>
            <w:left w:val="none" w:sz="0" w:space="0" w:color="auto"/>
            <w:bottom w:val="none" w:sz="0" w:space="0" w:color="auto"/>
            <w:right w:val="none" w:sz="0" w:space="0" w:color="auto"/>
          </w:divBdr>
          <w:divsChild>
            <w:div w:id="984040929">
              <w:marLeft w:val="0"/>
              <w:marRight w:val="0"/>
              <w:marTop w:val="0"/>
              <w:marBottom w:val="0"/>
              <w:divBdr>
                <w:top w:val="none" w:sz="0" w:space="0" w:color="auto"/>
                <w:left w:val="none" w:sz="0" w:space="0" w:color="auto"/>
                <w:bottom w:val="none" w:sz="0" w:space="0" w:color="auto"/>
                <w:right w:val="none" w:sz="0" w:space="0" w:color="auto"/>
              </w:divBdr>
              <w:divsChild>
                <w:div w:id="34566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6540">
          <w:marLeft w:val="0"/>
          <w:marRight w:val="0"/>
          <w:marTop w:val="0"/>
          <w:marBottom w:val="0"/>
          <w:divBdr>
            <w:top w:val="none" w:sz="0" w:space="0" w:color="auto"/>
            <w:left w:val="none" w:sz="0" w:space="0" w:color="auto"/>
            <w:bottom w:val="none" w:sz="0" w:space="0" w:color="auto"/>
            <w:right w:val="none" w:sz="0" w:space="0" w:color="auto"/>
          </w:divBdr>
          <w:divsChild>
            <w:div w:id="1493836725">
              <w:marLeft w:val="0"/>
              <w:marRight w:val="0"/>
              <w:marTop w:val="0"/>
              <w:marBottom w:val="0"/>
              <w:divBdr>
                <w:top w:val="none" w:sz="0" w:space="0" w:color="auto"/>
                <w:left w:val="none" w:sz="0" w:space="0" w:color="auto"/>
                <w:bottom w:val="none" w:sz="0" w:space="0" w:color="auto"/>
                <w:right w:val="none" w:sz="0" w:space="0" w:color="auto"/>
              </w:divBdr>
              <w:divsChild>
                <w:div w:id="2146461515">
                  <w:marLeft w:val="0"/>
                  <w:marRight w:val="0"/>
                  <w:marTop w:val="0"/>
                  <w:marBottom w:val="0"/>
                  <w:divBdr>
                    <w:top w:val="none" w:sz="0" w:space="0" w:color="auto"/>
                    <w:left w:val="none" w:sz="0" w:space="0" w:color="auto"/>
                    <w:bottom w:val="none" w:sz="0" w:space="0" w:color="auto"/>
                    <w:right w:val="none" w:sz="0" w:space="0" w:color="auto"/>
                  </w:divBdr>
                  <w:divsChild>
                    <w:div w:id="15553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318543">
      <w:bodyDiv w:val="1"/>
      <w:marLeft w:val="0"/>
      <w:marRight w:val="0"/>
      <w:marTop w:val="0"/>
      <w:marBottom w:val="0"/>
      <w:divBdr>
        <w:top w:val="none" w:sz="0" w:space="0" w:color="auto"/>
        <w:left w:val="none" w:sz="0" w:space="0" w:color="auto"/>
        <w:bottom w:val="none" w:sz="0" w:space="0" w:color="auto"/>
        <w:right w:val="none" w:sz="0" w:space="0" w:color="auto"/>
      </w:divBdr>
    </w:div>
    <w:div w:id="688874209">
      <w:bodyDiv w:val="1"/>
      <w:marLeft w:val="0"/>
      <w:marRight w:val="0"/>
      <w:marTop w:val="0"/>
      <w:marBottom w:val="0"/>
      <w:divBdr>
        <w:top w:val="none" w:sz="0" w:space="0" w:color="auto"/>
        <w:left w:val="none" w:sz="0" w:space="0" w:color="auto"/>
        <w:bottom w:val="none" w:sz="0" w:space="0" w:color="auto"/>
        <w:right w:val="none" w:sz="0" w:space="0" w:color="auto"/>
      </w:divBdr>
    </w:div>
    <w:div w:id="699546439">
      <w:bodyDiv w:val="1"/>
      <w:marLeft w:val="0"/>
      <w:marRight w:val="0"/>
      <w:marTop w:val="0"/>
      <w:marBottom w:val="0"/>
      <w:divBdr>
        <w:top w:val="none" w:sz="0" w:space="0" w:color="auto"/>
        <w:left w:val="none" w:sz="0" w:space="0" w:color="auto"/>
        <w:bottom w:val="none" w:sz="0" w:space="0" w:color="auto"/>
        <w:right w:val="none" w:sz="0" w:space="0" w:color="auto"/>
      </w:divBdr>
      <w:divsChild>
        <w:div w:id="231234524">
          <w:marLeft w:val="0"/>
          <w:marRight w:val="0"/>
          <w:marTop w:val="0"/>
          <w:marBottom w:val="0"/>
          <w:divBdr>
            <w:top w:val="none" w:sz="0" w:space="0" w:color="auto"/>
            <w:left w:val="none" w:sz="0" w:space="0" w:color="auto"/>
            <w:bottom w:val="none" w:sz="0" w:space="0" w:color="auto"/>
            <w:right w:val="none" w:sz="0" w:space="0" w:color="auto"/>
          </w:divBdr>
          <w:divsChild>
            <w:div w:id="1395278182">
              <w:marLeft w:val="0"/>
              <w:marRight w:val="0"/>
              <w:marTop w:val="0"/>
              <w:marBottom w:val="0"/>
              <w:divBdr>
                <w:top w:val="none" w:sz="0" w:space="0" w:color="auto"/>
                <w:left w:val="none" w:sz="0" w:space="0" w:color="auto"/>
                <w:bottom w:val="none" w:sz="0" w:space="0" w:color="auto"/>
                <w:right w:val="none" w:sz="0" w:space="0" w:color="auto"/>
              </w:divBdr>
              <w:divsChild>
                <w:div w:id="3482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9406">
      <w:bodyDiv w:val="1"/>
      <w:marLeft w:val="0"/>
      <w:marRight w:val="0"/>
      <w:marTop w:val="0"/>
      <w:marBottom w:val="0"/>
      <w:divBdr>
        <w:top w:val="none" w:sz="0" w:space="0" w:color="auto"/>
        <w:left w:val="none" w:sz="0" w:space="0" w:color="auto"/>
        <w:bottom w:val="none" w:sz="0" w:space="0" w:color="auto"/>
        <w:right w:val="none" w:sz="0" w:space="0" w:color="auto"/>
      </w:divBdr>
    </w:div>
    <w:div w:id="700281271">
      <w:bodyDiv w:val="1"/>
      <w:marLeft w:val="0"/>
      <w:marRight w:val="0"/>
      <w:marTop w:val="0"/>
      <w:marBottom w:val="0"/>
      <w:divBdr>
        <w:top w:val="none" w:sz="0" w:space="0" w:color="auto"/>
        <w:left w:val="none" w:sz="0" w:space="0" w:color="auto"/>
        <w:bottom w:val="none" w:sz="0" w:space="0" w:color="auto"/>
        <w:right w:val="none" w:sz="0" w:space="0" w:color="auto"/>
      </w:divBdr>
      <w:divsChild>
        <w:div w:id="1016422721">
          <w:marLeft w:val="0"/>
          <w:marRight w:val="0"/>
          <w:marTop w:val="0"/>
          <w:marBottom w:val="0"/>
          <w:divBdr>
            <w:top w:val="none" w:sz="0" w:space="0" w:color="auto"/>
            <w:left w:val="none" w:sz="0" w:space="0" w:color="auto"/>
            <w:bottom w:val="none" w:sz="0" w:space="0" w:color="auto"/>
            <w:right w:val="none" w:sz="0" w:space="0" w:color="auto"/>
          </w:divBdr>
          <w:divsChild>
            <w:div w:id="1665543666">
              <w:marLeft w:val="0"/>
              <w:marRight w:val="0"/>
              <w:marTop w:val="0"/>
              <w:marBottom w:val="0"/>
              <w:divBdr>
                <w:top w:val="none" w:sz="0" w:space="0" w:color="auto"/>
                <w:left w:val="none" w:sz="0" w:space="0" w:color="auto"/>
                <w:bottom w:val="none" w:sz="0" w:space="0" w:color="auto"/>
                <w:right w:val="none" w:sz="0" w:space="0" w:color="auto"/>
              </w:divBdr>
              <w:divsChild>
                <w:div w:id="198438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86010">
      <w:bodyDiv w:val="1"/>
      <w:marLeft w:val="0"/>
      <w:marRight w:val="0"/>
      <w:marTop w:val="0"/>
      <w:marBottom w:val="0"/>
      <w:divBdr>
        <w:top w:val="none" w:sz="0" w:space="0" w:color="auto"/>
        <w:left w:val="none" w:sz="0" w:space="0" w:color="auto"/>
        <w:bottom w:val="none" w:sz="0" w:space="0" w:color="auto"/>
        <w:right w:val="none" w:sz="0" w:space="0" w:color="auto"/>
      </w:divBdr>
      <w:divsChild>
        <w:div w:id="1213889169">
          <w:marLeft w:val="0"/>
          <w:marRight w:val="0"/>
          <w:marTop w:val="0"/>
          <w:marBottom w:val="0"/>
          <w:divBdr>
            <w:top w:val="none" w:sz="0" w:space="0" w:color="auto"/>
            <w:left w:val="none" w:sz="0" w:space="0" w:color="auto"/>
            <w:bottom w:val="none" w:sz="0" w:space="0" w:color="auto"/>
            <w:right w:val="none" w:sz="0" w:space="0" w:color="auto"/>
          </w:divBdr>
          <w:divsChild>
            <w:div w:id="1224557978">
              <w:marLeft w:val="0"/>
              <w:marRight w:val="0"/>
              <w:marTop w:val="0"/>
              <w:marBottom w:val="0"/>
              <w:divBdr>
                <w:top w:val="none" w:sz="0" w:space="0" w:color="auto"/>
                <w:left w:val="none" w:sz="0" w:space="0" w:color="auto"/>
                <w:bottom w:val="none" w:sz="0" w:space="0" w:color="auto"/>
                <w:right w:val="none" w:sz="0" w:space="0" w:color="auto"/>
              </w:divBdr>
              <w:divsChild>
                <w:div w:id="63433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3653">
      <w:bodyDiv w:val="1"/>
      <w:marLeft w:val="0"/>
      <w:marRight w:val="0"/>
      <w:marTop w:val="0"/>
      <w:marBottom w:val="0"/>
      <w:divBdr>
        <w:top w:val="none" w:sz="0" w:space="0" w:color="auto"/>
        <w:left w:val="none" w:sz="0" w:space="0" w:color="auto"/>
        <w:bottom w:val="none" w:sz="0" w:space="0" w:color="auto"/>
        <w:right w:val="none" w:sz="0" w:space="0" w:color="auto"/>
      </w:divBdr>
    </w:div>
    <w:div w:id="722287153">
      <w:bodyDiv w:val="1"/>
      <w:marLeft w:val="0"/>
      <w:marRight w:val="0"/>
      <w:marTop w:val="0"/>
      <w:marBottom w:val="0"/>
      <w:divBdr>
        <w:top w:val="none" w:sz="0" w:space="0" w:color="auto"/>
        <w:left w:val="none" w:sz="0" w:space="0" w:color="auto"/>
        <w:bottom w:val="none" w:sz="0" w:space="0" w:color="auto"/>
        <w:right w:val="none" w:sz="0" w:space="0" w:color="auto"/>
      </w:divBdr>
    </w:div>
    <w:div w:id="727610617">
      <w:bodyDiv w:val="1"/>
      <w:marLeft w:val="0"/>
      <w:marRight w:val="0"/>
      <w:marTop w:val="0"/>
      <w:marBottom w:val="0"/>
      <w:divBdr>
        <w:top w:val="none" w:sz="0" w:space="0" w:color="auto"/>
        <w:left w:val="none" w:sz="0" w:space="0" w:color="auto"/>
        <w:bottom w:val="none" w:sz="0" w:space="0" w:color="auto"/>
        <w:right w:val="none" w:sz="0" w:space="0" w:color="auto"/>
      </w:divBdr>
      <w:divsChild>
        <w:div w:id="1685747535">
          <w:marLeft w:val="0"/>
          <w:marRight w:val="0"/>
          <w:marTop w:val="0"/>
          <w:marBottom w:val="0"/>
          <w:divBdr>
            <w:top w:val="none" w:sz="0" w:space="0" w:color="auto"/>
            <w:left w:val="none" w:sz="0" w:space="0" w:color="auto"/>
            <w:bottom w:val="none" w:sz="0" w:space="0" w:color="auto"/>
            <w:right w:val="none" w:sz="0" w:space="0" w:color="auto"/>
          </w:divBdr>
          <w:divsChild>
            <w:div w:id="627664972">
              <w:marLeft w:val="0"/>
              <w:marRight w:val="0"/>
              <w:marTop w:val="0"/>
              <w:marBottom w:val="0"/>
              <w:divBdr>
                <w:top w:val="none" w:sz="0" w:space="0" w:color="auto"/>
                <w:left w:val="none" w:sz="0" w:space="0" w:color="auto"/>
                <w:bottom w:val="none" w:sz="0" w:space="0" w:color="auto"/>
                <w:right w:val="none" w:sz="0" w:space="0" w:color="auto"/>
              </w:divBdr>
              <w:divsChild>
                <w:div w:id="20593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8340">
      <w:bodyDiv w:val="1"/>
      <w:marLeft w:val="0"/>
      <w:marRight w:val="0"/>
      <w:marTop w:val="0"/>
      <w:marBottom w:val="0"/>
      <w:divBdr>
        <w:top w:val="none" w:sz="0" w:space="0" w:color="auto"/>
        <w:left w:val="none" w:sz="0" w:space="0" w:color="auto"/>
        <w:bottom w:val="none" w:sz="0" w:space="0" w:color="auto"/>
        <w:right w:val="none" w:sz="0" w:space="0" w:color="auto"/>
      </w:divBdr>
    </w:div>
    <w:div w:id="800537175">
      <w:bodyDiv w:val="1"/>
      <w:marLeft w:val="0"/>
      <w:marRight w:val="0"/>
      <w:marTop w:val="0"/>
      <w:marBottom w:val="0"/>
      <w:divBdr>
        <w:top w:val="none" w:sz="0" w:space="0" w:color="auto"/>
        <w:left w:val="none" w:sz="0" w:space="0" w:color="auto"/>
        <w:bottom w:val="none" w:sz="0" w:space="0" w:color="auto"/>
        <w:right w:val="none" w:sz="0" w:space="0" w:color="auto"/>
      </w:divBdr>
      <w:divsChild>
        <w:div w:id="420220440">
          <w:marLeft w:val="0"/>
          <w:marRight w:val="0"/>
          <w:marTop w:val="0"/>
          <w:marBottom w:val="0"/>
          <w:divBdr>
            <w:top w:val="none" w:sz="0" w:space="0" w:color="auto"/>
            <w:left w:val="none" w:sz="0" w:space="0" w:color="auto"/>
            <w:bottom w:val="none" w:sz="0" w:space="0" w:color="auto"/>
            <w:right w:val="none" w:sz="0" w:space="0" w:color="auto"/>
          </w:divBdr>
          <w:divsChild>
            <w:div w:id="1512529410">
              <w:marLeft w:val="0"/>
              <w:marRight w:val="0"/>
              <w:marTop w:val="0"/>
              <w:marBottom w:val="0"/>
              <w:divBdr>
                <w:top w:val="none" w:sz="0" w:space="0" w:color="auto"/>
                <w:left w:val="none" w:sz="0" w:space="0" w:color="auto"/>
                <w:bottom w:val="none" w:sz="0" w:space="0" w:color="auto"/>
                <w:right w:val="none" w:sz="0" w:space="0" w:color="auto"/>
              </w:divBdr>
              <w:divsChild>
                <w:div w:id="17156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21489">
      <w:bodyDiv w:val="1"/>
      <w:marLeft w:val="0"/>
      <w:marRight w:val="0"/>
      <w:marTop w:val="0"/>
      <w:marBottom w:val="0"/>
      <w:divBdr>
        <w:top w:val="none" w:sz="0" w:space="0" w:color="auto"/>
        <w:left w:val="none" w:sz="0" w:space="0" w:color="auto"/>
        <w:bottom w:val="none" w:sz="0" w:space="0" w:color="auto"/>
        <w:right w:val="none" w:sz="0" w:space="0" w:color="auto"/>
      </w:divBdr>
      <w:divsChild>
        <w:div w:id="1473212455">
          <w:marLeft w:val="0"/>
          <w:marRight w:val="0"/>
          <w:marTop w:val="0"/>
          <w:marBottom w:val="0"/>
          <w:divBdr>
            <w:top w:val="none" w:sz="0" w:space="0" w:color="auto"/>
            <w:left w:val="none" w:sz="0" w:space="0" w:color="auto"/>
            <w:bottom w:val="none" w:sz="0" w:space="0" w:color="auto"/>
            <w:right w:val="none" w:sz="0" w:space="0" w:color="auto"/>
          </w:divBdr>
          <w:divsChild>
            <w:div w:id="1367293081">
              <w:marLeft w:val="0"/>
              <w:marRight w:val="0"/>
              <w:marTop w:val="0"/>
              <w:marBottom w:val="0"/>
              <w:divBdr>
                <w:top w:val="none" w:sz="0" w:space="0" w:color="auto"/>
                <w:left w:val="none" w:sz="0" w:space="0" w:color="auto"/>
                <w:bottom w:val="none" w:sz="0" w:space="0" w:color="auto"/>
                <w:right w:val="none" w:sz="0" w:space="0" w:color="auto"/>
              </w:divBdr>
              <w:divsChild>
                <w:div w:id="4024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263977">
      <w:bodyDiv w:val="1"/>
      <w:marLeft w:val="0"/>
      <w:marRight w:val="0"/>
      <w:marTop w:val="0"/>
      <w:marBottom w:val="0"/>
      <w:divBdr>
        <w:top w:val="none" w:sz="0" w:space="0" w:color="auto"/>
        <w:left w:val="none" w:sz="0" w:space="0" w:color="auto"/>
        <w:bottom w:val="none" w:sz="0" w:space="0" w:color="auto"/>
        <w:right w:val="none" w:sz="0" w:space="0" w:color="auto"/>
      </w:divBdr>
      <w:divsChild>
        <w:div w:id="422380792">
          <w:marLeft w:val="0"/>
          <w:marRight w:val="0"/>
          <w:marTop w:val="0"/>
          <w:marBottom w:val="0"/>
          <w:divBdr>
            <w:top w:val="none" w:sz="0" w:space="0" w:color="auto"/>
            <w:left w:val="none" w:sz="0" w:space="0" w:color="auto"/>
            <w:bottom w:val="none" w:sz="0" w:space="0" w:color="auto"/>
            <w:right w:val="none" w:sz="0" w:space="0" w:color="auto"/>
          </w:divBdr>
          <w:divsChild>
            <w:div w:id="1690335284">
              <w:marLeft w:val="0"/>
              <w:marRight w:val="0"/>
              <w:marTop w:val="0"/>
              <w:marBottom w:val="0"/>
              <w:divBdr>
                <w:top w:val="none" w:sz="0" w:space="0" w:color="auto"/>
                <w:left w:val="none" w:sz="0" w:space="0" w:color="auto"/>
                <w:bottom w:val="none" w:sz="0" w:space="0" w:color="auto"/>
                <w:right w:val="none" w:sz="0" w:space="0" w:color="auto"/>
              </w:divBdr>
              <w:divsChild>
                <w:div w:id="86078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536076">
      <w:bodyDiv w:val="1"/>
      <w:marLeft w:val="0"/>
      <w:marRight w:val="0"/>
      <w:marTop w:val="0"/>
      <w:marBottom w:val="0"/>
      <w:divBdr>
        <w:top w:val="none" w:sz="0" w:space="0" w:color="auto"/>
        <w:left w:val="none" w:sz="0" w:space="0" w:color="auto"/>
        <w:bottom w:val="none" w:sz="0" w:space="0" w:color="auto"/>
        <w:right w:val="none" w:sz="0" w:space="0" w:color="auto"/>
      </w:divBdr>
      <w:divsChild>
        <w:div w:id="67459382">
          <w:marLeft w:val="0"/>
          <w:marRight w:val="0"/>
          <w:marTop w:val="0"/>
          <w:marBottom w:val="0"/>
          <w:divBdr>
            <w:top w:val="none" w:sz="0" w:space="0" w:color="auto"/>
            <w:left w:val="none" w:sz="0" w:space="0" w:color="auto"/>
            <w:bottom w:val="none" w:sz="0" w:space="0" w:color="auto"/>
            <w:right w:val="none" w:sz="0" w:space="0" w:color="auto"/>
          </w:divBdr>
          <w:divsChild>
            <w:div w:id="1032920346">
              <w:marLeft w:val="0"/>
              <w:marRight w:val="0"/>
              <w:marTop w:val="0"/>
              <w:marBottom w:val="0"/>
              <w:divBdr>
                <w:top w:val="none" w:sz="0" w:space="0" w:color="auto"/>
                <w:left w:val="none" w:sz="0" w:space="0" w:color="auto"/>
                <w:bottom w:val="none" w:sz="0" w:space="0" w:color="auto"/>
                <w:right w:val="none" w:sz="0" w:space="0" w:color="auto"/>
              </w:divBdr>
              <w:divsChild>
                <w:div w:id="861868285">
                  <w:marLeft w:val="0"/>
                  <w:marRight w:val="0"/>
                  <w:marTop w:val="0"/>
                  <w:marBottom w:val="0"/>
                  <w:divBdr>
                    <w:top w:val="none" w:sz="0" w:space="0" w:color="auto"/>
                    <w:left w:val="none" w:sz="0" w:space="0" w:color="auto"/>
                    <w:bottom w:val="none" w:sz="0" w:space="0" w:color="auto"/>
                    <w:right w:val="none" w:sz="0" w:space="0" w:color="auto"/>
                  </w:divBdr>
                  <w:divsChild>
                    <w:div w:id="498153882">
                      <w:marLeft w:val="0"/>
                      <w:marRight w:val="0"/>
                      <w:marTop w:val="0"/>
                      <w:marBottom w:val="0"/>
                      <w:divBdr>
                        <w:top w:val="none" w:sz="0" w:space="0" w:color="auto"/>
                        <w:left w:val="none" w:sz="0" w:space="0" w:color="auto"/>
                        <w:bottom w:val="none" w:sz="0" w:space="0" w:color="auto"/>
                        <w:right w:val="none" w:sz="0" w:space="0" w:color="auto"/>
                      </w:divBdr>
                      <w:divsChild>
                        <w:div w:id="81607538">
                          <w:marLeft w:val="0"/>
                          <w:marRight w:val="0"/>
                          <w:marTop w:val="0"/>
                          <w:marBottom w:val="0"/>
                          <w:divBdr>
                            <w:top w:val="none" w:sz="0" w:space="0" w:color="auto"/>
                            <w:left w:val="none" w:sz="0" w:space="0" w:color="auto"/>
                            <w:bottom w:val="none" w:sz="0" w:space="0" w:color="auto"/>
                            <w:right w:val="none" w:sz="0" w:space="0" w:color="auto"/>
                          </w:divBdr>
                        </w:div>
                        <w:div w:id="1691099021">
                          <w:marLeft w:val="0"/>
                          <w:marRight w:val="0"/>
                          <w:marTop w:val="0"/>
                          <w:marBottom w:val="0"/>
                          <w:divBdr>
                            <w:top w:val="none" w:sz="0" w:space="0" w:color="auto"/>
                            <w:left w:val="none" w:sz="0" w:space="0" w:color="auto"/>
                            <w:bottom w:val="none" w:sz="0" w:space="0" w:color="auto"/>
                            <w:right w:val="none" w:sz="0" w:space="0" w:color="auto"/>
                          </w:divBdr>
                          <w:divsChild>
                            <w:div w:id="6862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9592">
                      <w:marLeft w:val="0"/>
                      <w:marRight w:val="0"/>
                      <w:marTop w:val="0"/>
                      <w:marBottom w:val="0"/>
                      <w:divBdr>
                        <w:top w:val="none" w:sz="0" w:space="0" w:color="auto"/>
                        <w:left w:val="none" w:sz="0" w:space="0" w:color="auto"/>
                        <w:bottom w:val="none" w:sz="0" w:space="0" w:color="auto"/>
                        <w:right w:val="none" w:sz="0" w:space="0" w:color="auto"/>
                      </w:divBdr>
                      <w:divsChild>
                        <w:div w:id="703598839">
                          <w:marLeft w:val="0"/>
                          <w:marRight w:val="0"/>
                          <w:marTop w:val="0"/>
                          <w:marBottom w:val="0"/>
                          <w:divBdr>
                            <w:top w:val="none" w:sz="0" w:space="0" w:color="auto"/>
                            <w:left w:val="none" w:sz="0" w:space="0" w:color="auto"/>
                            <w:bottom w:val="none" w:sz="0" w:space="0" w:color="auto"/>
                            <w:right w:val="none" w:sz="0" w:space="0" w:color="auto"/>
                          </w:divBdr>
                          <w:divsChild>
                            <w:div w:id="1776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18115">
          <w:marLeft w:val="0"/>
          <w:marRight w:val="0"/>
          <w:marTop w:val="0"/>
          <w:marBottom w:val="0"/>
          <w:divBdr>
            <w:top w:val="none" w:sz="0" w:space="0" w:color="auto"/>
            <w:left w:val="none" w:sz="0" w:space="0" w:color="auto"/>
            <w:bottom w:val="none" w:sz="0" w:space="0" w:color="auto"/>
            <w:right w:val="none" w:sz="0" w:space="0" w:color="auto"/>
          </w:divBdr>
          <w:divsChild>
            <w:div w:id="1591426823">
              <w:marLeft w:val="0"/>
              <w:marRight w:val="0"/>
              <w:marTop w:val="0"/>
              <w:marBottom w:val="0"/>
              <w:divBdr>
                <w:top w:val="none" w:sz="0" w:space="0" w:color="auto"/>
                <w:left w:val="none" w:sz="0" w:space="0" w:color="auto"/>
                <w:bottom w:val="none" w:sz="0" w:space="0" w:color="auto"/>
                <w:right w:val="none" w:sz="0" w:space="0" w:color="auto"/>
              </w:divBdr>
              <w:divsChild>
                <w:div w:id="10682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1791">
          <w:marLeft w:val="0"/>
          <w:marRight w:val="0"/>
          <w:marTop w:val="0"/>
          <w:marBottom w:val="0"/>
          <w:divBdr>
            <w:top w:val="none" w:sz="0" w:space="0" w:color="auto"/>
            <w:left w:val="none" w:sz="0" w:space="0" w:color="auto"/>
            <w:bottom w:val="none" w:sz="0" w:space="0" w:color="auto"/>
            <w:right w:val="none" w:sz="0" w:space="0" w:color="auto"/>
          </w:divBdr>
          <w:divsChild>
            <w:div w:id="2071071716">
              <w:marLeft w:val="0"/>
              <w:marRight w:val="0"/>
              <w:marTop w:val="0"/>
              <w:marBottom w:val="0"/>
              <w:divBdr>
                <w:top w:val="none" w:sz="0" w:space="0" w:color="auto"/>
                <w:left w:val="none" w:sz="0" w:space="0" w:color="auto"/>
                <w:bottom w:val="none" w:sz="0" w:space="0" w:color="auto"/>
                <w:right w:val="none" w:sz="0" w:space="0" w:color="auto"/>
              </w:divBdr>
              <w:divsChild>
                <w:div w:id="2032686322">
                  <w:marLeft w:val="0"/>
                  <w:marRight w:val="0"/>
                  <w:marTop w:val="0"/>
                  <w:marBottom w:val="0"/>
                  <w:divBdr>
                    <w:top w:val="none" w:sz="0" w:space="0" w:color="auto"/>
                    <w:left w:val="none" w:sz="0" w:space="0" w:color="auto"/>
                    <w:bottom w:val="none" w:sz="0" w:space="0" w:color="auto"/>
                    <w:right w:val="none" w:sz="0" w:space="0" w:color="auto"/>
                  </w:divBdr>
                  <w:divsChild>
                    <w:div w:id="547912759">
                      <w:marLeft w:val="0"/>
                      <w:marRight w:val="0"/>
                      <w:marTop w:val="0"/>
                      <w:marBottom w:val="0"/>
                      <w:divBdr>
                        <w:top w:val="none" w:sz="0" w:space="0" w:color="auto"/>
                        <w:left w:val="none" w:sz="0" w:space="0" w:color="auto"/>
                        <w:bottom w:val="none" w:sz="0" w:space="0" w:color="auto"/>
                        <w:right w:val="none" w:sz="0" w:space="0" w:color="auto"/>
                      </w:divBdr>
                      <w:divsChild>
                        <w:div w:id="1749188397">
                          <w:marLeft w:val="0"/>
                          <w:marRight w:val="0"/>
                          <w:marTop w:val="0"/>
                          <w:marBottom w:val="0"/>
                          <w:divBdr>
                            <w:top w:val="none" w:sz="0" w:space="0" w:color="auto"/>
                            <w:left w:val="none" w:sz="0" w:space="0" w:color="auto"/>
                            <w:bottom w:val="none" w:sz="0" w:space="0" w:color="auto"/>
                            <w:right w:val="none" w:sz="0" w:space="0" w:color="auto"/>
                          </w:divBdr>
                          <w:divsChild>
                            <w:div w:id="3653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6147">
                      <w:marLeft w:val="0"/>
                      <w:marRight w:val="0"/>
                      <w:marTop w:val="0"/>
                      <w:marBottom w:val="0"/>
                      <w:divBdr>
                        <w:top w:val="none" w:sz="0" w:space="0" w:color="auto"/>
                        <w:left w:val="none" w:sz="0" w:space="0" w:color="auto"/>
                        <w:bottom w:val="none" w:sz="0" w:space="0" w:color="auto"/>
                        <w:right w:val="none" w:sz="0" w:space="0" w:color="auto"/>
                      </w:divBdr>
                      <w:divsChild>
                        <w:div w:id="1299413528">
                          <w:marLeft w:val="0"/>
                          <w:marRight w:val="0"/>
                          <w:marTop w:val="0"/>
                          <w:marBottom w:val="0"/>
                          <w:divBdr>
                            <w:top w:val="none" w:sz="0" w:space="0" w:color="auto"/>
                            <w:left w:val="none" w:sz="0" w:space="0" w:color="auto"/>
                            <w:bottom w:val="none" w:sz="0" w:space="0" w:color="auto"/>
                            <w:right w:val="none" w:sz="0" w:space="0" w:color="auto"/>
                          </w:divBdr>
                          <w:divsChild>
                            <w:div w:id="2041126602">
                              <w:marLeft w:val="0"/>
                              <w:marRight w:val="0"/>
                              <w:marTop w:val="0"/>
                              <w:marBottom w:val="0"/>
                              <w:divBdr>
                                <w:top w:val="none" w:sz="0" w:space="0" w:color="auto"/>
                                <w:left w:val="none" w:sz="0" w:space="0" w:color="auto"/>
                                <w:bottom w:val="none" w:sz="0" w:space="0" w:color="auto"/>
                                <w:right w:val="none" w:sz="0" w:space="0" w:color="auto"/>
                              </w:divBdr>
                              <w:divsChild>
                                <w:div w:id="21094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311488">
          <w:marLeft w:val="0"/>
          <w:marRight w:val="0"/>
          <w:marTop w:val="0"/>
          <w:marBottom w:val="0"/>
          <w:divBdr>
            <w:top w:val="none" w:sz="0" w:space="0" w:color="auto"/>
            <w:left w:val="none" w:sz="0" w:space="0" w:color="auto"/>
            <w:bottom w:val="none" w:sz="0" w:space="0" w:color="auto"/>
            <w:right w:val="none" w:sz="0" w:space="0" w:color="auto"/>
          </w:divBdr>
          <w:divsChild>
            <w:div w:id="48920726">
              <w:marLeft w:val="0"/>
              <w:marRight w:val="0"/>
              <w:marTop w:val="0"/>
              <w:marBottom w:val="0"/>
              <w:divBdr>
                <w:top w:val="none" w:sz="0" w:space="0" w:color="auto"/>
                <w:left w:val="none" w:sz="0" w:space="0" w:color="auto"/>
                <w:bottom w:val="none" w:sz="0" w:space="0" w:color="auto"/>
                <w:right w:val="none" w:sz="0" w:space="0" w:color="auto"/>
              </w:divBdr>
              <w:divsChild>
                <w:div w:id="1013990234">
                  <w:marLeft w:val="0"/>
                  <w:marRight w:val="0"/>
                  <w:marTop w:val="0"/>
                  <w:marBottom w:val="0"/>
                  <w:divBdr>
                    <w:top w:val="none" w:sz="0" w:space="0" w:color="auto"/>
                    <w:left w:val="none" w:sz="0" w:space="0" w:color="auto"/>
                    <w:bottom w:val="none" w:sz="0" w:space="0" w:color="auto"/>
                    <w:right w:val="none" w:sz="0" w:space="0" w:color="auto"/>
                  </w:divBdr>
                  <w:divsChild>
                    <w:div w:id="411246305">
                      <w:marLeft w:val="0"/>
                      <w:marRight w:val="0"/>
                      <w:marTop w:val="0"/>
                      <w:marBottom w:val="0"/>
                      <w:divBdr>
                        <w:top w:val="none" w:sz="0" w:space="0" w:color="auto"/>
                        <w:left w:val="none" w:sz="0" w:space="0" w:color="auto"/>
                        <w:bottom w:val="none" w:sz="0" w:space="0" w:color="auto"/>
                        <w:right w:val="none" w:sz="0" w:space="0" w:color="auto"/>
                      </w:divBdr>
                      <w:divsChild>
                        <w:div w:id="1715425306">
                          <w:marLeft w:val="0"/>
                          <w:marRight w:val="0"/>
                          <w:marTop w:val="0"/>
                          <w:marBottom w:val="0"/>
                          <w:divBdr>
                            <w:top w:val="none" w:sz="0" w:space="0" w:color="auto"/>
                            <w:left w:val="none" w:sz="0" w:space="0" w:color="auto"/>
                            <w:bottom w:val="none" w:sz="0" w:space="0" w:color="auto"/>
                            <w:right w:val="none" w:sz="0" w:space="0" w:color="auto"/>
                          </w:divBdr>
                          <w:divsChild>
                            <w:div w:id="672491813">
                              <w:marLeft w:val="0"/>
                              <w:marRight w:val="0"/>
                              <w:marTop w:val="0"/>
                              <w:marBottom w:val="0"/>
                              <w:divBdr>
                                <w:top w:val="none" w:sz="0" w:space="0" w:color="auto"/>
                                <w:left w:val="none" w:sz="0" w:space="0" w:color="auto"/>
                                <w:bottom w:val="none" w:sz="0" w:space="0" w:color="auto"/>
                                <w:right w:val="none" w:sz="0" w:space="0" w:color="auto"/>
                              </w:divBdr>
                              <w:divsChild>
                                <w:div w:id="103404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70471">
                      <w:marLeft w:val="0"/>
                      <w:marRight w:val="0"/>
                      <w:marTop w:val="0"/>
                      <w:marBottom w:val="0"/>
                      <w:divBdr>
                        <w:top w:val="none" w:sz="0" w:space="0" w:color="auto"/>
                        <w:left w:val="none" w:sz="0" w:space="0" w:color="auto"/>
                        <w:bottom w:val="none" w:sz="0" w:space="0" w:color="auto"/>
                        <w:right w:val="none" w:sz="0" w:space="0" w:color="auto"/>
                      </w:divBdr>
                      <w:divsChild>
                        <w:div w:id="574168167">
                          <w:marLeft w:val="0"/>
                          <w:marRight w:val="0"/>
                          <w:marTop w:val="0"/>
                          <w:marBottom w:val="0"/>
                          <w:divBdr>
                            <w:top w:val="none" w:sz="0" w:space="0" w:color="auto"/>
                            <w:left w:val="none" w:sz="0" w:space="0" w:color="auto"/>
                            <w:bottom w:val="none" w:sz="0" w:space="0" w:color="auto"/>
                            <w:right w:val="none" w:sz="0" w:space="0" w:color="auto"/>
                          </w:divBdr>
                          <w:divsChild>
                            <w:div w:id="12567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269675">
          <w:marLeft w:val="0"/>
          <w:marRight w:val="0"/>
          <w:marTop w:val="0"/>
          <w:marBottom w:val="0"/>
          <w:divBdr>
            <w:top w:val="none" w:sz="0" w:space="0" w:color="auto"/>
            <w:left w:val="none" w:sz="0" w:space="0" w:color="auto"/>
            <w:bottom w:val="none" w:sz="0" w:space="0" w:color="auto"/>
            <w:right w:val="none" w:sz="0" w:space="0" w:color="auto"/>
          </w:divBdr>
          <w:divsChild>
            <w:div w:id="961611194">
              <w:marLeft w:val="0"/>
              <w:marRight w:val="0"/>
              <w:marTop w:val="0"/>
              <w:marBottom w:val="0"/>
              <w:divBdr>
                <w:top w:val="none" w:sz="0" w:space="0" w:color="auto"/>
                <w:left w:val="none" w:sz="0" w:space="0" w:color="auto"/>
                <w:bottom w:val="none" w:sz="0" w:space="0" w:color="auto"/>
                <w:right w:val="none" w:sz="0" w:space="0" w:color="auto"/>
              </w:divBdr>
              <w:divsChild>
                <w:div w:id="1327201560">
                  <w:marLeft w:val="0"/>
                  <w:marRight w:val="0"/>
                  <w:marTop w:val="0"/>
                  <w:marBottom w:val="0"/>
                  <w:divBdr>
                    <w:top w:val="none" w:sz="0" w:space="0" w:color="auto"/>
                    <w:left w:val="none" w:sz="0" w:space="0" w:color="auto"/>
                    <w:bottom w:val="none" w:sz="0" w:space="0" w:color="auto"/>
                    <w:right w:val="none" w:sz="0" w:space="0" w:color="auto"/>
                  </w:divBdr>
                  <w:divsChild>
                    <w:div w:id="43453916">
                      <w:marLeft w:val="0"/>
                      <w:marRight w:val="0"/>
                      <w:marTop w:val="0"/>
                      <w:marBottom w:val="0"/>
                      <w:divBdr>
                        <w:top w:val="none" w:sz="0" w:space="0" w:color="auto"/>
                        <w:left w:val="none" w:sz="0" w:space="0" w:color="auto"/>
                        <w:bottom w:val="none" w:sz="0" w:space="0" w:color="auto"/>
                        <w:right w:val="none" w:sz="0" w:space="0" w:color="auto"/>
                      </w:divBdr>
                      <w:divsChild>
                        <w:div w:id="203829635">
                          <w:marLeft w:val="0"/>
                          <w:marRight w:val="0"/>
                          <w:marTop w:val="0"/>
                          <w:marBottom w:val="0"/>
                          <w:divBdr>
                            <w:top w:val="none" w:sz="0" w:space="0" w:color="auto"/>
                            <w:left w:val="none" w:sz="0" w:space="0" w:color="auto"/>
                            <w:bottom w:val="none" w:sz="0" w:space="0" w:color="auto"/>
                            <w:right w:val="none" w:sz="0" w:space="0" w:color="auto"/>
                          </w:divBdr>
                          <w:divsChild>
                            <w:div w:id="2774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50962">
                      <w:marLeft w:val="0"/>
                      <w:marRight w:val="0"/>
                      <w:marTop w:val="0"/>
                      <w:marBottom w:val="0"/>
                      <w:divBdr>
                        <w:top w:val="none" w:sz="0" w:space="0" w:color="auto"/>
                        <w:left w:val="none" w:sz="0" w:space="0" w:color="auto"/>
                        <w:bottom w:val="none" w:sz="0" w:space="0" w:color="auto"/>
                        <w:right w:val="none" w:sz="0" w:space="0" w:color="auto"/>
                      </w:divBdr>
                      <w:divsChild>
                        <w:div w:id="1497771555">
                          <w:marLeft w:val="0"/>
                          <w:marRight w:val="0"/>
                          <w:marTop w:val="0"/>
                          <w:marBottom w:val="0"/>
                          <w:divBdr>
                            <w:top w:val="none" w:sz="0" w:space="0" w:color="auto"/>
                            <w:left w:val="none" w:sz="0" w:space="0" w:color="auto"/>
                            <w:bottom w:val="none" w:sz="0" w:space="0" w:color="auto"/>
                            <w:right w:val="none" w:sz="0" w:space="0" w:color="auto"/>
                          </w:divBdr>
                          <w:divsChild>
                            <w:div w:id="1937789593">
                              <w:marLeft w:val="0"/>
                              <w:marRight w:val="0"/>
                              <w:marTop w:val="0"/>
                              <w:marBottom w:val="0"/>
                              <w:divBdr>
                                <w:top w:val="none" w:sz="0" w:space="0" w:color="auto"/>
                                <w:left w:val="none" w:sz="0" w:space="0" w:color="auto"/>
                                <w:bottom w:val="none" w:sz="0" w:space="0" w:color="auto"/>
                                <w:right w:val="none" w:sz="0" w:space="0" w:color="auto"/>
                              </w:divBdr>
                            </w:div>
                          </w:divsChild>
                        </w:div>
                        <w:div w:id="209782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552966">
          <w:marLeft w:val="0"/>
          <w:marRight w:val="0"/>
          <w:marTop w:val="0"/>
          <w:marBottom w:val="0"/>
          <w:divBdr>
            <w:top w:val="none" w:sz="0" w:space="0" w:color="auto"/>
            <w:left w:val="none" w:sz="0" w:space="0" w:color="auto"/>
            <w:bottom w:val="none" w:sz="0" w:space="0" w:color="auto"/>
            <w:right w:val="none" w:sz="0" w:space="0" w:color="auto"/>
          </w:divBdr>
          <w:divsChild>
            <w:div w:id="233440610">
              <w:marLeft w:val="0"/>
              <w:marRight w:val="0"/>
              <w:marTop w:val="0"/>
              <w:marBottom w:val="0"/>
              <w:divBdr>
                <w:top w:val="none" w:sz="0" w:space="0" w:color="auto"/>
                <w:left w:val="none" w:sz="0" w:space="0" w:color="auto"/>
                <w:bottom w:val="none" w:sz="0" w:space="0" w:color="auto"/>
                <w:right w:val="none" w:sz="0" w:space="0" w:color="auto"/>
              </w:divBdr>
              <w:divsChild>
                <w:div w:id="860555278">
                  <w:marLeft w:val="0"/>
                  <w:marRight w:val="0"/>
                  <w:marTop w:val="0"/>
                  <w:marBottom w:val="0"/>
                  <w:divBdr>
                    <w:top w:val="none" w:sz="0" w:space="0" w:color="auto"/>
                    <w:left w:val="none" w:sz="0" w:space="0" w:color="auto"/>
                    <w:bottom w:val="none" w:sz="0" w:space="0" w:color="auto"/>
                    <w:right w:val="none" w:sz="0" w:space="0" w:color="auto"/>
                  </w:divBdr>
                  <w:divsChild>
                    <w:div w:id="58789264">
                      <w:marLeft w:val="0"/>
                      <w:marRight w:val="0"/>
                      <w:marTop w:val="0"/>
                      <w:marBottom w:val="0"/>
                      <w:divBdr>
                        <w:top w:val="none" w:sz="0" w:space="0" w:color="auto"/>
                        <w:left w:val="none" w:sz="0" w:space="0" w:color="auto"/>
                        <w:bottom w:val="none" w:sz="0" w:space="0" w:color="auto"/>
                        <w:right w:val="none" w:sz="0" w:space="0" w:color="auto"/>
                      </w:divBdr>
                      <w:divsChild>
                        <w:div w:id="1557819493">
                          <w:marLeft w:val="0"/>
                          <w:marRight w:val="0"/>
                          <w:marTop w:val="0"/>
                          <w:marBottom w:val="0"/>
                          <w:divBdr>
                            <w:top w:val="none" w:sz="0" w:space="0" w:color="auto"/>
                            <w:left w:val="none" w:sz="0" w:space="0" w:color="auto"/>
                            <w:bottom w:val="none" w:sz="0" w:space="0" w:color="auto"/>
                            <w:right w:val="none" w:sz="0" w:space="0" w:color="auto"/>
                          </w:divBdr>
                          <w:divsChild>
                            <w:div w:id="4012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78547">
                      <w:marLeft w:val="0"/>
                      <w:marRight w:val="0"/>
                      <w:marTop w:val="0"/>
                      <w:marBottom w:val="0"/>
                      <w:divBdr>
                        <w:top w:val="none" w:sz="0" w:space="0" w:color="auto"/>
                        <w:left w:val="none" w:sz="0" w:space="0" w:color="auto"/>
                        <w:bottom w:val="none" w:sz="0" w:space="0" w:color="auto"/>
                        <w:right w:val="none" w:sz="0" w:space="0" w:color="auto"/>
                      </w:divBdr>
                      <w:divsChild>
                        <w:div w:id="1993678066">
                          <w:marLeft w:val="0"/>
                          <w:marRight w:val="0"/>
                          <w:marTop w:val="0"/>
                          <w:marBottom w:val="0"/>
                          <w:divBdr>
                            <w:top w:val="none" w:sz="0" w:space="0" w:color="auto"/>
                            <w:left w:val="none" w:sz="0" w:space="0" w:color="auto"/>
                            <w:bottom w:val="none" w:sz="0" w:space="0" w:color="auto"/>
                            <w:right w:val="none" w:sz="0" w:space="0" w:color="auto"/>
                          </w:divBdr>
                          <w:divsChild>
                            <w:div w:id="1249584007">
                              <w:marLeft w:val="0"/>
                              <w:marRight w:val="0"/>
                              <w:marTop w:val="0"/>
                              <w:marBottom w:val="0"/>
                              <w:divBdr>
                                <w:top w:val="none" w:sz="0" w:space="0" w:color="auto"/>
                                <w:left w:val="none" w:sz="0" w:space="0" w:color="auto"/>
                                <w:bottom w:val="none" w:sz="0" w:space="0" w:color="auto"/>
                                <w:right w:val="none" w:sz="0" w:space="0" w:color="auto"/>
                              </w:divBdr>
                              <w:divsChild>
                                <w:div w:id="177925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318290">
      <w:bodyDiv w:val="1"/>
      <w:marLeft w:val="0"/>
      <w:marRight w:val="0"/>
      <w:marTop w:val="0"/>
      <w:marBottom w:val="0"/>
      <w:divBdr>
        <w:top w:val="none" w:sz="0" w:space="0" w:color="auto"/>
        <w:left w:val="none" w:sz="0" w:space="0" w:color="auto"/>
        <w:bottom w:val="none" w:sz="0" w:space="0" w:color="auto"/>
        <w:right w:val="none" w:sz="0" w:space="0" w:color="auto"/>
      </w:divBdr>
    </w:div>
    <w:div w:id="921141084">
      <w:bodyDiv w:val="1"/>
      <w:marLeft w:val="0"/>
      <w:marRight w:val="0"/>
      <w:marTop w:val="0"/>
      <w:marBottom w:val="0"/>
      <w:divBdr>
        <w:top w:val="none" w:sz="0" w:space="0" w:color="auto"/>
        <w:left w:val="none" w:sz="0" w:space="0" w:color="auto"/>
        <w:bottom w:val="none" w:sz="0" w:space="0" w:color="auto"/>
        <w:right w:val="none" w:sz="0" w:space="0" w:color="auto"/>
      </w:divBdr>
    </w:div>
    <w:div w:id="929003234">
      <w:bodyDiv w:val="1"/>
      <w:marLeft w:val="0"/>
      <w:marRight w:val="0"/>
      <w:marTop w:val="0"/>
      <w:marBottom w:val="0"/>
      <w:divBdr>
        <w:top w:val="none" w:sz="0" w:space="0" w:color="auto"/>
        <w:left w:val="none" w:sz="0" w:space="0" w:color="auto"/>
        <w:bottom w:val="none" w:sz="0" w:space="0" w:color="auto"/>
        <w:right w:val="none" w:sz="0" w:space="0" w:color="auto"/>
      </w:divBdr>
      <w:divsChild>
        <w:div w:id="338121705">
          <w:marLeft w:val="0"/>
          <w:marRight w:val="0"/>
          <w:marTop w:val="0"/>
          <w:marBottom w:val="0"/>
          <w:divBdr>
            <w:top w:val="none" w:sz="0" w:space="0" w:color="auto"/>
            <w:left w:val="none" w:sz="0" w:space="0" w:color="auto"/>
            <w:bottom w:val="none" w:sz="0" w:space="0" w:color="auto"/>
            <w:right w:val="none" w:sz="0" w:space="0" w:color="auto"/>
          </w:divBdr>
          <w:divsChild>
            <w:div w:id="19745718">
              <w:marLeft w:val="0"/>
              <w:marRight w:val="0"/>
              <w:marTop w:val="0"/>
              <w:marBottom w:val="0"/>
              <w:divBdr>
                <w:top w:val="none" w:sz="0" w:space="0" w:color="auto"/>
                <w:left w:val="none" w:sz="0" w:space="0" w:color="auto"/>
                <w:bottom w:val="none" w:sz="0" w:space="0" w:color="auto"/>
                <w:right w:val="none" w:sz="0" w:space="0" w:color="auto"/>
              </w:divBdr>
              <w:divsChild>
                <w:div w:id="6193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101">
      <w:bodyDiv w:val="1"/>
      <w:marLeft w:val="0"/>
      <w:marRight w:val="0"/>
      <w:marTop w:val="0"/>
      <w:marBottom w:val="0"/>
      <w:divBdr>
        <w:top w:val="none" w:sz="0" w:space="0" w:color="auto"/>
        <w:left w:val="none" w:sz="0" w:space="0" w:color="auto"/>
        <w:bottom w:val="none" w:sz="0" w:space="0" w:color="auto"/>
        <w:right w:val="none" w:sz="0" w:space="0" w:color="auto"/>
      </w:divBdr>
    </w:div>
    <w:div w:id="960303614">
      <w:bodyDiv w:val="1"/>
      <w:marLeft w:val="0"/>
      <w:marRight w:val="0"/>
      <w:marTop w:val="0"/>
      <w:marBottom w:val="0"/>
      <w:divBdr>
        <w:top w:val="none" w:sz="0" w:space="0" w:color="auto"/>
        <w:left w:val="none" w:sz="0" w:space="0" w:color="auto"/>
        <w:bottom w:val="none" w:sz="0" w:space="0" w:color="auto"/>
        <w:right w:val="none" w:sz="0" w:space="0" w:color="auto"/>
      </w:divBdr>
      <w:divsChild>
        <w:div w:id="628516109">
          <w:marLeft w:val="0"/>
          <w:marRight w:val="0"/>
          <w:marTop w:val="0"/>
          <w:marBottom w:val="0"/>
          <w:divBdr>
            <w:top w:val="none" w:sz="0" w:space="0" w:color="auto"/>
            <w:left w:val="none" w:sz="0" w:space="0" w:color="auto"/>
            <w:bottom w:val="none" w:sz="0" w:space="0" w:color="auto"/>
            <w:right w:val="none" w:sz="0" w:space="0" w:color="auto"/>
          </w:divBdr>
          <w:divsChild>
            <w:div w:id="561408832">
              <w:marLeft w:val="0"/>
              <w:marRight w:val="0"/>
              <w:marTop w:val="0"/>
              <w:marBottom w:val="0"/>
              <w:divBdr>
                <w:top w:val="none" w:sz="0" w:space="0" w:color="auto"/>
                <w:left w:val="none" w:sz="0" w:space="0" w:color="auto"/>
                <w:bottom w:val="none" w:sz="0" w:space="0" w:color="auto"/>
                <w:right w:val="none" w:sz="0" w:space="0" w:color="auto"/>
              </w:divBdr>
              <w:divsChild>
                <w:div w:id="16771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83516">
      <w:bodyDiv w:val="1"/>
      <w:marLeft w:val="0"/>
      <w:marRight w:val="0"/>
      <w:marTop w:val="0"/>
      <w:marBottom w:val="0"/>
      <w:divBdr>
        <w:top w:val="none" w:sz="0" w:space="0" w:color="auto"/>
        <w:left w:val="none" w:sz="0" w:space="0" w:color="auto"/>
        <w:bottom w:val="none" w:sz="0" w:space="0" w:color="auto"/>
        <w:right w:val="none" w:sz="0" w:space="0" w:color="auto"/>
      </w:divBdr>
    </w:div>
    <w:div w:id="966933932">
      <w:bodyDiv w:val="1"/>
      <w:marLeft w:val="0"/>
      <w:marRight w:val="0"/>
      <w:marTop w:val="0"/>
      <w:marBottom w:val="0"/>
      <w:divBdr>
        <w:top w:val="none" w:sz="0" w:space="0" w:color="auto"/>
        <w:left w:val="none" w:sz="0" w:space="0" w:color="auto"/>
        <w:bottom w:val="none" w:sz="0" w:space="0" w:color="auto"/>
        <w:right w:val="none" w:sz="0" w:space="0" w:color="auto"/>
      </w:divBdr>
      <w:divsChild>
        <w:div w:id="591741154">
          <w:marLeft w:val="0"/>
          <w:marRight w:val="0"/>
          <w:marTop w:val="0"/>
          <w:marBottom w:val="0"/>
          <w:divBdr>
            <w:top w:val="none" w:sz="0" w:space="0" w:color="auto"/>
            <w:left w:val="none" w:sz="0" w:space="0" w:color="auto"/>
            <w:bottom w:val="none" w:sz="0" w:space="0" w:color="auto"/>
            <w:right w:val="none" w:sz="0" w:space="0" w:color="auto"/>
          </w:divBdr>
          <w:divsChild>
            <w:div w:id="1891457104">
              <w:marLeft w:val="0"/>
              <w:marRight w:val="0"/>
              <w:marTop w:val="0"/>
              <w:marBottom w:val="0"/>
              <w:divBdr>
                <w:top w:val="none" w:sz="0" w:space="0" w:color="auto"/>
                <w:left w:val="none" w:sz="0" w:space="0" w:color="auto"/>
                <w:bottom w:val="none" w:sz="0" w:space="0" w:color="auto"/>
                <w:right w:val="none" w:sz="0" w:space="0" w:color="auto"/>
              </w:divBdr>
              <w:divsChild>
                <w:div w:id="20946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57807">
      <w:bodyDiv w:val="1"/>
      <w:marLeft w:val="0"/>
      <w:marRight w:val="0"/>
      <w:marTop w:val="0"/>
      <w:marBottom w:val="0"/>
      <w:divBdr>
        <w:top w:val="none" w:sz="0" w:space="0" w:color="auto"/>
        <w:left w:val="none" w:sz="0" w:space="0" w:color="auto"/>
        <w:bottom w:val="none" w:sz="0" w:space="0" w:color="auto"/>
        <w:right w:val="none" w:sz="0" w:space="0" w:color="auto"/>
      </w:divBdr>
      <w:divsChild>
        <w:div w:id="705058800">
          <w:marLeft w:val="0"/>
          <w:marRight w:val="0"/>
          <w:marTop w:val="0"/>
          <w:marBottom w:val="0"/>
          <w:divBdr>
            <w:top w:val="none" w:sz="0" w:space="0" w:color="auto"/>
            <w:left w:val="none" w:sz="0" w:space="0" w:color="auto"/>
            <w:bottom w:val="none" w:sz="0" w:space="0" w:color="auto"/>
            <w:right w:val="none" w:sz="0" w:space="0" w:color="auto"/>
          </w:divBdr>
          <w:divsChild>
            <w:div w:id="124735101">
              <w:marLeft w:val="0"/>
              <w:marRight w:val="0"/>
              <w:marTop w:val="0"/>
              <w:marBottom w:val="0"/>
              <w:divBdr>
                <w:top w:val="none" w:sz="0" w:space="0" w:color="auto"/>
                <w:left w:val="none" w:sz="0" w:space="0" w:color="auto"/>
                <w:bottom w:val="none" w:sz="0" w:space="0" w:color="auto"/>
                <w:right w:val="none" w:sz="0" w:space="0" w:color="auto"/>
              </w:divBdr>
              <w:divsChild>
                <w:div w:id="84359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19852">
      <w:bodyDiv w:val="1"/>
      <w:marLeft w:val="0"/>
      <w:marRight w:val="0"/>
      <w:marTop w:val="0"/>
      <w:marBottom w:val="0"/>
      <w:divBdr>
        <w:top w:val="none" w:sz="0" w:space="0" w:color="auto"/>
        <w:left w:val="none" w:sz="0" w:space="0" w:color="auto"/>
        <w:bottom w:val="none" w:sz="0" w:space="0" w:color="auto"/>
        <w:right w:val="none" w:sz="0" w:space="0" w:color="auto"/>
      </w:divBdr>
    </w:div>
    <w:div w:id="1007173860">
      <w:bodyDiv w:val="1"/>
      <w:marLeft w:val="0"/>
      <w:marRight w:val="0"/>
      <w:marTop w:val="0"/>
      <w:marBottom w:val="0"/>
      <w:divBdr>
        <w:top w:val="none" w:sz="0" w:space="0" w:color="auto"/>
        <w:left w:val="none" w:sz="0" w:space="0" w:color="auto"/>
        <w:bottom w:val="none" w:sz="0" w:space="0" w:color="auto"/>
        <w:right w:val="none" w:sz="0" w:space="0" w:color="auto"/>
      </w:divBdr>
    </w:div>
    <w:div w:id="1011374606">
      <w:bodyDiv w:val="1"/>
      <w:marLeft w:val="0"/>
      <w:marRight w:val="0"/>
      <w:marTop w:val="0"/>
      <w:marBottom w:val="0"/>
      <w:divBdr>
        <w:top w:val="none" w:sz="0" w:space="0" w:color="auto"/>
        <w:left w:val="none" w:sz="0" w:space="0" w:color="auto"/>
        <w:bottom w:val="none" w:sz="0" w:space="0" w:color="auto"/>
        <w:right w:val="none" w:sz="0" w:space="0" w:color="auto"/>
      </w:divBdr>
    </w:div>
    <w:div w:id="1020349621">
      <w:bodyDiv w:val="1"/>
      <w:marLeft w:val="0"/>
      <w:marRight w:val="0"/>
      <w:marTop w:val="0"/>
      <w:marBottom w:val="0"/>
      <w:divBdr>
        <w:top w:val="none" w:sz="0" w:space="0" w:color="auto"/>
        <w:left w:val="none" w:sz="0" w:space="0" w:color="auto"/>
        <w:bottom w:val="none" w:sz="0" w:space="0" w:color="auto"/>
        <w:right w:val="none" w:sz="0" w:space="0" w:color="auto"/>
      </w:divBdr>
      <w:divsChild>
        <w:div w:id="562721792">
          <w:marLeft w:val="0"/>
          <w:marRight w:val="0"/>
          <w:marTop w:val="0"/>
          <w:marBottom w:val="0"/>
          <w:divBdr>
            <w:top w:val="none" w:sz="0" w:space="0" w:color="auto"/>
            <w:left w:val="none" w:sz="0" w:space="0" w:color="auto"/>
            <w:bottom w:val="none" w:sz="0" w:space="0" w:color="auto"/>
            <w:right w:val="none" w:sz="0" w:space="0" w:color="auto"/>
          </w:divBdr>
          <w:divsChild>
            <w:div w:id="1266233972">
              <w:marLeft w:val="0"/>
              <w:marRight w:val="0"/>
              <w:marTop w:val="0"/>
              <w:marBottom w:val="0"/>
              <w:divBdr>
                <w:top w:val="none" w:sz="0" w:space="0" w:color="auto"/>
                <w:left w:val="none" w:sz="0" w:space="0" w:color="auto"/>
                <w:bottom w:val="none" w:sz="0" w:space="0" w:color="auto"/>
                <w:right w:val="none" w:sz="0" w:space="0" w:color="auto"/>
              </w:divBdr>
              <w:divsChild>
                <w:div w:id="10251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59256">
      <w:bodyDiv w:val="1"/>
      <w:marLeft w:val="0"/>
      <w:marRight w:val="0"/>
      <w:marTop w:val="0"/>
      <w:marBottom w:val="0"/>
      <w:divBdr>
        <w:top w:val="none" w:sz="0" w:space="0" w:color="auto"/>
        <w:left w:val="none" w:sz="0" w:space="0" w:color="auto"/>
        <w:bottom w:val="none" w:sz="0" w:space="0" w:color="auto"/>
        <w:right w:val="none" w:sz="0" w:space="0" w:color="auto"/>
      </w:divBdr>
      <w:divsChild>
        <w:div w:id="871040479">
          <w:marLeft w:val="0"/>
          <w:marRight w:val="0"/>
          <w:marTop w:val="0"/>
          <w:marBottom w:val="0"/>
          <w:divBdr>
            <w:top w:val="none" w:sz="0" w:space="0" w:color="auto"/>
            <w:left w:val="none" w:sz="0" w:space="0" w:color="auto"/>
            <w:bottom w:val="none" w:sz="0" w:space="0" w:color="auto"/>
            <w:right w:val="none" w:sz="0" w:space="0" w:color="auto"/>
          </w:divBdr>
          <w:divsChild>
            <w:div w:id="1071851821">
              <w:marLeft w:val="0"/>
              <w:marRight w:val="0"/>
              <w:marTop w:val="0"/>
              <w:marBottom w:val="0"/>
              <w:divBdr>
                <w:top w:val="none" w:sz="0" w:space="0" w:color="auto"/>
                <w:left w:val="none" w:sz="0" w:space="0" w:color="auto"/>
                <w:bottom w:val="none" w:sz="0" w:space="0" w:color="auto"/>
                <w:right w:val="none" w:sz="0" w:space="0" w:color="auto"/>
              </w:divBdr>
              <w:divsChild>
                <w:div w:id="2806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14655">
      <w:bodyDiv w:val="1"/>
      <w:marLeft w:val="0"/>
      <w:marRight w:val="0"/>
      <w:marTop w:val="0"/>
      <w:marBottom w:val="0"/>
      <w:divBdr>
        <w:top w:val="none" w:sz="0" w:space="0" w:color="auto"/>
        <w:left w:val="none" w:sz="0" w:space="0" w:color="auto"/>
        <w:bottom w:val="none" w:sz="0" w:space="0" w:color="auto"/>
        <w:right w:val="none" w:sz="0" w:space="0" w:color="auto"/>
      </w:divBdr>
    </w:div>
    <w:div w:id="1103185849">
      <w:bodyDiv w:val="1"/>
      <w:marLeft w:val="0"/>
      <w:marRight w:val="0"/>
      <w:marTop w:val="0"/>
      <w:marBottom w:val="0"/>
      <w:divBdr>
        <w:top w:val="none" w:sz="0" w:space="0" w:color="auto"/>
        <w:left w:val="none" w:sz="0" w:space="0" w:color="auto"/>
        <w:bottom w:val="none" w:sz="0" w:space="0" w:color="auto"/>
        <w:right w:val="none" w:sz="0" w:space="0" w:color="auto"/>
      </w:divBdr>
    </w:div>
    <w:div w:id="1169325423">
      <w:bodyDiv w:val="1"/>
      <w:marLeft w:val="0"/>
      <w:marRight w:val="0"/>
      <w:marTop w:val="0"/>
      <w:marBottom w:val="0"/>
      <w:divBdr>
        <w:top w:val="none" w:sz="0" w:space="0" w:color="auto"/>
        <w:left w:val="none" w:sz="0" w:space="0" w:color="auto"/>
        <w:bottom w:val="none" w:sz="0" w:space="0" w:color="auto"/>
        <w:right w:val="none" w:sz="0" w:space="0" w:color="auto"/>
      </w:divBdr>
    </w:div>
    <w:div w:id="1182623197">
      <w:bodyDiv w:val="1"/>
      <w:marLeft w:val="0"/>
      <w:marRight w:val="0"/>
      <w:marTop w:val="0"/>
      <w:marBottom w:val="0"/>
      <w:divBdr>
        <w:top w:val="none" w:sz="0" w:space="0" w:color="auto"/>
        <w:left w:val="none" w:sz="0" w:space="0" w:color="auto"/>
        <w:bottom w:val="none" w:sz="0" w:space="0" w:color="auto"/>
        <w:right w:val="none" w:sz="0" w:space="0" w:color="auto"/>
      </w:divBdr>
    </w:div>
    <w:div w:id="1190291518">
      <w:bodyDiv w:val="1"/>
      <w:marLeft w:val="0"/>
      <w:marRight w:val="0"/>
      <w:marTop w:val="0"/>
      <w:marBottom w:val="0"/>
      <w:divBdr>
        <w:top w:val="none" w:sz="0" w:space="0" w:color="auto"/>
        <w:left w:val="none" w:sz="0" w:space="0" w:color="auto"/>
        <w:bottom w:val="none" w:sz="0" w:space="0" w:color="auto"/>
        <w:right w:val="none" w:sz="0" w:space="0" w:color="auto"/>
      </w:divBdr>
    </w:div>
    <w:div w:id="1195575989">
      <w:bodyDiv w:val="1"/>
      <w:marLeft w:val="0"/>
      <w:marRight w:val="0"/>
      <w:marTop w:val="0"/>
      <w:marBottom w:val="0"/>
      <w:divBdr>
        <w:top w:val="none" w:sz="0" w:space="0" w:color="auto"/>
        <w:left w:val="none" w:sz="0" w:space="0" w:color="auto"/>
        <w:bottom w:val="none" w:sz="0" w:space="0" w:color="auto"/>
        <w:right w:val="none" w:sz="0" w:space="0" w:color="auto"/>
      </w:divBdr>
    </w:div>
    <w:div w:id="1206209946">
      <w:bodyDiv w:val="1"/>
      <w:marLeft w:val="0"/>
      <w:marRight w:val="0"/>
      <w:marTop w:val="0"/>
      <w:marBottom w:val="0"/>
      <w:divBdr>
        <w:top w:val="none" w:sz="0" w:space="0" w:color="auto"/>
        <w:left w:val="none" w:sz="0" w:space="0" w:color="auto"/>
        <w:bottom w:val="none" w:sz="0" w:space="0" w:color="auto"/>
        <w:right w:val="none" w:sz="0" w:space="0" w:color="auto"/>
      </w:divBdr>
    </w:div>
    <w:div w:id="1215696953">
      <w:bodyDiv w:val="1"/>
      <w:marLeft w:val="0"/>
      <w:marRight w:val="0"/>
      <w:marTop w:val="0"/>
      <w:marBottom w:val="0"/>
      <w:divBdr>
        <w:top w:val="none" w:sz="0" w:space="0" w:color="auto"/>
        <w:left w:val="none" w:sz="0" w:space="0" w:color="auto"/>
        <w:bottom w:val="none" w:sz="0" w:space="0" w:color="auto"/>
        <w:right w:val="none" w:sz="0" w:space="0" w:color="auto"/>
      </w:divBdr>
    </w:div>
    <w:div w:id="1216156994">
      <w:bodyDiv w:val="1"/>
      <w:marLeft w:val="0"/>
      <w:marRight w:val="0"/>
      <w:marTop w:val="0"/>
      <w:marBottom w:val="0"/>
      <w:divBdr>
        <w:top w:val="none" w:sz="0" w:space="0" w:color="auto"/>
        <w:left w:val="none" w:sz="0" w:space="0" w:color="auto"/>
        <w:bottom w:val="none" w:sz="0" w:space="0" w:color="auto"/>
        <w:right w:val="none" w:sz="0" w:space="0" w:color="auto"/>
      </w:divBdr>
    </w:div>
    <w:div w:id="1222204913">
      <w:bodyDiv w:val="1"/>
      <w:marLeft w:val="0"/>
      <w:marRight w:val="0"/>
      <w:marTop w:val="0"/>
      <w:marBottom w:val="0"/>
      <w:divBdr>
        <w:top w:val="none" w:sz="0" w:space="0" w:color="auto"/>
        <w:left w:val="none" w:sz="0" w:space="0" w:color="auto"/>
        <w:bottom w:val="none" w:sz="0" w:space="0" w:color="auto"/>
        <w:right w:val="none" w:sz="0" w:space="0" w:color="auto"/>
      </w:divBdr>
    </w:div>
    <w:div w:id="1227378017">
      <w:bodyDiv w:val="1"/>
      <w:marLeft w:val="0"/>
      <w:marRight w:val="0"/>
      <w:marTop w:val="0"/>
      <w:marBottom w:val="0"/>
      <w:divBdr>
        <w:top w:val="none" w:sz="0" w:space="0" w:color="auto"/>
        <w:left w:val="none" w:sz="0" w:space="0" w:color="auto"/>
        <w:bottom w:val="none" w:sz="0" w:space="0" w:color="auto"/>
        <w:right w:val="none" w:sz="0" w:space="0" w:color="auto"/>
      </w:divBdr>
      <w:divsChild>
        <w:div w:id="805121983">
          <w:marLeft w:val="0"/>
          <w:marRight w:val="0"/>
          <w:marTop w:val="0"/>
          <w:marBottom w:val="0"/>
          <w:divBdr>
            <w:top w:val="none" w:sz="0" w:space="0" w:color="auto"/>
            <w:left w:val="none" w:sz="0" w:space="0" w:color="auto"/>
            <w:bottom w:val="none" w:sz="0" w:space="0" w:color="auto"/>
            <w:right w:val="none" w:sz="0" w:space="0" w:color="auto"/>
          </w:divBdr>
          <w:divsChild>
            <w:div w:id="999890610">
              <w:marLeft w:val="0"/>
              <w:marRight w:val="0"/>
              <w:marTop w:val="0"/>
              <w:marBottom w:val="0"/>
              <w:divBdr>
                <w:top w:val="none" w:sz="0" w:space="0" w:color="auto"/>
                <w:left w:val="none" w:sz="0" w:space="0" w:color="auto"/>
                <w:bottom w:val="none" w:sz="0" w:space="0" w:color="auto"/>
                <w:right w:val="none" w:sz="0" w:space="0" w:color="auto"/>
              </w:divBdr>
              <w:divsChild>
                <w:div w:id="240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622211">
      <w:bodyDiv w:val="1"/>
      <w:marLeft w:val="0"/>
      <w:marRight w:val="0"/>
      <w:marTop w:val="0"/>
      <w:marBottom w:val="0"/>
      <w:divBdr>
        <w:top w:val="none" w:sz="0" w:space="0" w:color="auto"/>
        <w:left w:val="none" w:sz="0" w:space="0" w:color="auto"/>
        <w:bottom w:val="none" w:sz="0" w:space="0" w:color="auto"/>
        <w:right w:val="none" w:sz="0" w:space="0" w:color="auto"/>
      </w:divBdr>
      <w:divsChild>
        <w:div w:id="259260962">
          <w:marLeft w:val="0"/>
          <w:marRight w:val="0"/>
          <w:marTop w:val="0"/>
          <w:marBottom w:val="0"/>
          <w:divBdr>
            <w:top w:val="none" w:sz="0" w:space="0" w:color="auto"/>
            <w:left w:val="none" w:sz="0" w:space="0" w:color="auto"/>
            <w:bottom w:val="none" w:sz="0" w:space="0" w:color="auto"/>
            <w:right w:val="none" w:sz="0" w:space="0" w:color="auto"/>
          </w:divBdr>
          <w:divsChild>
            <w:div w:id="629821799">
              <w:marLeft w:val="0"/>
              <w:marRight w:val="0"/>
              <w:marTop w:val="0"/>
              <w:marBottom w:val="0"/>
              <w:divBdr>
                <w:top w:val="none" w:sz="0" w:space="0" w:color="auto"/>
                <w:left w:val="none" w:sz="0" w:space="0" w:color="auto"/>
                <w:bottom w:val="none" w:sz="0" w:space="0" w:color="auto"/>
                <w:right w:val="none" w:sz="0" w:space="0" w:color="auto"/>
              </w:divBdr>
              <w:divsChild>
                <w:div w:id="19385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31346">
      <w:bodyDiv w:val="1"/>
      <w:marLeft w:val="0"/>
      <w:marRight w:val="0"/>
      <w:marTop w:val="0"/>
      <w:marBottom w:val="0"/>
      <w:divBdr>
        <w:top w:val="none" w:sz="0" w:space="0" w:color="auto"/>
        <w:left w:val="none" w:sz="0" w:space="0" w:color="auto"/>
        <w:bottom w:val="none" w:sz="0" w:space="0" w:color="auto"/>
        <w:right w:val="none" w:sz="0" w:space="0" w:color="auto"/>
      </w:divBdr>
    </w:div>
    <w:div w:id="1283809639">
      <w:bodyDiv w:val="1"/>
      <w:marLeft w:val="0"/>
      <w:marRight w:val="0"/>
      <w:marTop w:val="0"/>
      <w:marBottom w:val="0"/>
      <w:divBdr>
        <w:top w:val="none" w:sz="0" w:space="0" w:color="auto"/>
        <w:left w:val="none" w:sz="0" w:space="0" w:color="auto"/>
        <w:bottom w:val="none" w:sz="0" w:space="0" w:color="auto"/>
        <w:right w:val="none" w:sz="0" w:space="0" w:color="auto"/>
      </w:divBdr>
    </w:div>
    <w:div w:id="1286234358">
      <w:bodyDiv w:val="1"/>
      <w:marLeft w:val="0"/>
      <w:marRight w:val="0"/>
      <w:marTop w:val="0"/>
      <w:marBottom w:val="0"/>
      <w:divBdr>
        <w:top w:val="none" w:sz="0" w:space="0" w:color="auto"/>
        <w:left w:val="none" w:sz="0" w:space="0" w:color="auto"/>
        <w:bottom w:val="none" w:sz="0" w:space="0" w:color="auto"/>
        <w:right w:val="none" w:sz="0" w:space="0" w:color="auto"/>
      </w:divBdr>
    </w:div>
    <w:div w:id="1307466307">
      <w:bodyDiv w:val="1"/>
      <w:marLeft w:val="0"/>
      <w:marRight w:val="0"/>
      <w:marTop w:val="0"/>
      <w:marBottom w:val="0"/>
      <w:divBdr>
        <w:top w:val="none" w:sz="0" w:space="0" w:color="auto"/>
        <w:left w:val="none" w:sz="0" w:space="0" w:color="auto"/>
        <w:bottom w:val="none" w:sz="0" w:space="0" w:color="auto"/>
        <w:right w:val="none" w:sz="0" w:space="0" w:color="auto"/>
      </w:divBdr>
    </w:div>
    <w:div w:id="1312518238">
      <w:bodyDiv w:val="1"/>
      <w:marLeft w:val="0"/>
      <w:marRight w:val="0"/>
      <w:marTop w:val="0"/>
      <w:marBottom w:val="0"/>
      <w:divBdr>
        <w:top w:val="none" w:sz="0" w:space="0" w:color="auto"/>
        <w:left w:val="none" w:sz="0" w:space="0" w:color="auto"/>
        <w:bottom w:val="none" w:sz="0" w:space="0" w:color="auto"/>
        <w:right w:val="none" w:sz="0" w:space="0" w:color="auto"/>
      </w:divBdr>
      <w:divsChild>
        <w:div w:id="430131156">
          <w:marLeft w:val="0"/>
          <w:marRight w:val="0"/>
          <w:marTop w:val="0"/>
          <w:marBottom w:val="210"/>
          <w:divBdr>
            <w:top w:val="none" w:sz="0" w:space="0" w:color="auto"/>
            <w:left w:val="none" w:sz="0" w:space="0" w:color="auto"/>
            <w:bottom w:val="none" w:sz="0" w:space="0" w:color="auto"/>
            <w:right w:val="none" w:sz="0" w:space="0" w:color="auto"/>
          </w:divBdr>
        </w:div>
        <w:div w:id="687298356">
          <w:marLeft w:val="0"/>
          <w:marRight w:val="0"/>
          <w:marTop w:val="0"/>
          <w:marBottom w:val="210"/>
          <w:divBdr>
            <w:top w:val="none" w:sz="0" w:space="0" w:color="auto"/>
            <w:left w:val="none" w:sz="0" w:space="0" w:color="auto"/>
            <w:bottom w:val="none" w:sz="0" w:space="0" w:color="auto"/>
            <w:right w:val="none" w:sz="0" w:space="0" w:color="auto"/>
          </w:divBdr>
        </w:div>
      </w:divsChild>
    </w:div>
    <w:div w:id="1320306423">
      <w:bodyDiv w:val="1"/>
      <w:marLeft w:val="0"/>
      <w:marRight w:val="0"/>
      <w:marTop w:val="0"/>
      <w:marBottom w:val="0"/>
      <w:divBdr>
        <w:top w:val="none" w:sz="0" w:space="0" w:color="auto"/>
        <w:left w:val="none" w:sz="0" w:space="0" w:color="auto"/>
        <w:bottom w:val="none" w:sz="0" w:space="0" w:color="auto"/>
        <w:right w:val="none" w:sz="0" w:space="0" w:color="auto"/>
      </w:divBdr>
    </w:div>
    <w:div w:id="1347705699">
      <w:bodyDiv w:val="1"/>
      <w:marLeft w:val="0"/>
      <w:marRight w:val="0"/>
      <w:marTop w:val="0"/>
      <w:marBottom w:val="0"/>
      <w:divBdr>
        <w:top w:val="none" w:sz="0" w:space="0" w:color="auto"/>
        <w:left w:val="none" w:sz="0" w:space="0" w:color="auto"/>
        <w:bottom w:val="none" w:sz="0" w:space="0" w:color="auto"/>
        <w:right w:val="none" w:sz="0" w:space="0" w:color="auto"/>
      </w:divBdr>
    </w:div>
    <w:div w:id="1357077181">
      <w:bodyDiv w:val="1"/>
      <w:marLeft w:val="0"/>
      <w:marRight w:val="0"/>
      <w:marTop w:val="0"/>
      <w:marBottom w:val="0"/>
      <w:divBdr>
        <w:top w:val="none" w:sz="0" w:space="0" w:color="auto"/>
        <w:left w:val="none" w:sz="0" w:space="0" w:color="auto"/>
        <w:bottom w:val="none" w:sz="0" w:space="0" w:color="auto"/>
        <w:right w:val="none" w:sz="0" w:space="0" w:color="auto"/>
      </w:divBdr>
      <w:divsChild>
        <w:div w:id="1159884900">
          <w:marLeft w:val="0"/>
          <w:marRight w:val="0"/>
          <w:marTop w:val="0"/>
          <w:marBottom w:val="0"/>
          <w:divBdr>
            <w:top w:val="none" w:sz="0" w:space="0" w:color="auto"/>
            <w:left w:val="none" w:sz="0" w:space="0" w:color="auto"/>
            <w:bottom w:val="none" w:sz="0" w:space="0" w:color="auto"/>
            <w:right w:val="none" w:sz="0" w:space="0" w:color="auto"/>
          </w:divBdr>
          <w:divsChild>
            <w:div w:id="576475657">
              <w:marLeft w:val="0"/>
              <w:marRight w:val="0"/>
              <w:marTop w:val="0"/>
              <w:marBottom w:val="0"/>
              <w:divBdr>
                <w:top w:val="none" w:sz="0" w:space="0" w:color="auto"/>
                <w:left w:val="none" w:sz="0" w:space="0" w:color="auto"/>
                <w:bottom w:val="none" w:sz="0" w:space="0" w:color="auto"/>
                <w:right w:val="none" w:sz="0" w:space="0" w:color="auto"/>
              </w:divBdr>
              <w:divsChild>
                <w:div w:id="19318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1011">
      <w:bodyDiv w:val="1"/>
      <w:marLeft w:val="0"/>
      <w:marRight w:val="0"/>
      <w:marTop w:val="0"/>
      <w:marBottom w:val="0"/>
      <w:divBdr>
        <w:top w:val="none" w:sz="0" w:space="0" w:color="auto"/>
        <w:left w:val="none" w:sz="0" w:space="0" w:color="auto"/>
        <w:bottom w:val="none" w:sz="0" w:space="0" w:color="auto"/>
        <w:right w:val="none" w:sz="0" w:space="0" w:color="auto"/>
      </w:divBdr>
      <w:divsChild>
        <w:div w:id="146435048">
          <w:marLeft w:val="0"/>
          <w:marRight w:val="0"/>
          <w:marTop w:val="0"/>
          <w:marBottom w:val="0"/>
          <w:divBdr>
            <w:top w:val="none" w:sz="0" w:space="0" w:color="auto"/>
            <w:left w:val="none" w:sz="0" w:space="0" w:color="auto"/>
            <w:bottom w:val="none" w:sz="0" w:space="0" w:color="auto"/>
            <w:right w:val="none" w:sz="0" w:space="0" w:color="auto"/>
          </w:divBdr>
          <w:divsChild>
            <w:div w:id="19085920">
              <w:marLeft w:val="0"/>
              <w:marRight w:val="0"/>
              <w:marTop w:val="0"/>
              <w:marBottom w:val="0"/>
              <w:divBdr>
                <w:top w:val="none" w:sz="0" w:space="0" w:color="auto"/>
                <w:left w:val="none" w:sz="0" w:space="0" w:color="auto"/>
                <w:bottom w:val="none" w:sz="0" w:space="0" w:color="auto"/>
                <w:right w:val="none" w:sz="0" w:space="0" w:color="auto"/>
              </w:divBdr>
              <w:divsChild>
                <w:div w:id="213254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7622">
      <w:bodyDiv w:val="1"/>
      <w:marLeft w:val="0"/>
      <w:marRight w:val="0"/>
      <w:marTop w:val="0"/>
      <w:marBottom w:val="0"/>
      <w:divBdr>
        <w:top w:val="none" w:sz="0" w:space="0" w:color="auto"/>
        <w:left w:val="none" w:sz="0" w:space="0" w:color="auto"/>
        <w:bottom w:val="none" w:sz="0" w:space="0" w:color="auto"/>
        <w:right w:val="none" w:sz="0" w:space="0" w:color="auto"/>
      </w:divBdr>
    </w:div>
    <w:div w:id="1370571068">
      <w:bodyDiv w:val="1"/>
      <w:marLeft w:val="0"/>
      <w:marRight w:val="0"/>
      <w:marTop w:val="0"/>
      <w:marBottom w:val="0"/>
      <w:divBdr>
        <w:top w:val="none" w:sz="0" w:space="0" w:color="auto"/>
        <w:left w:val="none" w:sz="0" w:space="0" w:color="auto"/>
        <w:bottom w:val="none" w:sz="0" w:space="0" w:color="auto"/>
        <w:right w:val="none" w:sz="0" w:space="0" w:color="auto"/>
      </w:divBdr>
    </w:div>
    <w:div w:id="1380323860">
      <w:bodyDiv w:val="1"/>
      <w:marLeft w:val="0"/>
      <w:marRight w:val="0"/>
      <w:marTop w:val="0"/>
      <w:marBottom w:val="0"/>
      <w:divBdr>
        <w:top w:val="none" w:sz="0" w:space="0" w:color="auto"/>
        <w:left w:val="none" w:sz="0" w:space="0" w:color="auto"/>
        <w:bottom w:val="none" w:sz="0" w:space="0" w:color="auto"/>
        <w:right w:val="none" w:sz="0" w:space="0" w:color="auto"/>
      </w:divBdr>
      <w:divsChild>
        <w:div w:id="1738237564">
          <w:marLeft w:val="0"/>
          <w:marRight w:val="0"/>
          <w:marTop w:val="0"/>
          <w:marBottom w:val="0"/>
          <w:divBdr>
            <w:top w:val="none" w:sz="0" w:space="0" w:color="auto"/>
            <w:left w:val="none" w:sz="0" w:space="0" w:color="auto"/>
            <w:bottom w:val="none" w:sz="0" w:space="0" w:color="auto"/>
            <w:right w:val="none" w:sz="0" w:space="0" w:color="auto"/>
          </w:divBdr>
          <w:divsChild>
            <w:div w:id="812023092">
              <w:marLeft w:val="0"/>
              <w:marRight w:val="0"/>
              <w:marTop w:val="0"/>
              <w:marBottom w:val="0"/>
              <w:divBdr>
                <w:top w:val="none" w:sz="0" w:space="0" w:color="auto"/>
                <w:left w:val="none" w:sz="0" w:space="0" w:color="auto"/>
                <w:bottom w:val="none" w:sz="0" w:space="0" w:color="auto"/>
                <w:right w:val="none" w:sz="0" w:space="0" w:color="auto"/>
              </w:divBdr>
              <w:divsChild>
                <w:div w:id="14124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13650">
      <w:bodyDiv w:val="1"/>
      <w:marLeft w:val="0"/>
      <w:marRight w:val="0"/>
      <w:marTop w:val="0"/>
      <w:marBottom w:val="0"/>
      <w:divBdr>
        <w:top w:val="none" w:sz="0" w:space="0" w:color="auto"/>
        <w:left w:val="none" w:sz="0" w:space="0" w:color="auto"/>
        <w:bottom w:val="none" w:sz="0" w:space="0" w:color="auto"/>
        <w:right w:val="none" w:sz="0" w:space="0" w:color="auto"/>
      </w:divBdr>
    </w:div>
    <w:div w:id="1425690711">
      <w:bodyDiv w:val="1"/>
      <w:marLeft w:val="0"/>
      <w:marRight w:val="0"/>
      <w:marTop w:val="0"/>
      <w:marBottom w:val="0"/>
      <w:divBdr>
        <w:top w:val="none" w:sz="0" w:space="0" w:color="auto"/>
        <w:left w:val="none" w:sz="0" w:space="0" w:color="auto"/>
        <w:bottom w:val="none" w:sz="0" w:space="0" w:color="auto"/>
        <w:right w:val="none" w:sz="0" w:space="0" w:color="auto"/>
      </w:divBdr>
    </w:div>
    <w:div w:id="1430810872">
      <w:bodyDiv w:val="1"/>
      <w:marLeft w:val="0"/>
      <w:marRight w:val="0"/>
      <w:marTop w:val="0"/>
      <w:marBottom w:val="0"/>
      <w:divBdr>
        <w:top w:val="none" w:sz="0" w:space="0" w:color="auto"/>
        <w:left w:val="none" w:sz="0" w:space="0" w:color="auto"/>
        <w:bottom w:val="none" w:sz="0" w:space="0" w:color="auto"/>
        <w:right w:val="none" w:sz="0" w:space="0" w:color="auto"/>
      </w:divBdr>
    </w:div>
    <w:div w:id="1469477155">
      <w:bodyDiv w:val="1"/>
      <w:marLeft w:val="0"/>
      <w:marRight w:val="0"/>
      <w:marTop w:val="0"/>
      <w:marBottom w:val="0"/>
      <w:divBdr>
        <w:top w:val="none" w:sz="0" w:space="0" w:color="auto"/>
        <w:left w:val="none" w:sz="0" w:space="0" w:color="auto"/>
        <w:bottom w:val="none" w:sz="0" w:space="0" w:color="auto"/>
        <w:right w:val="none" w:sz="0" w:space="0" w:color="auto"/>
      </w:divBdr>
    </w:div>
    <w:div w:id="1486975659">
      <w:bodyDiv w:val="1"/>
      <w:marLeft w:val="0"/>
      <w:marRight w:val="0"/>
      <w:marTop w:val="0"/>
      <w:marBottom w:val="0"/>
      <w:divBdr>
        <w:top w:val="none" w:sz="0" w:space="0" w:color="auto"/>
        <w:left w:val="none" w:sz="0" w:space="0" w:color="auto"/>
        <w:bottom w:val="none" w:sz="0" w:space="0" w:color="auto"/>
        <w:right w:val="none" w:sz="0" w:space="0" w:color="auto"/>
      </w:divBdr>
      <w:divsChild>
        <w:div w:id="2100245900">
          <w:marLeft w:val="0"/>
          <w:marRight w:val="0"/>
          <w:marTop w:val="0"/>
          <w:marBottom w:val="0"/>
          <w:divBdr>
            <w:top w:val="none" w:sz="0" w:space="0" w:color="auto"/>
            <w:left w:val="none" w:sz="0" w:space="0" w:color="auto"/>
            <w:bottom w:val="none" w:sz="0" w:space="0" w:color="auto"/>
            <w:right w:val="none" w:sz="0" w:space="0" w:color="auto"/>
          </w:divBdr>
          <w:divsChild>
            <w:div w:id="1497768539">
              <w:marLeft w:val="0"/>
              <w:marRight w:val="0"/>
              <w:marTop w:val="0"/>
              <w:marBottom w:val="0"/>
              <w:divBdr>
                <w:top w:val="none" w:sz="0" w:space="0" w:color="auto"/>
                <w:left w:val="none" w:sz="0" w:space="0" w:color="auto"/>
                <w:bottom w:val="none" w:sz="0" w:space="0" w:color="auto"/>
                <w:right w:val="none" w:sz="0" w:space="0" w:color="auto"/>
              </w:divBdr>
              <w:divsChild>
                <w:div w:id="103377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16475">
      <w:bodyDiv w:val="1"/>
      <w:marLeft w:val="0"/>
      <w:marRight w:val="0"/>
      <w:marTop w:val="0"/>
      <w:marBottom w:val="0"/>
      <w:divBdr>
        <w:top w:val="none" w:sz="0" w:space="0" w:color="auto"/>
        <w:left w:val="none" w:sz="0" w:space="0" w:color="auto"/>
        <w:bottom w:val="none" w:sz="0" w:space="0" w:color="auto"/>
        <w:right w:val="none" w:sz="0" w:space="0" w:color="auto"/>
      </w:divBdr>
    </w:div>
    <w:div w:id="1505626388">
      <w:bodyDiv w:val="1"/>
      <w:marLeft w:val="0"/>
      <w:marRight w:val="0"/>
      <w:marTop w:val="0"/>
      <w:marBottom w:val="0"/>
      <w:divBdr>
        <w:top w:val="none" w:sz="0" w:space="0" w:color="auto"/>
        <w:left w:val="none" w:sz="0" w:space="0" w:color="auto"/>
        <w:bottom w:val="none" w:sz="0" w:space="0" w:color="auto"/>
        <w:right w:val="none" w:sz="0" w:space="0" w:color="auto"/>
      </w:divBdr>
    </w:div>
    <w:div w:id="1532184029">
      <w:bodyDiv w:val="1"/>
      <w:marLeft w:val="0"/>
      <w:marRight w:val="0"/>
      <w:marTop w:val="0"/>
      <w:marBottom w:val="0"/>
      <w:divBdr>
        <w:top w:val="none" w:sz="0" w:space="0" w:color="auto"/>
        <w:left w:val="none" w:sz="0" w:space="0" w:color="auto"/>
        <w:bottom w:val="none" w:sz="0" w:space="0" w:color="auto"/>
        <w:right w:val="none" w:sz="0" w:space="0" w:color="auto"/>
      </w:divBdr>
    </w:div>
    <w:div w:id="1543325748">
      <w:bodyDiv w:val="1"/>
      <w:marLeft w:val="0"/>
      <w:marRight w:val="0"/>
      <w:marTop w:val="0"/>
      <w:marBottom w:val="0"/>
      <w:divBdr>
        <w:top w:val="none" w:sz="0" w:space="0" w:color="auto"/>
        <w:left w:val="none" w:sz="0" w:space="0" w:color="auto"/>
        <w:bottom w:val="none" w:sz="0" w:space="0" w:color="auto"/>
        <w:right w:val="none" w:sz="0" w:space="0" w:color="auto"/>
      </w:divBdr>
    </w:div>
    <w:div w:id="1563759557">
      <w:bodyDiv w:val="1"/>
      <w:marLeft w:val="0"/>
      <w:marRight w:val="0"/>
      <w:marTop w:val="0"/>
      <w:marBottom w:val="0"/>
      <w:divBdr>
        <w:top w:val="none" w:sz="0" w:space="0" w:color="auto"/>
        <w:left w:val="none" w:sz="0" w:space="0" w:color="auto"/>
        <w:bottom w:val="none" w:sz="0" w:space="0" w:color="auto"/>
        <w:right w:val="none" w:sz="0" w:space="0" w:color="auto"/>
      </w:divBdr>
    </w:div>
    <w:div w:id="1565405727">
      <w:bodyDiv w:val="1"/>
      <w:marLeft w:val="0"/>
      <w:marRight w:val="0"/>
      <w:marTop w:val="0"/>
      <w:marBottom w:val="0"/>
      <w:divBdr>
        <w:top w:val="none" w:sz="0" w:space="0" w:color="auto"/>
        <w:left w:val="none" w:sz="0" w:space="0" w:color="auto"/>
        <w:bottom w:val="none" w:sz="0" w:space="0" w:color="auto"/>
        <w:right w:val="none" w:sz="0" w:space="0" w:color="auto"/>
      </w:divBdr>
    </w:div>
    <w:div w:id="1574465641">
      <w:bodyDiv w:val="1"/>
      <w:marLeft w:val="0"/>
      <w:marRight w:val="0"/>
      <w:marTop w:val="0"/>
      <w:marBottom w:val="0"/>
      <w:divBdr>
        <w:top w:val="none" w:sz="0" w:space="0" w:color="auto"/>
        <w:left w:val="none" w:sz="0" w:space="0" w:color="auto"/>
        <w:bottom w:val="none" w:sz="0" w:space="0" w:color="auto"/>
        <w:right w:val="none" w:sz="0" w:space="0" w:color="auto"/>
      </w:divBdr>
    </w:div>
    <w:div w:id="1592930823">
      <w:bodyDiv w:val="1"/>
      <w:marLeft w:val="0"/>
      <w:marRight w:val="0"/>
      <w:marTop w:val="0"/>
      <w:marBottom w:val="0"/>
      <w:divBdr>
        <w:top w:val="none" w:sz="0" w:space="0" w:color="auto"/>
        <w:left w:val="none" w:sz="0" w:space="0" w:color="auto"/>
        <w:bottom w:val="none" w:sz="0" w:space="0" w:color="auto"/>
        <w:right w:val="none" w:sz="0" w:space="0" w:color="auto"/>
      </w:divBdr>
      <w:divsChild>
        <w:div w:id="626932403">
          <w:marLeft w:val="0"/>
          <w:marRight w:val="0"/>
          <w:marTop w:val="0"/>
          <w:marBottom w:val="0"/>
          <w:divBdr>
            <w:top w:val="none" w:sz="0" w:space="0" w:color="auto"/>
            <w:left w:val="none" w:sz="0" w:space="0" w:color="auto"/>
            <w:bottom w:val="none" w:sz="0" w:space="0" w:color="auto"/>
            <w:right w:val="none" w:sz="0" w:space="0" w:color="auto"/>
          </w:divBdr>
          <w:divsChild>
            <w:div w:id="909458117">
              <w:marLeft w:val="0"/>
              <w:marRight w:val="0"/>
              <w:marTop w:val="0"/>
              <w:marBottom w:val="0"/>
              <w:divBdr>
                <w:top w:val="none" w:sz="0" w:space="0" w:color="auto"/>
                <w:left w:val="none" w:sz="0" w:space="0" w:color="auto"/>
                <w:bottom w:val="none" w:sz="0" w:space="0" w:color="auto"/>
                <w:right w:val="none" w:sz="0" w:space="0" w:color="auto"/>
              </w:divBdr>
              <w:divsChild>
                <w:div w:id="16872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30976">
          <w:marLeft w:val="0"/>
          <w:marRight w:val="0"/>
          <w:marTop w:val="0"/>
          <w:marBottom w:val="0"/>
          <w:divBdr>
            <w:top w:val="none" w:sz="0" w:space="0" w:color="auto"/>
            <w:left w:val="none" w:sz="0" w:space="0" w:color="auto"/>
            <w:bottom w:val="none" w:sz="0" w:space="0" w:color="auto"/>
            <w:right w:val="none" w:sz="0" w:space="0" w:color="auto"/>
          </w:divBdr>
          <w:divsChild>
            <w:div w:id="652952983">
              <w:marLeft w:val="0"/>
              <w:marRight w:val="0"/>
              <w:marTop w:val="0"/>
              <w:marBottom w:val="0"/>
              <w:divBdr>
                <w:top w:val="none" w:sz="0" w:space="0" w:color="auto"/>
                <w:left w:val="none" w:sz="0" w:space="0" w:color="auto"/>
                <w:bottom w:val="none" w:sz="0" w:space="0" w:color="auto"/>
                <w:right w:val="none" w:sz="0" w:space="0" w:color="auto"/>
              </w:divBdr>
              <w:divsChild>
                <w:div w:id="238292130">
                  <w:marLeft w:val="0"/>
                  <w:marRight w:val="0"/>
                  <w:marTop w:val="0"/>
                  <w:marBottom w:val="0"/>
                  <w:divBdr>
                    <w:top w:val="none" w:sz="0" w:space="0" w:color="auto"/>
                    <w:left w:val="none" w:sz="0" w:space="0" w:color="auto"/>
                    <w:bottom w:val="none" w:sz="0" w:space="0" w:color="auto"/>
                    <w:right w:val="none" w:sz="0" w:space="0" w:color="auto"/>
                  </w:divBdr>
                  <w:divsChild>
                    <w:div w:id="441150582">
                      <w:marLeft w:val="0"/>
                      <w:marRight w:val="0"/>
                      <w:marTop w:val="0"/>
                      <w:marBottom w:val="0"/>
                      <w:divBdr>
                        <w:top w:val="none" w:sz="0" w:space="0" w:color="auto"/>
                        <w:left w:val="none" w:sz="0" w:space="0" w:color="auto"/>
                        <w:bottom w:val="none" w:sz="0" w:space="0" w:color="auto"/>
                        <w:right w:val="none" w:sz="0" w:space="0" w:color="auto"/>
                      </w:divBdr>
                      <w:divsChild>
                        <w:div w:id="245920933">
                          <w:marLeft w:val="0"/>
                          <w:marRight w:val="0"/>
                          <w:marTop w:val="0"/>
                          <w:marBottom w:val="0"/>
                          <w:divBdr>
                            <w:top w:val="none" w:sz="0" w:space="0" w:color="auto"/>
                            <w:left w:val="none" w:sz="0" w:space="0" w:color="auto"/>
                            <w:bottom w:val="none" w:sz="0" w:space="0" w:color="auto"/>
                            <w:right w:val="none" w:sz="0" w:space="0" w:color="auto"/>
                          </w:divBdr>
                          <w:divsChild>
                            <w:div w:id="9019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783860">
          <w:marLeft w:val="0"/>
          <w:marRight w:val="0"/>
          <w:marTop w:val="0"/>
          <w:marBottom w:val="0"/>
          <w:divBdr>
            <w:top w:val="none" w:sz="0" w:space="0" w:color="auto"/>
            <w:left w:val="none" w:sz="0" w:space="0" w:color="auto"/>
            <w:bottom w:val="none" w:sz="0" w:space="0" w:color="auto"/>
            <w:right w:val="none" w:sz="0" w:space="0" w:color="auto"/>
          </w:divBdr>
          <w:divsChild>
            <w:div w:id="2067144475">
              <w:marLeft w:val="0"/>
              <w:marRight w:val="0"/>
              <w:marTop w:val="0"/>
              <w:marBottom w:val="0"/>
              <w:divBdr>
                <w:top w:val="none" w:sz="0" w:space="0" w:color="auto"/>
                <w:left w:val="none" w:sz="0" w:space="0" w:color="auto"/>
                <w:bottom w:val="none" w:sz="0" w:space="0" w:color="auto"/>
                <w:right w:val="none" w:sz="0" w:space="0" w:color="auto"/>
              </w:divBdr>
              <w:divsChild>
                <w:div w:id="998195424">
                  <w:marLeft w:val="0"/>
                  <w:marRight w:val="0"/>
                  <w:marTop w:val="0"/>
                  <w:marBottom w:val="0"/>
                  <w:divBdr>
                    <w:top w:val="none" w:sz="0" w:space="0" w:color="auto"/>
                    <w:left w:val="none" w:sz="0" w:space="0" w:color="auto"/>
                    <w:bottom w:val="none" w:sz="0" w:space="0" w:color="auto"/>
                    <w:right w:val="none" w:sz="0" w:space="0" w:color="auto"/>
                  </w:divBdr>
                  <w:divsChild>
                    <w:div w:id="1375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1750">
      <w:bodyDiv w:val="1"/>
      <w:marLeft w:val="0"/>
      <w:marRight w:val="0"/>
      <w:marTop w:val="0"/>
      <w:marBottom w:val="0"/>
      <w:divBdr>
        <w:top w:val="none" w:sz="0" w:space="0" w:color="auto"/>
        <w:left w:val="none" w:sz="0" w:space="0" w:color="auto"/>
        <w:bottom w:val="none" w:sz="0" w:space="0" w:color="auto"/>
        <w:right w:val="none" w:sz="0" w:space="0" w:color="auto"/>
      </w:divBdr>
    </w:div>
    <w:div w:id="1631933300">
      <w:bodyDiv w:val="1"/>
      <w:marLeft w:val="0"/>
      <w:marRight w:val="0"/>
      <w:marTop w:val="0"/>
      <w:marBottom w:val="0"/>
      <w:divBdr>
        <w:top w:val="none" w:sz="0" w:space="0" w:color="auto"/>
        <w:left w:val="none" w:sz="0" w:space="0" w:color="auto"/>
        <w:bottom w:val="none" w:sz="0" w:space="0" w:color="auto"/>
        <w:right w:val="none" w:sz="0" w:space="0" w:color="auto"/>
      </w:divBdr>
    </w:div>
    <w:div w:id="1634674880">
      <w:bodyDiv w:val="1"/>
      <w:marLeft w:val="0"/>
      <w:marRight w:val="0"/>
      <w:marTop w:val="0"/>
      <w:marBottom w:val="0"/>
      <w:divBdr>
        <w:top w:val="none" w:sz="0" w:space="0" w:color="auto"/>
        <w:left w:val="none" w:sz="0" w:space="0" w:color="auto"/>
        <w:bottom w:val="none" w:sz="0" w:space="0" w:color="auto"/>
        <w:right w:val="none" w:sz="0" w:space="0" w:color="auto"/>
      </w:divBdr>
      <w:divsChild>
        <w:div w:id="1071579542">
          <w:marLeft w:val="0"/>
          <w:marRight w:val="0"/>
          <w:marTop w:val="0"/>
          <w:marBottom w:val="0"/>
          <w:divBdr>
            <w:top w:val="none" w:sz="0" w:space="0" w:color="auto"/>
            <w:left w:val="none" w:sz="0" w:space="0" w:color="auto"/>
            <w:bottom w:val="none" w:sz="0" w:space="0" w:color="auto"/>
            <w:right w:val="none" w:sz="0" w:space="0" w:color="auto"/>
          </w:divBdr>
          <w:divsChild>
            <w:div w:id="2016422570">
              <w:marLeft w:val="0"/>
              <w:marRight w:val="0"/>
              <w:marTop w:val="0"/>
              <w:marBottom w:val="0"/>
              <w:divBdr>
                <w:top w:val="none" w:sz="0" w:space="0" w:color="auto"/>
                <w:left w:val="none" w:sz="0" w:space="0" w:color="auto"/>
                <w:bottom w:val="none" w:sz="0" w:space="0" w:color="auto"/>
                <w:right w:val="none" w:sz="0" w:space="0" w:color="auto"/>
              </w:divBdr>
              <w:divsChild>
                <w:div w:id="17314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68316664">
      <w:bodyDiv w:val="1"/>
      <w:marLeft w:val="0"/>
      <w:marRight w:val="0"/>
      <w:marTop w:val="0"/>
      <w:marBottom w:val="0"/>
      <w:divBdr>
        <w:top w:val="none" w:sz="0" w:space="0" w:color="auto"/>
        <w:left w:val="none" w:sz="0" w:space="0" w:color="auto"/>
        <w:bottom w:val="none" w:sz="0" w:space="0" w:color="auto"/>
        <w:right w:val="none" w:sz="0" w:space="0" w:color="auto"/>
      </w:divBdr>
    </w:div>
    <w:div w:id="1673028776">
      <w:bodyDiv w:val="1"/>
      <w:marLeft w:val="0"/>
      <w:marRight w:val="0"/>
      <w:marTop w:val="0"/>
      <w:marBottom w:val="0"/>
      <w:divBdr>
        <w:top w:val="none" w:sz="0" w:space="0" w:color="auto"/>
        <w:left w:val="none" w:sz="0" w:space="0" w:color="auto"/>
        <w:bottom w:val="none" w:sz="0" w:space="0" w:color="auto"/>
        <w:right w:val="none" w:sz="0" w:space="0" w:color="auto"/>
      </w:divBdr>
    </w:div>
    <w:div w:id="1684478092">
      <w:bodyDiv w:val="1"/>
      <w:marLeft w:val="0"/>
      <w:marRight w:val="0"/>
      <w:marTop w:val="0"/>
      <w:marBottom w:val="0"/>
      <w:divBdr>
        <w:top w:val="none" w:sz="0" w:space="0" w:color="auto"/>
        <w:left w:val="none" w:sz="0" w:space="0" w:color="auto"/>
        <w:bottom w:val="none" w:sz="0" w:space="0" w:color="auto"/>
        <w:right w:val="none" w:sz="0" w:space="0" w:color="auto"/>
      </w:divBdr>
      <w:divsChild>
        <w:div w:id="1654488766">
          <w:marLeft w:val="0"/>
          <w:marRight w:val="0"/>
          <w:marTop w:val="0"/>
          <w:marBottom w:val="0"/>
          <w:divBdr>
            <w:top w:val="none" w:sz="0" w:space="0" w:color="auto"/>
            <w:left w:val="none" w:sz="0" w:space="0" w:color="auto"/>
            <w:bottom w:val="none" w:sz="0" w:space="0" w:color="auto"/>
            <w:right w:val="none" w:sz="0" w:space="0" w:color="auto"/>
          </w:divBdr>
          <w:divsChild>
            <w:div w:id="1373262609">
              <w:marLeft w:val="0"/>
              <w:marRight w:val="0"/>
              <w:marTop w:val="0"/>
              <w:marBottom w:val="0"/>
              <w:divBdr>
                <w:top w:val="none" w:sz="0" w:space="0" w:color="auto"/>
                <w:left w:val="none" w:sz="0" w:space="0" w:color="auto"/>
                <w:bottom w:val="none" w:sz="0" w:space="0" w:color="auto"/>
                <w:right w:val="none" w:sz="0" w:space="0" w:color="auto"/>
              </w:divBdr>
              <w:divsChild>
                <w:div w:id="8382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97139">
      <w:bodyDiv w:val="1"/>
      <w:marLeft w:val="0"/>
      <w:marRight w:val="0"/>
      <w:marTop w:val="0"/>
      <w:marBottom w:val="0"/>
      <w:divBdr>
        <w:top w:val="none" w:sz="0" w:space="0" w:color="auto"/>
        <w:left w:val="none" w:sz="0" w:space="0" w:color="auto"/>
        <w:bottom w:val="none" w:sz="0" w:space="0" w:color="auto"/>
        <w:right w:val="none" w:sz="0" w:space="0" w:color="auto"/>
      </w:divBdr>
      <w:divsChild>
        <w:div w:id="1068266980">
          <w:marLeft w:val="0"/>
          <w:marRight w:val="0"/>
          <w:marTop w:val="0"/>
          <w:marBottom w:val="0"/>
          <w:divBdr>
            <w:top w:val="none" w:sz="0" w:space="0" w:color="auto"/>
            <w:left w:val="none" w:sz="0" w:space="0" w:color="auto"/>
            <w:bottom w:val="none" w:sz="0" w:space="0" w:color="auto"/>
            <w:right w:val="none" w:sz="0" w:space="0" w:color="auto"/>
          </w:divBdr>
          <w:divsChild>
            <w:div w:id="664357861">
              <w:marLeft w:val="0"/>
              <w:marRight w:val="0"/>
              <w:marTop w:val="0"/>
              <w:marBottom w:val="0"/>
              <w:divBdr>
                <w:top w:val="none" w:sz="0" w:space="0" w:color="auto"/>
                <w:left w:val="none" w:sz="0" w:space="0" w:color="auto"/>
                <w:bottom w:val="none" w:sz="0" w:space="0" w:color="auto"/>
                <w:right w:val="none" w:sz="0" w:space="0" w:color="auto"/>
              </w:divBdr>
              <w:divsChild>
                <w:div w:id="153689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237902">
      <w:bodyDiv w:val="1"/>
      <w:marLeft w:val="0"/>
      <w:marRight w:val="0"/>
      <w:marTop w:val="0"/>
      <w:marBottom w:val="0"/>
      <w:divBdr>
        <w:top w:val="none" w:sz="0" w:space="0" w:color="auto"/>
        <w:left w:val="none" w:sz="0" w:space="0" w:color="auto"/>
        <w:bottom w:val="none" w:sz="0" w:space="0" w:color="auto"/>
        <w:right w:val="none" w:sz="0" w:space="0" w:color="auto"/>
      </w:divBdr>
      <w:divsChild>
        <w:div w:id="1246497305">
          <w:marLeft w:val="0"/>
          <w:marRight w:val="0"/>
          <w:marTop w:val="0"/>
          <w:marBottom w:val="0"/>
          <w:divBdr>
            <w:top w:val="none" w:sz="0" w:space="0" w:color="auto"/>
            <w:left w:val="none" w:sz="0" w:space="0" w:color="auto"/>
            <w:bottom w:val="none" w:sz="0" w:space="0" w:color="auto"/>
            <w:right w:val="none" w:sz="0" w:space="0" w:color="auto"/>
          </w:divBdr>
          <w:divsChild>
            <w:div w:id="405762865">
              <w:marLeft w:val="0"/>
              <w:marRight w:val="0"/>
              <w:marTop w:val="0"/>
              <w:marBottom w:val="0"/>
              <w:divBdr>
                <w:top w:val="none" w:sz="0" w:space="0" w:color="auto"/>
                <w:left w:val="none" w:sz="0" w:space="0" w:color="auto"/>
                <w:bottom w:val="none" w:sz="0" w:space="0" w:color="auto"/>
                <w:right w:val="none" w:sz="0" w:space="0" w:color="auto"/>
              </w:divBdr>
              <w:divsChild>
                <w:div w:id="37554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39738">
      <w:bodyDiv w:val="1"/>
      <w:marLeft w:val="0"/>
      <w:marRight w:val="0"/>
      <w:marTop w:val="0"/>
      <w:marBottom w:val="0"/>
      <w:divBdr>
        <w:top w:val="none" w:sz="0" w:space="0" w:color="auto"/>
        <w:left w:val="none" w:sz="0" w:space="0" w:color="auto"/>
        <w:bottom w:val="none" w:sz="0" w:space="0" w:color="auto"/>
        <w:right w:val="none" w:sz="0" w:space="0" w:color="auto"/>
      </w:divBdr>
    </w:div>
    <w:div w:id="1753501261">
      <w:bodyDiv w:val="1"/>
      <w:marLeft w:val="0"/>
      <w:marRight w:val="0"/>
      <w:marTop w:val="0"/>
      <w:marBottom w:val="0"/>
      <w:divBdr>
        <w:top w:val="none" w:sz="0" w:space="0" w:color="auto"/>
        <w:left w:val="none" w:sz="0" w:space="0" w:color="auto"/>
        <w:bottom w:val="none" w:sz="0" w:space="0" w:color="auto"/>
        <w:right w:val="none" w:sz="0" w:space="0" w:color="auto"/>
      </w:divBdr>
    </w:div>
    <w:div w:id="1764498368">
      <w:bodyDiv w:val="1"/>
      <w:marLeft w:val="0"/>
      <w:marRight w:val="0"/>
      <w:marTop w:val="0"/>
      <w:marBottom w:val="0"/>
      <w:divBdr>
        <w:top w:val="none" w:sz="0" w:space="0" w:color="auto"/>
        <w:left w:val="none" w:sz="0" w:space="0" w:color="auto"/>
        <w:bottom w:val="none" w:sz="0" w:space="0" w:color="auto"/>
        <w:right w:val="none" w:sz="0" w:space="0" w:color="auto"/>
      </w:divBdr>
    </w:div>
    <w:div w:id="1767728922">
      <w:bodyDiv w:val="1"/>
      <w:marLeft w:val="0"/>
      <w:marRight w:val="0"/>
      <w:marTop w:val="0"/>
      <w:marBottom w:val="0"/>
      <w:divBdr>
        <w:top w:val="none" w:sz="0" w:space="0" w:color="auto"/>
        <w:left w:val="none" w:sz="0" w:space="0" w:color="auto"/>
        <w:bottom w:val="none" w:sz="0" w:space="0" w:color="auto"/>
        <w:right w:val="none" w:sz="0" w:space="0" w:color="auto"/>
      </w:divBdr>
      <w:divsChild>
        <w:div w:id="719674300">
          <w:marLeft w:val="0"/>
          <w:marRight w:val="0"/>
          <w:marTop w:val="0"/>
          <w:marBottom w:val="0"/>
          <w:divBdr>
            <w:top w:val="none" w:sz="0" w:space="0" w:color="auto"/>
            <w:left w:val="none" w:sz="0" w:space="0" w:color="auto"/>
            <w:bottom w:val="none" w:sz="0" w:space="0" w:color="auto"/>
            <w:right w:val="none" w:sz="0" w:space="0" w:color="auto"/>
          </w:divBdr>
          <w:divsChild>
            <w:div w:id="2017612123">
              <w:marLeft w:val="0"/>
              <w:marRight w:val="0"/>
              <w:marTop w:val="0"/>
              <w:marBottom w:val="0"/>
              <w:divBdr>
                <w:top w:val="none" w:sz="0" w:space="0" w:color="auto"/>
                <w:left w:val="none" w:sz="0" w:space="0" w:color="auto"/>
                <w:bottom w:val="none" w:sz="0" w:space="0" w:color="auto"/>
                <w:right w:val="none" w:sz="0" w:space="0" w:color="auto"/>
              </w:divBdr>
              <w:divsChild>
                <w:div w:id="58492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931074">
      <w:bodyDiv w:val="1"/>
      <w:marLeft w:val="0"/>
      <w:marRight w:val="0"/>
      <w:marTop w:val="0"/>
      <w:marBottom w:val="0"/>
      <w:divBdr>
        <w:top w:val="none" w:sz="0" w:space="0" w:color="auto"/>
        <w:left w:val="none" w:sz="0" w:space="0" w:color="auto"/>
        <w:bottom w:val="none" w:sz="0" w:space="0" w:color="auto"/>
        <w:right w:val="none" w:sz="0" w:space="0" w:color="auto"/>
      </w:divBdr>
      <w:divsChild>
        <w:div w:id="2117095262">
          <w:marLeft w:val="0"/>
          <w:marRight w:val="0"/>
          <w:marTop w:val="0"/>
          <w:marBottom w:val="0"/>
          <w:divBdr>
            <w:top w:val="none" w:sz="0" w:space="0" w:color="auto"/>
            <w:left w:val="none" w:sz="0" w:space="0" w:color="auto"/>
            <w:bottom w:val="none" w:sz="0" w:space="0" w:color="auto"/>
            <w:right w:val="none" w:sz="0" w:space="0" w:color="auto"/>
          </w:divBdr>
          <w:divsChild>
            <w:div w:id="1954902564">
              <w:marLeft w:val="0"/>
              <w:marRight w:val="0"/>
              <w:marTop w:val="0"/>
              <w:marBottom w:val="0"/>
              <w:divBdr>
                <w:top w:val="none" w:sz="0" w:space="0" w:color="auto"/>
                <w:left w:val="none" w:sz="0" w:space="0" w:color="auto"/>
                <w:bottom w:val="none" w:sz="0" w:space="0" w:color="auto"/>
                <w:right w:val="none" w:sz="0" w:space="0" w:color="auto"/>
              </w:divBdr>
              <w:divsChild>
                <w:div w:id="8633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2162">
      <w:bodyDiv w:val="1"/>
      <w:marLeft w:val="0"/>
      <w:marRight w:val="0"/>
      <w:marTop w:val="0"/>
      <w:marBottom w:val="0"/>
      <w:divBdr>
        <w:top w:val="none" w:sz="0" w:space="0" w:color="auto"/>
        <w:left w:val="none" w:sz="0" w:space="0" w:color="auto"/>
        <w:bottom w:val="none" w:sz="0" w:space="0" w:color="auto"/>
        <w:right w:val="none" w:sz="0" w:space="0" w:color="auto"/>
      </w:divBdr>
    </w:div>
    <w:div w:id="1821266409">
      <w:bodyDiv w:val="1"/>
      <w:marLeft w:val="0"/>
      <w:marRight w:val="0"/>
      <w:marTop w:val="0"/>
      <w:marBottom w:val="0"/>
      <w:divBdr>
        <w:top w:val="none" w:sz="0" w:space="0" w:color="auto"/>
        <w:left w:val="none" w:sz="0" w:space="0" w:color="auto"/>
        <w:bottom w:val="none" w:sz="0" w:space="0" w:color="auto"/>
        <w:right w:val="none" w:sz="0" w:space="0" w:color="auto"/>
      </w:divBdr>
      <w:divsChild>
        <w:div w:id="436829469">
          <w:marLeft w:val="0"/>
          <w:marRight w:val="0"/>
          <w:marTop w:val="0"/>
          <w:marBottom w:val="0"/>
          <w:divBdr>
            <w:top w:val="none" w:sz="0" w:space="0" w:color="auto"/>
            <w:left w:val="none" w:sz="0" w:space="0" w:color="auto"/>
            <w:bottom w:val="none" w:sz="0" w:space="0" w:color="auto"/>
            <w:right w:val="none" w:sz="0" w:space="0" w:color="auto"/>
          </w:divBdr>
          <w:divsChild>
            <w:div w:id="2042431492">
              <w:marLeft w:val="0"/>
              <w:marRight w:val="0"/>
              <w:marTop w:val="0"/>
              <w:marBottom w:val="0"/>
              <w:divBdr>
                <w:top w:val="none" w:sz="0" w:space="0" w:color="auto"/>
                <w:left w:val="none" w:sz="0" w:space="0" w:color="auto"/>
                <w:bottom w:val="none" w:sz="0" w:space="0" w:color="auto"/>
                <w:right w:val="none" w:sz="0" w:space="0" w:color="auto"/>
              </w:divBdr>
              <w:divsChild>
                <w:div w:id="5482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83968">
      <w:bodyDiv w:val="1"/>
      <w:marLeft w:val="0"/>
      <w:marRight w:val="0"/>
      <w:marTop w:val="0"/>
      <w:marBottom w:val="0"/>
      <w:divBdr>
        <w:top w:val="none" w:sz="0" w:space="0" w:color="auto"/>
        <w:left w:val="none" w:sz="0" w:space="0" w:color="auto"/>
        <w:bottom w:val="none" w:sz="0" w:space="0" w:color="auto"/>
        <w:right w:val="none" w:sz="0" w:space="0" w:color="auto"/>
      </w:divBdr>
    </w:div>
    <w:div w:id="1865634659">
      <w:bodyDiv w:val="1"/>
      <w:marLeft w:val="0"/>
      <w:marRight w:val="0"/>
      <w:marTop w:val="0"/>
      <w:marBottom w:val="0"/>
      <w:divBdr>
        <w:top w:val="none" w:sz="0" w:space="0" w:color="auto"/>
        <w:left w:val="none" w:sz="0" w:space="0" w:color="auto"/>
        <w:bottom w:val="none" w:sz="0" w:space="0" w:color="auto"/>
        <w:right w:val="none" w:sz="0" w:space="0" w:color="auto"/>
      </w:divBdr>
    </w:div>
    <w:div w:id="1873498012">
      <w:bodyDiv w:val="1"/>
      <w:marLeft w:val="0"/>
      <w:marRight w:val="0"/>
      <w:marTop w:val="0"/>
      <w:marBottom w:val="0"/>
      <w:divBdr>
        <w:top w:val="none" w:sz="0" w:space="0" w:color="auto"/>
        <w:left w:val="none" w:sz="0" w:space="0" w:color="auto"/>
        <w:bottom w:val="none" w:sz="0" w:space="0" w:color="auto"/>
        <w:right w:val="none" w:sz="0" w:space="0" w:color="auto"/>
      </w:divBdr>
    </w:div>
    <w:div w:id="1878661324">
      <w:bodyDiv w:val="1"/>
      <w:marLeft w:val="0"/>
      <w:marRight w:val="0"/>
      <w:marTop w:val="0"/>
      <w:marBottom w:val="0"/>
      <w:divBdr>
        <w:top w:val="none" w:sz="0" w:space="0" w:color="auto"/>
        <w:left w:val="none" w:sz="0" w:space="0" w:color="auto"/>
        <w:bottom w:val="none" w:sz="0" w:space="0" w:color="auto"/>
        <w:right w:val="none" w:sz="0" w:space="0" w:color="auto"/>
      </w:divBdr>
    </w:div>
    <w:div w:id="1906254206">
      <w:bodyDiv w:val="1"/>
      <w:marLeft w:val="0"/>
      <w:marRight w:val="0"/>
      <w:marTop w:val="0"/>
      <w:marBottom w:val="0"/>
      <w:divBdr>
        <w:top w:val="none" w:sz="0" w:space="0" w:color="auto"/>
        <w:left w:val="none" w:sz="0" w:space="0" w:color="auto"/>
        <w:bottom w:val="none" w:sz="0" w:space="0" w:color="auto"/>
        <w:right w:val="none" w:sz="0" w:space="0" w:color="auto"/>
      </w:divBdr>
      <w:divsChild>
        <w:div w:id="750739159">
          <w:marLeft w:val="0"/>
          <w:marRight w:val="0"/>
          <w:marTop w:val="0"/>
          <w:marBottom w:val="0"/>
          <w:divBdr>
            <w:top w:val="none" w:sz="0" w:space="0" w:color="auto"/>
            <w:left w:val="none" w:sz="0" w:space="0" w:color="auto"/>
            <w:bottom w:val="none" w:sz="0" w:space="0" w:color="auto"/>
            <w:right w:val="none" w:sz="0" w:space="0" w:color="auto"/>
          </w:divBdr>
          <w:divsChild>
            <w:div w:id="660357536">
              <w:marLeft w:val="0"/>
              <w:marRight w:val="0"/>
              <w:marTop w:val="0"/>
              <w:marBottom w:val="0"/>
              <w:divBdr>
                <w:top w:val="none" w:sz="0" w:space="0" w:color="auto"/>
                <w:left w:val="none" w:sz="0" w:space="0" w:color="auto"/>
                <w:bottom w:val="none" w:sz="0" w:space="0" w:color="auto"/>
                <w:right w:val="none" w:sz="0" w:space="0" w:color="auto"/>
              </w:divBdr>
              <w:divsChild>
                <w:div w:id="17720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54320">
      <w:bodyDiv w:val="1"/>
      <w:marLeft w:val="0"/>
      <w:marRight w:val="0"/>
      <w:marTop w:val="0"/>
      <w:marBottom w:val="0"/>
      <w:divBdr>
        <w:top w:val="none" w:sz="0" w:space="0" w:color="auto"/>
        <w:left w:val="none" w:sz="0" w:space="0" w:color="auto"/>
        <w:bottom w:val="none" w:sz="0" w:space="0" w:color="auto"/>
        <w:right w:val="none" w:sz="0" w:space="0" w:color="auto"/>
      </w:divBdr>
      <w:divsChild>
        <w:div w:id="229272288">
          <w:marLeft w:val="0"/>
          <w:marRight w:val="0"/>
          <w:marTop w:val="0"/>
          <w:marBottom w:val="210"/>
          <w:divBdr>
            <w:top w:val="none" w:sz="0" w:space="0" w:color="auto"/>
            <w:left w:val="none" w:sz="0" w:space="0" w:color="auto"/>
            <w:bottom w:val="none" w:sz="0" w:space="0" w:color="auto"/>
            <w:right w:val="none" w:sz="0" w:space="0" w:color="auto"/>
          </w:divBdr>
        </w:div>
        <w:div w:id="1450584524">
          <w:marLeft w:val="0"/>
          <w:marRight w:val="0"/>
          <w:marTop w:val="0"/>
          <w:marBottom w:val="210"/>
          <w:divBdr>
            <w:top w:val="none" w:sz="0" w:space="0" w:color="auto"/>
            <w:left w:val="none" w:sz="0" w:space="0" w:color="auto"/>
            <w:bottom w:val="none" w:sz="0" w:space="0" w:color="auto"/>
            <w:right w:val="none" w:sz="0" w:space="0" w:color="auto"/>
          </w:divBdr>
        </w:div>
      </w:divsChild>
    </w:div>
    <w:div w:id="1926769408">
      <w:bodyDiv w:val="1"/>
      <w:marLeft w:val="0"/>
      <w:marRight w:val="0"/>
      <w:marTop w:val="0"/>
      <w:marBottom w:val="0"/>
      <w:divBdr>
        <w:top w:val="none" w:sz="0" w:space="0" w:color="auto"/>
        <w:left w:val="none" w:sz="0" w:space="0" w:color="auto"/>
        <w:bottom w:val="none" w:sz="0" w:space="0" w:color="auto"/>
        <w:right w:val="none" w:sz="0" w:space="0" w:color="auto"/>
      </w:divBdr>
    </w:div>
    <w:div w:id="1942181486">
      <w:bodyDiv w:val="1"/>
      <w:marLeft w:val="0"/>
      <w:marRight w:val="0"/>
      <w:marTop w:val="0"/>
      <w:marBottom w:val="0"/>
      <w:divBdr>
        <w:top w:val="none" w:sz="0" w:space="0" w:color="auto"/>
        <w:left w:val="none" w:sz="0" w:space="0" w:color="auto"/>
        <w:bottom w:val="none" w:sz="0" w:space="0" w:color="auto"/>
        <w:right w:val="none" w:sz="0" w:space="0" w:color="auto"/>
      </w:divBdr>
      <w:divsChild>
        <w:div w:id="1156382890">
          <w:marLeft w:val="0"/>
          <w:marRight w:val="0"/>
          <w:marTop w:val="0"/>
          <w:marBottom w:val="0"/>
          <w:divBdr>
            <w:top w:val="none" w:sz="0" w:space="0" w:color="auto"/>
            <w:left w:val="none" w:sz="0" w:space="0" w:color="auto"/>
            <w:bottom w:val="none" w:sz="0" w:space="0" w:color="auto"/>
            <w:right w:val="none" w:sz="0" w:space="0" w:color="auto"/>
          </w:divBdr>
          <w:divsChild>
            <w:div w:id="757141220">
              <w:marLeft w:val="0"/>
              <w:marRight w:val="0"/>
              <w:marTop w:val="0"/>
              <w:marBottom w:val="0"/>
              <w:divBdr>
                <w:top w:val="none" w:sz="0" w:space="0" w:color="auto"/>
                <w:left w:val="none" w:sz="0" w:space="0" w:color="auto"/>
                <w:bottom w:val="none" w:sz="0" w:space="0" w:color="auto"/>
                <w:right w:val="none" w:sz="0" w:space="0" w:color="auto"/>
              </w:divBdr>
              <w:divsChild>
                <w:div w:id="14890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23692">
      <w:bodyDiv w:val="1"/>
      <w:marLeft w:val="0"/>
      <w:marRight w:val="0"/>
      <w:marTop w:val="0"/>
      <w:marBottom w:val="0"/>
      <w:divBdr>
        <w:top w:val="none" w:sz="0" w:space="0" w:color="auto"/>
        <w:left w:val="none" w:sz="0" w:space="0" w:color="auto"/>
        <w:bottom w:val="none" w:sz="0" w:space="0" w:color="auto"/>
        <w:right w:val="none" w:sz="0" w:space="0" w:color="auto"/>
      </w:divBdr>
    </w:div>
    <w:div w:id="1998342320">
      <w:bodyDiv w:val="1"/>
      <w:marLeft w:val="0"/>
      <w:marRight w:val="0"/>
      <w:marTop w:val="0"/>
      <w:marBottom w:val="0"/>
      <w:divBdr>
        <w:top w:val="none" w:sz="0" w:space="0" w:color="auto"/>
        <w:left w:val="none" w:sz="0" w:space="0" w:color="auto"/>
        <w:bottom w:val="none" w:sz="0" w:space="0" w:color="auto"/>
        <w:right w:val="none" w:sz="0" w:space="0" w:color="auto"/>
      </w:divBdr>
      <w:divsChild>
        <w:div w:id="1211915644">
          <w:marLeft w:val="0"/>
          <w:marRight w:val="0"/>
          <w:marTop w:val="0"/>
          <w:marBottom w:val="0"/>
          <w:divBdr>
            <w:top w:val="none" w:sz="0" w:space="0" w:color="auto"/>
            <w:left w:val="none" w:sz="0" w:space="0" w:color="auto"/>
            <w:bottom w:val="none" w:sz="0" w:space="0" w:color="auto"/>
            <w:right w:val="none" w:sz="0" w:space="0" w:color="auto"/>
          </w:divBdr>
          <w:divsChild>
            <w:div w:id="791360417">
              <w:marLeft w:val="0"/>
              <w:marRight w:val="0"/>
              <w:marTop w:val="0"/>
              <w:marBottom w:val="0"/>
              <w:divBdr>
                <w:top w:val="none" w:sz="0" w:space="0" w:color="auto"/>
                <w:left w:val="none" w:sz="0" w:space="0" w:color="auto"/>
                <w:bottom w:val="none" w:sz="0" w:space="0" w:color="auto"/>
                <w:right w:val="none" w:sz="0" w:space="0" w:color="auto"/>
              </w:divBdr>
              <w:divsChild>
                <w:div w:id="17631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2737">
      <w:bodyDiv w:val="1"/>
      <w:marLeft w:val="0"/>
      <w:marRight w:val="0"/>
      <w:marTop w:val="0"/>
      <w:marBottom w:val="0"/>
      <w:divBdr>
        <w:top w:val="none" w:sz="0" w:space="0" w:color="auto"/>
        <w:left w:val="none" w:sz="0" w:space="0" w:color="auto"/>
        <w:bottom w:val="none" w:sz="0" w:space="0" w:color="auto"/>
        <w:right w:val="none" w:sz="0" w:space="0" w:color="auto"/>
      </w:divBdr>
    </w:div>
    <w:div w:id="2050690564">
      <w:bodyDiv w:val="1"/>
      <w:marLeft w:val="0"/>
      <w:marRight w:val="0"/>
      <w:marTop w:val="0"/>
      <w:marBottom w:val="0"/>
      <w:divBdr>
        <w:top w:val="none" w:sz="0" w:space="0" w:color="auto"/>
        <w:left w:val="none" w:sz="0" w:space="0" w:color="auto"/>
        <w:bottom w:val="none" w:sz="0" w:space="0" w:color="auto"/>
        <w:right w:val="none" w:sz="0" w:space="0" w:color="auto"/>
      </w:divBdr>
    </w:div>
    <w:div w:id="2056081224">
      <w:bodyDiv w:val="1"/>
      <w:marLeft w:val="0"/>
      <w:marRight w:val="0"/>
      <w:marTop w:val="0"/>
      <w:marBottom w:val="0"/>
      <w:divBdr>
        <w:top w:val="none" w:sz="0" w:space="0" w:color="auto"/>
        <w:left w:val="none" w:sz="0" w:space="0" w:color="auto"/>
        <w:bottom w:val="none" w:sz="0" w:space="0" w:color="auto"/>
        <w:right w:val="none" w:sz="0" w:space="0" w:color="auto"/>
      </w:divBdr>
      <w:divsChild>
        <w:div w:id="2141998289">
          <w:marLeft w:val="0"/>
          <w:marRight w:val="0"/>
          <w:marTop w:val="0"/>
          <w:marBottom w:val="0"/>
          <w:divBdr>
            <w:top w:val="none" w:sz="0" w:space="0" w:color="auto"/>
            <w:left w:val="none" w:sz="0" w:space="0" w:color="auto"/>
            <w:bottom w:val="none" w:sz="0" w:space="0" w:color="auto"/>
            <w:right w:val="none" w:sz="0" w:space="0" w:color="auto"/>
          </w:divBdr>
          <w:divsChild>
            <w:div w:id="1734503898">
              <w:marLeft w:val="0"/>
              <w:marRight w:val="0"/>
              <w:marTop w:val="0"/>
              <w:marBottom w:val="0"/>
              <w:divBdr>
                <w:top w:val="none" w:sz="0" w:space="0" w:color="auto"/>
                <w:left w:val="none" w:sz="0" w:space="0" w:color="auto"/>
                <w:bottom w:val="none" w:sz="0" w:space="0" w:color="auto"/>
                <w:right w:val="none" w:sz="0" w:space="0" w:color="auto"/>
              </w:divBdr>
              <w:divsChild>
                <w:div w:id="121150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9397">
      <w:bodyDiv w:val="1"/>
      <w:marLeft w:val="0"/>
      <w:marRight w:val="0"/>
      <w:marTop w:val="0"/>
      <w:marBottom w:val="0"/>
      <w:divBdr>
        <w:top w:val="none" w:sz="0" w:space="0" w:color="auto"/>
        <w:left w:val="none" w:sz="0" w:space="0" w:color="auto"/>
        <w:bottom w:val="none" w:sz="0" w:space="0" w:color="auto"/>
        <w:right w:val="none" w:sz="0" w:space="0" w:color="auto"/>
      </w:divBdr>
    </w:div>
    <w:div w:id="2090232535">
      <w:bodyDiv w:val="1"/>
      <w:marLeft w:val="0"/>
      <w:marRight w:val="0"/>
      <w:marTop w:val="0"/>
      <w:marBottom w:val="0"/>
      <w:divBdr>
        <w:top w:val="none" w:sz="0" w:space="0" w:color="auto"/>
        <w:left w:val="none" w:sz="0" w:space="0" w:color="auto"/>
        <w:bottom w:val="none" w:sz="0" w:space="0" w:color="auto"/>
        <w:right w:val="none" w:sz="0" w:space="0" w:color="auto"/>
      </w:divBdr>
    </w:div>
    <w:div w:id="2101102229">
      <w:bodyDiv w:val="1"/>
      <w:marLeft w:val="0"/>
      <w:marRight w:val="0"/>
      <w:marTop w:val="0"/>
      <w:marBottom w:val="0"/>
      <w:divBdr>
        <w:top w:val="none" w:sz="0" w:space="0" w:color="auto"/>
        <w:left w:val="none" w:sz="0" w:space="0" w:color="auto"/>
        <w:bottom w:val="none" w:sz="0" w:space="0" w:color="auto"/>
        <w:right w:val="none" w:sz="0" w:space="0" w:color="auto"/>
      </w:divBdr>
    </w:div>
    <w:div w:id="2103908647">
      <w:bodyDiv w:val="1"/>
      <w:marLeft w:val="0"/>
      <w:marRight w:val="0"/>
      <w:marTop w:val="0"/>
      <w:marBottom w:val="0"/>
      <w:divBdr>
        <w:top w:val="none" w:sz="0" w:space="0" w:color="auto"/>
        <w:left w:val="none" w:sz="0" w:space="0" w:color="auto"/>
        <w:bottom w:val="none" w:sz="0" w:space="0" w:color="auto"/>
        <w:right w:val="none" w:sz="0" w:space="0" w:color="auto"/>
      </w:divBdr>
    </w:div>
    <w:div w:id="2107384048">
      <w:bodyDiv w:val="1"/>
      <w:marLeft w:val="0"/>
      <w:marRight w:val="0"/>
      <w:marTop w:val="0"/>
      <w:marBottom w:val="0"/>
      <w:divBdr>
        <w:top w:val="none" w:sz="0" w:space="0" w:color="auto"/>
        <w:left w:val="none" w:sz="0" w:space="0" w:color="auto"/>
        <w:bottom w:val="none" w:sz="0" w:space="0" w:color="auto"/>
        <w:right w:val="none" w:sz="0" w:space="0" w:color="auto"/>
      </w:divBdr>
    </w:div>
    <w:div w:id="2114011683">
      <w:bodyDiv w:val="1"/>
      <w:marLeft w:val="0"/>
      <w:marRight w:val="0"/>
      <w:marTop w:val="0"/>
      <w:marBottom w:val="0"/>
      <w:divBdr>
        <w:top w:val="none" w:sz="0" w:space="0" w:color="auto"/>
        <w:left w:val="none" w:sz="0" w:space="0" w:color="auto"/>
        <w:bottom w:val="none" w:sz="0" w:space="0" w:color="auto"/>
        <w:right w:val="none" w:sz="0" w:space="0" w:color="auto"/>
      </w:divBdr>
    </w:div>
    <w:div w:id="2117406864">
      <w:bodyDiv w:val="1"/>
      <w:marLeft w:val="0"/>
      <w:marRight w:val="0"/>
      <w:marTop w:val="0"/>
      <w:marBottom w:val="0"/>
      <w:divBdr>
        <w:top w:val="none" w:sz="0" w:space="0" w:color="auto"/>
        <w:left w:val="none" w:sz="0" w:space="0" w:color="auto"/>
        <w:bottom w:val="none" w:sz="0" w:space="0" w:color="auto"/>
        <w:right w:val="none" w:sz="0" w:space="0" w:color="auto"/>
      </w:divBdr>
    </w:div>
    <w:div w:id="2126651938">
      <w:bodyDiv w:val="1"/>
      <w:marLeft w:val="0"/>
      <w:marRight w:val="0"/>
      <w:marTop w:val="0"/>
      <w:marBottom w:val="0"/>
      <w:divBdr>
        <w:top w:val="none" w:sz="0" w:space="0" w:color="auto"/>
        <w:left w:val="none" w:sz="0" w:space="0" w:color="auto"/>
        <w:bottom w:val="none" w:sz="0" w:space="0" w:color="auto"/>
        <w:right w:val="none" w:sz="0" w:space="0" w:color="auto"/>
      </w:divBdr>
    </w:div>
    <w:div w:id="2133206707">
      <w:bodyDiv w:val="1"/>
      <w:marLeft w:val="0"/>
      <w:marRight w:val="0"/>
      <w:marTop w:val="0"/>
      <w:marBottom w:val="0"/>
      <w:divBdr>
        <w:top w:val="none" w:sz="0" w:space="0" w:color="auto"/>
        <w:left w:val="none" w:sz="0" w:space="0" w:color="auto"/>
        <w:bottom w:val="none" w:sz="0" w:space="0" w:color="auto"/>
        <w:right w:val="none" w:sz="0" w:space="0" w:color="auto"/>
      </w:divBdr>
    </w:div>
    <w:div w:id="2136364850">
      <w:bodyDiv w:val="1"/>
      <w:marLeft w:val="0"/>
      <w:marRight w:val="0"/>
      <w:marTop w:val="0"/>
      <w:marBottom w:val="0"/>
      <w:divBdr>
        <w:top w:val="none" w:sz="0" w:space="0" w:color="auto"/>
        <w:left w:val="none" w:sz="0" w:space="0" w:color="auto"/>
        <w:bottom w:val="none" w:sz="0" w:space="0" w:color="auto"/>
        <w:right w:val="none" w:sz="0" w:space="0" w:color="auto"/>
      </w:divBdr>
    </w:div>
    <w:div w:id="2141222766">
      <w:bodyDiv w:val="1"/>
      <w:marLeft w:val="0"/>
      <w:marRight w:val="0"/>
      <w:marTop w:val="0"/>
      <w:marBottom w:val="0"/>
      <w:divBdr>
        <w:top w:val="none" w:sz="0" w:space="0" w:color="auto"/>
        <w:left w:val="none" w:sz="0" w:space="0" w:color="auto"/>
        <w:bottom w:val="none" w:sz="0" w:space="0" w:color="auto"/>
        <w:right w:val="none" w:sz="0" w:space="0" w:color="auto"/>
      </w:divBdr>
    </w:div>
    <w:div w:id="2143188072">
      <w:bodyDiv w:val="1"/>
      <w:marLeft w:val="0"/>
      <w:marRight w:val="0"/>
      <w:marTop w:val="0"/>
      <w:marBottom w:val="0"/>
      <w:divBdr>
        <w:top w:val="none" w:sz="0" w:space="0" w:color="auto"/>
        <w:left w:val="none" w:sz="0" w:space="0" w:color="auto"/>
        <w:bottom w:val="none" w:sz="0" w:space="0" w:color="auto"/>
        <w:right w:val="none" w:sz="0" w:space="0" w:color="auto"/>
      </w:divBdr>
    </w:div>
    <w:div w:id="2146199385">
      <w:bodyDiv w:val="1"/>
      <w:marLeft w:val="0"/>
      <w:marRight w:val="0"/>
      <w:marTop w:val="0"/>
      <w:marBottom w:val="0"/>
      <w:divBdr>
        <w:top w:val="none" w:sz="0" w:space="0" w:color="auto"/>
        <w:left w:val="none" w:sz="0" w:space="0" w:color="auto"/>
        <w:bottom w:val="none" w:sz="0" w:space="0" w:color="auto"/>
        <w:right w:val="none" w:sz="0" w:space="0" w:color="auto"/>
      </w:divBdr>
    </w:div>
    <w:div w:id="214626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8.png"/><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hyperlink" Target="https://genderatwork.org/analytical-framework/"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omensfundfiji.org/wp-content/uploads/2021/11/FULL-SCOPING-STUDY.pdf" TargetMode="External"/><Relationship Id="rId35" Type="http://schemas.openxmlformats.org/officeDocument/2006/relationships/theme" Target="theme/theme1.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CH-Templates\Jan%202024\Clear%20Horizon%20Report%20template%20v1.3.dotx" TargetMode="External"/></Relationships>
</file>

<file path=word/theme/theme1.xml><?xml version="1.0" encoding="utf-8"?>
<a:theme xmlns:a="http://schemas.openxmlformats.org/drawingml/2006/main" name="Office Theme">
  <a:themeElements>
    <a:clrScheme name="Clear Horizon">
      <a:dk1>
        <a:srgbClr val="222222"/>
      </a:dk1>
      <a:lt1>
        <a:sysClr val="window" lastClr="FFFFFF"/>
      </a:lt1>
      <a:dk2>
        <a:srgbClr val="CBC3BB"/>
      </a:dk2>
      <a:lt2>
        <a:srgbClr val="EAE7E3"/>
      </a:lt2>
      <a:accent1>
        <a:srgbClr val="CC6600"/>
      </a:accent1>
      <a:accent2>
        <a:srgbClr val="FCE2CC"/>
      </a:accent2>
      <a:accent3>
        <a:srgbClr val="0D3E67"/>
      </a:accent3>
      <a:accent4>
        <a:srgbClr val="7D96B5"/>
      </a:accent4>
      <a:accent5>
        <a:srgbClr val="0D8577"/>
      </a:accent5>
      <a:accent6>
        <a:srgbClr val="46B8A9"/>
      </a:accent6>
      <a:hlink>
        <a:srgbClr val="0D3E67"/>
      </a:hlink>
      <a:folHlink>
        <a:srgbClr val="954F72"/>
      </a:folHlink>
    </a:clrScheme>
    <a:fontScheme name="Clear Horizon">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404e92-fc62-4a0f-bd0c-9416f64e1809">
      <Terms xmlns="http://schemas.microsoft.com/office/infopath/2007/PartnerControls"/>
    </lcf76f155ced4ddcb4097134ff3c332f>
    <TaxCatchAll xmlns="e3ac4ce4-dd58-4ff0-93be-5837486f149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6C110B9E90F14AB544ACB769607EC2" ma:contentTypeVersion="18" ma:contentTypeDescription="Create a new document." ma:contentTypeScope="" ma:versionID="adacfb03ac53a67afef8d7283454db1c">
  <xsd:schema xmlns:xsd="http://www.w3.org/2001/XMLSchema" xmlns:xs="http://www.w3.org/2001/XMLSchema" xmlns:p="http://schemas.microsoft.com/office/2006/metadata/properties" xmlns:ns2="e0404e92-fc62-4a0f-bd0c-9416f64e1809" xmlns:ns3="e3ac4ce4-dd58-4ff0-93be-5837486f1497" targetNamespace="http://schemas.microsoft.com/office/2006/metadata/properties" ma:root="true" ma:fieldsID="d747a7263a8d0055184081f85d306f30" ns2:_="" ns3:_="">
    <xsd:import namespace="e0404e92-fc62-4a0f-bd0c-9416f64e1809"/>
    <xsd:import namespace="e3ac4ce4-dd58-4ff0-93be-5837486f14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04e92-fc62-4a0f-bd0c-9416f64e1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e6d6170-9e66-4ec9-83aa-2c8e0e9ac0a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ac4ce4-dd58-4ff0-93be-5837486f14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054c9a-683f-4057-8918-6e28e617cb9c}" ma:internalName="TaxCatchAll" ma:showField="CatchAllData" ma:web="e3ac4ce4-dd58-4ff0-93be-5837486f14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customXml/itemProps2.xml><?xml version="1.0" encoding="utf-8"?>
<ds:datastoreItem xmlns:ds="http://schemas.openxmlformats.org/officeDocument/2006/customXml" ds:itemID="{7B88779C-EC54-4B47-BC31-059EABBE41E8}">
  <ds:schemaRefs>
    <ds:schemaRef ds:uri="http://schemas.microsoft.com/office/2006/metadata/properties"/>
    <ds:schemaRef ds:uri="http://schemas.microsoft.com/office/infopath/2007/PartnerControls"/>
    <ds:schemaRef ds:uri="e0404e92-fc62-4a0f-bd0c-9416f64e1809"/>
    <ds:schemaRef ds:uri="e3ac4ce4-dd58-4ff0-93be-5837486f1497"/>
  </ds:schemaRefs>
</ds:datastoreItem>
</file>

<file path=customXml/itemProps3.xml><?xml version="1.0" encoding="utf-8"?>
<ds:datastoreItem xmlns:ds="http://schemas.openxmlformats.org/officeDocument/2006/customXml" ds:itemID="{928FB120-E15C-48CA-86CE-ACB4BBC47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04e92-fc62-4a0f-bd0c-9416f64e1809"/>
    <ds:schemaRef ds:uri="e3ac4ce4-dd58-4ff0-93be-5837486f1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0BD774-F02C-4685-95AB-87ACB3AF450E}">
  <ds:schemaRefs>
    <ds:schemaRef ds:uri="http://schemas.microsoft.com/sharepoint/v3/contenttype/forms"/>
  </ds:schemaRefs>
</ds:datastoreItem>
</file>

<file path=customXml/itemProps5.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6.xml><?xml version="1.0" encoding="utf-8"?>
<ds:datastoreItem xmlns:ds="http://schemas.openxmlformats.org/officeDocument/2006/customXml" ds:itemID="{7FA08589-976F-4305-BE3F-6EAA54A9DD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Clear Horizon Report template v1.3</Template>
  <TotalTime>0</TotalTime>
  <Pages>67</Pages>
  <Words>26615</Words>
  <Characters>166158</Characters>
  <Application>Microsoft Office Word</Application>
  <DocSecurity>0</DocSecurity>
  <Lines>2674</Lines>
  <Paragraphs>952</Paragraphs>
  <ScaleCrop>false</ScaleCrop>
  <HeadingPairs>
    <vt:vector size="2" baseType="variant">
      <vt:variant>
        <vt:lpstr>Title</vt:lpstr>
      </vt:variant>
      <vt:variant>
        <vt:i4>1</vt:i4>
      </vt:variant>
    </vt:vector>
  </HeadingPairs>
  <TitlesOfParts>
    <vt:vector size="1" baseType="lpstr">
      <vt:lpstr>Pacific Women Lead Mid Term Review</vt:lpstr>
    </vt:vector>
  </TitlesOfParts>
  <Company/>
  <LinksUpToDate>false</LinksUpToDate>
  <CharactersWithSpaces>192272</CharactersWithSpaces>
  <SharedDoc>false</SharedDoc>
  <HLinks>
    <vt:vector size="174" baseType="variant">
      <vt:variant>
        <vt:i4>1507388</vt:i4>
      </vt:variant>
      <vt:variant>
        <vt:i4>158</vt:i4>
      </vt:variant>
      <vt:variant>
        <vt:i4>0</vt:i4>
      </vt:variant>
      <vt:variant>
        <vt:i4>5</vt:i4>
      </vt:variant>
      <vt:variant>
        <vt:lpwstr/>
      </vt:variant>
      <vt:variant>
        <vt:lpwstr>_Toc198801502</vt:lpwstr>
      </vt:variant>
      <vt:variant>
        <vt:i4>1507388</vt:i4>
      </vt:variant>
      <vt:variant>
        <vt:i4>152</vt:i4>
      </vt:variant>
      <vt:variant>
        <vt:i4>0</vt:i4>
      </vt:variant>
      <vt:variant>
        <vt:i4>5</vt:i4>
      </vt:variant>
      <vt:variant>
        <vt:lpwstr/>
      </vt:variant>
      <vt:variant>
        <vt:lpwstr>_Toc198801501</vt:lpwstr>
      </vt:variant>
      <vt:variant>
        <vt:i4>1507388</vt:i4>
      </vt:variant>
      <vt:variant>
        <vt:i4>146</vt:i4>
      </vt:variant>
      <vt:variant>
        <vt:i4>0</vt:i4>
      </vt:variant>
      <vt:variant>
        <vt:i4>5</vt:i4>
      </vt:variant>
      <vt:variant>
        <vt:lpwstr/>
      </vt:variant>
      <vt:variant>
        <vt:lpwstr>_Toc198801500</vt:lpwstr>
      </vt:variant>
      <vt:variant>
        <vt:i4>1966141</vt:i4>
      </vt:variant>
      <vt:variant>
        <vt:i4>140</vt:i4>
      </vt:variant>
      <vt:variant>
        <vt:i4>0</vt:i4>
      </vt:variant>
      <vt:variant>
        <vt:i4>5</vt:i4>
      </vt:variant>
      <vt:variant>
        <vt:lpwstr/>
      </vt:variant>
      <vt:variant>
        <vt:lpwstr>_Toc198801499</vt:lpwstr>
      </vt:variant>
      <vt:variant>
        <vt:i4>1966141</vt:i4>
      </vt:variant>
      <vt:variant>
        <vt:i4>134</vt:i4>
      </vt:variant>
      <vt:variant>
        <vt:i4>0</vt:i4>
      </vt:variant>
      <vt:variant>
        <vt:i4>5</vt:i4>
      </vt:variant>
      <vt:variant>
        <vt:lpwstr/>
      </vt:variant>
      <vt:variant>
        <vt:lpwstr>_Toc198801498</vt:lpwstr>
      </vt:variant>
      <vt:variant>
        <vt:i4>1966141</vt:i4>
      </vt:variant>
      <vt:variant>
        <vt:i4>128</vt:i4>
      </vt:variant>
      <vt:variant>
        <vt:i4>0</vt:i4>
      </vt:variant>
      <vt:variant>
        <vt:i4>5</vt:i4>
      </vt:variant>
      <vt:variant>
        <vt:lpwstr/>
      </vt:variant>
      <vt:variant>
        <vt:lpwstr>_Toc198801497</vt:lpwstr>
      </vt:variant>
      <vt:variant>
        <vt:i4>1966141</vt:i4>
      </vt:variant>
      <vt:variant>
        <vt:i4>119</vt:i4>
      </vt:variant>
      <vt:variant>
        <vt:i4>0</vt:i4>
      </vt:variant>
      <vt:variant>
        <vt:i4>5</vt:i4>
      </vt:variant>
      <vt:variant>
        <vt:lpwstr/>
      </vt:variant>
      <vt:variant>
        <vt:lpwstr>_Toc198801496</vt:lpwstr>
      </vt:variant>
      <vt:variant>
        <vt:i4>1966141</vt:i4>
      </vt:variant>
      <vt:variant>
        <vt:i4>113</vt:i4>
      </vt:variant>
      <vt:variant>
        <vt:i4>0</vt:i4>
      </vt:variant>
      <vt:variant>
        <vt:i4>5</vt:i4>
      </vt:variant>
      <vt:variant>
        <vt:lpwstr/>
      </vt:variant>
      <vt:variant>
        <vt:lpwstr>_Toc198801495</vt:lpwstr>
      </vt:variant>
      <vt:variant>
        <vt:i4>1966141</vt:i4>
      </vt:variant>
      <vt:variant>
        <vt:i4>107</vt:i4>
      </vt:variant>
      <vt:variant>
        <vt:i4>0</vt:i4>
      </vt:variant>
      <vt:variant>
        <vt:i4>5</vt:i4>
      </vt:variant>
      <vt:variant>
        <vt:lpwstr/>
      </vt:variant>
      <vt:variant>
        <vt:lpwstr>_Toc198801494</vt:lpwstr>
      </vt:variant>
      <vt:variant>
        <vt:i4>2031679</vt:i4>
      </vt:variant>
      <vt:variant>
        <vt:i4>98</vt:i4>
      </vt:variant>
      <vt:variant>
        <vt:i4>0</vt:i4>
      </vt:variant>
      <vt:variant>
        <vt:i4>5</vt:i4>
      </vt:variant>
      <vt:variant>
        <vt:lpwstr/>
      </vt:variant>
      <vt:variant>
        <vt:lpwstr>_Toc201840805</vt:lpwstr>
      </vt:variant>
      <vt:variant>
        <vt:i4>2031679</vt:i4>
      </vt:variant>
      <vt:variant>
        <vt:i4>92</vt:i4>
      </vt:variant>
      <vt:variant>
        <vt:i4>0</vt:i4>
      </vt:variant>
      <vt:variant>
        <vt:i4>5</vt:i4>
      </vt:variant>
      <vt:variant>
        <vt:lpwstr/>
      </vt:variant>
      <vt:variant>
        <vt:lpwstr>_Toc201840804</vt:lpwstr>
      </vt:variant>
      <vt:variant>
        <vt:i4>2031679</vt:i4>
      </vt:variant>
      <vt:variant>
        <vt:i4>86</vt:i4>
      </vt:variant>
      <vt:variant>
        <vt:i4>0</vt:i4>
      </vt:variant>
      <vt:variant>
        <vt:i4>5</vt:i4>
      </vt:variant>
      <vt:variant>
        <vt:lpwstr/>
      </vt:variant>
      <vt:variant>
        <vt:lpwstr>_Toc201840803</vt:lpwstr>
      </vt:variant>
      <vt:variant>
        <vt:i4>2031679</vt:i4>
      </vt:variant>
      <vt:variant>
        <vt:i4>80</vt:i4>
      </vt:variant>
      <vt:variant>
        <vt:i4>0</vt:i4>
      </vt:variant>
      <vt:variant>
        <vt:i4>5</vt:i4>
      </vt:variant>
      <vt:variant>
        <vt:lpwstr/>
      </vt:variant>
      <vt:variant>
        <vt:lpwstr>_Toc201840802</vt:lpwstr>
      </vt:variant>
      <vt:variant>
        <vt:i4>2031679</vt:i4>
      </vt:variant>
      <vt:variant>
        <vt:i4>74</vt:i4>
      </vt:variant>
      <vt:variant>
        <vt:i4>0</vt:i4>
      </vt:variant>
      <vt:variant>
        <vt:i4>5</vt:i4>
      </vt:variant>
      <vt:variant>
        <vt:lpwstr/>
      </vt:variant>
      <vt:variant>
        <vt:lpwstr>_Toc201840801</vt:lpwstr>
      </vt:variant>
      <vt:variant>
        <vt:i4>2031679</vt:i4>
      </vt:variant>
      <vt:variant>
        <vt:i4>68</vt:i4>
      </vt:variant>
      <vt:variant>
        <vt:i4>0</vt:i4>
      </vt:variant>
      <vt:variant>
        <vt:i4>5</vt:i4>
      </vt:variant>
      <vt:variant>
        <vt:lpwstr/>
      </vt:variant>
      <vt:variant>
        <vt:lpwstr>_Toc201840800</vt:lpwstr>
      </vt:variant>
      <vt:variant>
        <vt:i4>1441840</vt:i4>
      </vt:variant>
      <vt:variant>
        <vt:i4>62</vt:i4>
      </vt:variant>
      <vt:variant>
        <vt:i4>0</vt:i4>
      </vt:variant>
      <vt:variant>
        <vt:i4>5</vt:i4>
      </vt:variant>
      <vt:variant>
        <vt:lpwstr/>
      </vt:variant>
      <vt:variant>
        <vt:lpwstr>_Toc201840799</vt:lpwstr>
      </vt:variant>
      <vt:variant>
        <vt:i4>1441840</vt:i4>
      </vt:variant>
      <vt:variant>
        <vt:i4>56</vt:i4>
      </vt:variant>
      <vt:variant>
        <vt:i4>0</vt:i4>
      </vt:variant>
      <vt:variant>
        <vt:i4>5</vt:i4>
      </vt:variant>
      <vt:variant>
        <vt:lpwstr/>
      </vt:variant>
      <vt:variant>
        <vt:lpwstr>_Toc201840798</vt:lpwstr>
      </vt:variant>
      <vt:variant>
        <vt:i4>1441840</vt:i4>
      </vt:variant>
      <vt:variant>
        <vt:i4>50</vt:i4>
      </vt:variant>
      <vt:variant>
        <vt:i4>0</vt:i4>
      </vt:variant>
      <vt:variant>
        <vt:i4>5</vt:i4>
      </vt:variant>
      <vt:variant>
        <vt:lpwstr/>
      </vt:variant>
      <vt:variant>
        <vt:lpwstr>_Toc201840797</vt:lpwstr>
      </vt:variant>
      <vt:variant>
        <vt:i4>1441840</vt:i4>
      </vt:variant>
      <vt:variant>
        <vt:i4>44</vt:i4>
      </vt:variant>
      <vt:variant>
        <vt:i4>0</vt:i4>
      </vt:variant>
      <vt:variant>
        <vt:i4>5</vt:i4>
      </vt:variant>
      <vt:variant>
        <vt:lpwstr/>
      </vt:variant>
      <vt:variant>
        <vt:lpwstr>_Toc201840796</vt:lpwstr>
      </vt:variant>
      <vt:variant>
        <vt:i4>1441840</vt:i4>
      </vt:variant>
      <vt:variant>
        <vt:i4>38</vt:i4>
      </vt:variant>
      <vt:variant>
        <vt:i4>0</vt:i4>
      </vt:variant>
      <vt:variant>
        <vt:i4>5</vt:i4>
      </vt:variant>
      <vt:variant>
        <vt:lpwstr/>
      </vt:variant>
      <vt:variant>
        <vt:lpwstr>_Toc201840795</vt:lpwstr>
      </vt:variant>
      <vt:variant>
        <vt:i4>1441840</vt:i4>
      </vt:variant>
      <vt:variant>
        <vt:i4>32</vt:i4>
      </vt:variant>
      <vt:variant>
        <vt:i4>0</vt:i4>
      </vt:variant>
      <vt:variant>
        <vt:i4>5</vt:i4>
      </vt:variant>
      <vt:variant>
        <vt:lpwstr/>
      </vt:variant>
      <vt:variant>
        <vt:lpwstr>_Toc201840794</vt:lpwstr>
      </vt:variant>
      <vt:variant>
        <vt:i4>1441840</vt:i4>
      </vt:variant>
      <vt:variant>
        <vt:i4>26</vt:i4>
      </vt:variant>
      <vt:variant>
        <vt:i4>0</vt:i4>
      </vt:variant>
      <vt:variant>
        <vt:i4>5</vt:i4>
      </vt:variant>
      <vt:variant>
        <vt:lpwstr/>
      </vt:variant>
      <vt:variant>
        <vt:lpwstr>_Toc201840793</vt:lpwstr>
      </vt:variant>
      <vt:variant>
        <vt:i4>1441840</vt:i4>
      </vt:variant>
      <vt:variant>
        <vt:i4>20</vt:i4>
      </vt:variant>
      <vt:variant>
        <vt:i4>0</vt:i4>
      </vt:variant>
      <vt:variant>
        <vt:i4>5</vt:i4>
      </vt:variant>
      <vt:variant>
        <vt:lpwstr/>
      </vt:variant>
      <vt:variant>
        <vt:lpwstr>_Toc201840792</vt:lpwstr>
      </vt:variant>
      <vt:variant>
        <vt:i4>1441840</vt:i4>
      </vt:variant>
      <vt:variant>
        <vt:i4>14</vt:i4>
      </vt:variant>
      <vt:variant>
        <vt:i4>0</vt:i4>
      </vt:variant>
      <vt:variant>
        <vt:i4>5</vt:i4>
      </vt:variant>
      <vt:variant>
        <vt:lpwstr/>
      </vt:variant>
      <vt:variant>
        <vt:lpwstr>_Toc201840791</vt:lpwstr>
      </vt:variant>
      <vt:variant>
        <vt:i4>1441840</vt:i4>
      </vt:variant>
      <vt:variant>
        <vt:i4>8</vt:i4>
      </vt:variant>
      <vt:variant>
        <vt:i4>0</vt:i4>
      </vt:variant>
      <vt:variant>
        <vt:i4>5</vt:i4>
      </vt:variant>
      <vt:variant>
        <vt:lpwstr/>
      </vt:variant>
      <vt:variant>
        <vt:lpwstr>_Toc201840790</vt:lpwstr>
      </vt:variant>
      <vt:variant>
        <vt:i4>1507376</vt:i4>
      </vt:variant>
      <vt:variant>
        <vt:i4>2</vt:i4>
      </vt:variant>
      <vt:variant>
        <vt:i4>0</vt:i4>
      </vt:variant>
      <vt:variant>
        <vt:i4>5</vt:i4>
      </vt:variant>
      <vt:variant>
        <vt:lpwstr/>
      </vt:variant>
      <vt:variant>
        <vt:lpwstr>_Toc201840789</vt:lpwstr>
      </vt:variant>
      <vt:variant>
        <vt:i4>3473534</vt:i4>
      </vt:variant>
      <vt:variant>
        <vt:i4>6</vt:i4>
      </vt:variant>
      <vt:variant>
        <vt:i4>0</vt:i4>
      </vt:variant>
      <vt:variant>
        <vt:i4>5</vt:i4>
      </vt:variant>
      <vt:variant>
        <vt:lpwstr>https://www.julianking.co.nz/vfi/criteria/</vt:lpwstr>
      </vt:variant>
      <vt:variant>
        <vt:lpwstr/>
      </vt:variant>
      <vt:variant>
        <vt:i4>3473534</vt:i4>
      </vt:variant>
      <vt:variant>
        <vt:i4>3</vt:i4>
      </vt:variant>
      <vt:variant>
        <vt:i4>0</vt:i4>
      </vt:variant>
      <vt:variant>
        <vt:i4>5</vt:i4>
      </vt:variant>
      <vt:variant>
        <vt:lpwstr>https://www.julianking.co.nz/vfi/criteria/</vt:lpwstr>
      </vt:variant>
      <vt:variant>
        <vt:lpwstr/>
      </vt:variant>
      <vt:variant>
        <vt:i4>3473534</vt:i4>
      </vt:variant>
      <vt:variant>
        <vt:i4>0</vt:i4>
      </vt:variant>
      <vt:variant>
        <vt:i4>0</vt:i4>
      </vt:variant>
      <vt:variant>
        <vt:i4>5</vt:i4>
      </vt:variant>
      <vt:variant>
        <vt:lpwstr>https://www.julianking.co.nz/vfi/criteria/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Women Lead Mid Term Review</dc:title>
  <dc:subject/>
  <dc:creator>Clear Horizon, CoLAB</dc:creator>
  <cp:keywords>[SEC=OFFICIAL]</cp:keywords>
  <dc:description/>
  <cp:lastModifiedBy>Cameron Owers</cp:lastModifiedBy>
  <cp:revision>2</cp:revision>
  <cp:lastPrinted>2025-07-31T01:58:00Z</cp:lastPrinted>
  <dcterms:created xsi:type="dcterms:W3CDTF">2025-10-14T04:34:00Z</dcterms:created>
  <dcterms:modified xsi:type="dcterms:W3CDTF">2025-10-14T04:34:00Z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0x0101005A6C110B9E90F14AB544ACB769607EC2</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false</vt:bool>
  </property>
  <property fmtid="{D5CDD505-2E9C-101B-9397-08002B2CF9AE}" pid="6" name="RestartNumberingAtSection2">
    <vt:bool>true</vt:bool>
  </property>
  <property fmtid="{D5CDD505-2E9C-101B-9397-08002B2CF9AE}" pid="7" name="RestartNumberingAtSection3">
    <vt:bool>false</vt:bool>
  </property>
  <property fmtid="{D5CDD505-2E9C-101B-9397-08002B2CF9AE}" pid="8" name="CustomGallery1">
    <vt:bool>false</vt:bool>
  </property>
  <property fmtid="{D5CDD505-2E9C-101B-9397-08002B2CF9AE}" pid="9" name="CustomGallery2">
    <vt:bool>false</vt:bool>
  </property>
  <property fmtid="{D5CDD505-2E9C-101B-9397-08002B2CF9AE}" pid="10" name="CustomGallery3">
    <vt:bool>true</vt:bool>
  </property>
  <property fmtid="{D5CDD505-2E9C-101B-9397-08002B2CF9AE}" pid="11" name="CustomGallery4">
    <vt:bool>true</vt:bool>
  </property>
  <property fmtid="{D5CDD505-2E9C-101B-9397-08002B2CF9AE}" pid="12" name="CustomGallery5">
    <vt:bool>true</vt:bool>
  </property>
  <property fmtid="{D5CDD505-2E9C-101B-9397-08002B2CF9AE}" pid="13" name="TemplateType">
    <vt:lpwstr>Report</vt:lpwstr>
  </property>
  <property fmtid="{D5CDD505-2E9C-101B-9397-08002B2CF9AE}" pid="14" name="TemplateVersion">
    <vt:lpwstr>v1.0</vt:lpwstr>
  </property>
  <property fmtid="{D5CDD505-2E9C-101B-9397-08002B2CF9AE}" pid="15" name="CorrelatingCommon">
    <vt:lpwstr>v6.17</vt:lpwstr>
  </property>
  <property fmtid="{D5CDD505-2E9C-101B-9397-08002B2CF9AE}" pid="16" name="BaseMaster">
    <vt:lpwstr>v3.7</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xd_Signature">
    <vt:bool>false</vt:bool>
  </property>
  <property fmtid="{D5CDD505-2E9C-101B-9397-08002B2CF9AE}" pid="23" name="xd_ProgID">
    <vt:lpwstr/>
  </property>
  <property fmtid="{D5CDD505-2E9C-101B-9397-08002B2CF9AE}" pid="24" name="TemplateUrl">
    <vt:lpwstr/>
  </property>
  <property fmtid="{D5CDD505-2E9C-101B-9397-08002B2CF9AE}" pid="25" name="GrammarlyDocumentId">
    <vt:lpwstr>461a5fd46d66879d7e2be130bf92e551a1a01eeeb72d922213f32904ac72382a</vt:lpwstr>
  </property>
  <property fmtid="{D5CDD505-2E9C-101B-9397-08002B2CF9AE}" pid="26" name="Amendment">
    <vt:bool>true</vt:bool>
  </property>
  <property fmtid="{D5CDD505-2E9C-101B-9397-08002B2CF9AE}" pid="27" name="MediaServiceImageTags">
    <vt:lpwstr/>
  </property>
  <property fmtid="{D5CDD505-2E9C-101B-9397-08002B2CF9AE}" pid="28" name="PM_ProtectiveMarkingValue_Footer">
    <vt:lpwstr>OFFICIAL</vt:lpwstr>
  </property>
  <property fmtid="{D5CDD505-2E9C-101B-9397-08002B2CF9AE}" pid="29" name="PM_Originating_FileId">
    <vt:lpwstr>B2B90B8C13DA4D589C75C16C17ADF5E2</vt:lpwstr>
  </property>
  <property fmtid="{D5CDD505-2E9C-101B-9397-08002B2CF9AE}" pid="30" name="PM_Originator_Hash_SHA1">
    <vt:lpwstr>D9F6E5C82DFAF7AB6E3D596D48DD43C72EDFDAB4</vt:lpwstr>
  </property>
  <property fmtid="{D5CDD505-2E9C-101B-9397-08002B2CF9AE}" pid="31" name="PMUuid">
    <vt:lpwstr>v=2022.2;d=gov.au;g=46DD6D7C-8107-577B-BC6E-F348953B2E44</vt:lpwstr>
  </property>
  <property fmtid="{D5CDD505-2E9C-101B-9397-08002B2CF9AE}" pid="32" name="PM_OriginatorDomainName_SHA256">
    <vt:lpwstr>6F3591835F3B2A8A025B00B5BA6418010DA3A17C9C26EA9C049FFD28039489A2</vt:lpwstr>
  </property>
  <property fmtid="{D5CDD505-2E9C-101B-9397-08002B2CF9AE}" pid="33" name="PM_ProtectiveMarkingImage_Header">
    <vt:lpwstr>C:\Program Files\Common Files\janusNET Shared\janusSEAL\Images\DocumentSlashBlue.png</vt:lpwstr>
  </property>
  <property fmtid="{D5CDD505-2E9C-101B-9397-08002B2CF9AE}" pid="34" name="PM_Note">
    <vt:lpwstr/>
  </property>
  <property fmtid="{D5CDD505-2E9C-101B-9397-08002B2CF9AE}" pid="35" name="PM_ProtectiveMarkingImage_Footer">
    <vt:lpwstr>C:\Program Files\Common Files\janusNET Shared\janusSEAL\Images\DocumentSlashBlue.png</vt:lpwstr>
  </property>
  <property fmtid="{D5CDD505-2E9C-101B-9397-08002B2CF9AE}" pid="36" name="PM_Markers">
    <vt:lpwstr/>
  </property>
  <property fmtid="{D5CDD505-2E9C-101B-9397-08002B2CF9AE}" pid="37" name="PM_Qualifier_Prev">
    <vt:lpwstr/>
  </property>
  <property fmtid="{D5CDD505-2E9C-101B-9397-08002B2CF9AE}" pid="38" name="PM_Display">
    <vt:lpwstr>OFFICIAL</vt:lpwstr>
  </property>
  <property fmtid="{D5CDD505-2E9C-101B-9397-08002B2CF9AE}" pid="39" name="PM_Hash_Salt_Prev">
    <vt:lpwstr>BEE21D9B4701FA02A10A30D542C6D9EB</vt:lpwstr>
  </property>
  <property fmtid="{D5CDD505-2E9C-101B-9397-08002B2CF9AE}" pid="40" name="PM_Version">
    <vt:lpwstr>2018.4</vt:lpwstr>
  </property>
  <property fmtid="{D5CDD505-2E9C-101B-9397-08002B2CF9AE}" pid="41" name="PMHMAC">
    <vt:lpwstr>v=2022.1;a=SHA256;h=5D48DD8F077F489D02AB040100331A782B35C4E88A49C1F62B795BB342D83E6F</vt:lpwstr>
  </property>
  <property fmtid="{D5CDD505-2E9C-101B-9397-08002B2CF9AE}" pid="42" name="PM_Qualifier">
    <vt:lpwstr/>
  </property>
  <property fmtid="{D5CDD505-2E9C-101B-9397-08002B2CF9AE}" pid="43" name="PM_SecurityClassification_Prev">
    <vt:lpwstr>OFFICIAL</vt:lpwstr>
  </property>
  <property fmtid="{D5CDD505-2E9C-101B-9397-08002B2CF9AE}" pid="44" name="PM_OriginatorUserAccountName_SHA256">
    <vt:lpwstr>3E9DB5AB808CA91EB3E8EC398CDB7F67B110581D6BB28BC88565729DCE387350</vt:lpwstr>
  </property>
  <property fmtid="{D5CDD505-2E9C-101B-9397-08002B2CF9AE}" pid="45" name="PM_InsertionValue">
    <vt:lpwstr>OFFICIAL</vt:lpwstr>
  </property>
  <property fmtid="{D5CDD505-2E9C-101B-9397-08002B2CF9AE}" pid="46" name="PM_ProtectiveMarkingValue_Header">
    <vt:lpwstr>OFFICIAL</vt:lpwstr>
  </property>
  <property fmtid="{D5CDD505-2E9C-101B-9397-08002B2CF9AE}" pid="47" name="PM_OriginationTimeStamp">
    <vt:lpwstr>2024-11-05T00:44:02Z</vt:lpwstr>
  </property>
  <property fmtid="{D5CDD505-2E9C-101B-9397-08002B2CF9AE}" pid="48" name="PM_Hash_Salt">
    <vt:lpwstr>CFDF1FC5B4E3D244EB4A9FEA40CF8EC1</vt:lpwstr>
  </property>
  <property fmtid="{D5CDD505-2E9C-101B-9397-08002B2CF9AE}" pid="49" name="PM_SecurityClassification">
    <vt:lpwstr>OFFICIAL</vt:lpwstr>
  </property>
  <property fmtid="{D5CDD505-2E9C-101B-9397-08002B2CF9AE}" pid="50" name="PM_Namespace">
    <vt:lpwstr>gov.au</vt:lpwstr>
  </property>
  <property fmtid="{D5CDD505-2E9C-101B-9397-08002B2CF9AE}" pid="51" name="PM_DisplayValueSecClassificationWithQualifier">
    <vt:lpwstr>OFFICIAL</vt:lpwstr>
  </property>
  <property fmtid="{D5CDD505-2E9C-101B-9397-08002B2CF9AE}" pid="52" name="PM_Hash_Version">
    <vt:lpwstr>2022.1</vt:lpwstr>
  </property>
  <property fmtid="{D5CDD505-2E9C-101B-9397-08002B2CF9AE}" pid="53" name="PM_Hash_SHA1">
    <vt:lpwstr>1625B675041F1131F930B74A69D1330E63D87EA0</vt:lpwstr>
  </property>
  <property fmtid="{D5CDD505-2E9C-101B-9397-08002B2CF9AE}" pid="54" name="PM_Caveats_Count">
    <vt:lpwstr>0</vt:lpwstr>
  </property>
  <property fmtid="{D5CDD505-2E9C-101B-9397-08002B2CF9AE}" pid="55" name="PM_Expires">
    <vt:lpwstr/>
  </property>
  <property fmtid="{D5CDD505-2E9C-101B-9397-08002B2CF9AE}" pid="56" name="PM_DownTo">
    <vt:lpwstr/>
  </property>
</Properties>
</file>