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9FB7B" w14:textId="0E446040" w:rsidR="00344ED3" w:rsidRPr="00A06565" w:rsidRDefault="00EB7B3F" w:rsidP="00A06565">
      <w:pPr>
        <w:pStyle w:val="Heading1"/>
      </w:pPr>
      <w:r w:rsidRPr="00A06565">
        <w:t xml:space="preserve">PACIFIC WOMEN LEAD MID-TERM REVIEW MANAGEMENT RESPONSE </w:t>
      </w:r>
    </w:p>
    <w:p w14:paraId="5395669E" w14:textId="11B44578" w:rsidR="00151C3E" w:rsidRDefault="00151C3E" w:rsidP="008835B0">
      <w:pPr>
        <w:jc w:val="center"/>
        <w:rPr>
          <w:sz w:val="22"/>
          <w:szCs w:val="22"/>
        </w:rPr>
      </w:pPr>
      <w:r w:rsidRPr="3BB5F9A2">
        <w:rPr>
          <w:sz w:val="22"/>
          <w:szCs w:val="22"/>
        </w:rPr>
        <w:t>JOINT MANAGEMENT RESPONSE FROM PACIFIC WOMEN LEAD GOVERNANCE BOARD, DEPARTMENT OF FOREIGN AFFAIRS AND TRADE (DFAT), THE PACIFIC COMMUNITY (SPC), AND PWL ENABLING SERVICES (PWLES)</w:t>
      </w:r>
    </w:p>
    <w:p w14:paraId="7C504D53" w14:textId="443A2613" w:rsidR="00B952DC" w:rsidRDefault="781FEED8" w:rsidP="008835B0">
      <w:pPr>
        <w:rPr>
          <w:sz w:val="20"/>
          <w:szCs w:val="20"/>
        </w:rPr>
      </w:pPr>
      <w:r w:rsidRPr="2937DD3B">
        <w:rPr>
          <w:sz w:val="20"/>
          <w:szCs w:val="20"/>
        </w:rPr>
        <w:t xml:space="preserve">We welcome the </w:t>
      </w:r>
      <w:r w:rsidR="09F6A00B" w:rsidRPr="2937DD3B">
        <w:rPr>
          <w:sz w:val="20"/>
          <w:szCs w:val="20"/>
        </w:rPr>
        <w:t xml:space="preserve">independent </w:t>
      </w:r>
      <w:r w:rsidRPr="2937DD3B">
        <w:rPr>
          <w:sz w:val="20"/>
          <w:szCs w:val="20"/>
        </w:rPr>
        <w:t xml:space="preserve">mid-term review findings and acknowledge the recommendations for </w:t>
      </w:r>
      <w:r w:rsidR="09F6A00B" w:rsidRPr="2937DD3B">
        <w:rPr>
          <w:rFonts w:eastAsiaTheme="minorEastAsia"/>
          <w:sz w:val="20"/>
          <w:szCs w:val="20"/>
        </w:rPr>
        <w:t xml:space="preserve">the Pacific Women Lead (PWL) program. </w:t>
      </w:r>
      <w:r w:rsidRPr="2937DD3B">
        <w:rPr>
          <w:rFonts w:eastAsiaTheme="minorEastAsia"/>
          <w:sz w:val="20"/>
          <w:szCs w:val="20"/>
        </w:rPr>
        <w:t xml:space="preserve">We </w:t>
      </w:r>
      <w:r w:rsidR="001D6F4E">
        <w:rPr>
          <w:rFonts w:eastAsiaTheme="minorEastAsia"/>
          <w:sz w:val="20"/>
          <w:szCs w:val="20"/>
        </w:rPr>
        <w:t>value</w:t>
      </w:r>
      <w:r w:rsidR="001D6F4E" w:rsidRPr="2937DD3B">
        <w:rPr>
          <w:rFonts w:eastAsiaTheme="minorEastAsia"/>
          <w:sz w:val="20"/>
          <w:szCs w:val="20"/>
        </w:rPr>
        <w:t xml:space="preserve"> </w:t>
      </w:r>
      <w:r w:rsidRPr="2937DD3B">
        <w:rPr>
          <w:rFonts w:eastAsiaTheme="minorEastAsia"/>
          <w:sz w:val="20"/>
          <w:szCs w:val="20"/>
        </w:rPr>
        <w:t xml:space="preserve">the </w:t>
      </w:r>
      <w:proofErr w:type="spellStart"/>
      <w:r w:rsidRPr="2937DD3B">
        <w:rPr>
          <w:rFonts w:eastAsiaTheme="minorEastAsia"/>
          <w:sz w:val="20"/>
          <w:szCs w:val="20"/>
        </w:rPr>
        <w:t>favourable</w:t>
      </w:r>
      <w:proofErr w:type="spellEnd"/>
      <w:r w:rsidRPr="2937DD3B">
        <w:rPr>
          <w:rFonts w:eastAsiaTheme="minorEastAsia"/>
          <w:sz w:val="20"/>
          <w:szCs w:val="20"/>
        </w:rPr>
        <w:t xml:space="preserve"> observations made in the mid-term review</w:t>
      </w:r>
      <w:r w:rsidR="7566A0A1" w:rsidRPr="2937DD3B">
        <w:rPr>
          <w:rFonts w:eastAsiaTheme="minorEastAsia"/>
          <w:sz w:val="20"/>
          <w:szCs w:val="20"/>
        </w:rPr>
        <w:t>, and the conclusion that ‘the PWL modality is a fit-for-purpose, highly relevant, and effective approach to accelerating and consolidating regional gender equality efforts, distinguished by its Pacific-led, collaborative and adaptive design that reflects the complexity of advancing gender equality across the region’</w:t>
      </w:r>
      <w:r w:rsidRPr="2937DD3B">
        <w:rPr>
          <w:rFonts w:eastAsiaTheme="minorEastAsia"/>
          <w:sz w:val="20"/>
          <w:szCs w:val="20"/>
        </w:rPr>
        <w:t xml:space="preserve">. </w:t>
      </w:r>
      <w:r w:rsidR="3BC003CF" w:rsidRPr="2937DD3B">
        <w:rPr>
          <w:rFonts w:eastAsiaTheme="minorEastAsia"/>
          <w:sz w:val="20"/>
          <w:szCs w:val="20"/>
        </w:rPr>
        <w:t xml:space="preserve">To reflect </w:t>
      </w:r>
      <w:r w:rsidR="630E4C02" w:rsidRPr="2937DD3B">
        <w:rPr>
          <w:rFonts w:eastAsiaTheme="minorEastAsia"/>
          <w:sz w:val="20"/>
          <w:szCs w:val="20"/>
        </w:rPr>
        <w:t>PWL’s</w:t>
      </w:r>
      <w:r w:rsidR="3BC003CF" w:rsidRPr="2937DD3B">
        <w:rPr>
          <w:rFonts w:eastAsiaTheme="minorEastAsia"/>
          <w:sz w:val="20"/>
          <w:szCs w:val="20"/>
        </w:rPr>
        <w:t xml:space="preserve"> shared </w:t>
      </w:r>
      <w:r w:rsidR="630E4C02" w:rsidRPr="2937DD3B">
        <w:rPr>
          <w:rFonts w:eastAsiaTheme="minorEastAsia"/>
          <w:sz w:val="20"/>
          <w:szCs w:val="20"/>
        </w:rPr>
        <w:t>management and partnership approach, t</w:t>
      </w:r>
      <w:r w:rsidR="563338A2" w:rsidRPr="2937DD3B">
        <w:rPr>
          <w:rFonts w:eastAsiaTheme="minorEastAsia"/>
          <w:sz w:val="20"/>
          <w:szCs w:val="20"/>
        </w:rPr>
        <w:t>he PWL Governance Board, DFAT, SPC, and the Pacific Women Lead Enabling Services</w:t>
      </w:r>
      <w:r w:rsidR="64C1DB66" w:rsidRPr="2937DD3B">
        <w:rPr>
          <w:sz w:val="20"/>
          <w:szCs w:val="20"/>
        </w:rPr>
        <w:t xml:space="preserve"> (PWLES)</w:t>
      </w:r>
      <w:r w:rsidR="563338A2" w:rsidRPr="2937DD3B">
        <w:rPr>
          <w:sz w:val="20"/>
          <w:szCs w:val="20"/>
        </w:rPr>
        <w:t xml:space="preserve"> </w:t>
      </w:r>
      <w:r w:rsidR="64C1DB66" w:rsidRPr="2937DD3B">
        <w:rPr>
          <w:sz w:val="20"/>
          <w:szCs w:val="20"/>
        </w:rPr>
        <w:t>have responded to the recommendations in the management actions table below.</w:t>
      </w:r>
      <w:r w:rsidR="630E4C02" w:rsidRPr="2937DD3B">
        <w:rPr>
          <w:sz w:val="20"/>
          <w:szCs w:val="20"/>
        </w:rPr>
        <w:t xml:space="preserve"> O</w:t>
      </w:r>
      <w:r w:rsidR="64C1DB66" w:rsidRPr="2937DD3B">
        <w:rPr>
          <w:sz w:val="20"/>
          <w:szCs w:val="20"/>
        </w:rPr>
        <w:t xml:space="preserve">f the </w:t>
      </w:r>
      <w:r w:rsidR="0F8A94C6" w:rsidRPr="2937DD3B">
        <w:rPr>
          <w:sz w:val="20"/>
          <w:szCs w:val="20"/>
        </w:rPr>
        <w:t xml:space="preserve">nine </w:t>
      </w:r>
      <w:r w:rsidR="64C1DB66" w:rsidRPr="2937DD3B">
        <w:rPr>
          <w:sz w:val="20"/>
          <w:szCs w:val="20"/>
        </w:rPr>
        <w:t xml:space="preserve">recommendations, </w:t>
      </w:r>
      <w:r w:rsidR="109D7CD5" w:rsidRPr="2937DD3B">
        <w:rPr>
          <w:sz w:val="20"/>
          <w:szCs w:val="20"/>
        </w:rPr>
        <w:t>seven</w:t>
      </w:r>
      <w:r w:rsidR="64C1DB66" w:rsidRPr="2937DD3B">
        <w:rPr>
          <w:sz w:val="20"/>
          <w:szCs w:val="20"/>
        </w:rPr>
        <w:t xml:space="preserve"> have been </w:t>
      </w:r>
      <w:r w:rsidR="68A21AE7" w:rsidRPr="2937DD3B">
        <w:rPr>
          <w:sz w:val="20"/>
          <w:szCs w:val="20"/>
        </w:rPr>
        <w:t>agreed,</w:t>
      </w:r>
      <w:r w:rsidR="64C1DB66" w:rsidRPr="2937DD3B">
        <w:rPr>
          <w:sz w:val="20"/>
          <w:szCs w:val="20"/>
        </w:rPr>
        <w:t xml:space="preserve"> and two have been partially agreed. This joint management response outlines the agreed actions that will be taken forward.</w:t>
      </w:r>
    </w:p>
    <w:p w14:paraId="0467F7BA" w14:textId="09AD600D" w:rsidR="00B952DC" w:rsidRPr="00A06565" w:rsidRDefault="00B952DC" w:rsidP="00A06565">
      <w:pPr>
        <w:pStyle w:val="Heading2"/>
      </w:pPr>
      <w:r w:rsidRPr="00A06565">
        <w:t>Management Actions</w:t>
      </w:r>
    </w:p>
    <w:p w14:paraId="2DA5926F" w14:textId="5F11E255" w:rsidR="001F09DC" w:rsidRPr="00A06565" w:rsidRDefault="001F09DC" w:rsidP="00A06565">
      <w:pPr>
        <w:pStyle w:val="Heading3"/>
      </w:pPr>
      <w:r w:rsidRPr="00A06565">
        <w:t>For the remainder of the current phase (until end of June 2026)</w:t>
      </w:r>
    </w:p>
    <w:tbl>
      <w:tblPr>
        <w:tblStyle w:val="TableGrid"/>
        <w:tblW w:w="13320" w:type="dxa"/>
        <w:tblLayout w:type="fixed"/>
        <w:tblLook w:val="04A0" w:firstRow="1" w:lastRow="0" w:firstColumn="1" w:lastColumn="0" w:noHBand="0" w:noVBand="1"/>
      </w:tblPr>
      <w:tblGrid>
        <w:gridCol w:w="2689"/>
        <w:gridCol w:w="992"/>
        <w:gridCol w:w="2126"/>
        <w:gridCol w:w="1985"/>
        <w:gridCol w:w="2976"/>
        <w:gridCol w:w="1560"/>
        <w:gridCol w:w="992"/>
      </w:tblGrid>
      <w:tr w:rsidR="009F496D" w:rsidRPr="009F496D" w14:paraId="02F744C9" w14:textId="77777777" w:rsidTr="00A06565">
        <w:trPr>
          <w:trHeight w:val="300"/>
          <w:tblHeader/>
        </w:trPr>
        <w:tc>
          <w:tcPr>
            <w:tcW w:w="2689" w:type="dxa"/>
          </w:tcPr>
          <w:p w14:paraId="4DD66CAC" w14:textId="1B5CE449" w:rsidR="009F496D" w:rsidRPr="009F496D" w:rsidRDefault="00B952DC" w:rsidP="00913536">
            <w:pPr>
              <w:pStyle w:val="NoSpacing"/>
              <w:rPr>
                <w:rFonts w:ascii="Calibri" w:eastAsia="Calibri" w:hAnsi="Calibri" w:cs="Calibri"/>
                <w:b/>
                <w:bCs/>
                <w:sz w:val="16"/>
                <w:szCs w:val="16"/>
              </w:rPr>
            </w:pPr>
            <w:bookmarkStart w:id="0" w:name="_Toc185597889"/>
            <w:r>
              <w:rPr>
                <w:rFonts w:ascii="Calibri" w:eastAsia="Calibri" w:hAnsi="Calibri" w:cs="Calibri"/>
                <w:b/>
                <w:bCs/>
                <w:sz w:val="16"/>
                <w:szCs w:val="16"/>
              </w:rPr>
              <w:t xml:space="preserve">Recommendation </w:t>
            </w:r>
          </w:p>
          <w:p w14:paraId="3613DB93" w14:textId="77777777" w:rsidR="009F496D" w:rsidRPr="009F496D" w:rsidRDefault="009F496D" w:rsidP="00913536">
            <w:pPr>
              <w:pStyle w:val="NoSpacing"/>
              <w:rPr>
                <w:rFonts w:ascii="Calibri" w:eastAsia="Calibri" w:hAnsi="Calibri" w:cs="Calibri"/>
                <w:sz w:val="16"/>
                <w:szCs w:val="16"/>
              </w:rPr>
            </w:pPr>
          </w:p>
        </w:tc>
        <w:tc>
          <w:tcPr>
            <w:tcW w:w="992" w:type="dxa"/>
          </w:tcPr>
          <w:p w14:paraId="32DB6F1E" w14:textId="25E89D93" w:rsidR="009F496D" w:rsidRPr="009F496D" w:rsidRDefault="00B952DC" w:rsidP="6AD5217B">
            <w:pPr>
              <w:pStyle w:val="NoSpacing"/>
              <w:rPr>
                <w:rFonts w:ascii="Calibri" w:eastAsia="Calibri" w:hAnsi="Calibri" w:cs="Calibri"/>
                <w:b/>
                <w:bCs/>
                <w:sz w:val="12"/>
                <w:szCs w:val="12"/>
              </w:rPr>
            </w:pPr>
            <w:r>
              <w:rPr>
                <w:rFonts w:ascii="Calibri" w:eastAsia="Calibri" w:hAnsi="Calibri" w:cs="Calibri"/>
                <w:b/>
                <w:bCs/>
                <w:sz w:val="16"/>
                <w:szCs w:val="16"/>
              </w:rPr>
              <w:t>Level of agreement</w:t>
            </w:r>
            <w:r>
              <w:rPr>
                <w:rStyle w:val="FootnoteReference"/>
                <w:rFonts w:ascii="Calibri" w:eastAsia="Calibri" w:hAnsi="Calibri" w:cs="Calibri"/>
                <w:b/>
                <w:bCs/>
                <w:sz w:val="16"/>
                <w:szCs w:val="16"/>
              </w:rPr>
              <w:footnoteReference w:id="1"/>
            </w:r>
          </w:p>
        </w:tc>
        <w:tc>
          <w:tcPr>
            <w:tcW w:w="2126" w:type="dxa"/>
            <w:shd w:val="clear" w:color="auto" w:fill="E8E8E8" w:themeFill="background2"/>
          </w:tcPr>
          <w:p w14:paraId="2742AE23" w14:textId="22643E83" w:rsidR="009F496D" w:rsidRPr="009F496D" w:rsidRDefault="009F496D" w:rsidP="00913536">
            <w:pPr>
              <w:pStyle w:val="NoSpacing"/>
              <w:rPr>
                <w:rFonts w:ascii="Calibri" w:eastAsia="Calibri" w:hAnsi="Calibri" w:cs="Calibri"/>
                <w:b/>
                <w:bCs/>
                <w:sz w:val="16"/>
                <w:szCs w:val="16"/>
              </w:rPr>
            </w:pPr>
            <w:r w:rsidRPr="6AD5217B">
              <w:rPr>
                <w:rFonts w:ascii="Calibri" w:eastAsia="Calibri" w:hAnsi="Calibri" w:cs="Calibri"/>
                <w:b/>
                <w:bCs/>
                <w:sz w:val="16"/>
                <w:szCs w:val="16"/>
              </w:rPr>
              <w:t>Governance Board</w:t>
            </w:r>
          </w:p>
        </w:tc>
        <w:tc>
          <w:tcPr>
            <w:tcW w:w="1985" w:type="dxa"/>
          </w:tcPr>
          <w:p w14:paraId="441F3F32" w14:textId="63066610" w:rsidR="009F496D" w:rsidRPr="009F496D" w:rsidRDefault="009F496D" w:rsidP="00913536">
            <w:pPr>
              <w:pStyle w:val="NoSpacing"/>
              <w:rPr>
                <w:rFonts w:ascii="Calibri" w:eastAsia="Calibri" w:hAnsi="Calibri" w:cs="Calibri"/>
                <w:b/>
                <w:bCs/>
                <w:sz w:val="16"/>
                <w:szCs w:val="16"/>
              </w:rPr>
            </w:pPr>
            <w:r>
              <w:rPr>
                <w:rFonts w:ascii="Calibri" w:eastAsia="Calibri" w:hAnsi="Calibri" w:cs="Calibri"/>
                <w:b/>
                <w:bCs/>
                <w:sz w:val="16"/>
                <w:szCs w:val="16"/>
              </w:rPr>
              <w:t>DFAT</w:t>
            </w:r>
          </w:p>
        </w:tc>
        <w:tc>
          <w:tcPr>
            <w:tcW w:w="2976" w:type="dxa"/>
            <w:shd w:val="clear" w:color="auto" w:fill="E8E8E8" w:themeFill="background2"/>
          </w:tcPr>
          <w:p w14:paraId="76A3B9A0" w14:textId="1DA9D0D2" w:rsidR="009F496D" w:rsidRPr="009F496D" w:rsidRDefault="009F496D" w:rsidP="00913536">
            <w:pPr>
              <w:pStyle w:val="NoSpacing"/>
              <w:rPr>
                <w:rFonts w:ascii="Calibri" w:eastAsia="Calibri" w:hAnsi="Calibri" w:cs="Calibri"/>
                <w:b/>
                <w:bCs/>
                <w:sz w:val="16"/>
                <w:szCs w:val="16"/>
              </w:rPr>
            </w:pPr>
            <w:r w:rsidRPr="6AD5217B">
              <w:rPr>
                <w:rFonts w:ascii="Calibri" w:eastAsia="Calibri" w:hAnsi="Calibri" w:cs="Calibri"/>
                <w:b/>
                <w:bCs/>
                <w:sz w:val="16"/>
                <w:szCs w:val="16"/>
              </w:rPr>
              <w:t>SPC</w:t>
            </w:r>
          </w:p>
        </w:tc>
        <w:tc>
          <w:tcPr>
            <w:tcW w:w="1560" w:type="dxa"/>
            <w:shd w:val="clear" w:color="auto" w:fill="E8E8E8" w:themeFill="background2"/>
          </w:tcPr>
          <w:p w14:paraId="454040CA" w14:textId="1010F12A" w:rsidR="009F496D" w:rsidRPr="009F496D" w:rsidRDefault="009F496D" w:rsidP="00913536">
            <w:pPr>
              <w:pStyle w:val="NoSpacing"/>
              <w:rPr>
                <w:rFonts w:ascii="Calibri" w:eastAsia="Calibri" w:hAnsi="Calibri" w:cs="Calibri"/>
                <w:b/>
                <w:bCs/>
                <w:sz w:val="16"/>
                <w:szCs w:val="16"/>
              </w:rPr>
            </w:pPr>
            <w:r>
              <w:rPr>
                <w:rFonts w:ascii="Calibri" w:eastAsia="Calibri" w:hAnsi="Calibri" w:cs="Calibri"/>
                <w:b/>
                <w:bCs/>
                <w:sz w:val="16"/>
                <w:szCs w:val="16"/>
              </w:rPr>
              <w:t>PWLES</w:t>
            </w:r>
          </w:p>
        </w:tc>
        <w:tc>
          <w:tcPr>
            <w:tcW w:w="992" w:type="dxa"/>
          </w:tcPr>
          <w:p w14:paraId="7DC829C4" w14:textId="01F23DFA" w:rsidR="009F496D" w:rsidRPr="009F496D" w:rsidRDefault="009F496D" w:rsidP="00913536">
            <w:pPr>
              <w:pStyle w:val="NoSpacing"/>
              <w:rPr>
                <w:rFonts w:ascii="Calibri" w:eastAsia="Calibri" w:hAnsi="Calibri" w:cs="Calibri"/>
                <w:b/>
                <w:bCs/>
                <w:sz w:val="16"/>
                <w:szCs w:val="16"/>
              </w:rPr>
            </w:pPr>
            <w:r w:rsidRPr="009F496D">
              <w:rPr>
                <w:rFonts w:ascii="Calibri" w:eastAsia="Calibri" w:hAnsi="Calibri" w:cs="Calibri"/>
                <w:b/>
                <w:bCs/>
                <w:sz w:val="16"/>
                <w:szCs w:val="16"/>
              </w:rPr>
              <w:t xml:space="preserve">Timeframe </w:t>
            </w:r>
          </w:p>
        </w:tc>
      </w:tr>
      <w:tr w:rsidR="009F496D" w:rsidRPr="009F496D" w14:paraId="5A5F4C78" w14:textId="77777777" w:rsidTr="00A06565">
        <w:trPr>
          <w:trHeight w:val="300"/>
        </w:trPr>
        <w:tc>
          <w:tcPr>
            <w:tcW w:w="2689" w:type="dxa"/>
          </w:tcPr>
          <w:p w14:paraId="64A879A5" w14:textId="034D2FCD" w:rsidR="009F496D" w:rsidRPr="009F496D" w:rsidRDefault="009F496D" w:rsidP="6AD5217B">
            <w:pPr>
              <w:pStyle w:val="ListParagraph"/>
              <w:numPr>
                <w:ilvl w:val="0"/>
                <w:numId w:val="3"/>
              </w:numPr>
              <w:rPr>
                <w:rFonts w:ascii="Calibri" w:eastAsia="Calibri" w:hAnsi="Calibri" w:cs="Calibri"/>
                <w:b/>
                <w:bCs/>
                <w:kern w:val="0"/>
                <w:sz w:val="16"/>
                <w:szCs w:val="16"/>
                <w14:ligatures w14:val="none"/>
              </w:rPr>
            </w:pPr>
            <w:r w:rsidRPr="009F496D">
              <w:rPr>
                <w:rFonts w:ascii="Calibri" w:eastAsia="Calibri" w:hAnsi="Calibri" w:cs="Calibri"/>
                <w:b/>
                <w:bCs/>
                <w:kern w:val="0"/>
                <w:sz w:val="16"/>
                <w:szCs w:val="16"/>
                <w14:ligatures w14:val="none"/>
              </w:rPr>
              <w:t>Improve coordination between PWL components to enhance efficiency and effectiveness:</w:t>
            </w:r>
          </w:p>
          <w:p w14:paraId="28570394" w14:textId="6D64AF5B" w:rsidR="009F496D" w:rsidRPr="00123ED2" w:rsidRDefault="00621A54" w:rsidP="6AD5217B">
            <w:pPr>
              <w:spacing w:before="240"/>
              <w:rPr>
                <w:rFonts w:ascii="Calibri" w:eastAsia="Calibri" w:hAnsi="Calibri" w:cs="Calibri"/>
                <w:kern w:val="0"/>
                <w:sz w:val="16"/>
                <w:szCs w:val="16"/>
                <w14:ligatures w14:val="none"/>
              </w:rPr>
            </w:pPr>
            <w:r w:rsidRPr="0048642B">
              <w:rPr>
                <w:rFonts w:ascii="Calibri" w:eastAsia="Calibri" w:hAnsi="Calibri" w:cs="Calibri"/>
                <w:kern w:val="0"/>
                <w:sz w:val="16"/>
                <w:szCs w:val="16"/>
                <w14:ligatures w14:val="none"/>
              </w:rPr>
              <w:t xml:space="preserve">a) </w:t>
            </w:r>
            <w:r w:rsidR="009F496D" w:rsidRPr="0048642B">
              <w:rPr>
                <w:rFonts w:ascii="Calibri" w:eastAsia="Calibri" w:hAnsi="Calibri" w:cs="Calibri"/>
                <w:kern w:val="0"/>
                <w:sz w:val="16"/>
                <w:szCs w:val="16"/>
                <w14:ligatures w14:val="none"/>
              </w:rPr>
              <w:t>Initiate quarterly strategic convenings with component leads and key stakeholders, including SPC, PIFS, PWLES, Women’s Funds, DFAT and the PWL Governance Board.</w:t>
            </w:r>
          </w:p>
          <w:p w14:paraId="6C344EE8" w14:textId="77777777" w:rsidR="009F496D" w:rsidRPr="009F496D" w:rsidRDefault="009F496D" w:rsidP="009F496D">
            <w:pPr>
              <w:spacing w:before="240"/>
              <w:rPr>
                <w:rFonts w:ascii="Calibri" w:eastAsia="Calibri" w:hAnsi="Calibri" w:cs="Calibri"/>
                <w:kern w:val="0"/>
                <w:sz w:val="16"/>
                <w:szCs w:val="16"/>
                <w14:ligatures w14:val="none"/>
              </w:rPr>
            </w:pPr>
            <w:r w:rsidRPr="009F496D">
              <w:rPr>
                <w:rFonts w:ascii="Calibri" w:eastAsia="Calibri" w:hAnsi="Calibri" w:cs="Calibri"/>
                <w:kern w:val="0"/>
                <w:sz w:val="16"/>
                <w:szCs w:val="16"/>
                <w14:ligatures w14:val="none"/>
              </w:rPr>
              <w:t>These convenings should:</w:t>
            </w:r>
          </w:p>
          <w:p w14:paraId="0C632805" w14:textId="4A6DCA58" w:rsidR="009F496D" w:rsidRPr="009F496D" w:rsidRDefault="009F496D" w:rsidP="009F496D">
            <w:pPr>
              <w:pStyle w:val="ListParagraph"/>
              <w:numPr>
                <w:ilvl w:val="0"/>
                <w:numId w:val="5"/>
              </w:numPr>
              <w:spacing w:before="240"/>
              <w:rPr>
                <w:rFonts w:ascii="Calibri" w:eastAsia="Calibri" w:hAnsi="Calibri" w:cs="Calibri"/>
                <w:kern w:val="0"/>
                <w:sz w:val="16"/>
                <w:szCs w:val="16"/>
                <w14:ligatures w14:val="none"/>
              </w:rPr>
            </w:pPr>
            <w:r w:rsidRPr="009F496D">
              <w:rPr>
                <w:rFonts w:ascii="Calibri" w:eastAsia="Calibri" w:hAnsi="Calibri" w:cs="Calibri"/>
                <w:kern w:val="0"/>
                <w:sz w:val="16"/>
                <w:szCs w:val="16"/>
                <w14:ligatures w14:val="none"/>
              </w:rPr>
              <w:t>provide a formal platform for high-level coordination, strategic planning, and oversight of the Whole-of-Program (WOP)</w:t>
            </w:r>
          </w:p>
          <w:p w14:paraId="2705D4C1" w14:textId="0EBBDD71" w:rsidR="009F496D" w:rsidRPr="009F496D" w:rsidRDefault="00113631" w:rsidP="009F496D">
            <w:pPr>
              <w:pStyle w:val="ListParagraph"/>
              <w:numPr>
                <w:ilvl w:val="0"/>
                <w:numId w:val="5"/>
              </w:numPr>
              <w:spacing w:before="240"/>
              <w:rPr>
                <w:rFonts w:ascii="Calibri" w:eastAsia="Calibri" w:hAnsi="Calibri" w:cs="Calibri"/>
                <w:kern w:val="0"/>
                <w:sz w:val="16"/>
                <w:szCs w:val="16"/>
                <w14:ligatures w14:val="none"/>
              </w:rPr>
            </w:pPr>
            <w:r>
              <w:rPr>
                <w:rFonts w:ascii="Calibri" w:eastAsia="Calibri" w:hAnsi="Calibri" w:cs="Calibri"/>
                <w:kern w:val="0"/>
                <w:sz w:val="16"/>
                <w:szCs w:val="16"/>
                <w14:ligatures w14:val="none"/>
              </w:rPr>
              <w:t>a</w:t>
            </w:r>
            <w:r w:rsidR="009F496D" w:rsidRPr="009F496D">
              <w:rPr>
                <w:rFonts w:ascii="Calibri" w:eastAsia="Calibri" w:hAnsi="Calibri" w:cs="Calibri"/>
                <w:kern w:val="0"/>
                <w:sz w:val="16"/>
                <w:szCs w:val="16"/>
                <w14:ligatures w14:val="none"/>
              </w:rPr>
              <w:t xml:space="preserve">lign with existing regional convenings organised by SPC </w:t>
            </w:r>
            <w:r w:rsidR="009F496D" w:rsidRPr="009F496D">
              <w:rPr>
                <w:rFonts w:ascii="Calibri" w:eastAsia="Calibri" w:hAnsi="Calibri" w:cs="Calibri"/>
                <w:kern w:val="0"/>
                <w:sz w:val="16"/>
                <w:szCs w:val="16"/>
                <w14:ligatures w14:val="none"/>
              </w:rPr>
              <w:lastRenderedPageBreak/>
              <w:t>and PIFS to ensure logistical efficiency</w:t>
            </w:r>
          </w:p>
          <w:p w14:paraId="5EBBAD27" w14:textId="0023E8CA" w:rsidR="009F496D" w:rsidRPr="00C3273F" w:rsidRDefault="00113631" w:rsidP="00351354">
            <w:pPr>
              <w:pStyle w:val="ListParagraph"/>
              <w:numPr>
                <w:ilvl w:val="0"/>
                <w:numId w:val="5"/>
              </w:numPr>
              <w:spacing w:before="240"/>
              <w:rPr>
                <w:rFonts w:ascii="Calibri" w:eastAsia="Calibri" w:hAnsi="Calibri" w:cs="Calibri"/>
                <w:kern w:val="0"/>
                <w:sz w:val="16"/>
                <w:szCs w:val="16"/>
                <w14:ligatures w14:val="none"/>
              </w:rPr>
            </w:pPr>
            <w:r>
              <w:rPr>
                <w:rFonts w:ascii="Calibri" w:eastAsia="Calibri" w:hAnsi="Calibri" w:cs="Calibri"/>
                <w:sz w:val="16"/>
                <w:szCs w:val="16"/>
              </w:rPr>
              <w:t>e</w:t>
            </w:r>
            <w:r w:rsidR="009F496D" w:rsidRPr="009F496D">
              <w:rPr>
                <w:rFonts w:ascii="Calibri" w:eastAsia="Calibri" w:hAnsi="Calibri" w:cs="Calibri"/>
                <w:sz w:val="16"/>
                <w:szCs w:val="16"/>
              </w:rPr>
              <w:t xml:space="preserve">stablish clear mechanisms within these quarterly strategic convenings for tracking and acting on key decisions made by component leads and key stakeholders to enhance effectiveness. </w:t>
            </w:r>
          </w:p>
          <w:p w14:paraId="2C4E5CE3" w14:textId="003E8D24" w:rsidR="00C3273F" w:rsidRPr="0048642B" w:rsidRDefault="00621A54" w:rsidP="00621A54">
            <w:pPr>
              <w:spacing w:before="100" w:beforeAutospacing="1" w:after="100" w:afterAutospacing="1"/>
              <w:rPr>
                <w:rFonts w:ascii="Calibri" w:eastAsia="Calibri" w:hAnsi="Calibri" w:cs="Calibri"/>
                <w:kern w:val="0"/>
                <w:sz w:val="16"/>
                <w:szCs w:val="16"/>
                <w14:ligatures w14:val="none"/>
              </w:rPr>
            </w:pPr>
            <w:r w:rsidRPr="0048642B">
              <w:rPr>
                <w:rFonts w:ascii="Calibri" w:eastAsia="Calibri" w:hAnsi="Calibri" w:cs="Calibri"/>
                <w:kern w:val="0"/>
                <w:sz w:val="16"/>
                <w:szCs w:val="16"/>
                <w14:ligatures w14:val="none"/>
              </w:rPr>
              <w:t xml:space="preserve">b) </w:t>
            </w:r>
            <w:r w:rsidR="00C3273F" w:rsidRPr="0048642B">
              <w:rPr>
                <w:rFonts w:ascii="Calibri" w:eastAsia="Calibri" w:hAnsi="Calibri" w:cs="Calibri"/>
                <w:kern w:val="0"/>
                <w:sz w:val="16"/>
                <w:szCs w:val="16"/>
                <w14:ligatures w14:val="none"/>
              </w:rPr>
              <w:t>Enhance the visibility and engagement of UN agency programs by:</w:t>
            </w:r>
          </w:p>
          <w:p w14:paraId="554E3FAA" w14:textId="3CBF2D21" w:rsidR="00C3273F" w:rsidRPr="009F496D" w:rsidRDefault="008C1322" w:rsidP="00C3273F">
            <w:pPr>
              <w:pStyle w:val="ListParagraph"/>
              <w:numPr>
                <w:ilvl w:val="0"/>
                <w:numId w:val="7"/>
              </w:numPr>
              <w:spacing w:before="100" w:beforeAutospacing="1" w:after="100" w:afterAutospacing="1"/>
              <w:rPr>
                <w:rFonts w:ascii="Calibri" w:eastAsia="Calibri" w:hAnsi="Calibri" w:cs="Calibri"/>
                <w:kern w:val="0"/>
                <w:sz w:val="16"/>
                <w:szCs w:val="16"/>
                <w14:ligatures w14:val="none"/>
              </w:rPr>
            </w:pPr>
            <w:r>
              <w:rPr>
                <w:rFonts w:ascii="Calibri" w:eastAsia="Calibri" w:hAnsi="Calibri" w:cs="Calibri"/>
                <w:kern w:val="0"/>
                <w:sz w:val="16"/>
                <w:szCs w:val="16"/>
                <w14:ligatures w14:val="none"/>
              </w:rPr>
              <w:t>i</w:t>
            </w:r>
            <w:r w:rsidR="00C3273F" w:rsidRPr="009F496D">
              <w:rPr>
                <w:rFonts w:ascii="Calibri" w:eastAsia="Calibri" w:hAnsi="Calibri" w:cs="Calibri"/>
                <w:kern w:val="0"/>
                <w:sz w:val="16"/>
                <w:szCs w:val="16"/>
                <w14:ligatures w14:val="none"/>
              </w:rPr>
              <w:t xml:space="preserve">nviting UN representatives to </w:t>
            </w:r>
            <w:r w:rsidR="00C3273F" w:rsidRPr="009F496D">
              <w:rPr>
                <w:rFonts w:ascii="Calibri" w:eastAsia="Calibri" w:hAnsi="Calibri" w:cs="Calibri"/>
                <w:sz w:val="16"/>
                <w:szCs w:val="16"/>
              </w:rPr>
              <w:t>regular PWL</w:t>
            </w:r>
            <w:r w:rsidR="00C3273F" w:rsidRPr="009F496D">
              <w:rPr>
                <w:rFonts w:ascii="Calibri" w:eastAsia="Calibri" w:hAnsi="Calibri" w:cs="Calibri"/>
                <w:kern w:val="0"/>
                <w:sz w:val="16"/>
                <w:szCs w:val="16"/>
                <w14:ligatures w14:val="none"/>
              </w:rPr>
              <w:t xml:space="preserve"> convenings</w:t>
            </w:r>
          </w:p>
          <w:p w14:paraId="35ED365F" w14:textId="07465D96" w:rsidR="00C3273F" w:rsidRPr="009F496D" w:rsidRDefault="008C1322" w:rsidP="00C3273F">
            <w:pPr>
              <w:pStyle w:val="ListParagraph"/>
              <w:numPr>
                <w:ilvl w:val="0"/>
                <w:numId w:val="7"/>
              </w:numPr>
              <w:spacing w:before="100" w:beforeAutospacing="1" w:after="100" w:afterAutospacing="1"/>
              <w:rPr>
                <w:rFonts w:ascii="Calibri" w:eastAsia="Calibri" w:hAnsi="Calibri" w:cs="Calibri"/>
                <w:kern w:val="0"/>
                <w:sz w:val="16"/>
                <w:szCs w:val="16"/>
                <w14:ligatures w14:val="none"/>
              </w:rPr>
            </w:pPr>
            <w:r>
              <w:rPr>
                <w:rFonts w:ascii="Calibri" w:eastAsia="Calibri" w:hAnsi="Calibri" w:cs="Calibri"/>
                <w:kern w:val="0"/>
                <w:sz w:val="16"/>
                <w:szCs w:val="16"/>
                <w14:ligatures w14:val="none"/>
              </w:rPr>
              <w:t>e</w:t>
            </w:r>
            <w:r w:rsidR="00C3273F" w:rsidRPr="009F496D">
              <w:rPr>
                <w:rFonts w:ascii="Calibri" w:eastAsia="Calibri" w:hAnsi="Calibri" w:cs="Calibri"/>
                <w:kern w:val="0"/>
                <w:sz w:val="16"/>
                <w:szCs w:val="16"/>
                <w14:ligatures w14:val="none"/>
              </w:rPr>
              <w:t>stablishing regular information-sharing mechanisms between UN agencies and other PWL components</w:t>
            </w:r>
          </w:p>
          <w:p w14:paraId="5B1058E6" w14:textId="2F7ABF85" w:rsidR="00C3273F" w:rsidRPr="00A757BA" w:rsidRDefault="008C1322" w:rsidP="00C3273F">
            <w:pPr>
              <w:pStyle w:val="ListParagraph"/>
              <w:numPr>
                <w:ilvl w:val="0"/>
                <w:numId w:val="7"/>
              </w:numPr>
              <w:spacing w:before="240" w:beforeAutospacing="1" w:afterAutospacing="1"/>
              <w:rPr>
                <w:rFonts w:ascii="Calibri" w:eastAsia="Calibri" w:hAnsi="Calibri" w:cs="Calibri"/>
                <w:kern w:val="0"/>
                <w:sz w:val="16"/>
                <w:szCs w:val="16"/>
                <w14:ligatures w14:val="none"/>
              </w:rPr>
            </w:pPr>
            <w:r>
              <w:rPr>
                <w:rFonts w:ascii="Calibri" w:eastAsia="Calibri" w:hAnsi="Calibri" w:cs="Calibri"/>
                <w:kern w:val="0"/>
                <w:sz w:val="16"/>
                <w:szCs w:val="16"/>
                <w14:ligatures w14:val="none"/>
              </w:rPr>
              <w:t>m</w:t>
            </w:r>
            <w:r w:rsidR="00C3273F" w:rsidRPr="009F496D">
              <w:rPr>
                <w:rFonts w:ascii="Calibri" w:eastAsia="Calibri" w:hAnsi="Calibri" w:cs="Calibri"/>
                <w:kern w:val="0"/>
                <w:sz w:val="16"/>
                <w:szCs w:val="16"/>
                <w14:ligatures w14:val="none"/>
              </w:rPr>
              <w:t>apping UN-funded initiatives alongside PWL grants to minimise duplication and identify collaboration opportunities</w:t>
            </w:r>
            <w:r w:rsidR="00A757BA">
              <w:rPr>
                <w:rFonts w:ascii="Calibri" w:eastAsia="Calibri" w:hAnsi="Calibri" w:cs="Calibri"/>
                <w:kern w:val="0"/>
                <w:sz w:val="16"/>
                <w:szCs w:val="16"/>
                <w14:ligatures w14:val="none"/>
              </w:rPr>
              <w:t>.</w:t>
            </w:r>
          </w:p>
        </w:tc>
        <w:tc>
          <w:tcPr>
            <w:tcW w:w="992" w:type="dxa"/>
          </w:tcPr>
          <w:p w14:paraId="1D2F692A" w14:textId="4C8BF3D2" w:rsidR="00962320" w:rsidRPr="009F496D" w:rsidRDefault="009F496D" w:rsidP="00A06565">
            <w:pPr>
              <w:rPr>
                <w:rFonts w:ascii="Calibri" w:eastAsia="Calibri" w:hAnsi="Calibri" w:cs="Calibri"/>
                <w:b/>
                <w:bCs/>
                <w:sz w:val="16"/>
                <w:szCs w:val="16"/>
              </w:rPr>
            </w:pPr>
            <w:r w:rsidRPr="009F496D">
              <w:rPr>
                <w:rFonts w:ascii="Calibri" w:eastAsia="Calibri" w:hAnsi="Calibri" w:cs="Calibri"/>
                <w:b/>
                <w:bCs/>
                <w:sz w:val="16"/>
                <w:szCs w:val="16"/>
              </w:rPr>
              <w:lastRenderedPageBreak/>
              <w:t>Agree</w:t>
            </w:r>
          </w:p>
        </w:tc>
        <w:tc>
          <w:tcPr>
            <w:tcW w:w="2126" w:type="dxa"/>
            <w:shd w:val="clear" w:color="auto" w:fill="E8E8E8" w:themeFill="background2"/>
          </w:tcPr>
          <w:p w14:paraId="35E8FCAC" w14:textId="06981B0A" w:rsidR="003D6AA7" w:rsidRDefault="003D6AA7" w:rsidP="003D6AA7">
            <w:pPr>
              <w:rPr>
                <w:rFonts w:ascii="Calibri" w:eastAsia="Calibri" w:hAnsi="Calibri" w:cs="Calibri"/>
                <w:color w:val="000000" w:themeColor="text1"/>
                <w:sz w:val="16"/>
                <w:szCs w:val="16"/>
              </w:rPr>
            </w:pPr>
            <w:r>
              <w:rPr>
                <w:rFonts w:ascii="Calibri" w:eastAsia="Calibri" w:hAnsi="Calibri" w:cs="Calibri"/>
                <w:color w:val="000000" w:themeColor="text1"/>
                <w:sz w:val="16"/>
                <w:szCs w:val="16"/>
              </w:rPr>
              <w:t xml:space="preserve">1a) </w:t>
            </w:r>
            <w:r w:rsidRPr="003D6AA7">
              <w:rPr>
                <w:rFonts w:ascii="Calibri" w:eastAsia="Calibri" w:hAnsi="Calibri" w:cs="Calibri"/>
                <w:color w:val="000000" w:themeColor="text1"/>
                <w:sz w:val="16"/>
                <w:szCs w:val="16"/>
              </w:rPr>
              <w:t>The Board agrees quarterly strategic convenings are essential to improving coordination across</w:t>
            </w:r>
            <w:r w:rsidR="001D6F4E">
              <w:rPr>
                <w:rFonts w:ascii="Calibri" w:eastAsia="Calibri" w:hAnsi="Calibri" w:cs="Calibri"/>
                <w:color w:val="000000" w:themeColor="text1"/>
                <w:sz w:val="16"/>
                <w:szCs w:val="16"/>
              </w:rPr>
              <w:t xml:space="preserve"> the</w:t>
            </w:r>
            <w:r w:rsidRPr="003D6AA7">
              <w:rPr>
                <w:rFonts w:ascii="Calibri" w:eastAsia="Calibri" w:hAnsi="Calibri" w:cs="Calibri"/>
                <w:color w:val="000000" w:themeColor="text1"/>
                <w:sz w:val="16"/>
                <w:szCs w:val="16"/>
              </w:rPr>
              <w:t xml:space="preserve"> program. The Board will prioritise and actively participate in these scheduled meetings. These convenings will also serve as a key platform for the Board to raise awareness of </w:t>
            </w:r>
            <w:r w:rsidR="00A757BA">
              <w:rPr>
                <w:rFonts w:ascii="Calibri" w:eastAsia="Calibri" w:hAnsi="Calibri" w:cs="Calibri"/>
                <w:color w:val="000000" w:themeColor="text1"/>
                <w:sz w:val="16"/>
                <w:szCs w:val="16"/>
              </w:rPr>
              <w:t xml:space="preserve">Board </w:t>
            </w:r>
            <w:r w:rsidRPr="003D6AA7">
              <w:rPr>
                <w:rFonts w:ascii="Calibri" w:eastAsia="Calibri" w:hAnsi="Calibri" w:cs="Calibri"/>
                <w:color w:val="000000" w:themeColor="text1"/>
                <w:sz w:val="16"/>
                <w:szCs w:val="16"/>
              </w:rPr>
              <w:t>Discretionary Grants among other PWL component</w:t>
            </w:r>
            <w:r w:rsidR="00A757BA">
              <w:rPr>
                <w:rFonts w:ascii="Calibri" w:eastAsia="Calibri" w:hAnsi="Calibri" w:cs="Calibri"/>
                <w:color w:val="000000" w:themeColor="text1"/>
                <w:sz w:val="16"/>
                <w:szCs w:val="16"/>
              </w:rPr>
              <w:t>s.</w:t>
            </w:r>
          </w:p>
          <w:p w14:paraId="3CC18E68" w14:textId="77777777" w:rsidR="000A286B" w:rsidRDefault="000A286B" w:rsidP="003D6AA7">
            <w:pPr>
              <w:rPr>
                <w:rFonts w:ascii="Calibri" w:eastAsia="Calibri" w:hAnsi="Calibri" w:cs="Calibri"/>
                <w:color w:val="000000" w:themeColor="text1"/>
                <w:sz w:val="16"/>
                <w:szCs w:val="16"/>
              </w:rPr>
            </w:pPr>
          </w:p>
          <w:p w14:paraId="0D0DE3D8" w14:textId="18C31B7A" w:rsidR="009F496D" w:rsidRPr="009F496D" w:rsidRDefault="000A286B" w:rsidP="00A06565">
            <w:pPr>
              <w:rPr>
                <w:rFonts w:ascii="Calibri" w:eastAsia="Calibri" w:hAnsi="Calibri" w:cs="Calibri"/>
                <w:sz w:val="16"/>
                <w:szCs w:val="16"/>
              </w:rPr>
            </w:pPr>
            <w:r>
              <w:rPr>
                <w:rFonts w:ascii="Calibri" w:eastAsia="Calibri" w:hAnsi="Calibri" w:cs="Calibri"/>
                <w:color w:val="000000" w:themeColor="text1"/>
                <w:sz w:val="16"/>
                <w:szCs w:val="16"/>
              </w:rPr>
              <w:t xml:space="preserve">1b) </w:t>
            </w:r>
            <w:r w:rsidRPr="004B2251">
              <w:rPr>
                <w:rFonts w:ascii="Calibri" w:eastAsia="Calibri" w:hAnsi="Calibri" w:cs="Calibri"/>
                <w:color w:val="000000" w:themeColor="text1"/>
                <w:sz w:val="16"/>
                <w:szCs w:val="16"/>
              </w:rPr>
              <w:t xml:space="preserve">The Board agrees this is an important recommendation, given the scale of </w:t>
            </w:r>
            <w:r w:rsidR="00A757BA">
              <w:rPr>
                <w:rFonts w:ascii="Calibri" w:eastAsia="Calibri" w:hAnsi="Calibri" w:cs="Calibri"/>
                <w:color w:val="000000" w:themeColor="text1"/>
                <w:sz w:val="16"/>
                <w:szCs w:val="16"/>
              </w:rPr>
              <w:t xml:space="preserve">funding to </w:t>
            </w:r>
            <w:r w:rsidRPr="004B2251">
              <w:rPr>
                <w:rFonts w:ascii="Calibri" w:eastAsia="Calibri" w:hAnsi="Calibri" w:cs="Calibri"/>
                <w:color w:val="000000" w:themeColor="text1"/>
                <w:sz w:val="16"/>
                <w:szCs w:val="16"/>
              </w:rPr>
              <w:t>UN agenc</w:t>
            </w:r>
            <w:r w:rsidR="00A757BA">
              <w:rPr>
                <w:rFonts w:ascii="Calibri" w:eastAsia="Calibri" w:hAnsi="Calibri" w:cs="Calibri"/>
                <w:color w:val="000000" w:themeColor="text1"/>
                <w:sz w:val="16"/>
                <w:szCs w:val="16"/>
              </w:rPr>
              <w:t>ies</w:t>
            </w:r>
            <w:r w:rsidRPr="004B2251">
              <w:rPr>
                <w:rFonts w:ascii="Calibri" w:eastAsia="Calibri" w:hAnsi="Calibri" w:cs="Calibri"/>
                <w:color w:val="000000" w:themeColor="text1"/>
                <w:sz w:val="16"/>
                <w:szCs w:val="16"/>
              </w:rPr>
              <w:t xml:space="preserve">. To strengthen coordination, the Board will invite UN programs to </w:t>
            </w:r>
            <w:r w:rsidRPr="004B2251">
              <w:rPr>
                <w:rFonts w:ascii="Calibri" w:eastAsia="Calibri" w:hAnsi="Calibri" w:cs="Calibri"/>
                <w:color w:val="000000" w:themeColor="text1"/>
                <w:sz w:val="16"/>
                <w:szCs w:val="16"/>
              </w:rPr>
              <w:lastRenderedPageBreak/>
              <w:t>present and brief the Board on their work and potential areas for collaboration at least once per year. Where appropriate, the Board will also extend these invitations to other PWL components to foster broader communication and joint engagement.</w:t>
            </w:r>
          </w:p>
        </w:tc>
        <w:tc>
          <w:tcPr>
            <w:tcW w:w="1985" w:type="dxa"/>
          </w:tcPr>
          <w:p w14:paraId="748C1B44" w14:textId="77AF2A1E" w:rsidR="00631CDF" w:rsidRPr="00621A54" w:rsidRDefault="42AD33C4" w:rsidP="00631CDF">
            <w:pPr>
              <w:rPr>
                <w:rFonts w:ascii="Calibri" w:eastAsia="Calibri" w:hAnsi="Calibri" w:cs="Calibri"/>
                <w:sz w:val="16"/>
                <w:szCs w:val="16"/>
              </w:rPr>
            </w:pPr>
            <w:r w:rsidRPr="60320B88">
              <w:rPr>
                <w:rFonts w:ascii="Calibri" w:eastAsia="Calibri" w:hAnsi="Calibri" w:cs="Calibri"/>
                <w:sz w:val="16"/>
                <w:szCs w:val="16"/>
              </w:rPr>
              <w:lastRenderedPageBreak/>
              <w:t xml:space="preserve">1a) </w:t>
            </w:r>
            <w:r w:rsidR="00631CDF" w:rsidRPr="60320B88">
              <w:rPr>
                <w:rFonts w:ascii="Calibri" w:eastAsia="Calibri" w:hAnsi="Calibri" w:cs="Calibri"/>
                <w:sz w:val="16"/>
                <w:szCs w:val="16"/>
              </w:rPr>
              <w:t xml:space="preserve">DFAT agrees and will implement this recommendation with </w:t>
            </w:r>
            <w:r w:rsidR="000A286B" w:rsidRPr="60320B88">
              <w:rPr>
                <w:rFonts w:ascii="Calibri" w:eastAsia="Calibri" w:hAnsi="Calibri" w:cs="Calibri"/>
                <w:sz w:val="16"/>
                <w:szCs w:val="16"/>
              </w:rPr>
              <w:t>partners</w:t>
            </w:r>
            <w:r w:rsidR="00631CDF" w:rsidRPr="60320B88">
              <w:rPr>
                <w:rFonts w:ascii="Calibri" w:eastAsia="Calibri" w:hAnsi="Calibri" w:cs="Calibri"/>
                <w:sz w:val="16"/>
                <w:szCs w:val="16"/>
              </w:rPr>
              <w:t xml:space="preserve"> working with PWLES, to convene a quarterly strategic convening with component leads and key stakeholders.</w:t>
            </w:r>
          </w:p>
          <w:p w14:paraId="7878D25F" w14:textId="4A0D5C92" w:rsidR="00631CDF" w:rsidRPr="00621A54" w:rsidRDefault="00631CDF" w:rsidP="00631CDF">
            <w:pPr>
              <w:pStyle w:val="NoSpacing"/>
              <w:rPr>
                <w:rFonts w:ascii="Calibri" w:eastAsia="Calibri" w:hAnsi="Calibri" w:cs="Calibri"/>
                <w:sz w:val="16"/>
                <w:szCs w:val="16"/>
              </w:rPr>
            </w:pPr>
          </w:p>
          <w:p w14:paraId="15EACC92" w14:textId="4ADF28CE" w:rsidR="00962320" w:rsidRPr="00621A54" w:rsidRDefault="1AD9CF86" w:rsidP="60320B88">
            <w:pPr>
              <w:pStyle w:val="NoSpacing"/>
              <w:rPr>
                <w:rFonts w:ascii="Calibri" w:eastAsia="Calibri" w:hAnsi="Calibri" w:cs="Calibri"/>
                <w:i/>
                <w:iCs/>
                <w:sz w:val="16"/>
                <w:szCs w:val="16"/>
              </w:rPr>
            </w:pPr>
            <w:r w:rsidRPr="60320B88">
              <w:rPr>
                <w:rFonts w:ascii="Calibri" w:eastAsia="Calibri" w:hAnsi="Calibri" w:cs="Calibri"/>
                <w:sz w:val="16"/>
                <w:szCs w:val="16"/>
              </w:rPr>
              <w:t xml:space="preserve">1b) </w:t>
            </w:r>
            <w:r w:rsidR="00962320" w:rsidRPr="60320B88">
              <w:rPr>
                <w:rFonts w:ascii="Calibri" w:eastAsia="Calibri" w:hAnsi="Calibri" w:cs="Calibri"/>
                <w:sz w:val="16"/>
                <w:szCs w:val="16"/>
              </w:rPr>
              <w:t xml:space="preserve">DFAT will </w:t>
            </w:r>
            <w:r w:rsidR="002969DC" w:rsidRPr="60320B88">
              <w:rPr>
                <w:rFonts w:ascii="Calibri" w:eastAsia="Calibri" w:hAnsi="Calibri" w:cs="Calibri"/>
                <w:sz w:val="16"/>
                <w:szCs w:val="16"/>
              </w:rPr>
              <w:t xml:space="preserve">liaise with the four UN programs to </w:t>
            </w:r>
            <w:r w:rsidR="00824CBC" w:rsidRPr="60320B88">
              <w:rPr>
                <w:rFonts w:ascii="Calibri" w:eastAsia="Calibri" w:hAnsi="Calibri" w:cs="Calibri"/>
                <w:sz w:val="16"/>
                <w:szCs w:val="16"/>
              </w:rPr>
              <w:t xml:space="preserve">explore </w:t>
            </w:r>
            <w:r w:rsidR="00DA630F" w:rsidRPr="60320B88">
              <w:rPr>
                <w:rFonts w:ascii="Calibri" w:eastAsia="Calibri" w:hAnsi="Calibri" w:cs="Calibri"/>
                <w:sz w:val="16"/>
                <w:szCs w:val="16"/>
              </w:rPr>
              <w:t xml:space="preserve">opportunities for </w:t>
            </w:r>
            <w:r w:rsidR="00621A54" w:rsidRPr="60320B88">
              <w:rPr>
                <w:rFonts w:ascii="Calibri" w:eastAsia="Calibri" w:hAnsi="Calibri" w:cs="Calibri"/>
                <w:sz w:val="16"/>
                <w:szCs w:val="16"/>
              </w:rPr>
              <w:t xml:space="preserve">further </w:t>
            </w:r>
            <w:r w:rsidR="00962320" w:rsidRPr="60320B88">
              <w:rPr>
                <w:rFonts w:ascii="Calibri" w:eastAsia="Calibri" w:hAnsi="Calibri" w:cs="Calibri"/>
                <w:sz w:val="16"/>
                <w:szCs w:val="16"/>
              </w:rPr>
              <w:t>collaboration</w:t>
            </w:r>
            <w:r w:rsidR="00DA630F" w:rsidRPr="60320B88">
              <w:rPr>
                <w:rFonts w:ascii="Calibri" w:eastAsia="Calibri" w:hAnsi="Calibri" w:cs="Calibri"/>
                <w:sz w:val="16"/>
                <w:szCs w:val="16"/>
              </w:rPr>
              <w:t xml:space="preserve"> and to minimi</w:t>
            </w:r>
            <w:r w:rsidR="00621A54" w:rsidRPr="60320B88">
              <w:rPr>
                <w:rFonts w:ascii="Calibri" w:eastAsia="Calibri" w:hAnsi="Calibri" w:cs="Calibri"/>
                <w:sz w:val="16"/>
                <w:szCs w:val="16"/>
              </w:rPr>
              <w:t>s</w:t>
            </w:r>
            <w:r w:rsidR="00DA630F" w:rsidRPr="60320B88">
              <w:rPr>
                <w:rFonts w:ascii="Calibri" w:eastAsia="Calibri" w:hAnsi="Calibri" w:cs="Calibri"/>
                <w:sz w:val="16"/>
                <w:szCs w:val="16"/>
              </w:rPr>
              <w:t>e duplication.</w:t>
            </w:r>
          </w:p>
        </w:tc>
        <w:tc>
          <w:tcPr>
            <w:tcW w:w="2976" w:type="dxa"/>
            <w:shd w:val="clear" w:color="auto" w:fill="E8E8E8" w:themeFill="background2"/>
          </w:tcPr>
          <w:p w14:paraId="21069F3C" w14:textId="6E5FF181" w:rsidR="003D6AA7" w:rsidRPr="009F496D" w:rsidRDefault="003D6AA7" w:rsidP="003D6AA7">
            <w:pPr>
              <w:rPr>
                <w:rFonts w:ascii="Calibri" w:eastAsia="Calibri" w:hAnsi="Calibri" w:cs="Calibri"/>
                <w:color w:val="000000" w:themeColor="text1"/>
                <w:sz w:val="16"/>
                <w:szCs w:val="16"/>
                <w:lang w:val="en-GB"/>
              </w:rPr>
            </w:pPr>
            <w:r>
              <w:rPr>
                <w:rFonts w:ascii="Calibri" w:eastAsia="Calibri" w:hAnsi="Calibri" w:cs="Calibri"/>
                <w:color w:val="000000" w:themeColor="text1"/>
                <w:sz w:val="16"/>
                <w:szCs w:val="16"/>
              </w:rPr>
              <w:t>1a) SPC</w:t>
            </w:r>
            <w:r w:rsidRPr="009F496D">
              <w:rPr>
                <w:rFonts w:ascii="Calibri" w:eastAsia="Calibri" w:hAnsi="Calibri" w:cs="Calibri"/>
                <w:color w:val="000000" w:themeColor="text1"/>
                <w:sz w:val="16"/>
                <w:szCs w:val="16"/>
              </w:rPr>
              <w:t xml:space="preserve"> agrees a quarterly strategic convening is</w:t>
            </w:r>
            <w:r>
              <w:rPr>
                <w:rFonts w:ascii="Calibri" w:eastAsia="Calibri" w:hAnsi="Calibri" w:cs="Calibri"/>
                <w:color w:val="000000" w:themeColor="text1"/>
                <w:sz w:val="16"/>
                <w:szCs w:val="16"/>
              </w:rPr>
              <w:t xml:space="preserve"> </w:t>
            </w:r>
            <w:r w:rsidRPr="009F496D">
              <w:rPr>
                <w:rFonts w:ascii="Calibri" w:eastAsia="Calibri" w:hAnsi="Calibri" w:cs="Calibri"/>
                <w:color w:val="000000" w:themeColor="text1"/>
                <w:sz w:val="16"/>
                <w:szCs w:val="16"/>
              </w:rPr>
              <w:t>necessary to improv</w:t>
            </w:r>
            <w:r>
              <w:rPr>
                <w:rFonts w:ascii="Calibri" w:eastAsia="Calibri" w:hAnsi="Calibri" w:cs="Calibri"/>
                <w:color w:val="000000" w:themeColor="text1"/>
                <w:sz w:val="16"/>
                <w:szCs w:val="16"/>
              </w:rPr>
              <w:t>e c</w:t>
            </w:r>
            <w:r w:rsidRPr="009F496D">
              <w:rPr>
                <w:rFonts w:ascii="Calibri" w:eastAsia="Calibri" w:hAnsi="Calibri" w:cs="Calibri"/>
                <w:color w:val="000000" w:themeColor="text1"/>
                <w:sz w:val="16"/>
                <w:szCs w:val="16"/>
              </w:rPr>
              <w:t>oordination</w:t>
            </w:r>
            <w:r>
              <w:rPr>
                <w:rFonts w:ascii="Calibri" w:eastAsia="Calibri" w:hAnsi="Calibri" w:cs="Calibri"/>
                <w:color w:val="000000" w:themeColor="text1"/>
                <w:sz w:val="16"/>
                <w:szCs w:val="16"/>
              </w:rPr>
              <w:t xml:space="preserve">. SPC will prioritise and participate in these convenings. </w:t>
            </w:r>
            <w:r w:rsidRPr="009F496D">
              <w:rPr>
                <w:rFonts w:ascii="Calibri" w:eastAsia="Calibri" w:hAnsi="Calibri" w:cs="Calibri"/>
                <w:color w:val="000000" w:themeColor="text1"/>
                <w:sz w:val="16"/>
                <w:szCs w:val="16"/>
              </w:rPr>
              <w:t xml:space="preserve"> </w:t>
            </w:r>
          </w:p>
          <w:p w14:paraId="03A6B676" w14:textId="77777777" w:rsidR="00962320" w:rsidRDefault="00962320" w:rsidP="6AD5217B">
            <w:pPr>
              <w:rPr>
                <w:rFonts w:ascii="Calibri" w:eastAsia="Calibri" w:hAnsi="Calibri" w:cs="Calibri"/>
                <w:color w:val="000000" w:themeColor="text1"/>
                <w:sz w:val="16"/>
                <w:szCs w:val="16"/>
                <w:lang w:val="en-GB"/>
              </w:rPr>
            </w:pPr>
          </w:p>
          <w:p w14:paraId="2DB29027" w14:textId="6FDB4234" w:rsidR="003D6AA7" w:rsidRDefault="003D6AA7" w:rsidP="003D6AA7">
            <w:pPr>
              <w:rPr>
                <w:rFonts w:ascii="Calibri" w:eastAsia="Calibri" w:hAnsi="Calibri" w:cs="Calibri"/>
                <w:color w:val="000000" w:themeColor="text1"/>
                <w:sz w:val="16"/>
                <w:szCs w:val="16"/>
              </w:rPr>
            </w:pPr>
            <w:r>
              <w:rPr>
                <w:rFonts w:ascii="Calibri" w:eastAsia="Calibri" w:hAnsi="Calibri" w:cs="Calibri"/>
                <w:color w:val="000000" w:themeColor="text1"/>
                <w:sz w:val="16"/>
                <w:szCs w:val="16"/>
              </w:rPr>
              <w:t xml:space="preserve">1b) </w:t>
            </w:r>
            <w:r w:rsidRPr="60676934">
              <w:rPr>
                <w:rFonts w:ascii="Calibri" w:eastAsia="Calibri" w:hAnsi="Calibri" w:cs="Calibri"/>
                <w:color w:val="000000" w:themeColor="text1"/>
                <w:sz w:val="16"/>
                <w:szCs w:val="16"/>
              </w:rPr>
              <w:t>SPC agrees with this recommendation and will work with the UN agencies through the following mechanisms:</w:t>
            </w:r>
          </w:p>
          <w:p w14:paraId="55CFCEED" w14:textId="2DD37D99" w:rsidR="003D6AA7" w:rsidRDefault="003D6AA7" w:rsidP="003D6AA7">
            <w:pPr>
              <w:pStyle w:val="ListParagraph"/>
              <w:numPr>
                <w:ilvl w:val="0"/>
                <w:numId w:val="34"/>
              </w:numPr>
              <w:rPr>
                <w:rFonts w:ascii="Calibri" w:eastAsia="Calibri" w:hAnsi="Calibri" w:cs="Calibri"/>
                <w:color w:val="000000" w:themeColor="text1"/>
                <w:sz w:val="16"/>
                <w:szCs w:val="16"/>
              </w:rPr>
            </w:pPr>
            <w:r w:rsidRPr="003D6AA7">
              <w:rPr>
                <w:rFonts w:ascii="Calibri" w:eastAsia="Calibri" w:hAnsi="Calibri" w:cs="Calibri"/>
                <w:color w:val="000000" w:themeColor="text1"/>
                <w:sz w:val="16"/>
                <w:szCs w:val="16"/>
              </w:rPr>
              <w:t xml:space="preserve">UN Women through their facilitated Pacific Gender Coordination Group, Pacific Gender Technical Working Group and </w:t>
            </w:r>
            <w:r>
              <w:rPr>
                <w:rFonts w:ascii="Calibri" w:eastAsia="Calibri" w:hAnsi="Calibri" w:cs="Calibri"/>
                <w:color w:val="000000" w:themeColor="text1"/>
                <w:sz w:val="16"/>
                <w:szCs w:val="16"/>
              </w:rPr>
              <w:t>as a</w:t>
            </w:r>
            <w:r w:rsidRPr="003D6AA7">
              <w:rPr>
                <w:rFonts w:ascii="Calibri" w:eastAsia="Calibri" w:hAnsi="Calibri" w:cs="Calibri"/>
                <w:color w:val="000000" w:themeColor="text1"/>
                <w:sz w:val="16"/>
                <w:szCs w:val="16"/>
              </w:rPr>
              <w:t xml:space="preserve"> partner in PPEVAWG</w:t>
            </w:r>
          </w:p>
          <w:p w14:paraId="7D23E1FC" w14:textId="383F9F59" w:rsidR="003D6AA7" w:rsidRDefault="003D6AA7" w:rsidP="003D6AA7">
            <w:pPr>
              <w:pStyle w:val="ListParagraph"/>
              <w:numPr>
                <w:ilvl w:val="0"/>
                <w:numId w:val="34"/>
              </w:numPr>
              <w:rPr>
                <w:rFonts w:ascii="Calibri" w:eastAsia="Calibri" w:hAnsi="Calibri" w:cs="Calibri"/>
                <w:color w:val="000000" w:themeColor="text1"/>
                <w:sz w:val="16"/>
                <w:szCs w:val="16"/>
              </w:rPr>
            </w:pPr>
            <w:r>
              <w:rPr>
                <w:rFonts w:ascii="Calibri" w:eastAsia="Calibri" w:hAnsi="Calibri" w:cs="Calibri"/>
                <w:color w:val="000000" w:themeColor="text1"/>
                <w:sz w:val="16"/>
                <w:szCs w:val="16"/>
              </w:rPr>
              <w:t>As c</w:t>
            </w:r>
            <w:r w:rsidRPr="003D6AA7">
              <w:rPr>
                <w:rFonts w:ascii="Calibri" w:eastAsia="Calibri" w:hAnsi="Calibri" w:cs="Calibri"/>
                <w:color w:val="000000" w:themeColor="text1"/>
                <w:sz w:val="16"/>
                <w:szCs w:val="16"/>
              </w:rPr>
              <w:t xml:space="preserve">o-convenor </w:t>
            </w:r>
            <w:r>
              <w:rPr>
                <w:rFonts w:ascii="Calibri" w:eastAsia="Calibri" w:hAnsi="Calibri" w:cs="Calibri"/>
                <w:color w:val="000000" w:themeColor="text1"/>
                <w:sz w:val="16"/>
                <w:szCs w:val="16"/>
              </w:rPr>
              <w:t xml:space="preserve">of </w:t>
            </w:r>
            <w:r w:rsidRPr="003D6AA7">
              <w:rPr>
                <w:rFonts w:ascii="Calibri" w:eastAsia="Calibri" w:hAnsi="Calibri" w:cs="Calibri"/>
                <w:color w:val="000000" w:themeColor="text1"/>
                <w:sz w:val="16"/>
                <w:szCs w:val="16"/>
              </w:rPr>
              <w:t>the ARAW w</w:t>
            </w:r>
            <w:r>
              <w:rPr>
                <w:rFonts w:ascii="Calibri" w:eastAsia="Calibri" w:hAnsi="Calibri" w:cs="Calibri"/>
                <w:color w:val="000000" w:themeColor="text1"/>
                <w:sz w:val="16"/>
                <w:szCs w:val="16"/>
              </w:rPr>
              <w:t xml:space="preserve">e will build </w:t>
            </w:r>
            <w:r w:rsidRPr="003D6AA7">
              <w:rPr>
                <w:rFonts w:ascii="Calibri" w:eastAsia="Calibri" w:hAnsi="Calibri" w:cs="Calibri"/>
                <w:color w:val="000000" w:themeColor="text1"/>
                <w:sz w:val="16"/>
                <w:szCs w:val="16"/>
              </w:rPr>
              <w:t xml:space="preserve">greater visibility and engagement with UN agencies. </w:t>
            </w:r>
          </w:p>
          <w:p w14:paraId="4596638C" w14:textId="191ED25E" w:rsidR="003D6AA7" w:rsidRDefault="003D6AA7" w:rsidP="003D6AA7">
            <w:pPr>
              <w:pStyle w:val="ListParagraph"/>
              <w:numPr>
                <w:ilvl w:val="0"/>
                <w:numId w:val="34"/>
              </w:numPr>
              <w:rPr>
                <w:rFonts w:ascii="Calibri" w:eastAsia="Calibri" w:hAnsi="Calibri" w:cs="Calibri"/>
                <w:color w:val="000000" w:themeColor="text1"/>
                <w:sz w:val="16"/>
                <w:szCs w:val="16"/>
              </w:rPr>
            </w:pPr>
            <w:r w:rsidRPr="003D6AA7">
              <w:rPr>
                <w:rFonts w:ascii="Calibri" w:eastAsia="Calibri" w:hAnsi="Calibri" w:cs="Calibri"/>
                <w:color w:val="000000" w:themeColor="text1"/>
                <w:sz w:val="16"/>
                <w:szCs w:val="16"/>
              </w:rPr>
              <w:t>Work with UNICEF</w:t>
            </w:r>
            <w:r>
              <w:rPr>
                <w:rFonts w:ascii="Calibri" w:eastAsia="Calibri" w:hAnsi="Calibri" w:cs="Calibri"/>
                <w:color w:val="000000" w:themeColor="text1"/>
                <w:sz w:val="16"/>
                <w:szCs w:val="16"/>
              </w:rPr>
              <w:t xml:space="preserve"> </w:t>
            </w:r>
            <w:r w:rsidRPr="003D6AA7">
              <w:rPr>
                <w:rFonts w:ascii="Calibri" w:eastAsia="Calibri" w:hAnsi="Calibri" w:cs="Calibri"/>
                <w:color w:val="000000" w:themeColor="text1"/>
                <w:sz w:val="16"/>
                <w:szCs w:val="16"/>
              </w:rPr>
              <w:t>and UNFPA on the adolescent unplanned pregnancy work and with UNDP on Temporary Special Measures</w:t>
            </w:r>
          </w:p>
          <w:p w14:paraId="4B96D438" w14:textId="029FC006" w:rsidR="003D6AA7" w:rsidRPr="003D6AA7" w:rsidRDefault="003D6AA7" w:rsidP="003D6AA7">
            <w:pPr>
              <w:pStyle w:val="ListParagraph"/>
              <w:numPr>
                <w:ilvl w:val="0"/>
                <w:numId w:val="34"/>
              </w:numPr>
              <w:rPr>
                <w:rFonts w:ascii="Calibri" w:eastAsia="Calibri" w:hAnsi="Calibri" w:cs="Calibri"/>
                <w:color w:val="000000" w:themeColor="text1"/>
                <w:sz w:val="16"/>
                <w:szCs w:val="16"/>
              </w:rPr>
            </w:pPr>
            <w:r w:rsidRPr="003D6AA7">
              <w:rPr>
                <w:rFonts w:ascii="Calibri" w:eastAsia="Calibri" w:hAnsi="Calibri" w:cs="Calibri"/>
                <w:color w:val="000000" w:themeColor="text1"/>
                <w:sz w:val="16"/>
                <w:szCs w:val="16"/>
              </w:rPr>
              <w:t xml:space="preserve">Link grant partners with UN agencies who are undertaking similar work, to </w:t>
            </w:r>
            <w:r w:rsidRPr="003D6AA7">
              <w:rPr>
                <w:rFonts w:ascii="Calibri" w:eastAsia="Calibri" w:hAnsi="Calibri" w:cs="Calibri"/>
                <w:color w:val="000000" w:themeColor="text1"/>
                <w:sz w:val="16"/>
                <w:szCs w:val="16"/>
              </w:rPr>
              <w:lastRenderedPageBreak/>
              <w:t>identify areas of collaboration and information-sharing.</w:t>
            </w:r>
          </w:p>
        </w:tc>
        <w:tc>
          <w:tcPr>
            <w:tcW w:w="1560" w:type="dxa"/>
            <w:shd w:val="clear" w:color="auto" w:fill="E8E8E8" w:themeFill="background2"/>
          </w:tcPr>
          <w:p w14:paraId="0F03C206" w14:textId="400B8572" w:rsidR="003D6AA7" w:rsidRDefault="003D6AA7" w:rsidP="003D6AA7">
            <w:pPr>
              <w:rPr>
                <w:rFonts w:ascii="Calibri" w:eastAsia="Calibri" w:hAnsi="Calibri" w:cs="Calibri"/>
                <w:color w:val="000000" w:themeColor="text1"/>
                <w:sz w:val="16"/>
                <w:szCs w:val="16"/>
              </w:rPr>
            </w:pPr>
            <w:r>
              <w:rPr>
                <w:rFonts w:ascii="Calibri" w:eastAsia="Calibri" w:hAnsi="Calibri" w:cs="Calibri"/>
                <w:color w:val="000000" w:themeColor="text1"/>
                <w:sz w:val="16"/>
                <w:szCs w:val="16"/>
              </w:rPr>
              <w:lastRenderedPageBreak/>
              <w:t>1a) P</w:t>
            </w:r>
            <w:r w:rsidRPr="00631CDF">
              <w:rPr>
                <w:rFonts w:ascii="Calibri" w:eastAsia="Calibri" w:hAnsi="Calibri" w:cs="Calibri"/>
                <w:color w:val="000000" w:themeColor="text1"/>
                <w:sz w:val="16"/>
                <w:szCs w:val="16"/>
              </w:rPr>
              <w:t xml:space="preserve">WLES agrees with this recommendation and will lead in convening a meeting with </w:t>
            </w:r>
            <w:r>
              <w:rPr>
                <w:rFonts w:ascii="Calibri" w:eastAsia="Calibri" w:hAnsi="Calibri" w:cs="Calibri"/>
                <w:color w:val="000000" w:themeColor="text1"/>
                <w:sz w:val="16"/>
                <w:szCs w:val="16"/>
              </w:rPr>
              <w:t>component leads</w:t>
            </w:r>
            <w:r w:rsidRPr="00631CDF">
              <w:rPr>
                <w:rFonts w:ascii="Calibri" w:eastAsia="Calibri" w:hAnsi="Calibri" w:cs="Calibri"/>
                <w:color w:val="000000" w:themeColor="text1"/>
                <w:sz w:val="16"/>
                <w:szCs w:val="16"/>
              </w:rPr>
              <w:t xml:space="preserve">. </w:t>
            </w:r>
          </w:p>
          <w:p w14:paraId="1E37080B" w14:textId="77777777" w:rsidR="003D6AA7" w:rsidRDefault="003D6AA7" w:rsidP="003D6AA7">
            <w:pPr>
              <w:rPr>
                <w:rFonts w:ascii="Calibri" w:eastAsia="Calibri" w:hAnsi="Calibri" w:cs="Calibri"/>
                <w:color w:val="000000" w:themeColor="text1"/>
                <w:sz w:val="16"/>
                <w:szCs w:val="16"/>
              </w:rPr>
            </w:pPr>
          </w:p>
          <w:p w14:paraId="664BE6BA" w14:textId="4F1D8A2E" w:rsidR="003D6AA7" w:rsidRDefault="003D6AA7" w:rsidP="003D6AA7">
            <w:pPr>
              <w:rPr>
                <w:rFonts w:ascii="Calibri" w:eastAsia="Calibri" w:hAnsi="Calibri" w:cs="Calibri"/>
                <w:color w:val="000000" w:themeColor="text1"/>
                <w:sz w:val="16"/>
                <w:szCs w:val="16"/>
              </w:rPr>
            </w:pPr>
            <w:r w:rsidRPr="003D6AA7">
              <w:rPr>
                <w:rFonts w:ascii="Calibri" w:eastAsia="Calibri" w:hAnsi="Calibri" w:cs="Calibri"/>
                <w:color w:val="000000" w:themeColor="text1"/>
                <w:sz w:val="16"/>
                <w:szCs w:val="16"/>
              </w:rPr>
              <w:t xml:space="preserve">PWLES will chair the first meeting, which will serve as a forum for high-level planning and oversight of the WOP. During this initial meeting, participants will agree on the ongoing chairing and management arrangements. The </w:t>
            </w:r>
            <w:r w:rsidRPr="003D6AA7">
              <w:rPr>
                <w:rFonts w:ascii="Calibri" w:eastAsia="Calibri" w:hAnsi="Calibri" w:cs="Calibri"/>
                <w:color w:val="000000" w:themeColor="text1"/>
                <w:sz w:val="16"/>
                <w:szCs w:val="16"/>
              </w:rPr>
              <w:lastRenderedPageBreak/>
              <w:t>meeting will be held alongside the 2025 Annual Reflection and Analysis Workshop.</w:t>
            </w:r>
          </w:p>
          <w:p w14:paraId="596905C0" w14:textId="77777777" w:rsidR="003D6AA7" w:rsidRDefault="003D6AA7" w:rsidP="003D6AA7">
            <w:pPr>
              <w:rPr>
                <w:rFonts w:ascii="Calibri" w:eastAsia="Calibri" w:hAnsi="Calibri" w:cs="Calibri"/>
                <w:color w:val="000000" w:themeColor="text1"/>
                <w:sz w:val="16"/>
                <w:szCs w:val="16"/>
              </w:rPr>
            </w:pPr>
          </w:p>
          <w:p w14:paraId="141D140A" w14:textId="341C62EA" w:rsidR="00962320" w:rsidRPr="009F496D" w:rsidRDefault="003D6AA7" w:rsidP="003D6AA7">
            <w:pPr>
              <w:rPr>
                <w:rFonts w:ascii="Calibri" w:eastAsia="Calibri" w:hAnsi="Calibri" w:cs="Calibri"/>
                <w:color w:val="000000" w:themeColor="text1"/>
                <w:sz w:val="16"/>
                <w:szCs w:val="16"/>
                <w:lang w:val="en-GB"/>
              </w:rPr>
            </w:pPr>
            <w:r>
              <w:rPr>
                <w:rFonts w:ascii="Calibri" w:eastAsia="Calibri" w:hAnsi="Calibri" w:cs="Calibri"/>
                <w:color w:val="000000" w:themeColor="text1"/>
                <w:sz w:val="16"/>
                <w:szCs w:val="16"/>
              </w:rPr>
              <w:t xml:space="preserve">1b) </w:t>
            </w:r>
            <w:r w:rsidRPr="009A44BF">
              <w:rPr>
                <w:rFonts w:ascii="Calibri" w:eastAsia="Calibri" w:hAnsi="Calibri" w:cs="Calibri"/>
                <w:color w:val="000000" w:themeColor="text1"/>
                <w:sz w:val="16"/>
                <w:szCs w:val="16"/>
              </w:rPr>
              <w:t xml:space="preserve">PWLES agrees with this recommendation and will take steps to ensure greater visibility and engagement at the 2025 ARAW and all future </w:t>
            </w:r>
            <w:r>
              <w:rPr>
                <w:rFonts w:ascii="Calibri" w:eastAsia="Calibri" w:hAnsi="Calibri" w:cs="Calibri"/>
                <w:color w:val="000000" w:themeColor="text1"/>
                <w:sz w:val="16"/>
                <w:szCs w:val="16"/>
              </w:rPr>
              <w:t>whole of PWL</w:t>
            </w:r>
            <w:r w:rsidRPr="009A44BF">
              <w:rPr>
                <w:rFonts w:ascii="Calibri" w:eastAsia="Calibri" w:hAnsi="Calibri" w:cs="Calibri"/>
                <w:color w:val="000000" w:themeColor="text1"/>
                <w:sz w:val="16"/>
                <w:szCs w:val="16"/>
              </w:rPr>
              <w:t xml:space="preserve"> convenings. PWLES will explore how to incorporate a mapping exercise to support this work, including assessing whether it could be carried out through the PWLES QTAG.</w:t>
            </w:r>
          </w:p>
        </w:tc>
        <w:tc>
          <w:tcPr>
            <w:tcW w:w="992" w:type="dxa"/>
          </w:tcPr>
          <w:p w14:paraId="6BB6AEDD" w14:textId="2FF38B27" w:rsidR="009F496D" w:rsidRPr="009F496D" w:rsidRDefault="009F496D" w:rsidP="00913536">
            <w:pPr>
              <w:rPr>
                <w:rFonts w:ascii="Calibri" w:eastAsia="Calibri" w:hAnsi="Calibri" w:cs="Calibri"/>
                <w:color w:val="000000" w:themeColor="text1"/>
                <w:sz w:val="16"/>
                <w:szCs w:val="16"/>
                <w:lang w:val="en-GB"/>
              </w:rPr>
            </w:pPr>
            <w:r w:rsidRPr="009F496D">
              <w:rPr>
                <w:rFonts w:ascii="Calibri" w:eastAsia="Calibri" w:hAnsi="Calibri" w:cs="Calibri"/>
                <w:color w:val="000000" w:themeColor="text1"/>
                <w:sz w:val="16"/>
                <w:szCs w:val="16"/>
                <w:lang w:val="en-GB"/>
              </w:rPr>
              <w:lastRenderedPageBreak/>
              <w:t>Q</w:t>
            </w:r>
            <w:r w:rsidR="003711A8">
              <w:rPr>
                <w:rFonts w:ascii="Calibri" w:eastAsia="Calibri" w:hAnsi="Calibri" w:cs="Calibri"/>
                <w:color w:val="000000" w:themeColor="text1"/>
                <w:sz w:val="16"/>
                <w:szCs w:val="16"/>
                <w:lang w:val="en-GB"/>
              </w:rPr>
              <w:t>3</w:t>
            </w:r>
            <w:r w:rsidRPr="009F496D">
              <w:rPr>
                <w:rFonts w:ascii="Calibri" w:eastAsia="Calibri" w:hAnsi="Calibri" w:cs="Calibri"/>
                <w:color w:val="000000" w:themeColor="text1"/>
                <w:sz w:val="16"/>
                <w:szCs w:val="16"/>
                <w:lang w:val="en-GB"/>
              </w:rPr>
              <w:t xml:space="preserve"> 2025</w:t>
            </w:r>
          </w:p>
        </w:tc>
      </w:tr>
      <w:tr w:rsidR="00962320" w:rsidRPr="009F496D" w14:paraId="10E778FC" w14:textId="77777777" w:rsidTr="00A06565">
        <w:trPr>
          <w:trHeight w:val="300"/>
        </w:trPr>
        <w:tc>
          <w:tcPr>
            <w:tcW w:w="2689" w:type="dxa"/>
          </w:tcPr>
          <w:p w14:paraId="6F90DF43" w14:textId="77777777" w:rsidR="00962320" w:rsidRPr="009F496D" w:rsidRDefault="00962320" w:rsidP="00962320">
            <w:pPr>
              <w:pStyle w:val="ListParagraph"/>
              <w:numPr>
                <w:ilvl w:val="0"/>
                <w:numId w:val="3"/>
              </w:numPr>
              <w:spacing w:before="100" w:beforeAutospacing="1" w:after="100" w:afterAutospacing="1"/>
              <w:rPr>
                <w:rFonts w:ascii="Calibri" w:eastAsia="Calibri" w:hAnsi="Calibri" w:cs="Calibri"/>
                <w:b/>
                <w:bCs/>
                <w:sz w:val="16"/>
                <w:szCs w:val="16"/>
              </w:rPr>
            </w:pPr>
            <w:r w:rsidRPr="009F496D">
              <w:rPr>
                <w:rFonts w:ascii="Calibri" w:eastAsia="Calibri" w:hAnsi="Calibri" w:cs="Calibri"/>
                <w:b/>
                <w:bCs/>
                <w:kern w:val="0"/>
                <w:sz w:val="16"/>
                <w:szCs w:val="16"/>
                <w14:ligatures w14:val="none"/>
              </w:rPr>
              <w:t>Strengthen the strategic value of the PWL Governance Board:</w:t>
            </w:r>
          </w:p>
          <w:p w14:paraId="27362DF8" w14:textId="53A736D6" w:rsidR="00962320" w:rsidRPr="0048642B" w:rsidRDefault="00621A54" w:rsidP="00621A54">
            <w:pPr>
              <w:spacing w:before="100" w:beforeAutospacing="1" w:after="100" w:afterAutospacing="1"/>
              <w:rPr>
                <w:rFonts w:ascii="Calibri" w:eastAsia="Calibri" w:hAnsi="Calibri" w:cs="Calibri"/>
                <w:sz w:val="16"/>
                <w:szCs w:val="16"/>
              </w:rPr>
            </w:pPr>
            <w:r w:rsidRPr="0048642B">
              <w:rPr>
                <w:rFonts w:ascii="Calibri" w:eastAsia="Calibri" w:hAnsi="Calibri" w:cs="Calibri"/>
                <w:kern w:val="0"/>
                <w:sz w:val="16"/>
                <w:szCs w:val="16"/>
                <w14:ligatures w14:val="none"/>
              </w:rPr>
              <w:t xml:space="preserve">a) </w:t>
            </w:r>
            <w:r w:rsidR="00962320" w:rsidRPr="0048642B">
              <w:rPr>
                <w:rFonts w:ascii="Calibri" w:eastAsia="Calibri" w:hAnsi="Calibri" w:cs="Calibri"/>
                <w:kern w:val="0"/>
                <w:sz w:val="16"/>
                <w:szCs w:val="16"/>
                <w14:ligatures w14:val="none"/>
              </w:rPr>
              <w:t>Redesign the Board’s Terms of Reference (ToR) to clarify its role in:</w:t>
            </w:r>
          </w:p>
          <w:p w14:paraId="3B95CC5F" w14:textId="218C6AF8" w:rsidR="00962320" w:rsidRPr="009F496D" w:rsidRDefault="0048642B" w:rsidP="00962320">
            <w:pPr>
              <w:pStyle w:val="ListParagraph"/>
              <w:numPr>
                <w:ilvl w:val="0"/>
                <w:numId w:val="8"/>
              </w:numPr>
              <w:spacing w:before="100" w:beforeAutospacing="1" w:after="100" w:afterAutospacing="1"/>
              <w:rPr>
                <w:rFonts w:ascii="Calibri" w:eastAsia="Calibri" w:hAnsi="Calibri" w:cs="Calibri"/>
                <w:b/>
                <w:bCs/>
                <w:sz w:val="16"/>
                <w:szCs w:val="16"/>
              </w:rPr>
            </w:pPr>
            <w:r>
              <w:rPr>
                <w:rFonts w:ascii="Calibri" w:eastAsia="Calibri" w:hAnsi="Calibri" w:cs="Calibri"/>
                <w:kern w:val="0"/>
                <w:sz w:val="16"/>
                <w:szCs w:val="16"/>
                <w14:ligatures w14:val="none"/>
              </w:rPr>
              <w:t>p</w:t>
            </w:r>
            <w:r w:rsidR="00962320" w:rsidRPr="009F496D">
              <w:rPr>
                <w:rFonts w:ascii="Calibri" w:eastAsia="Calibri" w:hAnsi="Calibri" w:cs="Calibri"/>
                <w:kern w:val="0"/>
                <w:sz w:val="16"/>
                <w:szCs w:val="16"/>
                <w14:ligatures w14:val="none"/>
              </w:rPr>
              <w:t>roviding strategic advice and oversight</w:t>
            </w:r>
          </w:p>
          <w:p w14:paraId="27CFADDC" w14:textId="0C64E215" w:rsidR="00962320" w:rsidRPr="009F496D" w:rsidRDefault="0048642B" w:rsidP="00962320">
            <w:pPr>
              <w:pStyle w:val="ListParagraph"/>
              <w:numPr>
                <w:ilvl w:val="0"/>
                <w:numId w:val="8"/>
              </w:numPr>
              <w:spacing w:before="100" w:beforeAutospacing="1" w:after="100" w:afterAutospacing="1"/>
              <w:rPr>
                <w:rFonts w:ascii="Calibri" w:eastAsia="Calibri" w:hAnsi="Calibri" w:cs="Calibri"/>
                <w:b/>
                <w:bCs/>
                <w:sz w:val="16"/>
                <w:szCs w:val="16"/>
              </w:rPr>
            </w:pPr>
            <w:r>
              <w:rPr>
                <w:rFonts w:ascii="Calibri" w:eastAsia="Calibri" w:hAnsi="Calibri" w:cs="Calibri"/>
                <w:kern w:val="0"/>
                <w:sz w:val="16"/>
                <w:szCs w:val="16"/>
                <w14:ligatures w14:val="none"/>
              </w:rPr>
              <w:t>s</w:t>
            </w:r>
            <w:r w:rsidR="00962320" w:rsidRPr="009F496D">
              <w:rPr>
                <w:rFonts w:ascii="Calibri" w:eastAsia="Calibri" w:hAnsi="Calibri" w:cs="Calibri"/>
                <w:kern w:val="0"/>
                <w:sz w:val="16"/>
                <w:szCs w:val="16"/>
                <w14:ligatures w14:val="none"/>
              </w:rPr>
              <w:t>trengthening communication channels with DFAT and program components</w:t>
            </w:r>
          </w:p>
          <w:p w14:paraId="4CC890B8" w14:textId="18971CFD" w:rsidR="00962320" w:rsidRPr="009F496D" w:rsidRDefault="0048642B" w:rsidP="00962320">
            <w:pPr>
              <w:pStyle w:val="ListParagraph"/>
              <w:numPr>
                <w:ilvl w:val="0"/>
                <w:numId w:val="8"/>
              </w:numPr>
              <w:spacing w:before="100" w:beforeAutospacing="1" w:after="100" w:afterAutospacing="1"/>
              <w:rPr>
                <w:rFonts w:ascii="Calibri" w:eastAsia="Calibri" w:hAnsi="Calibri" w:cs="Calibri"/>
                <w:b/>
                <w:bCs/>
                <w:sz w:val="16"/>
                <w:szCs w:val="16"/>
              </w:rPr>
            </w:pPr>
            <w:r>
              <w:rPr>
                <w:rFonts w:ascii="Calibri" w:eastAsia="Calibri" w:hAnsi="Calibri" w:cs="Calibri"/>
                <w:kern w:val="0"/>
                <w:sz w:val="16"/>
                <w:szCs w:val="16"/>
                <w14:ligatures w14:val="none"/>
              </w:rPr>
              <w:t>a</w:t>
            </w:r>
            <w:r w:rsidR="00962320" w:rsidRPr="009F496D">
              <w:rPr>
                <w:rFonts w:ascii="Calibri" w:eastAsia="Calibri" w:hAnsi="Calibri" w:cs="Calibri"/>
                <w:kern w:val="0"/>
                <w:sz w:val="16"/>
                <w:szCs w:val="16"/>
                <w14:ligatures w14:val="none"/>
              </w:rPr>
              <w:t xml:space="preserve">ligning with principles of Pacific-led </w:t>
            </w:r>
            <w:r w:rsidR="00383A92">
              <w:rPr>
                <w:rFonts w:ascii="Calibri" w:eastAsia="Calibri" w:hAnsi="Calibri" w:cs="Calibri"/>
                <w:kern w:val="0"/>
                <w:sz w:val="16"/>
                <w:szCs w:val="16"/>
                <w14:ligatures w14:val="none"/>
              </w:rPr>
              <w:t>programming and ownership</w:t>
            </w:r>
            <w:r w:rsidR="00962320" w:rsidRPr="009F496D">
              <w:rPr>
                <w:rFonts w:ascii="Calibri" w:eastAsia="Calibri" w:hAnsi="Calibri" w:cs="Calibri"/>
                <w:kern w:val="0"/>
                <w:sz w:val="16"/>
                <w:szCs w:val="16"/>
                <w14:ligatures w14:val="none"/>
              </w:rPr>
              <w:t>.</w:t>
            </w:r>
          </w:p>
          <w:p w14:paraId="5BDB2623" w14:textId="1872F086" w:rsidR="00962320" w:rsidRPr="00383A92" w:rsidRDefault="00621A54" w:rsidP="00621A54">
            <w:pPr>
              <w:spacing w:before="100" w:beforeAutospacing="1" w:after="100" w:afterAutospacing="1"/>
              <w:rPr>
                <w:rFonts w:ascii="Calibri" w:eastAsia="Calibri" w:hAnsi="Calibri" w:cs="Calibri"/>
                <w:kern w:val="0"/>
                <w:sz w:val="16"/>
                <w:szCs w:val="16"/>
                <w14:ligatures w14:val="none"/>
              </w:rPr>
            </w:pPr>
            <w:r w:rsidRPr="00383A92">
              <w:rPr>
                <w:rFonts w:ascii="Calibri" w:eastAsia="Calibri" w:hAnsi="Calibri" w:cs="Calibri"/>
                <w:kern w:val="0"/>
                <w:sz w:val="16"/>
                <w:szCs w:val="16"/>
                <w14:ligatures w14:val="none"/>
              </w:rPr>
              <w:lastRenderedPageBreak/>
              <w:t xml:space="preserve">b) </w:t>
            </w:r>
            <w:r w:rsidR="00962320" w:rsidRPr="00383A92">
              <w:rPr>
                <w:rFonts w:ascii="Calibri" w:eastAsia="Calibri" w:hAnsi="Calibri" w:cs="Calibri"/>
                <w:kern w:val="0"/>
                <w:sz w:val="16"/>
                <w:szCs w:val="16"/>
                <w14:ligatures w14:val="none"/>
              </w:rPr>
              <w:t>Revise the Secretariat’s role to ensure effective support for the Board, including:</w:t>
            </w:r>
          </w:p>
          <w:p w14:paraId="0DFB1C32" w14:textId="779F982D" w:rsidR="00962320" w:rsidRPr="009F496D" w:rsidRDefault="00207887" w:rsidP="00962320">
            <w:pPr>
              <w:pStyle w:val="ListParagraph"/>
              <w:numPr>
                <w:ilvl w:val="0"/>
                <w:numId w:val="11"/>
              </w:numPr>
              <w:spacing w:before="100" w:beforeAutospacing="1" w:after="100" w:afterAutospacing="1"/>
              <w:rPr>
                <w:rFonts w:ascii="Calibri" w:eastAsia="Calibri" w:hAnsi="Calibri" w:cs="Calibri"/>
                <w:kern w:val="0"/>
                <w:sz w:val="16"/>
                <w:szCs w:val="16"/>
                <w14:ligatures w14:val="none"/>
              </w:rPr>
            </w:pPr>
            <w:r>
              <w:rPr>
                <w:rFonts w:ascii="Calibri" w:eastAsia="Calibri" w:hAnsi="Calibri" w:cs="Calibri"/>
                <w:kern w:val="0"/>
                <w:sz w:val="16"/>
                <w:szCs w:val="16"/>
                <w14:ligatures w14:val="none"/>
              </w:rPr>
              <w:t>r</w:t>
            </w:r>
            <w:r w:rsidR="00962320" w:rsidRPr="009F496D">
              <w:rPr>
                <w:rFonts w:ascii="Calibri" w:eastAsia="Calibri" w:hAnsi="Calibri" w:cs="Calibri"/>
                <w:kern w:val="0"/>
                <w:sz w:val="16"/>
                <w:szCs w:val="16"/>
                <w14:ligatures w14:val="none"/>
              </w:rPr>
              <w:t>eviewing its selection and management to align with the Board’s revised mandate</w:t>
            </w:r>
          </w:p>
          <w:p w14:paraId="2ED4C8A8" w14:textId="68CBB433" w:rsidR="00962320" w:rsidRPr="009F496D" w:rsidRDefault="00207887" w:rsidP="00962320">
            <w:pPr>
              <w:pStyle w:val="ListParagraph"/>
              <w:numPr>
                <w:ilvl w:val="0"/>
                <w:numId w:val="11"/>
              </w:numPr>
              <w:spacing w:before="100" w:beforeAutospacing="1" w:after="100" w:afterAutospacing="1"/>
              <w:rPr>
                <w:rFonts w:ascii="Calibri" w:eastAsia="Calibri" w:hAnsi="Calibri" w:cs="Calibri"/>
                <w:kern w:val="0"/>
                <w:sz w:val="16"/>
                <w:szCs w:val="16"/>
                <w14:ligatures w14:val="none"/>
              </w:rPr>
            </w:pPr>
            <w:r>
              <w:rPr>
                <w:rFonts w:ascii="Calibri" w:eastAsia="Calibri" w:hAnsi="Calibri" w:cs="Calibri"/>
                <w:kern w:val="0"/>
                <w:sz w:val="16"/>
                <w:szCs w:val="16"/>
                <w14:ligatures w14:val="none"/>
              </w:rPr>
              <w:t>e</w:t>
            </w:r>
            <w:r w:rsidR="00962320" w:rsidRPr="009F496D">
              <w:rPr>
                <w:rFonts w:ascii="Calibri" w:eastAsia="Calibri" w:hAnsi="Calibri" w:cs="Calibri"/>
                <w:kern w:val="0"/>
                <w:sz w:val="16"/>
                <w:szCs w:val="16"/>
                <w14:ligatures w14:val="none"/>
              </w:rPr>
              <w:t>stablishing clear performance expectations and accountability mechanisms.</w:t>
            </w:r>
          </w:p>
        </w:tc>
        <w:tc>
          <w:tcPr>
            <w:tcW w:w="992" w:type="dxa"/>
          </w:tcPr>
          <w:p w14:paraId="3422964B" w14:textId="77777777" w:rsidR="00962320" w:rsidRPr="009F496D" w:rsidRDefault="00962320" w:rsidP="00962320">
            <w:pPr>
              <w:rPr>
                <w:rFonts w:ascii="Calibri" w:eastAsia="Calibri" w:hAnsi="Calibri" w:cs="Calibri"/>
                <w:b/>
                <w:bCs/>
                <w:sz w:val="16"/>
                <w:szCs w:val="16"/>
              </w:rPr>
            </w:pPr>
            <w:r w:rsidRPr="009F496D">
              <w:rPr>
                <w:rFonts w:ascii="Calibri" w:eastAsia="Calibri" w:hAnsi="Calibri" w:cs="Calibri"/>
                <w:b/>
                <w:bCs/>
                <w:sz w:val="16"/>
                <w:szCs w:val="16"/>
              </w:rPr>
              <w:lastRenderedPageBreak/>
              <w:t>Agree</w:t>
            </w:r>
          </w:p>
        </w:tc>
        <w:tc>
          <w:tcPr>
            <w:tcW w:w="2126" w:type="dxa"/>
            <w:shd w:val="clear" w:color="auto" w:fill="E8E8E8" w:themeFill="background2"/>
          </w:tcPr>
          <w:p w14:paraId="2DEC9D1B" w14:textId="069421E7" w:rsidR="00962320" w:rsidRPr="009F496D" w:rsidRDefault="000A286B" w:rsidP="00962320">
            <w:pPr>
              <w:rPr>
                <w:rFonts w:ascii="Calibri" w:eastAsia="Calibri" w:hAnsi="Calibri" w:cs="Calibri"/>
                <w:color w:val="000000" w:themeColor="text1"/>
                <w:sz w:val="16"/>
                <w:szCs w:val="16"/>
                <w:lang w:val="en-GB"/>
              </w:rPr>
            </w:pPr>
            <w:r>
              <w:rPr>
                <w:rFonts w:ascii="Calibri" w:eastAsia="Calibri" w:hAnsi="Calibri" w:cs="Calibri"/>
                <w:color w:val="000000" w:themeColor="text1"/>
                <w:sz w:val="16"/>
                <w:szCs w:val="16"/>
                <w:lang w:val="en-GB"/>
              </w:rPr>
              <w:t xml:space="preserve">2a) and b) </w:t>
            </w:r>
            <w:r w:rsidRPr="6D98FD61">
              <w:rPr>
                <w:rFonts w:ascii="Calibri" w:eastAsia="Calibri" w:hAnsi="Calibri" w:cs="Calibri"/>
                <w:color w:val="000000" w:themeColor="text1"/>
                <w:sz w:val="16"/>
                <w:szCs w:val="16"/>
                <w:lang w:val="en-GB"/>
              </w:rPr>
              <w:t xml:space="preserve">The Board agreed in its meeting on 8 April 2024 that the Board’s TOR be reviewed and updated, including to respond to the MTR recommendations. </w:t>
            </w:r>
            <w:r>
              <w:rPr>
                <w:rFonts w:ascii="Calibri" w:eastAsia="Calibri" w:hAnsi="Calibri" w:cs="Calibri"/>
                <w:color w:val="000000" w:themeColor="text1"/>
                <w:sz w:val="16"/>
                <w:szCs w:val="16"/>
                <w:lang w:val="en-GB"/>
              </w:rPr>
              <w:t>As part of this process, the role of the Secretariat will also be considered.</w:t>
            </w:r>
          </w:p>
        </w:tc>
        <w:tc>
          <w:tcPr>
            <w:tcW w:w="1985" w:type="dxa"/>
          </w:tcPr>
          <w:p w14:paraId="3CAFF46D" w14:textId="0901D0ED" w:rsidR="00962320" w:rsidRPr="009F496D" w:rsidRDefault="719023AF" w:rsidP="00962320">
            <w:pPr>
              <w:pStyle w:val="NoSpacing"/>
              <w:rPr>
                <w:rFonts w:ascii="Calibri" w:eastAsia="Calibri" w:hAnsi="Calibri" w:cs="Calibri"/>
                <w:sz w:val="16"/>
                <w:szCs w:val="16"/>
              </w:rPr>
            </w:pPr>
            <w:r w:rsidRPr="2937DD3B">
              <w:rPr>
                <w:rFonts w:ascii="Calibri" w:eastAsia="Calibri" w:hAnsi="Calibri" w:cs="Calibri"/>
                <w:sz w:val="16"/>
                <w:szCs w:val="16"/>
              </w:rPr>
              <w:t xml:space="preserve">2a) and b) </w:t>
            </w:r>
            <w:r w:rsidR="5C6FCCCC" w:rsidRPr="2937DD3B">
              <w:rPr>
                <w:rFonts w:ascii="Calibri" w:eastAsia="Calibri" w:hAnsi="Calibri" w:cs="Calibri"/>
                <w:sz w:val="16"/>
                <w:szCs w:val="16"/>
              </w:rPr>
              <w:t xml:space="preserve">DFAT will engage an independent consultant to work collaboratively with SPC, DFAT and the Governance Board to redesign the TOR for the Governance Board, Chairperson, and Secretariat. This process will clarify their purpose, roles and responsibilities, communication channels with other program </w:t>
            </w:r>
            <w:r w:rsidR="367D9353" w:rsidRPr="2937DD3B">
              <w:rPr>
                <w:rFonts w:ascii="Calibri" w:eastAsia="Calibri" w:hAnsi="Calibri" w:cs="Calibri"/>
                <w:sz w:val="16"/>
                <w:szCs w:val="16"/>
              </w:rPr>
              <w:t>components,</w:t>
            </w:r>
            <w:r w:rsidR="5C6FCCCC" w:rsidRPr="2937DD3B">
              <w:rPr>
                <w:rFonts w:ascii="Calibri" w:eastAsia="Calibri" w:hAnsi="Calibri" w:cs="Calibri"/>
                <w:sz w:val="16"/>
                <w:szCs w:val="16"/>
              </w:rPr>
              <w:t xml:space="preserve"> and propose improvements to operations and accountability processes.</w:t>
            </w:r>
          </w:p>
          <w:p w14:paraId="75C0901D" w14:textId="77777777" w:rsidR="00962320" w:rsidRPr="009F496D" w:rsidRDefault="00962320" w:rsidP="00962320">
            <w:pPr>
              <w:pStyle w:val="NoSpacing"/>
              <w:rPr>
                <w:rFonts w:ascii="Calibri" w:eastAsia="Calibri" w:hAnsi="Calibri" w:cs="Calibri"/>
                <w:sz w:val="16"/>
                <w:szCs w:val="16"/>
              </w:rPr>
            </w:pPr>
          </w:p>
          <w:p w14:paraId="4C90195C" w14:textId="60C9B8F2" w:rsidR="00962320" w:rsidRPr="00DF0C59" w:rsidRDefault="00962320" w:rsidP="00962320">
            <w:pPr>
              <w:pStyle w:val="NoSpacing"/>
              <w:rPr>
                <w:rFonts w:ascii="Calibri" w:eastAsia="Calibri" w:hAnsi="Calibri" w:cs="Calibri"/>
                <w:sz w:val="16"/>
                <w:szCs w:val="16"/>
              </w:rPr>
            </w:pPr>
            <w:r w:rsidRPr="6AD5217B">
              <w:rPr>
                <w:rFonts w:ascii="Calibri" w:eastAsia="Calibri" w:hAnsi="Calibri" w:cs="Calibri"/>
                <w:sz w:val="16"/>
                <w:szCs w:val="16"/>
              </w:rPr>
              <w:t xml:space="preserve">While the above work is underway, DFAT and SPC will meet </w:t>
            </w:r>
            <w:r w:rsidR="001474B4" w:rsidRPr="6AD5217B">
              <w:rPr>
                <w:rFonts w:ascii="Calibri" w:eastAsia="Calibri" w:hAnsi="Calibri" w:cs="Calibri"/>
                <w:sz w:val="16"/>
                <w:szCs w:val="16"/>
              </w:rPr>
              <w:t xml:space="preserve">regularly </w:t>
            </w:r>
            <w:r w:rsidRPr="6AD5217B">
              <w:rPr>
                <w:rFonts w:ascii="Calibri" w:eastAsia="Calibri" w:hAnsi="Calibri" w:cs="Calibri"/>
                <w:sz w:val="16"/>
                <w:szCs w:val="16"/>
              </w:rPr>
              <w:t>to strengthen communication</w:t>
            </w:r>
            <w:r w:rsidR="008C06CC" w:rsidRPr="6AD5217B">
              <w:rPr>
                <w:rFonts w:ascii="Calibri" w:eastAsia="Calibri" w:hAnsi="Calibri" w:cs="Calibri"/>
                <w:sz w:val="16"/>
                <w:szCs w:val="16"/>
              </w:rPr>
              <w:t>s</w:t>
            </w:r>
            <w:r w:rsidRPr="6AD5217B">
              <w:rPr>
                <w:rFonts w:ascii="Calibri" w:eastAsia="Calibri" w:hAnsi="Calibri" w:cs="Calibri"/>
                <w:sz w:val="16"/>
                <w:szCs w:val="16"/>
              </w:rPr>
              <w:t xml:space="preserve"> and support for the Governance Board.</w:t>
            </w:r>
          </w:p>
        </w:tc>
        <w:tc>
          <w:tcPr>
            <w:tcW w:w="2976" w:type="dxa"/>
            <w:shd w:val="clear" w:color="auto" w:fill="E8E8E8" w:themeFill="background2"/>
          </w:tcPr>
          <w:p w14:paraId="198AB0AB" w14:textId="5EC99DC0" w:rsidR="000A286B" w:rsidRDefault="000A286B" w:rsidP="000A286B">
            <w:pPr>
              <w:rPr>
                <w:rFonts w:ascii="Calibri" w:eastAsia="Calibri" w:hAnsi="Calibri" w:cs="Calibri"/>
                <w:color w:val="000000" w:themeColor="text1"/>
                <w:sz w:val="16"/>
                <w:szCs w:val="16"/>
                <w:lang w:val="en-AU"/>
              </w:rPr>
            </w:pPr>
            <w:r>
              <w:rPr>
                <w:rFonts w:ascii="Calibri" w:eastAsia="Calibri" w:hAnsi="Calibri" w:cs="Calibri"/>
                <w:color w:val="000000" w:themeColor="text1"/>
                <w:sz w:val="16"/>
                <w:szCs w:val="16"/>
                <w:lang w:val="en-AU"/>
              </w:rPr>
              <w:lastRenderedPageBreak/>
              <w:t>2a) and b) SPC agrees with this recommendation and as the secretariat is taking key steps to strengthen this work. These include:</w:t>
            </w:r>
          </w:p>
          <w:p w14:paraId="6D6C3144" w14:textId="784748F0" w:rsidR="000A286B" w:rsidRDefault="000A286B" w:rsidP="000A286B">
            <w:pPr>
              <w:pStyle w:val="ListParagraph"/>
              <w:numPr>
                <w:ilvl w:val="0"/>
                <w:numId w:val="34"/>
              </w:numPr>
              <w:rPr>
                <w:rFonts w:ascii="Calibri" w:eastAsia="Calibri" w:hAnsi="Calibri" w:cs="Calibri"/>
                <w:color w:val="000000" w:themeColor="text1"/>
                <w:sz w:val="16"/>
                <w:szCs w:val="16"/>
                <w:lang w:val="en-AU"/>
              </w:rPr>
            </w:pPr>
            <w:r w:rsidRPr="2937DD3B">
              <w:rPr>
                <w:rFonts w:ascii="Calibri" w:eastAsia="Calibri" w:hAnsi="Calibri" w:cs="Calibri"/>
                <w:color w:val="000000" w:themeColor="text1"/>
                <w:sz w:val="16"/>
                <w:szCs w:val="16"/>
              </w:rPr>
              <w:t xml:space="preserve">Work with DFAT and the Board to revise the TOR and take </w:t>
            </w:r>
            <w:r w:rsidR="42C26B08" w:rsidRPr="2937DD3B">
              <w:rPr>
                <w:rFonts w:ascii="Calibri" w:eastAsia="Calibri" w:hAnsi="Calibri" w:cs="Calibri"/>
                <w:color w:val="000000" w:themeColor="text1"/>
                <w:sz w:val="16"/>
                <w:szCs w:val="16"/>
              </w:rPr>
              <w:t>action</w:t>
            </w:r>
            <w:r w:rsidRPr="2937DD3B">
              <w:rPr>
                <w:rFonts w:ascii="Calibri" w:eastAsia="Calibri" w:hAnsi="Calibri" w:cs="Calibri"/>
                <w:color w:val="000000" w:themeColor="text1"/>
                <w:sz w:val="16"/>
                <w:szCs w:val="16"/>
              </w:rPr>
              <w:t xml:space="preserve"> to respond to recommendations.</w:t>
            </w:r>
          </w:p>
          <w:p w14:paraId="6AAAE1BB" w14:textId="4F0D7076" w:rsidR="000A286B" w:rsidRPr="000A286B" w:rsidRDefault="000A286B" w:rsidP="000A286B">
            <w:pPr>
              <w:pStyle w:val="ListParagraph"/>
              <w:numPr>
                <w:ilvl w:val="0"/>
                <w:numId w:val="34"/>
              </w:numPr>
              <w:rPr>
                <w:rFonts w:ascii="Calibri" w:eastAsia="Calibri" w:hAnsi="Calibri" w:cs="Calibri"/>
                <w:color w:val="000000" w:themeColor="text1"/>
                <w:sz w:val="16"/>
                <w:szCs w:val="16"/>
              </w:rPr>
            </w:pPr>
            <w:r w:rsidRPr="008D4B49">
              <w:rPr>
                <w:rFonts w:ascii="Calibri" w:eastAsia="Calibri" w:hAnsi="Calibri" w:cs="Calibri"/>
                <w:color w:val="000000" w:themeColor="text1"/>
                <w:sz w:val="16"/>
                <w:szCs w:val="16"/>
                <w:lang w:val="en-AU"/>
              </w:rPr>
              <w:t xml:space="preserve">Through the update of the TOR, SPC will work with DFAT to </w:t>
            </w:r>
            <w:r w:rsidRPr="000A286B">
              <w:rPr>
                <w:rFonts w:ascii="Calibri" w:eastAsia="Calibri" w:hAnsi="Calibri" w:cs="Calibri"/>
                <w:color w:val="000000" w:themeColor="text1"/>
                <w:sz w:val="16"/>
                <w:szCs w:val="16"/>
              </w:rPr>
              <w:t>review and revise SPC’s role as the Secretariat.</w:t>
            </w:r>
          </w:p>
          <w:p w14:paraId="1A80F49F" w14:textId="77777777" w:rsidR="0070662C" w:rsidRPr="000A286B" w:rsidRDefault="0070662C" w:rsidP="0070662C">
            <w:pPr>
              <w:pStyle w:val="ListParagraph"/>
              <w:numPr>
                <w:ilvl w:val="0"/>
                <w:numId w:val="34"/>
              </w:numPr>
              <w:spacing w:after="160" w:line="278" w:lineRule="auto"/>
              <w:rPr>
                <w:rFonts w:ascii="Calibri" w:eastAsia="Calibri" w:hAnsi="Calibri" w:cs="Calibri"/>
                <w:color w:val="000000" w:themeColor="text1"/>
                <w:sz w:val="16"/>
                <w:szCs w:val="16"/>
              </w:rPr>
            </w:pPr>
            <w:r>
              <w:rPr>
                <w:rFonts w:ascii="Calibri" w:eastAsia="Calibri" w:hAnsi="Calibri" w:cs="Calibri"/>
                <w:color w:val="000000" w:themeColor="text1"/>
                <w:sz w:val="16"/>
                <w:szCs w:val="16"/>
              </w:rPr>
              <w:t>S</w:t>
            </w:r>
            <w:r w:rsidRPr="000A286B">
              <w:rPr>
                <w:rFonts w:ascii="Calibri" w:eastAsia="Calibri" w:hAnsi="Calibri" w:cs="Calibri"/>
                <w:color w:val="000000" w:themeColor="text1"/>
                <w:sz w:val="16"/>
                <w:szCs w:val="16"/>
              </w:rPr>
              <w:t>eek</w:t>
            </w:r>
            <w:r>
              <w:rPr>
                <w:rFonts w:ascii="Calibri" w:eastAsia="Calibri" w:hAnsi="Calibri" w:cs="Calibri"/>
                <w:color w:val="000000" w:themeColor="text1"/>
                <w:sz w:val="16"/>
                <w:szCs w:val="16"/>
              </w:rPr>
              <w:t xml:space="preserve"> </w:t>
            </w:r>
            <w:r w:rsidRPr="000A286B">
              <w:rPr>
                <w:rFonts w:ascii="Calibri" w:eastAsia="Calibri" w:hAnsi="Calibri" w:cs="Calibri"/>
                <w:color w:val="000000" w:themeColor="text1"/>
                <w:sz w:val="16"/>
                <w:szCs w:val="16"/>
              </w:rPr>
              <w:t>opportunities to further strengthen the Board’s capacity and capability, through training and coaching.</w:t>
            </w:r>
          </w:p>
          <w:p w14:paraId="763189A4" w14:textId="657A405A" w:rsidR="000A286B" w:rsidRPr="000A286B" w:rsidRDefault="000A286B" w:rsidP="000A286B">
            <w:pPr>
              <w:pStyle w:val="ListParagraph"/>
              <w:numPr>
                <w:ilvl w:val="0"/>
                <w:numId w:val="34"/>
              </w:numPr>
              <w:rPr>
                <w:rFonts w:ascii="Calibri" w:eastAsia="Calibri" w:hAnsi="Calibri" w:cs="Calibri"/>
                <w:color w:val="000000" w:themeColor="text1"/>
                <w:sz w:val="16"/>
                <w:szCs w:val="16"/>
              </w:rPr>
            </w:pPr>
            <w:r w:rsidRPr="006A3C1B">
              <w:rPr>
                <w:rFonts w:ascii="Calibri" w:eastAsia="Calibri" w:hAnsi="Calibri" w:cs="Calibri"/>
                <w:color w:val="000000" w:themeColor="text1"/>
                <w:sz w:val="16"/>
                <w:szCs w:val="16"/>
                <w:lang w:val="en-AU"/>
              </w:rPr>
              <w:t xml:space="preserve">In parallel, SPC will review its Governance training for Committee </w:t>
            </w:r>
            <w:r w:rsidRPr="006A3C1B">
              <w:rPr>
                <w:rFonts w:ascii="Calibri" w:eastAsia="Calibri" w:hAnsi="Calibri" w:cs="Calibri"/>
                <w:color w:val="000000" w:themeColor="text1"/>
                <w:sz w:val="16"/>
                <w:szCs w:val="16"/>
                <w:lang w:val="en-AU"/>
              </w:rPr>
              <w:lastRenderedPageBreak/>
              <w:t>of Representatives of Governments and Administrations (CRGA) that presents an opportunity for cross learning and update to governance training across different sectors and governance board mechanisms.</w:t>
            </w:r>
          </w:p>
          <w:p w14:paraId="76BDDFFD" w14:textId="031E1163" w:rsidR="00962320" w:rsidRPr="009F496D" w:rsidRDefault="00962320" w:rsidP="000A286B">
            <w:pPr>
              <w:rPr>
                <w:rFonts w:ascii="Calibri" w:eastAsia="Calibri" w:hAnsi="Calibri" w:cs="Calibri"/>
                <w:color w:val="000000" w:themeColor="text1"/>
                <w:sz w:val="16"/>
                <w:szCs w:val="16"/>
                <w:highlight w:val="yellow"/>
                <w:lang w:val="en-AU"/>
              </w:rPr>
            </w:pPr>
          </w:p>
        </w:tc>
        <w:tc>
          <w:tcPr>
            <w:tcW w:w="1560" w:type="dxa"/>
            <w:shd w:val="clear" w:color="auto" w:fill="E8E8E8" w:themeFill="background2"/>
          </w:tcPr>
          <w:p w14:paraId="3B24AAAB" w14:textId="0E706EAC" w:rsidR="00962320" w:rsidRPr="009F496D" w:rsidRDefault="00402292" w:rsidP="00962320">
            <w:pPr>
              <w:rPr>
                <w:rFonts w:ascii="Calibri" w:eastAsia="Calibri" w:hAnsi="Calibri" w:cs="Calibri"/>
                <w:color w:val="000000" w:themeColor="text1"/>
                <w:sz w:val="16"/>
                <w:szCs w:val="16"/>
                <w:lang w:val="en-GB"/>
              </w:rPr>
            </w:pPr>
            <w:r>
              <w:rPr>
                <w:rFonts w:ascii="Calibri" w:eastAsia="Calibri" w:hAnsi="Calibri" w:cs="Calibri"/>
                <w:color w:val="000000" w:themeColor="text1"/>
                <w:sz w:val="16"/>
                <w:szCs w:val="16"/>
                <w:lang w:val="en-GB"/>
              </w:rPr>
              <w:lastRenderedPageBreak/>
              <w:t>2a) and b) PWLES agrees with this recommendation and remains available to support the Board, SPC or DFAT as required to implement this recommendation.</w:t>
            </w:r>
          </w:p>
        </w:tc>
        <w:tc>
          <w:tcPr>
            <w:tcW w:w="992" w:type="dxa"/>
          </w:tcPr>
          <w:p w14:paraId="4F29C7EC" w14:textId="7E872BA3" w:rsidR="00962320" w:rsidRPr="009F496D" w:rsidRDefault="00962320" w:rsidP="00962320">
            <w:pPr>
              <w:rPr>
                <w:rFonts w:ascii="Calibri" w:eastAsia="Calibri" w:hAnsi="Calibri" w:cs="Calibri"/>
                <w:color w:val="000000" w:themeColor="text1"/>
                <w:sz w:val="16"/>
                <w:szCs w:val="16"/>
                <w:lang w:val="en-GB"/>
              </w:rPr>
            </w:pPr>
            <w:r w:rsidRPr="009F496D">
              <w:rPr>
                <w:rFonts w:ascii="Calibri" w:eastAsia="Calibri" w:hAnsi="Calibri" w:cs="Calibri"/>
                <w:color w:val="000000" w:themeColor="text1"/>
                <w:sz w:val="16"/>
                <w:szCs w:val="16"/>
                <w:lang w:val="en-GB"/>
              </w:rPr>
              <w:t>Q</w:t>
            </w:r>
            <w:r w:rsidR="00DC748B">
              <w:rPr>
                <w:rFonts w:ascii="Calibri" w:eastAsia="Calibri" w:hAnsi="Calibri" w:cs="Calibri"/>
                <w:color w:val="000000" w:themeColor="text1"/>
                <w:sz w:val="16"/>
                <w:szCs w:val="16"/>
                <w:lang w:val="en-GB"/>
              </w:rPr>
              <w:t>4</w:t>
            </w:r>
            <w:r w:rsidRPr="009F496D">
              <w:rPr>
                <w:rFonts w:ascii="Calibri" w:eastAsia="Calibri" w:hAnsi="Calibri" w:cs="Calibri"/>
                <w:color w:val="000000" w:themeColor="text1"/>
                <w:sz w:val="16"/>
                <w:szCs w:val="16"/>
                <w:lang w:val="en-GB"/>
              </w:rPr>
              <w:t xml:space="preserve"> 2025</w:t>
            </w:r>
          </w:p>
        </w:tc>
      </w:tr>
      <w:tr w:rsidR="00962320" w:rsidRPr="009F496D" w14:paraId="394B6AE5" w14:textId="77777777" w:rsidTr="00A06565">
        <w:trPr>
          <w:trHeight w:val="300"/>
        </w:trPr>
        <w:tc>
          <w:tcPr>
            <w:tcW w:w="2689" w:type="dxa"/>
          </w:tcPr>
          <w:p w14:paraId="40E85BC5" w14:textId="754A8978" w:rsidR="00962320" w:rsidRPr="009F496D" w:rsidRDefault="00962320" w:rsidP="00A06565">
            <w:pPr>
              <w:spacing w:before="100" w:beforeAutospacing="1" w:after="100" w:afterAutospacing="1"/>
              <w:rPr>
                <w:rFonts w:ascii="Calibri" w:eastAsia="Calibri" w:hAnsi="Calibri" w:cs="Calibri"/>
                <w:sz w:val="16"/>
                <w:szCs w:val="16"/>
              </w:rPr>
            </w:pPr>
            <w:r w:rsidRPr="009F496D">
              <w:rPr>
                <w:rFonts w:ascii="Calibri" w:eastAsia="Calibri" w:hAnsi="Calibri" w:cs="Calibri"/>
                <w:b/>
                <w:bCs/>
                <w:kern w:val="0"/>
                <w:sz w:val="16"/>
                <w:szCs w:val="16"/>
                <w14:ligatures w14:val="none"/>
              </w:rPr>
              <w:t>3. Ensure continuity and minimise disruptions in SPC grants</w:t>
            </w:r>
            <w:r w:rsidRPr="009F496D">
              <w:rPr>
                <w:rFonts w:ascii="Calibri" w:eastAsia="Calibri" w:hAnsi="Calibri" w:cs="Calibri"/>
                <w:kern w:val="0"/>
                <w:sz w:val="16"/>
                <w:szCs w:val="16"/>
                <w14:ligatures w14:val="none"/>
              </w:rPr>
              <w:t xml:space="preserve"> by</w:t>
            </w:r>
            <w:r w:rsidR="000262CD">
              <w:rPr>
                <w:rFonts w:ascii="Calibri" w:eastAsia="Calibri" w:hAnsi="Calibri" w:cs="Calibri"/>
                <w:kern w:val="0"/>
                <w:sz w:val="16"/>
                <w:szCs w:val="16"/>
                <w14:ligatures w14:val="none"/>
              </w:rPr>
              <w:t xml:space="preserve"> s</w:t>
            </w:r>
            <w:r w:rsidRPr="00AF3A95">
              <w:rPr>
                <w:rFonts w:ascii="Calibri" w:eastAsia="Calibri" w:hAnsi="Calibri" w:cs="Calibri"/>
                <w:kern w:val="0"/>
                <w:sz w:val="16"/>
                <w:szCs w:val="16"/>
                <w14:ligatures w14:val="none"/>
              </w:rPr>
              <w:t xml:space="preserve">igning a no cost extension to enable SPC grantees to implement their full contract </w:t>
            </w:r>
            <w:r w:rsidR="000B2E6B" w:rsidRPr="00AF3A95">
              <w:rPr>
                <w:rFonts w:ascii="Calibri" w:eastAsia="Calibri" w:hAnsi="Calibri" w:cs="Calibri"/>
                <w:kern w:val="0"/>
                <w:sz w:val="16"/>
                <w:szCs w:val="16"/>
                <w14:ligatures w14:val="none"/>
              </w:rPr>
              <w:t>budgets</w:t>
            </w:r>
            <w:r w:rsidR="000B2E6B">
              <w:rPr>
                <w:rFonts w:ascii="Calibri" w:eastAsia="Calibri" w:hAnsi="Calibri" w:cs="Calibri"/>
                <w:kern w:val="0"/>
                <w:sz w:val="16"/>
                <w:szCs w:val="16"/>
                <w14:ligatures w14:val="none"/>
              </w:rPr>
              <w:t xml:space="preserve"> and</w:t>
            </w:r>
            <w:r w:rsidR="000262CD">
              <w:rPr>
                <w:rFonts w:ascii="Calibri" w:eastAsia="Calibri" w:hAnsi="Calibri" w:cs="Calibri"/>
                <w:kern w:val="0"/>
                <w:sz w:val="16"/>
                <w:szCs w:val="16"/>
                <w14:ligatures w14:val="none"/>
              </w:rPr>
              <w:t xml:space="preserve"> d</w:t>
            </w:r>
            <w:r w:rsidRPr="00AF3A95">
              <w:rPr>
                <w:rFonts w:ascii="Calibri" w:eastAsia="Calibri" w:hAnsi="Calibri" w:cs="Calibri"/>
                <w:kern w:val="0"/>
                <w:sz w:val="16"/>
                <w:szCs w:val="16"/>
                <w14:ligatures w14:val="none"/>
              </w:rPr>
              <w:t>eveloping a transition plan to bridge grants into the next phase.</w:t>
            </w:r>
          </w:p>
        </w:tc>
        <w:tc>
          <w:tcPr>
            <w:tcW w:w="992" w:type="dxa"/>
          </w:tcPr>
          <w:p w14:paraId="2D156EB5" w14:textId="77777777" w:rsidR="00962320" w:rsidRPr="009F496D" w:rsidRDefault="00962320" w:rsidP="00962320">
            <w:pPr>
              <w:rPr>
                <w:rFonts w:ascii="Calibri" w:eastAsia="Calibri" w:hAnsi="Calibri" w:cs="Calibri"/>
                <w:b/>
                <w:bCs/>
                <w:sz w:val="16"/>
                <w:szCs w:val="16"/>
              </w:rPr>
            </w:pPr>
            <w:r w:rsidRPr="009F496D">
              <w:rPr>
                <w:rFonts w:ascii="Calibri" w:eastAsia="Calibri" w:hAnsi="Calibri" w:cs="Calibri"/>
                <w:b/>
                <w:bCs/>
                <w:sz w:val="16"/>
                <w:szCs w:val="16"/>
              </w:rPr>
              <w:t>Agree</w:t>
            </w:r>
          </w:p>
        </w:tc>
        <w:tc>
          <w:tcPr>
            <w:tcW w:w="2126" w:type="dxa"/>
            <w:shd w:val="clear" w:color="auto" w:fill="E8E8E8" w:themeFill="background2"/>
          </w:tcPr>
          <w:p w14:paraId="62C2E471" w14:textId="27F8FE85" w:rsidR="00962320" w:rsidRPr="00402292" w:rsidRDefault="00402292" w:rsidP="6AD5217B">
            <w:pPr>
              <w:pStyle w:val="NoSpacing"/>
              <w:rPr>
                <w:rFonts w:ascii="Calibri" w:eastAsia="Calibri" w:hAnsi="Calibri" w:cs="Calibri"/>
                <w:sz w:val="16"/>
                <w:szCs w:val="16"/>
                <w:lang w:val="en-GB"/>
              </w:rPr>
            </w:pPr>
            <w:r w:rsidRPr="005366A7">
              <w:rPr>
                <w:rFonts w:ascii="Calibri" w:eastAsia="Calibri" w:hAnsi="Calibri" w:cs="Calibri"/>
                <w:sz w:val="16"/>
                <w:szCs w:val="16"/>
              </w:rPr>
              <w:t>The Board supports the signing of a no-cost extension for existing SPC-managed grants where needed, to allow partners to fully implement their approved activities and utilise their contract budgets. The Board also agrees that a clear and coordinated transition plan is required to bridge current grants into the next phase of PWL.</w:t>
            </w:r>
          </w:p>
        </w:tc>
        <w:tc>
          <w:tcPr>
            <w:tcW w:w="1985" w:type="dxa"/>
          </w:tcPr>
          <w:p w14:paraId="5E6324D5" w14:textId="03E9F001" w:rsidR="00962320" w:rsidRPr="009F496D" w:rsidRDefault="00962320" w:rsidP="00962320">
            <w:pPr>
              <w:pStyle w:val="NoSpacing"/>
              <w:rPr>
                <w:rFonts w:ascii="Calibri" w:eastAsia="Calibri" w:hAnsi="Calibri" w:cs="Calibri"/>
                <w:sz w:val="16"/>
                <w:szCs w:val="16"/>
              </w:rPr>
            </w:pPr>
            <w:r w:rsidRPr="009F496D">
              <w:rPr>
                <w:rFonts w:ascii="Calibri" w:eastAsia="Calibri" w:hAnsi="Calibri" w:cs="Calibri"/>
                <w:sz w:val="16"/>
                <w:szCs w:val="16"/>
              </w:rPr>
              <w:t xml:space="preserve">Acknowledging the delays in the grant processes (as discussed within the report), DFAT and SPC have already entered </w:t>
            </w:r>
            <w:r w:rsidR="00B050B3">
              <w:rPr>
                <w:rFonts w:ascii="Calibri" w:eastAsia="Calibri" w:hAnsi="Calibri" w:cs="Calibri"/>
                <w:sz w:val="16"/>
                <w:szCs w:val="16"/>
              </w:rPr>
              <w:t xml:space="preserve">into </w:t>
            </w:r>
            <w:r w:rsidRPr="009F496D">
              <w:rPr>
                <w:rFonts w:ascii="Calibri" w:eastAsia="Calibri" w:hAnsi="Calibri" w:cs="Calibri"/>
                <w:sz w:val="16"/>
                <w:szCs w:val="16"/>
              </w:rPr>
              <w:t xml:space="preserve">a no cost extension to enable </w:t>
            </w:r>
            <w:r w:rsidR="00525E07">
              <w:rPr>
                <w:rFonts w:ascii="Calibri" w:eastAsia="Calibri" w:hAnsi="Calibri" w:cs="Calibri"/>
                <w:sz w:val="16"/>
                <w:szCs w:val="16"/>
              </w:rPr>
              <w:t xml:space="preserve">grantees </w:t>
            </w:r>
            <w:r w:rsidRPr="009F496D">
              <w:rPr>
                <w:rFonts w:ascii="Calibri" w:eastAsia="Calibri" w:hAnsi="Calibri" w:cs="Calibri"/>
                <w:sz w:val="16"/>
                <w:szCs w:val="16"/>
              </w:rPr>
              <w:t>greater implementation time</w:t>
            </w:r>
            <w:r>
              <w:rPr>
                <w:rFonts w:ascii="Calibri" w:eastAsia="Calibri" w:hAnsi="Calibri" w:cs="Calibri"/>
                <w:sz w:val="16"/>
                <w:szCs w:val="16"/>
              </w:rPr>
              <w:t>.</w:t>
            </w:r>
          </w:p>
          <w:p w14:paraId="1C88F385" w14:textId="77777777" w:rsidR="00962320" w:rsidRPr="009F496D" w:rsidRDefault="00962320" w:rsidP="00962320">
            <w:pPr>
              <w:pStyle w:val="NoSpacing"/>
              <w:rPr>
                <w:rFonts w:ascii="Calibri" w:eastAsia="Calibri" w:hAnsi="Calibri" w:cs="Calibri"/>
                <w:sz w:val="16"/>
                <w:szCs w:val="16"/>
              </w:rPr>
            </w:pPr>
          </w:p>
          <w:p w14:paraId="6B9096E9" w14:textId="1DA539EC" w:rsidR="00962320" w:rsidRPr="009F496D" w:rsidRDefault="6916F955" w:rsidP="00962320">
            <w:pPr>
              <w:pStyle w:val="NoSpacing"/>
              <w:rPr>
                <w:rFonts w:ascii="Calibri" w:eastAsia="Calibri" w:hAnsi="Calibri" w:cs="Calibri"/>
                <w:sz w:val="16"/>
                <w:szCs w:val="16"/>
              </w:rPr>
            </w:pPr>
            <w:r w:rsidRPr="6AD5217B">
              <w:rPr>
                <w:rFonts w:ascii="Calibri" w:eastAsia="Calibri" w:hAnsi="Calibri" w:cs="Calibri"/>
                <w:sz w:val="16"/>
                <w:szCs w:val="16"/>
              </w:rPr>
              <w:t>DFAT considers the grants a core component of Pacific-led development in PWL, and will continue to focus on ensuring their efficiency, effectiveness and sustainability</w:t>
            </w:r>
            <w:r w:rsidR="362C4152" w:rsidRPr="6AD5217B">
              <w:rPr>
                <w:rFonts w:ascii="Calibri" w:eastAsia="Calibri" w:hAnsi="Calibri" w:cs="Calibri"/>
                <w:sz w:val="16"/>
                <w:szCs w:val="16"/>
              </w:rPr>
              <w:t>, including</w:t>
            </w:r>
            <w:r w:rsidR="2DADE398" w:rsidRPr="6AD5217B">
              <w:rPr>
                <w:rFonts w:ascii="Calibri" w:eastAsia="Calibri" w:hAnsi="Calibri" w:cs="Calibri"/>
                <w:sz w:val="16"/>
                <w:szCs w:val="16"/>
              </w:rPr>
              <w:t xml:space="preserve"> </w:t>
            </w:r>
            <w:r w:rsidR="1D0CC15C" w:rsidRPr="6AD5217B">
              <w:rPr>
                <w:rFonts w:ascii="Calibri" w:eastAsia="Calibri" w:hAnsi="Calibri" w:cs="Calibri"/>
                <w:sz w:val="16"/>
                <w:szCs w:val="16"/>
              </w:rPr>
              <w:t xml:space="preserve">most appropriate delivery </w:t>
            </w:r>
            <w:r w:rsidR="7865BC51" w:rsidRPr="6AD5217B">
              <w:rPr>
                <w:rFonts w:ascii="Calibri" w:eastAsia="Calibri" w:hAnsi="Calibri" w:cs="Calibri"/>
                <w:sz w:val="16"/>
                <w:szCs w:val="16"/>
              </w:rPr>
              <w:t>modalities,</w:t>
            </w:r>
            <w:r w:rsidRPr="6AD5217B">
              <w:rPr>
                <w:rFonts w:ascii="Calibri" w:eastAsia="Calibri" w:hAnsi="Calibri" w:cs="Calibri"/>
                <w:sz w:val="16"/>
                <w:szCs w:val="16"/>
              </w:rPr>
              <w:t xml:space="preserve"> during transition planning for any future phases of the program.</w:t>
            </w:r>
          </w:p>
          <w:p w14:paraId="24FA5106" w14:textId="77777777" w:rsidR="00962320" w:rsidRPr="009F496D" w:rsidRDefault="00962320" w:rsidP="00962320">
            <w:pPr>
              <w:pStyle w:val="NoSpacing"/>
              <w:rPr>
                <w:rFonts w:ascii="Calibri" w:eastAsia="Calibri" w:hAnsi="Calibri" w:cs="Calibri"/>
                <w:sz w:val="16"/>
                <w:szCs w:val="16"/>
              </w:rPr>
            </w:pPr>
          </w:p>
        </w:tc>
        <w:tc>
          <w:tcPr>
            <w:tcW w:w="2976" w:type="dxa"/>
            <w:shd w:val="clear" w:color="auto" w:fill="E8E8E8" w:themeFill="background2"/>
          </w:tcPr>
          <w:p w14:paraId="47573130" w14:textId="5465EEB5" w:rsidR="00402292" w:rsidRDefault="00402292" w:rsidP="00402292">
            <w:pPr>
              <w:rPr>
                <w:rFonts w:ascii="Calibri" w:eastAsia="Calibri" w:hAnsi="Calibri" w:cs="Calibri"/>
                <w:sz w:val="16"/>
                <w:szCs w:val="16"/>
              </w:rPr>
            </w:pPr>
            <w:r w:rsidRPr="60676934">
              <w:rPr>
                <w:rFonts w:ascii="Calibri" w:eastAsia="Calibri" w:hAnsi="Calibri" w:cs="Calibri"/>
                <w:sz w:val="16"/>
                <w:szCs w:val="16"/>
              </w:rPr>
              <w:t xml:space="preserve">Since the completion of the MTR, SPC has signed a </w:t>
            </w:r>
            <w:r>
              <w:rPr>
                <w:rFonts w:ascii="Calibri" w:eastAsia="Calibri" w:hAnsi="Calibri" w:cs="Calibri"/>
                <w:sz w:val="16"/>
                <w:szCs w:val="16"/>
              </w:rPr>
              <w:t>no-</w:t>
            </w:r>
            <w:r w:rsidRPr="60676934">
              <w:rPr>
                <w:rFonts w:ascii="Calibri" w:eastAsia="Calibri" w:hAnsi="Calibri" w:cs="Calibri"/>
                <w:sz w:val="16"/>
                <w:szCs w:val="16"/>
              </w:rPr>
              <w:t>cost extension with DFAT to enable SPC grantees to implement their contract budgets. SPC is working with sub-grantees through this process. SPC and DFAT will work with sub-grantees on the transition to the next phase.</w:t>
            </w:r>
          </w:p>
          <w:p w14:paraId="7706D62D" w14:textId="77777777" w:rsidR="00402292" w:rsidRDefault="00402292" w:rsidP="00402292">
            <w:pPr>
              <w:rPr>
                <w:rFonts w:ascii="Calibri" w:eastAsia="Calibri" w:hAnsi="Calibri" w:cs="Calibri"/>
                <w:sz w:val="16"/>
                <w:szCs w:val="16"/>
              </w:rPr>
            </w:pPr>
          </w:p>
          <w:p w14:paraId="546DCA02" w14:textId="5C537116" w:rsidR="00962320" w:rsidRPr="00DF0C59" w:rsidRDefault="00402292" w:rsidP="00402292">
            <w:pPr>
              <w:rPr>
                <w:rFonts w:ascii="Calibri" w:eastAsia="Calibri" w:hAnsi="Calibri" w:cs="Calibri"/>
                <w:sz w:val="16"/>
                <w:szCs w:val="16"/>
              </w:rPr>
            </w:pPr>
            <w:r w:rsidRPr="60676934">
              <w:rPr>
                <w:rFonts w:ascii="Calibri" w:eastAsia="Calibri" w:hAnsi="Calibri" w:cs="Calibri"/>
                <w:sz w:val="16"/>
                <w:szCs w:val="16"/>
              </w:rPr>
              <w:t xml:space="preserve">SPC continues to strengthen its grants and procurement capabilities, under the </w:t>
            </w:r>
            <w:proofErr w:type="spellStart"/>
            <w:r w:rsidRPr="60676934">
              <w:rPr>
                <w:rFonts w:ascii="Calibri" w:eastAsia="Calibri" w:hAnsi="Calibri" w:cs="Calibri"/>
                <w:sz w:val="16"/>
                <w:szCs w:val="16"/>
              </w:rPr>
              <w:t>OneSPC</w:t>
            </w:r>
            <w:proofErr w:type="spellEnd"/>
            <w:r w:rsidRPr="60676934">
              <w:rPr>
                <w:rFonts w:ascii="Calibri" w:eastAsia="Calibri" w:hAnsi="Calibri" w:cs="Calibri"/>
                <w:sz w:val="16"/>
                <w:szCs w:val="16"/>
              </w:rPr>
              <w:t xml:space="preserve"> Transformation </w:t>
            </w:r>
            <w:proofErr w:type="spellStart"/>
            <w:r w:rsidRPr="60676934">
              <w:rPr>
                <w:rFonts w:ascii="Calibri" w:eastAsia="Calibri" w:hAnsi="Calibri" w:cs="Calibri"/>
                <w:sz w:val="16"/>
                <w:szCs w:val="16"/>
              </w:rPr>
              <w:t>Programme</w:t>
            </w:r>
            <w:proofErr w:type="spellEnd"/>
            <w:r w:rsidRPr="60676934">
              <w:rPr>
                <w:rFonts w:ascii="Calibri" w:eastAsia="Calibri" w:hAnsi="Calibri" w:cs="Calibri"/>
                <w:sz w:val="16"/>
                <w:szCs w:val="16"/>
              </w:rPr>
              <w:t>. This includes having a dedicated team within OMD who have strong technical capabilities to support grants throughout pre award, award and post award stages, and will continue to work closely with the PWL at SPC programme to improve efficiency and identify solutions suited to SPC and its implementing partners. Additionally, a new Grants Committee, separate from the Procurement Committee, is now meeting fortnightly. In Q4 2025, detailed onboarding guidance will be provided to new grantees. New grants management software is under consideration for Q3–Q4 2025.</w:t>
            </w:r>
          </w:p>
        </w:tc>
        <w:tc>
          <w:tcPr>
            <w:tcW w:w="1560" w:type="dxa"/>
            <w:shd w:val="clear" w:color="auto" w:fill="E8E8E8" w:themeFill="background2"/>
          </w:tcPr>
          <w:p w14:paraId="06C04EC8" w14:textId="22AC80E7" w:rsidR="00962320" w:rsidRPr="009F496D" w:rsidRDefault="00402292" w:rsidP="00962320">
            <w:pPr>
              <w:rPr>
                <w:rFonts w:ascii="Calibri" w:eastAsia="Calibri" w:hAnsi="Calibri" w:cs="Calibri"/>
                <w:color w:val="000000" w:themeColor="text1"/>
                <w:sz w:val="16"/>
                <w:szCs w:val="16"/>
                <w:lang w:val="en-GB"/>
              </w:rPr>
            </w:pPr>
            <w:r>
              <w:rPr>
                <w:rFonts w:ascii="Calibri" w:eastAsia="Calibri" w:hAnsi="Calibri" w:cs="Calibri"/>
                <w:color w:val="000000" w:themeColor="text1"/>
                <w:sz w:val="16"/>
                <w:szCs w:val="16"/>
                <w:lang w:val="en-GB"/>
              </w:rPr>
              <w:t>PWLES agree</w:t>
            </w:r>
            <w:r w:rsidR="0070662C">
              <w:rPr>
                <w:rFonts w:ascii="Calibri" w:eastAsia="Calibri" w:hAnsi="Calibri" w:cs="Calibri"/>
                <w:color w:val="000000" w:themeColor="text1"/>
                <w:sz w:val="16"/>
                <w:szCs w:val="16"/>
                <w:lang w:val="en-GB"/>
              </w:rPr>
              <w:t>s</w:t>
            </w:r>
            <w:r>
              <w:rPr>
                <w:rFonts w:ascii="Calibri" w:eastAsia="Calibri" w:hAnsi="Calibri" w:cs="Calibri"/>
                <w:color w:val="000000" w:themeColor="text1"/>
                <w:sz w:val="16"/>
                <w:szCs w:val="16"/>
                <w:lang w:val="en-GB"/>
              </w:rPr>
              <w:t xml:space="preserve"> with this recommendation and remain</w:t>
            </w:r>
            <w:r w:rsidR="0070662C">
              <w:rPr>
                <w:rFonts w:ascii="Calibri" w:eastAsia="Calibri" w:hAnsi="Calibri" w:cs="Calibri"/>
                <w:color w:val="000000" w:themeColor="text1"/>
                <w:sz w:val="16"/>
                <w:szCs w:val="16"/>
                <w:lang w:val="en-GB"/>
              </w:rPr>
              <w:t>s</w:t>
            </w:r>
            <w:r>
              <w:rPr>
                <w:rFonts w:ascii="Calibri" w:eastAsia="Calibri" w:hAnsi="Calibri" w:cs="Calibri"/>
                <w:color w:val="000000" w:themeColor="text1"/>
                <w:sz w:val="16"/>
                <w:szCs w:val="16"/>
                <w:lang w:val="en-GB"/>
              </w:rPr>
              <w:t xml:space="preserve"> available to support SPC to strengthen continuity and minimise disruptions, as needed.</w:t>
            </w:r>
          </w:p>
        </w:tc>
        <w:tc>
          <w:tcPr>
            <w:tcW w:w="992" w:type="dxa"/>
          </w:tcPr>
          <w:p w14:paraId="320307B5" w14:textId="7F61AE58" w:rsidR="00962320" w:rsidRPr="009F496D" w:rsidRDefault="00962320" w:rsidP="00962320">
            <w:pPr>
              <w:rPr>
                <w:rFonts w:ascii="Calibri" w:eastAsia="Calibri" w:hAnsi="Calibri" w:cs="Calibri"/>
                <w:color w:val="000000" w:themeColor="text1"/>
                <w:sz w:val="16"/>
                <w:szCs w:val="16"/>
                <w:lang w:val="en-GB"/>
              </w:rPr>
            </w:pPr>
            <w:r w:rsidRPr="009F496D">
              <w:rPr>
                <w:rFonts w:ascii="Calibri" w:eastAsia="Calibri" w:hAnsi="Calibri" w:cs="Calibri"/>
                <w:color w:val="000000" w:themeColor="text1"/>
                <w:sz w:val="16"/>
                <w:szCs w:val="16"/>
                <w:lang w:val="en-GB"/>
              </w:rPr>
              <w:t>Q</w:t>
            </w:r>
            <w:r w:rsidR="00F7592E">
              <w:rPr>
                <w:rFonts w:ascii="Calibri" w:eastAsia="Calibri" w:hAnsi="Calibri" w:cs="Calibri"/>
                <w:color w:val="000000" w:themeColor="text1"/>
                <w:sz w:val="16"/>
                <w:szCs w:val="16"/>
                <w:lang w:val="en-GB"/>
              </w:rPr>
              <w:t>1</w:t>
            </w:r>
            <w:r w:rsidRPr="009F496D">
              <w:rPr>
                <w:rFonts w:ascii="Calibri" w:eastAsia="Calibri" w:hAnsi="Calibri" w:cs="Calibri"/>
                <w:color w:val="000000" w:themeColor="text1"/>
                <w:sz w:val="16"/>
                <w:szCs w:val="16"/>
                <w:lang w:val="en-GB"/>
              </w:rPr>
              <w:t xml:space="preserve"> 2025</w:t>
            </w:r>
            <w:r w:rsidR="00F7592E">
              <w:rPr>
                <w:rFonts w:ascii="Calibri" w:eastAsia="Calibri" w:hAnsi="Calibri" w:cs="Calibri"/>
                <w:color w:val="000000" w:themeColor="text1"/>
                <w:sz w:val="16"/>
                <w:szCs w:val="16"/>
                <w:lang w:val="en-GB"/>
              </w:rPr>
              <w:t xml:space="preserve"> and beyond</w:t>
            </w:r>
          </w:p>
        </w:tc>
      </w:tr>
      <w:tr w:rsidR="00962320" w:rsidRPr="009F496D" w14:paraId="67ECB412" w14:textId="77777777" w:rsidTr="00A06565">
        <w:trPr>
          <w:trHeight w:val="300"/>
        </w:trPr>
        <w:tc>
          <w:tcPr>
            <w:tcW w:w="2689" w:type="dxa"/>
          </w:tcPr>
          <w:p w14:paraId="67702595" w14:textId="77777777" w:rsidR="007B0EC9" w:rsidRPr="00123ED2" w:rsidRDefault="00962320" w:rsidP="6AD5217B">
            <w:pPr>
              <w:spacing w:before="100" w:beforeAutospacing="1" w:after="100" w:afterAutospacing="1"/>
              <w:rPr>
                <w:rFonts w:ascii="Calibri" w:eastAsia="Calibri" w:hAnsi="Calibri" w:cs="Calibri"/>
                <w:b/>
                <w:bCs/>
                <w:sz w:val="16"/>
                <w:szCs w:val="16"/>
              </w:rPr>
            </w:pPr>
            <w:r w:rsidRPr="00436526">
              <w:rPr>
                <w:rFonts w:ascii="Calibri" w:eastAsia="Calibri" w:hAnsi="Calibri" w:cs="Calibri"/>
                <w:b/>
                <w:bCs/>
                <w:kern w:val="0"/>
                <w:sz w:val="16"/>
                <w:szCs w:val="16"/>
                <w14:ligatures w14:val="none"/>
              </w:rPr>
              <w:t xml:space="preserve">4. </w:t>
            </w:r>
            <w:r w:rsidR="007B0EC9" w:rsidRPr="00436526">
              <w:rPr>
                <w:rFonts w:ascii="Calibri" w:eastAsia="Calibri" w:hAnsi="Calibri" w:cs="Calibri"/>
                <w:b/>
                <w:bCs/>
                <w:kern w:val="0"/>
                <w:sz w:val="16"/>
                <w:szCs w:val="16"/>
                <w14:ligatures w14:val="none"/>
              </w:rPr>
              <w:t>Develop a PWL climate change strategy to integrate climate change considerations across PWL programming to:</w:t>
            </w:r>
          </w:p>
          <w:p w14:paraId="545EBBAA" w14:textId="77777777" w:rsidR="007B0EC9" w:rsidRPr="007B0EC9" w:rsidRDefault="007B0EC9" w:rsidP="6AD5217B">
            <w:pPr>
              <w:pStyle w:val="ListParagraph"/>
              <w:numPr>
                <w:ilvl w:val="0"/>
                <w:numId w:val="12"/>
              </w:numPr>
              <w:spacing w:before="100" w:beforeAutospacing="1" w:after="100" w:afterAutospacing="1"/>
              <w:rPr>
                <w:rFonts w:ascii="Calibri" w:eastAsia="Calibri" w:hAnsi="Calibri" w:cs="Calibri"/>
                <w:kern w:val="0"/>
                <w:sz w:val="16"/>
                <w:szCs w:val="16"/>
                <w14:ligatures w14:val="none"/>
              </w:rPr>
            </w:pPr>
            <w:r w:rsidRPr="6AD5217B">
              <w:rPr>
                <w:rFonts w:ascii="Calibri" w:eastAsia="Calibri" w:hAnsi="Calibri" w:cs="Calibri"/>
                <w:sz w:val="16"/>
                <w:szCs w:val="16"/>
              </w:rPr>
              <w:lastRenderedPageBreak/>
              <w:t>identify</w:t>
            </w:r>
            <w:r w:rsidRPr="007B0EC9">
              <w:rPr>
                <w:rFonts w:ascii="Calibri" w:eastAsia="Calibri" w:hAnsi="Calibri" w:cs="Calibri"/>
                <w:kern w:val="0"/>
                <w:sz w:val="16"/>
                <w:szCs w:val="16"/>
                <w14:ligatures w14:val="none"/>
              </w:rPr>
              <w:t xml:space="preserve"> key entry points for climate change considerations across PWL programming </w:t>
            </w:r>
          </w:p>
          <w:p w14:paraId="5152503C" w14:textId="77777777" w:rsidR="007B0EC9" w:rsidRPr="007B0EC9" w:rsidRDefault="007B0EC9" w:rsidP="6AD5217B">
            <w:pPr>
              <w:pStyle w:val="ListParagraph"/>
              <w:numPr>
                <w:ilvl w:val="0"/>
                <w:numId w:val="12"/>
              </w:numPr>
              <w:spacing w:before="100" w:beforeAutospacing="1" w:after="100" w:afterAutospacing="1"/>
              <w:rPr>
                <w:rFonts w:ascii="Calibri" w:eastAsia="Calibri" w:hAnsi="Calibri" w:cs="Calibri"/>
                <w:kern w:val="0"/>
                <w:sz w:val="16"/>
                <w:szCs w:val="16"/>
                <w14:ligatures w14:val="none"/>
              </w:rPr>
            </w:pPr>
            <w:r w:rsidRPr="6AD5217B">
              <w:rPr>
                <w:rFonts w:ascii="Calibri" w:eastAsia="Calibri" w:hAnsi="Calibri" w:cs="Calibri"/>
                <w:sz w:val="16"/>
                <w:szCs w:val="16"/>
              </w:rPr>
              <w:t xml:space="preserve">strengthen collaboration between PWL and climate-focused </w:t>
            </w:r>
            <w:r w:rsidRPr="007B0EC9">
              <w:rPr>
                <w:rFonts w:ascii="Calibri" w:eastAsia="Calibri" w:hAnsi="Calibri" w:cs="Calibri"/>
                <w:kern w:val="0"/>
                <w:sz w:val="16"/>
                <w:szCs w:val="16"/>
                <w14:ligatures w14:val="none"/>
              </w:rPr>
              <w:t>organisations</w:t>
            </w:r>
          </w:p>
          <w:p w14:paraId="06D4273B" w14:textId="5DDCE1B7" w:rsidR="00962320" w:rsidDel="007B0EC9" w:rsidRDefault="007B0EC9" w:rsidP="6AD5217B">
            <w:pPr>
              <w:pStyle w:val="ListParagraph"/>
              <w:numPr>
                <w:ilvl w:val="0"/>
                <w:numId w:val="12"/>
              </w:numPr>
              <w:spacing w:before="100" w:beforeAutospacing="1" w:after="100" w:afterAutospacing="1"/>
              <w:rPr>
                <w:rFonts w:ascii="Calibri" w:eastAsia="Calibri" w:hAnsi="Calibri" w:cs="Calibri"/>
                <w:kern w:val="0"/>
                <w:sz w:val="16"/>
                <w:szCs w:val="16"/>
                <w14:ligatures w14:val="none"/>
              </w:rPr>
            </w:pPr>
            <w:r w:rsidRPr="00436526">
              <w:rPr>
                <w:rFonts w:ascii="Calibri" w:eastAsia="Calibri" w:hAnsi="Calibri" w:cs="Calibri"/>
                <w:kern w:val="0"/>
                <w:sz w:val="16"/>
                <w:szCs w:val="16"/>
                <w14:ligatures w14:val="none"/>
              </w:rPr>
              <w:t>align the strategy with regional climate policies and funding mechanisms</w:t>
            </w:r>
          </w:p>
        </w:tc>
        <w:tc>
          <w:tcPr>
            <w:tcW w:w="992" w:type="dxa"/>
          </w:tcPr>
          <w:p w14:paraId="13F1B0D1" w14:textId="526DD798" w:rsidR="00962320" w:rsidRPr="009F496D" w:rsidRDefault="007B0EC9" w:rsidP="00962320">
            <w:pPr>
              <w:rPr>
                <w:rFonts w:ascii="Calibri" w:eastAsia="Calibri" w:hAnsi="Calibri" w:cs="Calibri"/>
                <w:b/>
                <w:bCs/>
                <w:sz w:val="16"/>
                <w:szCs w:val="16"/>
              </w:rPr>
            </w:pPr>
            <w:r w:rsidRPr="6AD5217B">
              <w:rPr>
                <w:rFonts w:ascii="Calibri" w:eastAsia="Calibri" w:hAnsi="Calibri" w:cs="Calibri"/>
                <w:b/>
                <w:bCs/>
                <w:sz w:val="16"/>
                <w:szCs w:val="16"/>
              </w:rPr>
              <w:lastRenderedPageBreak/>
              <w:t>Agree</w:t>
            </w:r>
          </w:p>
        </w:tc>
        <w:tc>
          <w:tcPr>
            <w:tcW w:w="2126" w:type="dxa"/>
            <w:shd w:val="clear" w:color="auto" w:fill="E8E8E8" w:themeFill="background2"/>
          </w:tcPr>
          <w:p w14:paraId="3A19061C" w14:textId="536E1E06" w:rsidR="00962320" w:rsidRPr="009F496D" w:rsidRDefault="006E3F89" w:rsidP="00962320">
            <w:pPr>
              <w:rPr>
                <w:rFonts w:ascii="Calibri" w:eastAsia="Calibri" w:hAnsi="Calibri" w:cs="Calibri"/>
                <w:color w:val="000000" w:themeColor="text1"/>
                <w:sz w:val="16"/>
                <w:szCs w:val="16"/>
                <w:lang w:val="en-GB"/>
              </w:rPr>
            </w:pPr>
            <w:r w:rsidRPr="006E3F89">
              <w:rPr>
                <w:rFonts w:ascii="Calibri" w:eastAsia="Calibri" w:hAnsi="Calibri" w:cs="Calibri"/>
                <w:color w:val="000000" w:themeColor="text1"/>
                <w:sz w:val="16"/>
                <w:szCs w:val="16"/>
              </w:rPr>
              <w:t xml:space="preserve">The Board acknowledges that climate change is one of the most pressing challenges in the Pacific and is closely connected to gender equality. It supports creating a guidance note to help </w:t>
            </w:r>
            <w:r w:rsidRPr="006E3F89">
              <w:rPr>
                <w:rFonts w:ascii="Calibri" w:eastAsia="Calibri" w:hAnsi="Calibri" w:cs="Calibri"/>
                <w:color w:val="000000" w:themeColor="text1"/>
                <w:sz w:val="16"/>
                <w:szCs w:val="16"/>
              </w:rPr>
              <w:lastRenderedPageBreak/>
              <w:t>partners embed climate considerations into their programs.</w:t>
            </w:r>
          </w:p>
        </w:tc>
        <w:tc>
          <w:tcPr>
            <w:tcW w:w="1985" w:type="dxa"/>
          </w:tcPr>
          <w:p w14:paraId="0AC9835E" w14:textId="21916907" w:rsidR="00962320" w:rsidRPr="009877F1" w:rsidRDefault="00962320" w:rsidP="6AD5217B">
            <w:pPr>
              <w:pStyle w:val="NoSpacing"/>
              <w:rPr>
                <w:rFonts w:ascii="Calibri" w:eastAsia="Calibri" w:hAnsi="Calibri" w:cs="Calibri"/>
                <w:i/>
                <w:iCs/>
                <w:sz w:val="16"/>
                <w:szCs w:val="16"/>
              </w:rPr>
            </w:pPr>
            <w:r w:rsidRPr="6AD5217B">
              <w:rPr>
                <w:rFonts w:ascii="Calibri" w:eastAsia="Calibri" w:hAnsi="Calibri" w:cs="Calibri"/>
                <w:color w:val="000000" w:themeColor="text1"/>
                <w:sz w:val="16"/>
                <w:szCs w:val="16"/>
              </w:rPr>
              <w:lastRenderedPageBreak/>
              <w:t>DFAT agrees with this recommendation</w:t>
            </w:r>
            <w:r w:rsidR="000913F2" w:rsidRPr="6AD5217B">
              <w:rPr>
                <w:rFonts w:ascii="Calibri" w:eastAsia="Calibri" w:hAnsi="Calibri" w:cs="Calibri"/>
                <w:color w:val="000000" w:themeColor="text1"/>
                <w:sz w:val="16"/>
                <w:szCs w:val="16"/>
              </w:rPr>
              <w:t>, which</w:t>
            </w:r>
            <w:r w:rsidRPr="6AD5217B">
              <w:rPr>
                <w:rFonts w:ascii="Calibri" w:eastAsia="Calibri" w:hAnsi="Calibri" w:cs="Calibri"/>
                <w:color w:val="000000" w:themeColor="text1"/>
                <w:sz w:val="16"/>
                <w:szCs w:val="16"/>
              </w:rPr>
              <w:t xml:space="preserve"> aligns with Australia’s International Development Policy</w:t>
            </w:r>
            <w:r w:rsidR="000913F2" w:rsidRPr="6AD5217B">
              <w:rPr>
                <w:rFonts w:ascii="Calibri" w:eastAsia="Calibri" w:hAnsi="Calibri" w:cs="Calibri"/>
                <w:color w:val="000000" w:themeColor="text1"/>
                <w:sz w:val="16"/>
                <w:szCs w:val="16"/>
              </w:rPr>
              <w:t xml:space="preserve">, and </w:t>
            </w:r>
            <w:r w:rsidR="0049164A" w:rsidRPr="6AD5217B">
              <w:rPr>
                <w:rFonts w:ascii="Calibri" w:eastAsia="Calibri" w:hAnsi="Calibri" w:cs="Calibri"/>
                <w:color w:val="000000" w:themeColor="text1"/>
                <w:sz w:val="16"/>
                <w:szCs w:val="16"/>
              </w:rPr>
              <w:t xml:space="preserve">has engaged PWLES to </w:t>
            </w:r>
            <w:r w:rsidRPr="6AD5217B">
              <w:rPr>
                <w:rFonts w:ascii="Calibri" w:eastAsia="Calibri" w:hAnsi="Calibri" w:cs="Calibri"/>
                <w:color w:val="000000" w:themeColor="text1"/>
                <w:sz w:val="16"/>
                <w:szCs w:val="16"/>
              </w:rPr>
              <w:t xml:space="preserve">develop a Climate Change Guidance </w:t>
            </w:r>
            <w:r w:rsidRPr="6AD5217B">
              <w:rPr>
                <w:rFonts w:ascii="Calibri" w:eastAsia="Calibri" w:hAnsi="Calibri" w:cs="Calibri"/>
                <w:color w:val="000000" w:themeColor="text1"/>
                <w:sz w:val="16"/>
                <w:szCs w:val="16"/>
              </w:rPr>
              <w:lastRenderedPageBreak/>
              <w:t xml:space="preserve">Note that focuses on integrating climate change considerations into existing </w:t>
            </w:r>
            <w:r w:rsidR="00292D35" w:rsidRPr="6AD5217B">
              <w:rPr>
                <w:rFonts w:ascii="Calibri" w:eastAsia="Calibri" w:hAnsi="Calibri" w:cs="Calibri"/>
                <w:color w:val="000000" w:themeColor="text1"/>
                <w:sz w:val="16"/>
                <w:szCs w:val="16"/>
              </w:rPr>
              <w:t xml:space="preserve">PWL </w:t>
            </w:r>
            <w:r w:rsidRPr="6AD5217B">
              <w:rPr>
                <w:rFonts w:ascii="Calibri" w:eastAsia="Calibri" w:hAnsi="Calibri" w:cs="Calibri"/>
                <w:color w:val="000000" w:themeColor="text1"/>
                <w:sz w:val="16"/>
                <w:szCs w:val="16"/>
              </w:rPr>
              <w:t xml:space="preserve">gender equality initiatives. </w:t>
            </w:r>
          </w:p>
        </w:tc>
        <w:tc>
          <w:tcPr>
            <w:tcW w:w="2976" w:type="dxa"/>
            <w:shd w:val="clear" w:color="auto" w:fill="E8E8E8" w:themeFill="background2"/>
          </w:tcPr>
          <w:p w14:paraId="6F7E8462" w14:textId="65083E43" w:rsidR="00962320" w:rsidRPr="009F496D" w:rsidRDefault="00820AAD" w:rsidP="00962320">
            <w:pPr>
              <w:rPr>
                <w:rFonts w:ascii="Calibri" w:eastAsia="Calibri" w:hAnsi="Calibri" w:cs="Calibri"/>
                <w:color w:val="000000" w:themeColor="text1"/>
                <w:sz w:val="16"/>
                <w:szCs w:val="16"/>
                <w:lang w:val="en-GB"/>
              </w:rPr>
            </w:pPr>
            <w:r w:rsidRPr="60676934">
              <w:rPr>
                <w:rFonts w:ascii="Calibri" w:eastAsia="Calibri" w:hAnsi="Calibri" w:cs="Calibri"/>
                <w:color w:val="000000" w:themeColor="text1"/>
                <w:sz w:val="16"/>
                <w:szCs w:val="16"/>
                <w:lang w:val="en-GB"/>
              </w:rPr>
              <w:lastRenderedPageBreak/>
              <w:t xml:space="preserve">SPC supports and endorses the response by DFAT and PWLES, to seek opportunities to strengthen the gender and climate change nexus. SPC can support this through the SPC Flagships. SPC’s Gender Equality and Climate Change Flagships will continue to work together to strengthen </w:t>
            </w:r>
            <w:r w:rsidRPr="60676934">
              <w:rPr>
                <w:rFonts w:ascii="Calibri" w:eastAsia="Calibri" w:hAnsi="Calibri" w:cs="Calibri"/>
                <w:color w:val="000000" w:themeColor="text1"/>
                <w:sz w:val="16"/>
                <w:szCs w:val="16"/>
                <w:lang w:val="en-GB"/>
              </w:rPr>
              <w:lastRenderedPageBreak/>
              <w:t>programming and seek opportunities for deeper collaboration, to then share lessons learned across the PWL portfolio.</w:t>
            </w:r>
          </w:p>
        </w:tc>
        <w:tc>
          <w:tcPr>
            <w:tcW w:w="1560" w:type="dxa"/>
            <w:shd w:val="clear" w:color="auto" w:fill="E8E8E8" w:themeFill="background2"/>
          </w:tcPr>
          <w:p w14:paraId="49798F55" w14:textId="77B17565" w:rsidR="00962320" w:rsidRPr="009F496D" w:rsidRDefault="00820AAD" w:rsidP="00962320">
            <w:pPr>
              <w:rPr>
                <w:rFonts w:ascii="Calibri" w:eastAsia="Calibri" w:hAnsi="Calibri" w:cs="Calibri"/>
                <w:color w:val="000000" w:themeColor="text1"/>
                <w:sz w:val="16"/>
                <w:szCs w:val="16"/>
                <w:lang w:val="en-GB"/>
              </w:rPr>
            </w:pPr>
            <w:r>
              <w:rPr>
                <w:rFonts w:ascii="Calibri" w:eastAsia="Calibri" w:hAnsi="Calibri" w:cs="Calibri"/>
                <w:color w:val="000000" w:themeColor="text1"/>
                <w:sz w:val="16"/>
                <w:szCs w:val="16"/>
              </w:rPr>
              <w:lastRenderedPageBreak/>
              <w:t xml:space="preserve">PWLES has engaged a QTAG partner to </w:t>
            </w:r>
            <w:r w:rsidRPr="009D1466">
              <w:rPr>
                <w:rFonts w:ascii="Calibri" w:eastAsia="Calibri" w:hAnsi="Calibri" w:cs="Calibri"/>
                <w:color w:val="000000" w:themeColor="text1"/>
                <w:sz w:val="16"/>
                <w:szCs w:val="16"/>
              </w:rPr>
              <w:t>develop</w:t>
            </w:r>
            <w:r>
              <w:rPr>
                <w:rFonts w:ascii="Calibri" w:eastAsia="Calibri" w:hAnsi="Calibri" w:cs="Calibri"/>
                <w:color w:val="000000" w:themeColor="text1"/>
                <w:sz w:val="16"/>
                <w:szCs w:val="16"/>
              </w:rPr>
              <w:t xml:space="preserve"> a Climate Change Guidance Note, which will support partners to integrate climate </w:t>
            </w:r>
            <w:r>
              <w:rPr>
                <w:rFonts w:ascii="Calibri" w:eastAsia="Calibri" w:hAnsi="Calibri" w:cs="Calibri"/>
                <w:color w:val="000000" w:themeColor="text1"/>
                <w:sz w:val="16"/>
                <w:szCs w:val="16"/>
              </w:rPr>
              <w:lastRenderedPageBreak/>
              <w:t>change. Consultations got underway in May 2025, and the Guidance Note will be socialised with partners at the 2025 ARAW.</w:t>
            </w:r>
          </w:p>
        </w:tc>
        <w:tc>
          <w:tcPr>
            <w:tcW w:w="992" w:type="dxa"/>
          </w:tcPr>
          <w:p w14:paraId="6FC15BD4" w14:textId="3EB29385" w:rsidR="00962320" w:rsidRPr="009F496D" w:rsidRDefault="00962320" w:rsidP="00962320">
            <w:pPr>
              <w:rPr>
                <w:rFonts w:ascii="Calibri" w:eastAsia="Calibri" w:hAnsi="Calibri" w:cs="Calibri"/>
                <w:color w:val="000000" w:themeColor="text1"/>
                <w:sz w:val="16"/>
                <w:szCs w:val="16"/>
                <w:lang w:val="en-GB"/>
              </w:rPr>
            </w:pPr>
            <w:r w:rsidRPr="009F496D">
              <w:rPr>
                <w:rFonts w:ascii="Calibri" w:eastAsia="Calibri" w:hAnsi="Calibri" w:cs="Calibri"/>
                <w:color w:val="000000" w:themeColor="text1"/>
                <w:sz w:val="16"/>
                <w:szCs w:val="16"/>
                <w:lang w:val="en-GB"/>
              </w:rPr>
              <w:lastRenderedPageBreak/>
              <w:t>Q</w:t>
            </w:r>
            <w:r w:rsidR="000B2E6B">
              <w:rPr>
                <w:rFonts w:ascii="Calibri" w:eastAsia="Calibri" w:hAnsi="Calibri" w:cs="Calibri"/>
                <w:color w:val="000000" w:themeColor="text1"/>
                <w:sz w:val="16"/>
                <w:szCs w:val="16"/>
                <w:lang w:val="en-GB"/>
              </w:rPr>
              <w:t>3</w:t>
            </w:r>
            <w:r>
              <w:rPr>
                <w:rFonts w:ascii="Calibri" w:eastAsia="Calibri" w:hAnsi="Calibri" w:cs="Calibri"/>
                <w:color w:val="000000" w:themeColor="text1"/>
                <w:sz w:val="16"/>
                <w:szCs w:val="16"/>
                <w:lang w:val="en-GB"/>
              </w:rPr>
              <w:t xml:space="preserve"> 2025 </w:t>
            </w:r>
          </w:p>
        </w:tc>
      </w:tr>
      <w:tr w:rsidR="00962320" w:rsidRPr="009F496D" w14:paraId="7FC2441B" w14:textId="77777777" w:rsidTr="00A06565">
        <w:trPr>
          <w:trHeight w:val="300"/>
        </w:trPr>
        <w:tc>
          <w:tcPr>
            <w:tcW w:w="2689" w:type="dxa"/>
          </w:tcPr>
          <w:p w14:paraId="6942D17D" w14:textId="40E608DA" w:rsidR="00962320" w:rsidRPr="009F496D" w:rsidRDefault="00962320" w:rsidP="00962320">
            <w:pPr>
              <w:spacing w:before="100" w:beforeAutospacing="1" w:after="100" w:afterAutospacing="1"/>
              <w:rPr>
                <w:rFonts w:ascii="Calibri" w:eastAsia="Calibri" w:hAnsi="Calibri" w:cs="Calibri"/>
                <w:sz w:val="16"/>
                <w:szCs w:val="16"/>
              </w:rPr>
            </w:pPr>
            <w:bookmarkStart w:id="1" w:name="_Hlk192665970"/>
            <w:r w:rsidRPr="009F496D">
              <w:rPr>
                <w:rFonts w:ascii="Calibri" w:eastAsia="Calibri" w:hAnsi="Calibri" w:cs="Calibri"/>
                <w:b/>
                <w:bCs/>
                <w:kern w:val="0"/>
                <w:sz w:val="16"/>
                <w:szCs w:val="16"/>
                <w14:ligatures w14:val="none"/>
              </w:rPr>
              <w:t xml:space="preserve">5. Ensure continuity of PWLES' support </w:t>
            </w:r>
            <w:r w:rsidRPr="000262CD">
              <w:rPr>
                <w:rFonts w:ascii="Calibri" w:eastAsia="Calibri" w:hAnsi="Calibri" w:cs="Calibri"/>
                <w:kern w:val="0"/>
                <w:sz w:val="16"/>
                <w:szCs w:val="16"/>
                <w14:ligatures w14:val="none"/>
              </w:rPr>
              <w:t>by DFAT initiating a procurement process</w:t>
            </w:r>
            <w:r w:rsidRPr="000262CD">
              <w:rPr>
                <w:rFonts w:eastAsiaTheme="minorEastAsia"/>
                <w:sz w:val="16"/>
                <w:szCs w:val="16"/>
              </w:rPr>
              <w:t xml:space="preserve"> </w:t>
            </w:r>
            <w:r w:rsidRPr="00F736F6">
              <w:rPr>
                <w:rFonts w:ascii="Calibri" w:eastAsia="Calibri" w:hAnsi="Calibri" w:cs="Calibri"/>
                <w:kern w:val="0"/>
                <w:sz w:val="16"/>
                <w:szCs w:val="16"/>
                <w14:ligatures w14:val="none"/>
              </w:rPr>
              <w:t>with an expanded scope of services to engage a PWL Enabling Services Contractor for the next phase of the PWL program. This will enable the PWL Enabling Services Contractor to sustain and expand technical advisory, MEL, and program management support for partners, ensuring the program continues to benefit from technical expertise and trusted relationships in the region.</w:t>
            </w:r>
            <w:bookmarkEnd w:id="1"/>
          </w:p>
        </w:tc>
        <w:tc>
          <w:tcPr>
            <w:tcW w:w="992" w:type="dxa"/>
          </w:tcPr>
          <w:p w14:paraId="436B8DA3" w14:textId="77777777" w:rsidR="00962320" w:rsidRPr="009F496D" w:rsidRDefault="00962320" w:rsidP="00962320">
            <w:pPr>
              <w:rPr>
                <w:rFonts w:ascii="Calibri" w:eastAsia="Calibri" w:hAnsi="Calibri" w:cs="Calibri"/>
                <w:b/>
                <w:bCs/>
                <w:sz w:val="16"/>
                <w:szCs w:val="16"/>
              </w:rPr>
            </w:pPr>
            <w:r w:rsidRPr="009F496D">
              <w:rPr>
                <w:rFonts w:ascii="Calibri" w:eastAsia="Calibri" w:hAnsi="Calibri" w:cs="Calibri"/>
                <w:b/>
                <w:bCs/>
                <w:sz w:val="16"/>
                <w:szCs w:val="16"/>
              </w:rPr>
              <w:t>Agree</w:t>
            </w:r>
          </w:p>
        </w:tc>
        <w:tc>
          <w:tcPr>
            <w:tcW w:w="2126" w:type="dxa"/>
            <w:shd w:val="clear" w:color="auto" w:fill="E8E8E8" w:themeFill="background2"/>
          </w:tcPr>
          <w:p w14:paraId="10258F44" w14:textId="79A0C00A" w:rsidR="00962320" w:rsidRPr="009F496D" w:rsidRDefault="00820AAD" w:rsidP="6AD5217B">
            <w:pPr>
              <w:rPr>
                <w:rFonts w:ascii="Calibri" w:eastAsia="Calibri" w:hAnsi="Calibri" w:cs="Calibri"/>
                <w:color w:val="000000" w:themeColor="text1"/>
                <w:sz w:val="16"/>
                <w:szCs w:val="16"/>
                <w:lang w:val="en-GB"/>
              </w:rPr>
            </w:pPr>
            <w:r w:rsidRPr="005366A7">
              <w:rPr>
                <w:rFonts w:ascii="Calibri" w:eastAsia="Calibri" w:hAnsi="Calibri" w:cs="Calibri"/>
                <w:sz w:val="16"/>
                <w:szCs w:val="16"/>
              </w:rPr>
              <w:t xml:space="preserve">The Board affirms the importance of sustaining and enhancing the MEL and technical advisory functions of the </w:t>
            </w:r>
            <w:r>
              <w:rPr>
                <w:rFonts w:ascii="Calibri" w:eastAsia="Calibri" w:hAnsi="Calibri" w:cs="Calibri"/>
                <w:sz w:val="16"/>
                <w:szCs w:val="16"/>
              </w:rPr>
              <w:t>PWLES.</w:t>
            </w:r>
            <w:r w:rsidRPr="005366A7">
              <w:rPr>
                <w:rFonts w:ascii="Calibri" w:eastAsia="Calibri" w:hAnsi="Calibri" w:cs="Calibri"/>
                <w:sz w:val="16"/>
                <w:szCs w:val="16"/>
              </w:rPr>
              <w:t xml:space="preserve"> The Board acknowledges the value PWLES </w:t>
            </w:r>
            <w:r w:rsidR="00604E13">
              <w:rPr>
                <w:rFonts w:ascii="Calibri" w:eastAsia="Calibri" w:hAnsi="Calibri" w:cs="Calibri"/>
                <w:sz w:val="16"/>
                <w:szCs w:val="16"/>
              </w:rPr>
              <w:t>has brought to</w:t>
            </w:r>
            <w:r w:rsidRPr="005366A7">
              <w:rPr>
                <w:rFonts w:ascii="Calibri" w:eastAsia="Calibri" w:hAnsi="Calibri" w:cs="Calibri"/>
                <w:sz w:val="16"/>
                <w:szCs w:val="16"/>
              </w:rPr>
              <w:t xml:space="preserve"> strengthening learning, partner support, and accountability across the program</w:t>
            </w:r>
            <w:r>
              <w:rPr>
                <w:rFonts w:ascii="Calibri" w:eastAsia="Calibri" w:hAnsi="Calibri" w:cs="Calibri"/>
                <w:sz w:val="16"/>
                <w:szCs w:val="16"/>
              </w:rPr>
              <w:t>.</w:t>
            </w:r>
          </w:p>
        </w:tc>
        <w:tc>
          <w:tcPr>
            <w:tcW w:w="1985" w:type="dxa"/>
          </w:tcPr>
          <w:p w14:paraId="0BF5F082" w14:textId="198BA967" w:rsidR="00962320" w:rsidRPr="009F496D" w:rsidRDefault="00962320" w:rsidP="00962320">
            <w:pPr>
              <w:pStyle w:val="NoSpacing"/>
              <w:rPr>
                <w:rFonts w:ascii="Calibri" w:eastAsia="Calibri" w:hAnsi="Calibri" w:cs="Calibri"/>
                <w:sz w:val="16"/>
                <w:szCs w:val="16"/>
              </w:rPr>
            </w:pPr>
            <w:r w:rsidRPr="009F496D">
              <w:rPr>
                <w:rFonts w:ascii="Calibri" w:eastAsia="Calibri" w:hAnsi="Calibri" w:cs="Calibri"/>
                <w:sz w:val="16"/>
                <w:szCs w:val="16"/>
              </w:rPr>
              <w:t xml:space="preserve">DFAT </w:t>
            </w:r>
            <w:r w:rsidR="001D6F4E">
              <w:rPr>
                <w:rFonts w:ascii="Calibri" w:eastAsia="Calibri" w:hAnsi="Calibri" w:cs="Calibri"/>
                <w:sz w:val="16"/>
                <w:szCs w:val="16"/>
              </w:rPr>
              <w:t>will</w:t>
            </w:r>
            <w:r w:rsidRPr="009F496D">
              <w:rPr>
                <w:rFonts w:ascii="Calibri" w:eastAsia="Calibri" w:hAnsi="Calibri" w:cs="Calibri"/>
                <w:sz w:val="16"/>
                <w:szCs w:val="16"/>
              </w:rPr>
              <w:t xml:space="preserve"> commence </w:t>
            </w:r>
            <w:r>
              <w:rPr>
                <w:rFonts w:ascii="Calibri" w:eastAsia="Calibri" w:hAnsi="Calibri" w:cs="Calibri"/>
                <w:sz w:val="16"/>
                <w:szCs w:val="16"/>
              </w:rPr>
              <w:t xml:space="preserve">a </w:t>
            </w:r>
            <w:r w:rsidRPr="009F496D">
              <w:rPr>
                <w:rFonts w:ascii="Calibri" w:eastAsia="Calibri" w:hAnsi="Calibri" w:cs="Calibri"/>
                <w:sz w:val="16"/>
                <w:szCs w:val="16"/>
              </w:rPr>
              <w:t xml:space="preserve">procurement process </w:t>
            </w:r>
            <w:r w:rsidR="003950EC">
              <w:rPr>
                <w:rFonts w:ascii="Calibri" w:eastAsia="Calibri" w:hAnsi="Calibri" w:cs="Calibri"/>
                <w:sz w:val="16"/>
                <w:szCs w:val="16"/>
              </w:rPr>
              <w:t>to engage a PWLE</w:t>
            </w:r>
            <w:r w:rsidR="000262CD">
              <w:rPr>
                <w:rFonts w:ascii="Calibri" w:eastAsia="Calibri" w:hAnsi="Calibri" w:cs="Calibri"/>
                <w:sz w:val="16"/>
                <w:szCs w:val="16"/>
              </w:rPr>
              <w:t>S</w:t>
            </w:r>
            <w:r w:rsidR="003950EC">
              <w:rPr>
                <w:rFonts w:ascii="Calibri" w:eastAsia="Calibri" w:hAnsi="Calibri" w:cs="Calibri"/>
                <w:sz w:val="16"/>
                <w:szCs w:val="16"/>
              </w:rPr>
              <w:t xml:space="preserve"> contractor for the next phase</w:t>
            </w:r>
            <w:r w:rsidR="006E793C">
              <w:rPr>
                <w:rFonts w:ascii="Calibri" w:eastAsia="Calibri" w:hAnsi="Calibri" w:cs="Calibri"/>
                <w:sz w:val="16"/>
                <w:szCs w:val="16"/>
              </w:rPr>
              <w:t>.</w:t>
            </w:r>
            <w:r w:rsidRPr="009F496D">
              <w:rPr>
                <w:rFonts w:ascii="Calibri" w:eastAsia="Calibri" w:hAnsi="Calibri" w:cs="Calibri"/>
                <w:sz w:val="16"/>
                <w:szCs w:val="16"/>
              </w:rPr>
              <w:t xml:space="preserve"> </w:t>
            </w:r>
          </w:p>
        </w:tc>
        <w:tc>
          <w:tcPr>
            <w:tcW w:w="2976" w:type="dxa"/>
            <w:shd w:val="clear" w:color="auto" w:fill="E8E8E8" w:themeFill="background2"/>
          </w:tcPr>
          <w:p w14:paraId="7A04555C" w14:textId="6C75FFB2" w:rsidR="00962320" w:rsidRPr="009F496D" w:rsidRDefault="00820AAD" w:rsidP="00962320">
            <w:pPr>
              <w:rPr>
                <w:rFonts w:ascii="Calibri" w:eastAsia="Calibri" w:hAnsi="Calibri" w:cs="Calibri"/>
                <w:color w:val="000000" w:themeColor="text1"/>
                <w:sz w:val="16"/>
                <w:szCs w:val="16"/>
                <w:lang w:val="en-GB"/>
              </w:rPr>
            </w:pPr>
            <w:r>
              <w:rPr>
                <w:rFonts w:ascii="Calibri" w:eastAsia="Calibri" w:hAnsi="Calibri" w:cs="Calibri"/>
                <w:color w:val="000000" w:themeColor="text1"/>
                <w:sz w:val="16"/>
                <w:szCs w:val="16"/>
                <w:lang w:val="en-GB"/>
              </w:rPr>
              <w:t>SPC supports and endorses the response by DFAT</w:t>
            </w:r>
          </w:p>
        </w:tc>
        <w:tc>
          <w:tcPr>
            <w:tcW w:w="1560" w:type="dxa"/>
            <w:shd w:val="clear" w:color="auto" w:fill="E8E8E8" w:themeFill="background2"/>
          </w:tcPr>
          <w:p w14:paraId="5E96F6B5" w14:textId="50AC94EC" w:rsidR="00962320" w:rsidRPr="009F496D" w:rsidRDefault="00820AAD" w:rsidP="00962320">
            <w:pPr>
              <w:rPr>
                <w:rFonts w:ascii="Calibri" w:eastAsia="Calibri" w:hAnsi="Calibri" w:cs="Calibri"/>
                <w:color w:val="000000" w:themeColor="text1"/>
                <w:sz w:val="16"/>
                <w:szCs w:val="16"/>
                <w:lang w:val="en-GB"/>
              </w:rPr>
            </w:pPr>
            <w:r>
              <w:rPr>
                <w:rFonts w:ascii="Calibri" w:eastAsia="Calibri" w:hAnsi="Calibri" w:cs="Calibri"/>
                <w:color w:val="000000" w:themeColor="text1"/>
                <w:sz w:val="16"/>
                <w:szCs w:val="16"/>
                <w:lang w:val="en-GB"/>
              </w:rPr>
              <w:t>PWLES supports and endorses the response by DFAT</w:t>
            </w:r>
          </w:p>
        </w:tc>
        <w:tc>
          <w:tcPr>
            <w:tcW w:w="992" w:type="dxa"/>
          </w:tcPr>
          <w:p w14:paraId="44014509" w14:textId="094BFB92" w:rsidR="00962320" w:rsidRPr="009F496D" w:rsidRDefault="00962320" w:rsidP="00962320">
            <w:pPr>
              <w:rPr>
                <w:rFonts w:ascii="Calibri" w:eastAsia="Calibri" w:hAnsi="Calibri" w:cs="Calibri"/>
                <w:color w:val="000000" w:themeColor="text1"/>
                <w:sz w:val="16"/>
                <w:szCs w:val="16"/>
                <w:lang w:val="en-GB"/>
              </w:rPr>
            </w:pPr>
            <w:r w:rsidRPr="009F496D">
              <w:rPr>
                <w:rFonts w:ascii="Calibri" w:eastAsia="Calibri" w:hAnsi="Calibri" w:cs="Calibri"/>
                <w:sz w:val="16"/>
                <w:szCs w:val="16"/>
              </w:rPr>
              <w:t>Q</w:t>
            </w:r>
            <w:r w:rsidR="006E793C">
              <w:rPr>
                <w:rFonts w:ascii="Calibri" w:eastAsia="Calibri" w:hAnsi="Calibri" w:cs="Calibri"/>
                <w:sz w:val="16"/>
                <w:szCs w:val="16"/>
              </w:rPr>
              <w:t>2</w:t>
            </w:r>
            <w:r w:rsidRPr="009F496D">
              <w:rPr>
                <w:rFonts w:ascii="Calibri" w:eastAsia="Calibri" w:hAnsi="Calibri" w:cs="Calibri"/>
                <w:sz w:val="16"/>
                <w:szCs w:val="16"/>
              </w:rPr>
              <w:t xml:space="preserve"> 2026</w:t>
            </w:r>
          </w:p>
        </w:tc>
      </w:tr>
    </w:tbl>
    <w:p w14:paraId="654F4DCC" w14:textId="77777777" w:rsidR="00766729" w:rsidRDefault="00766729">
      <w:pPr>
        <w:rPr>
          <w:rFonts w:ascii="Calibri" w:eastAsia="Calibri" w:hAnsi="Calibri" w:cs="Calibri"/>
          <w:b/>
          <w:bCs/>
          <w:sz w:val="18"/>
          <w:szCs w:val="18"/>
        </w:rPr>
      </w:pPr>
      <w:r>
        <w:rPr>
          <w:rFonts w:ascii="Calibri" w:eastAsia="Calibri" w:hAnsi="Calibri" w:cs="Calibri"/>
          <w:b/>
          <w:bCs/>
          <w:sz w:val="18"/>
          <w:szCs w:val="18"/>
        </w:rPr>
        <w:br w:type="page"/>
      </w:r>
    </w:p>
    <w:p w14:paraId="5865C583" w14:textId="5ABED070" w:rsidR="00F7443C" w:rsidRPr="00766729" w:rsidRDefault="00F7443C" w:rsidP="00A06565">
      <w:pPr>
        <w:pStyle w:val="Heading3"/>
      </w:pPr>
      <w:r w:rsidRPr="00766729">
        <w:lastRenderedPageBreak/>
        <w:t>For the next phase (from July 2026)</w:t>
      </w:r>
    </w:p>
    <w:tbl>
      <w:tblPr>
        <w:tblStyle w:val="TableGrid"/>
        <w:tblW w:w="13320" w:type="dxa"/>
        <w:tblLayout w:type="fixed"/>
        <w:tblLook w:val="04A0" w:firstRow="1" w:lastRow="0" w:firstColumn="1" w:lastColumn="0" w:noHBand="0" w:noVBand="1"/>
      </w:tblPr>
      <w:tblGrid>
        <w:gridCol w:w="2689"/>
        <w:gridCol w:w="992"/>
        <w:gridCol w:w="2126"/>
        <w:gridCol w:w="1985"/>
        <w:gridCol w:w="2976"/>
        <w:gridCol w:w="1560"/>
        <w:gridCol w:w="992"/>
      </w:tblGrid>
      <w:tr w:rsidR="00F7443C" w:rsidRPr="009F496D" w14:paraId="0073489E" w14:textId="77777777" w:rsidTr="00A06565">
        <w:trPr>
          <w:trHeight w:val="300"/>
          <w:tblHeader/>
        </w:trPr>
        <w:tc>
          <w:tcPr>
            <w:tcW w:w="2689" w:type="dxa"/>
          </w:tcPr>
          <w:p w14:paraId="2A27A22E" w14:textId="77777777" w:rsidR="00F7443C" w:rsidRPr="009F496D" w:rsidRDefault="00F7443C" w:rsidP="00F7443C">
            <w:pPr>
              <w:pStyle w:val="NoSpacing"/>
              <w:rPr>
                <w:rFonts w:ascii="Calibri" w:eastAsia="Calibri" w:hAnsi="Calibri" w:cs="Calibri"/>
                <w:b/>
                <w:bCs/>
                <w:sz w:val="16"/>
                <w:szCs w:val="16"/>
              </w:rPr>
            </w:pPr>
            <w:r>
              <w:rPr>
                <w:rFonts w:ascii="Calibri" w:eastAsia="Calibri" w:hAnsi="Calibri" w:cs="Calibri"/>
                <w:b/>
                <w:bCs/>
                <w:sz w:val="16"/>
                <w:szCs w:val="16"/>
              </w:rPr>
              <w:t xml:space="preserve">Recommendation </w:t>
            </w:r>
          </w:p>
          <w:p w14:paraId="7300B841" w14:textId="77777777" w:rsidR="00F7443C" w:rsidRPr="009F496D" w:rsidRDefault="00F7443C" w:rsidP="00F7443C">
            <w:pPr>
              <w:spacing w:beforeAutospacing="1" w:afterAutospacing="1"/>
              <w:rPr>
                <w:rFonts w:ascii="Calibri" w:eastAsia="Calibri" w:hAnsi="Calibri" w:cs="Calibri"/>
                <w:b/>
                <w:bCs/>
                <w:sz w:val="16"/>
                <w:szCs w:val="16"/>
              </w:rPr>
            </w:pPr>
          </w:p>
        </w:tc>
        <w:tc>
          <w:tcPr>
            <w:tcW w:w="992" w:type="dxa"/>
          </w:tcPr>
          <w:p w14:paraId="7DA9870D" w14:textId="5C4F6CF3" w:rsidR="00F7443C" w:rsidRPr="009F496D" w:rsidRDefault="00F7443C" w:rsidP="00F7443C">
            <w:pPr>
              <w:rPr>
                <w:rFonts w:ascii="Calibri" w:eastAsia="Calibri" w:hAnsi="Calibri" w:cs="Calibri"/>
                <w:b/>
                <w:bCs/>
                <w:sz w:val="16"/>
                <w:szCs w:val="16"/>
              </w:rPr>
            </w:pPr>
            <w:r>
              <w:rPr>
                <w:rFonts w:ascii="Calibri" w:eastAsia="Calibri" w:hAnsi="Calibri" w:cs="Calibri"/>
                <w:b/>
                <w:bCs/>
                <w:sz w:val="16"/>
                <w:szCs w:val="16"/>
              </w:rPr>
              <w:t>Level of agreement</w:t>
            </w:r>
            <w:r>
              <w:rPr>
                <w:rStyle w:val="FootnoteReference"/>
                <w:rFonts w:ascii="Calibri" w:eastAsia="Calibri" w:hAnsi="Calibri" w:cs="Calibri"/>
                <w:b/>
                <w:bCs/>
                <w:sz w:val="16"/>
                <w:szCs w:val="16"/>
              </w:rPr>
              <w:footnoteReference w:id="2"/>
            </w:r>
          </w:p>
        </w:tc>
        <w:tc>
          <w:tcPr>
            <w:tcW w:w="2126" w:type="dxa"/>
            <w:shd w:val="clear" w:color="auto" w:fill="E8E8E8" w:themeFill="background2"/>
          </w:tcPr>
          <w:p w14:paraId="6BAEFE39" w14:textId="00686B12" w:rsidR="00F7443C" w:rsidRDefault="00F7443C" w:rsidP="00F7443C">
            <w:pPr>
              <w:rPr>
                <w:rFonts w:ascii="Calibri" w:eastAsia="Calibri" w:hAnsi="Calibri" w:cs="Calibri"/>
                <w:color w:val="000000" w:themeColor="text1"/>
                <w:sz w:val="16"/>
                <w:szCs w:val="16"/>
              </w:rPr>
            </w:pPr>
            <w:r w:rsidRPr="6AD5217B">
              <w:rPr>
                <w:rFonts w:ascii="Calibri" w:eastAsia="Calibri" w:hAnsi="Calibri" w:cs="Calibri"/>
                <w:b/>
                <w:bCs/>
                <w:sz w:val="16"/>
                <w:szCs w:val="16"/>
              </w:rPr>
              <w:t>Governance Board</w:t>
            </w:r>
          </w:p>
        </w:tc>
        <w:tc>
          <w:tcPr>
            <w:tcW w:w="1985" w:type="dxa"/>
          </w:tcPr>
          <w:p w14:paraId="335BBE54" w14:textId="40E03EB9" w:rsidR="00F7443C" w:rsidRPr="60320B88" w:rsidRDefault="00F7443C" w:rsidP="00F7443C">
            <w:pPr>
              <w:pStyle w:val="NoSpacing"/>
              <w:rPr>
                <w:rFonts w:ascii="Calibri" w:eastAsia="Calibri" w:hAnsi="Calibri" w:cs="Calibri"/>
                <w:color w:val="000000" w:themeColor="text1"/>
                <w:sz w:val="16"/>
                <w:szCs w:val="16"/>
              </w:rPr>
            </w:pPr>
            <w:r>
              <w:rPr>
                <w:rFonts w:ascii="Calibri" w:eastAsia="Calibri" w:hAnsi="Calibri" w:cs="Calibri"/>
                <w:b/>
                <w:bCs/>
                <w:sz w:val="16"/>
                <w:szCs w:val="16"/>
              </w:rPr>
              <w:t>DFAT</w:t>
            </w:r>
          </w:p>
        </w:tc>
        <w:tc>
          <w:tcPr>
            <w:tcW w:w="2976" w:type="dxa"/>
            <w:shd w:val="clear" w:color="auto" w:fill="E8E8E8" w:themeFill="background2"/>
          </w:tcPr>
          <w:p w14:paraId="61A16C76" w14:textId="75D306FD" w:rsidR="00F7443C" w:rsidRPr="00F95CAE" w:rsidRDefault="00F7443C" w:rsidP="00F7443C">
            <w:pPr>
              <w:rPr>
                <w:rFonts w:ascii="Calibri" w:eastAsia="Calibri" w:hAnsi="Calibri" w:cs="Calibri"/>
                <w:color w:val="000000" w:themeColor="text1"/>
                <w:sz w:val="16"/>
                <w:szCs w:val="16"/>
              </w:rPr>
            </w:pPr>
            <w:r w:rsidRPr="6AD5217B">
              <w:rPr>
                <w:rFonts w:ascii="Calibri" w:eastAsia="Calibri" w:hAnsi="Calibri" w:cs="Calibri"/>
                <w:b/>
                <w:bCs/>
                <w:sz w:val="16"/>
                <w:szCs w:val="16"/>
              </w:rPr>
              <w:t>SPC</w:t>
            </w:r>
          </w:p>
        </w:tc>
        <w:tc>
          <w:tcPr>
            <w:tcW w:w="1560" w:type="dxa"/>
            <w:shd w:val="clear" w:color="auto" w:fill="E8E8E8" w:themeFill="background2"/>
          </w:tcPr>
          <w:p w14:paraId="08CAE3CE" w14:textId="3BC00096" w:rsidR="00F7443C" w:rsidRDefault="00F7443C" w:rsidP="00F7443C">
            <w:pPr>
              <w:rPr>
                <w:rFonts w:ascii="Calibri" w:eastAsia="Calibri" w:hAnsi="Calibri" w:cs="Calibri"/>
                <w:color w:val="000000" w:themeColor="text1"/>
                <w:sz w:val="16"/>
                <w:szCs w:val="16"/>
              </w:rPr>
            </w:pPr>
            <w:r>
              <w:rPr>
                <w:rFonts w:ascii="Calibri" w:eastAsia="Calibri" w:hAnsi="Calibri" w:cs="Calibri"/>
                <w:b/>
                <w:bCs/>
                <w:sz w:val="16"/>
                <w:szCs w:val="16"/>
              </w:rPr>
              <w:t>PWLES</w:t>
            </w:r>
          </w:p>
        </w:tc>
        <w:tc>
          <w:tcPr>
            <w:tcW w:w="992" w:type="dxa"/>
          </w:tcPr>
          <w:p w14:paraId="6A920FC1" w14:textId="4FE34AE4" w:rsidR="00F7443C" w:rsidRDefault="00F7443C" w:rsidP="00F7443C">
            <w:pPr>
              <w:rPr>
                <w:rFonts w:ascii="Calibri" w:eastAsia="Calibri" w:hAnsi="Calibri" w:cs="Calibri"/>
                <w:color w:val="000000" w:themeColor="text1"/>
                <w:sz w:val="16"/>
                <w:szCs w:val="16"/>
                <w:lang w:val="en-GB"/>
              </w:rPr>
            </w:pPr>
            <w:r w:rsidRPr="009F496D">
              <w:rPr>
                <w:rFonts w:ascii="Calibri" w:eastAsia="Calibri" w:hAnsi="Calibri" w:cs="Calibri"/>
                <w:b/>
                <w:bCs/>
                <w:sz w:val="16"/>
                <w:szCs w:val="16"/>
              </w:rPr>
              <w:t xml:space="preserve">Timeframe </w:t>
            </w:r>
          </w:p>
        </w:tc>
      </w:tr>
      <w:tr w:rsidR="00962320" w:rsidRPr="009F496D" w14:paraId="239EB82A" w14:textId="77777777" w:rsidTr="00A06565">
        <w:trPr>
          <w:trHeight w:val="300"/>
        </w:trPr>
        <w:tc>
          <w:tcPr>
            <w:tcW w:w="2689" w:type="dxa"/>
          </w:tcPr>
          <w:p w14:paraId="1C2297BB" w14:textId="77777777" w:rsidR="00962320" w:rsidRDefault="00962320" w:rsidP="00962320">
            <w:pPr>
              <w:spacing w:beforeAutospacing="1" w:afterAutospacing="1"/>
              <w:rPr>
                <w:rFonts w:ascii="Calibri" w:eastAsia="Calibri" w:hAnsi="Calibri" w:cs="Calibri"/>
                <w:b/>
                <w:bCs/>
                <w:sz w:val="16"/>
                <w:szCs w:val="16"/>
              </w:rPr>
            </w:pPr>
            <w:r w:rsidRPr="009F496D">
              <w:rPr>
                <w:rFonts w:ascii="Calibri" w:eastAsia="Calibri" w:hAnsi="Calibri" w:cs="Calibri"/>
                <w:b/>
                <w:bCs/>
                <w:sz w:val="16"/>
                <w:szCs w:val="16"/>
              </w:rPr>
              <w:t xml:space="preserve">6. Maintain Pacific-led ownership as a core principle of PWL and cross-cutting driver of impact: </w:t>
            </w:r>
          </w:p>
          <w:p w14:paraId="52BFA323" w14:textId="5A4256FC" w:rsidR="00962320" w:rsidRPr="00BA0580" w:rsidRDefault="4883CA99" w:rsidP="60320B88">
            <w:pPr>
              <w:spacing w:beforeAutospacing="1" w:afterAutospacing="1"/>
              <w:rPr>
                <w:rFonts w:ascii="Calibri" w:eastAsia="Calibri" w:hAnsi="Calibri" w:cs="Calibri"/>
                <w:sz w:val="16"/>
                <w:szCs w:val="16"/>
              </w:rPr>
            </w:pPr>
            <w:r w:rsidRPr="60320B88">
              <w:rPr>
                <w:rFonts w:ascii="Calibri" w:eastAsia="Calibri" w:hAnsi="Calibri" w:cs="Calibri"/>
                <w:sz w:val="16"/>
                <w:szCs w:val="16"/>
              </w:rPr>
              <w:t xml:space="preserve">a) </w:t>
            </w:r>
            <w:r w:rsidR="00962320" w:rsidRPr="60320B88">
              <w:rPr>
                <w:rFonts w:ascii="Calibri" w:eastAsia="Calibri" w:hAnsi="Calibri" w:cs="Calibri"/>
                <w:sz w:val="16"/>
                <w:szCs w:val="16"/>
              </w:rPr>
              <w:t>DFAT to continue supporting Pacific-owned programming by:</w:t>
            </w:r>
          </w:p>
          <w:p w14:paraId="510F5475" w14:textId="5341DC0C" w:rsidR="00962320" w:rsidRPr="00BA0580" w:rsidRDefault="00A32D1B" w:rsidP="60320B88">
            <w:pPr>
              <w:pStyle w:val="ListParagraph"/>
              <w:numPr>
                <w:ilvl w:val="0"/>
                <w:numId w:val="15"/>
              </w:numPr>
              <w:spacing w:beforeAutospacing="1" w:afterAutospacing="1"/>
              <w:ind w:left="360"/>
              <w:rPr>
                <w:rFonts w:ascii="Calibri" w:eastAsia="Calibri" w:hAnsi="Calibri" w:cs="Calibri"/>
                <w:sz w:val="16"/>
                <w:szCs w:val="16"/>
              </w:rPr>
            </w:pPr>
            <w:r w:rsidRPr="60320B88">
              <w:rPr>
                <w:rFonts w:ascii="Calibri" w:eastAsia="Calibri" w:hAnsi="Calibri" w:cs="Calibri"/>
                <w:sz w:val="16"/>
                <w:szCs w:val="16"/>
              </w:rPr>
              <w:t>e</w:t>
            </w:r>
            <w:r w:rsidR="00962320" w:rsidRPr="60320B88">
              <w:rPr>
                <w:rFonts w:ascii="Calibri" w:eastAsia="Calibri" w:hAnsi="Calibri" w:cs="Calibri"/>
                <w:sz w:val="16"/>
                <w:szCs w:val="16"/>
              </w:rPr>
              <w:t>mbedding lessons learned from this phase into future program design</w:t>
            </w:r>
            <w:r w:rsidRPr="60320B88">
              <w:rPr>
                <w:rFonts w:ascii="Calibri" w:eastAsia="Calibri" w:hAnsi="Calibri" w:cs="Calibri"/>
                <w:sz w:val="16"/>
                <w:szCs w:val="16"/>
              </w:rPr>
              <w:t>.</w:t>
            </w:r>
          </w:p>
          <w:p w14:paraId="175B9D7A" w14:textId="5DE42E3F" w:rsidR="00962320" w:rsidRPr="00BA0580" w:rsidRDefault="36B7EFE3" w:rsidP="60320B88">
            <w:pPr>
              <w:spacing w:beforeAutospacing="1" w:afterAutospacing="1"/>
              <w:rPr>
                <w:rFonts w:ascii="Calibri" w:eastAsia="Calibri" w:hAnsi="Calibri" w:cs="Calibri"/>
                <w:sz w:val="16"/>
                <w:szCs w:val="16"/>
              </w:rPr>
            </w:pPr>
            <w:r w:rsidRPr="60320B88">
              <w:rPr>
                <w:rFonts w:ascii="Calibri" w:eastAsia="Calibri" w:hAnsi="Calibri" w:cs="Calibri"/>
                <w:sz w:val="16"/>
                <w:szCs w:val="16"/>
              </w:rPr>
              <w:t xml:space="preserve">b) </w:t>
            </w:r>
            <w:r w:rsidR="00962320" w:rsidRPr="60320B88">
              <w:rPr>
                <w:rFonts w:ascii="Calibri" w:eastAsia="Calibri" w:hAnsi="Calibri" w:cs="Calibri"/>
                <w:sz w:val="16"/>
                <w:szCs w:val="16"/>
              </w:rPr>
              <w:t>Retain SPC as the key implementing partner, ensuring:</w:t>
            </w:r>
          </w:p>
          <w:p w14:paraId="3611E5F5" w14:textId="07863CA6" w:rsidR="00962320" w:rsidRPr="00BA0580" w:rsidRDefault="00A32D1B" w:rsidP="60320B88">
            <w:pPr>
              <w:pStyle w:val="ListParagraph"/>
              <w:numPr>
                <w:ilvl w:val="0"/>
                <w:numId w:val="15"/>
              </w:numPr>
              <w:spacing w:beforeAutospacing="1" w:afterAutospacing="1"/>
              <w:ind w:left="360"/>
              <w:rPr>
                <w:rFonts w:ascii="Calibri" w:eastAsia="Calibri" w:hAnsi="Calibri" w:cs="Calibri"/>
                <w:sz w:val="16"/>
                <w:szCs w:val="16"/>
              </w:rPr>
            </w:pPr>
            <w:r w:rsidRPr="60320B88">
              <w:rPr>
                <w:rFonts w:ascii="Calibri" w:eastAsia="Calibri" w:hAnsi="Calibri" w:cs="Calibri"/>
                <w:sz w:val="16"/>
                <w:szCs w:val="16"/>
              </w:rPr>
              <w:t>c</w:t>
            </w:r>
            <w:r w:rsidR="00962320" w:rsidRPr="60320B88">
              <w:rPr>
                <w:rFonts w:ascii="Calibri" w:eastAsia="Calibri" w:hAnsi="Calibri" w:cs="Calibri"/>
                <w:sz w:val="16"/>
                <w:szCs w:val="16"/>
              </w:rPr>
              <w:t>learer alignment of expectations between SPC and DFAT</w:t>
            </w:r>
          </w:p>
          <w:p w14:paraId="1E3F5F5C" w14:textId="30DD27D9" w:rsidR="00962320" w:rsidRPr="00BA0580" w:rsidRDefault="000C456D" w:rsidP="60320B88">
            <w:pPr>
              <w:pStyle w:val="ListParagraph"/>
              <w:numPr>
                <w:ilvl w:val="0"/>
                <w:numId w:val="15"/>
              </w:numPr>
              <w:spacing w:beforeAutospacing="1" w:afterAutospacing="1"/>
              <w:ind w:left="360"/>
              <w:rPr>
                <w:rFonts w:ascii="Calibri" w:eastAsia="Calibri" w:hAnsi="Calibri" w:cs="Calibri"/>
                <w:sz w:val="16"/>
                <w:szCs w:val="16"/>
              </w:rPr>
            </w:pPr>
            <w:r w:rsidRPr="60320B88">
              <w:rPr>
                <w:rFonts w:ascii="Calibri" w:eastAsia="Calibri" w:hAnsi="Calibri" w:cs="Calibri"/>
                <w:sz w:val="16"/>
                <w:szCs w:val="16"/>
              </w:rPr>
              <w:t>i</w:t>
            </w:r>
            <w:r w:rsidR="00962320" w:rsidRPr="60320B88">
              <w:rPr>
                <w:rFonts w:ascii="Calibri" w:eastAsia="Calibri" w:hAnsi="Calibri" w:cs="Calibri"/>
                <w:sz w:val="16"/>
                <w:szCs w:val="16"/>
              </w:rPr>
              <w:t>ncreased visibility and strategic positioning of the Gender Equality Flagship</w:t>
            </w:r>
          </w:p>
          <w:p w14:paraId="0BF902E9" w14:textId="29547F49" w:rsidR="00962320" w:rsidRPr="00BA0580" w:rsidRDefault="000C456D" w:rsidP="60320B88">
            <w:pPr>
              <w:pStyle w:val="ListParagraph"/>
              <w:numPr>
                <w:ilvl w:val="0"/>
                <w:numId w:val="15"/>
              </w:numPr>
              <w:spacing w:beforeAutospacing="1" w:afterAutospacing="1"/>
              <w:ind w:left="360"/>
              <w:rPr>
                <w:rFonts w:ascii="Calibri" w:eastAsia="Calibri" w:hAnsi="Calibri" w:cs="Calibri"/>
                <w:sz w:val="16"/>
                <w:szCs w:val="16"/>
              </w:rPr>
            </w:pPr>
            <w:r w:rsidRPr="60320B88">
              <w:rPr>
                <w:rFonts w:ascii="Calibri" w:eastAsia="Calibri" w:hAnsi="Calibri" w:cs="Calibri"/>
                <w:sz w:val="16"/>
                <w:szCs w:val="16"/>
              </w:rPr>
              <w:t>s</w:t>
            </w:r>
            <w:r w:rsidR="00962320" w:rsidRPr="60320B88">
              <w:rPr>
                <w:rFonts w:ascii="Calibri" w:eastAsia="Calibri" w:hAnsi="Calibri" w:cs="Calibri"/>
                <w:sz w:val="16"/>
                <w:szCs w:val="16"/>
              </w:rPr>
              <w:t>trengthened grant management processes.</w:t>
            </w:r>
          </w:p>
          <w:p w14:paraId="03C60131" w14:textId="2EB5490F" w:rsidR="00962320" w:rsidRPr="00BA0580" w:rsidRDefault="5684A5C2" w:rsidP="60320B88">
            <w:pPr>
              <w:spacing w:beforeAutospacing="1" w:afterAutospacing="1"/>
              <w:rPr>
                <w:rFonts w:ascii="Calibri" w:eastAsia="Calibri" w:hAnsi="Calibri" w:cs="Calibri"/>
                <w:sz w:val="16"/>
                <w:szCs w:val="16"/>
              </w:rPr>
            </w:pPr>
            <w:r w:rsidRPr="60320B88">
              <w:rPr>
                <w:rFonts w:ascii="Calibri" w:eastAsia="Calibri" w:hAnsi="Calibri" w:cs="Calibri"/>
                <w:sz w:val="16"/>
                <w:szCs w:val="16"/>
              </w:rPr>
              <w:t xml:space="preserve">c) </w:t>
            </w:r>
            <w:r w:rsidR="00962320" w:rsidRPr="60320B88">
              <w:rPr>
                <w:rFonts w:ascii="Calibri" w:eastAsia="Calibri" w:hAnsi="Calibri" w:cs="Calibri"/>
                <w:sz w:val="16"/>
                <w:szCs w:val="16"/>
              </w:rPr>
              <w:t>Sustain and enhance PWLES’ MEL and technical advisory roles, ensuring:</w:t>
            </w:r>
          </w:p>
          <w:p w14:paraId="0E85FE74" w14:textId="1BB97481" w:rsidR="00962320" w:rsidRPr="0077457E" w:rsidRDefault="00962320" w:rsidP="60320B88">
            <w:pPr>
              <w:pStyle w:val="ListParagraph"/>
              <w:numPr>
                <w:ilvl w:val="0"/>
                <w:numId w:val="16"/>
              </w:numPr>
              <w:spacing w:beforeAutospacing="1" w:afterAutospacing="1"/>
              <w:ind w:left="360"/>
              <w:rPr>
                <w:rFonts w:ascii="Calibri" w:eastAsia="Calibri" w:hAnsi="Calibri" w:cs="Calibri"/>
                <w:sz w:val="16"/>
                <w:szCs w:val="16"/>
              </w:rPr>
            </w:pPr>
            <w:r w:rsidRPr="60320B88">
              <w:rPr>
                <w:rFonts w:ascii="Calibri" w:eastAsia="Calibri" w:hAnsi="Calibri" w:cs="Calibri"/>
                <w:sz w:val="16"/>
                <w:szCs w:val="16"/>
              </w:rPr>
              <w:t>PWL</w:t>
            </w:r>
            <w:r w:rsidR="000C456D" w:rsidRPr="60320B88">
              <w:rPr>
                <w:rFonts w:ascii="Calibri" w:eastAsia="Calibri" w:hAnsi="Calibri" w:cs="Calibri"/>
                <w:sz w:val="16"/>
                <w:szCs w:val="16"/>
              </w:rPr>
              <w:t>ES</w:t>
            </w:r>
            <w:r w:rsidRPr="60320B88">
              <w:rPr>
                <w:rFonts w:ascii="Calibri" w:eastAsia="Calibri" w:hAnsi="Calibri" w:cs="Calibri"/>
                <w:sz w:val="16"/>
                <w:szCs w:val="16"/>
              </w:rPr>
              <w:t xml:space="preserve"> team composition continues to demonstrate Pacific ownership in Phase II.</w:t>
            </w:r>
          </w:p>
        </w:tc>
        <w:tc>
          <w:tcPr>
            <w:tcW w:w="992" w:type="dxa"/>
          </w:tcPr>
          <w:p w14:paraId="47DC386C" w14:textId="526FCAA5" w:rsidR="00962320" w:rsidRPr="009F496D" w:rsidRDefault="00962320" w:rsidP="00A06565">
            <w:pPr>
              <w:rPr>
                <w:rFonts w:ascii="Calibri" w:eastAsia="Calibri" w:hAnsi="Calibri" w:cs="Calibri"/>
                <w:sz w:val="16"/>
                <w:szCs w:val="16"/>
              </w:rPr>
            </w:pPr>
            <w:r w:rsidRPr="009F496D">
              <w:rPr>
                <w:rFonts w:ascii="Calibri" w:eastAsia="Calibri" w:hAnsi="Calibri" w:cs="Calibri"/>
                <w:b/>
                <w:bCs/>
                <w:sz w:val="16"/>
                <w:szCs w:val="16"/>
              </w:rPr>
              <w:t>Agree</w:t>
            </w:r>
          </w:p>
        </w:tc>
        <w:tc>
          <w:tcPr>
            <w:tcW w:w="2126" w:type="dxa"/>
            <w:shd w:val="clear" w:color="auto" w:fill="E8E8E8" w:themeFill="background2"/>
          </w:tcPr>
          <w:p w14:paraId="666D60C6" w14:textId="3DDEAB1B" w:rsidR="00962320" w:rsidRPr="009F496D" w:rsidRDefault="00820AAD" w:rsidP="00962320">
            <w:pPr>
              <w:rPr>
                <w:rFonts w:ascii="Calibri" w:eastAsia="Calibri" w:hAnsi="Calibri" w:cs="Calibri"/>
                <w:color w:val="000000" w:themeColor="text1"/>
                <w:sz w:val="16"/>
                <w:szCs w:val="16"/>
                <w:lang w:val="en-GB"/>
              </w:rPr>
            </w:pPr>
            <w:r>
              <w:rPr>
                <w:rFonts w:ascii="Calibri" w:eastAsia="Calibri" w:hAnsi="Calibri" w:cs="Calibri"/>
                <w:color w:val="000000" w:themeColor="text1"/>
                <w:sz w:val="16"/>
                <w:szCs w:val="16"/>
              </w:rPr>
              <w:t xml:space="preserve">6 a-c) </w:t>
            </w:r>
            <w:r w:rsidRPr="004B2251">
              <w:rPr>
                <w:rFonts w:ascii="Calibri" w:eastAsia="Calibri" w:hAnsi="Calibri" w:cs="Calibri"/>
                <w:color w:val="000000" w:themeColor="text1"/>
                <w:sz w:val="16"/>
                <w:szCs w:val="16"/>
              </w:rPr>
              <w:t>The PWL Board strongly agrees with this recommendation and reaffirms that Pacific-led ownership must remain central to PWL’s effectiveness and sustainability. The Board welcomes DFAT’s commitment to embedding lessons from this phase into future design and supports the continued role of SPC as the lead implementing partner, given its position as a Pacific-owned institution with strong convening and technical capacity.</w:t>
            </w:r>
            <w:r>
              <w:rPr>
                <w:rFonts w:ascii="Calibri" w:eastAsia="Calibri" w:hAnsi="Calibri" w:cs="Calibri"/>
                <w:color w:val="000000" w:themeColor="text1"/>
                <w:sz w:val="16"/>
                <w:szCs w:val="16"/>
              </w:rPr>
              <w:t xml:space="preserve"> </w:t>
            </w:r>
          </w:p>
        </w:tc>
        <w:tc>
          <w:tcPr>
            <w:tcW w:w="1985" w:type="dxa"/>
          </w:tcPr>
          <w:p w14:paraId="317CD86A" w14:textId="7B05DBF4" w:rsidR="008539B3" w:rsidRPr="00042CFE" w:rsidRDefault="70553F14" w:rsidP="00D87EC3">
            <w:pPr>
              <w:pStyle w:val="NoSpacing"/>
              <w:rPr>
                <w:rFonts w:ascii="Calibri" w:eastAsia="Calibri" w:hAnsi="Calibri" w:cs="Calibri"/>
                <w:sz w:val="16"/>
                <w:szCs w:val="16"/>
              </w:rPr>
            </w:pPr>
            <w:r w:rsidRPr="60320B88">
              <w:rPr>
                <w:rFonts w:ascii="Calibri" w:eastAsia="Calibri" w:hAnsi="Calibri" w:cs="Calibri"/>
                <w:color w:val="000000" w:themeColor="text1"/>
                <w:sz w:val="16"/>
                <w:szCs w:val="16"/>
              </w:rPr>
              <w:t xml:space="preserve">6a) </w:t>
            </w:r>
            <w:r w:rsidR="0048401C" w:rsidRPr="60320B88">
              <w:rPr>
                <w:rFonts w:ascii="Calibri" w:eastAsia="Calibri" w:hAnsi="Calibri" w:cs="Calibri"/>
                <w:color w:val="000000" w:themeColor="text1"/>
                <w:sz w:val="16"/>
                <w:szCs w:val="16"/>
              </w:rPr>
              <w:t xml:space="preserve">DFAT is </w:t>
            </w:r>
            <w:r w:rsidR="00BA0580" w:rsidRPr="60320B88">
              <w:rPr>
                <w:rFonts w:ascii="Calibri" w:eastAsia="Calibri" w:hAnsi="Calibri" w:cs="Calibri"/>
                <w:color w:val="000000" w:themeColor="text1"/>
                <w:sz w:val="16"/>
                <w:szCs w:val="16"/>
              </w:rPr>
              <w:t xml:space="preserve">committed to </w:t>
            </w:r>
            <w:r w:rsidR="004921FF" w:rsidRPr="60320B88">
              <w:rPr>
                <w:rFonts w:ascii="Calibri" w:eastAsia="Calibri" w:hAnsi="Calibri" w:cs="Calibri"/>
                <w:color w:val="000000" w:themeColor="text1"/>
                <w:sz w:val="16"/>
                <w:szCs w:val="16"/>
              </w:rPr>
              <w:t xml:space="preserve">maintaining Pacific ownership as a core principle of </w:t>
            </w:r>
            <w:r w:rsidR="00820AAD" w:rsidRPr="60320B88">
              <w:rPr>
                <w:rFonts w:ascii="Calibri" w:eastAsia="Calibri" w:hAnsi="Calibri" w:cs="Calibri"/>
                <w:color w:val="000000" w:themeColor="text1"/>
                <w:sz w:val="16"/>
                <w:szCs w:val="16"/>
              </w:rPr>
              <w:t>PWL and</w:t>
            </w:r>
            <w:r w:rsidR="00D87EC3" w:rsidRPr="60320B88">
              <w:rPr>
                <w:rFonts w:ascii="Calibri" w:eastAsia="Calibri" w:hAnsi="Calibri" w:cs="Calibri"/>
                <w:color w:val="000000" w:themeColor="text1"/>
                <w:sz w:val="16"/>
                <w:szCs w:val="16"/>
              </w:rPr>
              <w:t xml:space="preserve"> </w:t>
            </w:r>
            <w:r w:rsidR="008539B3" w:rsidRPr="60320B88">
              <w:rPr>
                <w:rFonts w:ascii="Calibri" w:eastAsia="Calibri" w:hAnsi="Calibri" w:cs="Calibri"/>
                <w:sz w:val="16"/>
                <w:szCs w:val="16"/>
              </w:rPr>
              <w:t>will draw on lessons from the MTR and other evaluative processes</w:t>
            </w:r>
            <w:r w:rsidR="007D004D" w:rsidRPr="60320B88">
              <w:rPr>
                <w:rFonts w:ascii="Calibri" w:eastAsia="Calibri" w:hAnsi="Calibri" w:cs="Calibri"/>
                <w:sz w:val="16"/>
                <w:szCs w:val="16"/>
              </w:rPr>
              <w:t xml:space="preserve"> </w:t>
            </w:r>
            <w:r w:rsidR="008539B3" w:rsidRPr="60320B88">
              <w:rPr>
                <w:rFonts w:ascii="Calibri" w:eastAsia="Calibri" w:hAnsi="Calibri" w:cs="Calibri"/>
                <w:sz w:val="16"/>
                <w:szCs w:val="16"/>
              </w:rPr>
              <w:t xml:space="preserve">to </w:t>
            </w:r>
            <w:r w:rsidR="00981A74" w:rsidRPr="60320B88">
              <w:rPr>
                <w:rFonts w:ascii="Calibri" w:eastAsia="Calibri" w:hAnsi="Calibri" w:cs="Calibri"/>
                <w:sz w:val="16"/>
                <w:szCs w:val="16"/>
              </w:rPr>
              <w:t>continue supporting</w:t>
            </w:r>
            <w:r w:rsidR="00D87EC3" w:rsidRPr="60320B88">
              <w:rPr>
                <w:rFonts w:ascii="Calibri" w:eastAsia="Calibri" w:hAnsi="Calibri" w:cs="Calibri"/>
                <w:sz w:val="16"/>
                <w:szCs w:val="16"/>
              </w:rPr>
              <w:t xml:space="preserve"> Pacific-owned programming under PWL.</w:t>
            </w:r>
          </w:p>
          <w:p w14:paraId="032C86A5" w14:textId="77777777" w:rsidR="007C6867" w:rsidRPr="00D86C9E" w:rsidRDefault="007C6867" w:rsidP="008539B3">
            <w:pPr>
              <w:pStyle w:val="NoSpacing"/>
              <w:rPr>
                <w:rFonts w:ascii="Calibri" w:eastAsia="Calibri" w:hAnsi="Calibri" w:cs="Calibri"/>
                <w:sz w:val="16"/>
                <w:szCs w:val="16"/>
              </w:rPr>
            </w:pPr>
          </w:p>
          <w:p w14:paraId="1AE32ADF" w14:textId="72836434" w:rsidR="007C6867" w:rsidRPr="00D8526F" w:rsidRDefault="237700FA" w:rsidP="514C83B7">
            <w:pPr>
              <w:pStyle w:val="NoSpacing"/>
              <w:rPr>
                <w:rFonts w:ascii="Calibri" w:eastAsia="Calibri" w:hAnsi="Calibri" w:cs="Calibri"/>
                <w:sz w:val="16"/>
                <w:szCs w:val="16"/>
              </w:rPr>
            </w:pPr>
            <w:r w:rsidRPr="60320B88">
              <w:rPr>
                <w:rFonts w:ascii="Calibri" w:eastAsia="Calibri" w:hAnsi="Calibri" w:cs="Calibri"/>
                <w:sz w:val="16"/>
                <w:szCs w:val="16"/>
              </w:rPr>
              <w:t xml:space="preserve">6b) </w:t>
            </w:r>
            <w:r w:rsidR="007C6867" w:rsidRPr="60320B88">
              <w:rPr>
                <w:rFonts w:ascii="Calibri" w:eastAsia="Calibri" w:hAnsi="Calibri" w:cs="Calibri"/>
                <w:sz w:val="16"/>
                <w:szCs w:val="16"/>
              </w:rPr>
              <w:t xml:space="preserve">DFAT acknowledges the unique and valuable role that SPC plays in the Pacific region and respects the mandate they hold given by member states. DFAT will continue to consider this value </w:t>
            </w:r>
            <w:r w:rsidR="32C433A6" w:rsidRPr="60320B88">
              <w:rPr>
                <w:rFonts w:ascii="Calibri" w:eastAsia="Calibri" w:hAnsi="Calibri" w:cs="Calibri"/>
                <w:sz w:val="16"/>
                <w:szCs w:val="16"/>
              </w:rPr>
              <w:t>for</w:t>
            </w:r>
            <w:r w:rsidR="00F972C5" w:rsidRPr="60320B88">
              <w:rPr>
                <w:rFonts w:ascii="Calibri" w:eastAsia="Calibri" w:hAnsi="Calibri" w:cs="Calibri"/>
                <w:sz w:val="16"/>
                <w:szCs w:val="16"/>
              </w:rPr>
              <w:t xml:space="preserve"> </w:t>
            </w:r>
            <w:r w:rsidR="007C6867" w:rsidRPr="60320B88">
              <w:rPr>
                <w:rFonts w:ascii="Calibri" w:eastAsia="Calibri" w:hAnsi="Calibri" w:cs="Calibri"/>
                <w:sz w:val="16"/>
                <w:szCs w:val="16"/>
              </w:rPr>
              <w:t>future phases of PWL.</w:t>
            </w:r>
          </w:p>
          <w:p w14:paraId="275AC27F" w14:textId="77777777" w:rsidR="008539B3" w:rsidRDefault="008539B3" w:rsidP="00962320">
            <w:pPr>
              <w:pStyle w:val="NoSpacing"/>
              <w:rPr>
                <w:rFonts w:ascii="Calibri" w:eastAsia="Calibri" w:hAnsi="Calibri" w:cs="Calibri"/>
                <w:color w:val="000000" w:themeColor="text1"/>
                <w:sz w:val="16"/>
                <w:szCs w:val="16"/>
              </w:rPr>
            </w:pPr>
          </w:p>
          <w:p w14:paraId="0D266818" w14:textId="0080E2AF" w:rsidR="00962320" w:rsidRPr="009F496D" w:rsidRDefault="21FAF7E6" w:rsidP="003B7754">
            <w:pPr>
              <w:pStyle w:val="NoSpacing"/>
              <w:rPr>
                <w:rFonts w:ascii="Calibri" w:eastAsia="Calibri" w:hAnsi="Calibri" w:cs="Calibri"/>
                <w:sz w:val="16"/>
                <w:szCs w:val="16"/>
              </w:rPr>
            </w:pPr>
            <w:r w:rsidRPr="60320B88">
              <w:rPr>
                <w:rFonts w:ascii="Calibri" w:eastAsia="Calibri" w:hAnsi="Calibri" w:cs="Calibri"/>
                <w:sz w:val="16"/>
                <w:szCs w:val="16"/>
              </w:rPr>
              <w:t xml:space="preserve">6c) </w:t>
            </w:r>
            <w:r w:rsidR="00962320" w:rsidRPr="60320B88">
              <w:rPr>
                <w:rFonts w:ascii="Calibri" w:eastAsia="Calibri" w:hAnsi="Calibri" w:cs="Calibri"/>
                <w:sz w:val="16"/>
                <w:szCs w:val="16"/>
              </w:rPr>
              <w:t xml:space="preserve">DFAT will ensure that locally led development principles are important criteria in the upcoming PWLES </w:t>
            </w:r>
            <w:r w:rsidR="002A6E96" w:rsidRPr="60320B88">
              <w:rPr>
                <w:rFonts w:ascii="Calibri" w:eastAsia="Calibri" w:hAnsi="Calibri" w:cs="Calibri"/>
                <w:sz w:val="16"/>
                <w:szCs w:val="16"/>
              </w:rPr>
              <w:t>procurement</w:t>
            </w:r>
            <w:r w:rsidR="00962320" w:rsidRPr="60320B88">
              <w:rPr>
                <w:rFonts w:ascii="Calibri" w:eastAsia="Calibri" w:hAnsi="Calibri" w:cs="Calibri"/>
                <w:sz w:val="16"/>
                <w:szCs w:val="16"/>
              </w:rPr>
              <w:t xml:space="preserve"> process, and that the PWLES continues to prioritise and demonstrate Pacific ownership</w:t>
            </w:r>
            <w:r w:rsidR="00241BBD" w:rsidRPr="60320B88">
              <w:rPr>
                <w:rFonts w:ascii="Calibri" w:eastAsia="Calibri" w:hAnsi="Calibri" w:cs="Calibri"/>
                <w:sz w:val="16"/>
                <w:szCs w:val="16"/>
              </w:rPr>
              <w:t>.</w:t>
            </w:r>
          </w:p>
        </w:tc>
        <w:tc>
          <w:tcPr>
            <w:tcW w:w="2976" w:type="dxa"/>
            <w:shd w:val="clear" w:color="auto" w:fill="E8E8E8" w:themeFill="background2"/>
          </w:tcPr>
          <w:p w14:paraId="7004D183" w14:textId="0BAAA30D" w:rsidR="00820AAD" w:rsidRDefault="00820AAD" w:rsidP="00820AAD">
            <w:pPr>
              <w:rPr>
                <w:rFonts w:ascii="Calibri" w:eastAsia="Calibri" w:hAnsi="Calibri" w:cs="Calibri"/>
                <w:color w:val="000000" w:themeColor="text1"/>
                <w:sz w:val="16"/>
                <w:szCs w:val="16"/>
              </w:rPr>
            </w:pPr>
            <w:r w:rsidRPr="00F95CAE">
              <w:rPr>
                <w:rFonts w:ascii="Calibri" w:eastAsia="Calibri" w:hAnsi="Calibri" w:cs="Calibri"/>
                <w:color w:val="000000" w:themeColor="text1"/>
                <w:sz w:val="16"/>
                <w:szCs w:val="16"/>
              </w:rPr>
              <w:t xml:space="preserve">SPC remains best placed to lead the implementation of </w:t>
            </w:r>
            <w:r>
              <w:rPr>
                <w:rFonts w:ascii="Calibri" w:eastAsia="Calibri" w:hAnsi="Calibri" w:cs="Calibri"/>
                <w:color w:val="000000" w:themeColor="text1"/>
                <w:sz w:val="16"/>
                <w:szCs w:val="16"/>
              </w:rPr>
              <w:t>PWL.</w:t>
            </w:r>
          </w:p>
          <w:p w14:paraId="03E67EC3" w14:textId="77777777" w:rsidR="00820AAD" w:rsidRDefault="00820AAD" w:rsidP="00820AAD">
            <w:pPr>
              <w:rPr>
                <w:rFonts w:ascii="Calibri" w:eastAsia="Calibri" w:hAnsi="Calibri" w:cs="Calibri"/>
                <w:color w:val="000000" w:themeColor="text1"/>
                <w:sz w:val="16"/>
                <w:szCs w:val="16"/>
              </w:rPr>
            </w:pPr>
          </w:p>
          <w:p w14:paraId="3C99AF2B" w14:textId="77777777" w:rsidR="00820AAD" w:rsidRDefault="00820AAD" w:rsidP="00820AAD">
            <w:pPr>
              <w:rPr>
                <w:rFonts w:ascii="Calibri" w:eastAsia="Calibri" w:hAnsi="Calibri" w:cs="Calibri"/>
                <w:color w:val="000000" w:themeColor="text1"/>
                <w:sz w:val="16"/>
                <w:szCs w:val="16"/>
              </w:rPr>
            </w:pPr>
            <w:r w:rsidRPr="60676934">
              <w:rPr>
                <w:rFonts w:ascii="Calibri" w:eastAsia="Calibri" w:hAnsi="Calibri" w:cs="Calibri"/>
                <w:color w:val="000000" w:themeColor="text1"/>
                <w:sz w:val="16"/>
                <w:szCs w:val="16"/>
              </w:rPr>
              <w:t xml:space="preserve">SPC will continue to strengthen alignment of expectations through regular strategic dialogue and improved documentation of roles, responsibilities, and mutual accountabilities. SPC, through the </w:t>
            </w:r>
            <w:proofErr w:type="spellStart"/>
            <w:r w:rsidRPr="60676934">
              <w:rPr>
                <w:rFonts w:ascii="Calibri" w:eastAsia="Calibri" w:hAnsi="Calibri" w:cs="Calibri"/>
                <w:color w:val="000000" w:themeColor="text1"/>
                <w:sz w:val="16"/>
                <w:szCs w:val="16"/>
              </w:rPr>
              <w:t>OneSPC</w:t>
            </w:r>
            <w:proofErr w:type="spellEnd"/>
            <w:r w:rsidRPr="60676934">
              <w:rPr>
                <w:rFonts w:ascii="Calibri" w:eastAsia="Calibri" w:hAnsi="Calibri" w:cs="Calibri"/>
                <w:color w:val="000000" w:themeColor="text1"/>
                <w:sz w:val="16"/>
                <w:szCs w:val="16"/>
              </w:rPr>
              <w:t xml:space="preserve"> Transformation </w:t>
            </w:r>
            <w:proofErr w:type="spellStart"/>
            <w:r w:rsidRPr="60676934">
              <w:rPr>
                <w:rFonts w:ascii="Calibri" w:eastAsia="Calibri" w:hAnsi="Calibri" w:cs="Calibri"/>
                <w:color w:val="000000" w:themeColor="text1"/>
                <w:sz w:val="16"/>
                <w:szCs w:val="16"/>
              </w:rPr>
              <w:t>Programme</w:t>
            </w:r>
            <w:proofErr w:type="spellEnd"/>
            <w:r w:rsidRPr="60676934">
              <w:rPr>
                <w:rFonts w:ascii="Calibri" w:eastAsia="Calibri" w:hAnsi="Calibri" w:cs="Calibri"/>
                <w:color w:val="000000" w:themeColor="text1"/>
                <w:sz w:val="16"/>
                <w:szCs w:val="16"/>
              </w:rPr>
              <w:t xml:space="preserve">, is also continuing to improve grant management processes, including recruitment of technical specialists, updates to the Grants Policy, and improved onboarding and guidance for grantees. </w:t>
            </w:r>
          </w:p>
          <w:p w14:paraId="6B08FC10" w14:textId="40396382" w:rsidR="00820AAD" w:rsidRDefault="00820AAD" w:rsidP="00820AAD">
            <w:pPr>
              <w:rPr>
                <w:rFonts w:ascii="Calibri" w:eastAsia="Calibri" w:hAnsi="Calibri" w:cs="Calibri"/>
                <w:color w:val="000000" w:themeColor="text1"/>
                <w:sz w:val="16"/>
                <w:szCs w:val="16"/>
              </w:rPr>
            </w:pPr>
            <w:r w:rsidRPr="2937DD3B">
              <w:rPr>
                <w:rFonts w:ascii="Calibri" w:eastAsia="Calibri" w:hAnsi="Calibri" w:cs="Calibri"/>
                <w:color w:val="000000" w:themeColor="text1"/>
                <w:sz w:val="16"/>
                <w:szCs w:val="16"/>
              </w:rPr>
              <w:t>SPC will continue to support visibility, alignment and positioning of the Gender Equality Flagship through coordinated communications and engagement with regional stakeholders</w:t>
            </w:r>
            <w:r w:rsidR="32AB96B7" w:rsidRPr="2937DD3B">
              <w:rPr>
                <w:rFonts w:ascii="Calibri" w:eastAsia="Calibri" w:hAnsi="Calibri" w:cs="Calibri"/>
                <w:color w:val="000000" w:themeColor="text1"/>
                <w:sz w:val="16"/>
                <w:szCs w:val="16"/>
              </w:rPr>
              <w:t>,</w:t>
            </w:r>
            <w:r w:rsidRPr="2937DD3B">
              <w:rPr>
                <w:rFonts w:ascii="Calibri" w:eastAsia="Calibri" w:hAnsi="Calibri" w:cs="Calibri"/>
                <w:color w:val="000000" w:themeColor="text1"/>
                <w:sz w:val="16"/>
                <w:szCs w:val="16"/>
              </w:rPr>
              <w:t xml:space="preserve"> unified and coordinated MEL mechanisms and reporting processes.</w:t>
            </w:r>
          </w:p>
          <w:p w14:paraId="52BAD6BD" w14:textId="77777777" w:rsidR="00820AAD" w:rsidRDefault="00820AAD" w:rsidP="00820AAD">
            <w:pPr>
              <w:rPr>
                <w:rFonts w:ascii="Calibri" w:eastAsia="Calibri" w:hAnsi="Calibri" w:cs="Calibri"/>
                <w:color w:val="000000" w:themeColor="text1"/>
                <w:sz w:val="16"/>
                <w:szCs w:val="16"/>
              </w:rPr>
            </w:pPr>
          </w:p>
          <w:p w14:paraId="42F03534" w14:textId="1C3FD6D2" w:rsidR="00962320" w:rsidRPr="00416DEB" w:rsidRDefault="00820AAD" w:rsidP="00820AAD">
            <w:pPr>
              <w:rPr>
                <w:rFonts w:ascii="Calibri" w:eastAsia="Calibri" w:hAnsi="Calibri" w:cs="Calibri"/>
                <w:color w:val="000000" w:themeColor="text1"/>
                <w:sz w:val="16"/>
                <w:szCs w:val="16"/>
              </w:rPr>
            </w:pPr>
            <w:r w:rsidRPr="60676934">
              <w:rPr>
                <w:rFonts w:ascii="Calibri" w:eastAsia="Calibri" w:hAnsi="Calibri" w:cs="Calibri"/>
                <w:color w:val="000000" w:themeColor="text1"/>
                <w:sz w:val="16"/>
                <w:szCs w:val="16"/>
              </w:rPr>
              <w:t xml:space="preserve">SPC seeks to continue partnership brokering with DFAT to strengthen relationships and to streamline payment milestones and grant agreements under the PWL portfolio and implemented by SPC. SPC will continue to work closely with PWLES in MEL to find ways to move the PWL database to SPC’s Pacific Data Hub, </w:t>
            </w:r>
            <w:r>
              <w:rPr>
                <w:rFonts w:ascii="Calibri" w:eastAsia="Calibri" w:hAnsi="Calibri" w:cs="Calibri"/>
                <w:color w:val="000000" w:themeColor="text1"/>
                <w:sz w:val="16"/>
                <w:szCs w:val="16"/>
              </w:rPr>
              <w:t>for</w:t>
            </w:r>
            <w:r w:rsidRPr="60676934">
              <w:rPr>
                <w:rFonts w:ascii="Calibri" w:eastAsia="Calibri" w:hAnsi="Calibri" w:cs="Calibri"/>
                <w:color w:val="000000" w:themeColor="text1"/>
                <w:sz w:val="16"/>
                <w:szCs w:val="16"/>
              </w:rPr>
              <w:t xml:space="preserve"> the data to be used by CROP agencies in reporting against regional gender equality commitments.</w:t>
            </w:r>
          </w:p>
        </w:tc>
        <w:tc>
          <w:tcPr>
            <w:tcW w:w="1560" w:type="dxa"/>
            <w:shd w:val="clear" w:color="auto" w:fill="E8E8E8" w:themeFill="background2"/>
          </w:tcPr>
          <w:p w14:paraId="64491B5E" w14:textId="6CF48B10" w:rsidR="009675A6" w:rsidRDefault="009675A6" w:rsidP="009675A6">
            <w:pPr>
              <w:rPr>
                <w:rFonts w:ascii="Calibri" w:eastAsia="Calibri" w:hAnsi="Calibri" w:cs="Calibri"/>
                <w:color w:val="000000" w:themeColor="text1"/>
                <w:sz w:val="16"/>
                <w:szCs w:val="16"/>
              </w:rPr>
            </w:pPr>
            <w:r>
              <w:rPr>
                <w:rFonts w:ascii="Calibri" w:eastAsia="Calibri" w:hAnsi="Calibri" w:cs="Calibri"/>
                <w:color w:val="000000" w:themeColor="text1"/>
                <w:sz w:val="16"/>
                <w:szCs w:val="16"/>
              </w:rPr>
              <w:t>6</w:t>
            </w:r>
            <w:r w:rsidR="00107000">
              <w:rPr>
                <w:rFonts w:ascii="Calibri" w:eastAsia="Calibri" w:hAnsi="Calibri" w:cs="Calibri"/>
                <w:color w:val="000000" w:themeColor="text1"/>
                <w:sz w:val="16"/>
                <w:szCs w:val="16"/>
              </w:rPr>
              <w:t>a-</w:t>
            </w:r>
            <w:r>
              <w:rPr>
                <w:rFonts w:ascii="Calibri" w:eastAsia="Calibri" w:hAnsi="Calibri" w:cs="Calibri"/>
                <w:color w:val="000000" w:themeColor="text1"/>
                <w:sz w:val="16"/>
                <w:szCs w:val="16"/>
              </w:rPr>
              <w:t xml:space="preserve">c) </w:t>
            </w:r>
            <w:r w:rsidRPr="00536E67">
              <w:rPr>
                <w:rFonts w:ascii="Calibri" w:eastAsia="Calibri" w:hAnsi="Calibri" w:cs="Calibri"/>
                <w:color w:val="000000" w:themeColor="text1"/>
                <w:sz w:val="16"/>
                <w:szCs w:val="16"/>
              </w:rPr>
              <w:t>PWLES agrees with th</w:t>
            </w:r>
            <w:r w:rsidR="00107000">
              <w:rPr>
                <w:rFonts w:ascii="Calibri" w:eastAsia="Calibri" w:hAnsi="Calibri" w:cs="Calibri"/>
                <w:color w:val="000000" w:themeColor="text1"/>
                <w:sz w:val="16"/>
                <w:szCs w:val="16"/>
              </w:rPr>
              <w:t xml:space="preserve">is </w:t>
            </w:r>
            <w:r w:rsidRPr="00536E67">
              <w:rPr>
                <w:rFonts w:ascii="Calibri" w:eastAsia="Calibri" w:hAnsi="Calibri" w:cs="Calibri"/>
                <w:color w:val="000000" w:themeColor="text1"/>
                <w:sz w:val="16"/>
                <w:szCs w:val="16"/>
              </w:rPr>
              <w:t>recommendation</w:t>
            </w:r>
            <w:r w:rsidR="00107000">
              <w:rPr>
                <w:rFonts w:ascii="Calibri" w:eastAsia="Calibri" w:hAnsi="Calibri" w:cs="Calibri"/>
                <w:color w:val="000000" w:themeColor="text1"/>
                <w:sz w:val="16"/>
                <w:szCs w:val="16"/>
              </w:rPr>
              <w:t>, including</w:t>
            </w:r>
            <w:r w:rsidRPr="00536E67">
              <w:rPr>
                <w:rFonts w:ascii="Calibri" w:eastAsia="Calibri" w:hAnsi="Calibri" w:cs="Calibri"/>
                <w:color w:val="000000" w:themeColor="text1"/>
                <w:sz w:val="16"/>
                <w:szCs w:val="16"/>
              </w:rPr>
              <w:t xml:space="preserve"> </w:t>
            </w:r>
            <w:r w:rsidR="00AA751F">
              <w:rPr>
                <w:rFonts w:ascii="Calibri" w:eastAsia="Calibri" w:hAnsi="Calibri" w:cs="Calibri"/>
                <w:color w:val="000000" w:themeColor="text1"/>
                <w:sz w:val="16"/>
                <w:szCs w:val="16"/>
              </w:rPr>
              <w:t>sustaining</w:t>
            </w:r>
            <w:r>
              <w:rPr>
                <w:rFonts w:ascii="Calibri" w:eastAsia="Calibri" w:hAnsi="Calibri" w:cs="Calibri"/>
                <w:color w:val="000000" w:themeColor="text1"/>
                <w:sz w:val="16"/>
                <w:szCs w:val="16"/>
              </w:rPr>
              <w:t xml:space="preserve"> and enhance</w:t>
            </w:r>
            <w:r w:rsidR="00AA751F">
              <w:rPr>
                <w:rFonts w:ascii="Calibri" w:eastAsia="Calibri" w:hAnsi="Calibri" w:cs="Calibri"/>
                <w:color w:val="000000" w:themeColor="text1"/>
                <w:sz w:val="16"/>
                <w:szCs w:val="16"/>
              </w:rPr>
              <w:t>d</w:t>
            </w:r>
            <w:r>
              <w:rPr>
                <w:rFonts w:ascii="Calibri" w:eastAsia="Calibri" w:hAnsi="Calibri" w:cs="Calibri"/>
                <w:color w:val="000000" w:themeColor="text1"/>
                <w:sz w:val="16"/>
                <w:szCs w:val="16"/>
              </w:rPr>
              <w:t xml:space="preserve"> MEL and technical advisory </w:t>
            </w:r>
            <w:r w:rsidR="00AA751F">
              <w:rPr>
                <w:rFonts w:ascii="Calibri" w:eastAsia="Calibri" w:hAnsi="Calibri" w:cs="Calibri"/>
                <w:color w:val="000000" w:themeColor="text1"/>
                <w:sz w:val="16"/>
                <w:szCs w:val="16"/>
              </w:rPr>
              <w:t>services</w:t>
            </w:r>
            <w:r>
              <w:rPr>
                <w:rFonts w:ascii="Calibri" w:eastAsia="Calibri" w:hAnsi="Calibri" w:cs="Calibri"/>
                <w:color w:val="000000" w:themeColor="text1"/>
                <w:sz w:val="16"/>
                <w:szCs w:val="16"/>
              </w:rPr>
              <w:t xml:space="preserve">, while continuing to demonstrate Pacific ownership in Phase II. </w:t>
            </w:r>
            <w:r w:rsidRPr="00536E67">
              <w:rPr>
                <w:rFonts w:ascii="Calibri" w:eastAsia="Calibri" w:hAnsi="Calibri" w:cs="Calibri"/>
                <w:color w:val="000000" w:themeColor="text1"/>
                <w:sz w:val="16"/>
                <w:szCs w:val="16"/>
              </w:rPr>
              <w:t xml:space="preserve"> </w:t>
            </w:r>
          </w:p>
          <w:p w14:paraId="63ABE426" w14:textId="77777777" w:rsidR="009675A6" w:rsidRDefault="009675A6" w:rsidP="009675A6">
            <w:pPr>
              <w:rPr>
                <w:rFonts w:ascii="Calibri" w:eastAsia="Calibri" w:hAnsi="Calibri" w:cs="Calibri"/>
                <w:color w:val="000000" w:themeColor="text1"/>
                <w:sz w:val="16"/>
                <w:szCs w:val="16"/>
              </w:rPr>
            </w:pPr>
          </w:p>
          <w:p w14:paraId="545C816F" w14:textId="4DF368DF" w:rsidR="009675A6" w:rsidRPr="00536E67" w:rsidRDefault="009675A6" w:rsidP="009675A6">
            <w:pPr>
              <w:tabs>
                <w:tab w:val="num" w:pos="720"/>
              </w:tabs>
              <w:rPr>
                <w:rFonts w:ascii="Calibri" w:eastAsia="Calibri" w:hAnsi="Calibri" w:cs="Calibri"/>
                <w:color w:val="000000" w:themeColor="text1"/>
                <w:sz w:val="16"/>
                <w:szCs w:val="16"/>
              </w:rPr>
            </w:pPr>
            <w:r w:rsidRPr="00536E67">
              <w:rPr>
                <w:rFonts w:ascii="Calibri" w:eastAsia="Calibri" w:hAnsi="Calibri" w:cs="Calibri"/>
                <w:color w:val="000000" w:themeColor="text1"/>
                <w:sz w:val="16"/>
                <w:szCs w:val="16"/>
              </w:rPr>
              <w:t>In the lead-up to Phase II, PWLES will</w:t>
            </w:r>
            <w:r>
              <w:rPr>
                <w:rFonts w:ascii="Calibri" w:eastAsia="Calibri" w:hAnsi="Calibri" w:cs="Calibri"/>
                <w:color w:val="000000" w:themeColor="text1"/>
                <w:sz w:val="16"/>
                <w:szCs w:val="16"/>
              </w:rPr>
              <w:t xml:space="preserve"> d</w:t>
            </w:r>
            <w:r w:rsidRPr="00536E67">
              <w:rPr>
                <w:rFonts w:ascii="Calibri" w:eastAsia="Calibri" w:hAnsi="Calibri" w:cs="Calibri"/>
                <w:color w:val="000000" w:themeColor="text1"/>
                <w:sz w:val="16"/>
                <w:szCs w:val="16"/>
              </w:rPr>
              <w:t>ocument and communicate lessons learned from its MEL and technical support approaches, including the value of regionally based facilitation and adaptive learning processes</w:t>
            </w:r>
            <w:r>
              <w:rPr>
                <w:rFonts w:ascii="Calibri" w:eastAsia="Calibri" w:hAnsi="Calibri" w:cs="Calibri"/>
                <w:color w:val="000000" w:themeColor="text1"/>
                <w:sz w:val="16"/>
                <w:szCs w:val="16"/>
              </w:rPr>
              <w:t xml:space="preserve"> and m</w:t>
            </w:r>
            <w:r w:rsidRPr="00536E67">
              <w:rPr>
                <w:rFonts w:ascii="Calibri" w:eastAsia="Calibri" w:hAnsi="Calibri" w:cs="Calibri"/>
                <w:color w:val="000000" w:themeColor="text1"/>
                <w:sz w:val="16"/>
                <w:szCs w:val="16"/>
              </w:rPr>
              <w:t>aintain a strong Pacific-led team</w:t>
            </w:r>
            <w:r>
              <w:rPr>
                <w:rFonts w:ascii="Calibri" w:eastAsia="Calibri" w:hAnsi="Calibri" w:cs="Calibri"/>
                <w:color w:val="000000" w:themeColor="text1"/>
                <w:sz w:val="16"/>
                <w:szCs w:val="16"/>
              </w:rPr>
              <w:t>.</w:t>
            </w:r>
          </w:p>
          <w:p w14:paraId="4B1BEBE4" w14:textId="2E787230" w:rsidR="00962320" w:rsidRPr="009F496D" w:rsidRDefault="00962320" w:rsidP="00962320">
            <w:pPr>
              <w:rPr>
                <w:rFonts w:ascii="Calibri" w:eastAsia="Calibri" w:hAnsi="Calibri" w:cs="Calibri"/>
                <w:color w:val="000000" w:themeColor="text1"/>
                <w:sz w:val="16"/>
                <w:szCs w:val="16"/>
                <w:lang w:val="en-GB"/>
              </w:rPr>
            </w:pPr>
          </w:p>
        </w:tc>
        <w:tc>
          <w:tcPr>
            <w:tcW w:w="992" w:type="dxa"/>
          </w:tcPr>
          <w:p w14:paraId="1574243B" w14:textId="07359FA2" w:rsidR="00962320" w:rsidRPr="009F496D" w:rsidRDefault="000B2E6B" w:rsidP="00962320">
            <w:pPr>
              <w:rPr>
                <w:rFonts w:ascii="Calibri" w:eastAsia="Calibri" w:hAnsi="Calibri" w:cs="Calibri"/>
                <w:color w:val="000000" w:themeColor="text1"/>
                <w:sz w:val="16"/>
                <w:szCs w:val="16"/>
                <w:lang w:val="en-GB"/>
              </w:rPr>
            </w:pPr>
            <w:r>
              <w:rPr>
                <w:rFonts w:ascii="Calibri" w:eastAsia="Calibri" w:hAnsi="Calibri" w:cs="Calibri"/>
                <w:color w:val="000000" w:themeColor="text1"/>
                <w:sz w:val="16"/>
                <w:szCs w:val="16"/>
                <w:lang w:val="en-GB"/>
              </w:rPr>
              <w:t xml:space="preserve">Q3 2026 and beyond </w:t>
            </w:r>
          </w:p>
        </w:tc>
      </w:tr>
      <w:tr w:rsidR="00962320" w:rsidRPr="009F496D" w14:paraId="60F8A042" w14:textId="77777777" w:rsidTr="00A06565">
        <w:trPr>
          <w:trHeight w:val="300"/>
        </w:trPr>
        <w:tc>
          <w:tcPr>
            <w:tcW w:w="2689" w:type="dxa"/>
          </w:tcPr>
          <w:p w14:paraId="1B0BD6BC" w14:textId="77777777" w:rsidR="00962320" w:rsidRPr="009F496D" w:rsidRDefault="00962320" w:rsidP="00962320">
            <w:pPr>
              <w:spacing w:beforeAutospacing="1" w:afterAutospacing="1"/>
              <w:rPr>
                <w:rFonts w:ascii="Calibri" w:eastAsia="Calibri" w:hAnsi="Calibri" w:cs="Calibri"/>
                <w:b/>
                <w:bCs/>
                <w:sz w:val="16"/>
                <w:szCs w:val="16"/>
              </w:rPr>
            </w:pPr>
            <w:r w:rsidRPr="009F496D">
              <w:rPr>
                <w:rFonts w:ascii="Calibri" w:eastAsia="Calibri" w:hAnsi="Calibri" w:cs="Calibri"/>
                <w:b/>
                <w:bCs/>
                <w:sz w:val="16"/>
                <w:szCs w:val="16"/>
              </w:rPr>
              <w:t>7. Refine PWL’s funding and support mechanisms based on program strengths and demand:</w:t>
            </w:r>
          </w:p>
          <w:p w14:paraId="629C21CE" w14:textId="577BE593" w:rsidR="00962320" w:rsidRPr="000C456D" w:rsidRDefault="00962320" w:rsidP="00962320">
            <w:pPr>
              <w:pStyle w:val="ListParagraph"/>
              <w:numPr>
                <w:ilvl w:val="0"/>
                <w:numId w:val="17"/>
              </w:numPr>
              <w:spacing w:beforeAutospacing="1" w:afterAutospacing="1"/>
              <w:rPr>
                <w:rFonts w:ascii="Calibri" w:eastAsia="Calibri" w:hAnsi="Calibri" w:cs="Calibri"/>
                <w:sz w:val="16"/>
                <w:szCs w:val="16"/>
              </w:rPr>
            </w:pPr>
            <w:r w:rsidRPr="000C456D">
              <w:rPr>
                <w:rFonts w:ascii="Calibri" w:eastAsia="Calibri" w:hAnsi="Calibri" w:cs="Calibri"/>
                <w:sz w:val="16"/>
                <w:szCs w:val="16"/>
              </w:rPr>
              <w:lastRenderedPageBreak/>
              <w:t>Increase funding to the Women’s Funds</w:t>
            </w:r>
            <w:r w:rsidR="00561272">
              <w:rPr>
                <w:rFonts w:ascii="Calibri" w:eastAsia="Calibri" w:hAnsi="Calibri" w:cs="Calibri"/>
                <w:sz w:val="16"/>
                <w:szCs w:val="16"/>
              </w:rPr>
              <w:t xml:space="preserve">, in particular increasing funds to PFF </w:t>
            </w:r>
            <w:r w:rsidRPr="000C456D">
              <w:rPr>
                <w:rFonts w:ascii="Calibri" w:eastAsia="Calibri" w:hAnsi="Calibri" w:cs="Calibri"/>
                <w:sz w:val="16"/>
                <w:szCs w:val="16"/>
              </w:rPr>
              <w:t>to:</w:t>
            </w:r>
          </w:p>
          <w:p w14:paraId="1EE7CC7C" w14:textId="7A682000" w:rsidR="00962320" w:rsidRDefault="00B315E2" w:rsidP="00962320">
            <w:pPr>
              <w:pStyle w:val="ListParagraph"/>
              <w:numPr>
                <w:ilvl w:val="0"/>
                <w:numId w:val="16"/>
              </w:numPr>
              <w:spacing w:beforeAutospacing="1" w:afterAutospacing="1"/>
              <w:rPr>
                <w:rFonts w:ascii="Calibri" w:eastAsia="Calibri" w:hAnsi="Calibri" w:cs="Calibri"/>
                <w:sz w:val="16"/>
                <w:szCs w:val="16"/>
              </w:rPr>
            </w:pPr>
            <w:r>
              <w:rPr>
                <w:rFonts w:ascii="Calibri" w:eastAsia="Calibri" w:hAnsi="Calibri" w:cs="Calibri"/>
                <w:sz w:val="16"/>
                <w:szCs w:val="16"/>
              </w:rPr>
              <w:t>e</w:t>
            </w:r>
            <w:r w:rsidR="00962320" w:rsidRPr="0077457E">
              <w:rPr>
                <w:rFonts w:ascii="Calibri" w:eastAsia="Calibri" w:hAnsi="Calibri" w:cs="Calibri"/>
                <w:sz w:val="16"/>
                <w:szCs w:val="16"/>
              </w:rPr>
              <w:t>xpand regional reach and flexible support for women’s CSOs</w:t>
            </w:r>
          </w:p>
          <w:p w14:paraId="436896FB" w14:textId="476DA98B" w:rsidR="00962320" w:rsidRDefault="00B315E2" w:rsidP="00962320">
            <w:pPr>
              <w:pStyle w:val="ListParagraph"/>
              <w:numPr>
                <w:ilvl w:val="0"/>
                <w:numId w:val="16"/>
              </w:numPr>
              <w:spacing w:beforeAutospacing="1" w:afterAutospacing="1"/>
              <w:rPr>
                <w:rFonts w:ascii="Calibri" w:eastAsia="Calibri" w:hAnsi="Calibri" w:cs="Calibri"/>
                <w:sz w:val="16"/>
                <w:szCs w:val="16"/>
              </w:rPr>
            </w:pPr>
            <w:r>
              <w:rPr>
                <w:rFonts w:ascii="Calibri" w:eastAsia="Calibri" w:hAnsi="Calibri" w:cs="Calibri"/>
                <w:sz w:val="16"/>
                <w:szCs w:val="16"/>
              </w:rPr>
              <w:t>e</w:t>
            </w:r>
            <w:r w:rsidR="00962320" w:rsidRPr="0077457E">
              <w:rPr>
                <w:rFonts w:ascii="Calibri" w:eastAsia="Calibri" w:hAnsi="Calibri" w:cs="Calibri"/>
                <w:sz w:val="16"/>
                <w:szCs w:val="16"/>
              </w:rPr>
              <w:t>nhance flexibility in responding to emerging gender equality challenges.</w:t>
            </w:r>
          </w:p>
          <w:p w14:paraId="48CBD10D" w14:textId="2024EB6E" w:rsidR="00962320" w:rsidRPr="00DD1A55" w:rsidRDefault="00962320" w:rsidP="00962320">
            <w:pPr>
              <w:pStyle w:val="ListParagraph"/>
              <w:numPr>
                <w:ilvl w:val="0"/>
                <w:numId w:val="17"/>
              </w:numPr>
              <w:spacing w:beforeAutospacing="1" w:afterAutospacing="1"/>
              <w:rPr>
                <w:rFonts w:ascii="Calibri" w:eastAsia="Calibri" w:hAnsi="Calibri" w:cs="Calibri"/>
                <w:sz w:val="16"/>
                <w:szCs w:val="16"/>
              </w:rPr>
            </w:pPr>
            <w:r w:rsidRPr="00DD1A55">
              <w:rPr>
                <w:rFonts w:ascii="Calibri" w:eastAsia="Calibri" w:hAnsi="Calibri" w:cs="Calibri"/>
                <w:sz w:val="16"/>
                <w:szCs w:val="16"/>
              </w:rPr>
              <w:t>Focus SPC grants on areas of unique strategic value, ensuring:</w:t>
            </w:r>
          </w:p>
          <w:p w14:paraId="26AB63A9" w14:textId="308E74B3" w:rsidR="00962320" w:rsidRPr="00DD1A55" w:rsidRDefault="00DD1A55" w:rsidP="00962320">
            <w:pPr>
              <w:pStyle w:val="ListParagraph"/>
              <w:numPr>
                <w:ilvl w:val="0"/>
                <w:numId w:val="19"/>
              </w:numPr>
              <w:spacing w:beforeAutospacing="1" w:afterAutospacing="1"/>
              <w:rPr>
                <w:rFonts w:ascii="Calibri" w:eastAsia="Calibri" w:hAnsi="Calibri" w:cs="Calibri"/>
                <w:sz w:val="16"/>
                <w:szCs w:val="16"/>
              </w:rPr>
            </w:pPr>
            <w:r w:rsidRPr="00DD1A55">
              <w:rPr>
                <w:rFonts w:ascii="Calibri" w:eastAsia="Calibri" w:hAnsi="Calibri" w:cs="Calibri"/>
                <w:sz w:val="16"/>
                <w:szCs w:val="16"/>
              </w:rPr>
              <w:t>p</w:t>
            </w:r>
            <w:r w:rsidR="00962320" w:rsidRPr="00DD1A55">
              <w:rPr>
                <w:rFonts w:ascii="Calibri" w:eastAsia="Calibri" w:hAnsi="Calibri" w:cs="Calibri"/>
                <w:sz w:val="16"/>
                <w:szCs w:val="16"/>
              </w:rPr>
              <w:t>rioritisation of national government partnerships and strategic CSO engagement</w:t>
            </w:r>
          </w:p>
          <w:p w14:paraId="332CCED4" w14:textId="63D81D49" w:rsidR="00962320" w:rsidRPr="00DD1A55" w:rsidRDefault="00563C79" w:rsidP="00962320">
            <w:pPr>
              <w:pStyle w:val="ListParagraph"/>
              <w:numPr>
                <w:ilvl w:val="0"/>
                <w:numId w:val="19"/>
              </w:numPr>
              <w:spacing w:beforeAutospacing="1" w:afterAutospacing="1"/>
              <w:rPr>
                <w:rFonts w:ascii="Calibri" w:eastAsia="Calibri" w:hAnsi="Calibri" w:cs="Calibri"/>
                <w:sz w:val="16"/>
                <w:szCs w:val="16"/>
              </w:rPr>
            </w:pPr>
            <w:r>
              <w:rPr>
                <w:rFonts w:ascii="Calibri" w:eastAsia="Calibri" w:hAnsi="Calibri" w:cs="Calibri"/>
                <w:sz w:val="16"/>
                <w:szCs w:val="16"/>
              </w:rPr>
              <w:t>b</w:t>
            </w:r>
            <w:r w:rsidR="00962320" w:rsidRPr="00DD1A55">
              <w:rPr>
                <w:rFonts w:ascii="Calibri" w:eastAsia="Calibri" w:hAnsi="Calibri" w:cs="Calibri"/>
                <w:sz w:val="16"/>
                <w:szCs w:val="16"/>
              </w:rPr>
              <w:t>etter alignment with SPC’s operational capacity and mandate.</w:t>
            </w:r>
          </w:p>
          <w:p w14:paraId="0D79CE7A" w14:textId="639A8B5B" w:rsidR="00962320" w:rsidRPr="00DD1A55" w:rsidRDefault="00962320" w:rsidP="00962320">
            <w:pPr>
              <w:pStyle w:val="ListParagraph"/>
              <w:numPr>
                <w:ilvl w:val="0"/>
                <w:numId w:val="17"/>
              </w:numPr>
              <w:spacing w:beforeAutospacing="1" w:afterAutospacing="1"/>
              <w:rPr>
                <w:rFonts w:ascii="Calibri" w:eastAsia="Calibri" w:hAnsi="Calibri" w:cs="Calibri"/>
                <w:sz w:val="16"/>
                <w:szCs w:val="16"/>
              </w:rPr>
            </w:pPr>
            <w:r w:rsidRPr="00DD1A55">
              <w:rPr>
                <w:rFonts w:ascii="Calibri" w:eastAsia="Calibri" w:hAnsi="Calibri" w:cs="Calibri"/>
                <w:sz w:val="16"/>
                <w:szCs w:val="16"/>
              </w:rPr>
              <w:t>Expand and improve the coordination of technical advisory and MEL support by:</w:t>
            </w:r>
          </w:p>
          <w:p w14:paraId="7F8F4D72" w14:textId="2AF314D4" w:rsidR="00962320" w:rsidRDefault="00563C79" w:rsidP="00962320">
            <w:pPr>
              <w:pStyle w:val="ListParagraph"/>
              <w:numPr>
                <w:ilvl w:val="0"/>
                <w:numId w:val="21"/>
              </w:numPr>
              <w:spacing w:beforeAutospacing="1" w:afterAutospacing="1"/>
              <w:rPr>
                <w:rFonts w:ascii="Calibri" w:eastAsia="Calibri" w:hAnsi="Calibri" w:cs="Calibri"/>
                <w:sz w:val="16"/>
                <w:szCs w:val="16"/>
              </w:rPr>
            </w:pPr>
            <w:r>
              <w:rPr>
                <w:rFonts w:ascii="Calibri" w:eastAsia="Calibri" w:hAnsi="Calibri" w:cs="Calibri"/>
                <w:sz w:val="16"/>
                <w:szCs w:val="16"/>
              </w:rPr>
              <w:t xml:space="preserve">expanding </w:t>
            </w:r>
            <w:r w:rsidR="00962320" w:rsidRPr="00DD1A55">
              <w:rPr>
                <w:rFonts w:ascii="Calibri" w:eastAsia="Calibri" w:hAnsi="Calibri" w:cs="Calibri"/>
                <w:sz w:val="16"/>
                <w:szCs w:val="16"/>
              </w:rPr>
              <w:t>PWLES’ role in MEL, advisory support, communications and program management where</w:t>
            </w:r>
            <w:r w:rsidR="00962320">
              <w:rPr>
                <w:rFonts w:ascii="Calibri" w:eastAsia="Calibri" w:hAnsi="Calibri" w:cs="Calibri"/>
                <w:sz w:val="16"/>
                <w:szCs w:val="16"/>
              </w:rPr>
              <w:t xml:space="preserve"> required by DFAT bilateral posts</w:t>
            </w:r>
          </w:p>
          <w:p w14:paraId="426D1086" w14:textId="22DAEF31" w:rsidR="00962320" w:rsidRDefault="00563C79" w:rsidP="00962320">
            <w:pPr>
              <w:pStyle w:val="ListParagraph"/>
              <w:numPr>
                <w:ilvl w:val="0"/>
                <w:numId w:val="21"/>
              </w:numPr>
              <w:spacing w:beforeAutospacing="1" w:afterAutospacing="1"/>
              <w:rPr>
                <w:rFonts w:ascii="Calibri" w:eastAsia="Calibri" w:hAnsi="Calibri" w:cs="Calibri"/>
                <w:sz w:val="16"/>
                <w:szCs w:val="16"/>
              </w:rPr>
            </w:pPr>
            <w:r>
              <w:rPr>
                <w:rFonts w:ascii="Calibri" w:eastAsia="Calibri" w:hAnsi="Calibri" w:cs="Calibri"/>
                <w:sz w:val="16"/>
                <w:szCs w:val="16"/>
              </w:rPr>
              <w:t>i</w:t>
            </w:r>
            <w:r w:rsidR="00962320">
              <w:rPr>
                <w:rFonts w:ascii="Calibri" w:eastAsia="Calibri" w:hAnsi="Calibri" w:cs="Calibri"/>
                <w:sz w:val="16"/>
                <w:szCs w:val="16"/>
              </w:rPr>
              <w:t>ncreasing funding for PWLES based on assessed demand</w:t>
            </w:r>
          </w:p>
          <w:p w14:paraId="6D1FB5D3" w14:textId="3C259C53" w:rsidR="00962320" w:rsidRPr="009F496D" w:rsidRDefault="00D5366D" w:rsidP="00962320">
            <w:pPr>
              <w:pStyle w:val="ListParagraph"/>
              <w:numPr>
                <w:ilvl w:val="0"/>
                <w:numId w:val="21"/>
              </w:numPr>
              <w:spacing w:beforeAutospacing="1" w:afterAutospacing="1"/>
              <w:rPr>
                <w:rFonts w:ascii="Calibri" w:eastAsia="Calibri" w:hAnsi="Calibri" w:cs="Calibri"/>
                <w:sz w:val="16"/>
                <w:szCs w:val="16"/>
              </w:rPr>
            </w:pPr>
            <w:r>
              <w:rPr>
                <w:rFonts w:ascii="Calibri" w:eastAsia="Calibri" w:hAnsi="Calibri" w:cs="Calibri"/>
                <w:sz w:val="16"/>
                <w:szCs w:val="16"/>
              </w:rPr>
              <w:t>s</w:t>
            </w:r>
            <w:r w:rsidR="00962320">
              <w:rPr>
                <w:rFonts w:ascii="Calibri" w:eastAsia="Calibri" w:hAnsi="Calibri" w:cs="Calibri"/>
                <w:sz w:val="16"/>
                <w:szCs w:val="16"/>
              </w:rPr>
              <w:t>trengthening collaboration between SPC, PWLES and UN agencies</w:t>
            </w:r>
            <w:r>
              <w:rPr>
                <w:rFonts w:ascii="Calibri" w:eastAsia="Calibri" w:hAnsi="Calibri" w:cs="Calibri"/>
                <w:sz w:val="16"/>
                <w:szCs w:val="16"/>
              </w:rPr>
              <w:t>.</w:t>
            </w:r>
          </w:p>
        </w:tc>
        <w:tc>
          <w:tcPr>
            <w:tcW w:w="992" w:type="dxa"/>
          </w:tcPr>
          <w:p w14:paraId="39BC5922" w14:textId="6FD142FA" w:rsidR="00962320" w:rsidRPr="009F496D" w:rsidRDefault="00962320" w:rsidP="00962320">
            <w:pPr>
              <w:rPr>
                <w:rFonts w:ascii="Calibri" w:eastAsia="Calibri" w:hAnsi="Calibri" w:cs="Calibri"/>
                <w:i/>
                <w:iCs/>
                <w:sz w:val="16"/>
                <w:szCs w:val="16"/>
              </w:rPr>
            </w:pPr>
            <w:r>
              <w:rPr>
                <w:rFonts w:ascii="Calibri" w:eastAsia="Calibri" w:hAnsi="Calibri" w:cs="Calibri"/>
                <w:b/>
                <w:bCs/>
                <w:sz w:val="16"/>
                <w:szCs w:val="16"/>
              </w:rPr>
              <w:lastRenderedPageBreak/>
              <w:t>Partially agree</w:t>
            </w:r>
          </w:p>
        </w:tc>
        <w:tc>
          <w:tcPr>
            <w:tcW w:w="2126" w:type="dxa"/>
            <w:shd w:val="clear" w:color="auto" w:fill="E8E8E8" w:themeFill="background2"/>
          </w:tcPr>
          <w:p w14:paraId="5088E788" w14:textId="77777777" w:rsidR="00962320" w:rsidRPr="000B2E6B" w:rsidRDefault="009675A6" w:rsidP="009675A6">
            <w:pPr>
              <w:rPr>
                <w:rFonts w:ascii="Calibri" w:eastAsia="Calibri" w:hAnsi="Calibri" w:cs="Calibri"/>
                <w:color w:val="000000" w:themeColor="text1"/>
                <w:sz w:val="16"/>
                <w:szCs w:val="16"/>
                <w:lang w:val="en-AU"/>
              </w:rPr>
            </w:pPr>
            <w:r>
              <w:rPr>
                <w:rFonts w:ascii="Calibri" w:eastAsia="Calibri" w:hAnsi="Calibri" w:cs="Calibri"/>
                <w:color w:val="000000" w:themeColor="text1"/>
                <w:sz w:val="16"/>
                <w:szCs w:val="16"/>
                <w:lang w:val="en-AU"/>
              </w:rPr>
              <w:t xml:space="preserve">7a) </w:t>
            </w:r>
            <w:r w:rsidRPr="009675A6">
              <w:rPr>
                <w:rFonts w:ascii="Calibri" w:eastAsia="Calibri" w:hAnsi="Calibri" w:cs="Calibri"/>
                <w:color w:val="000000" w:themeColor="text1"/>
                <w:sz w:val="16"/>
                <w:szCs w:val="16"/>
                <w:lang w:val="en-AU"/>
              </w:rPr>
              <w:t xml:space="preserve">In line with recommendation 1, the Board will invite representatives from Women’s Funds to </w:t>
            </w:r>
            <w:r w:rsidRPr="009675A6">
              <w:rPr>
                <w:rFonts w:ascii="Calibri" w:eastAsia="Calibri" w:hAnsi="Calibri" w:cs="Calibri"/>
                <w:color w:val="000000" w:themeColor="text1"/>
                <w:sz w:val="16"/>
                <w:szCs w:val="16"/>
                <w:lang w:val="en-AU"/>
              </w:rPr>
              <w:lastRenderedPageBreak/>
              <w:t xml:space="preserve">participate in selected Governance Board meetings. This will help strengthen collaboration and ensure that Board discussions and decisions actively support and amplify the role of women’s CSOs in addressing gender equality challenges in </w:t>
            </w:r>
            <w:r w:rsidRPr="000B2E6B">
              <w:rPr>
                <w:rFonts w:ascii="Calibri" w:eastAsia="Calibri" w:hAnsi="Calibri" w:cs="Calibri"/>
                <w:color w:val="000000" w:themeColor="text1"/>
                <w:sz w:val="16"/>
                <w:szCs w:val="16"/>
                <w:lang w:val="en-AU"/>
              </w:rPr>
              <w:t>regional convenings.</w:t>
            </w:r>
          </w:p>
          <w:p w14:paraId="0DBB5EB6" w14:textId="77777777" w:rsidR="002031A7" w:rsidRPr="000B2E6B" w:rsidRDefault="002031A7" w:rsidP="009675A6">
            <w:pPr>
              <w:rPr>
                <w:rFonts w:ascii="Calibri" w:eastAsia="Calibri" w:hAnsi="Calibri" w:cs="Calibri"/>
                <w:color w:val="000000" w:themeColor="text1"/>
                <w:sz w:val="16"/>
                <w:szCs w:val="16"/>
                <w:lang w:val="en-AU"/>
              </w:rPr>
            </w:pPr>
          </w:p>
          <w:p w14:paraId="2564246E" w14:textId="01D92737" w:rsidR="000B2E6B" w:rsidRPr="009F496D" w:rsidRDefault="000B2E6B" w:rsidP="000B2E6B">
            <w:pPr>
              <w:rPr>
                <w:rFonts w:ascii="Calibri" w:eastAsia="Calibri" w:hAnsi="Calibri" w:cs="Calibri"/>
                <w:sz w:val="16"/>
                <w:szCs w:val="16"/>
              </w:rPr>
            </w:pPr>
            <w:r w:rsidRPr="000B2E6B">
              <w:rPr>
                <w:rFonts w:ascii="Calibri" w:eastAsia="Calibri" w:hAnsi="Calibri" w:cs="Calibri"/>
                <w:color w:val="000000" w:themeColor="text1"/>
                <w:sz w:val="16"/>
                <w:szCs w:val="16"/>
                <w:lang w:val="en-AU"/>
              </w:rPr>
              <w:t xml:space="preserve">The Board supports SPC, DFAT and PWLES responses to </w:t>
            </w:r>
            <w:r w:rsidR="002031A7" w:rsidRPr="000B2E6B">
              <w:rPr>
                <w:rFonts w:ascii="Calibri" w:eastAsia="Calibri" w:hAnsi="Calibri" w:cs="Calibri"/>
                <w:color w:val="000000" w:themeColor="text1"/>
                <w:sz w:val="16"/>
                <w:szCs w:val="16"/>
                <w:lang w:val="en-AU"/>
              </w:rPr>
              <w:t>7b) and 7c)</w:t>
            </w:r>
            <w:r w:rsidRPr="000B2E6B">
              <w:rPr>
                <w:rFonts w:ascii="Calibri" w:eastAsia="Calibri" w:hAnsi="Calibri" w:cs="Calibri"/>
                <w:color w:val="000000" w:themeColor="text1"/>
                <w:sz w:val="16"/>
                <w:szCs w:val="16"/>
                <w:lang w:val="en-AU"/>
              </w:rPr>
              <w:t>.</w:t>
            </w:r>
          </w:p>
          <w:p w14:paraId="09B4447F" w14:textId="3E8F305E" w:rsidR="002031A7" w:rsidRPr="009F496D" w:rsidRDefault="002031A7" w:rsidP="009675A6">
            <w:pPr>
              <w:rPr>
                <w:rFonts w:ascii="Calibri" w:eastAsia="Calibri" w:hAnsi="Calibri" w:cs="Calibri"/>
                <w:sz w:val="16"/>
                <w:szCs w:val="16"/>
              </w:rPr>
            </w:pPr>
          </w:p>
        </w:tc>
        <w:tc>
          <w:tcPr>
            <w:tcW w:w="1985" w:type="dxa"/>
          </w:tcPr>
          <w:p w14:paraId="1A59F2CD" w14:textId="3768BA85" w:rsidR="003030CA" w:rsidRPr="00492F2D" w:rsidRDefault="004C4276" w:rsidP="00962320">
            <w:pPr>
              <w:rPr>
                <w:rFonts w:ascii="Calibri" w:eastAsia="Calibri" w:hAnsi="Calibri" w:cs="Calibri"/>
                <w:color w:val="000000" w:themeColor="text1"/>
                <w:sz w:val="16"/>
                <w:szCs w:val="16"/>
                <w:lang w:val="en-AU"/>
              </w:rPr>
            </w:pPr>
            <w:r w:rsidRPr="60320B88">
              <w:rPr>
                <w:rFonts w:ascii="Calibri" w:eastAsia="Calibri" w:hAnsi="Calibri" w:cs="Calibri"/>
                <w:color w:val="000000" w:themeColor="text1"/>
                <w:sz w:val="16"/>
                <w:szCs w:val="16"/>
                <w:lang w:val="en-AU"/>
              </w:rPr>
              <w:lastRenderedPageBreak/>
              <w:t xml:space="preserve">7a) </w:t>
            </w:r>
            <w:r w:rsidR="00492F2D" w:rsidRPr="60320B88">
              <w:rPr>
                <w:rFonts w:ascii="Calibri" w:eastAsia="Calibri" w:hAnsi="Calibri" w:cs="Calibri"/>
                <w:color w:val="000000" w:themeColor="text1"/>
                <w:sz w:val="16"/>
                <w:szCs w:val="16"/>
                <w:lang w:val="en-AU"/>
              </w:rPr>
              <w:t>DFAT notes</w:t>
            </w:r>
            <w:r w:rsidR="003030CA" w:rsidRPr="60320B88">
              <w:rPr>
                <w:rFonts w:ascii="Calibri" w:eastAsia="Calibri" w:hAnsi="Calibri" w:cs="Calibri"/>
                <w:color w:val="000000" w:themeColor="text1"/>
                <w:sz w:val="16"/>
                <w:szCs w:val="16"/>
                <w:lang w:val="en-AU"/>
              </w:rPr>
              <w:t xml:space="preserve"> the recommendation to increase funding to Women’s </w:t>
            </w:r>
            <w:r w:rsidR="009675A6" w:rsidRPr="60320B88">
              <w:rPr>
                <w:rFonts w:ascii="Calibri" w:eastAsia="Calibri" w:hAnsi="Calibri" w:cs="Calibri"/>
                <w:color w:val="000000" w:themeColor="text1"/>
                <w:sz w:val="16"/>
                <w:szCs w:val="16"/>
                <w:lang w:val="en-AU"/>
              </w:rPr>
              <w:t>Funds and</w:t>
            </w:r>
            <w:r w:rsidR="003030CA" w:rsidRPr="60320B88">
              <w:rPr>
                <w:rFonts w:ascii="Calibri" w:eastAsia="Calibri" w:hAnsi="Calibri" w:cs="Calibri"/>
                <w:color w:val="000000" w:themeColor="text1"/>
                <w:sz w:val="16"/>
                <w:szCs w:val="16"/>
                <w:lang w:val="en-AU"/>
              </w:rPr>
              <w:t xml:space="preserve"> acknowledge</w:t>
            </w:r>
            <w:r w:rsidR="00492F2D" w:rsidRPr="60320B88">
              <w:rPr>
                <w:rFonts w:ascii="Calibri" w:eastAsia="Calibri" w:hAnsi="Calibri" w:cs="Calibri"/>
                <w:color w:val="000000" w:themeColor="text1"/>
                <w:sz w:val="16"/>
                <w:szCs w:val="16"/>
                <w:lang w:val="en-AU"/>
              </w:rPr>
              <w:t>s</w:t>
            </w:r>
            <w:r w:rsidR="003030CA" w:rsidRPr="60320B88">
              <w:rPr>
                <w:rFonts w:ascii="Calibri" w:eastAsia="Calibri" w:hAnsi="Calibri" w:cs="Calibri"/>
                <w:color w:val="000000" w:themeColor="text1"/>
                <w:sz w:val="16"/>
                <w:szCs w:val="16"/>
                <w:lang w:val="en-AU"/>
              </w:rPr>
              <w:t xml:space="preserve"> alignment </w:t>
            </w:r>
            <w:r w:rsidR="003030CA" w:rsidRPr="60320B88">
              <w:rPr>
                <w:rFonts w:ascii="Calibri" w:eastAsia="Calibri" w:hAnsi="Calibri" w:cs="Calibri"/>
                <w:color w:val="000000" w:themeColor="text1"/>
                <w:sz w:val="16"/>
                <w:szCs w:val="16"/>
                <w:lang w:val="en-AU"/>
              </w:rPr>
              <w:lastRenderedPageBreak/>
              <w:t xml:space="preserve">with Australia’s International Strategy for Gender Equity, which includes a commitment to increase funding for women’s rights organisations. </w:t>
            </w:r>
          </w:p>
          <w:p w14:paraId="0C40D27B" w14:textId="77777777" w:rsidR="003030CA" w:rsidRDefault="003030CA" w:rsidP="00962320">
            <w:pPr>
              <w:rPr>
                <w:rFonts w:ascii="Calibri" w:eastAsia="Calibri" w:hAnsi="Calibri" w:cs="Calibri"/>
                <w:color w:val="000000" w:themeColor="text1"/>
                <w:sz w:val="16"/>
                <w:szCs w:val="16"/>
                <w:highlight w:val="yellow"/>
              </w:rPr>
            </w:pPr>
          </w:p>
          <w:p w14:paraId="4DA4391E" w14:textId="4EB211EB" w:rsidR="00B90398" w:rsidRPr="00966C02" w:rsidRDefault="1B30D712" w:rsidP="00962320">
            <w:pPr>
              <w:rPr>
                <w:rFonts w:ascii="Calibri" w:eastAsia="Calibri" w:hAnsi="Calibri" w:cs="Calibri"/>
                <w:color w:val="000000" w:themeColor="text1"/>
                <w:sz w:val="16"/>
                <w:szCs w:val="16"/>
                <w:lang w:val="en-AU"/>
              </w:rPr>
            </w:pPr>
            <w:r w:rsidRPr="60320B88">
              <w:rPr>
                <w:rFonts w:ascii="Calibri" w:eastAsia="Calibri" w:hAnsi="Calibri" w:cs="Calibri"/>
                <w:color w:val="000000" w:themeColor="text1"/>
                <w:sz w:val="16"/>
                <w:szCs w:val="16"/>
                <w:lang w:val="en-AU"/>
              </w:rPr>
              <w:t xml:space="preserve">7b) DFAT </w:t>
            </w:r>
            <w:r w:rsidR="00B7176D" w:rsidRPr="60320B88">
              <w:rPr>
                <w:rFonts w:ascii="Calibri" w:eastAsia="Calibri" w:hAnsi="Calibri" w:cs="Calibri"/>
                <w:color w:val="000000" w:themeColor="text1"/>
                <w:sz w:val="16"/>
                <w:szCs w:val="16"/>
                <w:lang w:val="en-AU"/>
              </w:rPr>
              <w:t xml:space="preserve">notes this recommendation and </w:t>
            </w:r>
            <w:r w:rsidRPr="60320B88">
              <w:rPr>
                <w:rFonts w:ascii="Calibri" w:eastAsia="Calibri" w:hAnsi="Calibri" w:cs="Calibri"/>
                <w:color w:val="000000" w:themeColor="text1"/>
                <w:sz w:val="16"/>
                <w:szCs w:val="16"/>
                <w:lang w:val="en-AU"/>
              </w:rPr>
              <w:t xml:space="preserve">will work with SPC to </w:t>
            </w:r>
            <w:r w:rsidR="004D679B" w:rsidRPr="60320B88">
              <w:rPr>
                <w:rFonts w:ascii="Calibri" w:eastAsia="Calibri" w:hAnsi="Calibri" w:cs="Calibri"/>
                <w:color w:val="000000" w:themeColor="text1"/>
                <w:sz w:val="16"/>
                <w:szCs w:val="16"/>
                <w:lang w:val="en-AU"/>
              </w:rPr>
              <w:t>consider how best to use SPC resources</w:t>
            </w:r>
            <w:r w:rsidR="00930579" w:rsidRPr="60320B88">
              <w:rPr>
                <w:rFonts w:ascii="Calibri" w:eastAsia="Calibri" w:hAnsi="Calibri" w:cs="Calibri"/>
                <w:color w:val="000000" w:themeColor="text1"/>
                <w:sz w:val="16"/>
                <w:szCs w:val="16"/>
                <w:lang w:val="en-AU"/>
              </w:rPr>
              <w:t xml:space="preserve"> and systems</w:t>
            </w:r>
            <w:r w:rsidR="004D679B" w:rsidRPr="60320B88">
              <w:rPr>
                <w:rFonts w:ascii="Calibri" w:eastAsia="Calibri" w:hAnsi="Calibri" w:cs="Calibri"/>
                <w:color w:val="000000" w:themeColor="text1"/>
                <w:sz w:val="16"/>
                <w:szCs w:val="16"/>
                <w:lang w:val="en-AU"/>
              </w:rPr>
              <w:t xml:space="preserve"> to </w:t>
            </w:r>
            <w:r w:rsidR="00DF4E00" w:rsidRPr="60320B88">
              <w:rPr>
                <w:rFonts w:ascii="Calibri" w:eastAsia="Calibri" w:hAnsi="Calibri" w:cs="Calibri"/>
                <w:color w:val="000000" w:themeColor="text1"/>
                <w:sz w:val="16"/>
                <w:szCs w:val="16"/>
                <w:lang w:val="en-AU"/>
              </w:rPr>
              <w:t>support strategic gra</w:t>
            </w:r>
            <w:r w:rsidR="006A3C5C" w:rsidRPr="60320B88">
              <w:rPr>
                <w:rFonts w:ascii="Calibri" w:eastAsia="Calibri" w:hAnsi="Calibri" w:cs="Calibri"/>
                <w:color w:val="000000" w:themeColor="text1"/>
                <w:sz w:val="16"/>
                <w:szCs w:val="16"/>
                <w:lang w:val="en-AU"/>
              </w:rPr>
              <w:t>n</w:t>
            </w:r>
            <w:r w:rsidR="00DF4E00" w:rsidRPr="60320B88">
              <w:rPr>
                <w:rFonts w:ascii="Calibri" w:eastAsia="Calibri" w:hAnsi="Calibri" w:cs="Calibri"/>
                <w:color w:val="000000" w:themeColor="text1"/>
                <w:sz w:val="16"/>
                <w:szCs w:val="16"/>
                <w:lang w:val="en-AU"/>
              </w:rPr>
              <w:t xml:space="preserve">ts that are aligned with </w:t>
            </w:r>
            <w:r w:rsidR="2FA5C4E4" w:rsidRPr="60320B88">
              <w:rPr>
                <w:rFonts w:ascii="Calibri" w:eastAsia="Calibri" w:hAnsi="Calibri" w:cs="Calibri"/>
                <w:color w:val="000000" w:themeColor="text1"/>
                <w:sz w:val="16"/>
                <w:szCs w:val="16"/>
                <w:lang w:val="en-AU"/>
              </w:rPr>
              <w:t xml:space="preserve">PWL </w:t>
            </w:r>
            <w:r w:rsidR="672A374E" w:rsidRPr="60320B88">
              <w:rPr>
                <w:rFonts w:ascii="Calibri" w:eastAsia="Calibri" w:hAnsi="Calibri" w:cs="Calibri"/>
                <w:color w:val="000000" w:themeColor="text1"/>
                <w:sz w:val="16"/>
                <w:szCs w:val="16"/>
                <w:lang w:val="en-AU"/>
              </w:rPr>
              <w:t>outcomes</w:t>
            </w:r>
            <w:r w:rsidR="407B099A" w:rsidRPr="60320B88">
              <w:rPr>
                <w:rFonts w:ascii="Calibri" w:eastAsia="Calibri" w:hAnsi="Calibri" w:cs="Calibri"/>
                <w:color w:val="000000" w:themeColor="text1"/>
                <w:sz w:val="16"/>
                <w:szCs w:val="16"/>
                <w:lang w:val="en-AU"/>
              </w:rPr>
              <w:t xml:space="preserve"> and Pacific priorities</w:t>
            </w:r>
            <w:r w:rsidR="2314DBA7" w:rsidRPr="60320B88">
              <w:rPr>
                <w:rFonts w:ascii="Calibri" w:eastAsia="Calibri" w:hAnsi="Calibri" w:cs="Calibri"/>
                <w:color w:val="000000" w:themeColor="text1"/>
                <w:sz w:val="16"/>
                <w:szCs w:val="16"/>
                <w:lang w:val="en-AU"/>
              </w:rPr>
              <w:t>,</w:t>
            </w:r>
            <w:r w:rsidR="00805FA1" w:rsidRPr="60320B88">
              <w:rPr>
                <w:rFonts w:ascii="Calibri" w:eastAsia="Calibri" w:hAnsi="Calibri" w:cs="Calibri"/>
                <w:color w:val="000000" w:themeColor="text1"/>
                <w:sz w:val="16"/>
                <w:szCs w:val="16"/>
                <w:lang w:val="en-AU"/>
              </w:rPr>
              <w:t xml:space="preserve"> and leverage SPC’s unique and valuable </w:t>
            </w:r>
            <w:r w:rsidR="00254E2C" w:rsidRPr="60320B88">
              <w:rPr>
                <w:rFonts w:ascii="Calibri" w:eastAsia="Calibri" w:hAnsi="Calibri" w:cs="Calibri"/>
                <w:color w:val="000000" w:themeColor="text1"/>
                <w:sz w:val="16"/>
                <w:szCs w:val="16"/>
                <w:lang w:val="en-AU"/>
              </w:rPr>
              <w:t>mandate</w:t>
            </w:r>
            <w:r w:rsidR="00805FA1" w:rsidRPr="60320B88">
              <w:rPr>
                <w:rFonts w:ascii="Calibri" w:eastAsia="Calibri" w:hAnsi="Calibri" w:cs="Calibri"/>
                <w:color w:val="000000" w:themeColor="text1"/>
                <w:sz w:val="16"/>
                <w:szCs w:val="16"/>
                <w:lang w:val="en-AU"/>
              </w:rPr>
              <w:t xml:space="preserve"> in the region. </w:t>
            </w:r>
            <w:r w:rsidR="2314DBA7" w:rsidRPr="60320B88">
              <w:rPr>
                <w:rFonts w:ascii="Calibri" w:eastAsia="Calibri" w:hAnsi="Calibri" w:cs="Calibri"/>
                <w:color w:val="000000" w:themeColor="text1"/>
                <w:sz w:val="16"/>
                <w:szCs w:val="16"/>
                <w:lang w:val="en-AU"/>
              </w:rPr>
              <w:t xml:space="preserve"> </w:t>
            </w:r>
          </w:p>
          <w:p w14:paraId="39A2E40B" w14:textId="73D5016A" w:rsidR="00B90398" w:rsidRDefault="00B90398" w:rsidP="60320B88">
            <w:pPr>
              <w:rPr>
                <w:rFonts w:ascii="Calibri" w:eastAsia="Calibri" w:hAnsi="Calibri" w:cs="Calibri"/>
                <w:color w:val="000000" w:themeColor="text1"/>
                <w:sz w:val="16"/>
                <w:szCs w:val="16"/>
              </w:rPr>
            </w:pPr>
            <w:r w:rsidRPr="60320B88">
              <w:rPr>
                <w:rFonts w:ascii="Calibri" w:eastAsia="Calibri" w:hAnsi="Calibri" w:cs="Calibri"/>
                <w:color w:val="000000" w:themeColor="text1"/>
                <w:sz w:val="16"/>
                <w:szCs w:val="16"/>
              </w:rPr>
              <w:t xml:space="preserve"> </w:t>
            </w:r>
          </w:p>
          <w:p w14:paraId="63B47920" w14:textId="4CDC2C7F" w:rsidR="00962320" w:rsidRPr="00DD625B" w:rsidRDefault="5C6FCCCC" w:rsidP="1EA62B78">
            <w:pPr>
              <w:rPr>
                <w:rFonts w:ascii="Calibri" w:eastAsia="Calibri" w:hAnsi="Calibri" w:cs="Calibri"/>
                <w:color w:val="000000" w:themeColor="text1"/>
                <w:sz w:val="16"/>
                <w:szCs w:val="16"/>
              </w:rPr>
            </w:pPr>
            <w:r w:rsidRPr="60320B88">
              <w:rPr>
                <w:rFonts w:ascii="Calibri" w:eastAsia="Calibri" w:hAnsi="Calibri" w:cs="Calibri"/>
                <w:color w:val="000000" w:themeColor="text1"/>
                <w:sz w:val="16"/>
                <w:szCs w:val="16"/>
              </w:rPr>
              <w:t xml:space="preserve">7c) Through the upcoming </w:t>
            </w:r>
            <w:r w:rsidR="5C7B0FD6" w:rsidRPr="60320B88">
              <w:rPr>
                <w:rFonts w:ascii="Calibri" w:eastAsia="Calibri" w:hAnsi="Calibri" w:cs="Calibri"/>
                <w:color w:val="000000" w:themeColor="text1"/>
                <w:sz w:val="16"/>
                <w:szCs w:val="16"/>
              </w:rPr>
              <w:t>PWLES</w:t>
            </w:r>
            <w:r w:rsidRPr="60320B88">
              <w:rPr>
                <w:rFonts w:ascii="Calibri" w:eastAsia="Calibri" w:hAnsi="Calibri" w:cs="Calibri"/>
                <w:color w:val="000000" w:themeColor="text1"/>
                <w:sz w:val="16"/>
                <w:szCs w:val="16"/>
              </w:rPr>
              <w:t xml:space="preserve"> tendering process, DFAT will ensure adequate resources </w:t>
            </w:r>
            <w:r w:rsidR="72DEF40E" w:rsidRPr="60320B88">
              <w:rPr>
                <w:rFonts w:ascii="Calibri" w:eastAsia="Calibri" w:hAnsi="Calibri" w:cs="Calibri"/>
                <w:color w:val="000000" w:themeColor="text1"/>
                <w:sz w:val="16"/>
                <w:szCs w:val="16"/>
              </w:rPr>
              <w:t xml:space="preserve">to enable </w:t>
            </w:r>
            <w:r w:rsidRPr="60320B88">
              <w:rPr>
                <w:rFonts w:ascii="Calibri" w:eastAsia="Calibri" w:hAnsi="Calibri" w:cs="Calibri"/>
                <w:color w:val="000000" w:themeColor="text1"/>
                <w:sz w:val="16"/>
                <w:szCs w:val="16"/>
              </w:rPr>
              <w:t xml:space="preserve">an expanded role in MEL, advisory support, communications and program management.  See management response to recommendation </w:t>
            </w:r>
            <w:r w:rsidR="6B679217" w:rsidRPr="60320B88">
              <w:rPr>
                <w:rFonts w:ascii="Calibri" w:eastAsia="Calibri" w:hAnsi="Calibri" w:cs="Calibri"/>
                <w:color w:val="000000" w:themeColor="text1"/>
                <w:sz w:val="16"/>
                <w:szCs w:val="16"/>
              </w:rPr>
              <w:t>1</w:t>
            </w:r>
            <w:r w:rsidRPr="60320B88">
              <w:rPr>
                <w:rFonts w:ascii="Calibri" w:eastAsia="Calibri" w:hAnsi="Calibri" w:cs="Calibri"/>
                <w:color w:val="000000" w:themeColor="text1"/>
                <w:sz w:val="16"/>
                <w:szCs w:val="16"/>
              </w:rPr>
              <w:t>b</w:t>
            </w:r>
            <w:r w:rsidR="07F10700" w:rsidRPr="60320B88">
              <w:rPr>
                <w:rFonts w:ascii="Calibri" w:eastAsia="Calibri" w:hAnsi="Calibri" w:cs="Calibri"/>
                <w:color w:val="000000" w:themeColor="text1"/>
                <w:sz w:val="16"/>
                <w:szCs w:val="16"/>
              </w:rPr>
              <w:t>)</w:t>
            </w:r>
            <w:r w:rsidRPr="60320B88">
              <w:rPr>
                <w:rFonts w:ascii="Calibri" w:eastAsia="Calibri" w:hAnsi="Calibri" w:cs="Calibri"/>
                <w:color w:val="000000" w:themeColor="text1"/>
                <w:sz w:val="16"/>
                <w:szCs w:val="16"/>
              </w:rPr>
              <w:t xml:space="preserve"> for how DFAT will strengthen and support collaboration between SPC, PWLES and UN agencies.  </w:t>
            </w:r>
          </w:p>
        </w:tc>
        <w:tc>
          <w:tcPr>
            <w:tcW w:w="2976" w:type="dxa"/>
            <w:shd w:val="clear" w:color="auto" w:fill="E8E8E8" w:themeFill="background2"/>
          </w:tcPr>
          <w:p w14:paraId="155A0823" w14:textId="77D169E0" w:rsidR="009675A6" w:rsidRDefault="009675A6" w:rsidP="009675A6">
            <w:pPr>
              <w:pStyle w:val="NoSpacing"/>
              <w:rPr>
                <w:rFonts w:ascii="Calibri" w:eastAsia="Calibri" w:hAnsi="Calibri" w:cs="Calibri"/>
                <w:sz w:val="16"/>
                <w:szCs w:val="16"/>
              </w:rPr>
            </w:pPr>
            <w:r>
              <w:rPr>
                <w:rFonts w:ascii="Calibri" w:eastAsia="Calibri" w:hAnsi="Calibri" w:cs="Calibri"/>
                <w:sz w:val="16"/>
                <w:szCs w:val="16"/>
              </w:rPr>
              <w:lastRenderedPageBreak/>
              <w:t xml:space="preserve">7a) and b) </w:t>
            </w:r>
            <w:r w:rsidRPr="60676934">
              <w:rPr>
                <w:rFonts w:ascii="Calibri" w:eastAsia="Calibri" w:hAnsi="Calibri" w:cs="Calibri"/>
                <w:sz w:val="16"/>
                <w:szCs w:val="16"/>
              </w:rPr>
              <w:t xml:space="preserve">SPC will prioritize government grant partnerships, alongside select CSO engagements, and will work closely with other portfolio partners to continue </w:t>
            </w:r>
            <w:r w:rsidRPr="60676934">
              <w:rPr>
                <w:rFonts w:ascii="Calibri" w:eastAsia="Calibri" w:hAnsi="Calibri" w:cs="Calibri"/>
                <w:sz w:val="16"/>
                <w:szCs w:val="16"/>
              </w:rPr>
              <w:lastRenderedPageBreak/>
              <w:t>cohesion and connections between government and CSOs.</w:t>
            </w:r>
          </w:p>
          <w:p w14:paraId="74CED0AD" w14:textId="39F6D938" w:rsidR="00962320" w:rsidRPr="009F496D" w:rsidRDefault="009675A6" w:rsidP="009675A6">
            <w:pPr>
              <w:pStyle w:val="NoSpacing"/>
              <w:rPr>
                <w:rFonts w:ascii="Calibri" w:eastAsia="Calibri" w:hAnsi="Calibri" w:cs="Calibri"/>
                <w:color w:val="000000" w:themeColor="text1"/>
                <w:sz w:val="16"/>
                <w:szCs w:val="16"/>
                <w:lang w:val="en-AU"/>
              </w:rPr>
            </w:pPr>
            <w:r w:rsidRPr="60676934">
              <w:rPr>
                <w:rFonts w:ascii="Calibri" w:eastAsia="Calibri" w:hAnsi="Calibri" w:cs="Calibri"/>
                <w:sz w:val="16"/>
                <w:szCs w:val="16"/>
              </w:rPr>
              <w:t>As convenors of the ARAW, PWLES and SPC will ensure UN agencies are integrated into the 2025 program to strengthen collaboration and transparency of regional UN programs under PWL</w:t>
            </w:r>
          </w:p>
        </w:tc>
        <w:tc>
          <w:tcPr>
            <w:tcW w:w="1560" w:type="dxa"/>
            <w:shd w:val="clear" w:color="auto" w:fill="E8E8E8" w:themeFill="background2"/>
          </w:tcPr>
          <w:p w14:paraId="1F0E5060" w14:textId="77777777" w:rsidR="002A6178" w:rsidRDefault="00416DEB" w:rsidP="00962320">
            <w:pPr>
              <w:pStyle w:val="NoSpacing"/>
              <w:rPr>
                <w:rFonts w:ascii="Calibri" w:eastAsia="Calibri" w:hAnsi="Calibri" w:cs="Calibri"/>
                <w:sz w:val="16"/>
                <w:szCs w:val="16"/>
              </w:rPr>
            </w:pPr>
            <w:r>
              <w:rPr>
                <w:rFonts w:ascii="Calibri" w:eastAsia="Calibri" w:hAnsi="Calibri" w:cs="Calibri"/>
                <w:sz w:val="16"/>
                <w:szCs w:val="16"/>
              </w:rPr>
              <w:lastRenderedPageBreak/>
              <w:t xml:space="preserve">PWLES agrees with </w:t>
            </w:r>
            <w:r w:rsidR="002A6178">
              <w:rPr>
                <w:rFonts w:ascii="Calibri" w:eastAsia="Calibri" w:hAnsi="Calibri" w:cs="Calibri"/>
                <w:sz w:val="16"/>
                <w:szCs w:val="16"/>
              </w:rPr>
              <w:t xml:space="preserve">7a and 7b. </w:t>
            </w:r>
          </w:p>
          <w:p w14:paraId="1ECC81FD" w14:textId="77777777" w:rsidR="002A6178" w:rsidRDefault="002A6178" w:rsidP="00962320">
            <w:pPr>
              <w:pStyle w:val="NoSpacing"/>
              <w:rPr>
                <w:rFonts w:ascii="Calibri" w:eastAsia="Calibri" w:hAnsi="Calibri" w:cs="Calibri"/>
                <w:sz w:val="16"/>
                <w:szCs w:val="16"/>
              </w:rPr>
            </w:pPr>
          </w:p>
          <w:p w14:paraId="61685B57" w14:textId="032E35A4" w:rsidR="00962320" w:rsidRPr="009F496D" w:rsidRDefault="009675A6" w:rsidP="00962320">
            <w:pPr>
              <w:pStyle w:val="NoSpacing"/>
              <w:rPr>
                <w:rFonts w:ascii="Calibri" w:eastAsia="Calibri" w:hAnsi="Calibri" w:cs="Calibri"/>
                <w:sz w:val="16"/>
                <w:szCs w:val="16"/>
              </w:rPr>
            </w:pPr>
            <w:r w:rsidRPr="2937DD3B">
              <w:rPr>
                <w:rFonts w:ascii="Calibri" w:eastAsia="Calibri" w:hAnsi="Calibri" w:cs="Calibri"/>
                <w:sz w:val="16"/>
                <w:szCs w:val="16"/>
              </w:rPr>
              <w:t xml:space="preserve">7c) The </w:t>
            </w:r>
            <w:r w:rsidR="148E8161" w:rsidRPr="2937DD3B">
              <w:rPr>
                <w:rFonts w:ascii="Calibri" w:eastAsia="Calibri" w:hAnsi="Calibri" w:cs="Calibri"/>
                <w:sz w:val="16"/>
                <w:szCs w:val="16"/>
              </w:rPr>
              <w:t>upcoming</w:t>
            </w:r>
            <w:r w:rsidRPr="2937DD3B">
              <w:rPr>
                <w:rFonts w:ascii="Calibri" w:eastAsia="Calibri" w:hAnsi="Calibri" w:cs="Calibri"/>
                <w:sz w:val="16"/>
                <w:szCs w:val="16"/>
              </w:rPr>
              <w:t xml:space="preserve"> tender process will </w:t>
            </w:r>
            <w:r w:rsidRPr="2937DD3B">
              <w:rPr>
                <w:rFonts w:ascii="Calibri" w:eastAsia="Calibri" w:hAnsi="Calibri" w:cs="Calibri"/>
                <w:sz w:val="16"/>
                <w:szCs w:val="16"/>
              </w:rPr>
              <w:lastRenderedPageBreak/>
              <w:t>provide the opportunity for PWLES to propose an expanded PWLES role, including MEL, advisory support, communications and program management. Through recommendation 2b PWLES will address strengthened collaboration with SPC and UN agencies.</w:t>
            </w:r>
          </w:p>
        </w:tc>
        <w:tc>
          <w:tcPr>
            <w:tcW w:w="992" w:type="dxa"/>
          </w:tcPr>
          <w:p w14:paraId="1D97BB49" w14:textId="0BADD196" w:rsidR="00962320" w:rsidRPr="009F496D" w:rsidRDefault="00962320" w:rsidP="00962320">
            <w:pPr>
              <w:pStyle w:val="NoSpacing"/>
              <w:rPr>
                <w:rFonts w:ascii="Calibri" w:eastAsia="Calibri" w:hAnsi="Calibri" w:cs="Calibri"/>
                <w:sz w:val="16"/>
                <w:szCs w:val="16"/>
              </w:rPr>
            </w:pPr>
            <w:r>
              <w:rPr>
                <w:rFonts w:ascii="Calibri" w:eastAsia="Calibri" w:hAnsi="Calibri" w:cs="Calibri"/>
                <w:sz w:val="16"/>
                <w:szCs w:val="16"/>
              </w:rPr>
              <w:lastRenderedPageBreak/>
              <w:t>Q2 2026 and beyond</w:t>
            </w:r>
          </w:p>
        </w:tc>
      </w:tr>
      <w:tr w:rsidR="00962320" w:rsidRPr="009F496D" w14:paraId="238653D0" w14:textId="77777777" w:rsidTr="00A06565">
        <w:trPr>
          <w:trHeight w:val="300"/>
        </w:trPr>
        <w:tc>
          <w:tcPr>
            <w:tcW w:w="2689" w:type="dxa"/>
          </w:tcPr>
          <w:p w14:paraId="3D28DB6B" w14:textId="77777777" w:rsidR="00962320" w:rsidRPr="009F496D" w:rsidRDefault="00962320" w:rsidP="00962320">
            <w:pPr>
              <w:spacing w:before="100" w:beforeAutospacing="1" w:after="100" w:afterAutospacing="1"/>
              <w:rPr>
                <w:rFonts w:ascii="Calibri" w:eastAsia="Calibri" w:hAnsi="Calibri" w:cs="Calibri"/>
                <w:b/>
                <w:bCs/>
                <w:sz w:val="16"/>
                <w:szCs w:val="16"/>
              </w:rPr>
            </w:pPr>
            <w:r w:rsidRPr="009F496D">
              <w:rPr>
                <w:rFonts w:ascii="Calibri" w:eastAsia="Calibri" w:hAnsi="Calibri" w:cs="Calibri"/>
                <w:b/>
                <w:bCs/>
                <w:sz w:val="16"/>
                <w:szCs w:val="16"/>
              </w:rPr>
              <w:t>8. Strengthen national- and sub-regional level engagement to drive transformational change:</w:t>
            </w:r>
          </w:p>
          <w:p w14:paraId="637670BC" w14:textId="484C4637" w:rsidR="00962320" w:rsidRPr="005666F0" w:rsidRDefault="00962320" w:rsidP="6AD5217B">
            <w:pPr>
              <w:pStyle w:val="ListParagraph"/>
              <w:numPr>
                <w:ilvl w:val="0"/>
                <w:numId w:val="22"/>
              </w:numPr>
              <w:spacing w:beforeAutospacing="1" w:afterAutospacing="1"/>
              <w:rPr>
                <w:rFonts w:ascii="Calibri" w:eastAsia="Calibri" w:hAnsi="Calibri" w:cs="Calibri"/>
                <w:sz w:val="16"/>
                <w:szCs w:val="16"/>
              </w:rPr>
            </w:pPr>
            <w:r w:rsidRPr="6AD5217B">
              <w:rPr>
                <w:rFonts w:ascii="Calibri" w:eastAsia="Calibri" w:hAnsi="Calibri" w:cs="Calibri"/>
                <w:sz w:val="16"/>
                <w:szCs w:val="16"/>
              </w:rPr>
              <w:t xml:space="preserve">Support national- and sub-regional level coordination </w:t>
            </w:r>
            <w:r w:rsidRPr="6AD5217B">
              <w:rPr>
                <w:rFonts w:ascii="Calibri" w:eastAsia="Calibri" w:hAnsi="Calibri" w:cs="Calibri"/>
                <w:sz w:val="16"/>
                <w:szCs w:val="16"/>
              </w:rPr>
              <w:lastRenderedPageBreak/>
              <w:t>mechanisms for gender equality by:</w:t>
            </w:r>
          </w:p>
          <w:p w14:paraId="13ACD7CE" w14:textId="15657AED" w:rsidR="00962320" w:rsidRDefault="005666F0" w:rsidP="00962320">
            <w:pPr>
              <w:pStyle w:val="ListParagraph"/>
              <w:numPr>
                <w:ilvl w:val="0"/>
                <w:numId w:val="23"/>
              </w:numPr>
              <w:spacing w:beforeAutospacing="1" w:afterAutospacing="1"/>
              <w:rPr>
                <w:rFonts w:ascii="Calibri" w:eastAsia="Calibri" w:hAnsi="Calibri" w:cs="Calibri"/>
                <w:sz w:val="16"/>
                <w:szCs w:val="16"/>
              </w:rPr>
            </w:pPr>
            <w:r>
              <w:rPr>
                <w:rFonts w:ascii="Calibri" w:eastAsia="Calibri" w:hAnsi="Calibri" w:cs="Calibri"/>
                <w:sz w:val="16"/>
                <w:szCs w:val="16"/>
              </w:rPr>
              <w:t>i</w:t>
            </w:r>
            <w:r w:rsidR="00962320" w:rsidRPr="00231F72">
              <w:rPr>
                <w:rFonts w:ascii="Calibri" w:eastAsia="Calibri" w:hAnsi="Calibri" w:cs="Calibri"/>
                <w:sz w:val="16"/>
                <w:szCs w:val="16"/>
              </w:rPr>
              <w:t>dentifying and reinforcing existing convenings rather than creating new ones</w:t>
            </w:r>
          </w:p>
          <w:p w14:paraId="2AFDD232" w14:textId="728B8464" w:rsidR="00962320" w:rsidRPr="00231F72" w:rsidRDefault="005666F0" w:rsidP="6AD5217B">
            <w:pPr>
              <w:pStyle w:val="ListParagraph"/>
              <w:numPr>
                <w:ilvl w:val="0"/>
                <w:numId w:val="23"/>
              </w:numPr>
              <w:spacing w:beforeAutospacing="1" w:afterAutospacing="1"/>
              <w:rPr>
                <w:rFonts w:ascii="Calibri" w:eastAsia="Calibri" w:hAnsi="Calibri" w:cs="Calibri"/>
                <w:sz w:val="16"/>
                <w:szCs w:val="16"/>
              </w:rPr>
            </w:pPr>
            <w:r w:rsidRPr="6AD5217B">
              <w:rPr>
                <w:rFonts w:ascii="Calibri" w:eastAsia="Calibri" w:hAnsi="Calibri" w:cs="Calibri"/>
                <w:sz w:val="16"/>
                <w:szCs w:val="16"/>
              </w:rPr>
              <w:t>e</w:t>
            </w:r>
            <w:r w:rsidR="00962320" w:rsidRPr="6AD5217B">
              <w:rPr>
                <w:rFonts w:ascii="Calibri" w:eastAsia="Calibri" w:hAnsi="Calibri" w:cs="Calibri"/>
                <w:sz w:val="16"/>
                <w:szCs w:val="16"/>
              </w:rPr>
              <w:t>nhancing collaboration between SPC, UN agencies, PIFS and government bodies.</w:t>
            </w:r>
          </w:p>
          <w:p w14:paraId="70974BC9" w14:textId="77777777" w:rsidR="00962320" w:rsidRPr="005666F0" w:rsidRDefault="00962320" w:rsidP="00962320">
            <w:pPr>
              <w:pStyle w:val="ListParagraph"/>
              <w:numPr>
                <w:ilvl w:val="0"/>
                <w:numId w:val="22"/>
              </w:numPr>
              <w:spacing w:beforeAutospacing="1" w:afterAutospacing="1"/>
              <w:rPr>
                <w:rFonts w:ascii="Calibri" w:eastAsia="Calibri" w:hAnsi="Calibri" w:cs="Calibri"/>
                <w:sz w:val="16"/>
                <w:szCs w:val="16"/>
              </w:rPr>
            </w:pPr>
            <w:r w:rsidRPr="005666F0">
              <w:rPr>
                <w:rFonts w:ascii="Calibri" w:eastAsia="Calibri" w:hAnsi="Calibri" w:cs="Calibri"/>
                <w:sz w:val="16"/>
                <w:szCs w:val="16"/>
              </w:rPr>
              <w:t>Introduce national-level PWL outcomes reporting to:</w:t>
            </w:r>
          </w:p>
          <w:p w14:paraId="1E0C7F66" w14:textId="27F29B12" w:rsidR="00962320" w:rsidRDefault="003316B4" w:rsidP="00962320">
            <w:pPr>
              <w:pStyle w:val="ListParagraph"/>
              <w:numPr>
                <w:ilvl w:val="0"/>
                <w:numId w:val="24"/>
              </w:numPr>
              <w:spacing w:beforeAutospacing="1" w:afterAutospacing="1"/>
              <w:rPr>
                <w:rFonts w:ascii="Calibri" w:eastAsia="Calibri" w:hAnsi="Calibri" w:cs="Calibri"/>
                <w:sz w:val="16"/>
                <w:szCs w:val="16"/>
              </w:rPr>
            </w:pPr>
            <w:r>
              <w:rPr>
                <w:rFonts w:ascii="Calibri" w:eastAsia="Calibri" w:hAnsi="Calibri" w:cs="Calibri"/>
                <w:sz w:val="16"/>
                <w:szCs w:val="16"/>
              </w:rPr>
              <w:t>i</w:t>
            </w:r>
            <w:r w:rsidR="00962320" w:rsidRPr="00231F72">
              <w:rPr>
                <w:rFonts w:ascii="Calibri" w:eastAsia="Calibri" w:hAnsi="Calibri" w:cs="Calibri"/>
                <w:sz w:val="16"/>
                <w:szCs w:val="16"/>
              </w:rPr>
              <w:t>mprove visibility of country-level progress into regional reporting</w:t>
            </w:r>
          </w:p>
          <w:p w14:paraId="7A484102" w14:textId="2E6279AD" w:rsidR="00962320" w:rsidRPr="00D3222B" w:rsidRDefault="003316B4" w:rsidP="00962320">
            <w:pPr>
              <w:pStyle w:val="ListParagraph"/>
              <w:numPr>
                <w:ilvl w:val="0"/>
                <w:numId w:val="24"/>
              </w:numPr>
              <w:spacing w:beforeAutospacing="1" w:afterAutospacing="1"/>
              <w:rPr>
                <w:rFonts w:ascii="Calibri" w:eastAsia="Calibri" w:hAnsi="Calibri" w:cs="Calibri"/>
                <w:sz w:val="16"/>
                <w:szCs w:val="16"/>
              </w:rPr>
            </w:pPr>
            <w:r>
              <w:rPr>
                <w:rFonts w:ascii="Calibri" w:eastAsia="Calibri" w:hAnsi="Calibri" w:cs="Calibri"/>
                <w:sz w:val="16"/>
                <w:szCs w:val="16"/>
              </w:rPr>
              <w:t>s</w:t>
            </w:r>
            <w:r w:rsidR="00962320" w:rsidRPr="00231F72">
              <w:rPr>
                <w:rFonts w:ascii="Calibri" w:eastAsia="Calibri" w:hAnsi="Calibri" w:cs="Calibri"/>
                <w:sz w:val="16"/>
                <w:szCs w:val="16"/>
              </w:rPr>
              <w:t>trengthen national-level coordination and collaboration between gender partners at the national-level</w:t>
            </w:r>
            <w:r w:rsidR="00D3222B">
              <w:rPr>
                <w:rFonts w:ascii="Calibri" w:eastAsia="Calibri" w:hAnsi="Calibri" w:cs="Calibri"/>
                <w:sz w:val="16"/>
                <w:szCs w:val="16"/>
              </w:rPr>
              <w:t>.</w:t>
            </w:r>
          </w:p>
        </w:tc>
        <w:tc>
          <w:tcPr>
            <w:tcW w:w="992" w:type="dxa"/>
          </w:tcPr>
          <w:p w14:paraId="40F2E356" w14:textId="0CFACED4" w:rsidR="00962320" w:rsidRPr="009F496D" w:rsidRDefault="00160B42" w:rsidP="00962320">
            <w:pPr>
              <w:rPr>
                <w:rFonts w:ascii="Calibri" w:eastAsia="Calibri" w:hAnsi="Calibri" w:cs="Calibri"/>
                <w:b/>
                <w:bCs/>
                <w:sz w:val="16"/>
                <w:szCs w:val="16"/>
              </w:rPr>
            </w:pPr>
            <w:r w:rsidRPr="6AD5217B">
              <w:rPr>
                <w:rFonts w:ascii="Calibri" w:eastAsia="Calibri" w:hAnsi="Calibri" w:cs="Calibri"/>
                <w:b/>
                <w:bCs/>
                <w:sz w:val="16"/>
                <w:szCs w:val="16"/>
              </w:rPr>
              <w:lastRenderedPageBreak/>
              <w:t xml:space="preserve">Partially agree </w:t>
            </w:r>
          </w:p>
        </w:tc>
        <w:tc>
          <w:tcPr>
            <w:tcW w:w="2126" w:type="dxa"/>
            <w:shd w:val="clear" w:color="auto" w:fill="E8E8E8" w:themeFill="background2"/>
          </w:tcPr>
          <w:p w14:paraId="552EBCC2" w14:textId="6C87C102" w:rsidR="00962320" w:rsidRDefault="002A6178" w:rsidP="00962320">
            <w:pPr>
              <w:rPr>
                <w:rFonts w:ascii="Calibri" w:eastAsia="Calibri" w:hAnsi="Calibri" w:cs="Calibri"/>
                <w:color w:val="000000" w:themeColor="text1"/>
                <w:sz w:val="16"/>
                <w:szCs w:val="16"/>
              </w:rPr>
            </w:pPr>
            <w:r>
              <w:rPr>
                <w:rFonts w:ascii="Calibri" w:eastAsia="Calibri" w:hAnsi="Calibri" w:cs="Calibri"/>
                <w:color w:val="000000" w:themeColor="text1"/>
                <w:sz w:val="16"/>
                <w:szCs w:val="16"/>
              </w:rPr>
              <w:t>The Board agrees with this recommendation and a</w:t>
            </w:r>
            <w:r w:rsidR="009675A6" w:rsidRPr="00B20FF6">
              <w:rPr>
                <w:rFonts w:ascii="Calibri" w:eastAsia="Calibri" w:hAnsi="Calibri" w:cs="Calibri"/>
                <w:color w:val="000000" w:themeColor="text1"/>
                <w:sz w:val="16"/>
                <w:szCs w:val="16"/>
              </w:rPr>
              <w:t xml:space="preserve">s experienced gender equality advocates from across the Pacific, Governance Board members will actively participate in </w:t>
            </w:r>
            <w:r w:rsidR="009675A6">
              <w:rPr>
                <w:rFonts w:ascii="Calibri" w:eastAsia="Calibri" w:hAnsi="Calibri" w:cs="Calibri"/>
                <w:color w:val="000000" w:themeColor="text1"/>
                <w:sz w:val="16"/>
                <w:szCs w:val="16"/>
              </w:rPr>
              <w:t xml:space="preserve">their respective </w:t>
            </w:r>
            <w:r w:rsidR="000B2E6B">
              <w:rPr>
                <w:rFonts w:ascii="Calibri" w:eastAsia="Calibri" w:hAnsi="Calibri" w:cs="Calibri"/>
                <w:color w:val="000000" w:themeColor="text1"/>
                <w:sz w:val="16"/>
                <w:szCs w:val="16"/>
              </w:rPr>
              <w:lastRenderedPageBreak/>
              <w:t xml:space="preserve">PWL </w:t>
            </w:r>
            <w:r w:rsidR="009675A6" w:rsidRPr="00B20FF6">
              <w:rPr>
                <w:rFonts w:ascii="Calibri" w:eastAsia="Calibri" w:hAnsi="Calibri" w:cs="Calibri"/>
                <w:color w:val="000000" w:themeColor="text1"/>
                <w:sz w:val="16"/>
                <w:szCs w:val="16"/>
              </w:rPr>
              <w:t>national and sub-regional</w:t>
            </w:r>
            <w:r w:rsidR="009675A6">
              <w:rPr>
                <w:rFonts w:ascii="Calibri" w:eastAsia="Calibri" w:hAnsi="Calibri" w:cs="Calibri"/>
                <w:color w:val="000000" w:themeColor="text1"/>
                <w:sz w:val="16"/>
                <w:szCs w:val="16"/>
              </w:rPr>
              <w:t xml:space="preserve"> level </w:t>
            </w:r>
            <w:r w:rsidR="009675A6" w:rsidRPr="00B20FF6">
              <w:rPr>
                <w:rFonts w:ascii="Calibri" w:eastAsia="Calibri" w:hAnsi="Calibri" w:cs="Calibri"/>
                <w:color w:val="000000" w:themeColor="text1"/>
                <w:sz w:val="16"/>
                <w:szCs w:val="16"/>
              </w:rPr>
              <w:t xml:space="preserve">convenings to strengthen collaboration and </w:t>
            </w:r>
            <w:r w:rsidR="009675A6">
              <w:rPr>
                <w:rFonts w:ascii="Calibri" w:eastAsia="Calibri" w:hAnsi="Calibri" w:cs="Calibri"/>
                <w:color w:val="000000" w:themeColor="text1"/>
                <w:sz w:val="16"/>
                <w:szCs w:val="16"/>
              </w:rPr>
              <w:t xml:space="preserve">bring greater </w:t>
            </w:r>
            <w:r w:rsidR="009675A6" w:rsidRPr="00B20FF6">
              <w:rPr>
                <w:rFonts w:ascii="Calibri" w:eastAsia="Calibri" w:hAnsi="Calibri" w:cs="Calibri"/>
                <w:color w:val="000000" w:themeColor="text1"/>
                <w:sz w:val="16"/>
                <w:szCs w:val="16"/>
              </w:rPr>
              <w:t xml:space="preserve">visibility </w:t>
            </w:r>
            <w:r w:rsidR="009675A6">
              <w:rPr>
                <w:rFonts w:ascii="Calibri" w:eastAsia="Calibri" w:hAnsi="Calibri" w:cs="Calibri"/>
                <w:color w:val="000000" w:themeColor="text1"/>
                <w:sz w:val="16"/>
                <w:szCs w:val="16"/>
              </w:rPr>
              <w:t>to the Governance Board’s role within PWL</w:t>
            </w:r>
            <w:r w:rsidR="009675A6" w:rsidRPr="00B20FF6">
              <w:rPr>
                <w:rFonts w:ascii="Calibri" w:eastAsia="Calibri" w:hAnsi="Calibri" w:cs="Calibri"/>
                <w:color w:val="000000" w:themeColor="text1"/>
                <w:sz w:val="16"/>
                <w:szCs w:val="16"/>
              </w:rPr>
              <w:t>.</w:t>
            </w:r>
          </w:p>
          <w:p w14:paraId="41082C97" w14:textId="53E90903" w:rsidR="00BE13A9" w:rsidRPr="00BE13A9" w:rsidRDefault="00BE13A9" w:rsidP="00962320">
            <w:pPr>
              <w:rPr>
                <w:rFonts w:ascii="Calibri" w:eastAsia="Calibri" w:hAnsi="Calibri" w:cs="Calibri"/>
                <w:i/>
                <w:iCs/>
                <w:color w:val="000000" w:themeColor="text1"/>
                <w:sz w:val="16"/>
                <w:szCs w:val="16"/>
                <w:lang w:val="en-GB"/>
              </w:rPr>
            </w:pPr>
            <w:r>
              <w:rPr>
                <w:rFonts w:ascii="Calibri" w:eastAsia="Calibri" w:hAnsi="Calibri" w:cs="Calibri"/>
                <w:i/>
                <w:iCs/>
                <w:color w:val="000000" w:themeColor="text1"/>
                <w:sz w:val="16"/>
                <w:szCs w:val="16"/>
              </w:rPr>
              <w:t xml:space="preserve"> </w:t>
            </w:r>
          </w:p>
        </w:tc>
        <w:tc>
          <w:tcPr>
            <w:tcW w:w="1985" w:type="dxa"/>
          </w:tcPr>
          <w:p w14:paraId="23088514" w14:textId="2A8E1919" w:rsidR="00F62E0F" w:rsidRPr="00F62E0F" w:rsidRDefault="14264D15" w:rsidP="00F62E0F">
            <w:pPr>
              <w:rPr>
                <w:rFonts w:ascii="Calibri" w:eastAsia="Calibri" w:hAnsi="Calibri" w:cs="Calibri"/>
                <w:color w:val="000000" w:themeColor="text1"/>
                <w:sz w:val="16"/>
                <w:szCs w:val="16"/>
                <w:lang w:val="en-AU"/>
              </w:rPr>
            </w:pPr>
            <w:r w:rsidRPr="60320B88">
              <w:rPr>
                <w:rFonts w:ascii="Calibri" w:eastAsia="Calibri" w:hAnsi="Calibri" w:cs="Calibri"/>
                <w:color w:val="000000" w:themeColor="text1"/>
                <w:sz w:val="16"/>
                <w:szCs w:val="16"/>
                <w:lang w:val="en-GB"/>
              </w:rPr>
              <w:lastRenderedPageBreak/>
              <w:t>8a) D</w:t>
            </w:r>
            <w:r w:rsidR="2E37F5F4" w:rsidRPr="60320B88">
              <w:rPr>
                <w:rFonts w:ascii="Calibri" w:eastAsia="Calibri" w:hAnsi="Calibri" w:cs="Calibri"/>
                <w:color w:val="000000" w:themeColor="text1"/>
                <w:sz w:val="16"/>
                <w:szCs w:val="16"/>
                <w:lang w:val="en-GB"/>
              </w:rPr>
              <w:t xml:space="preserve">FAT agrees that country-level and sub-regional coordination on gender equality is key to </w:t>
            </w:r>
            <w:r w:rsidR="2E37F5F4" w:rsidRPr="60320B88">
              <w:rPr>
                <w:rFonts w:ascii="Calibri" w:eastAsia="Calibri" w:hAnsi="Calibri" w:cs="Calibri"/>
                <w:color w:val="000000" w:themeColor="text1"/>
                <w:sz w:val="16"/>
                <w:szCs w:val="16"/>
              </w:rPr>
              <w:t xml:space="preserve">aligning regional and country-level </w:t>
            </w:r>
            <w:r w:rsidR="009675A6" w:rsidRPr="60320B88">
              <w:rPr>
                <w:rFonts w:ascii="Calibri" w:eastAsia="Calibri" w:hAnsi="Calibri" w:cs="Calibri"/>
                <w:color w:val="000000" w:themeColor="text1"/>
                <w:sz w:val="16"/>
                <w:szCs w:val="16"/>
              </w:rPr>
              <w:t>priorities and</w:t>
            </w:r>
            <w:r w:rsidR="2E37F5F4" w:rsidRPr="60320B88">
              <w:rPr>
                <w:rFonts w:ascii="Calibri" w:eastAsia="Calibri" w:hAnsi="Calibri" w:cs="Calibri"/>
                <w:color w:val="000000" w:themeColor="text1"/>
                <w:sz w:val="16"/>
                <w:szCs w:val="16"/>
              </w:rPr>
              <w:t xml:space="preserve"> </w:t>
            </w:r>
            <w:r w:rsidR="2E37F5F4" w:rsidRPr="60320B88">
              <w:rPr>
                <w:rFonts w:ascii="Calibri" w:eastAsia="Calibri" w:hAnsi="Calibri" w:cs="Calibri"/>
                <w:color w:val="000000" w:themeColor="text1"/>
                <w:sz w:val="16"/>
                <w:szCs w:val="16"/>
                <w:lang w:val="en-GB"/>
              </w:rPr>
              <w:t xml:space="preserve">driving transformational </w:t>
            </w:r>
            <w:r w:rsidR="2E37F5F4" w:rsidRPr="60320B88">
              <w:rPr>
                <w:rFonts w:ascii="Calibri" w:eastAsia="Calibri" w:hAnsi="Calibri" w:cs="Calibri"/>
                <w:color w:val="000000" w:themeColor="text1"/>
                <w:sz w:val="16"/>
                <w:szCs w:val="16"/>
                <w:lang w:val="en-GB"/>
              </w:rPr>
              <w:lastRenderedPageBreak/>
              <w:t>change. DFAT</w:t>
            </w:r>
            <w:r w:rsidR="17A5640C" w:rsidRPr="60320B88">
              <w:rPr>
                <w:rFonts w:ascii="Calibri" w:eastAsia="Calibri" w:hAnsi="Calibri" w:cs="Calibri"/>
                <w:color w:val="000000" w:themeColor="text1"/>
                <w:sz w:val="16"/>
                <w:szCs w:val="16"/>
                <w:lang w:val="en-GB"/>
              </w:rPr>
              <w:t>,</w:t>
            </w:r>
            <w:r w:rsidR="2E37F5F4" w:rsidRPr="60320B88">
              <w:rPr>
                <w:rFonts w:ascii="Calibri" w:eastAsia="Calibri" w:hAnsi="Calibri" w:cs="Calibri"/>
                <w:color w:val="000000" w:themeColor="text1"/>
                <w:sz w:val="16"/>
                <w:szCs w:val="16"/>
                <w:lang w:val="en-GB"/>
              </w:rPr>
              <w:t xml:space="preserve"> through PWL</w:t>
            </w:r>
            <w:r w:rsidR="17A5640C" w:rsidRPr="60320B88">
              <w:rPr>
                <w:rFonts w:ascii="Calibri" w:eastAsia="Calibri" w:hAnsi="Calibri" w:cs="Calibri"/>
                <w:color w:val="000000" w:themeColor="text1"/>
                <w:sz w:val="16"/>
                <w:szCs w:val="16"/>
                <w:lang w:val="en-GB"/>
              </w:rPr>
              <w:t xml:space="preserve">, </w:t>
            </w:r>
            <w:r w:rsidR="2E37F5F4" w:rsidRPr="60320B88">
              <w:rPr>
                <w:rFonts w:ascii="Calibri" w:eastAsia="Calibri" w:hAnsi="Calibri" w:cs="Calibri"/>
                <w:color w:val="000000" w:themeColor="text1"/>
                <w:sz w:val="16"/>
                <w:szCs w:val="16"/>
                <w:lang w:val="en-GB"/>
              </w:rPr>
              <w:t>will continue to support PIFS and SPC in their coordination and technical support roles at national, sub-regional and regional levels, including by reinforcing existing convenings and enhancing collaboration between SPC, UN agencies, PIFS and government bodies. </w:t>
            </w:r>
            <w:r w:rsidR="2E37F5F4" w:rsidRPr="60320B88">
              <w:rPr>
                <w:rFonts w:ascii="Calibri" w:eastAsia="Calibri" w:hAnsi="Calibri" w:cs="Calibri"/>
                <w:color w:val="000000" w:themeColor="text1"/>
                <w:sz w:val="16"/>
                <w:szCs w:val="16"/>
                <w:lang w:val="en-AU"/>
              </w:rPr>
              <w:t> </w:t>
            </w:r>
          </w:p>
          <w:p w14:paraId="4E99FA1F" w14:textId="79E78315" w:rsidR="00F62E0F" w:rsidRDefault="00F62E0F" w:rsidP="00F62E0F">
            <w:pPr>
              <w:rPr>
                <w:rFonts w:ascii="Calibri" w:eastAsia="Calibri" w:hAnsi="Calibri" w:cs="Calibri"/>
                <w:color w:val="000000" w:themeColor="text1"/>
                <w:sz w:val="16"/>
                <w:szCs w:val="16"/>
                <w:lang w:val="en-AU"/>
              </w:rPr>
            </w:pPr>
          </w:p>
          <w:p w14:paraId="71A3683B" w14:textId="615091A7" w:rsidR="009A2A56" w:rsidRPr="009F496D" w:rsidRDefault="62DBF678" w:rsidP="001A6F47">
            <w:pPr>
              <w:rPr>
                <w:rFonts w:ascii="Calibri" w:eastAsia="Calibri" w:hAnsi="Calibri" w:cs="Calibri"/>
                <w:color w:val="000000" w:themeColor="text1"/>
                <w:sz w:val="16"/>
                <w:szCs w:val="16"/>
                <w:lang w:val="en-GB"/>
              </w:rPr>
            </w:pPr>
            <w:r w:rsidRPr="60320B88">
              <w:rPr>
                <w:rFonts w:ascii="Calibri" w:eastAsia="Calibri" w:hAnsi="Calibri" w:cs="Calibri"/>
                <w:color w:val="000000" w:themeColor="text1"/>
                <w:sz w:val="16"/>
                <w:szCs w:val="16"/>
                <w:lang w:val="en-AU"/>
              </w:rPr>
              <w:t xml:space="preserve">8b) </w:t>
            </w:r>
            <w:r w:rsidR="21716277" w:rsidRPr="60320B88">
              <w:rPr>
                <w:rFonts w:ascii="Calibri" w:eastAsia="Calibri" w:hAnsi="Calibri" w:cs="Calibri"/>
                <w:color w:val="000000" w:themeColor="text1"/>
                <w:sz w:val="16"/>
                <w:szCs w:val="16"/>
                <w:lang w:val="en-GB"/>
              </w:rPr>
              <w:t>To improve visibility of country</w:t>
            </w:r>
            <w:r w:rsidR="541B5730" w:rsidRPr="60320B88">
              <w:rPr>
                <w:rFonts w:ascii="Calibri" w:eastAsia="Calibri" w:hAnsi="Calibri" w:cs="Calibri"/>
                <w:color w:val="000000" w:themeColor="text1"/>
                <w:sz w:val="16"/>
                <w:szCs w:val="16"/>
                <w:lang w:val="en-GB"/>
              </w:rPr>
              <w:t>-</w:t>
            </w:r>
            <w:r w:rsidR="21716277" w:rsidRPr="60320B88">
              <w:rPr>
                <w:rFonts w:ascii="Calibri" w:eastAsia="Calibri" w:hAnsi="Calibri" w:cs="Calibri"/>
                <w:color w:val="000000" w:themeColor="text1"/>
                <w:sz w:val="16"/>
                <w:szCs w:val="16"/>
                <w:lang w:val="en-GB"/>
              </w:rPr>
              <w:t>level progres</w:t>
            </w:r>
            <w:r w:rsidR="304A4500" w:rsidRPr="60320B88">
              <w:rPr>
                <w:rFonts w:ascii="Calibri" w:eastAsia="Calibri" w:hAnsi="Calibri" w:cs="Calibri"/>
                <w:color w:val="000000" w:themeColor="text1"/>
                <w:sz w:val="16"/>
                <w:szCs w:val="16"/>
                <w:lang w:val="en-GB"/>
              </w:rPr>
              <w:t xml:space="preserve">s, </w:t>
            </w:r>
            <w:r w:rsidR="2E37F5F4" w:rsidRPr="60320B88">
              <w:rPr>
                <w:rFonts w:ascii="Calibri" w:eastAsia="Calibri" w:hAnsi="Calibri" w:cs="Calibri"/>
                <w:color w:val="000000" w:themeColor="text1"/>
                <w:sz w:val="16"/>
                <w:szCs w:val="16"/>
                <w:lang w:val="en-GB"/>
              </w:rPr>
              <w:t>DFAT will</w:t>
            </w:r>
            <w:r w:rsidR="21716277" w:rsidRPr="60320B88">
              <w:rPr>
                <w:rFonts w:ascii="Calibri" w:eastAsia="Calibri" w:hAnsi="Calibri" w:cs="Calibri"/>
                <w:color w:val="000000" w:themeColor="text1"/>
                <w:sz w:val="16"/>
                <w:szCs w:val="16"/>
                <w:lang w:val="en-GB"/>
              </w:rPr>
              <w:t xml:space="preserve"> </w:t>
            </w:r>
            <w:r w:rsidR="2E37F5F4" w:rsidRPr="60320B88">
              <w:rPr>
                <w:rFonts w:ascii="Calibri" w:eastAsia="Calibri" w:hAnsi="Calibri" w:cs="Calibri"/>
                <w:color w:val="000000" w:themeColor="text1"/>
                <w:sz w:val="16"/>
                <w:szCs w:val="16"/>
                <w:lang w:val="en-GB"/>
              </w:rPr>
              <w:t xml:space="preserve">explore with PWLES how to </w:t>
            </w:r>
            <w:r w:rsidR="34BC25FB" w:rsidRPr="60320B88">
              <w:rPr>
                <w:rFonts w:ascii="Calibri" w:eastAsia="Calibri" w:hAnsi="Calibri" w:cs="Calibri"/>
                <w:color w:val="000000" w:themeColor="text1"/>
                <w:sz w:val="16"/>
                <w:szCs w:val="16"/>
                <w:lang w:val="en-GB"/>
              </w:rPr>
              <w:t>best l</w:t>
            </w:r>
            <w:r w:rsidR="2E37F5F4" w:rsidRPr="60320B88">
              <w:rPr>
                <w:rFonts w:ascii="Calibri" w:eastAsia="Calibri" w:hAnsi="Calibri" w:cs="Calibri"/>
                <w:color w:val="000000" w:themeColor="text1"/>
                <w:sz w:val="16"/>
                <w:szCs w:val="16"/>
                <w:lang w:val="en-GB"/>
              </w:rPr>
              <w:t xml:space="preserve">everage the existing evidence base, and the option of </w:t>
            </w:r>
            <w:r w:rsidR="6A2CD816" w:rsidRPr="60320B88">
              <w:rPr>
                <w:rFonts w:ascii="Calibri" w:eastAsia="Calibri" w:hAnsi="Calibri" w:cs="Calibri"/>
                <w:color w:val="000000" w:themeColor="text1"/>
                <w:sz w:val="16"/>
                <w:szCs w:val="16"/>
                <w:lang w:val="en-GB"/>
              </w:rPr>
              <w:t xml:space="preserve">national-level PWL outcomes reporting for select </w:t>
            </w:r>
            <w:r w:rsidR="009675A6" w:rsidRPr="60320B88">
              <w:rPr>
                <w:rFonts w:ascii="Calibri" w:eastAsia="Calibri" w:hAnsi="Calibri" w:cs="Calibri"/>
                <w:color w:val="000000" w:themeColor="text1"/>
                <w:sz w:val="16"/>
                <w:szCs w:val="16"/>
                <w:lang w:val="en-GB"/>
              </w:rPr>
              <w:t>countries and</w:t>
            </w:r>
            <w:r w:rsidR="541B5730" w:rsidRPr="60320B88">
              <w:rPr>
                <w:rFonts w:ascii="Calibri" w:eastAsia="Calibri" w:hAnsi="Calibri" w:cs="Calibri"/>
                <w:color w:val="000000" w:themeColor="text1"/>
                <w:sz w:val="16"/>
                <w:szCs w:val="16"/>
                <w:lang w:val="en-GB"/>
              </w:rPr>
              <w:t xml:space="preserve"> </w:t>
            </w:r>
            <w:r w:rsidR="2E37F5F4" w:rsidRPr="60320B88">
              <w:rPr>
                <w:rFonts w:ascii="Calibri" w:eastAsia="Calibri" w:hAnsi="Calibri" w:cs="Calibri"/>
                <w:color w:val="000000" w:themeColor="text1"/>
                <w:sz w:val="16"/>
                <w:szCs w:val="16"/>
                <w:lang w:val="en-GB"/>
              </w:rPr>
              <w:t>strengthen coordination across its regional network of Posts</w:t>
            </w:r>
            <w:r w:rsidR="541B5730" w:rsidRPr="60320B88">
              <w:rPr>
                <w:rFonts w:ascii="Calibri" w:eastAsia="Calibri" w:hAnsi="Calibri" w:cs="Calibri"/>
                <w:color w:val="000000" w:themeColor="text1"/>
                <w:sz w:val="16"/>
                <w:szCs w:val="16"/>
                <w:lang w:val="en-GB"/>
              </w:rPr>
              <w:t>.</w:t>
            </w:r>
          </w:p>
        </w:tc>
        <w:tc>
          <w:tcPr>
            <w:tcW w:w="2976" w:type="dxa"/>
            <w:shd w:val="clear" w:color="auto" w:fill="E8E8E8" w:themeFill="background2"/>
          </w:tcPr>
          <w:p w14:paraId="1A325AB2" w14:textId="475D40A0" w:rsidR="009675A6" w:rsidRDefault="009675A6" w:rsidP="009675A6">
            <w:pPr>
              <w:pStyle w:val="NoSpacing"/>
              <w:rPr>
                <w:rFonts w:ascii="Calibri" w:eastAsia="Calibri" w:hAnsi="Calibri" w:cs="Calibri"/>
                <w:sz w:val="16"/>
                <w:szCs w:val="16"/>
              </w:rPr>
            </w:pPr>
            <w:r>
              <w:rPr>
                <w:rFonts w:ascii="Calibri" w:eastAsia="Calibri" w:hAnsi="Calibri" w:cs="Calibri"/>
                <w:sz w:val="16"/>
                <w:szCs w:val="16"/>
              </w:rPr>
              <w:lastRenderedPageBreak/>
              <w:t>8a) S</w:t>
            </w:r>
            <w:r w:rsidRPr="60676934">
              <w:rPr>
                <w:rFonts w:ascii="Calibri" w:eastAsia="Calibri" w:hAnsi="Calibri" w:cs="Calibri"/>
                <w:sz w:val="16"/>
                <w:szCs w:val="16"/>
              </w:rPr>
              <w:t xml:space="preserve">PC will continue to work and support national level coordination when invited to do so. This includes through existing member government grants and ensuring the work is aligned to sub-regional and regional commitments. </w:t>
            </w:r>
          </w:p>
          <w:p w14:paraId="18CE2AA5" w14:textId="77777777" w:rsidR="009675A6" w:rsidRDefault="009675A6" w:rsidP="009675A6">
            <w:pPr>
              <w:pStyle w:val="NoSpacing"/>
              <w:rPr>
                <w:rFonts w:ascii="Calibri" w:eastAsia="Calibri" w:hAnsi="Calibri" w:cs="Calibri"/>
                <w:sz w:val="16"/>
                <w:szCs w:val="16"/>
              </w:rPr>
            </w:pPr>
          </w:p>
          <w:p w14:paraId="3846B676" w14:textId="77777777" w:rsidR="009675A6" w:rsidRDefault="009675A6" w:rsidP="009675A6">
            <w:pPr>
              <w:pStyle w:val="NoSpacing"/>
              <w:rPr>
                <w:rFonts w:ascii="Calibri" w:eastAsia="Calibri" w:hAnsi="Calibri" w:cs="Calibri"/>
                <w:sz w:val="16"/>
                <w:szCs w:val="16"/>
              </w:rPr>
            </w:pPr>
            <w:r w:rsidRPr="60676934">
              <w:rPr>
                <w:rFonts w:ascii="Calibri" w:eastAsia="Calibri" w:hAnsi="Calibri" w:cs="Calibri"/>
                <w:sz w:val="16"/>
                <w:szCs w:val="16"/>
              </w:rPr>
              <w:lastRenderedPageBreak/>
              <w:t>SPC will also continue to work through existing mechanisms and convenings, such as the Regional Review of Architecture (RRA) and SPC’s recent Independent Institutional Review (IIR). SPC is also currently undertaking a Ministerial Review to support the RRA process.</w:t>
            </w:r>
          </w:p>
          <w:p w14:paraId="0BD2A164" w14:textId="77777777" w:rsidR="009675A6" w:rsidRDefault="009675A6" w:rsidP="009675A6">
            <w:pPr>
              <w:pStyle w:val="NoSpacing"/>
              <w:rPr>
                <w:rFonts w:ascii="Calibri" w:eastAsia="Calibri" w:hAnsi="Calibri" w:cs="Calibri"/>
                <w:sz w:val="16"/>
                <w:szCs w:val="16"/>
              </w:rPr>
            </w:pPr>
          </w:p>
          <w:p w14:paraId="55FBC5EA" w14:textId="2A86289C" w:rsidR="00962320" w:rsidRPr="009F496D" w:rsidRDefault="009675A6" w:rsidP="009675A6">
            <w:pPr>
              <w:pStyle w:val="NoSpacing"/>
              <w:rPr>
                <w:rFonts w:ascii="Calibri" w:eastAsia="Calibri" w:hAnsi="Calibri" w:cs="Calibri"/>
                <w:sz w:val="16"/>
                <w:szCs w:val="16"/>
              </w:rPr>
            </w:pPr>
            <w:r w:rsidRPr="60676934">
              <w:rPr>
                <w:rFonts w:ascii="Calibri" w:eastAsia="Calibri" w:hAnsi="Calibri" w:cs="Calibri"/>
                <w:sz w:val="16"/>
                <w:szCs w:val="16"/>
              </w:rPr>
              <w:t>Through PWL funding, SPC supported the Micronesian Islands Forum in the soon to be launched subregional Gender Equality Framework. As a result of this work, the Melanesian Spearhead Group has requested similar support from SPC to further the draft of the Melanesian Gender Equality Framework.  After the co-convening of the 15</w:t>
            </w:r>
            <w:r w:rsidRPr="60676934">
              <w:rPr>
                <w:rFonts w:ascii="Calibri" w:eastAsia="Calibri" w:hAnsi="Calibri" w:cs="Calibri"/>
                <w:sz w:val="16"/>
                <w:szCs w:val="16"/>
                <w:vertAlign w:val="superscript"/>
              </w:rPr>
              <w:t>th</w:t>
            </w:r>
            <w:r w:rsidRPr="60676934">
              <w:rPr>
                <w:rFonts w:ascii="Calibri" w:eastAsia="Calibri" w:hAnsi="Calibri" w:cs="Calibri"/>
                <w:sz w:val="16"/>
                <w:szCs w:val="16"/>
              </w:rPr>
              <w:t xml:space="preserve"> Triennial Conference, 8</w:t>
            </w:r>
            <w:r w:rsidRPr="60676934">
              <w:rPr>
                <w:rFonts w:ascii="Calibri" w:eastAsia="Calibri" w:hAnsi="Calibri" w:cs="Calibri"/>
                <w:sz w:val="16"/>
                <w:szCs w:val="16"/>
                <w:vertAlign w:val="superscript"/>
              </w:rPr>
              <w:t>th</w:t>
            </w:r>
            <w:r w:rsidRPr="60676934">
              <w:rPr>
                <w:rFonts w:ascii="Calibri" w:eastAsia="Calibri" w:hAnsi="Calibri" w:cs="Calibri"/>
                <w:sz w:val="16"/>
                <w:szCs w:val="16"/>
              </w:rPr>
              <w:t xml:space="preserve"> Ministers for Women and 3</w:t>
            </w:r>
            <w:r w:rsidRPr="60676934">
              <w:rPr>
                <w:rFonts w:ascii="Calibri" w:eastAsia="Calibri" w:hAnsi="Calibri" w:cs="Calibri"/>
                <w:sz w:val="16"/>
                <w:szCs w:val="16"/>
                <w:vertAlign w:val="superscript"/>
              </w:rPr>
              <w:t>rd</w:t>
            </w:r>
            <w:r w:rsidRPr="60676934">
              <w:rPr>
                <w:rFonts w:ascii="Calibri" w:eastAsia="Calibri" w:hAnsi="Calibri" w:cs="Calibri"/>
                <w:sz w:val="16"/>
                <w:szCs w:val="16"/>
              </w:rPr>
              <w:t xml:space="preserve"> PIF Women Leaders meeting in 2024, and the Pacific CEDAW Technical Cooperation Session in 2025, SPC has continued to increase collaboration with PIFS, particularly through MERL, implementation and convening processes.</w:t>
            </w:r>
          </w:p>
        </w:tc>
        <w:tc>
          <w:tcPr>
            <w:tcW w:w="1560" w:type="dxa"/>
            <w:shd w:val="clear" w:color="auto" w:fill="E8E8E8" w:themeFill="background2"/>
          </w:tcPr>
          <w:p w14:paraId="3B075B07" w14:textId="247FB416" w:rsidR="00962320" w:rsidRPr="009F496D" w:rsidRDefault="002A6178" w:rsidP="00962320">
            <w:pPr>
              <w:pStyle w:val="NoSpacing"/>
              <w:rPr>
                <w:rFonts w:ascii="Calibri" w:eastAsia="Calibri" w:hAnsi="Calibri" w:cs="Calibri"/>
                <w:sz w:val="16"/>
                <w:szCs w:val="16"/>
              </w:rPr>
            </w:pPr>
            <w:r>
              <w:rPr>
                <w:rFonts w:ascii="Calibri" w:eastAsia="Calibri" w:hAnsi="Calibri" w:cs="Calibri"/>
                <w:sz w:val="16"/>
                <w:szCs w:val="16"/>
              </w:rPr>
              <w:lastRenderedPageBreak/>
              <w:t xml:space="preserve">While PWLES agrees with this recommendation in principle, </w:t>
            </w:r>
            <w:r w:rsidR="009675A6" w:rsidRPr="6D98FD61">
              <w:rPr>
                <w:rFonts w:ascii="Calibri" w:eastAsia="Calibri" w:hAnsi="Calibri" w:cs="Calibri"/>
                <w:sz w:val="16"/>
                <w:szCs w:val="16"/>
              </w:rPr>
              <w:t xml:space="preserve">PWLES’ </w:t>
            </w:r>
            <w:r w:rsidR="009675A6">
              <w:rPr>
                <w:rFonts w:ascii="Calibri" w:eastAsia="Calibri" w:hAnsi="Calibri" w:cs="Calibri"/>
                <w:sz w:val="16"/>
                <w:szCs w:val="16"/>
              </w:rPr>
              <w:t xml:space="preserve">current </w:t>
            </w:r>
            <w:r w:rsidR="009675A6" w:rsidRPr="6D98FD61">
              <w:rPr>
                <w:rFonts w:ascii="Calibri" w:eastAsia="Calibri" w:hAnsi="Calibri" w:cs="Calibri"/>
                <w:sz w:val="16"/>
                <w:szCs w:val="16"/>
              </w:rPr>
              <w:t xml:space="preserve">mandate and resourcing allow for support to </w:t>
            </w:r>
            <w:r w:rsidR="009675A6" w:rsidRPr="6D98FD61">
              <w:rPr>
                <w:rFonts w:ascii="Calibri" w:eastAsia="Calibri" w:hAnsi="Calibri" w:cs="Calibri"/>
                <w:sz w:val="16"/>
                <w:szCs w:val="16"/>
              </w:rPr>
              <w:lastRenderedPageBreak/>
              <w:t xml:space="preserve">regional MEL activities. Pilots for national-level outcomes reporting has taken place in Tuvalu and Palau. While PWLES agrees with the recommendation to introduce national-level outcomes reporting, </w:t>
            </w:r>
            <w:r w:rsidRPr="6D98FD61">
              <w:rPr>
                <w:rFonts w:ascii="Calibri" w:eastAsia="Calibri" w:hAnsi="Calibri" w:cs="Calibri"/>
                <w:sz w:val="16"/>
                <w:szCs w:val="16"/>
              </w:rPr>
              <w:t>resources</w:t>
            </w:r>
            <w:r w:rsidR="009675A6" w:rsidRPr="6D98FD61">
              <w:rPr>
                <w:rFonts w:ascii="Calibri" w:eastAsia="Calibri" w:hAnsi="Calibri" w:cs="Calibri"/>
                <w:sz w:val="16"/>
                <w:szCs w:val="16"/>
              </w:rPr>
              <w:t xml:space="preserve"> under the next phase </w:t>
            </w:r>
            <w:r>
              <w:rPr>
                <w:rFonts w:ascii="Calibri" w:eastAsia="Calibri" w:hAnsi="Calibri" w:cs="Calibri"/>
                <w:sz w:val="16"/>
                <w:szCs w:val="16"/>
              </w:rPr>
              <w:t>are</w:t>
            </w:r>
            <w:r w:rsidR="009675A6" w:rsidRPr="6D98FD61">
              <w:rPr>
                <w:rFonts w:ascii="Calibri" w:eastAsia="Calibri" w:hAnsi="Calibri" w:cs="Calibri"/>
                <w:sz w:val="16"/>
                <w:szCs w:val="16"/>
              </w:rPr>
              <w:t xml:space="preserve"> needed to enable this expanded mandate.</w:t>
            </w:r>
          </w:p>
        </w:tc>
        <w:tc>
          <w:tcPr>
            <w:tcW w:w="992" w:type="dxa"/>
          </w:tcPr>
          <w:p w14:paraId="24E2954C" w14:textId="395BA3F5" w:rsidR="00962320" w:rsidRPr="009F496D" w:rsidRDefault="00962320" w:rsidP="00962320">
            <w:pPr>
              <w:pStyle w:val="NoSpacing"/>
              <w:rPr>
                <w:rFonts w:ascii="Calibri" w:eastAsia="Calibri" w:hAnsi="Calibri" w:cs="Calibri"/>
                <w:sz w:val="16"/>
                <w:szCs w:val="16"/>
              </w:rPr>
            </w:pPr>
            <w:r>
              <w:rPr>
                <w:rFonts w:ascii="Calibri" w:eastAsia="Calibri" w:hAnsi="Calibri" w:cs="Calibri"/>
                <w:sz w:val="16"/>
                <w:szCs w:val="16"/>
              </w:rPr>
              <w:lastRenderedPageBreak/>
              <w:t>Q2 2026 and beyond</w:t>
            </w:r>
          </w:p>
        </w:tc>
      </w:tr>
      <w:tr w:rsidR="00962320" w:rsidRPr="009F496D" w14:paraId="6DFFBF52" w14:textId="77777777" w:rsidTr="00A06565">
        <w:trPr>
          <w:trHeight w:val="300"/>
        </w:trPr>
        <w:tc>
          <w:tcPr>
            <w:tcW w:w="2689" w:type="dxa"/>
          </w:tcPr>
          <w:p w14:paraId="734A05D0" w14:textId="77777777" w:rsidR="00962320" w:rsidRPr="009F496D" w:rsidRDefault="00962320" w:rsidP="00962320">
            <w:pPr>
              <w:spacing w:beforeAutospacing="1" w:afterAutospacing="1"/>
              <w:rPr>
                <w:rFonts w:ascii="Calibri" w:eastAsia="Calibri" w:hAnsi="Calibri" w:cs="Calibri"/>
                <w:b/>
                <w:bCs/>
                <w:sz w:val="16"/>
                <w:szCs w:val="16"/>
              </w:rPr>
            </w:pPr>
            <w:r w:rsidRPr="009F496D">
              <w:rPr>
                <w:rFonts w:ascii="Calibri" w:eastAsia="Calibri" w:hAnsi="Calibri" w:cs="Calibri"/>
                <w:b/>
                <w:bCs/>
                <w:sz w:val="16"/>
                <w:szCs w:val="16"/>
              </w:rPr>
              <w:t>9. Update the PWL program logic to reflect key lessons and strategic priorities:</w:t>
            </w:r>
          </w:p>
          <w:p w14:paraId="2D556446" w14:textId="27DE6780" w:rsidR="00962320" w:rsidRPr="00A617EC" w:rsidRDefault="00962320" w:rsidP="6AD5217B">
            <w:pPr>
              <w:pStyle w:val="ListParagraph"/>
              <w:numPr>
                <w:ilvl w:val="0"/>
                <w:numId w:val="25"/>
              </w:numPr>
              <w:spacing w:beforeAutospacing="1" w:afterAutospacing="1"/>
              <w:rPr>
                <w:rFonts w:ascii="Calibri" w:eastAsia="Calibri" w:hAnsi="Calibri" w:cs="Calibri"/>
                <w:sz w:val="16"/>
                <w:szCs w:val="16"/>
              </w:rPr>
            </w:pPr>
            <w:r w:rsidRPr="6AD5217B">
              <w:rPr>
                <w:rFonts w:ascii="Calibri" w:eastAsia="Calibri" w:hAnsi="Calibri" w:cs="Calibri"/>
                <w:sz w:val="16"/>
                <w:szCs w:val="16"/>
              </w:rPr>
              <w:t>Integrate Pacific-led programming and ownership as a cross-cutting driver of impact rather than a standalone outcome</w:t>
            </w:r>
          </w:p>
          <w:p w14:paraId="1F859D52" w14:textId="5D6E5AA1" w:rsidR="00962320" w:rsidRPr="00A617EC" w:rsidRDefault="00962320" w:rsidP="00962320">
            <w:pPr>
              <w:pStyle w:val="ListParagraph"/>
              <w:numPr>
                <w:ilvl w:val="0"/>
                <w:numId w:val="25"/>
              </w:numPr>
              <w:spacing w:beforeAutospacing="1" w:afterAutospacing="1"/>
              <w:rPr>
                <w:rFonts w:ascii="Calibri" w:eastAsia="Calibri" w:hAnsi="Calibri" w:cs="Calibri"/>
                <w:sz w:val="16"/>
                <w:szCs w:val="16"/>
              </w:rPr>
            </w:pPr>
            <w:r w:rsidRPr="00A617EC">
              <w:rPr>
                <w:rFonts w:ascii="Calibri" w:eastAsia="Calibri" w:hAnsi="Calibri" w:cs="Calibri"/>
                <w:sz w:val="16"/>
                <w:szCs w:val="16"/>
              </w:rPr>
              <w:t>Strengthen national and subregional coordination as a pathway to aligning regional and country-level priorities</w:t>
            </w:r>
          </w:p>
          <w:p w14:paraId="783A050F" w14:textId="2FCEE595" w:rsidR="00962320" w:rsidRPr="00A617EC" w:rsidRDefault="00962320" w:rsidP="00962320">
            <w:pPr>
              <w:pStyle w:val="ListParagraph"/>
              <w:numPr>
                <w:ilvl w:val="0"/>
                <w:numId w:val="25"/>
              </w:numPr>
              <w:spacing w:beforeAutospacing="1" w:afterAutospacing="1"/>
              <w:rPr>
                <w:rFonts w:ascii="Calibri" w:eastAsia="Calibri" w:hAnsi="Calibri" w:cs="Calibri"/>
                <w:sz w:val="16"/>
                <w:szCs w:val="16"/>
              </w:rPr>
            </w:pPr>
            <w:r w:rsidRPr="00A617EC">
              <w:rPr>
                <w:rFonts w:ascii="Calibri" w:eastAsia="Calibri" w:hAnsi="Calibri" w:cs="Calibri"/>
                <w:sz w:val="16"/>
                <w:szCs w:val="16"/>
              </w:rPr>
              <w:t>Expand the regional programs WEE focus beyond women market vendors to include micro and medium-sized enterprises (SMEs).</w:t>
            </w:r>
            <w:r w:rsidR="00586889">
              <w:rPr>
                <w:rFonts w:ascii="Calibri" w:eastAsia="Calibri" w:hAnsi="Calibri" w:cs="Calibri"/>
                <w:sz w:val="16"/>
                <w:szCs w:val="16"/>
              </w:rPr>
              <w:t xml:space="preserve"> </w:t>
            </w:r>
            <w:r w:rsidRPr="00A617EC">
              <w:rPr>
                <w:rFonts w:ascii="Calibri" w:eastAsia="Calibri" w:hAnsi="Calibri" w:cs="Calibri"/>
                <w:sz w:val="16"/>
                <w:szCs w:val="16"/>
              </w:rPr>
              <w:t xml:space="preserve">While the regional </w:t>
            </w:r>
            <w:r w:rsidRPr="00A617EC">
              <w:rPr>
                <w:rFonts w:ascii="Calibri" w:eastAsia="Calibri" w:hAnsi="Calibri" w:cs="Calibri"/>
                <w:sz w:val="16"/>
                <w:szCs w:val="16"/>
              </w:rPr>
              <w:lastRenderedPageBreak/>
              <w:t xml:space="preserve">program has successfully supported women market vendors, there is an opportunity to broaden support to women-led micro and medium-sized enterprises (SMEs). Expanding the program’s focus will enhance economic opportunities for a wider range of women entrepreneurs, fostering greater financial independence and outcomes. </w:t>
            </w:r>
          </w:p>
          <w:p w14:paraId="2E8F5262" w14:textId="4CD1AE25" w:rsidR="00962320" w:rsidRPr="009F496D" w:rsidRDefault="00962320" w:rsidP="2937DD3B">
            <w:pPr>
              <w:pStyle w:val="ListParagraph"/>
              <w:numPr>
                <w:ilvl w:val="0"/>
                <w:numId w:val="25"/>
              </w:numPr>
              <w:spacing w:beforeAutospacing="1" w:afterAutospacing="1"/>
              <w:rPr>
                <w:rFonts w:ascii="Calibri" w:eastAsia="Calibri" w:hAnsi="Calibri" w:cs="Calibri"/>
                <w:b/>
                <w:bCs/>
                <w:sz w:val="16"/>
                <w:szCs w:val="16"/>
              </w:rPr>
            </w:pPr>
            <w:r w:rsidRPr="2937DD3B">
              <w:rPr>
                <w:rFonts w:ascii="Calibri" w:eastAsia="Calibri" w:hAnsi="Calibri" w:cs="Calibri"/>
                <w:sz w:val="16"/>
                <w:szCs w:val="16"/>
              </w:rPr>
              <w:t xml:space="preserve">Maintain </w:t>
            </w:r>
            <w:r w:rsidR="588E7653" w:rsidRPr="2937DD3B">
              <w:rPr>
                <w:rFonts w:ascii="Calibri" w:eastAsia="Calibri" w:hAnsi="Calibri" w:cs="Calibri"/>
                <w:sz w:val="16"/>
                <w:szCs w:val="16"/>
              </w:rPr>
              <w:t>a</w:t>
            </w:r>
            <w:r w:rsidRPr="2937DD3B">
              <w:rPr>
                <w:rFonts w:ascii="Calibri" w:eastAsia="Calibri" w:hAnsi="Calibri" w:cs="Calibri"/>
                <w:sz w:val="16"/>
                <w:szCs w:val="16"/>
              </w:rPr>
              <w:t xml:space="preserve"> broad focus on quality health services while keeping SRHR as a priority area.</w:t>
            </w:r>
          </w:p>
        </w:tc>
        <w:tc>
          <w:tcPr>
            <w:tcW w:w="992" w:type="dxa"/>
          </w:tcPr>
          <w:p w14:paraId="4B583F36" w14:textId="77777777" w:rsidR="00962320" w:rsidRPr="009F496D" w:rsidRDefault="00962320" w:rsidP="00962320">
            <w:pPr>
              <w:rPr>
                <w:rFonts w:ascii="Calibri" w:eastAsia="Calibri" w:hAnsi="Calibri" w:cs="Calibri"/>
                <w:b/>
                <w:bCs/>
                <w:sz w:val="16"/>
                <w:szCs w:val="16"/>
              </w:rPr>
            </w:pPr>
            <w:r w:rsidRPr="009F496D">
              <w:rPr>
                <w:rFonts w:ascii="Calibri" w:eastAsia="Calibri" w:hAnsi="Calibri" w:cs="Calibri"/>
                <w:b/>
                <w:bCs/>
                <w:sz w:val="16"/>
                <w:szCs w:val="16"/>
              </w:rPr>
              <w:lastRenderedPageBreak/>
              <w:t>Agree</w:t>
            </w:r>
          </w:p>
        </w:tc>
        <w:tc>
          <w:tcPr>
            <w:tcW w:w="2126" w:type="dxa"/>
            <w:shd w:val="clear" w:color="auto" w:fill="E8E8E8" w:themeFill="background2"/>
          </w:tcPr>
          <w:p w14:paraId="0CF5A89E" w14:textId="77777777" w:rsidR="00962320" w:rsidRDefault="009675A6" w:rsidP="00962320">
            <w:pPr>
              <w:rPr>
                <w:rFonts w:ascii="Calibri" w:eastAsia="Calibri" w:hAnsi="Calibri" w:cs="Calibri"/>
                <w:color w:val="000000" w:themeColor="text1"/>
                <w:sz w:val="16"/>
                <w:szCs w:val="16"/>
                <w:lang w:val="en-GB"/>
              </w:rPr>
            </w:pPr>
            <w:r>
              <w:rPr>
                <w:rFonts w:ascii="Calibri" w:eastAsia="Calibri" w:hAnsi="Calibri" w:cs="Calibri"/>
                <w:color w:val="000000" w:themeColor="text1"/>
                <w:sz w:val="16"/>
                <w:szCs w:val="16"/>
                <w:lang w:val="en-GB"/>
              </w:rPr>
              <w:t xml:space="preserve">9a) The </w:t>
            </w:r>
            <w:r w:rsidRPr="1EA62B78">
              <w:rPr>
                <w:rFonts w:ascii="Calibri" w:eastAsia="Calibri" w:hAnsi="Calibri" w:cs="Calibri"/>
                <w:color w:val="000000" w:themeColor="text1"/>
                <w:sz w:val="16"/>
                <w:szCs w:val="16"/>
                <w:lang w:val="en-GB"/>
              </w:rPr>
              <w:t>Governance Board supports this recommendation and looks forward to the opportunity to review and provide feedback on the updated program logic.</w:t>
            </w:r>
          </w:p>
          <w:p w14:paraId="42C4460F" w14:textId="77777777" w:rsidR="000B2E6B" w:rsidRDefault="000B2E6B" w:rsidP="00962320">
            <w:pPr>
              <w:rPr>
                <w:rFonts w:ascii="Calibri" w:eastAsia="Calibri" w:hAnsi="Calibri" w:cs="Calibri"/>
                <w:color w:val="000000" w:themeColor="text1"/>
                <w:sz w:val="16"/>
                <w:szCs w:val="16"/>
                <w:lang w:val="en-GB"/>
              </w:rPr>
            </w:pPr>
          </w:p>
          <w:p w14:paraId="137DCAA5" w14:textId="2D720376" w:rsidR="000B2E6B" w:rsidRPr="006507D1" w:rsidRDefault="000B2E6B" w:rsidP="00962320">
            <w:pPr>
              <w:rPr>
                <w:rFonts w:ascii="Calibri" w:eastAsia="Calibri" w:hAnsi="Calibri" w:cs="Calibri"/>
                <w:color w:val="000000" w:themeColor="text1"/>
                <w:sz w:val="16"/>
                <w:szCs w:val="16"/>
                <w:lang w:val="en-GB"/>
              </w:rPr>
            </w:pPr>
            <w:r>
              <w:rPr>
                <w:rFonts w:ascii="Calibri" w:eastAsia="Calibri" w:hAnsi="Calibri" w:cs="Calibri"/>
                <w:color w:val="000000" w:themeColor="text1"/>
                <w:sz w:val="16"/>
                <w:szCs w:val="16"/>
                <w:lang w:val="en-GB"/>
              </w:rPr>
              <w:t>The Governance Board supports DFAT, SPC and PWLES responses to 9b) – d).</w:t>
            </w:r>
          </w:p>
        </w:tc>
        <w:tc>
          <w:tcPr>
            <w:tcW w:w="1985" w:type="dxa"/>
          </w:tcPr>
          <w:p w14:paraId="5BD3CF1E" w14:textId="5508F3C9" w:rsidR="00962320" w:rsidRPr="006507D1" w:rsidRDefault="37C67B87" w:rsidP="00984D00">
            <w:pPr>
              <w:pStyle w:val="NoSpacing"/>
              <w:rPr>
                <w:rFonts w:ascii="Calibri" w:eastAsia="Calibri" w:hAnsi="Calibri" w:cs="Calibri"/>
                <w:color w:val="000000" w:themeColor="text1"/>
                <w:sz w:val="16"/>
                <w:szCs w:val="16"/>
                <w:lang w:val="en-GB"/>
              </w:rPr>
            </w:pPr>
            <w:r w:rsidRPr="60320B88">
              <w:rPr>
                <w:rFonts w:ascii="Calibri" w:eastAsia="Calibri" w:hAnsi="Calibri" w:cs="Calibri"/>
                <w:color w:val="000000" w:themeColor="text1"/>
                <w:sz w:val="16"/>
                <w:szCs w:val="16"/>
                <w:lang w:val="en-GB"/>
              </w:rPr>
              <w:t xml:space="preserve">9a) - d) </w:t>
            </w:r>
            <w:r w:rsidR="003D6E10" w:rsidRPr="60320B88">
              <w:rPr>
                <w:rFonts w:ascii="Calibri" w:eastAsia="Calibri" w:hAnsi="Calibri" w:cs="Calibri"/>
                <w:color w:val="000000" w:themeColor="text1"/>
                <w:sz w:val="16"/>
                <w:szCs w:val="16"/>
                <w:lang w:val="en-GB"/>
              </w:rPr>
              <w:t>DFAT acknowledges these findings, and reaffirms its commitment to each of these priorities</w:t>
            </w:r>
            <w:r w:rsidR="000F1F22" w:rsidRPr="60320B88">
              <w:rPr>
                <w:rFonts w:ascii="Calibri" w:eastAsia="Calibri" w:hAnsi="Calibri" w:cs="Calibri"/>
                <w:color w:val="000000" w:themeColor="text1"/>
                <w:sz w:val="16"/>
                <w:szCs w:val="16"/>
                <w:lang w:val="en-GB"/>
              </w:rPr>
              <w:t xml:space="preserve">, which </w:t>
            </w:r>
            <w:r w:rsidR="003D6E10" w:rsidRPr="60320B88">
              <w:rPr>
                <w:rFonts w:ascii="Calibri" w:eastAsia="Calibri" w:hAnsi="Calibri" w:cs="Calibri"/>
                <w:color w:val="000000" w:themeColor="text1"/>
                <w:sz w:val="16"/>
                <w:szCs w:val="16"/>
                <w:lang w:val="en-GB"/>
              </w:rPr>
              <w:t xml:space="preserve">align with Pacific priorities and are reflected in Australia’s policies, including Australia’s International Gender Equality Strategy. DFAT will </w:t>
            </w:r>
            <w:r w:rsidR="000F1F22" w:rsidRPr="60320B88">
              <w:rPr>
                <w:rFonts w:ascii="Calibri" w:eastAsia="Calibri" w:hAnsi="Calibri" w:cs="Calibri"/>
                <w:color w:val="000000" w:themeColor="text1"/>
                <w:sz w:val="16"/>
                <w:szCs w:val="16"/>
                <w:lang w:val="en-GB"/>
              </w:rPr>
              <w:t xml:space="preserve">ensure that the PWLES procurement incorporates the </w:t>
            </w:r>
            <w:r w:rsidR="00984D00" w:rsidRPr="60320B88">
              <w:rPr>
                <w:rFonts w:ascii="Calibri" w:eastAsia="Calibri" w:hAnsi="Calibri" w:cs="Calibri"/>
                <w:color w:val="000000" w:themeColor="text1"/>
                <w:sz w:val="16"/>
                <w:szCs w:val="16"/>
                <w:lang w:val="en-GB"/>
              </w:rPr>
              <w:t xml:space="preserve">recommended </w:t>
            </w:r>
            <w:r w:rsidR="000F1F22" w:rsidRPr="60320B88">
              <w:rPr>
                <w:rFonts w:ascii="Calibri" w:eastAsia="Calibri" w:hAnsi="Calibri" w:cs="Calibri"/>
                <w:color w:val="000000" w:themeColor="text1"/>
                <w:sz w:val="16"/>
                <w:szCs w:val="16"/>
                <w:lang w:val="en-GB"/>
              </w:rPr>
              <w:t xml:space="preserve">PWL program logic </w:t>
            </w:r>
            <w:r w:rsidR="00984D00" w:rsidRPr="60320B88">
              <w:rPr>
                <w:rFonts w:ascii="Calibri" w:eastAsia="Calibri" w:hAnsi="Calibri" w:cs="Calibri"/>
                <w:color w:val="000000" w:themeColor="text1"/>
                <w:sz w:val="16"/>
                <w:szCs w:val="16"/>
                <w:lang w:val="en-GB"/>
              </w:rPr>
              <w:t>update</w:t>
            </w:r>
            <w:r w:rsidR="000F1F22" w:rsidRPr="60320B88">
              <w:rPr>
                <w:rFonts w:ascii="Calibri" w:eastAsia="Calibri" w:hAnsi="Calibri" w:cs="Calibri"/>
                <w:color w:val="000000" w:themeColor="text1"/>
                <w:sz w:val="16"/>
                <w:szCs w:val="16"/>
                <w:lang w:val="en-GB"/>
              </w:rPr>
              <w:t xml:space="preserve"> </w:t>
            </w:r>
            <w:r w:rsidR="00984D00" w:rsidRPr="60320B88">
              <w:rPr>
                <w:rFonts w:ascii="Calibri" w:eastAsia="Calibri" w:hAnsi="Calibri" w:cs="Calibri"/>
                <w:color w:val="000000" w:themeColor="text1"/>
                <w:sz w:val="16"/>
                <w:szCs w:val="16"/>
                <w:lang w:val="en-GB"/>
              </w:rPr>
              <w:t>as an</w:t>
            </w:r>
            <w:r w:rsidR="000F1F22" w:rsidRPr="60320B88">
              <w:rPr>
                <w:rFonts w:ascii="Calibri" w:eastAsia="Calibri" w:hAnsi="Calibri" w:cs="Calibri"/>
                <w:color w:val="000000" w:themeColor="text1"/>
                <w:sz w:val="16"/>
                <w:szCs w:val="16"/>
                <w:lang w:val="en-GB"/>
              </w:rPr>
              <w:t xml:space="preserve"> early milestone</w:t>
            </w:r>
            <w:r w:rsidR="00984D00" w:rsidRPr="60320B88">
              <w:rPr>
                <w:rFonts w:ascii="Calibri" w:eastAsia="Calibri" w:hAnsi="Calibri" w:cs="Calibri"/>
                <w:color w:val="000000" w:themeColor="text1"/>
                <w:sz w:val="16"/>
                <w:szCs w:val="16"/>
                <w:lang w:val="en-GB"/>
              </w:rPr>
              <w:t>.</w:t>
            </w:r>
            <w:r w:rsidR="00962320" w:rsidRPr="60320B88">
              <w:rPr>
                <w:rFonts w:ascii="Calibri" w:eastAsia="Calibri" w:hAnsi="Calibri" w:cs="Calibri"/>
                <w:color w:val="000000" w:themeColor="text1"/>
                <w:sz w:val="16"/>
                <w:szCs w:val="16"/>
                <w:lang w:val="en-GB"/>
              </w:rPr>
              <w:t xml:space="preserve"> </w:t>
            </w:r>
          </w:p>
        </w:tc>
        <w:tc>
          <w:tcPr>
            <w:tcW w:w="2976" w:type="dxa"/>
            <w:shd w:val="clear" w:color="auto" w:fill="E8E8E8" w:themeFill="background2"/>
          </w:tcPr>
          <w:p w14:paraId="76842498" w14:textId="302237E6" w:rsidR="00962320" w:rsidRPr="009F496D" w:rsidRDefault="009675A6" w:rsidP="00962320">
            <w:pPr>
              <w:pStyle w:val="NoSpacing"/>
              <w:rPr>
                <w:rFonts w:ascii="Calibri" w:eastAsia="Calibri" w:hAnsi="Calibri" w:cs="Calibri"/>
                <w:sz w:val="16"/>
                <w:szCs w:val="16"/>
              </w:rPr>
            </w:pPr>
            <w:r>
              <w:rPr>
                <w:rFonts w:ascii="Calibri" w:eastAsia="Calibri" w:hAnsi="Calibri" w:cs="Calibri"/>
                <w:sz w:val="16"/>
                <w:szCs w:val="16"/>
              </w:rPr>
              <w:t xml:space="preserve">9a)-9d) </w:t>
            </w:r>
            <w:r w:rsidRPr="60676934">
              <w:rPr>
                <w:rFonts w:ascii="Calibri" w:eastAsia="Calibri" w:hAnsi="Calibri" w:cs="Calibri"/>
                <w:sz w:val="16"/>
                <w:szCs w:val="16"/>
              </w:rPr>
              <w:t>SPC is in support of this recommendation, with specific details mentioned in recommendation 8</w:t>
            </w:r>
            <w:r>
              <w:rPr>
                <w:rFonts w:ascii="Calibri" w:eastAsia="Calibri" w:hAnsi="Calibri" w:cs="Calibri"/>
                <w:sz w:val="16"/>
                <w:szCs w:val="16"/>
              </w:rPr>
              <w:t>.</w:t>
            </w:r>
          </w:p>
        </w:tc>
        <w:tc>
          <w:tcPr>
            <w:tcW w:w="1560" w:type="dxa"/>
            <w:shd w:val="clear" w:color="auto" w:fill="E8E8E8" w:themeFill="background2"/>
          </w:tcPr>
          <w:p w14:paraId="1FA52A6A" w14:textId="25C5ABAA" w:rsidR="009675A6" w:rsidRDefault="009675A6" w:rsidP="009675A6">
            <w:pPr>
              <w:pStyle w:val="NoSpacing"/>
              <w:rPr>
                <w:rFonts w:ascii="Calibri" w:eastAsia="Calibri" w:hAnsi="Calibri" w:cs="Calibri"/>
                <w:sz w:val="16"/>
                <w:szCs w:val="16"/>
              </w:rPr>
            </w:pPr>
            <w:r>
              <w:rPr>
                <w:rFonts w:ascii="Calibri" w:eastAsia="Calibri" w:hAnsi="Calibri" w:cs="Calibri"/>
                <w:sz w:val="16"/>
                <w:szCs w:val="16"/>
              </w:rPr>
              <w:t xml:space="preserve">9a) The up-coming tender process will provide the opportunity to propose next steps for how to review the logic. </w:t>
            </w:r>
          </w:p>
          <w:p w14:paraId="1E58DD3B" w14:textId="77777777" w:rsidR="009675A6" w:rsidRDefault="009675A6" w:rsidP="009675A6">
            <w:pPr>
              <w:pStyle w:val="NoSpacing"/>
              <w:rPr>
                <w:rFonts w:ascii="Calibri" w:eastAsia="Calibri" w:hAnsi="Calibri" w:cs="Calibri"/>
                <w:sz w:val="16"/>
                <w:szCs w:val="16"/>
              </w:rPr>
            </w:pPr>
          </w:p>
          <w:p w14:paraId="2BBFFC96" w14:textId="4ADDB67F" w:rsidR="00962320" w:rsidRPr="009F496D" w:rsidRDefault="009675A6" w:rsidP="009675A6">
            <w:pPr>
              <w:pStyle w:val="NoSpacing"/>
              <w:rPr>
                <w:rFonts w:ascii="Calibri" w:eastAsia="Calibri" w:hAnsi="Calibri" w:cs="Calibri"/>
                <w:sz w:val="16"/>
                <w:szCs w:val="16"/>
              </w:rPr>
            </w:pPr>
            <w:r>
              <w:rPr>
                <w:rFonts w:ascii="Calibri" w:eastAsia="Calibri" w:hAnsi="Calibri" w:cs="Calibri"/>
                <w:sz w:val="16"/>
                <w:szCs w:val="16"/>
              </w:rPr>
              <w:t>9b</w:t>
            </w:r>
            <w:r w:rsidR="00B31B22">
              <w:rPr>
                <w:rFonts w:ascii="Calibri" w:eastAsia="Calibri" w:hAnsi="Calibri" w:cs="Calibri"/>
                <w:sz w:val="16"/>
                <w:szCs w:val="16"/>
              </w:rPr>
              <w:t>-d</w:t>
            </w:r>
            <w:r>
              <w:rPr>
                <w:rFonts w:ascii="Calibri" w:eastAsia="Calibri" w:hAnsi="Calibri" w:cs="Calibri"/>
                <w:sz w:val="16"/>
                <w:szCs w:val="16"/>
              </w:rPr>
              <w:t>) PWLES agrees with th</w:t>
            </w:r>
            <w:r w:rsidR="00B31B22">
              <w:rPr>
                <w:rFonts w:ascii="Calibri" w:eastAsia="Calibri" w:hAnsi="Calibri" w:cs="Calibri"/>
                <w:sz w:val="16"/>
                <w:szCs w:val="16"/>
              </w:rPr>
              <w:t xml:space="preserve">ese </w:t>
            </w:r>
            <w:r>
              <w:rPr>
                <w:rFonts w:ascii="Calibri" w:eastAsia="Calibri" w:hAnsi="Calibri" w:cs="Calibri"/>
                <w:sz w:val="16"/>
                <w:szCs w:val="16"/>
              </w:rPr>
              <w:t>recommendation</w:t>
            </w:r>
            <w:r w:rsidR="00B31B22">
              <w:rPr>
                <w:rFonts w:ascii="Calibri" w:eastAsia="Calibri" w:hAnsi="Calibri" w:cs="Calibri"/>
                <w:sz w:val="16"/>
                <w:szCs w:val="16"/>
              </w:rPr>
              <w:t xml:space="preserve">s and will work with </w:t>
            </w:r>
            <w:r w:rsidR="00AA751F">
              <w:rPr>
                <w:rFonts w:ascii="Calibri" w:eastAsia="Calibri" w:hAnsi="Calibri" w:cs="Calibri"/>
                <w:sz w:val="16"/>
                <w:szCs w:val="16"/>
              </w:rPr>
              <w:t xml:space="preserve">lead components to support their implementation. </w:t>
            </w:r>
          </w:p>
        </w:tc>
        <w:tc>
          <w:tcPr>
            <w:tcW w:w="992" w:type="dxa"/>
          </w:tcPr>
          <w:p w14:paraId="67BD8E0F" w14:textId="01778A71" w:rsidR="00962320" w:rsidRPr="009F496D" w:rsidRDefault="00962320" w:rsidP="00962320">
            <w:pPr>
              <w:pStyle w:val="NoSpacing"/>
              <w:rPr>
                <w:rFonts w:ascii="Calibri" w:eastAsia="Calibri" w:hAnsi="Calibri" w:cs="Calibri"/>
                <w:sz w:val="16"/>
                <w:szCs w:val="16"/>
              </w:rPr>
            </w:pPr>
            <w:r>
              <w:rPr>
                <w:rFonts w:ascii="Calibri" w:eastAsia="Calibri" w:hAnsi="Calibri" w:cs="Calibri"/>
                <w:sz w:val="16"/>
                <w:szCs w:val="16"/>
              </w:rPr>
              <w:t>Q2 2026 and beyond</w:t>
            </w:r>
          </w:p>
        </w:tc>
      </w:tr>
      <w:bookmarkEnd w:id="0"/>
    </w:tbl>
    <w:p w14:paraId="0A8E0FE5" w14:textId="77777777" w:rsidR="008835B0" w:rsidRDefault="008835B0" w:rsidP="008835B0"/>
    <w:sectPr w:rsidR="008835B0" w:rsidSect="008835B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8376" w14:textId="77777777" w:rsidR="00572431" w:rsidRDefault="00572431" w:rsidP="00B952DC">
      <w:pPr>
        <w:spacing w:after="0" w:line="240" w:lineRule="auto"/>
      </w:pPr>
      <w:r>
        <w:separator/>
      </w:r>
    </w:p>
  </w:endnote>
  <w:endnote w:type="continuationSeparator" w:id="0">
    <w:p w14:paraId="2C884E4B" w14:textId="77777777" w:rsidR="00572431" w:rsidRDefault="00572431" w:rsidP="00B95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33372" w14:textId="77777777" w:rsidR="00572431" w:rsidRDefault="00572431" w:rsidP="00B952DC">
      <w:pPr>
        <w:spacing w:after="0" w:line="240" w:lineRule="auto"/>
      </w:pPr>
      <w:r>
        <w:separator/>
      </w:r>
    </w:p>
  </w:footnote>
  <w:footnote w:type="continuationSeparator" w:id="0">
    <w:p w14:paraId="59EFF71D" w14:textId="77777777" w:rsidR="00572431" w:rsidRDefault="00572431" w:rsidP="00B952DC">
      <w:pPr>
        <w:spacing w:after="0" w:line="240" w:lineRule="auto"/>
      </w:pPr>
      <w:r>
        <w:continuationSeparator/>
      </w:r>
    </w:p>
  </w:footnote>
  <w:footnote w:id="1">
    <w:p w14:paraId="782323F6" w14:textId="00B83A5A" w:rsidR="00B952DC" w:rsidRDefault="00B952DC">
      <w:pPr>
        <w:pStyle w:val="FootnoteText"/>
      </w:pPr>
      <w:r>
        <w:rPr>
          <w:rStyle w:val="FootnoteReference"/>
        </w:rPr>
        <w:footnoteRef/>
      </w:r>
      <w:r>
        <w:t xml:space="preserve"> Levels of Agreement: </w:t>
      </w:r>
      <w:r w:rsidRPr="00B952DC">
        <w:t>agree; partially agree; disagree.</w:t>
      </w:r>
    </w:p>
  </w:footnote>
  <w:footnote w:id="2">
    <w:p w14:paraId="6E1395D8" w14:textId="77777777" w:rsidR="00F7443C" w:rsidRDefault="00F7443C">
      <w:pPr>
        <w:pStyle w:val="FootnoteText"/>
      </w:pPr>
      <w:r>
        <w:rPr>
          <w:rStyle w:val="FootnoteReference"/>
        </w:rPr>
        <w:footnoteRef/>
      </w:r>
      <w:r>
        <w:t xml:space="preserve"> </w:t>
      </w:r>
      <w:r w:rsidRPr="00AF0B24">
        <w:rPr>
          <w:rFonts w:ascii="Calibri" w:eastAsia="Calibri" w:hAnsi="Calibri" w:cs="Calibri"/>
          <w:sz w:val="16"/>
          <w:szCs w:val="16"/>
        </w:rPr>
        <w:t>Levels of Agreement: agree; partially agree; disagree.</w:t>
      </w:r>
    </w:p>
  </w:footnote>
</w:footnotes>
</file>

<file path=word/intelligence2.xml><?xml version="1.0" encoding="utf-8"?>
<int2:intelligence xmlns:int2="http://schemas.microsoft.com/office/intelligence/2020/intelligence" xmlns:oel="http://schemas.microsoft.com/office/2019/extlst">
  <int2:observations>
    <int2:textHash int2:hashCode="tCwW1lnK/u9KuB" int2:id="isVTK9VK">
      <int2:state int2:value="Rejected" int2:type="spell"/>
    </int2:textHash>
    <int2:textHash int2:hashCode="17ShXkmfgQoRN6" int2:id="RszmX5W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1AAA"/>
    <w:multiLevelType w:val="hybridMultilevel"/>
    <w:tmpl w:val="01624B56"/>
    <w:lvl w:ilvl="0" w:tplc="8A545924">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522CB0"/>
    <w:multiLevelType w:val="hybridMultilevel"/>
    <w:tmpl w:val="37DA1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FD45CD"/>
    <w:multiLevelType w:val="hybridMultilevel"/>
    <w:tmpl w:val="F8AA1BCA"/>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7A5BCD"/>
    <w:multiLevelType w:val="multilevel"/>
    <w:tmpl w:val="0BBC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90671"/>
    <w:multiLevelType w:val="hybridMultilevel"/>
    <w:tmpl w:val="FE50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50DA3"/>
    <w:multiLevelType w:val="hybridMultilevel"/>
    <w:tmpl w:val="4E8CB838"/>
    <w:lvl w:ilvl="0" w:tplc="BE601798">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CA39B9"/>
    <w:multiLevelType w:val="hybridMultilevel"/>
    <w:tmpl w:val="70DE7D7A"/>
    <w:lvl w:ilvl="0" w:tplc="D9CC262E">
      <w:start w:val="3"/>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4D534E"/>
    <w:multiLevelType w:val="hybridMultilevel"/>
    <w:tmpl w:val="903A881C"/>
    <w:lvl w:ilvl="0" w:tplc="B95C7C2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58568B"/>
    <w:multiLevelType w:val="multilevel"/>
    <w:tmpl w:val="C3D8D7E0"/>
    <w:styleLink w:val="1ai"/>
    <w:lvl w:ilvl="0">
      <w:start w:val="1"/>
      <w:numFmt w:val="decimal"/>
      <w:pStyle w:val="ListNumber"/>
      <w:lvlText w:val="%1."/>
      <w:lvlJc w:val="left"/>
      <w:pPr>
        <w:ind w:left="360" w:hanging="360"/>
      </w:pPr>
      <w:rPr>
        <w:rFonts w:hint="default"/>
        <w:b w:val="0"/>
        <w:i w:val="0"/>
        <w:color w:val="156082" w:themeColor="accent1"/>
      </w:rPr>
    </w:lvl>
    <w:lvl w:ilvl="1">
      <w:start w:val="1"/>
      <w:numFmt w:val="lowerLetter"/>
      <w:pStyle w:val="ListNumber2"/>
      <w:lvlText w:val="%2."/>
      <w:lvlJc w:val="left"/>
      <w:pPr>
        <w:ind w:left="720" w:hanging="360"/>
      </w:pPr>
      <w:rPr>
        <w:rFonts w:hint="default"/>
        <w:b w:val="0"/>
        <w:i w:val="0"/>
        <w:color w:val="A02B93" w:themeColor="accent5"/>
      </w:rPr>
    </w:lvl>
    <w:lvl w:ilvl="2">
      <w:start w:val="1"/>
      <w:numFmt w:val="none"/>
      <w:suff w:val="nothing"/>
      <w:lvlText w:val=""/>
      <w:lvlJc w:val="left"/>
      <w:pPr>
        <w:ind w:left="0" w:firstLine="0"/>
      </w:pPr>
      <w:rPr>
        <w:rFonts w:hint="default"/>
        <w:b w:val="0"/>
        <w:i w:val="0"/>
      </w:rPr>
    </w:lvl>
    <w:lvl w:ilvl="3">
      <w:start w:val="1"/>
      <w:numFmt w:val="none"/>
      <w:suff w:val="nothing"/>
      <w:lvlText w:val=""/>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6F65B98"/>
    <w:multiLevelType w:val="hybridMultilevel"/>
    <w:tmpl w:val="8FC03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9E44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DC63F7"/>
    <w:multiLevelType w:val="hybridMultilevel"/>
    <w:tmpl w:val="5672EF42"/>
    <w:lvl w:ilvl="0" w:tplc="3A728C56">
      <w:start w:val="1"/>
      <w:numFmt w:val="lowerLetter"/>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F1032"/>
    <w:multiLevelType w:val="hybridMultilevel"/>
    <w:tmpl w:val="1122B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920E1E"/>
    <w:multiLevelType w:val="hybridMultilevel"/>
    <w:tmpl w:val="B39CFA8E"/>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A41282"/>
    <w:multiLevelType w:val="multilevel"/>
    <w:tmpl w:val="AD565A2C"/>
    <w:lvl w:ilvl="0">
      <w:start w:val="1"/>
      <w:numFmt w:val="bullet"/>
      <w:pStyle w:val="ListBullet"/>
      <w:lvlText w:val=""/>
      <w:lvlJc w:val="left"/>
      <w:pPr>
        <w:tabs>
          <w:tab w:val="num" w:pos="360"/>
        </w:tabs>
        <w:ind w:left="360" w:hanging="360"/>
      </w:pPr>
      <w:rPr>
        <w:rFonts w:ascii="Symbol" w:hAnsi="Symbol" w:hint="default"/>
        <w:color w:val="156082" w:themeColor="accent1"/>
      </w:rPr>
    </w:lvl>
    <w:lvl w:ilvl="1">
      <w:start w:val="1"/>
      <w:numFmt w:val="bullet"/>
      <w:pStyle w:val="ListBullet2"/>
      <w:lvlText w:val=""/>
      <w:lvlJc w:val="left"/>
      <w:pPr>
        <w:ind w:left="720" w:hanging="363"/>
      </w:pPr>
      <w:rPr>
        <w:rFonts w:ascii="Symbol" w:hAnsi="Symbol" w:hint="default"/>
        <w:color w:val="A02B93" w:themeColor="accent5"/>
      </w:rPr>
    </w:lvl>
    <w:lvl w:ilvl="2">
      <w:start w:val="1"/>
      <w:numFmt w:val="bullet"/>
      <w:pStyle w:val="ListBullet3"/>
      <w:lvlText w:val=""/>
      <w:lvlJc w:val="left"/>
      <w:pPr>
        <w:tabs>
          <w:tab w:val="num" w:pos="1503"/>
        </w:tabs>
        <w:ind w:left="1503" w:hanging="227"/>
      </w:pPr>
      <w:rPr>
        <w:rFonts w:ascii="Symbol" w:hAnsi="Symbol" w:hint="default"/>
        <w:color w:val="196B24" w:themeColor="accent3"/>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CDB51A3"/>
    <w:multiLevelType w:val="hybridMultilevel"/>
    <w:tmpl w:val="744622B2"/>
    <w:lvl w:ilvl="0" w:tplc="8FC630AC">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AF01DD"/>
    <w:multiLevelType w:val="hybridMultilevel"/>
    <w:tmpl w:val="6D5852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9815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3D74EBC"/>
    <w:multiLevelType w:val="hybridMultilevel"/>
    <w:tmpl w:val="1ECE40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B13F72"/>
    <w:multiLevelType w:val="multilevel"/>
    <w:tmpl w:val="749C28EC"/>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EA30421"/>
    <w:multiLevelType w:val="hybridMultilevel"/>
    <w:tmpl w:val="32E27350"/>
    <w:lvl w:ilvl="0" w:tplc="D1A2DB80">
      <w:start w:val="3"/>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5D4111"/>
    <w:multiLevelType w:val="multilevel"/>
    <w:tmpl w:val="EA28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E318E9"/>
    <w:multiLevelType w:val="hybridMultilevel"/>
    <w:tmpl w:val="1ECE408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7262240"/>
    <w:multiLevelType w:val="hybridMultilevel"/>
    <w:tmpl w:val="0108E3E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B052D3"/>
    <w:multiLevelType w:val="hybridMultilevel"/>
    <w:tmpl w:val="725CA756"/>
    <w:lvl w:ilvl="0" w:tplc="B95C7C2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A137C6"/>
    <w:multiLevelType w:val="hybridMultilevel"/>
    <w:tmpl w:val="BB08C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C710C5"/>
    <w:multiLevelType w:val="hybridMultilevel"/>
    <w:tmpl w:val="2A2E7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997A5B"/>
    <w:multiLevelType w:val="hybridMultilevel"/>
    <w:tmpl w:val="763AECCE"/>
    <w:lvl w:ilvl="0" w:tplc="380ECBD0">
      <w:start w:val="3"/>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951D7F"/>
    <w:multiLevelType w:val="hybridMultilevel"/>
    <w:tmpl w:val="A21EEF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A91870"/>
    <w:multiLevelType w:val="hybridMultilevel"/>
    <w:tmpl w:val="4FA61A0C"/>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017DE5"/>
    <w:multiLevelType w:val="hybridMultilevel"/>
    <w:tmpl w:val="078E1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403AC4"/>
    <w:multiLevelType w:val="hybridMultilevel"/>
    <w:tmpl w:val="81C8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734EBC"/>
    <w:multiLevelType w:val="multilevel"/>
    <w:tmpl w:val="B128EC6E"/>
    <w:lvl w:ilvl="0">
      <w:start w:val="1"/>
      <w:numFmt w:val="decimal"/>
      <w:lvlText w:val="%1)"/>
      <w:lvlJc w:val="left"/>
      <w:pPr>
        <w:ind w:left="360" w:hanging="360"/>
      </w:pPr>
      <w:rPr>
        <w:rFonts w:hint="default"/>
        <w:b/>
        <w:bCs/>
        <w:sz w:val="16"/>
        <w:szCs w:val="16"/>
      </w:rPr>
    </w:lvl>
    <w:lvl w:ilvl="1">
      <w:start w:val="1"/>
      <w:numFmt w:val="lowerLetter"/>
      <w:lvlText w:val="%2)"/>
      <w:lvlJc w:val="left"/>
      <w:pPr>
        <w:ind w:left="720" w:hanging="360"/>
      </w:pPr>
      <w:rPr>
        <w:rFonts w:hint="default"/>
        <w:b/>
        <w:bCs/>
        <w:sz w:val="16"/>
        <w:szCs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8679818">
    <w:abstractNumId w:val="8"/>
  </w:num>
  <w:num w:numId="2" w16cid:durableId="592396613">
    <w:abstractNumId w:val="10"/>
  </w:num>
  <w:num w:numId="3" w16cid:durableId="681931259">
    <w:abstractNumId w:val="32"/>
  </w:num>
  <w:num w:numId="4" w16cid:durableId="1271157502">
    <w:abstractNumId w:val="14"/>
  </w:num>
  <w:num w:numId="5" w16cid:durableId="1116942816">
    <w:abstractNumId w:val="2"/>
  </w:num>
  <w:num w:numId="6" w16cid:durableId="1557275374">
    <w:abstractNumId w:val="17"/>
  </w:num>
  <w:num w:numId="7" w16cid:durableId="520317529">
    <w:abstractNumId w:val="13"/>
  </w:num>
  <w:num w:numId="8" w16cid:durableId="1871331467">
    <w:abstractNumId w:val="29"/>
  </w:num>
  <w:num w:numId="9" w16cid:durableId="1064137126">
    <w:abstractNumId w:val="19"/>
  </w:num>
  <w:num w:numId="10" w16cid:durableId="227692880">
    <w:abstractNumId w:val="11"/>
  </w:num>
  <w:num w:numId="11" w16cid:durableId="1228103122">
    <w:abstractNumId w:val="0"/>
  </w:num>
  <w:num w:numId="12" w16cid:durableId="681321047">
    <w:abstractNumId w:val="1"/>
  </w:num>
  <w:num w:numId="13" w16cid:durableId="2034912417">
    <w:abstractNumId w:val="30"/>
  </w:num>
  <w:num w:numId="14" w16cid:durableId="1766684361">
    <w:abstractNumId w:val="15"/>
  </w:num>
  <w:num w:numId="15" w16cid:durableId="1908765497">
    <w:abstractNumId w:val="4"/>
  </w:num>
  <w:num w:numId="16" w16cid:durableId="2104718854">
    <w:abstractNumId w:val="9"/>
  </w:num>
  <w:num w:numId="17" w16cid:durableId="798299614">
    <w:abstractNumId w:val="5"/>
  </w:num>
  <w:num w:numId="18" w16cid:durableId="1768230628">
    <w:abstractNumId w:val="28"/>
  </w:num>
  <w:num w:numId="19" w16cid:durableId="892890087">
    <w:abstractNumId w:val="25"/>
  </w:num>
  <w:num w:numId="20" w16cid:durableId="1215627368">
    <w:abstractNumId w:val="16"/>
  </w:num>
  <w:num w:numId="21" w16cid:durableId="1173958627">
    <w:abstractNumId w:val="26"/>
  </w:num>
  <w:num w:numId="22" w16cid:durableId="880895287">
    <w:abstractNumId w:val="18"/>
  </w:num>
  <w:num w:numId="23" w16cid:durableId="422453027">
    <w:abstractNumId w:val="12"/>
  </w:num>
  <w:num w:numId="24" w16cid:durableId="1717003607">
    <w:abstractNumId w:val="31"/>
  </w:num>
  <w:num w:numId="25" w16cid:durableId="1685979246">
    <w:abstractNumId w:val="22"/>
  </w:num>
  <w:num w:numId="26" w16cid:durableId="1413892241">
    <w:abstractNumId w:val="3"/>
  </w:num>
  <w:num w:numId="27" w16cid:durableId="49890329">
    <w:abstractNumId w:val="21"/>
  </w:num>
  <w:num w:numId="28" w16cid:durableId="821822252">
    <w:abstractNumId w:val="27"/>
  </w:num>
  <w:num w:numId="29" w16cid:durableId="1062095605">
    <w:abstractNumId w:val="20"/>
  </w:num>
  <w:num w:numId="30" w16cid:durableId="394015194">
    <w:abstractNumId w:val="6"/>
  </w:num>
  <w:num w:numId="31" w16cid:durableId="1675568542">
    <w:abstractNumId w:val="8"/>
    <w:lvlOverride w:ilvl="0">
      <w:lvl w:ilvl="0">
        <w:start w:val="1"/>
        <w:numFmt w:val="decimal"/>
        <w:pStyle w:val="ListNumber"/>
        <w:lvlText w:val="%1."/>
        <w:lvlJc w:val="left"/>
        <w:pPr>
          <w:ind w:left="360" w:hanging="360"/>
        </w:pPr>
        <w:rPr>
          <w:rFonts w:hint="default"/>
          <w:b w:val="0"/>
          <w:i w:val="0"/>
          <w:color w:val="156082" w:themeColor="accent1"/>
        </w:rPr>
      </w:lvl>
    </w:lvlOverride>
    <w:lvlOverride w:ilvl="1">
      <w:lvl w:ilvl="1">
        <w:start w:val="1"/>
        <w:numFmt w:val="lowerLetter"/>
        <w:pStyle w:val="ListNumber2"/>
        <w:lvlText w:val="%2."/>
        <w:lvlJc w:val="left"/>
        <w:pPr>
          <w:ind w:left="720" w:hanging="360"/>
        </w:pPr>
        <w:rPr>
          <w:rFonts w:hint="default"/>
          <w:b w:val="0"/>
          <w:i w:val="0"/>
          <w:color w:val="A02B93" w:themeColor="accent5"/>
        </w:rPr>
      </w:lvl>
    </w:lvlOverride>
    <w:lvlOverride w:ilvl="2">
      <w:lvl w:ilvl="2">
        <w:start w:val="1"/>
        <w:numFmt w:val="none"/>
        <w:suff w:val="nothing"/>
        <w:lvlText w:val=""/>
        <w:lvlJc w:val="left"/>
        <w:pPr>
          <w:ind w:left="0" w:firstLine="0"/>
        </w:pPr>
        <w:rPr>
          <w:rFonts w:hint="default"/>
          <w:b w:val="0"/>
          <w:i w:val="0"/>
        </w:rPr>
      </w:lvl>
    </w:lvlOverride>
    <w:lvlOverride w:ilvl="3">
      <w:lvl w:ilvl="3">
        <w:start w:val="1"/>
        <w:numFmt w:val="none"/>
        <w:suff w:val="nothing"/>
        <w:lvlText w:val=""/>
        <w:lvlJc w:val="left"/>
        <w:pPr>
          <w:ind w:left="0" w:firstLine="0"/>
        </w:pPr>
        <w:rPr>
          <w:rFonts w:hint="default"/>
          <w:b w:val="0"/>
          <w:i w:val="0"/>
        </w:rPr>
      </w:lvl>
    </w:lvlOverride>
    <w:lvlOverride w:ilvl="4">
      <w:lvl w:ilvl="4">
        <w:start w:val="1"/>
        <w:numFmt w:val="none"/>
        <w:suff w:val="nothing"/>
        <w:lvlText w:val=""/>
        <w:lvlJc w:val="left"/>
        <w:pPr>
          <w:ind w:left="0" w:firstLine="0"/>
        </w:pPr>
        <w:rPr>
          <w:rFonts w:hint="default"/>
          <w:b w:val="0"/>
          <w:i w:val="0"/>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2" w16cid:durableId="1588467265">
    <w:abstractNumId w:val="23"/>
  </w:num>
  <w:num w:numId="33" w16cid:durableId="1896815929">
    <w:abstractNumId w:val="7"/>
  </w:num>
  <w:num w:numId="34" w16cid:durableId="12595554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B0"/>
    <w:rsid w:val="00006FEE"/>
    <w:rsid w:val="000262CD"/>
    <w:rsid w:val="00042CFE"/>
    <w:rsid w:val="00060FE5"/>
    <w:rsid w:val="000674D6"/>
    <w:rsid w:val="000765AF"/>
    <w:rsid w:val="000913F2"/>
    <w:rsid w:val="00094087"/>
    <w:rsid w:val="0009433C"/>
    <w:rsid w:val="000A0830"/>
    <w:rsid w:val="000A286B"/>
    <w:rsid w:val="000A4C1F"/>
    <w:rsid w:val="000A6A31"/>
    <w:rsid w:val="000B2E6B"/>
    <w:rsid w:val="000B5068"/>
    <w:rsid w:val="000B57B5"/>
    <w:rsid w:val="000C456D"/>
    <w:rsid w:val="000C53BA"/>
    <w:rsid w:val="000D2368"/>
    <w:rsid w:val="000F1F22"/>
    <w:rsid w:val="001012F3"/>
    <w:rsid w:val="00107000"/>
    <w:rsid w:val="0011188C"/>
    <w:rsid w:val="001126F3"/>
    <w:rsid w:val="00113631"/>
    <w:rsid w:val="00116C75"/>
    <w:rsid w:val="00123ED2"/>
    <w:rsid w:val="001474B4"/>
    <w:rsid w:val="00151C3E"/>
    <w:rsid w:val="0016022A"/>
    <w:rsid w:val="00160B42"/>
    <w:rsid w:val="00180931"/>
    <w:rsid w:val="0019545D"/>
    <w:rsid w:val="001A6F47"/>
    <w:rsid w:val="001B393F"/>
    <w:rsid w:val="001B3EF9"/>
    <w:rsid w:val="001D6F4E"/>
    <w:rsid w:val="001E47CE"/>
    <w:rsid w:val="001F09DC"/>
    <w:rsid w:val="002031A7"/>
    <w:rsid w:val="002074AB"/>
    <w:rsid w:val="00207887"/>
    <w:rsid w:val="00225723"/>
    <w:rsid w:val="002313E4"/>
    <w:rsid w:val="00231F72"/>
    <w:rsid w:val="00234CFE"/>
    <w:rsid w:val="00241BBD"/>
    <w:rsid w:val="0024343F"/>
    <w:rsid w:val="00254E2C"/>
    <w:rsid w:val="002659B0"/>
    <w:rsid w:val="002703C1"/>
    <w:rsid w:val="00275664"/>
    <w:rsid w:val="00276272"/>
    <w:rsid w:val="00277CEC"/>
    <w:rsid w:val="00292D35"/>
    <w:rsid w:val="00294DFB"/>
    <w:rsid w:val="002969DC"/>
    <w:rsid w:val="00296ADD"/>
    <w:rsid w:val="002A08FB"/>
    <w:rsid w:val="002A097F"/>
    <w:rsid w:val="002A1E1A"/>
    <w:rsid w:val="002A6178"/>
    <w:rsid w:val="002A6E96"/>
    <w:rsid w:val="002B0F87"/>
    <w:rsid w:val="002B138F"/>
    <w:rsid w:val="002C0A80"/>
    <w:rsid w:val="002C3A67"/>
    <w:rsid w:val="002C6E43"/>
    <w:rsid w:val="002D1565"/>
    <w:rsid w:val="002D4D5B"/>
    <w:rsid w:val="002E1D36"/>
    <w:rsid w:val="002F5459"/>
    <w:rsid w:val="003030CA"/>
    <w:rsid w:val="003037AB"/>
    <w:rsid w:val="0032114B"/>
    <w:rsid w:val="00322721"/>
    <w:rsid w:val="00322AF2"/>
    <w:rsid w:val="00331535"/>
    <w:rsid w:val="003316B4"/>
    <w:rsid w:val="0033574A"/>
    <w:rsid w:val="003358DD"/>
    <w:rsid w:val="00336155"/>
    <w:rsid w:val="00344ED3"/>
    <w:rsid w:val="00346ADA"/>
    <w:rsid w:val="00351354"/>
    <w:rsid w:val="003673A4"/>
    <w:rsid w:val="003711A8"/>
    <w:rsid w:val="00374100"/>
    <w:rsid w:val="00374ECA"/>
    <w:rsid w:val="003750D0"/>
    <w:rsid w:val="00381FBF"/>
    <w:rsid w:val="0038332A"/>
    <w:rsid w:val="00383A92"/>
    <w:rsid w:val="00384DD1"/>
    <w:rsid w:val="003950EC"/>
    <w:rsid w:val="003A0B55"/>
    <w:rsid w:val="003A0D77"/>
    <w:rsid w:val="003A5F3E"/>
    <w:rsid w:val="003B7754"/>
    <w:rsid w:val="003D6AA7"/>
    <w:rsid w:val="003D6B37"/>
    <w:rsid w:val="003D6E10"/>
    <w:rsid w:val="003E361B"/>
    <w:rsid w:val="003F349F"/>
    <w:rsid w:val="004003A7"/>
    <w:rsid w:val="00402292"/>
    <w:rsid w:val="00405344"/>
    <w:rsid w:val="00411502"/>
    <w:rsid w:val="004118FC"/>
    <w:rsid w:val="00416DEB"/>
    <w:rsid w:val="004263AA"/>
    <w:rsid w:val="0042789E"/>
    <w:rsid w:val="004320DC"/>
    <w:rsid w:val="00436526"/>
    <w:rsid w:val="00460E1B"/>
    <w:rsid w:val="0048401C"/>
    <w:rsid w:val="0048642B"/>
    <w:rsid w:val="004865BF"/>
    <w:rsid w:val="0049164A"/>
    <w:rsid w:val="004921FF"/>
    <w:rsid w:val="00492A81"/>
    <w:rsid w:val="00492F2D"/>
    <w:rsid w:val="00495286"/>
    <w:rsid w:val="00497FA8"/>
    <w:rsid w:val="004B3E5E"/>
    <w:rsid w:val="004C14B7"/>
    <w:rsid w:val="004C4276"/>
    <w:rsid w:val="004D679B"/>
    <w:rsid w:val="004E376B"/>
    <w:rsid w:val="00517406"/>
    <w:rsid w:val="00525E07"/>
    <w:rsid w:val="00536E67"/>
    <w:rsid w:val="00541D82"/>
    <w:rsid w:val="00561272"/>
    <w:rsid w:val="00563C79"/>
    <w:rsid w:val="005666F0"/>
    <w:rsid w:val="00566C04"/>
    <w:rsid w:val="00567E62"/>
    <w:rsid w:val="00572431"/>
    <w:rsid w:val="00577648"/>
    <w:rsid w:val="00586889"/>
    <w:rsid w:val="00586935"/>
    <w:rsid w:val="00587661"/>
    <w:rsid w:val="005D6DAF"/>
    <w:rsid w:val="005F4F4A"/>
    <w:rsid w:val="00604E13"/>
    <w:rsid w:val="00616152"/>
    <w:rsid w:val="00621A54"/>
    <w:rsid w:val="00631CDF"/>
    <w:rsid w:val="00635229"/>
    <w:rsid w:val="00635CB5"/>
    <w:rsid w:val="0064467C"/>
    <w:rsid w:val="006507D1"/>
    <w:rsid w:val="00655FA7"/>
    <w:rsid w:val="00660318"/>
    <w:rsid w:val="006641F9"/>
    <w:rsid w:val="00670DB8"/>
    <w:rsid w:val="00673E9A"/>
    <w:rsid w:val="00682905"/>
    <w:rsid w:val="00695173"/>
    <w:rsid w:val="006A3C5C"/>
    <w:rsid w:val="006A61F1"/>
    <w:rsid w:val="006B5B49"/>
    <w:rsid w:val="006E3D48"/>
    <w:rsid w:val="006E3F89"/>
    <w:rsid w:val="006E793C"/>
    <w:rsid w:val="006F07E4"/>
    <w:rsid w:val="0070662C"/>
    <w:rsid w:val="00712D5C"/>
    <w:rsid w:val="00717525"/>
    <w:rsid w:val="007233F3"/>
    <w:rsid w:val="00723856"/>
    <w:rsid w:val="00726A2B"/>
    <w:rsid w:val="00731931"/>
    <w:rsid w:val="00745E94"/>
    <w:rsid w:val="007477E9"/>
    <w:rsid w:val="007477EF"/>
    <w:rsid w:val="00766729"/>
    <w:rsid w:val="0077457E"/>
    <w:rsid w:val="00782C5A"/>
    <w:rsid w:val="007B0EC9"/>
    <w:rsid w:val="007B4318"/>
    <w:rsid w:val="007B550D"/>
    <w:rsid w:val="007C0FCD"/>
    <w:rsid w:val="007C6867"/>
    <w:rsid w:val="007D004D"/>
    <w:rsid w:val="007D18FF"/>
    <w:rsid w:val="007E22C9"/>
    <w:rsid w:val="00805FA1"/>
    <w:rsid w:val="00820AAD"/>
    <w:rsid w:val="00824CBC"/>
    <w:rsid w:val="00832694"/>
    <w:rsid w:val="0084370A"/>
    <w:rsid w:val="00844DB2"/>
    <w:rsid w:val="008479F0"/>
    <w:rsid w:val="008539B3"/>
    <w:rsid w:val="00870123"/>
    <w:rsid w:val="00875708"/>
    <w:rsid w:val="008835B0"/>
    <w:rsid w:val="00890FBD"/>
    <w:rsid w:val="008973B6"/>
    <w:rsid w:val="00897422"/>
    <w:rsid w:val="008C06CC"/>
    <w:rsid w:val="008C1322"/>
    <w:rsid w:val="008C63AE"/>
    <w:rsid w:val="008E2C42"/>
    <w:rsid w:val="008F2747"/>
    <w:rsid w:val="00913536"/>
    <w:rsid w:val="00930579"/>
    <w:rsid w:val="009451EB"/>
    <w:rsid w:val="00951F26"/>
    <w:rsid w:val="00962320"/>
    <w:rsid w:val="00966C02"/>
    <w:rsid w:val="009675A6"/>
    <w:rsid w:val="00972366"/>
    <w:rsid w:val="00981A74"/>
    <w:rsid w:val="00984D00"/>
    <w:rsid w:val="009877F1"/>
    <w:rsid w:val="009A2A56"/>
    <w:rsid w:val="009A44BF"/>
    <w:rsid w:val="009A79B8"/>
    <w:rsid w:val="009B7AE4"/>
    <w:rsid w:val="009C146D"/>
    <w:rsid w:val="009D11FD"/>
    <w:rsid w:val="009D1466"/>
    <w:rsid w:val="009D7608"/>
    <w:rsid w:val="009F15D1"/>
    <w:rsid w:val="009F265A"/>
    <w:rsid w:val="009F2686"/>
    <w:rsid w:val="009F38D6"/>
    <w:rsid w:val="009F496D"/>
    <w:rsid w:val="009F68D0"/>
    <w:rsid w:val="00A06565"/>
    <w:rsid w:val="00A06C54"/>
    <w:rsid w:val="00A172F0"/>
    <w:rsid w:val="00A20F45"/>
    <w:rsid w:val="00A32D1B"/>
    <w:rsid w:val="00A35347"/>
    <w:rsid w:val="00A37BA0"/>
    <w:rsid w:val="00A5281A"/>
    <w:rsid w:val="00A617EC"/>
    <w:rsid w:val="00A64A90"/>
    <w:rsid w:val="00A7408E"/>
    <w:rsid w:val="00A757BA"/>
    <w:rsid w:val="00A94346"/>
    <w:rsid w:val="00AA1E22"/>
    <w:rsid w:val="00AA751F"/>
    <w:rsid w:val="00AB7FB6"/>
    <w:rsid w:val="00AD09C0"/>
    <w:rsid w:val="00AD28BC"/>
    <w:rsid w:val="00AD412C"/>
    <w:rsid w:val="00AD534D"/>
    <w:rsid w:val="00AE0DC7"/>
    <w:rsid w:val="00AE0EED"/>
    <w:rsid w:val="00AE5D93"/>
    <w:rsid w:val="00AE6D1A"/>
    <w:rsid w:val="00AF0B24"/>
    <w:rsid w:val="00AF3A95"/>
    <w:rsid w:val="00B05016"/>
    <w:rsid w:val="00B050B3"/>
    <w:rsid w:val="00B067D7"/>
    <w:rsid w:val="00B315E2"/>
    <w:rsid w:val="00B31B22"/>
    <w:rsid w:val="00B40103"/>
    <w:rsid w:val="00B7176D"/>
    <w:rsid w:val="00B732B4"/>
    <w:rsid w:val="00B90398"/>
    <w:rsid w:val="00B952DC"/>
    <w:rsid w:val="00BA0580"/>
    <w:rsid w:val="00BA5DA0"/>
    <w:rsid w:val="00BA6D3F"/>
    <w:rsid w:val="00BC768B"/>
    <w:rsid w:val="00BE13A9"/>
    <w:rsid w:val="00BE3E97"/>
    <w:rsid w:val="00BF2E80"/>
    <w:rsid w:val="00C101A6"/>
    <w:rsid w:val="00C30266"/>
    <w:rsid w:val="00C3101B"/>
    <w:rsid w:val="00C318B1"/>
    <w:rsid w:val="00C3273F"/>
    <w:rsid w:val="00C33077"/>
    <w:rsid w:val="00C36AE9"/>
    <w:rsid w:val="00C4328F"/>
    <w:rsid w:val="00C437FC"/>
    <w:rsid w:val="00C47ECB"/>
    <w:rsid w:val="00C55F71"/>
    <w:rsid w:val="00C65298"/>
    <w:rsid w:val="00CB6154"/>
    <w:rsid w:val="00CC5A74"/>
    <w:rsid w:val="00CD3BC6"/>
    <w:rsid w:val="00CE2334"/>
    <w:rsid w:val="00CF03D2"/>
    <w:rsid w:val="00CF1EA6"/>
    <w:rsid w:val="00D21E33"/>
    <w:rsid w:val="00D3222B"/>
    <w:rsid w:val="00D36898"/>
    <w:rsid w:val="00D400EC"/>
    <w:rsid w:val="00D45380"/>
    <w:rsid w:val="00D4749A"/>
    <w:rsid w:val="00D5366D"/>
    <w:rsid w:val="00D54175"/>
    <w:rsid w:val="00D56290"/>
    <w:rsid w:val="00D73F17"/>
    <w:rsid w:val="00D8526F"/>
    <w:rsid w:val="00D86C9E"/>
    <w:rsid w:val="00D87EC3"/>
    <w:rsid w:val="00D9342E"/>
    <w:rsid w:val="00D93EB4"/>
    <w:rsid w:val="00DA3BD2"/>
    <w:rsid w:val="00DA630F"/>
    <w:rsid w:val="00DB1AEA"/>
    <w:rsid w:val="00DB26C7"/>
    <w:rsid w:val="00DC72B1"/>
    <w:rsid w:val="00DC748B"/>
    <w:rsid w:val="00DD0EFC"/>
    <w:rsid w:val="00DD1A55"/>
    <w:rsid w:val="00DD2D75"/>
    <w:rsid w:val="00DD625B"/>
    <w:rsid w:val="00DE1B0E"/>
    <w:rsid w:val="00DF0C59"/>
    <w:rsid w:val="00DF4E00"/>
    <w:rsid w:val="00E0487E"/>
    <w:rsid w:val="00E068A3"/>
    <w:rsid w:val="00E20186"/>
    <w:rsid w:val="00E21F2C"/>
    <w:rsid w:val="00E3072D"/>
    <w:rsid w:val="00E51382"/>
    <w:rsid w:val="00E52DDB"/>
    <w:rsid w:val="00E70506"/>
    <w:rsid w:val="00E77BC1"/>
    <w:rsid w:val="00E83C69"/>
    <w:rsid w:val="00E95529"/>
    <w:rsid w:val="00EA0918"/>
    <w:rsid w:val="00EA747A"/>
    <w:rsid w:val="00EB7B3F"/>
    <w:rsid w:val="00ED05D1"/>
    <w:rsid w:val="00ED44AD"/>
    <w:rsid w:val="00ED66AB"/>
    <w:rsid w:val="00EE7E56"/>
    <w:rsid w:val="00EF70B9"/>
    <w:rsid w:val="00F03F69"/>
    <w:rsid w:val="00F16256"/>
    <w:rsid w:val="00F209CD"/>
    <w:rsid w:val="00F22A63"/>
    <w:rsid w:val="00F33D15"/>
    <w:rsid w:val="00F4230E"/>
    <w:rsid w:val="00F52AB8"/>
    <w:rsid w:val="00F62E0F"/>
    <w:rsid w:val="00F731E2"/>
    <w:rsid w:val="00F736F6"/>
    <w:rsid w:val="00F7443C"/>
    <w:rsid w:val="00F75920"/>
    <w:rsid w:val="00F7592E"/>
    <w:rsid w:val="00F95CAE"/>
    <w:rsid w:val="00F972C5"/>
    <w:rsid w:val="00FB556F"/>
    <w:rsid w:val="00FC20C0"/>
    <w:rsid w:val="00FD480E"/>
    <w:rsid w:val="00FF42AA"/>
    <w:rsid w:val="0171E1FB"/>
    <w:rsid w:val="02ADFB64"/>
    <w:rsid w:val="04488816"/>
    <w:rsid w:val="05594654"/>
    <w:rsid w:val="05AA58C3"/>
    <w:rsid w:val="07F10700"/>
    <w:rsid w:val="089FF228"/>
    <w:rsid w:val="09F6A00B"/>
    <w:rsid w:val="0C197A13"/>
    <w:rsid w:val="0E32305B"/>
    <w:rsid w:val="0F8A94C6"/>
    <w:rsid w:val="109D7CD5"/>
    <w:rsid w:val="12DB49AF"/>
    <w:rsid w:val="14264D15"/>
    <w:rsid w:val="148E8161"/>
    <w:rsid w:val="168B357F"/>
    <w:rsid w:val="17A5640C"/>
    <w:rsid w:val="1864BF8B"/>
    <w:rsid w:val="1AD9CF86"/>
    <w:rsid w:val="1B30D712"/>
    <w:rsid w:val="1BAC4DAD"/>
    <w:rsid w:val="1BD0E47D"/>
    <w:rsid w:val="1D0CC15C"/>
    <w:rsid w:val="1DC53AA0"/>
    <w:rsid w:val="1EA62B78"/>
    <w:rsid w:val="20B9910D"/>
    <w:rsid w:val="21716277"/>
    <w:rsid w:val="217D2A34"/>
    <w:rsid w:val="217E0F6A"/>
    <w:rsid w:val="21FAF7E6"/>
    <w:rsid w:val="22F2C763"/>
    <w:rsid w:val="22FD924D"/>
    <w:rsid w:val="2314DBA7"/>
    <w:rsid w:val="237700FA"/>
    <w:rsid w:val="239E50A1"/>
    <w:rsid w:val="25E3E902"/>
    <w:rsid w:val="285D8ABB"/>
    <w:rsid w:val="2937DD3B"/>
    <w:rsid w:val="2B4252EB"/>
    <w:rsid w:val="2C2F72EF"/>
    <w:rsid w:val="2DADE398"/>
    <w:rsid w:val="2E37F5F4"/>
    <w:rsid w:val="2FA5C4E4"/>
    <w:rsid w:val="2FA920DD"/>
    <w:rsid w:val="304A4500"/>
    <w:rsid w:val="30ED5212"/>
    <w:rsid w:val="31AF8A6F"/>
    <w:rsid w:val="32AB96B7"/>
    <w:rsid w:val="32C433A6"/>
    <w:rsid w:val="3347175D"/>
    <w:rsid w:val="34BC25FB"/>
    <w:rsid w:val="362C4152"/>
    <w:rsid w:val="367D9353"/>
    <w:rsid w:val="36B7EFE3"/>
    <w:rsid w:val="37182888"/>
    <w:rsid w:val="37C67B87"/>
    <w:rsid w:val="38456AFA"/>
    <w:rsid w:val="3BB5F9A2"/>
    <w:rsid w:val="3BC003CF"/>
    <w:rsid w:val="3C332B94"/>
    <w:rsid w:val="407B099A"/>
    <w:rsid w:val="409D95CB"/>
    <w:rsid w:val="4106464E"/>
    <w:rsid w:val="42747AAA"/>
    <w:rsid w:val="42AD33C4"/>
    <w:rsid w:val="42C26B08"/>
    <w:rsid w:val="42C31023"/>
    <w:rsid w:val="43027F99"/>
    <w:rsid w:val="434D5D54"/>
    <w:rsid w:val="4874F8E5"/>
    <w:rsid w:val="4883CA99"/>
    <w:rsid w:val="4A4FC5C8"/>
    <w:rsid w:val="4B405222"/>
    <w:rsid w:val="4BC3BAA4"/>
    <w:rsid w:val="4BD563CA"/>
    <w:rsid w:val="4EF03A4E"/>
    <w:rsid w:val="512A686E"/>
    <w:rsid w:val="514C83B7"/>
    <w:rsid w:val="52D6805D"/>
    <w:rsid w:val="541B5730"/>
    <w:rsid w:val="563338A2"/>
    <w:rsid w:val="5684A5C2"/>
    <w:rsid w:val="57FD7969"/>
    <w:rsid w:val="588E7653"/>
    <w:rsid w:val="5950D454"/>
    <w:rsid w:val="5A7D6F1C"/>
    <w:rsid w:val="5C6FCCCC"/>
    <w:rsid w:val="5C7B0FD6"/>
    <w:rsid w:val="5D1A4F70"/>
    <w:rsid w:val="5F697B08"/>
    <w:rsid w:val="60320B88"/>
    <w:rsid w:val="6039394B"/>
    <w:rsid w:val="62DBF678"/>
    <w:rsid w:val="630E4C02"/>
    <w:rsid w:val="63AA7E6B"/>
    <w:rsid w:val="64C1DB66"/>
    <w:rsid w:val="651662BB"/>
    <w:rsid w:val="65D4BA30"/>
    <w:rsid w:val="66DD6FD9"/>
    <w:rsid w:val="66DE4E88"/>
    <w:rsid w:val="672A374E"/>
    <w:rsid w:val="677B23C0"/>
    <w:rsid w:val="68A21AE7"/>
    <w:rsid w:val="6916F955"/>
    <w:rsid w:val="6A2CD816"/>
    <w:rsid w:val="6AD5217B"/>
    <w:rsid w:val="6B679217"/>
    <w:rsid w:val="6BB2BAC0"/>
    <w:rsid w:val="6CCE03C8"/>
    <w:rsid w:val="6D82AC0B"/>
    <w:rsid w:val="6DC27C38"/>
    <w:rsid w:val="6F3358FE"/>
    <w:rsid w:val="70553F14"/>
    <w:rsid w:val="719023AF"/>
    <w:rsid w:val="723175B4"/>
    <w:rsid w:val="725CABD1"/>
    <w:rsid w:val="72DEF40E"/>
    <w:rsid w:val="7566A0A1"/>
    <w:rsid w:val="781FEED8"/>
    <w:rsid w:val="7865BC51"/>
    <w:rsid w:val="7C761F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4ECBF"/>
  <w15:chartTrackingRefBased/>
  <w15:docId w15:val="{44E65E6B-295F-4664-88AD-4234B3CF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iPriority="16"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565"/>
    <w:pPr>
      <w:jc w:val="center"/>
      <w:outlineLvl w:val="0"/>
    </w:pPr>
    <w:rPr>
      <w:b/>
      <w:bCs/>
    </w:rPr>
  </w:style>
  <w:style w:type="paragraph" w:styleId="Heading2">
    <w:name w:val="heading 2"/>
    <w:basedOn w:val="Normal"/>
    <w:next w:val="Normal"/>
    <w:link w:val="Heading2Char"/>
    <w:uiPriority w:val="9"/>
    <w:unhideWhenUsed/>
    <w:qFormat/>
    <w:rsid w:val="00A06565"/>
    <w:pPr>
      <w:outlineLvl w:val="1"/>
    </w:pPr>
    <w:rPr>
      <w:b/>
      <w:bCs/>
      <w:sz w:val="20"/>
      <w:szCs w:val="20"/>
    </w:rPr>
  </w:style>
  <w:style w:type="paragraph" w:styleId="Heading3">
    <w:name w:val="heading 3"/>
    <w:basedOn w:val="Normal"/>
    <w:next w:val="Normal"/>
    <w:link w:val="Heading3Char"/>
    <w:uiPriority w:val="9"/>
    <w:unhideWhenUsed/>
    <w:qFormat/>
    <w:rsid w:val="00A06565"/>
    <w:pPr>
      <w:outlineLvl w:val="2"/>
    </w:pPr>
    <w:rPr>
      <w:rFonts w:ascii="Calibri" w:eastAsia="Calibri" w:hAnsi="Calibri" w:cs="Calibri"/>
      <w:b/>
      <w:bCs/>
      <w:sz w:val="18"/>
      <w:szCs w:val="18"/>
    </w:rPr>
  </w:style>
  <w:style w:type="paragraph" w:styleId="Heading4">
    <w:name w:val="heading 4"/>
    <w:basedOn w:val="Normal"/>
    <w:next w:val="Normal"/>
    <w:link w:val="Heading4Char"/>
    <w:uiPriority w:val="9"/>
    <w:semiHidden/>
    <w:unhideWhenUsed/>
    <w:qFormat/>
    <w:rsid w:val="008835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5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5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5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5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5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565"/>
    <w:rPr>
      <w:b/>
      <w:bCs/>
    </w:rPr>
  </w:style>
  <w:style w:type="character" w:customStyle="1" w:styleId="Heading2Char">
    <w:name w:val="Heading 2 Char"/>
    <w:basedOn w:val="DefaultParagraphFont"/>
    <w:link w:val="Heading2"/>
    <w:uiPriority w:val="9"/>
    <w:rsid w:val="00A06565"/>
    <w:rPr>
      <w:b/>
      <w:bCs/>
      <w:sz w:val="20"/>
      <w:szCs w:val="20"/>
    </w:rPr>
  </w:style>
  <w:style w:type="character" w:customStyle="1" w:styleId="Heading3Char">
    <w:name w:val="Heading 3 Char"/>
    <w:basedOn w:val="DefaultParagraphFont"/>
    <w:link w:val="Heading3"/>
    <w:uiPriority w:val="9"/>
    <w:rsid w:val="00A06565"/>
    <w:rPr>
      <w:rFonts w:ascii="Calibri" w:eastAsia="Calibri" w:hAnsi="Calibri" w:cs="Calibri"/>
      <w:b/>
      <w:bCs/>
      <w:sz w:val="18"/>
      <w:szCs w:val="18"/>
    </w:rPr>
  </w:style>
  <w:style w:type="character" w:customStyle="1" w:styleId="Heading4Char">
    <w:name w:val="Heading 4 Char"/>
    <w:basedOn w:val="DefaultParagraphFont"/>
    <w:link w:val="Heading4"/>
    <w:uiPriority w:val="9"/>
    <w:semiHidden/>
    <w:rsid w:val="008835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5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5B0"/>
    <w:rPr>
      <w:rFonts w:eastAsiaTheme="majorEastAsia" w:cstheme="majorBidi"/>
      <w:color w:val="272727" w:themeColor="text1" w:themeTint="D8"/>
    </w:rPr>
  </w:style>
  <w:style w:type="paragraph" w:styleId="Title">
    <w:name w:val="Title"/>
    <w:basedOn w:val="Normal"/>
    <w:next w:val="Normal"/>
    <w:link w:val="TitleChar"/>
    <w:uiPriority w:val="10"/>
    <w:qFormat/>
    <w:rsid w:val="00883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5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5B0"/>
    <w:pPr>
      <w:spacing w:before="160"/>
      <w:jc w:val="center"/>
    </w:pPr>
    <w:rPr>
      <w:i/>
      <w:iCs/>
      <w:color w:val="404040" w:themeColor="text1" w:themeTint="BF"/>
    </w:rPr>
  </w:style>
  <w:style w:type="character" w:customStyle="1" w:styleId="QuoteChar">
    <w:name w:val="Quote Char"/>
    <w:basedOn w:val="DefaultParagraphFont"/>
    <w:link w:val="Quote"/>
    <w:uiPriority w:val="29"/>
    <w:rsid w:val="008835B0"/>
    <w:rPr>
      <w:i/>
      <w:iCs/>
      <w:color w:val="404040" w:themeColor="text1" w:themeTint="BF"/>
    </w:rPr>
  </w:style>
  <w:style w:type="paragraph" w:styleId="ListParagraph">
    <w:name w:val="List Paragraph"/>
    <w:basedOn w:val="Normal"/>
    <w:uiPriority w:val="34"/>
    <w:qFormat/>
    <w:rsid w:val="008835B0"/>
    <w:pPr>
      <w:ind w:left="720"/>
      <w:contextualSpacing/>
    </w:pPr>
  </w:style>
  <w:style w:type="character" w:styleId="IntenseEmphasis">
    <w:name w:val="Intense Emphasis"/>
    <w:basedOn w:val="DefaultParagraphFont"/>
    <w:uiPriority w:val="21"/>
    <w:qFormat/>
    <w:rsid w:val="008835B0"/>
    <w:rPr>
      <w:i/>
      <w:iCs/>
      <w:color w:val="0F4761" w:themeColor="accent1" w:themeShade="BF"/>
    </w:rPr>
  </w:style>
  <w:style w:type="paragraph" w:styleId="IntenseQuote">
    <w:name w:val="Intense Quote"/>
    <w:basedOn w:val="Normal"/>
    <w:next w:val="Normal"/>
    <w:link w:val="IntenseQuoteChar"/>
    <w:uiPriority w:val="30"/>
    <w:qFormat/>
    <w:rsid w:val="00883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5B0"/>
    <w:rPr>
      <w:i/>
      <w:iCs/>
      <w:color w:val="0F4761" w:themeColor="accent1" w:themeShade="BF"/>
    </w:rPr>
  </w:style>
  <w:style w:type="character" w:styleId="IntenseReference">
    <w:name w:val="Intense Reference"/>
    <w:basedOn w:val="DefaultParagraphFont"/>
    <w:uiPriority w:val="32"/>
    <w:qFormat/>
    <w:rsid w:val="008835B0"/>
    <w:rPr>
      <w:b/>
      <w:bCs/>
      <w:smallCaps/>
      <w:color w:val="0F4761" w:themeColor="accent1" w:themeShade="BF"/>
      <w:spacing w:val="5"/>
    </w:rPr>
  </w:style>
  <w:style w:type="paragraph" w:styleId="NoSpacing">
    <w:name w:val="No Spacing"/>
    <w:uiPriority w:val="1"/>
    <w:qFormat/>
    <w:rsid w:val="008835B0"/>
    <w:pPr>
      <w:spacing w:after="0" w:line="240" w:lineRule="auto"/>
    </w:pPr>
    <w:rPr>
      <w:sz w:val="22"/>
      <w:szCs w:val="22"/>
    </w:rPr>
  </w:style>
  <w:style w:type="table" w:styleId="TableGrid">
    <w:name w:val="Table Grid"/>
    <w:basedOn w:val="TableNormal"/>
    <w:uiPriority w:val="39"/>
    <w:rsid w:val="008835B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uiPriority w:val="99"/>
    <w:semiHidden/>
    <w:unhideWhenUsed/>
    <w:rsid w:val="008835B0"/>
    <w:pPr>
      <w:numPr>
        <w:numId w:val="1"/>
      </w:numPr>
    </w:pPr>
  </w:style>
  <w:style w:type="paragraph" w:styleId="ListNumber">
    <w:name w:val="List Number"/>
    <w:basedOn w:val="Normal"/>
    <w:uiPriority w:val="16"/>
    <w:qFormat/>
    <w:rsid w:val="008835B0"/>
    <w:pPr>
      <w:numPr>
        <w:numId w:val="1"/>
      </w:numPr>
      <w:spacing w:after="120" w:line="276" w:lineRule="auto"/>
    </w:pPr>
    <w:rPr>
      <w:color w:val="000000" w:themeColor="text1"/>
      <w:kern w:val="0"/>
      <w:sz w:val="21"/>
      <w:szCs w:val="22"/>
      <w:lang w:val="en-AU"/>
      <w14:ligatures w14:val="none"/>
    </w:rPr>
  </w:style>
  <w:style w:type="paragraph" w:styleId="ListNumber2">
    <w:name w:val="List Number 2"/>
    <w:basedOn w:val="Normal"/>
    <w:uiPriority w:val="16"/>
    <w:qFormat/>
    <w:rsid w:val="008835B0"/>
    <w:pPr>
      <w:numPr>
        <w:ilvl w:val="1"/>
        <w:numId w:val="1"/>
      </w:numPr>
      <w:spacing w:after="120" w:line="276" w:lineRule="auto"/>
      <w:contextualSpacing/>
    </w:pPr>
    <w:rPr>
      <w:color w:val="000000" w:themeColor="text1"/>
      <w:kern w:val="0"/>
      <w:sz w:val="21"/>
      <w:szCs w:val="22"/>
      <w:lang w:val="en-AU"/>
      <w14:ligatures w14:val="none"/>
    </w:rPr>
  </w:style>
  <w:style w:type="paragraph" w:styleId="ListBullet">
    <w:name w:val="List Bullet"/>
    <w:basedOn w:val="Normal"/>
    <w:uiPriority w:val="16"/>
    <w:qFormat/>
    <w:rsid w:val="008835B0"/>
    <w:pPr>
      <w:numPr>
        <w:numId w:val="4"/>
      </w:numPr>
      <w:spacing w:after="120" w:line="276" w:lineRule="auto"/>
      <w:contextualSpacing/>
    </w:pPr>
    <w:rPr>
      <w:color w:val="000000" w:themeColor="text1"/>
      <w:kern w:val="0"/>
      <w:sz w:val="21"/>
      <w:szCs w:val="22"/>
      <w:lang w:val="en-AU"/>
      <w14:ligatures w14:val="none"/>
    </w:rPr>
  </w:style>
  <w:style w:type="paragraph" w:styleId="ListBullet2">
    <w:name w:val="List Bullet 2"/>
    <w:basedOn w:val="Normal"/>
    <w:uiPriority w:val="16"/>
    <w:qFormat/>
    <w:rsid w:val="008835B0"/>
    <w:pPr>
      <w:numPr>
        <w:ilvl w:val="1"/>
        <w:numId w:val="4"/>
      </w:numPr>
      <w:spacing w:after="120" w:line="276" w:lineRule="auto"/>
      <w:contextualSpacing/>
    </w:pPr>
    <w:rPr>
      <w:color w:val="000000" w:themeColor="text1"/>
      <w:kern w:val="0"/>
      <w:sz w:val="21"/>
      <w:szCs w:val="22"/>
      <w:lang w:val="en-AU"/>
      <w14:ligatures w14:val="none"/>
    </w:rPr>
  </w:style>
  <w:style w:type="paragraph" w:styleId="ListBullet3">
    <w:name w:val="List Bullet 3"/>
    <w:basedOn w:val="Normal"/>
    <w:uiPriority w:val="16"/>
    <w:qFormat/>
    <w:rsid w:val="008835B0"/>
    <w:pPr>
      <w:numPr>
        <w:ilvl w:val="2"/>
        <w:numId w:val="4"/>
      </w:numPr>
      <w:tabs>
        <w:tab w:val="clear" w:pos="1503"/>
        <w:tab w:val="num" w:pos="227"/>
      </w:tabs>
      <w:spacing w:after="120" w:line="240" w:lineRule="auto"/>
      <w:ind w:left="227"/>
      <w:contextualSpacing/>
    </w:pPr>
    <w:rPr>
      <w:color w:val="000000" w:themeColor="text1"/>
      <w:kern w:val="0"/>
      <w:sz w:val="20"/>
      <w:szCs w:val="22"/>
      <w:lang w:val="en-AU"/>
      <w14:ligatures w14:val="none"/>
    </w:rPr>
  </w:style>
  <w:style w:type="character" w:styleId="CommentReference">
    <w:name w:val="annotation reference"/>
    <w:basedOn w:val="DefaultParagraphFont"/>
    <w:uiPriority w:val="99"/>
    <w:semiHidden/>
    <w:unhideWhenUsed/>
    <w:rsid w:val="008835B0"/>
    <w:rPr>
      <w:sz w:val="16"/>
      <w:szCs w:val="16"/>
    </w:rPr>
  </w:style>
  <w:style w:type="paragraph" w:styleId="CommentText">
    <w:name w:val="annotation text"/>
    <w:basedOn w:val="Normal"/>
    <w:link w:val="CommentTextChar"/>
    <w:uiPriority w:val="99"/>
    <w:unhideWhenUsed/>
    <w:rsid w:val="008835B0"/>
    <w:pPr>
      <w:spacing w:line="240" w:lineRule="auto"/>
    </w:pPr>
    <w:rPr>
      <w:sz w:val="20"/>
      <w:szCs w:val="20"/>
    </w:rPr>
  </w:style>
  <w:style w:type="character" w:customStyle="1" w:styleId="CommentTextChar">
    <w:name w:val="Comment Text Char"/>
    <w:basedOn w:val="DefaultParagraphFont"/>
    <w:link w:val="CommentText"/>
    <w:uiPriority w:val="99"/>
    <w:rsid w:val="008835B0"/>
    <w:rPr>
      <w:sz w:val="20"/>
      <w:szCs w:val="20"/>
    </w:rPr>
  </w:style>
  <w:style w:type="paragraph" w:styleId="CommentSubject">
    <w:name w:val="annotation subject"/>
    <w:basedOn w:val="CommentText"/>
    <w:next w:val="CommentText"/>
    <w:link w:val="CommentSubjectChar"/>
    <w:uiPriority w:val="99"/>
    <w:semiHidden/>
    <w:unhideWhenUsed/>
    <w:rsid w:val="008835B0"/>
    <w:rPr>
      <w:b/>
      <w:bCs/>
    </w:rPr>
  </w:style>
  <w:style w:type="character" w:customStyle="1" w:styleId="CommentSubjectChar">
    <w:name w:val="Comment Subject Char"/>
    <w:basedOn w:val="CommentTextChar"/>
    <w:link w:val="CommentSubject"/>
    <w:uiPriority w:val="99"/>
    <w:semiHidden/>
    <w:rsid w:val="008835B0"/>
    <w:rPr>
      <w:b/>
      <w:bCs/>
      <w:sz w:val="20"/>
      <w:szCs w:val="20"/>
    </w:rPr>
  </w:style>
  <w:style w:type="paragraph" w:styleId="Revision">
    <w:name w:val="Revision"/>
    <w:hidden/>
    <w:uiPriority w:val="99"/>
    <w:semiHidden/>
    <w:rsid w:val="00B952DC"/>
    <w:pPr>
      <w:spacing w:after="0" w:line="240" w:lineRule="auto"/>
    </w:pPr>
  </w:style>
  <w:style w:type="paragraph" w:styleId="FootnoteText">
    <w:name w:val="footnote text"/>
    <w:basedOn w:val="Normal"/>
    <w:link w:val="FootnoteTextChar"/>
    <w:uiPriority w:val="99"/>
    <w:semiHidden/>
    <w:unhideWhenUsed/>
    <w:rsid w:val="00B952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2DC"/>
    <w:rPr>
      <w:sz w:val="20"/>
      <w:szCs w:val="20"/>
    </w:rPr>
  </w:style>
  <w:style w:type="character" w:styleId="FootnoteReference">
    <w:name w:val="footnote reference"/>
    <w:basedOn w:val="DefaultParagraphFont"/>
    <w:uiPriority w:val="99"/>
    <w:semiHidden/>
    <w:unhideWhenUsed/>
    <w:rsid w:val="00B952DC"/>
    <w:rPr>
      <w:vertAlign w:val="superscript"/>
    </w:rPr>
  </w:style>
  <w:style w:type="character" w:styleId="Hyperlink">
    <w:name w:val="Hyperlink"/>
    <w:basedOn w:val="DefaultParagraphFont"/>
    <w:uiPriority w:val="99"/>
    <w:unhideWhenUsed/>
    <w:rsid w:val="006507D1"/>
    <w:rPr>
      <w:color w:val="467886" w:themeColor="hyperlink"/>
      <w:u w:val="single"/>
    </w:rPr>
  </w:style>
  <w:style w:type="character" w:styleId="UnresolvedMention">
    <w:name w:val="Unresolved Mention"/>
    <w:basedOn w:val="DefaultParagraphFont"/>
    <w:uiPriority w:val="99"/>
    <w:semiHidden/>
    <w:unhideWhenUsed/>
    <w:rsid w:val="006507D1"/>
    <w:rPr>
      <w:color w:val="605E5C"/>
      <w:shd w:val="clear" w:color="auto" w:fill="E1DFDD"/>
    </w:rPr>
  </w:style>
  <w:style w:type="paragraph" w:styleId="Header">
    <w:name w:val="header"/>
    <w:basedOn w:val="Normal"/>
    <w:link w:val="HeaderChar"/>
    <w:uiPriority w:val="99"/>
    <w:semiHidden/>
    <w:unhideWhenUsed/>
    <w:rsid w:val="003A0D7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A0D77"/>
  </w:style>
  <w:style w:type="paragraph" w:styleId="Footer">
    <w:name w:val="footer"/>
    <w:basedOn w:val="Normal"/>
    <w:link w:val="FooterChar"/>
    <w:uiPriority w:val="99"/>
    <w:semiHidden/>
    <w:unhideWhenUsed/>
    <w:rsid w:val="003A0D7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A0D77"/>
  </w:style>
  <w:style w:type="character" w:styleId="Mention">
    <w:name w:val="Mention"/>
    <w:basedOn w:val="DefaultParagraphFont"/>
    <w:uiPriority w:val="99"/>
    <w:unhideWhenUsed/>
    <w:rsid w:val="0057764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08133">
      <w:bodyDiv w:val="1"/>
      <w:marLeft w:val="0"/>
      <w:marRight w:val="0"/>
      <w:marTop w:val="0"/>
      <w:marBottom w:val="0"/>
      <w:divBdr>
        <w:top w:val="none" w:sz="0" w:space="0" w:color="auto"/>
        <w:left w:val="none" w:sz="0" w:space="0" w:color="auto"/>
        <w:bottom w:val="none" w:sz="0" w:space="0" w:color="auto"/>
        <w:right w:val="none" w:sz="0" w:space="0" w:color="auto"/>
      </w:divBdr>
    </w:div>
    <w:div w:id="386683236">
      <w:bodyDiv w:val="1"/>
      <w:marLeft w:val="0"/>
      <w:marRight w:val="0"/>
      <w:marTop w:val="0"/>
      <w:marBottom w:val="0"/>
      <w:divBdr>
        <w:top w:val="none" w:sz="0" w:space="0" w:color="auto"/>
        <w:left w:val="none" w:sz="0" w:space="0" w:color="auto"/>
        <w:bottom w:val="none" w:sz="0" w:space="0" w:color="auto"/>
        <w:right w:val="none" w:sz="0" w:space="0" w:color="auto"/>
      </w:divBdr>
    </w:div>
    <w:div w:id="964626640">
      <w:bodyDiv w:val="1"/>
      <w:marLeft w:val="0"/>
      <w:marRight w:val="0"/>
      <w:marTop w:val="0"/>
      <w:marBottom w:val="0"/>
      <w:divBdr>
        <w:top w:val="none" w:sz="0" w:space="0" w:color="auto"/>
        <w:left w:val="none" w:sz="0" w:space="0" w:color="auto"/>
        <w:bottom w:val="none" w:sz="0" w:space="0" w:color="auto"/>
        <w:right w:val="none" w:sz="0" w:space="0" w:color="auto"/>
      </w:divBdr>
    </w:div>
    <w:div w:id="1143039444">
      <w:bodyDiv w:val="1"/>
      <w:marLeft w:val="0"/>
      <w:marRight w:val="0"/>
      <w:marTop w:val="0"/>
      <w:marBottom w:val="0"/>
      <w:divBdr>
        <w:top w:val="none" w:sz="0" w:space="0" w:color="auto"/>
        <w:left w:val="none" w:sz="0" w:space="0" w:color="auto"/>
        <w:bottom w:val="none" w:sz="0" w:space="0" w:color="auto"/>
        <w:right w:val="none" w:sz="0" w:space="0" w:color="auto"/>
      </w:divBdr>
      <w:divsChild>
        <w:div w:id="273289866">
          <w:marLeft w:val="0"/>
          <w:marRight w:val="0"/>
          <w:marTop w:val="0"/>
          <w:marBottom w:val="0"/>
          <w:divBdr>
            <w:top w:val="none" w:sz="0" w:space="0" w:color="auto"/>
            <w:left w:val="none" w:sz="0" w:space="0" w:color="auto"/>
            <w:bottom w:val="none" w:sz="0" w:space="0" w:color="auto"/>
            <w:right w:val="none" w:sz="0" w:space="0" w:color="auto"/>
          </w:divBdr>
        </w:div>
        <w:div w:id="568031140">
          <w:marLeft w:val="0"/>
          <w:marRight w:val="0"/>
          <w:marTop w:val="0"/>
          <w:marBottom w:val="0"/>
          <w:divBdr>
            <w:top w:val="none" w:sz="0" w:space="0" w:color="auto"/>
            <w:left w:val="none" w:sz="0" w:space="0" w:color="auto"/>
            <w:bottom w:val="none" w:sz="0" w:space="0" w:color="auto"/>
            <w:right w:val="none" w:sz="0" w:space="0" w:color="auto"/>
          </w:divBdr>
        </w:div>
        <w:div w:id="994529716">
          <w:marLeft w:val="0"/>
          <w:marRight w:val="0"/>
          <w:marTop w:val="0"/>
          <w:marBottom w:val="0"/>
          <w:divBdr>
            <w:top w:val="none" w:sz="0" w:space="0" w:color="auto"/>
            <w:left w:val="none" w:sz="0" w:space="0" w:color="auto"/>
            <w:bottom w:val="none" w:sz="0" w:space="0" w:color="auto"/>
            <w:right w:val="none" w:sz="0" w:space="0" w:color="auto"/>
          </w:divBdr>
        </w:div>
        <w:div w:id="2068258679">
          <w:marLeft w:val="0"/>
          <w:marRight w:val="0"/>
          <w:marTop w:val="0"/>
          <w:marBottom w:val="0"/>
          <w:divBdr>
            <w:top w:val="none" w:sz="0" w:space="0" w:color="auto"/>
            <w:left w:val="none" w:sz="0" w:space="0" w:color="auto"/>
            <w:bottom w:val="none" w:sz="0" w:space="0" w:color="auto"/>
            <w:right w:val="none" w:sz="0" w:space="0" w:color="auto"/>
          </w:divBdr>
        </w:div>
      </w:divsChild>
    </w:div>
    <w:div w:id="1188131247">
      <w:bodyDiv w:val="1"/>
      <w:marLeft w:val="0"/>
      <w:marRight w:val="0"/>
      <w:marTop w:val="0"/>
      <w:marBottom w:val="0"/>
      <w:divBdr>
        <w:top w:val="none" w:sz="0" w:space="0" w:color="auto"/>
        <w:left w:val="none" w:sz="0" w:space="0" w:color="auto"/>
        <w:bottom w:val="none" w:sz="0" w:space="0" w:color="auto"/>
        <w:right w:val="none" w:sz="0" w:space="0" w:color="auto"/>
      </w:divBdr>
    </w:div>
    <w:div w:id="1279531636">
      <w:bodyDiv w:val="1"/>
      <w:marLeft w:val="0"/>
      <w:marRight w:val="0"/>
      <w:marTop w:val="0"/>
      <w:marBottom w:val="0"/>
      <w:divBdr>
        <w:top w:val="none" w:sz="0" w:space="0" w:color="auto"/>
        <w:left w:val="none" w:sz="0" w:space="0" w:color="auto"/>
        <w:bottom w:val="none" w:sz="0" w:space="0" w:color="auto"/>
        <w:right w:val="none" w:sz="0" w:space="0" w:color="auto"/>
      </w:divBdr>
    </w:div>
    <w:div w:id="1483807959">
      <w:bodyDiv w:val="1"/>
      <w:marLeft w:val="0"/>
      <w:marRight w:val="0"/>
      <w:marTop w:val="0"/>
      <w:marBottom w:val="0"/>
      <w:divBdr>
        <w:top w:val="none" w:sz="0" w:space="0" w:color="auto"/>
        <w:left w:val="none" w:sz="0" w:space="0" w:color="auto"/>
        <w:bottom w:val="none" w:sz="0" w:space="0" w:color="auto"/>
        <w:right w:val="none" w:sz="0" w:space="0" w:color="auto"/>
      </w:divBdr>
    </w:div>
    <w:div w:id="1802722655">
      <w:bodyDiv w:val="1"/>
      <w:marLeft w:val="0"/>
      <w:marRight w:val="0"/>
      <w:marTop w:val="0"/>
      <w:marBottom w:val="0"/>
      <w:divBdr>
        <w:top w:val="none" w:sz="0" w:space="0" w:color="auto"/>
        <w:left w:val="none" w:sz="0" w:space="0" w:color="auto"/>
        <w:bottom w:val="none" w:sz="0" w:space="0" w:color="auto"/>
        <w:right w:val="none" w:sz="0" w:space="0" w:color="auto"/>
      </w:divBdr>
      <w:divsChild>
        <w:div w:id="284581463">
          <w:marLeft w:val="0"/>
          <w:marRight w:val="0"/>
          <w:marTop w:val="0"/>
          <w:marBottom w:val="0"/>
          <w:divBdr>
            <w:top w:val="none" w:sz="0" w:space="0" w:color="auto"/>
            <w:left w:val="none" w:sz="0" w:space="0" w:color="auto"/>
            <w:bottom w:val="none" w:sz="0" w:space="0" w:color="auto"/>
            <w:right w:val="none" w:sz="0" w:space="0" w:color="auto"/>
          </w:divBdr>
        </w:div>
        <w:div w:id="1648196453">
          <w:marLeft w:val="0"/>
          <w:marRight w:val="0"/>
          <w:marTop w:val="0"/>
          <w:marBottom w:val="0"/>
          <w:divBdr>
            <w:top w:val="none" w:sz="0" w:space="0" w:color="auto"/>
            <w:left w:val="none" w:sz="0" w:space="0" w:color="auto"/>
            <w:bottom w:val="none" w:sz="0" w:space="0" w:color="auto"/>
            <w:right w:val="none" w:sz="0" w:space="0" w:color="auto"/>
          </w:divBdr>
        </w:div>
        <w:div w:id="1818650074">
          <w:marLeft w:val="0"/>
          <w:marRight w:val="0"/>
          <w:marTop w:val="0"/>
          <w:marBottom w:val="0"/>
          <w:divBdr>
            <w:top w:val="none" w:sz="0" w:space="0" w:color="auto"/>
            <w:left w:val="none" w:sz="0" w:space="0" w:color="auto"/>
            <w:bottom w:val="none" w:sz="0" w:space="0" w:color="auto"/>
            <w:right w:val="none" w:sz="0" w:space="0" w:color="auto"/>
          </w:divBdr>
        </w:div>
        <w:div w:id="1912304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6C110B9E90F14AB544ACB769607EC2" ma:contentTypeVersion="18" ma:contentTypeDescription="Create a new document." ma:contentTypeScope="" ma:versionID="adacfb03ac53a67afef8d7283454db1c">
  <xsd:schema xmlns:xsd="http://www.w3.org/2001/XMLSchema" xmlns:xs="http://www.w3.org/2001/XMLSchema" xmlns:p="http://schemas.microsoft.com/office/2006/metadata/properties" xmlns:ns2="e0404e92-fc62-4a0f-bd0c-9416f64e1809" xmlns:ns3="e3ac4ce4-dd58-4ff0-93be-5837486f1497" targetNamespace="http://schemas.microsoft.com/office/2006/metadata/properties" ma:root="true" ma:fieldsID="d747a7263a8d0055184081f85d306f30" ns2:_="" ns3:_="">
    <xsd:import namespace="e0404e92-fc62-4a0f-bd0c-9416f64e1809"/>
    <xsd:import namespace="e3ac4ce4-dd58-4ff0-93be-5837486f1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04e92-fc62-4a0f-bd0c-9416f64e1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6d6170-9e66-4ec9-83aa-2c8e0e9ac0a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c4ce4-dd58-4ff0-93be-5837486f14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054c9a-683f-4057-8918-6e28e617cb9c}" ma:internalName="TaxCatchAll" ma:showField="CatchAllData" ma:web="e3ac4ce4-dd58-4ff0-93be-5837486f1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3ac4ce4-dd58-4ff0-93be-5837486f1497" xsi:nil="true"/>
    <lcf76f155ced4ddcb4097134ff3c332f xmlns="e0404e92-fc62-4a0f-bd0c-9416f64e18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0252BE-BBAE-4C15-9322-579662949B9C}">
  <ds:schemaRefs>
    <ds:schemaRef ds:uri="http://schemas.microsoft.com/sharepoint/v3/contenttype/forms"/>
  </ds:schemaRefs>
</ds:datastoreItem>
</file>

<file path=customXml/itemProps2.xml><?xml version="1.0" encoding="utf-8"?>
<ds:datastoreItem xmlns:ds="http://schemas.openxmlformats.org/officeDocument/2006/customXml" ds:itemID="{7CF16D6B-2935-4675-A180-989145EB3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04e92-fc62-4a0f-bd0c-9416f64e1809"/>
    <ds:schemaRef ds:uri="e3ac4ce4-dd58-4ff0-93be-5837486f1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37F984-117E-434B-A49F-BE1927851D3A}">
  <ds:schemaRefs>
    <ds:schemaRef ds:uri="http://schemas.openxmlformats.org/officeDocument/2006/bibliography"/>
  </ds:schemaRefs>
</ds:datastoreItem>
</file>

<file path=customXml/itemProps4.xml><?xml version="1.0" encoding="utf-8"?>
<ds:datastoreItem xmlns:ds="http://schemas.openxmlformats.org/officeDocument/2006/customXml" ds:itemID="{F647C23D-3293-4CC7-9B21-53C89F92744F}">
  <ds:schemaRefs>
    <ds:schemaRef ds:uri="http://schemas.microsoft.com/office/2006/metadata/properties"/>
    <ds:schemaRef ds:uri="http://schemas.microsoft.com/office/infopath/2007/PartnerControls"/>
    <ds:schemaRef ds:uri="e3ac4ce4-dd58-4ff0-93be-5837486f1497"/>
    <ds:schemaRef ds:uri="e0404e92-fc62-4a0f-bd0c-9416f64e180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3328</Words>
  <Characters>19405</Characters>
  <Application>Microsoft Office Word</Application>
  <DocSecurity>0</DocSecurity>
  <Lines>970</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Pacific Women Lead Mid-Term Review Management Response</dc:title>
  <dc:subject/>
  <dc:creator>Australian Government Department of Foreign Affairs and Trade</dc:creator>
  <cp:keywords>[SEC=OFFICIAL]</cp:keywords>
  <dc:description/>
  <cp:lastModifiedBy>Patrick Baggoley</cp:lastModifiedBy>
  <cp:revision>3</cp:revision>
  <dcterms:created xsi:type="dcterms:W3CDTF">2025-10-07T03:07:00Z</dcterms:created>
  <dcterms:modified xsi:type="dcterms:W3CDTF">2025-10-07T03:08:00Z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v=2022.1;a=SHA256;h=C7118A524CE4B6B33BE55D521461AF618D17A1266BC36F118AEE3E078E02EE11</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2025-07-02T04:06:27Z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E5329D78ADFF18985C404F3A4015F7B7C209C4C5</vt:lpwstr>
  </property>
  <property fmtid="{D5CDD505-2E9C-101B-9397-08002B2CF9AE}" pid="14" name="PM_DisplayValueSecClassificationWithQualifier">
    <vt:lpwstr>OFFICIAL</vt:lpwstr>
  </property>
  <property fmtid="{D5CDD505-2E9C-101B-9397-08002B2CF9AE}" pid="15" name="PM_Originating_FileId">
    <vt:lpwstr>6728978333C749EA9950C8B5394F49FF</vt:lpwstr>
  </property>
  <property fmtid="{D5CDD505-2E9C-101B-9397-08002B2CF9AE}" pid="16" name="PM_ProtectiveMarkingValue_Footer">
    <vt:lpwstr>OFFICIAL</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C427463A240001568B1E728057080C091949066E05DD342FA6B5B9F6FF33F8D6</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D3570B80648A8C8BB81FB91A08FB5429</vt:lpwstr>
  </property>
  <property fmtid="{D5CDD505-2E9C-101B-9397-08002B2CF9AE}" pid="25" name="PM_Hash_Salt">
    <vt:lpwstr>5FFA55905635E2420C5FC4AE74F80D53</vt:lpwstr>
  </property>
  <property fmtid="{D5CDD505-2E9C-101B-9397-08002B2CF9AE}" pid="26" name="PM_Hash_SHA1">
    <vt:lpwstr>2CD09FB89B84E82C4B12726ABD5DC6A09309F896</vt:lpwstr>
  </property>
  <property fmtid="{D5CDD505-2E9C-101B-9397-08002B2CF9AE}" pid="27" name="ContentTypeId">
    <vt:lpwstr>0x0101005A6C110B9E90F14AB544ACB769607EC2</vt:lpwstr>
  </property>
  <property fmtid="{D5CDD505-2E9C-101B-9397-08002B2CF9AE}" pid="28" name="MediaServiceImageTags">
    <vt:lpwstr/>
  </property>
  <property fmtid="{D5CDD505-2E9C-101B-9397-08002B2CF9AE}" pid="29" name="PM_SecurityClassification_Prev">
    <vt:lpwstr>OFFICIAL</vt:lpwstr>
  </property>
  <property fmtid="{D5CDD505-2E9C-101B-9397-08002B2CF9AE}" pid="30" name="PM_Qualifier_Prev">
    <vt:lpwstr/>
  </property>
  <property fmtid="{D5CDD505-2E9C-101B-9397-08002B2CF9AE}" pid="31" name="PM_Expires">
    <vt:lpwstr/>
  </property>
  <property fmtid="{D5CDD505-2E9C-101B-9397-08002B2CF9AE}" pid="32" name="PM_DownTo">
    <vt:lpwstr/>
  </property>
</Properties>
</file>