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57630" w14:textId="20D3DB2C" w:rsidR="00FE6F2A" w:rsidRPr="00AB765A" w:rsidRDefault="00117130" w:rsidP="00646F77">
      <w:pPr>
        <w:pStyle w:val="SpacebeforeTitle"/>
        <w:tabs>
          <w:tab w:val="left" w:pos="720"/>
          <w:tab w:val="left" w:pos="1182"/>
          <w:tab w:val="left" w:pos="1440"/>
          <w:tab w:val="left" w:pos="2364"/>
          <w:tab w:val="left" w:pos="3586"/>
          <w:tab w:val="center" w:pos="4890"/>
        </w:tabs>
        <w:jc w:val="both"/>
        <w:rPr>
          <w:lang w:val="en-US"/>
        </w:rPr>
      </w:pPr>
      <w:r>
        <w:rPr>
          <w:lang w:val="en-US"/>
        </w:rPr>
        <w:t>0</w:t>
      </w:r>
      <w:r w:rsidR="00D1405E">
        <w:rPr>
          <w:lang w:val="en-US"/>
        </w:rPr>
        <w:tab/>
      </w:r>
      <w:r w:rsidR="00D1405E">
        <w:rPr>
          <w:lang w:val="en-US"/>
        </w:rPr>
        <w:tab/>
      </w:r>
      <w:r w:rsidR="00646F77">
        <w:rPr>
          <w:lang w:val="en-US"/>
        </w:rPr>
        <w:tab/>
      </w:r>
      <w:r w:rsidR="00D1405E">
        <w:rPr>
          <w:lang w:val="en-US"/>
        </w:rPr>
        <w:tab/>
      </w:r>
      <w:r w:rsidR="00D1405E">
        <w:rPr>
          <w:lang w:val="en-US"/>
        </w:rPr>
        <w:tab/>
      </w:r>
      <w:r w:rsidR="00646F77">
        <w:rPr>
          <w:lang w:val="en-US"/>
        </w:rPr>
        <w:tab/>
      </w:r>
    </w:p>
    <w:p w14:paraId="28AE561C" w14:textId="432A3CF9" w:rsidR="00646F77" w:rsidRDefault="00646F77" w:rsidP="00646F77"/>
    <w:sdt>
      <w:sdtPr>
        <w:rPr>
          <w:rFonts w:asciiTheme="minorHAnsi" w:eastAsiaTheme="minorHAnsi" w:hAnsiTheme="minorHAnsi" w:cstheme="minorBidi"/>
          <w:b w:val="0"/>
          <w:caps w:val="0"/>
          <w:sz w:val="22"/>
          <w:szCs w:val="22"/>
        </w:rPr>
        <w:id w:val="2114548209"/>
        <w:docPartObj>
          <w:docPartGallery w:val="Table of Contents"/>
          <w:docPartUnique/>
        </w:docPartObj>
      </w:sdtPr>
      <w:sdtEndPr>
        <w:rPr>
          <w:bCs/>
          <w:noProof/>
        </w:rPr>
      </w:sdtEndPr>
      <w:sdtContent>
        <w:p w14:paraId="24F199D9" w14:textId="6A38B0AB" w:rsidR="00646F77" w:rsidRDefault="00646F77">
          <w:pPr>
            <w:pStyle w:val="TOCHeading"/>
          </w:pPr>
          <w:r>
            <w:t>Contents</w:t>
          </w:r>
        </w:p>
        <w:p w14:paraId="4E3666F2" w14:textId="41C73E7D" w:rsidR="003F603E" w:rsidRDefault="00646F77" w:rsidP="00F328DA">
          <w:pPr>
            <w:pStyle w:val="TOC1"/>
            <w:rPr>
              <w:rFonts w:eastAsiaTheme="minorEastAsia"/>
              <w:noProof/>
              <w:color w:val="auto"/>
              <w:sz w:val="22"/>
              <w:lang w:val="en-AU" w:eastAsia="en-AU"/>
            </w:rPr>
          </w:pPr>
          <w:r>
            <w:fldChar w:fldCharType="begin"/>
          </w:r>
          <w:r>
            <w:instrText xml:space="preserve"> TOC \o "1-3" \h \z \u </w:instrText>
          </w:r>
          <w:r>
            <w:fldChar w:fldCharType="separate"/>
          </w:r>
          <w:hyperlink w:anchor="_Toc75535875" w:history="1">
            <w:r w:rsidR="003F603E" w:rsidRPr="000809F4">
              <w:rPr>
                <w:rStyle w:val="Hyperlink"/>
                <w:noProof/>
              </w:rPr>
              <w:t>PACIFIC WOMEN LEAD - Investment Design</w:t>
            </w:r>
            <w:r w:rsidR="003F603E">
              <w:rPr>
                <w:noProof/>
                <w:webHidden/>
              </w:rPr>
              <w:tab/>
            </w:r>
            <w:r w:rsidR="003F603E">
              <w:rPr>
                <w:noProof/>
                <w:webHidden/>
              </w:rPr>
              <w:fldChar w:fldCharType="begin"/>
            </w:r>
            <w:r w:rsidR="003F603E">
              <w:rPr>
                <w:noProof/>
                <w:webHidden/>
              </w:rPr>
              <w:instrText xml:space="preserve"> PAGEREF _Toc75535875 \h </w:instrText>
            </w:r>
            <w:r w:rsidR="003F603E">
              <w:rPr>
                <w:noProof/>
                <w:webHidden/>
              </w:rPr>
            </w:r>
            <w:r w:rsidR="003F603E">
              <w:rPr>
                <w:noProof/>
                <w:webHidden/>
              </w:rPr>
              <w:fldChar w:fldCharType="separate"/>
            </w:r>
            <w:r w:rsidR="003F603E">
              <w:rPr>
                <w:noProof/>
                <w:webHidden/>
              </w:rPr>
              <w:t>3</w:t>
            </w:r>
            <w:r w:rsidR="003F603E">
              <w:rPr>
                <w:noProof/>
                <w:webHidden/>
              </w:rPr>
              <w:fldChar w:fldCharType="end"/>
            </w:r>
          </w:hyperlink>
        </w:p>
        <w:p w14:paraId="18183A5E" w14:textId="318D9B10" w:rsidR="003F603E" w:rsidRDefault="00A24804" w:rsidP="00F328DA">
          <w:pPr>
            <w:pStyle w:val="TOC1"/>
            <w:rPr>
              <w:rFonts w:eastAsiaTheme="minorEastAsia"/>
              <w:noProof/>
              <w:color w:val="auto"/>
              <w:sz w:val="22"/>
              <w:lang w:val="en-AU" w:eastAsia="en-AU"/>
            </w:rPr>
          </w:pPr>
          <w:hyperlink w:anchor="_Toc75535876" w:history="1">
            <w:r w:rsidR="007F27C0">
              <w:rPr>
                <w:rStyle w:val="Hyperlink"/>
                <w:noProof/>
              </w:rPr>
              <w:t xml:space="preserve">1. </w:t>
            </w:r>
            <w:r w:rsidR="002F4243">
              <w:rPr>
                <w:rStyle w:val="Hyperlink"/>
                <w:noProof/>
              </w:rPr>
              <w:t>E</w:t>
            </w:r>
            <w:r w:rsidR="003F603E" w:rsidRPr="000809F4">
              <w:rPr>
                <w:rStyle w:val="Hyperlink"/>
                <w:noProof/>
              </w:rPr>
              <w:t>xecutive Summary</w:t>
            </w:r>
            <w:r w:rsidR="003F603E">
              <w:rPr>
                <w:noProof/>
                <w:webHidden/>
              </w:rPr>
              <w:tab/>
            </w:r>
            <w:r w:rsidR="003F603E">
              <w:rPr>
                <w:noProof/>
                <w:webHidden/>
              </w:rPr>
              <w:fldChar w:fldCharType="begin"/>
            </w:r>
            <w:r w:rsidR="003F603E">
              <w:rPr>
                <w:noProof/>
                <w:webHidden/>
              </w:rPr>
              <w:instrText xml:space="preserve"> PAGEREF _Toc75535876 \h </w:instrText>
            </w:r>
            <w:r w:rsidR="003F603E">
              <w:rPr>
                <w:noProof/>
                <w:webHidden/>
              </w:rPr>
            </w:r>
            <w:r w:rsidR="003F603E">
              <w:rPr>
                <w:noProof/>
                <w:webHidden/>
              </w:rPr>
              <w:fldChar w:fldCharType="separate"/>
            </w:r>
            <w:r w:rsidR="003F603E">
              <w:rPr>
                <w:noProof/>
                <w:webHidden/>
              </w:rPr>
              <w:t>3</w:t>
            </w:r>
            <w:r w:rsidR="003F603E">
              <w:rPr>
                <w:noProof/>
                <w:webHidden/>
              </w:rPr>
              <w:fldChar w:fldCharType="end"/>
            </w:r>
          </w:hyperlink>
        </w:p>
        <w:p w14:paraId="7483E390" w14:textId="080A6E26" w:rsidR="003F603E" w:rsidRDefault="00A24804" w:rsidP="00F328DA">
          <w:pPr>
            <w:pStyle w:val="TOC1"/>
            <w:rPr>
              <w:rFonts w:eastAsiaTheme="minorEastAsia"/>
              <w:noProof/>
              <w:color w:val="auto"/>
              <w:sz w:val="22"/>
              <w:lang w:val="en-AU" w:eastAsia="en-AU"/>
            </w:rPr>
          </w:pPr>
          <w:hyperlink w:anchor="_Toc75535877" w:history="1">
            <w:r w:rsidR="003F603E" w:rsidRPr="000809F4">
              <w:rPr>
                <w:rStyle w:val="Hyperlink"/>
                <w:noProof/>
              </w:rPr>
              <w:t>2. Development Context</w:t>
            </w:r>
            <w:r w:rsidR="003F603E">
              <w:rPr>
                <w:noProof/>
                <w:webHidden/>
              </w:rPr>
              <w:tab/>
            </w:r>
            <w:r w:rsidR="003F603E">
              <w:rPr>
                <w:noProof/>
                <w:webHidden/>
              </w:rPr>
              <w:fldChar w:fldCharType="begin"/>
            </w:r>
            <w:r w:rsidR="003F603E">
              <w:rPr>
                <w:noProof/>
                <w:webHidden/>
              </w:rPr>
              <w:instrText xml:space="preserve"> PAGEREF _Toc75535877 \h </w:instrText>
            </w:r>
            <w:r w:rsidR="003F603E">
              <w:rPr>
                <w:noProof/>
                <w:webHidden/>
              </w:rPr>
            </w:r>
            <w:r w:rsidR="003F603E">
              <w:rPr>
                <w:noProof/>
                <w:webHidden/>
              </w:rPr>
              <w:fldChar w:fldCharType="separate"/>
            </w:r>
            <w:r w:rsidR="003F603E">
              <w:rPr>
                <w:noProof/>
                <w:webHidden/>
              </w:rPr>
              <w:t>4</w:t>
            </w:r>
            <w:r w:rsidR="003F603E">
              <w:rPr>
                <w:noProof/>
                <w:webHidden/>
              </w:rPr>
              <w:fldChar w:fldCharType="end"/>
            </w:r>
          </w:hyperlink>
        </w:p>
        <w:p w14:paraId="02BE0D18" w14:textId="453EC402" w:rsidR="003F603E" w:rsidRDefault="00A24804">
          <w:pPr>
            <w:pStyle w:val="TOC2"/>
            <w:rPr>
              <w:rFonts w:eastAsiaTheme="minorEastAsia"/>
              <w:noProof/>
              <w:color w:val="auto"/>
              <w:lang w:val="en-AU" w:eastAsia="en-AU"/>
            </w:rPr>
          </w:pPr>
          <w:hyperlink w:anchor="_Toc75535878" w:history="1">
            <w:r w:rsidR="003F603E" w:rsidRPr="000809F4">
              <w:rPr>
                <w:rStyle w:val="Hyperlink"/>
                <w:noProof/>
              </w:rPr>
              <w:t>Six-year evaluation of Pacific Women Shaping Pacific Development</w:t>
            </w:r>
            <w:r w:rsidR="003F603E">
              <w:rPr>
                <w:noProof/>
                <w:webHidden/>
              </w:rPr>
              <w:tab/>
            </w:r>
            <w:r w:rsidR="003F603E">
              <w:rPr>
                <w:noProof/>
                <w:webHidden/>
              </w:rPr>
              <w:fldChar w:fldCharType="begin"/>
            </w:r>
            <w:r w:rsidR="003F603E">
              <w:rPr>
                <w:noProof/>
                <w:webHidden/>
              </w:rPr>
              <w:instrText xml:space="preserve"> PAGEREF _Toc75535878 \h </w:instrText>
            </w:r>
            <w:r w:rsidR="003F603E">
              <w:rPr>
                <w:noProof/>
                <w:webHidden/>
              </w:rPr>
            </w:r>
            <w:r w:rsidR="003F603E">
              <w:rPr>
                <w:noProof/>
                <w:webHidden/>
              </w:rPr>
              <w:fldChar w:fldCharType="separate"/>
            </w:r>
            <w:r w:rsidR="003F603E">
              <w:rPr>
                <w:noProof/>
                <w:webHidden/>
              </w:rPr>
              <w:t>6</w:t>
            </w:r>
            <w:r w:rsidR="003F603E">
              <w:rPr>
                <w:noProof/>
                <w:webHidden/>
              </w:rPr>
              <w:fldChar w:fldCharType="end"/>
            </w:r>
          </w:hyperlink>
        </w:p>
        <w:p w14:paraId="5008F5E9" w14:textId="6018345D" w:rsidR="003F603E" w:rsidRDefault="00A24804" w:rsidP="00F328DA">
          <w:pPr>
            <w:pStyle w:val="TOC1"/>
            <w:rPr>
              <w:rFonts w:eastAsiaTheme="minorEastAsia"/>
              <w:noProof/>
              <w:color w:val="auto"/>
              <w:sz w:val="22"/>
              <w:lang w:val="en-AU" w:eastAsia="en-AU"/>
            </w:rPr>
          </w:pPr>
          <w:hyperlink w:anchor="_Toc75535879" w:history="1">
            <w:r w:rsidR="003F603E" w:rsidRPr="000809F4">
              <w:rPr>
                <w:rStyle w:val="Hyperlink"/>
                <w:noProof/>
              </w:rPr>
              <w:t>3. Strategic Intent and Rationale</w:t>
            </w:r>
            <w:r w:rsidR="003F603E">
              <w:rPr>
                <w:noProof/>
                <w:webHidden/>
              </w:rPr>
              <w:tab/>
            </w:r>
            <w:r w:rsidR="003F603E">
              <w:rPr>
                <w:noProof/>
                <w:webHidden/>
              </w:rPr>
              <w:fldChar w:fldCharType="begin"/>
            </w:r>
            <w:r w:rsidR="003F603E">
              <w:rPr>
                <w:noProof/>
                <w:webHidden/>
              </w:rPr>
              <w:instrText xml:space="preserve"> PAGEREF _Toc75535879 \h </w:instrText>
            </w:r>
            <w:r w:rsidR="003F603E">
              <w:rPr>
                <w:noProof/>
                <w:webHidden/>
              </w:rPr>
            </w:r>
            <w:r w:rsidR="003F603E">
              <w:rPr>
                <w:noProof/>
                <w:webHidden/>
              </w:rPr>
              <w:fldChar w:fldCharType="separate"/>
            </w:r>
            <w:r w:rsidR="003F603E">
              <w:rPr>
                <w:noProof/>
                <w:webHidden/>
              </w:rPr>
              <w:t>6</w:t>
            </w:r>
            <w:r w:rsidR="003F603E">
              <w:rPr>
                <w:noProof/>
                <w:webHidden/>
              </w:rPr>
              <w:fldChar w:fldCharType="end"/>
            </w:r>
          </w:hyperlink>
        </w:p>
        <w:p w14:paraId="02CEBB3A" w14:textId="31FF4EA8" w:rsidR="003F603E" w:rsidRDefault="00A24804">
          <w:pPr>
            <w:pStyle w:val="TOC2"/>
            <w:rPr>
              <w:rFonts w:eastAsiaTheme="minorEastAsia"/>
              <w:noProof/>
              <w:color w:val="auto"/>
              <w:lang w:val="en-AU" w:eastAsia="en-AU"/>
            </w:rPr>
          </w:pPr>
          <w:hyperlink w:anchor="_Toc75535880" w:history="1">
            <w:r w:rsidR="003F603E" w:rsidRPr="000809F4">
              <w:rPr>
                <w:rStyle w:val="Hyperlink"/>
                <w:noProof/>
              </w:rPr>
              <w:t>Pacific commitments to gender equality</w:t>
            </w:r>
            <w:r w:rsidR="003F603E">
              <w:rPr>
                <w:noProof/>
                <w:webHidden/>
              </w:rPr>
              <w:tab/>
            </w:r>
            <w:r w:rsidR="003F603E">
              <w:rPr>
                <w:noProof/>
                <w:webHidden/>
              </w:rPr>
              <w:fldChar w:fldCharType="begin"/>
            </w:r>
            <w:r w:rsidR="003F603E">
              <w:rPr>
                <w:noProof/>
                <w:webHidden/>
              </w:rPr>
              <w:instrText xml:space="preserve"> PAGEREF _Toc75535880 \h </w:instrText>
            </w:r>
            <w:r w:rsidR="003F603E">
              <w:rPr>
                <w:noProof/>
                <w:webHidden/>
              </w:rPr>
            </w:r>
            <w:r w:rsidR="003F603E">
              <w:rPr>
                <w:noProof/>
                <w:webHidden/>
              </w:rPr>
              <w:fldChar w:fldCharType="separate"/>
            </w:r>
            <w:r w:rsidR="003F603E">
              <w:rPr>
                <w:noProof/>
                <w:webHidden/>
              </w:rPr>
              <w:t>7</w:t>
            </w:r>
            <w:r w:rsidR="003F603E">
              <w:rPr>
                <w:noProof/>
                <w:webHidden/>
              </w:rPr>
              <w:fldChar w:fldCharType="end"/>
            </w:r>
          </w:hyperlink>
        </w:p>
        <w:p w14:paraId="4FF14070" w14:textId="41ED84C1" w:rsidR="003F603E" w:rsidRDefault="00A24804">
          <w:pPr>
            <w:pStyle w:val="TOC2"/>
            <w:rPr>
              <w:rFonts w:eastAsiaTheme="minorEastAsia"/>
              <w:noProof/>
              <w:color w:val="auto"/>
              <w:lang w:val="en-AU" w:eastAsia="en-AU"/>
            </w:rPr>
          </w:pPr>
          <w:hyperlink w:anchor="_Toc75535881" w:history="1">
            <w:r w:rsidR="003F603E" w:rsidRPr="000809F4">
              <w:rPr>
                <w:rStyle w:val="Hyperlink"/>
                <w:noProof/>
              </w:rPr>
              <w:t>Australian Government policy framework</w:t>
            </w:r>
            <w:r w:rsidR="003F603E">
              <w:rPr>
                <w:noProof/>
                <w:webHidden/>
              </w:rPr>
              <w:tab/>
            </w:r>
            <w:r w:rsidR="003F603E">
              <w:rPr>
                <w:noProof/>
                <w:webHidden/>
              </w:rPr>
              <w:fldChar w:fldCharType="begin"/>
            </w:r>
            <w:r w:rsidR="003F603E">
              <w:rPr>
                <w:noProof/>
                <w:webHidden/>
              </w:rPr>
              <w:instrText xml:space="preserve"> PAGEREF _Toc75535881 \h </w:instrText>
            </w:r>
            <w:r w:rsidR="003F603E">
              <w:rPr>
                <w:noProof/>
                <w:webHidden/>
              </w:rPr>
            </w:r>
            <w:r w:rsidR="003F603E">
              <w:rPr>
                <w:noProof/>
                <w:webHidden/>
              </w:rPr>
              <w:fldChar w:fldCharType="separate"/>
            </w:r>
            <w:r w:rsidR="003F603E">
              <w:rPr>
                <w:noProof/>
                <w:webHidden/>
              </w:rPr>
              <w:t>9</w:t>
            </w:r>
            <w:r w:rsidR="003F603E">
              <w:rPr>
                <w:noProof/>
                <w:webHidden/>
              </w:rPr>
              <w:fldChar w:fldCharType="end"/>
            </w:r>
          </w:hyperlink>
        </w:p>
        <w:p w14:paraId="7541F482" w14:textId="0A792D80" w:rsidR="003F603E" w:rsidRDefault="00A24804" w:rsidP="00F328DA">
          <w:pPr>
            <w:pStyle w:val="TOC1"/>
            <w:rPr>
              <w:rFonts w:eastAsiaTheme="minorEastAsia"/>
              <w:noProof/>
              <w:color w:val="auto"/>
              <w:sz w:val="22"/>
              <w:lang w:val="en-AU" w:eastAsia="en-AU"/>
            </w:rPr>
          </w:pPr>
          <w:hyperlink w:anchor="_Toc75535882" w:history="1">
            <w:r w:rsidR="003F603E" w:rsidRPr="000809F4">
              <w:rPr>
                <w:rStyle w:val="Hyperlink"/>
                <w:noProof/>
              </w:rPr>
              <w:t>4.</w:t>
            </w:r>
            <w:r w:rsidR="003F603E">
              <w:rPr>
                <w:rFonts w:eastAsiaTheme="minorEastAsia"/>
                <w:noProof/>
                <w:color w:val="auto"/>
                <w:sz w:val="22"/>
                <w:lang w:val="en-AU" w:eastAsia="en-AU"/>
              </w:rPr>
              <w:tab/>
            </w:r>
            <w:r w:rsidR="003F603E" w:rsidRPr="000809F4">
              <w:rPr>
                <w:rStyle w:val="Hyperlink"/>
                <w:noProof/>
              </w:rPr>
              <w:t>Proposed Outcomes and Investment Options</w:t>
            </w:r>
            <w:r w:rsidR="003F603E">
              <w:rPr>
                <w:noProof/>
                <w:webHidden/>
              </w:rPr>
              <w:tab/>
            </w:r>
            <w:r w:rsidR="003F603E">
              <w:rPr>
                <w:noProof/>
                <w:webHidden/>
              </w:rPr>
              <w:fldChar w:fldCharType="begin"/>
            </w:r>
            <w:r w:rsidR="003F603E">
              <w:rPr>
                <w:noProof/>
                <w:webHidden/>
              </w:rPr>
              <w:instrText xml:space="preserve"> PAGEREF _Toc75535882 \h </w:instrText>
            </w:r>
            <w:r w:rsidR="003F603E">
              <w:rPr>
                <w:noProof/>
                <w:webHidden/>
              </w:rPr>
            </w:r>
            <w:r w:rsidR="003F603E">
              <w:rPr>
                <w:noProof/>
                <w:webHidden/>
              </w:rPr>
              <w:fldChar w:fldCharType="separate"/>
            </w:r>
            <w:r w:rsidR="003F603E">
              <w:rPr>
                <w:noProof/>
                <w:webHidden/>
              </w:rPr>
              <w:t>11</w:t>
            </w:r>
            <w:r w:rsidR="003F603E">
              <w:rPr>
                <w:noProof/>
                <w:webHidden/>
              </w:rPr>
              <w:fldChar w:fldCharType="end"/>
            </w:r>
          </w:hyperlink>
        </w:p>
        <w:p w14:paraId="7E4E1EAD" w14:textId="18E8304A" w:rsidR="003F603E" w:rsidRDefault="00A24804">
          <w:pPr>
            <w:pStyle w:val="TOC2"/>
            <w:rPr>
              <w:rFonts w:eastAsiaTheme="minorEastAsia"/>
              <w:noProof/>
              <w:color w:val="auto"/>
              <w:lang w:val="en-AU" w:eastAsia="en-AU"/>
            </w:rPr>
          </w:pPr>
          <w:hyperlink w:anchor="_Toc75535883" w:history="1">
            <w:r w:rsidR="003F603E" w:rsidRPr="000809F4">
              <w:rPr>
                <w:rStyle w:val="Hyperlink"/>
                <w:noProof/>
                <w:lang w:val="en-AU"/>
              </w:rPr>
              <w:t xml:space="preserve">Goal and Outcomes for </w:t>
            </w:r>
            <w:r w:rsidR="003F603E" w:rsidRPr="000809F4">
              <w:rPr>
                <w:rStyle w:val="Hyperlink"/>
                <w:i/>
                <w:iCs/>
                <w:noProof/>
                <w:lang w:val="en-AU"/>
              </w:rPr>
              <w:t>Pacific Women Lead</w:t>
            </w:r>
            <w:r w:rsidR="003F603E">
              <w:rPr>
                <w:noProof/>
                <w:webHidden/>
              </w:rPr>
              <w:tab/>
            </w:r>
            <w:r w:rsidR="003F603E">
              <w:rPr>
                <w:noProof/>
                <w:webHidden/>
              </w:rPr>
              <w:fldChar w:fldCharType="begin"/>
            </w:r>
            <w:r w:rsidR="003F603E">
              <w:rPr>
                <w:noProof/>
                <w:webHidden/>
              </w:rPr>
              <w:instrText xml:space="preserve"> PAGEREF _Toc75535883 \h </w:instrText>
            </w:r>
            <w:r w:rsidR="003F603E">
              <w:rPr>
                <w:noProof/>
                <w:webHidden/>
              </w:rPr>
            </w:r>
            <w:r w:rsidR="003F603E">
              <w:rPr>
                <w:noProof/>
                <w:webHidden/>
              </w:rPr>
              <w:fldChar w:fldCharType="separate"/>
            </w:r>
            <w:r w:rsidR="003F603E">
              <w:rPr>
                <w:noProof/>
                <w:webHidden/>
              </w:rPr>
              <w:t>11</w:t>
            </w:r>
            <w:r w:rsidR="003F603E">
              <w:rPr>
                <w:noProof/>
                <w:webHidden/>
              </w:rPr>
              <w:fldChar w:fldCharType="end"/>
            </w:r>
          </w:hyperlink>
        </w:p>
        <w:p w14:paraId="15FBD201" w14:textId="0A4FD3E9" w:rsidR="003F603E" w:rsidRDefault="00A24804">
          <w:pPr>
            <w:pStyle w:val="TOC2"/>
            <w:rPr>
              <w:rFonts w:eastAsiaTheme="minorEastAsia"/>
              <w:noProof/>
              <w:color w:val="auto"/>
              <w:lang w:val="en-AU" w:eastAsia="en-AU"/>
            </w:rPr>
          </w:pPr>
          <w:hyperlink w:anchor="_Toc75535884" w:history="1">
            <w:r w:rsidR="003F603E" w:rsidRPr="000809F4">
              <w:rPr>
                <w:rStyle w:val="Hyperlink"/>
                <w:noProof/>
                <w:lang w:eastAsia="en-AU"/>
              </w:rPr>
              <w:t>Outputs and activities – Regional</w:t>
            </w:r>
            <w:r w:rsidR="003F603E">
              <w:rPr>
                <w:noProof/>
                <w:webHidden/>
              </w:rPr>
              <w:tab/>
            </w:r>
            <w:r w:rsidR="003F603E">
              <w:rPr>
                <w:noProof/>
                <w:webHidden/>
              </w:rPr>
              <w:fldChar w:fldCharType="begin"/>
            </w:r>
            <w:r w:rsidR="003F603E">
              <w:rPr>
                <w:noProof/>
                <w:webHidden/>
              </w:rPr>
              <w:instrText xml:space="preserve"> PAGEREF _Toc75535884 \h </w:instrText>
            </w:r>
            <w:r w:rsidR="003F603E">
              <w:rPr>
                <w:noProof/>
                <w:webHidden/>
              </w:rPr>
            </w:r>
            <w:r w:rsidR="003F603E">
              <w:rPr>
                <w:noProof/>
                <w:webHidden/>
              </w:rPr>
              <w:fldChar w:fldCharType="separate"/>
            </w:r>
            <w:r w:rsidR="003F603E">
              <w:rPr>
                <w:noProof/>
                <w:webHidden/>
              </w:rPr>
              <w:t>12</w:t>
            </w:r>
            <w:r w:rsidR="003F603E">
              <w:rPr>
                <w:noProof/>
                <w:webHidden/>
              </w:rPr>
              <w:fldChar w:fldCharType="end"/>
            </w:r>
          </w:hyperlink>
        </w:p>
        <w:p w14:paraId="78B42D47" w14:textId="3E578807" w:rsidR="003F603E" w:rsidRDefault="00A24804">
          <w:pPr>
            <w:pStyle w:val="TOC2"/>
            <w:rPr>
              <w:rFonts w:eastAsiaTheme="minorEastAsia"/>
              <w:noProof/>
              <w:color w:val="auto"/>
              <w:lang w:val="en-AU" w:eastAsia="en-AU"/>
            </w:rPr>
          </w:pPr>
          <w:hyperlink w:anchor="_Toc75535885" w:history="1">
            <w:r w:rsidR="003F603E" w:rsidRPr="000809F4">
              <w:rPr>
                <w:rStyle w:val="Hyperlink"/>
                <w:noProof/>
                <w:lang w:eastAsia="en-AU"/>
              </w:rPr>
              <w:t>Outputs and activities – Bilateral</w:t>
            </w:r>
            <w:r w:rsidR="003F603E">
              <w:rPr>
                <w:noProof/>
                <w:webHidden/>
              </w:rPr>
              <w:tab/>
            </w:r>
            <w:r w:rsidR="003F603E">
              <w:rPr>
                <w:noProof/>
                <w:webHidden/>
              </w:rPr>
              <w:fldChar w:fldCharType="begin"/>
            </w:r>
            <w:r w:rsidR="003F603E">
              <w:rPr>
                <w:noProof/>
                <w:webHidden/>
              </w:rPr>
              <w:instrText xml:space="preserve"> PAGEREF _Toc75535885 \h </w:instrText>
            </w:r>
            <w:r w:rsidR="003F603E">
              <w:rPr>
                <w:noProof/>
                <w:webHidden/>
              </w:rPr>
            </w:r>
            <w:r w:rsidR="003F603E">
              <w:rPr>
                <w:noProof/>
                <w:webHidden/>
              </w:rPr>
              <w:fldChar w:fldCharType="separate"/>
            </w:r>
            <w:r w:rsidR="003F603E">
              <w:rPr>
                <w:noProof/>
                <w:webHidden/>
              </w:rPr>
              <w:t>13</w:t>
            </w:r>
            <w:r w:rsidR="003F603E">
              <w:rPr>
                <w:noProof/>
                <w:webHidden/>
              </w:rPr>
              <w:fldChar w:fldCharType="end"/>
            </w:r>
          </w:hyperlink>
        </w:p>
        <w:p w14:paraId="3339F07C" w14:textId="1D7E71BF" w:rsidR="003F603E" w:rsidRDefault="00A24804">
          <w:pPr>
            <w:pStyle w:val="TOC2"/>
            <w:rPr>
              <w:rFonts w:eastAsiaTheme="minorEastAsia"/>
              <w:noProof/>
              <w:color w:val="auto"/>
              <w:lang w:val="en-AU" w:eastAsia="en-AU"/>
            </w:rPr>
          </w:pPr>
          <w:hyperlink w:anchor="_Toc75535886" w:history="1">
            <w:r w:rsidR="003F603E" w:rsidRPr="000809F4">
              <w:rPr>
                <w:rStyle w:val="Hyperlink"/>
                <w:noProof/>
              </w:rPr>
              <w:t>Theory of Change</w:t>
            </w:r>
            <w:r w:rsidR="003F603E">
              <w:rPr>
                <w:noProof/>
                <w:webHidden/>
              </w:rPr>
              <w:tab/>
            </w:r>
            <w:r w:rsidR="003F603E">
              <w:rPr>
                <w:noProof/>
                <w:webHidden/>
              </w:rPr>
              <w:fldChar w:fldCharType="begin"/>
            </w:r>
            <w:r w:rsidR="003F603E">
              <w:rPr>
                <w:noProof/>
                <w:webHidden/>
              </w:rPr>
              <w:instrText xml:space="preserve"> PAGEREF _Toc75535886 \h </w:instrText>
            </w:r>
            <w:r w:rsidR="003F603E">
              <w:rPr>
                <w:noProof/>
                <w:webHidden/>
              </w:rPr>
            </w:r>
            <w:r w:rsidR="003F603E">
              <w:rPr>
                <w:noProof/>
                <w:webHidden/>
              </w:rPr>
              <w:fldChar w:fldCharType="separate"/>
            </w:r>
            <w:r w:rsidR="003F603E">
              <w:rPr>
                <w:noProof/>
                <w:webHidden/>
              </w:rPr>
              <w:t>14</w:t>
            </w:r>
            <w:r w:rsidR="003F603E">
              <w:rPr>
                <w:noProof/>
                <w:webHidden/>
              </w:rPr>
              <w:fldChar w:fldCharType="end"/>
            </w:r>
          </w:hyperlink>
        </w:p>
        <w:p w14:paraId="50CB89E8" w14:textId="1EFB9E46" w:rsidR="003F603E" w:rsidRDefault="00A24804" w:rsidP="00F328DA">
          <w:pPr>
            <w:pStyle w:val="TOC1"/>
            <w:rPr>
              <w:rFonts w:eastAsiaTheme="minorEastAsia"/>
              <w:noProof/>
              <w:color w:val="auto"/>
              <w:sz w:val="22"/>
              <w:lang w:val="en-AU" w:eastAsia="en-AU"/>
            </w:rPr>
          </w:pPr>
          <w:hyperlink w:anchor="_Toc75535887" w:history="1">
            <w:r w:rsidR="003F603E" w:rsidRPr="000809F4">
              <w:rPr>
                <w:rStyle w:val="Hyperlink"/>
                <w:noProof/>
              </w:rPr>
              <w:t>5. Implementation Arrangements</w:t>
            </w:r>
            <w:r w:rsidR="003F603E">
              <w:rPr>
                <w:noProof/>
                <w:webHidden/>
              </w:rPr>
              <w:tab/>
            </w:r>
            <w:r w:rsidR="003F603E">
              <w:rPr>
                <w:noProof/>
                <w:webHidden/>
              </w:rPr>
              <w:fldChar w:fldCharType="begin"/>
            </w:r>
            <w:r w:rsidR="003F603E">
              <w:rPr>
                <w:noProof/>
                <w:webHidden/>
              </w:rPr>
              <w:instrText xml:space="preserve"> PAGEREF _Toc75535887 \h </w:instrText>
            </w:r>
            <w:r w:rsidR="003F603E">
              <w:rPr>
                <w:noProof/>
                <w:webHidden/>
              </w:rPr>
            </w:r>
            <w:r w:rsidR="003F603E">
              <w:rPr>
                <w:noProof/>
                <w:webHidden/>
              </w:rPr>
              <w:fldChar w:fldCharType="separate"/>
            </w:r>
            <w:r w:rsidR="003F603E">
              <w:rPr>
                <w:noProof/>
                <w:webHidden/>
              </w:rPr>
              <w:t>17</w:t>
            </w:r>
            <w:r w:rsidR="003F603E">
              <w:rPr>
                <w:noProof/>
                <w:webHidden/>
              </w:rPr>
              <w:fldChar w:fldCharType="end"/>
            </w:r>
          </w:hyperlink>
        </w:p>
        <w:p w14:paraId="2B766059" w14:textId="7D123BD0" w:rsidR="003F603E" w:rsidRDefault="00A24804">
          <w:pPr>
            <w:pStyle w:val="TOC2"/>
            <w:rPr>
              <w:rFonts w:eastAsiaTheme="minorEastAsia"/>
              <w:noProof/>
              <w:color w:val="auto"/>
              <w:lang w:val="en-AU" w:eastAsia="en-AU"/>
            </w:rPr>
          </w:pPr>
          <w:hyperlink w:anchor="_Toc75535888" w:history="1">
            <w:r w:rsidR="003F603E" w:rsidRPr="000809F4">
              <w:rPr>
                <w:rStyle w:val="Hyperlink"/>
                <w:noProof/>
                <w:lang w:eastAsia="en-AU"/>
              </w:rPr>
              <w:t>Governance</w:t>
            </w:r>
            <w:r w:rsidR="003F603E">
              <w:rPr>
                <w:noProof/>
                <w:webHidden/>
              </w:rPr>
              <w:tab/>
            </w:r>
            <w:r w:rsidR="003F603E">
              <w:rPr>
                <w:noProof/>
                <w:webHidden/>
              </w:rPr>
              <w:fldChar w:fldCharType="begin"/>
            </w:r>
            <w:r w:rsidR="003F603E">
              <w:rPr>
                <w:noProof/>
                <w:webHidden/>
              </w:rPr>
              <w:instrText xml:space="preserve"> PAGEREF _Toc75535888 \h </w:instrText>
            </w:r>
            <w:r w:rsidR="003F603E">
              <w:rPr>
                <w:noProof/>
                <w:webHidden/>
              </w:rPr>
            </w:r>
            <w:r w:rsidR="003F603E">
              <w:rPr>
                <w:noProof/>
                <w:webHidden/>
              </w:rPr>
              <w:fldChar w:fldCharType="separate"/>
            </w:r>
            <w:r w:rsidR="003F603E">
              <w:rPr>
                <w:noProof/>
                <w:webHidden/>
              </w:rPr>
              <w:t>17</w:t>
            </w:r>
            <w:r w:rsidR="003F603E">
              <w:rPr>
                <w:noProof/>
                <w:webHidden/>
              </w:rPr>
              <w:fldChar w:fldCharType="end"/>
            </w:r>
          </w:hyperlink>
        </w:p>
        <w:p w14:paraId="775B12B7" w14:textId="396FBB2F" w:rsidR="003F603E" w:rsidRDefault="00A24804">
          <w:pPr>
            <w:pStyle w:val="TOC2"/>
            <w:rPr>
              <w:rFonts w:eastAsiaTheme="minorEastAsia"/>
              <w:noProof/>
              <w:color w:val="auto"/>
              <w:lang w:val="en-AU" w:eastAsia="en-AU"/>
            </w:rPr>
          </w:pPr>
          <w:hyperlink w:anchor="_Toc75535889" w:history="1">
            <w:r w:rsidR="003F603E" w:rsidRPr="000809F4">
              <w:rPr>
                <w:rStyle w:val="Hyperlink"/>
                <w:noProof/>
                <w:lang w:eastAsia="en-AU"/>
              </w:rPr>
              <w:t>Management &amp; Delivery Model</w:t>
            </w:r>
            <w:r w:rsidR="003F603E">
              <w:rPr>
                <w:noProof/>
                <w:webHidden/>
              </w:rPr>
              <w:tab/>
            </w:r>
            <w:r w:rsidR="003F603E">
              <w:rPr>
                <w:noProof/>
                <w:webHidden/>
              </w:rPr>
              <w:fldChar w:fldCharType="begin"/>
            </w:r>
            <w:r w:rsidR="003F603E">
              <w:rPr>
                <w:noProof/>
                <w:webHidden/>
              </w:rPr>
              <w:instrText xml:space="preserve"> PAGEREF _Toc75535889 \h </w:instrText>
            </w:r>
            <w:r w:rsidR="003F603E">
              <w:rPr>
                <w:noProof/>
                <w:webHidden/>
              </w:rPr>
            </w:r>
            <w:r w:rsidR="003F603E">
              <w:rPr>
                <w:noProof/>
                <w:webHidden/>
              </w:rPr>
              <w:fldChar w:fldCharType="separate"/>
            </w:r>
            <w:r w:rsidR="003F603E">
              <w:rPr>
                <w:noProof/>
                <w:webHidden/>
              </w:rPr>
              <w:t>19</w:t>
            </w:r>
            <w:r w:rsidR="003F603E">
              <w:rPr>
                <w:noProof/>
                <w:webHidden/>
              </w:rPr>
              <w:fldChar w:fldCharType="end"/>
            </w:r>
          </w:hyperlink>
        </w:p>
        <w:p w14:paraId="7BE9F541" w14:textId="1EA2A325" w:rsidR="003F603E" w:rsidRDefault="00A24804">
          <w:pPr>
            <w:pStyle w:val="TOC2"/>
            <w:rPr>
              <w:rFonts w:eastAsiaTheme="minorEastAsia"/>
              <w:noProof/>
              <w:color w:val="auto"/>
              <w:lang w:val="en-AU" w:eastAsia="en-AU"/>
            </w:rPr>
          </w:pPr>
          <w:hyperlink w:anchor="_Toc75535890" w:history="1">
            <w:r w:rsidR="003F603E" w:rsidRPr="000809F4">
              <w:rPr>
                <w:rStyle w:val="Hyperlink"/>
                <w:noProof/>
              </w:rPr>
              <w:t>Value for Money considerations</w:t>
            </w:r>
            <w:r w:rsidR="003F603E">
              <w:rPr>
                <w:noProof/>
                <w:webHidden/>
              </w:rPr>
              <w:tab/>
            </w:r>
            <w:r w:rsidR="003F603E">
              <w:rPr>
                <w:noProof/>
                <w:webHidden/>
              </w:rPr>
              <w:fldChar w:fldCharType="begin"/>
            </w:r>
            <w:r w:rsidR="003F603E">
              <w:rPr>
                <w:noProof/>
                <w:webHidden/>
              </w:rPr>
              <w:instrText xml:space="preserve"> PAGEREF _Toc75535890 \h </w:instrText>
            </w:r>
            <w:r w:rsidR="003F603E">
              <w:rPr>
                <w:noProof/>
                <w:webHidden/>
              </w:rPr>
            </w:r>
            <w:r w:rsidR="003F603E">
              <w:rPr>
                <w:noProof/>
                <w:webHidden/>
              </w:rPr>
              <w:fldChar w:fldCharType="separate"/>
            </w:r>
            <w:r w:rsidR="003F603E">
              <w:rPr>
                <w:noProof/>
                <w:webHidden/>
              </w:rPr>
              <w:t>22</w:t>
            </w:r>
            <w:r w:rsidR="003F603E">
              <w:rPr>
                <w:noProof/>
                <w:webHidden/>
              </w:rPr>
              <w:fldChar w:fldCharType="end"/>
            </w:r>
          </w:hyperlink>
        </w:p>
        <w:p w14:paraId="5972CBB4" w14:textId="5F0A1C51" w:rsidR="003F603E" w:rsidRDefault="00A24804">
          <w:pPr>
            <w:pStyle w:val="TOC2"/>
            <w:rPr>
              <w:rFonts w:eastAsiaTheme="minorEastAsia"/>
              <w:noProof/>
              <w:color w:val="auto"/>
              <w:lang w:val="en-AU" w:eastAsia="en-AU"/>
            </w:rPr>
          </w:pPr>
          <w:hyperlink w:anchor="_Toc75535891" w:history="1">
            <w:r w:rsidR="003F603E" w:rsidRPr="000809F4">
              <w:rPr>
                <w:rStyle w:val="Hyperlink"/>
                <w:noProof/>
              </w:rPr>
              <w:t>Specific expectations of SPC as ‘host’</w:t>
            </w:r>
            <w:r w:rsidR="003F603E">
              <w:rPr>
                <w:noProof/>
                <w:webHidden/>
              </w:rPr>
              <w:tab/>
            </w:r>
            <w:r w:rsidR="003F603E">
              <w:rPr>
                <w:noProof/>
                <w:webHidden/>
              </w:rPr>
              <w:fldChar w:fldCharType="begin"/>
            </w:r>
            <w:r w:rsidR="003F603E">
              <w:rPr>
                <w:noProof/>
                <w:webHidden/>
              </w:rPr>
              <w:instrText xml:space="preserve"> PAGEREF _Toc75535891 \h </w:instrText>
            </w:r>
            <w:r w:rsidR="003F603E">
              <w:rPr>
                <w:noProof/>
                <w:webHidden/>
              </w:rPr>
            </w:r>
            <w:r w:rsidR="003F603E">
              <w:rPr>
                <w:noProof/>
                <w:webHidden/>
              </w:rPr>
              <w:fldChar w:fldCharType="separate"/>
            </w:r>
            <w:r w:rsidR="003F603E">
              <w:rPr>
                <w:noProof/>
                <w:webHidden/>
              </w:rPr>
              <w:t>23</w:t>
            </w:r>
            <w:r w:rsidR="003F603E">
              <w:rPr>
                <w:noProof/>
                <w:webHidden/>
              </w:rPr>
              <w:fldChar w:fldCharType="end"/>
            </w:r>
          </w:hyperlink>
        </w:p>
        <w:p w14:paraId="23FD936E" w14:textId="02624B82" w:rsidR="003F603E" w:rsidRDefault="00A24804">
          <w:pPr>
            <w:pStyle w:val="TOC2"/>
            <w:rPr>
              <w:rFonts w:eastAsiaTheme="minorEastAsia"/>
              <w:noProof/>
              <w:color w:val="auto"/>
              <w:lang w:val="en-AU" w:eastAsia="en-AU"/>
            </w:rPr>
          </w:pPr>
          <w:hyperlink w:anchor="_Toc75535892" w:history="1">
            <w:r w:rsidR="003F603E" w:rsidRPr="000809F4">
              <w:rPr>
                <w:rStyle w:val="Hyperlink"/>
                <w:noProof/>
                <w:lang w:eastAsia="en-AU"/>
              </w:rPr>
              <w:t>Policy Dialogue</w:t>
            </w:r>
            <w:r w:rsidR="003F603E">
              <w:rPr>
                <w:noProof/>
                <w:webHidden/>
              </w:rPr>
              <w:tab/>
            </w:r>
            <w:r w:rsidR="003F603E">
              <w:rPr>
                <w:noProof/>
                <w:webHidden/>
              </w:rPr>
              <w:fldChar w:fldCharType="begin"/>
            </w:r>
            <w:r w:rsidR="003F603E">
              <w:rPr>
                <w:noProof/>
                <w:webHidden/>
              </w:rPr>
              <w:instrText xml:space="preserve"> PAGEREF _Toc75535892 \h </w:instrText>
            </w:r>
            <w:r w:rsidR="003F603E">
              <w:rPr>
                <w:noProof/>
                <w:webHidden/>
              </w:rPr>
            </w:r>
            <w:r w:rsidR="003F603E">
              <w:rPr>
                <w:noProof/>
                <w:webHidden/>
              </w:rPr>
              <w:fldChar w:fldCharType="separate"/>
            </w:r>
            <w:r w:rsidR="003F603E">
              <w:rPr>
                <w:noProof/>
                <w:webHidden/>
              </w:rPr>
              <w:t>24</w:t>
            </w:r>
            <w:r w:rsidR="003F603E">
              <w:rPr>
                <w:noProof/>
                <w:webHidden/>
              </w:rPr>
              <w:fldChar w:fldCharType="end"/>
            </w:r>
          </w:hyperlink>
        </w:p>
        <w:p w14:paraId="520DB109" w14:textId="2320DD66" w:rsidR="003F603E" w:rsidRDefault="00A24804" w:rsidP="00F328DA">
          <w:pPr>
            <w:pStyle w:val="TOC1"/>
            <w:rPr>
              <w:rFonts w:eastAsiaTheme="minorEastAsia"/>
              <w:noProof/>
              <w:color w:val="auto"/>
              <w:sz w:val="22"/>
              <w:lang w:val="en-AU" w:eastAsia="en-AU"/>
            </w:rPr>
          </w:pPr>
          <w:hyperlink w:anchor="_Toc75535893" w:history="1">
            <w:r w:rsidR="003F603E" w:rsidRPr="000809F4">
              <w:rPr>
                <w:rStyle w:val="Hyperlink"/>
                <w:noProof/>
              </w:rPr>
              <w:t>6. Monitoring and Evaluation</w:t>
            </w:r>
            <w:r w:rsidR="003F603E">
              <w:rPr>
                <w:noProof/>
                <w:webHidden/>
              </w:rPr>
              <w:tab/>
            </w:r>
            <w:r w:rsidR="003F603E">
              <w:rPr>
                <w:noProof/>
                <w:webHidden/>
              </w:rPr>
              <w:fldChar w:fldCharType="begin"/>
            </w:r>
            <w:r w:rsidR="003F603E">
              <w:rPr>
                <w:noProof/>
                <w:webHidden/>
              </w:rPr>
              <w:instrText xml:space="preserve"> PAGEREF _Toc75535893 \h </w:instrText>
            </w:r>
            <w:r w:rsidR="003F603E">
              <w:rPr>
                <w:noProof/>
                <w:webHidden/>
              </w:rPr>
            </w:r>
            <w:r w:rsidR="003F603E">
              <w:rPr>
                <w:noProof/>
                <w:webHidden/>
              </w:rPr>
              <w:fldChar w:fldCharType="separate"/>
            </w:r>
            <w:r w:rsidR="003F603E">
              <w:rPr>
                <w:noProof/>
                <w:webHidden/>
              </w:rPr>
              <w:t>24</w:t>
            </w:r>
            <w:r w:rsidR="003F603E">
              <w:rPr>
                <w:noProof/>
                <w:webHidden/>
              </w:rPr>
              <w:fldChar w:fldCharType="end"/>
            </w:r>
          </w:hyperlink>
        </w:p>
        <w:p w14:paraId="724D8A72" w14:textId="12042835" w:rsidR="003F603E" w:rsidRDefault="00A24804">
          <w:pPr>
            <w:pStyle w:val="TOC2"/>
            <w:rPr>
              <w:rFonts w:eastAsiaTheme="minorEastAsia"/>
              <w:noProof/>
              <w:color w:val="auto"/>
              <w:lang w:val="en-AU" w:eastAsia="en-AU"/>
            </w:rPr>
          </w:pPr>
          <w:hyperlink w:anchor="_Toc75535894" w:history="1">
            <w:r w:rsidR="003F603E" w:rsidRPr="000809F4">
              <w:rPr>
                <w:rStyle w:val="Hyperlink"/>
                <w:noProof/>
                <w:lang w:val="en-AU"/>
              </w:rPr>
              <w:t>Key Evaluation Questions</w:t>
            </w:r>
            <w:r w:rsidR="003F603E">
              <w:rPr>
                <w:noProof/>
                <w:webHidden/>
              </w:rPr>
              <w:tab/>
            </w:r>
            <w:r w:rsidR="003F603E">
              <w:rPr>
                <w:noProof/>
                <w:webHidden/>
              </w:rPr>
              <w:fldChar w:fldCharType="begin"/>
            </w:r>
            <w:r w:rsidR="003F603E">
              <w:rPr>
                <w:noProof/>
                <w:webHidden/>
              </w:rPr>
              <w:instrText xml:space="preserve"> PAGEREF _Toc75535894 \h </w:instrText>
            </w:r>
            <w:r w:rsidR="003F603E">
              <w:rPr>
                <w:noProof/>
                <w:webHidden/>
              </w:rPr>
            </w:r>
            <w:r w:rsidR="003F603E">
              <w:rPr>
                <w:noProof/>
                <w:webHidden/>
              </w:rPr>
              <w:fldChar w:fldCharType="separate"/>
            </w:r>
            <w:r w:rsidR="003F603E">
              <w:rPr>
                <w:noProof/>
                <w:webHidden/>
              </w:rPr>
              <w:t>25</w:t>
            </w:r>
            <w:r w:rsidR="003F603E">
              <w:rPr>
                <w:noProof/>
                <w:webHidden/>
              </w:rPr>
              <w:fldChar w:fldCharType="end"/>
            </w:r>
          </w:hyperlink>
        </w:p>
        <w:p w14:paraId="23C53200" w14:textId="724239FB" w:rsidR="003F603E" w:rsidRDefault="00A24804">
          <w:pPr>
            <w:pStyle w:val="TOC2"/>
            <w:rPr>
              <w:rFonts w:eastAsiaTheme="minorEastAsia"/>
              <w:noProof/>
              <w:color w:val="auto"/>
              <w:lang w:val="en-AU" w:eastAsia="en-AU"/>
            </w:rPr>
          </w:pPr>
          <w:hyperlink w:anchor="_Toc75535895" w:history="1">
            <w:r w:rsidR="003F603E" w:rsidRPr="000809F4">
              <w:rPr>
                <w:rStyle w:val="Hyperlink"/>
                <w:noProof/>
                <w:lang w:val="en-AU"/>
              </w:rPr>
              <w:t>MEL Responsibility</w:t>
            </w:r>
            <w:r w:rsidR="003F603E">
              <w:rPr>
                <w:noProof/>
                <w:webHidden/>
              </w:rPr>
              <w:tab/>
            </w:r>
            <w:r w:rsidR="003F603E">
              <w:rPr>
                <w:noProof/>
                <w:webHidden/>
              </w:rPr>
              <w:fldChar w:fldCharType="begin"/>
            </w:r>
            <w:r w:rsidR="003F603E">
              <w:rPr>
                <w:noProof/>
                <w:webHidden/>
              </w:rPr>
              <w:instrText xml:space="preserve"> PAGEREF _Toc75535895 \h </w:instrText>
            </w:r>
            <w:r w:rsidR="003F603E">
              <w:rPr>
                <w:noProof/>
                <w:webHidden/>
              </w:rPr>
            </w:r>
            <w:r w:rsidR="003F603E">
              <w:rPr>
                <w:noProof/>
                <w:webHidden/>
              </w:rPr>
              <w:fldChar w:fldCharType="separate"/>
            </w:r>
            <w:r w:rsidR="003F603E">
              <w:rPr>
                <w:noProof/>
                <w:webHidden/>
              </w:rPr>
              <w:t>26</w:t>
            </w:r>
            <w:r w:rsidR="003F603E">
              <w:rPr>
                <w:noProof/>
                <w:webHidden/>
              </w:rPr>
              <w:fldChar w:fldCharType="end"/>
            </w:r>
          </w:hyperlink>
        </w:p>
        <w:p w14:paraId="5F1BE3C5" w14:textId="1C0B6969" w:rsidR="003F603E" w:rsidRDefault="00A24804" w:rsidP="00F328DA">
          <w:pPr>
            <w:pStyle w:val="TOC1"/>
            <w:rPr>
              <w:rFonts w:eastAsiaTheme="minorEastAsia"/>
              <w:noProof/>
              <w:color w:val="auto"/>
              <w:sz w:val="22"/>
              <w:lang w:val="en-AU" w:eastAsia="en-AU"/>
            </w:rPr>
          </w:pPr>
          <w:hyperlink w:anchor="_Toc75535896" w:history="1">
            <w:r w:rsidR="003F603E" w:rsidRPr="000809F4">
              <w:rPr>
                <w:rStyle w:val="Hyperlink"/>
                <w:noProof/>
              </w:rPr>
              <w:t>7. Gender, Disability and Other Cross Cutting Issues</w:t>
            </w:r>
            <w:r w:rsidR="003F603E">
              <w:rPr>
                <w:noProof/>
                <w:webHidden/>
              </w:rPr>
              <w:tab/>
            </w:r>
            <w:r w:rsidR="003F603E">
              <w:rPr>
                <w:noProof/>
                <w:webHidden/>
              </w:rPr>
              <w:fldChar w:fldCharType="begin"/>
            </w:r>
            <w:r w:rsidR="003F603E">
              <w:rPr>
                <w:noProof/>
                <w:webHidden/>
              </w:rPr>
              <w:instrText xml:space="preserve"> PAGEREF _Toc75535896 \h </w:instrText>
            </w:r>
            <w:r w:rsidR="003F603E">
              <w:rPr>
                <w:noProof/>
                <w:webHidden/>
              </w:rPr>
            </w:r>
            <w:r w:rsidR="003F603E">
              <w:rPr>
                <w:noProof/>
                <w:webHidden/>
              </w:rPr>
              <w:fldChar w:fldCharType="separate"/>
            </w:r>
            <w:r w:rsidR="003F603E">
              <w:rPr>
                <w:noProof/>
                <w:webHidden/>
              </w:rPr>
              <w:t>27</w:t>
            </w:r>
            <w:r w:rsidR="003F603E">
              <w:rPr>
                <w:noProof/>
                <w:webHidden/>
              </w:rPr>
              <w:fldChar w:fldCharType="end"/>
            </w:r>
          </w:hyperlink>
        </w:p>
        <w:p w14:paraId="4BFDD821" w14:textId="237D50B7" w:rsidR="003F603E" w:rsidRDefault="00A24804">
          <w:pPr>
            <w:pStyle w:val="TOC2"/>
            <w:rPr>
              <w:rFonts w:eastAsiaTheme="minorEastAsia"/>
              <w:noProof/>
              <w:color w:val="auto"/>
              <w:lang w:val="en-AU" w:eastAsia="en-AU"/>
            </w:rPr>
          </w:pPr>
          <w:hyperlink w:anchor="_Toc75535897" w:history="1">
            <w:r w:rsidR="003F603E" w:rsidRPr="000809F4">
              <w:rPr>
                <w:rStyle w:val="Hyperlink"/>
                <w:noProof/>
                <w:lang w:val="en-AU"/>
              </w:rPr>
              <w:t>Gender Equality</w:t>
            </w:r>
            <w:r w:rsidR="003F603E">
              <w:rPr>
                <w:noProof/>
                <w:webHidden/>
              </w:rPr>
              <w:tab/>
            </w:r>
            <w:r w:rsidR="003F603E">
              <w:rPr>
                <w:noProof/>
                <w:webHidden/>
              </w:rPr>
              <w:fldChar w:fldCharType="begin"/>
            </w:r>
            <w:r w:rsidR="003F603E">
              <w:rPr>
                <w:noProof/>
                <w:webHidden/>
              </w:rPr>
              <w:instrText xml:space="preserve"> PAGEREF _Toc75535897 \h </w:instrText>
            </w:r>
            <w:r w:rsidR="003F603E">
              <w:rPr>
                <w:noProof/>
                <w:webHidden/>
              </w:rPr>
            </w:r>
            <w:r w:rsidR="003F603E">
              <w:rPr>
                <w:noProof/>
                <w:webHidden/>
              </w:rPr>
              <w:fldChar w:fldCharType="separate"/>
            </w:r>
            <w:r w:rsidR="003F603E">
              <w:rPr>
                <w:noProof/>
                <w:webHidden/>
              </w:rPr>
              <w:t>27</w:t>
            </w:r>
            <w:r w:rsidR="003F603E">
              <w:rPr>
                <w:noProof/>
                <w:webHidden/>
              </w:rPr>
              <w:fldChar w:fldCharType="end"/>
            </w:r>
          </w:hyperlink>
        </w:p>
        <w:p w14:paraId="6459427A" w14:textId="3E5B4610" w:rsidR="003F603E" w:rsidRDefault="00A24804">
          <w:pPr>
            <w:pStyle w:val="TOC2"/>
            <w:rPr>
              <w:rFonts w:eastAsiaTheme="minorEastAsia"/>
              <w:noProof/>
              <w:color w:val="auto"/>
              <w:lang w:val="en-AU" w:eastAsia="en-AU"/>
            </w:rPr>
          </w:pPr>
          <w:hyperlink w:anchor="_Toc75535898" w:history="1">
            <w:r w:rsidR="003F603E" w:rsidRPr="000809F4">
              <w:rPr>
                <w:rStyle w:val="Hyperlink"/>
                <w:noProof/>
                <w:lang w:val="en-AU"/>
              </w:rPr>
              <w:t>Disability and social inclusion</w:t>
            </w:r>
            <w:r w:rsidR="003F603E">
              <w:rPr>
                <w:noProof/>
                <w:webHidden/>
              </w:rPr>
              <w:tab/>
            </w:r>
            <w:r w:rsidR="003F603E">
              <w:rPr>
                <w:noProof/>
                <w:webHidden/>
              </w:rPr>
              <w:fldChar w:fldCharType="begin"/>
            </w:r>
            <w:r w:rsidR="003F603E">
              <w:rPr>
                <w:noProof/>
                <w:webHidden/>
              </w:rPr>
              <w:instrText xml:space="preserve"> PAGEREF _Toc75535898 \h </w:instrText>
            </w:r>
            <w:r w:rsidR="003F603E">
              <w:rPr>
                <w:noProof/>
                <w:webHidden/>
              </w:rPr>
            </w:r>
            <w:r w:rsidR="003F603E">
              <w:rPr>
                <w:noProof/>
                <w:webHidden/>
              </w:rPr>
              <w:fldChar w:fldCharType="separate"/>
            </w:r>
            <w:r w:rsidR="003F603E">
              <w:rPr>
                <w:noProof/>
                <w:webHidden/>
              </w:rPr>
              <w:t>28</w:t>
            </w:r>
            <w:r w:rsidR="003F603E">
              <w:rPr>
                <w:noProof/>
                <w:webHidden/>
              </w:rPr>
              <w:fldChar w:fldCharType="end"/>
            </w:r>
          </w:hyperlink>
        </w:p>
        <w:p w14:paraId="4F583004" w14:textId="33D0295D" w:rsidR="003F603E" w:rsidRDefault="00A24804">
          <w:pPr>
            <w:pStyle w:val="TOC2"/>
            <w:rPr>
              <w:rFonts w:eastAsiaTheme="minorEastAsia"/>
              <w:noProof/>
              <w:color w:val="auto"/>
              <w:lang w:val="en-AU" w:eastAsia="en-AU"/>
            </w:rPr>
          </w:pPr>
          <w:hyperlink w:anchor="_Toc75535899" w:history="1">
            <w:r w:rsidR="003F603E" w:rsidRPr="000809F4">
              <w:rPr>
                <w:rStyle w:val="Hyperlink"/>
                <w:noProof/>
                <w:lang w:val="en-AU"/>
              </w:rPr>
              <w:t>Climate Change and disaster resilience</w:t>
            </w:r>
            <w:r w:rsidR="003F603E">
              <w:rPr>
                <w:noProof/>
                <w:webHidden/>
              </w:rPr>
              <w:tab/>
            </w:r>
            <w:r w:rsidR="003F603E">
              <w:rPr>
                <w:noProof/>
                <w:webHidden/>
              </w:rPr>
              <w:fldChar w:fldCharType="begin"/>
            </w:r>
            <w:r w:rsidR="003F603E">
              <w:rPr>
                <w:noProof/>
                <w:webHidden/>
              </w:rPr>
              <w:instrText xml:space="preserve"> PAGEREF _Toc75535899 \h </w:instrText>
            </w:r>
            <w:r w:rsidR="003F603E">
              <w:rPr>
                <w:noProof/>
                <w:webHidden/>
              </w:rPr>
            </w:r>
            <w:r w:rsidR="003F603E">
              <w:rPr>
                <w:noProof/>
                <w:webHidden/>
              </w:rPr>
              <w:fldChar w:fldCharType="separate"/>
            </w:r>
            <w:r w:rsidR="003F603E">
              <w:rPr>
                <w:noProof/>
                <w:webHidden/>
              </w:rPr>
              <w:t>28</w:t>
            </w:r>
            <w:r w:rsidR="003F603E">
              <w:rPr>
                <w:noProof/>
                <w:webHidden/>
              </w:rPr>
              <w:fldChar w:fldCharType="end"/>
            </w:r>
          </w:hyperlink>
        </w:p>
        <w:p w14:paraId="0536E04D" w14:textId="5C93ABC4" w:rsidR="003F603E" w:rsidRDefault="00A24804" w:rsidP="00F328DA">
          <w:pPr>
            <w:pStyle w:val="TOC1"/>
            <w:rPr>
              <w:rFonts w:eastAsiaTheme="minorEastAsia"/>
              <w:noProof/>
              <w:color w:val="auto"/>
              <w:sz w:val="22"/>
              <w:lang w:val="en-AU" w:eastAsia="en-AU"/>
            </w:rPr>
          </w:pPr>
          <w:hyperlink w:anchor="_Toc75535900" w:history="1">
            <w:r w:rsidR="003F603E" w:rsidRPr="000809F4">
              <w:rPr>
                <w:rStyle w:val="Hyperlink"/>
                <w:noProof/>
              </w:rPr>
              <w:t>8. Budget and Resourcing</w:t>
            </w:r>
            <w:r w:rsidR="003F603E">
              <w:rPr>
                <w:noProof/>
                <w:webHidden/>
              </w:rPr>
              <w:tab/>
            </w:r>
            <w:r w:rsidR="003F603E">
              <w:rPr>
                <w:noProof/>
                <w:webHidden/>
              </w:rPr>
              <w:fldChar w:fldCharType="begin"/>
            </w:r>
            <w:r w:rsidR="003F603E">
              <w:rPr>
                <w:noProof/>
                <w:webHidden/>
              </w:rPr>
              <w:instrText xml:space="preserve"> PAGEREF _Toc75535900 \h </w:instrText>
            </w:r>
            <w:r w:rsidR="003F603E">
              <w:rPr>
                <w:noProof/>
                <w:webHidden/>
              </w:rPr>
            </w:r>
            <w:r w:rsidR="003F603E">
              <w:rPr>
                <w:noProof/>
                <w:webHidden/>
              </w:rPr>
              <w:fldChar w:fldCharType="separate"/>
            </w:r>
            <w:r w:rsidR="003F603E">
              <w:rPr>
                <w:noProof/>
                <w:webHidden/>
              </w:rPr>
              <w:t>29</w:t>
            </w:r>
            <w:r w:rsidR="003F603E">
              <w:rPr>
                <w:noProof/>
                <w:webHidden/>
              </w:rPr>
              <w:fldChar w:fldCharType="end"/>
            </w:r>
          </w:hyperlink>
        </w:p>
        <w:p w14:paraId="25478B18" w14:textId="2787A623" w:rsidR="003F603E" w:rsidRDefault="00A24804" w:rsidP="00F328DA">
          <w:pPr>
            <w:pStyle w:val="TOC1"/>
            <w:rPr>
              <w:rFonts w:eastAsiaTheme="minorEastAsia"/>
              <w:noProof/>
              <w:color w:val="auto"/>
              <w:sz w:val="22"/>
              <w:lang w:val="en-AU" w:eastAsia="en-AU"/>
            </w:rPr>
          </w:pPr>
          <w:hyperlink w:anchor="_Toc75535901" w:history="1">
            <w:r w:rsidR="003F603E" w:rsidRPr="000809F4">
              <w:rPr>
                <w:rStyle w:val="Hyperlink"/>
                <w:noProof/>
              </w:rPr>
              <w:t>9. Risk Management and Safeguards</w:t>
            </w:r>
            <w:r w:rsidR="003F603E">
              <w:rPr>
                <w:noProof/>
                <w:webHidden/>
              </w:rPr>
              <w:tab/>
            </w:r>
            <w:r w:rsidR="003F603E">
              <w:rPr>
                <w:noProof/>
                <w:webHidden/>
              </w:rPr>
              <w:fldChar w:fldCharType="begin"/>
            </w:r>
            <w:r w:rsidR="003F603E">
              <w:rPr>
                <w:noProof/>
                <w:webHidden/>
              </w:rPr>
              <w:instrText xml:space="preserve"> PAGEREF _Toc75535901 \h </w:instrText>
            </w:r>
            <w:r w:rsidR="003F603E">
              <w:rPr>
                <w:noProof/>
                <w:webHidden/>
              </w:rPr>
            </w:r>
            <w:r w:rsidR="003F603E">
              <w:rPr>
                <w:noProof/>
                <w:webHidden/>
              </w:rPr>
              <w:fldChar w:fldCharType="separate"/>
            </w:r>
            <w:r w:rsidR="003F603E">
              <w:rPr>
                <w:noProof/>
                <w:webHidden/>
              </w:rPr>
              <w:t>29</w:t>
            </w:r>
            <w:r w:rsidR="003F603E">
              <w:rPr>
                <w:noProof/>
                <w:webHidden/>
              </w:rPr>
              <w:fldChar w:fldCharType="end"/>
            </w:r>
          </w:hyperlink>
        </w:p>
        <w:p w14:paraId="44AFD622" w14:textId="7E216BAF" w:rsidR="003F603E" w:rsidRDefault="00A24804" w:rsidP="00F328DA">
          <w:pPr>
            <w:pStyle w:val="TOC1"/>
            <w:rPr>
              <w:rFonts w:eastAsiaTheme="minorEastAsia"/>
              <w:noProof/>
              <w:color w:val="auto"/>
              <w:sz w:val="22"/>
              <w:lang w:val="en-AU" w:eastAsia="en-AU"/>
            </w:rPr>
          </w:pPr>
          <w:hyperlink w:anchor="_Toc75535902" w:history="1">
            <w:r w:rsidR="003F603E" w:rsidRPr="000809F4">
              <w:rPr>
                <w:rStyle w:val="Hyperlink"/>
                <w:noProof/>
              </w:rPr>
              <w:t>10. Quality assurance</w:t>
            </w:r>
            <w:r w:rsidR="003F603E">
              <w:rPr>
                <w:noProof/>
                <w:webHidden/>
              </w:rPr>
              <w:tab/>
            </w:r>
            <w:r w:rsidR="003F603E">
              <w:rPr>
                <w:noProof/>
                <w:webHidden/>
              </w:rPr>
              <w:fldChar w:fldCharType="begin"/>
            </w:r>
            <w:r w:rsidR="003F603E">
              <w:rPr>
                <w:noProof/>
                <w:webHidden/>
              </w:rPr>
              <w:instrText xml:space="preserve"> PAGEREF _Toc75535902 \h </w:instrText>
            </w:r>
            <w:r w:rsidR="003F603E">
              <w:rPr>
                <w:noProof/>
                <w:webHidden/>
              </w:rPr>
            </w:r>
            <w:r w:rsidR="003F603E">
              <w:rPr>
                <w:noProof/>
                <w:webHidden/>
              </w:rPr>
              <w:fldChar w:fldCharType="separate"/>
            </w:r>
            <w:r w:rsidR="003F603E">
              <w:rPr>
                <w:noProof/>
                <w:webHidden/>
              </w:rPr>
              <w:t>29</w:t>
            </w:r>
            <w:r w:rsidR="003F603E">
              <w:rPr>
                <w:noProof/>
                <w:webHidden/>
              </w:rPr>
              <w:fldChar w:fldCharType="end"/>
            </w:r>
          </w:hyperlink>
        </w:p>
        <w:p w14:paraId="28B6BBF5" w14:textId="5215D185" w:rsidR="003F603E" w:rsidRDefault="00A24804" w:rsidP="00F328DA">
          <w:pPr>
            <w:pStyle w:val="TOC1"/>
            <w:rPr>
              <w:rFonts w:eastAsiaTheme="minorEastAsia"/>
              <w:noProof/>
              <w:sz w:val="22"/>
              <w:lang w:val="en-AU" w:eastAsia="en-AU"/>
            </w:rPr>
          </w:pPr>
          <w:hyperlink w:anchor="_Toc75535903" w:history="1">
            <w:r w:rsidR="003F603E" w:rsidRPr="000809F4">
              <w:rPr>
                <w:rStyle w:val="Hyperlink"/>
                <w:noProof/>
              </w:rPr>
              <w:t>ANNEX 1 – Pacific Women Lead Monitoring and Evaluation Framework</w:t>
            </w:r>
            <w:r w:rsidR="003F603E">
              <w:rPr>
                <w:noProof/>
                <w:webHidden/>
              </w:rPr>
              <w:tab/>
            </w:r>
            <w:r w:rsidR="003F603E">
              <w:rPr>
                <w:noProof/>
                <w:webHidden/>
              </w:rPr>
              <w:fldChar w:fldCharType="begin"/>
            </w:r>
            <w:r w:rsidR="003F603E">
              <w:rPr>
                <w:noProof/>
                <w:webHidden/>
              </w:rPr>
              <w:instrText xml:space="preserve"> PAGEREF _Toc75535903 \h </w:instrText>
            </w:r>
            <w:r w:rsidR="003F603E">
              <w:rPr>
                <w:noProof/>
                <w:webHidden/>
              </w:rPr>
            </w:r>
            <w:r w:rsidR="003F603E">
              <w:rPr>
                <w:noProof/>
                <w:webHidden/>
              </w:rPr>
              <w:fldChar w:fldCharType="separate"/>
            </w:r>
            <w:r w:rsidR="003F603E">
              <w:rPr>
                <w:noProof/>
                <w:webHidden/>
              </w:rPr>
              <w:t>31</w:t>
            </w:r>
            <w:r w:rsidR="003F603E">
              <w:rPr>
                <w:noProof/>
                <w:webHidden/>
              </w:rPr>
              <w:fldChar w:fldCharType="end"/>
            </w:r>
          </w:hyperlink>
        </w:p>
        <w:p w14:paraId="0555652C" w14:textId="62ED84F1" w:rsidR="003F603E" w:rsidRDefault="00A24804">
          <w:pPr>
            <w:pStyle w:val="TOC2"/>
            <w:rPr>
              <w:rFonts w:eastAsiaTheme="minorEastAsia"/>
              <w:noProof/>
              <w:color w:val="auto"/>
              <w:lang w:val="en-AU" w:eastAsia="en-AU"/>
            </w:rPr>
          </w:pPr>
          <w:hyperlink w:anchor="_Toc75535904" w:history="1">
            <w:r w:rsidR="003F603E" w:rsidRPr="000809F4">
              <w:rPr>
                <w:rStyle w:val="Hyperlink"/>
                <w:noProof/>
                <w:lang w:val="en-AU"/>
              </w:rPr>
              <w:t>Introduction</w:t>
            </w:r>
            <w:r w:rsidR="003F603E">
              <w:rPr>
                <w:noProof/>
                <w:webHidden/>
              </w:rPr>
              <w:tab/>
            </w:r>
            <w:r w:rsidR="003F603E">
              <w:rPr>
                <w:noProof/>
                <w:webHidden/>
              </w:rPr>
              <w:fldChar w:fldCharType="begin"/>
            </w:r>
            <w:r w:rsidR="003F603E">
              <w:rPr>
                <w:noProof/>
                <w:webHidden/>
              </w:rPr>
              <w:instrText xml:space="preserve"> PAGEREF _Toc75535904 \h </w:instrText>
            </w:r>
            <w:r w:rsidR="003F603E">
              <w:rPr>
                <w:noProof/>
                <w:webHidden/>
              </w:rPr>
            </w:r>
            <w:r w:rsidR="003F603E">
              <w:rPr>
                <w:noProof/>
                <w:webHidden/>
              </w:rPr>
              <w:fldChar w:fldCharType="separate"/>
            </w:r>
            <w:r w:rsidR="003F603E">
              <w:rPr>
                <w:noProof/>
                <w:webHidden/>
              </w:rPr>
              <w:t>31</w:t>
            </w:r>
            <w:r w:rsidR="003F603E">
              <w:rPr>
                <w:noProof/>
                <w:webHidden/>
              </w:rPr>
              <w:fldChar w:fldCharType="end"/>
            </w:r>
          </w:hyperlink>
        </w:p>
        <w:p w14:paraId="3817012E" w14:textId="32E9089A" w:rsidR="003F603E" w:rsidRDefault="00A24804">
          <w:pPr>
            <w:pStyle w:val="TOC2"/>
            <w:rPr>
              <w:rFonts w:eastAsiaTheme="minorEastAsia"/>
              <w:noProof/>
              <w:color w:val="auto"/>
              <w:lang w:val="en-AU" w:eastAsia="en-AU"/>
            </w:rPr>
          </w:pPr>
          <w:hyperlink w:anchor="_Toc75535905" w:history="1">
            <w:r w:rsidR="003F603E" w:rsidRPr="000809F4">
              <w:rPr>
                <w:rStyle w:val="Hyperlink"/>
                <w:noProof/>
                <w:lang w:val="en-AU"/>
              </w:rPr>
              <w:t>Guiding Principles</w:t>
            </w:r>
            <w:r w:rsidR="003F603E">
              <w:rPr>
                <w:noProof/>
                <w:webHidden/>
              </w:rPr>
              <w:tab/>
            </w:r>
            <w:r w:rsidR="003F603E">
              <w:rPr>
                <w:noProof/>
                <w:webHidden/>
              </w:rPr>
              <w:fldChar w:fldCharType="begin"/>
            </w:r>
            <w:r w:rsidR="003F603E">
              <w:rPr>
                <w:noProof/>
                <w:webHidden/>
              </w:rPr>
              <w:instrText xml:space="preserve"> PAGEREF _Toc75535905 \h </w:instrText>
            </w:r>
            <w:r w:rsidR="003F603E">
              <w:rPr>
                <w:noProof/>
                <w:webHidden/>
              </w:rPr>
            </w:r>
            <w:r w:rsidR="003F603E">
              <w:rPr>
                <w:noProof/>
                <w:webHidden/>
              </w:rPr>
              <w:fldChar w:fldCharType="separate"/>
            </w:r>
            <w:r w:rsidR="003F603E">
              <w:rPr>
                <w:noProof/>
                <w:webHidden/>
              </w:rPr>
              <w:t>31</w:t>
            </w:r>
            <w:r w:rsidR="003F603E">
              <w:rPr>
                <w:noProof/>
                <w:webHidden/>
              </w:rPr>
              <w:fldChar w:fldCharType="end"/>
            </w:r>
          </w:hyperlink>
        </w:p>
        <w:p w14:paraId="65952464" w14:textId="18360B8E" w:rsidR="003F603E" w:rsidRDefault="00A24804">
          <w:pPr>
            <w:pStyle w:val="TOC2"/>
            <w:rPr>
              <w:rFonts w:eastAsiaTheme="minorEastAsia"/>
              <w:noProof/>
              <w:color w:val="auto"/>
              <w:lang w:val="en-AU" w:eastAsia="en-AU"/>
            </w:rPr>
          </w:pPr>
          <w:hyperlink w:anchor="_Toc75535906" w:history="1">
            <w:r w:rsidR="003F603E" w:rsidRPr="000809F4">
              <w:rPr>
                <w:rStyle w:val="Hyperlink"/>
                <w:noProof/>
                <w:lang w:val="en-AU"/>
              </w:rPr>
              <w:t>Responsibility</w:t>
            </w:r>
            <w:r w:rsidR="003F603E">
              <w:rPr>
                <w:noProof/>
                <w:webHidden/>
              </w:rPr>
              <w:tab/>
            </w:r>
            <w:r w:rsidR="003F603E">
              <w:rPr>
                <w:noProof/>
                <w:webHidden/>
              </w:rPr>
              <w:fldChar w:fldCharType="begin"/>
            </w:r>
            <w:r w:rsidR="003F603E">
              <w:rPr>
                <w:noProof/>
                <w:webHidden/>
              </w:rPr>
              <w:instrText xml:space="preserve"> PAGEREF _Toc75535906 \h </w:instrText>
            </w:r>
            <w:r w:rsidR="003F603E">
              <w:rPr>
                <w:noProof/>
                <w:webHidden/>
              </w:rPr>
            </w:r>
            <w:r w:rsidR="003F603E">
              <w:rPr>
                <w:noProof/>
                <w:webHidden/>
              </w:rPr>
              <w:fldChar w:fldCharType="separate"/>
            </w:r>
            <w:r w:rsidR="003F603E">
              <w:rPr>
                <w:noProof/>
                <w:webHidden/>
              </w:rPr>
              <w:t>32</w:t>
            </w:r>
            <w:r w:rsidR="003F603E">
              <w:rPr>
                <w:noProof/>
                <w:webHidden/>
              </w:rPr>
              <w:fldChar w:fldCharType="end"/>
            </w:r>
          </w:hyperlink>
        </w:p>
        <w:p w14:paraId="25A1F2A3" w14:textId="2CBE79B8" w:rsidR="003F603E" w:rsidRDefault="00A24804">
          <w:pPr>
            <w:pStyle w:val="TOC2"/>
            <w:rPr>
              <w:rFonts w:eastAsiaTheme="minorEastAsia"/>
              <w:noProof/>
              <w:color w:val="auto"/>
              <w:lang w:val="en-AU" w:eastAsia="en-AU"/>
            </w:rPr>
          </w:pPr>
          <w:hyperlink w:anchor="_Toc75535907" w:history="1">
            <w:r w:rsidR="003F603E" w:rsidRPr="000809F4">
              <w:rPr>
                <w:rStyle w:val="Hyperlink"/>
                <w:noProof/>
                <w:lang w:val="en-AU"/>
              </w:rPr>
              <w:t>Implementation</w:t>
            </w:r>
            <w:r w:rsidR="003F603E">
              <w:rPr>
                <w:noProof/>
                <w:webHidden/>
              </w:rPr>
              <w:tab/>
            </w:r>
            <w:r w:rsidR="003F603E">
              <w:rPr>
                <w:noProof/>
                <w:webHidden/>
              </w:rPr>
              <w:fldChar w:fldCharType="begin"/>
            </w:r>
            <w:r w:rsidR="003F603E">
              <w:rPr>
                <w:noProof/>
                <w:webHidden/>
              </w:rPr>
              <w:instrText xml:space="preserve"> PAGEREF _Toc75535907 \h </w:instrText>
            </w:r>
            <w:r w:rsidR="003F603E">
              <w:rPr>
                <w:noProof/>
                <w:webHidden/>
              </w:rPr>
            </w:r>
            <w:r w:rsidR="003F603E">
              <w:rPr>
                <w:noProof/>
                <w:webHidden/>
              </w:rPr>
              <w:fldChar w:fldCharType="separate"/>
            </w:r>
            <w:r w:rsidR="003F603E">
              <w:rPr>
                <w:noProof/>
                <w:webHidden/>
              </w:rPr>
              <w:t>32</w:t>
            </w:r>
            <w:r w:rsidR="003F603E">
              <w:rPr>
                <w:noProof/>
                <w:webHidden/>
              </w:rPr>
              <w:fldChar w:fldCharType="end"/>
            </w:r>
          </w:hyperlink>
        </w:p>
        <w:p w14:paraId="50E616AE" w14:textId="2E3AD89B" w:rsidR="003F603E" w:rsidRDefault="00A24804">
          <w:pPr>
            <w:pStyle w:val="TOC2"/>
            <w:rPr>
              <w:rFonts w:eastAsiaTheme="minorEastAsia"/>
              <w:noProof/>
              <w:color w:val="auto"/>
              <w:lang w:val="en-AU" w:eastAsia="en-AU"/>
            </w:rPr>
          </w:pPr>
          <w:hyperlink w:anchor="_Toc75535908" w:history="1">
            <w:r w:rsidR="003F603E" w:rsidRPr="000809F4">
              <w:rPr>
                <w:rStyle w:val="Hyperlink"/>
                <w:noProof/>
                <w:lang w:val="en-AU"/>
              </w:rPr>
              <w:t>Data collection</w:t>
            </w:r>
            <w:r w:rsidR="003F603E">
              <w:rPr>
                <w:noProof/>
                <w:webHidden/>
              </w:rPr>
              <w:tab/>
            </w:r>
            <w:r w:rsidR="003F603E">
              <w:rPr>
                <w:noProof/>
                <w:webHidden/>
              </w:rPr>
              <w:fldChar w:fldCharType="begin"/>
            </w:r>
            <w:r w:rsidR="003F603E">
              <w:rPr>
                <w:noProof/>
                <w:webHidden/>
              </w:rPr>
              <w:instrText xml:space="preserve"> PAGEREF _Toc75535908 \h </w:instrText>
            </w:r>
            <w:r w:rsidR="003F603E">
              <w:rPr>
                <w:noProof/>
                <w:webHidden/>
              </w:rPr>
            </w:r>
            <w:r w:rsidR="003F603E">
              <w:rPr>
                <w:noProof/>
                <w:webHidden/>
              </w:rPr>
              <w:fldChar w:fldCharType="separate"/>
            </w:r>
            <w:r w:rsidR="003F603E">
              <w:rPr>
                <w:noProof/>
                <w:webHidden/>
              </w:rPr>
              <w:t>33</w:t>
            </w:r>
            <w:r w:rsidR="003F603E">
              <w:rPr>
                <w:noProof/>
                <w:webHidden/>
              </w:rPr>
              <w:fldChar w:fldCharType="end"/>
            </w:r>
          </w:hyperlink>
        </w:p>
        <w:p w14:paraId="2600E548" w14:textId="504AEA0F" w:rsidR="003F603E" w:rsidRDefault="00A24804">
          <w:pPr>
            <w:pStyle w:val="TOC2"/>
            <w:rPr>
              <w:rFonts w:eastAsiaTheme="minorEastAsia"/>
              <w:noProof/>
              <w:color w:val="auto"/>
              <w:lang w:val="en-AU" w:eastAsia="en-AU"/>
            </w:rPr>
          </w:pPr>
          <w:hyperlink w:anchor="_Toc75535909" w:history="1">
            <w:r w:rsidR="003F603E" w:rsidRPr="000809F4">
              <w:rPr>
                <w:rStyle w:val="Hyperlink"/>
                <w:noProof/>
                <w:lang w:val="en-AU"/>
              </w:rPr>
              <w:t>Reporting, Learning and Communication</w:t>
            </w:r>
            <w:r w:rsidR="003F603E">
              <w:rPr>
                <w:noProof/>
                <w:webHidden/>
              </w:rPr>
              <w:tab/>
            </w:r>
            <w:r w:rsidR="003F603E">
              <w:rPr>
                <w:noProof/>
                <w:webHidden/>
              </w:rPr>
              <w:fldChar w:fldCharType="begin"/>
            </w:r>
            <w:r w:rsidR="003F603E">
              <w:rPr>
                <w:noProof/>
                <w:webHidden/>
              </w:rPr>
              <w:instrText xml:space="preserve"> PAGEREF _Toc75535909 \h </w:instrText>
            </w:r>
            <w:r w:rsidR="003F603E">
              <w:rPr>
                <w:noProof/>
                <w:webHidden/>
              </w:rPr>
            </w:r>
            <w:r w:rsidR="003F603E">
              <w:rPr>
                <w:noProof/>
                <w:webHidden/>
              </w:rPr>
              <w:fldChar w:fldCharType="separate"/>
            </w:r>
            <w:r w:rsidR="003F603E">
              <w:rPr>
                <w:noProof/>
                <w:webHidden/>
              </w:rPr>
              <w:t>34</w:t>
            </w:r>
            <w:r w:rsidR="003F603E">
              <w:rPr>
                <w:noProof/>
                <w:webHidden/>
              </w:rPr>
              <w:fldChar w:fldCharType="end"/>
            </w:r>
          </w:hyperlink>
        </w:p>
        <w:p w14:paraId="0B68CD5B" w14:textId="0E3D23C6" w:rsidR="003F603E" w:rsidRDefault="00A24804">
          <w:pPr>
            <w:pStyle w:val="TOC2"/>
            <w:rPr>
              <w:rFonts w:eastAsiaTheme="minorEastAsia"/>
              <w:noProof/>
              <w:color w:val="auto"/>
              <w:lang w:val="en-AU" w:eastAsia="en-AU"/>
            </w:rPr>
          </w:pPr>
          <w:hyperlink w:anchor="_Toc75535910" w:history="1">
            <w:r w:rsidR="003F603E" w:rsidRPr="000809F4">
              <w:rPr>
                <w:rStyle w:val="Hyperlink"/>
                <w:noProof/>
                <w:lang w:val="en-AU"/>
              </w:rPr>
              <w:t>Resources</w:t>
            </w:r>
            <w:r w:rsidR="003F603E">
              <w:rPr>
                <w:noProof/>
                <w:webHidden/>
              </w:rPr>
              <w:tab/>
            </w:r>
            <w:r w:rsidR="003F603E">
              <w:rPr>
                <w:noProof/>
                <w:webHidden/>
              </w:rPr>
              <w:fldChar w:fldCharType="begin"/>
            </w:r>
            <w:r w:rsidR="003F603E">
              <w:rPr>
                <w:noProof/>
                <w:webHidden/>
              </w:rPr>
              <w:instrText xml:space="preserve"> PAGEREF _Toc75535910 \h </w:instrText>
            </w:r>
            <w:r w:rsidR="003F603E">
              <w:rPr>
                <w:noProof/>
                <w:webHidden/>
              </w:rPr>
            </w:r>
            <w:r w:rsidR="003F603E">
              <w:rPr>
                <w:noProof/>
                <w:webHidden/>
              </w:rPr>
              <w:fldChar w:fldCharType="separate"/>
            </w:r>
            <w:r w:rsidR="003F603E">
              <w:rPr>
                <w:noProof/>
                <w:webHidden/>
              </w:rPr>
              <w:t>34</w:t>
            </w:r>
            <w:r w:rsidR="003F603E">
              <w:rPr>
                <w:noProof/>
                <w:webHidden/>
              </w:rPr>
              <w:fldChar w:fldCharType="end"/>
            </w:r>
          </w:hyperlink>
        </w:p>
        <w:p w14:paraId="4E9AD980" w14:textId="7A3B6A5D" w:rsidR="003F603E" w:rsidRDefault="00A24804">
          <w:pPr>
            <w:pStyle w:val="TOC2"/>
            <w:rPr>
              <w:rFonts w:eastAsiaTheme="minorEastAsia"/>
              <w:noProof/>
              <w:color w:val="auto"/>
              <w:lang w:val="en-AU" w:eastAsia="en-AU"/>
            </w:rPr>
          </w:pPr>
          <w:hyperlink w:anchor="_Toc75535911" w:history="1">
            <w:r w:rsidR="003F603E" w:rsidRPr="000809F4">
              <w:rPr>
                <w:rStyle w:val="Hyperlink"/>
                <w:noProof/>
                <w:lang w:val="en-AU"/>
              </w:rPr>
              <w:t>Mid-Term Review</w:t>
            </w:r>
            <w:r w:rsidR="003F603E">
              <w:rPr>
                <w:noProof/>
                <w:webHidden/>
              </w:rPr>
              <w:tab/>
            </w:r>
            <w:r w:rsidR="003F603E">
              <w:rPr>
                <w:noProof/>
                <w:webHidden/>
              </w:rPr>
              <w:fldChar w:fldCharType="begin"/>
            </w:r>
            <w:r w:rsidR="003F603E">
              <w:rPr>
                <w:noProof/>
                <w:webHidden/>
              </w:rPr>
              <w:instrText xml:space="preserve"> PAGEREF _Toc75535911 \h </w:instrText>
            </w:r>
            <w:r w:rsidR="003F603E">
              <w:rPr>
                <w:noProof/>
                <w:webHidden/>
              </w:rPr>
            </w:r>
            <w:r w:rsidR="003F603E">
              <w:rPr>
                <w:noProof/>
                <w:webHidden/>
              </w:rPr>
              <w:fldChar w:fldCharType="separate"/>
            </w:r>
            <w:r w:rsidR="003F603E">
              <w:rPr>
                <w:noProof/>
                <w:webHidden/>
              </w:rPr>
              <w:t>34</w:t>
            </w:r>
            <w:r w:rsidR="003F603E">
              <w:rPr>
                <w:noProof/>
                <w:webHidden/>
              </w:rPr>
              <w:fldChar w:fldCharType="end"/>
            </w:r>
          </w:hyperlink>
        </w:p>
        <w:p w14:paraId="2596DB3E" w14:textId="5C53E4CD" w:rsidR="003F603E" w:rsidRDefault="00A24804">
          <w:pPr>
            <w:pStyle w:val="TOC2"/>
            <w:rPr>
              <w:rFonts w:eastAsiaTheme="minorEastAsia"/>
              <w:noProof/>
              <w:color w:val="auto"/>
              <w:lang w:val="en-AU" w:eastAsia="en-AU"/>
            </w:rPr>
          </w:pPr>
          <w:hyperlink w:anchor="_Toc75535912" w:history="1">
            <w:r w:rsidR="003F603E" w:rsidRPr="000809F4">
              <w:rPr>
                <w:rStyle w:val="Hyperlink"/>
                <w:noProof/>
                <w:lang w:val="en-AU"/>
              </w:rPr>
              <w:t>Independent End-of-Program Evaluation</w:t>
            </w:r>
            <w:r w:rsidR="003F603E">
              <w:rPr>
                <w:noProof/>
                <w:webHidden/>
              </w:rPr>
              <w:tab/>
            </w:r>
            <w:r w:rsidR="003F603E">
              <w:rPr>
                <w:noProof/>
                <w:webHidden/>
              </w:rPr>
              <w:fldChar w:fldCharType="begin"/>
            </w:r>
            <w:r w:rsidR="003F603E">
              <w:rPr>
                <w:noProof/>
                <w:webHidden/>
              </w:rPr>
              <w:instrText xml:space="preserve"> PAGEREF _Toc75535912 \h </w:instrText>
            </w:r>
            <w:r w:rsidR="003F603E">
              <w:rPr>
                <w:noProof/>
                <w:webHidden/>
              </w:rPr>
            </w:r>
            <w:r w:rsidR="003F603E">
              <w:rPr>
                <w:noProof/>
                <w:webHidden/>
              </w:rPr>
              <w:fldChar w:fldCharType="separate"/>
            </w:r>
            <w:r w:rsidR="003F603E">
              <w:rPr>
                <w:noProof/>
                <w:webHidden/>
              </w:rPr>
              <w:t>35</w:t>
            </w:r>
            <w:r w:rsidR="003F603E">
              <w:rPr>
                <w:noProof/>
                <w:webHidden/>
              </w:rPr>
              <w:fldChar w:fldCharType="end"/>
            </w:r>
          </w:hyperlink>
        </w:p>
        <w:p w14:paraId="2765A7E6" w14:textId="50469A69" w:rsidR="003F603E" w:rsidRDefault="00A24804">
          <w:pPr>
            <w:pStyle w:val="TOC2"/>
            <w:rPr>
              <w:rFonts w:eastAsiaTheme="minorEastAsia"/>
              <w:noProof/>
              <w:color w:val="auto"/>
              <w:lang w:val="en-AU" w:eastAsia="en-AU"/>
            </w:rPr>
          </w:pPr>
          <w:hyperlink w:anchor="_Toc75535913" w:history="1">
            <w:r w:rsidR="003F603E" w:rsidRPr="000809F4">
              <w:rPr>
                <w:rStyle w:val="Hyperlink"/>
                <w:noProof/>
              </w:rPr>
              <w:t>Performance Assessment Framework</w:t>
            </w:r>
            <w:r w:rsidR="003F603E">
              <w:rPr>
                <w:noProof/>
                <w:webHidden/>
              </w:rPr>
              <w:tab/>
            </w:r>
            <w:r w:rsidR="003F603E">
              <w:rPr>
                <w:noProof/>
                <w:webHidden/>
              </w:rPr>
              <w:fldChar w:fldCharType="begin"/>
            </w:r>
            <w:r w:rsidR="003F603E">
              <w:rPr>
                <w:noProof/>
                <w:webHidden/>
              </w:rPr>
              <w:instrText xml:space="preserve"> PAGEREF _Toc75535913 \h </w:instrText>
            </w:r>
            <w:r w:rsidR="003F603E">
              <w:rPr>
                <w:noProof/>
                <w:webHidden/>
              </w:rPr>
            </w:r>
            <w:r w:rsidR="003F603E">
              <w:rPr>
                <w:noProof/>
                <w:webHidden/>
              </w:rPr>
              <w:fldChar w:fldCharType="separate"/>
            </w:r>
            <w:r w:rsidR="003F603E">
              <w:rPr>
                <w:noProof/>
                <w:webHidden/>
              </w:rPr>
              <w:t>36</w:t>
            </w:r>
            <w:r w:rsidR="003F603E">
              <w:rPr>
                <w:noProof/>
                <w:webHidden/>
              </w:rPr>
              <w:fldChar w:fldCharType="end"/>
            </w:r>
          </w:hyperlink>
        </w:p>
        <w:p w14:paraId="01E6FC3F" w14:textId="2E0E7673" w:rsidR="003F603E" w:rsidRDefault="00A24804" w:rsidP="00F328DA">
          <w:pPr>
            <w:pStyle w:val="TOC1"/>
            <w:rPr>
              <w:rFonts w:eastAsiaTheme="minorEastAsia"/>
              <w:noProof/>
              <w:sz w:val="22"/>
              <w:lang w:val="en-AU" w:eastAsia="en-AU"/>
            </w:rPr>
          </w:pPr>
          <w:hyperlink w:anchor="_Toc75535914" w:history="1">
            <w:r w:rsidR="003F603E" w:rsidRPr="000809F4">
              <w:rPr>
                <w:rStyle w:val="Hyperlink"/>
                <w:noProof/>
              </w:rPr>
              <w:t>ANNEX 2 – six-year evaluation of pacific women shaping pacific development</w:t>
            </w:r>
            <w:r w:rsidR="003F603E">
              <w:rPr>
                <w:noProof/>
                <w:webHidden/>
              </w:rPr>
              <w:tab/>
            </w:r>
            <w:r w:rsidR="003F603E">
              <w:rPr>
                <w:noProof/>
                <w:webHidden/>
              </w:rPr>
              <w:fldChar w:fldCharType="begin"/>
            </w:r>
            <w:r w:rsidR="003F603E">
              <w:rPr>
                <w:noProof/>
                <w:webHidden/>
              </w:rPr>
              <w:instrText xml:space="preserve"> PAGEREF _Toc75535914 \h </w:instrText>
            </w:r>
            <w:r w:rsidR="003F603E">
              <w:rPr>
                <w:noProof/>
                <w:webHidden/>
              </w:rPr>
            </w:r>
            <w:r w:rsidR="003F603E">
              <w:rPr>
                <w:noProof/>
                <w:webHidden/>
              </w:rPr>
              <w:fldChar w:fldCharType="separate"/>
            </w:r>
            <w:r w:rsidR="003F603E">
              <w:rPr>
                <w:noProof/>
                <w:webHidden/>
              </w:rPr>
              <w:t>41</w:t>
            </w:r>
            <w:r w:rsidR="003F603E">
              <w:rPr>
                <w:noProof/>
                <w:webHidden/>
              </w:rPr>
              <w:fldChar w:fldCharType="end"/>
            </w:r>
          </w:hyperlink>
        </w:p>
        <w:p w14:paraId="1567C0A0" w14:textId="7C533E49" w:rsidR="003F603E" w:rsidRDefault="00A24804" w:rsidP="00F328DA">
          <w:pPr>
            <w:pStyle w:val="TOC1"/>
            <w:rPr>
              <w:rFonts w:eastAsiaTheme="minorEastAsia"/>
              <w:noProof/>
              <w:sz w:val="22"/>
              <w:lang w:val="en-AU" w:eastAsia="en-AU"/>
            </w:rPr>
          </w:pPr>
          <w:hyperlink w:anchor="_Toc75535915" w:history="1">
            <w:r w:rsidR="003F603E" w:rsidRPr="000809F4">
              <w:rPr>
                <w:rStyle w:val="Hyperlink"/>
                <w:noProof/>
              </w:rPr>
              <w:t>ANNEX 3 – Transition from Pacific women shaping pacific development to pacific women lead</w:t>
            </w:r>
            <w:r w:rsidR="003F603E">
              <w:rPr>
                <w:noProof/>
                <w:webHidden/>
              </w:rPr>
              <w:tab/>
            </w:r>
            <w:r w:rsidR="003F603E">
              <w:rPr>
                <w:noProof/>
                <w:webHidden/>
              </w:rPr>
              <w:fldChar w:fldCharType="begin"/>
            </w:r>
            <w:r w:rsidR="003F603E">
              <w:rPr>
                <w:noProof/>
                <w:webHidden/>
              </w:rPr>
              <w:instrText xml:space="preserve"> PAGEREF _Toc75535915 \h </w:instrText>
            </w:r>
            <w:r w:rsidR="003F603E">
              <w:rPr>
                <w:noProof/>
                <w:webHidden/>
              </w:rPr>
            </w:r>
            <w:r w:rsidR="003F603E">
              <w:rPr>
                <w:noProof/>
                <w:webHidden/>
              </w:rPr>
              <w:fldChar w:fldCharType="separate"/>
            </w:r>
            <w:r w:rsidR="003F603E">
              <w:rPr>
                <w:noProof/>
                <w:webHidden/>
              </w:rPr>
              <w:t>43</w:t>
            </w:r>
            <w:r w:rsidR="003F603E">
              <w:rPr>
                <w:noProof/>
                <w:webHidden/>
              </w:rPr>
              <w:fldChar w:fldCharType="end"/>
            </w:r>
          </w:hyperlink>
        </w:p>
        <w:p w14:paraId="48557565" w14:textId="2583E73D" w:rsidR="003F603E" w:rsidRDefault="00A24804">
          <w:pPr>
            <w:pStyle w:val="TOC2"/>
            <w:rPr>
              <w:rFonts w:eastAsiaTheme="minorEastAsia"/>
              <w:noProof/>
              <w:color w:val="auto"/>
              <w:lang w:val="en-AU" w:eastAsia="en-AU"/>
            </w:rPr>
          </w:pPr>
          <w:hyperlink w:anchor="_Toc75535916" w:history="1">
            <w:r w:rsidR="003F603E" w:rsidRPr="000809F4">
              <w:rPr>
                <w:rStyle w:val="Hyperlink"/>
                <w:noProof/>
              </w:rPr>
              <w:t>Decisions on continuation of individual Pacific Women Shaping Pacific Development activities</w:t>
            </w:r>
            <w:r w:rsidR="003F603E">
              <w:rPr>
                <w:noProof/>
                <w:webHidden/>
              </w:rPr>
              <w:tab/>
            </w:r>
            <w:r w:rsidR="003F603E">
              <w:rPr>
                <w:noProof/>
                <w:webHidden/>
              </w:rPr>
              <w:fldChar w:fldCharType="begin"/>
            </w:r>
            <w:r w:rsidR="003F603E">
              <w:rPr>
                <w:noProof/>
                <w:webHidden/>
              </w:rPr>
              <w:instrText xml:space="preserve"> PAGEREF _Toc75535916 \h </w:instrText>
            </w:r>
            <w:r w:rsidR="003F603E">
              <w:rPr>
                <w:noProof/>
                <w:webHidden/>
              </w:rPr>
            </w:r>
            <w:r w:rsidR="003F603E">
              <w:rPr>
                <w:noProof/>
                <w:webHidden/>
              </w:rPr>
              <w:fldChar w:fldCharType="separate"/>
            </w:r>
            <w:r w:rsidR="003F603E">
              <w:rPr>
                <w:noProof/>
                <w:webHidden/>
              </w:rPr>
              <w:t>43</w:t>
            </w:r>
            <w:r w:rsidR="003F603E">
              <w:rPr>
                <w:noProof/>
                <w:webHidden/>
              </w:rPr>
              <w:fldChar w:fldCharType="end"/>
            </w:r>
          </w:hyperlink>
        </w:p>
        <w:p w14:paraId="1185882C" w14:textId="3F733DEC" w:rsidR="003F603E" w:rsidRDefault="00A24804">
          <w:pPr>
            <w:pStyle w:val="TOC2"/>
            <w:rPr>
              <w:rFonts w:eastAsiaTheme="minorEastAsia"/>
              <w:noProof/>
              <w:color w:val="auto"/>
              <w:lang w:val="en-AU" w:eastAsia="en-AU"/>
            </w:rPr>
          </w:pPr>
          <w:hyperlink w:anchor="_Toc75535917" w:history="1">
            <w:r w:rsidR="003F603E" w:rsidRPr="000809F4">
              <w:rPr>
                <w:rStyle w:val="Hyperlink"/>
                <w:iCs/>
                <w:noProof/>
              </w:rPr>
              <w:t>Decisions on</w:t>
            </w:r>
            <w:r w:rsidR="003F603E" w:rsidRPr="000809F4">
              <w:rPr>
                <w:rStyle w:val="Hyperlink"/>
                <w:noProof/>
              </w:rPr>
              <w:t xml:space="preserve"> management of individual activities.</w:t>
            </w:r>
            <w:r w:rsidR="003F603E">
              <w:rPr>
                <w:noProof/>
                <w:webHidden/>
              </w:rPr>
              <w:tab/>
            </w:r>
            <w:r w:rsidR="003F603E">
              <w:rPr>
                <w:noProof/>
                <w:webHidden/>
              </w:rPr>
              <w:fldChar w:fldCharType="begin"/>
            </w:r>
            <w:r w:rsidR="003F603E">
              <w:rPr>
                <w:noProof/>
                <w:webHidden/>
              </w:rPr>
              <w:instrText xml:space="preserve"> PAGEREF _Toc75535917 \h </w:instrText>
            </w:r>
            <w:r w:rsidR="003F603E">
              <w:rPr>
                <w:noProof/>
                <w:webHidden/>
              </w:rPr>
            </w:r>
            <w:r w:rsidR="003F603E">
              <w:rPr>
                <w:noProof/>
                <w:webHidden/>
              </w:rPr>
              <w:fldChar w:fldCharType="separate"/>
            </w:r>
            <w:r w:rsidR="003F603E">
              <w:rPr>
                <w:noProof/>
                <w:webHidden/>
              </w:rPr>
              <w:t>43</w:t>
            </w:r>
            <w:r w:rsidR="003F603E">
              <w:rPr>
                <w:noProof/>
                <w:webHidden/>
              </w:rPr>
              <w:fldChar w:fldCharType="end"/>
            </w:r>
          </w:hyperlink>
        </w:p>
        <w:p w14:paraId="4AC5C9B7" w14:textId="6EF2B4A8" w:rsidR="003F603E" w:rsidRDefault="00A24804">
          <w:pPr>
            <w:pStyle w:val="TOC2"/>
            <w:rPr>
              <w:rFonts w:eastAsiaTheme="minorEastAsia"/>
              <w:noProof/>
              <w:color w:val="auto"/>
              <w:lang w:val="en-AU" w:eastAsia="en-AU"/>
            </w:rPr>
          </w:pPr>
          <w:hyperlink w:anchor="_Toc75535918" w:history="1">
            <w:r w:rsidR="003F603E" w:rsidRPr="000809F4">
              <w:rPr>
                <w:rStyle w:val="Hyperlink"/>
                <w:noProof/>
              </w:rPr>
              <w:t>Guiding principles</w:t>
            </w:r>
            <w:r w:rsidR="003F603E">
              <w:rPr>
                <w:noProof/>
                <w:webHidden/>
              </w:rPr>
              <w:tab/>
            </w:r>
            <w:r w:rsidR="003F603E">
              <w:rPr>
                <w:noProof/>
                <w:webHidden/>
              </w:rPr>
              <w:fldChar w:fldCharType="begin"/>
            </w:r>
            <w:r w:rsidR="003F603E">
              <w:rPr>
                <w:noProof/>
                <w:webHidden/>
              </w:rPr>
              <w:instrText xml:space="preserve"> PAGEREF _Toc75535918 \h </w:instrText>
            </w:r>
            <w:r w:rsidR="003F603E">
              <w:rPr>
                <w:noProof/>
                <w:webHidden/>
              </w:rPr>
            </w:r>
            <w:r w:rsidR="003F603E">
              <w:rPr>
                <w:noProof/>
                <w:webHidden/>
              </w:rPr>
              <w:fldChar w:fldCharType="separate"/>
            </w:r>
            <w:r w:rsidR="003F603E">
              <w:rPr>
                <w:noProof/>
                <w:webHidden/>
              </w:rPr>
              <w:t>43</w:t>
            </w:r>
            <w:r w:rsidR="003F603E">
              <w:rPr>
                <w:noProof/>
                <w:webHidden/>
              </w:rPr>
              <w:fldChar w:fldCharType="end"/>
            </w:r>
          </w:hyperlink>
        </w:p>
        <w:p w14:paraId="20D84122" w14:textId="62478572" w:rsidR="003F603E" w:rsidRDefault="00A24804">
          <w:pPr>
            <w:pStyle w:val="TOC2"/>
            <w:rPr>
              <w:rFonts w:eastAsiaTheme="minorEastAsia"/>
              <w:noProof/>
              <w:color w:val="auto"/>
              <w:lang w:val="en-AU" w:eastAsia="en-AU"/>
            </w:rPr>
          </w:pPr>
          <w:hyperlink w:anchor="_Toc75535919" w:history="1">
            <w:r w:rsidR="003F603E" w:rsidRPr="000809F4">
              <w:rPr>
                <w:rStyle w:val="Hyperlink"/>
                <w:noProof/>
              </w:rPr>
              <w:t>Rationale for each delivery option – SPC, Civil Society, DFAT or commercial entity</w:t>
            </w:r>
            <w:r w:rsidR="003F603E">
              <w:rPr>
                <w:noProof/>
                <w:webHidden/>
              </w:rPr>
              <w:tab/>
            </w:r>
            <w:r w:rsidR="003F603E">
              <w:rPr>
                <w:noProof/>
                <w:webHidden/>
              </w:rPr>
              <w:fldChar w:fldCharType="begin"/>
            </w:r>
            <w:r w:rsidR="003F603E">
              <w:rPr>
                <w:noProof/>
                <w:webHidden/>
              </w:rPr>
              <w:instrText xml:space="preserve"> PAGEREF _Toc75535919 \h </w:instrText>
            </w:r>
            <w:r w:rsidR="003F603E">
              <w:rPr>
                <w:noProof/>
                <w:webHidden/>
              </w:rPr>
            </w:r>
            <w:r w:rsidR="003F603E">
              <w:rPr>
                <w:noProof/>
                <w:webHidden/>
              </w:rPr>
              <w:fldChar w:fldCharType="separate"/>
            </w:r>
            <w:r w:rsidR="003F603E">
              <w:rPr>
                <w:noProof/>
                <w:webHidden/>
              </w:rPr>
              <w:t>44</w:t>
            </w:r>
            <w:r w:rsidR="003F603E">
              <w:rPr>
                <w:noProof/>
                <w:webHidden/>
              </w:rPr>
              <w:fldChar w:fldCharType="end"/>
            </w:r>
          </w:hyperlink>
        </w:p>
        <w:p w14:paraId="23476C0D" w14:textId="4378EB79" w:rsidR="003F603E" w:rsidRDefault="00A24804">
          <w:pPr>
            <w:pStyle w:val="TOC2"/>
            <w:rPr>
              <w:rFonts w:eastAsiaTheme="minorEastAsia"/>
              <w:noProof/>
              <w:color w:val="auto"/>
              <w:lang w:val="en-AU" w:eastAsia="en-AU"/>
            </w:rPr>
          </w:pPr>
          <w:hyperlink w:anchor="_Toc75535920" w:history="1">
            <w:r w:rsidR="003F603E" w:rsidRPr="000809F4">
              <w:rPr>
                <w:rStyle w:val="Hyperlink"/>
                <w:noProof/>
              </w:rPr>
              <w:t>Responsibility for decision-making on activity management</w:t>
            </w:r>
            <w:r w:rsidR="003F603E">
              <w:rPr>
                <w:noProof/>
                <w:webHidden/>
              </w:rPr>
              <w:tab/>
            </w:r>
            <w:r w:rsidR="003F603E">
              <w:rPr>
                <w:noProof/>
                <w:webHidden/>
              </w:rPr>
              <w:fldChar w:fldCharType="begin"/>
            </w:r>
            <w:r w:rsidR="003F603E">
              <w:rPr>
                <w:noProof/>
                <w:webHidden/>
              </w:rPr>
              <w:instrText xml:space="preserve"> PAGEREF _Toc75535920 \h </w:instrText>
            </w:r>
            <w:r w:rsidR="003F603E">
              <w:rPr>
                <w:noProof/>
                <w:webHidden/>
              </w:rPr>
            </w:r>
            <w:r w:rsidR="003F603E">
              <w:rPr>
                <w:noProof/>
                <w:webHidden/>
              </w:rPr>
              <w:fldChar w:fldCharType="separate"/>
            </w:r>
            <w:r w:rsidR="003F603E">
              <w:rPr>
                <w:noProof/>
                <w:webHidden/>
              </w:rPr>
              <w:t>44</w:t>
            </w:r>
            <w:r w:rsidR="003F603E">
              <w:rPr>
                <w:noProof/>
                <w:webHidden/>
              </w:rPr>
              <w:fldChar w:fldCharType="end"/>
            </w:r>
          </w:hyperlink>
        </w:p>
        <w:p w14:paraId="0608F921" w14:textId="3DD22D02" w:rsidR="003F603E" w:rsidRDefault="00A24804">
          <w:pPr>
            <w:pStyle w:val="TOC2"/>
            <w:rPr>
              <w:rFonts w:eastAsiaTheme="minorEastAsia"/>
              <w:noProof/>
              <w:color w:val="auto"/>
              <w:lang w:val="en-AU" w:eastAsia="en-AU"/>
            </w:rPr>
          </w:pPr>
          <w:hyperlink w:anchor="_Toc75535921" w:history="1">
            <w:r w:rsidR="003F603E" w:rsidRPr="000809F4">
              <w:rPr>
                <w:rStyle w:val="Hyperlink"/>
                <w:noProof/>
                <w:lang w:eastAsia="en-AU"/>
              </w:rPr>
              <w:t>Vision for further Transition Planning beyond 2021</w:t>
            </w:r>
            <w:r w:rsidR="003F603E">
              <w:rPr>
                <w:noProof/>
                <w:webHidden/>
              </w:rPr>
              <w:tab/>
            </w:r>
            <w:r w:rsidR="003F603E">
              <w:rPr>
                <w:noProof/>
                <w:webHidden/>
              </w:rPr>
              <w:fldChar w:fldCharType="begin"/>
            </w:r>
            <w:r w:rsidR="003F603E">
              <w:rPr>
                <w:noProof/>
                <w:webHidden/>
              </w:rPr>
              <w:instrText xml:space="preserve"> PAGEREF _Toc75535921 \h </w:instrText>
            </w:r>
            <w:r w:rsidR="003F603E">
              <w:rPr>
                <w:noProof/>
                <w:webHidden/>
              </w:rPr>
            </w:r>
            <w:r w:rsidR="003F603E">
              <w:rPr>
                <w:noProof/>
                <w:webHidden/>
              </w:rPr>
              <w:fldChar w:fldCharType="separate"/>
            </w:r>
            <w:r w:rsidR="003F603E">
              <w:rPr>
                <w:noProof/>
                <w:webHidden/>
              </w:rPr>
              <w:t>45</w:t>
            </w:r>
            <w:r w:rsidR="003F603E">
              <w:rPr>
                <w:noProof/>
                <w:webHidden/>
              </w:rPr>
              <w:fldChar w:fldCharType="end"/>
            </w:r>
          </w:hyperlink>
        </w:p>
        <w:p w14:paraId="63A7DBD8" w14:textId="6860F234" w:rsidR="00646F77" w:rsidRDefault="00646F77">
          <w:r>
            <w:rPr>
              <w:b/>
              <w:bCs/>
              <w:noProof/>
            </w:rPr>
            <w:fldChar w:fldCharType="end"/>
          </w:r>
        </w:p>
      </w:sdtContent>
    </w:sdt>
    <w:p w14:paraId="3624610C" w14:textId="77777777" w:rsidR="00646F77" w:rsidRDefault="00646F77" w:rsidP="00646F77">
      <w:pPr>
        <w:tabs>
          <w:tab w:val="left" w:pos="284"/>
        </w:tabs>
        <w:suppressAutoHyphens w:val="0"/>
        <w:spacing w:before="0" w:after="0" w:line="280" w:lineRule="exact"/>
        <w:jc w:val="both"/>
        <w:rPr>
          <w:rFonts w:cstheme="minorHAnsi"/>
          <w:color w:val="auto"/>
        </w:rPr>
      </w:pPr>
    </w:p>
    <w:p w14:paraId="4BC65B45" w14:textId="77777777" w:rsidR="00367DF3" w:rsidRDefault="00367DF3">
      <w:pPr>
        <w:suppressAutoHyphens w:val="0"/>
        <w:spacing w:before="0" w:after="120" w:line="440" w:lineRule="atLeast"/>
        <w:rPr>
          <w:rFonts w:asciiTheme="majorHAnsi" w:eastAsiaTheme="majorEastAsia" w:hAnsiTheme="majorHAnsi" w:cstheme="majorBidi"/>
          <w:b/>
          <w:bCs/>
          <w:caps/>
          <w:spacing w:val="-10"/>
          <w:kern w:val="28"/>
          <w:sz w:val="38"/>
          <w:szCs w:val="52"/>
        </w:rPr>
      </w:pPr>
      <w:r>
        <w:br w:type="page"/>
      </w:r>
    </w:p>
    <w:p w14:paraId="6D253CFA" w14:textId="302764C7" w:rsidR="00646F77" w:rsidRDefault="007A49BB" w:rsidP="00F328DA">
      <w:pPr>
        <w:pStyle w:val="Title"/>
      </w:pPr>
      <w:bookmarkStart w:id="0" w:name="_Toc75535875"/>
      <w:r>
        <w:lastRenderedPageBreak/>
        <w:t xml:space="preserve">PACIFIC WOMEN LEAD - </w:t>
      </w:r>
      <w:r w:rsidRPr="00935027">
        <w:t>Investment Design</w:t>
      </w:r>
      <w:bookmarkEnd w:id="0"/>
      <w:r w:rsidRPr="00935027">
        <w:t xml:space="preserve"> </w:t>
      </w:r>
    </w:p>
    <w:p w14:paraId="350512CA" w14:textId="0744DF3F" w:rsidR="002D4DE7" w:rsidRPr="002D4DE7" w:rsidRDefault="002D4DE7" w:rsidP="00D61036">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pPr>
      <w:r w:rsidRPr="002D4DE7">
        <w:rPr>
          <w:b/>
        </w:rPr>
        <w:t>Investment Design Title:</w:t>
      </w:r>
      <w:r w:rsidRPr="002D4DE7">
        <w:rPr>
          <w:b/>
        </w:rPr>
        <w:tab/>
      </w:r>
      <w:r w:rsidR="00197EF1">
        <w:rPr>
          <w:b/>
        </w:rPr>
        <w:t xml:space="preserve"> </w:t>
      </w:r>
      <w:r w:rsidR="0021339E">
        <w:rPr>
          <w:b/>
        </w:rPr>
        <w:t>PACIFIC WOMEN LEAD</w:t>
      </w:r>
      <w:r w:rsidR="00612CCA">
        <w:rPr>
          <w:b/>
        </w:rPr>
        <w:t xml:space="preserve"> </w:t>
      </w:r>
    </w:p>
    <w:p w14:paraId="1EAE9631" w14:textId="25869FC9" w:rsidR="002D4DE7" w:rsidRPr="002D4DE7" w:rsidRDefault="002D4DE7" w:rsidP="00D61036">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rPr>
          <w:b/>
        </w:rPr>
      </w:pPr>
      <w:r w:rsidRPr="002D4DE7">
        <w:rPr>
          <w:b/>
        </w:rPr>
        <w:t>Start date:</w:t>
      </w:r>
      <w:r w:rsidRPr="002D4DE7">
        <w:rPr>
          <w:b/>
        </w:rPr>
        <w:tab/>
      </w:r>
      <w:r w:rsidR="006443BF">
        <w:rPr>
          <w:b/>
        </w:rPr>
        <w:t>2021</w:t>
      </w:r>
      <w:r w:rsidRPr="002D4DE7">
        <w:rPr>
          <w:b/>
        </w:rPr>
        <w:tab/>
      </w:r>
      <w:r w:rsidRPr="002D4DE7">
        <w:rPr>
          <w:b/>
        </w:rPr>
        <w:tab/>
      </w:r>
      <w:r w:rsidRPr="002D4DE7">
        <w:rPr>
          <w:b/>
        </w:rPr>
        <w:tab/>
        <w:t xml:space="preserve">End date: </w:t>
      </w:r>
      <w:r w:rsidRPr="002D4DE7">
        <w:rPr>
          <w:b/>
        </w:rPr>
        <w:tab/>
      </w:r>
      <w:r w:rsidR="006443BF">
        <w:rPr>
          <w:b/>
        </w:rPr>
        <w:t>2026</w:t>
      </w:r>
      <w:r w:rsidRPr="002D4DE7">
        <w:rPr>
          <w:b/>
        </w:rPr>
        <w:tab/>
      </w:r>
      <w:r w:rsidRPr="002D4DE7">
        <w:rPr>
          <w:b/>
        </w:rPr>
        <w:tab/>
      </w:r>
    </w:p>
    <w:p w14:paraId="2AC4A23B" w14:textId="77CB67BF" w:rsidR="002D4DE7" w:rsidRPr="002D4DE7" w:rsidRDefault="002D4DE7" w:rsidP="008941E5">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jc w:val="both"/>
      </w:pPr>
      <w:r w:rsidRPr="002D4DE7">
        <w:rPr>
          <w:b/>
        </w:rPr>
        <w:t>Total proposed DFAT funding:</w:t>
      </w:r>
      <w:r w:rsidR="008941E5">
        <w:rPr>
          <w:b/>
        </w:rPr>
        <w:t xml:space="preserve"> </w:t>
      </w:r>
      <w:r w:rsidR="00B51A19">
        <w:rPr>
          <w:bCs/>
        </w:rPr>
        <w:tab/>
      </w:r>
      <w:r w:rsidR="008941E5" w:rsidRPr="00BE1966">
        <w:rPr>
          <w:bCs/>
          <w:sz w:val="21"/>
          <w:szCs w:val="21"/>
        </w:rPr>
        <w:t>AUD $17</w:t>
      </w:r>
      <w:r w:rsidR="008941E5">
        <w:rPr>
          <w:bCs/>
          <w:sz w:val="21"/>
          <w:szCs w:val="21"/>
        </w:rPr>
        <w:t>0</w:t>
      </w:r>
      <w:r w:rsidR="008941E5" w:rsidRPr="00BE1966">
        <w:rPr>
          <w:bCs/>
          <w:sz w:val="21"/>
          <w:szCs w:val="21"/>
        </w:rPr>
        <w:t xml:space="preserve"> million</w:t>
      </w:r>
      <w:r w:rsidRPr="002D4DE7">
        <w:rPr>
          <w:b/>
        </w:rPr>
        <w:tab/>
      </w:r>
      <w:r w:rsidRPr="002D4DE7">
        <w:rPr>
          <w:b/>
        </w:rPr>
        <w:tab/>
      </w:r>
      <w:r w:rsidR="008941E5">
        <w:rPr>
          <w:b/>
        </w:rPr>
        <w:t xml:space="preserve"> </w:t>
      </w:r>
    </w:p>
    <w:p w14:paraId="4F68FE7D" w14:textId="77777777" w:rsidR="007A49BB" w:rsidRDefault="007A49BB" w:rsidP="00646F77">
      <w:pPr>
        <w:pStyle w:val="Heading1"/>
      </w:pPr>
    </w:p>
    <w:p w14:paraId="086F139E" w14:textId="1E9298B6" w:rsidR="002D4DE7" w:rsidRPr="00A01023" w:rsidRDefault="002D4DE7" w:rsidP="00F328DA">
      <w:pPr>
        <w:pStyle w:val="Heading1"/>
        <w:numPr>
          <w:ilvl w:val="0"/>
          <w:numId w:val="86"/>
        </w:numPr>
        <w:ind w:left="426" w:hanging="426"/>
      </w:pPr>
      <w:bookmarkStart w:id="1" w:name="_Toc75535876"/>
      <w:r w:rsidRPr="00A01023">
        <w:t>Executive Summary</w:t>
      </w:r>
      <w:bookmarkEnd w:id="1"/>
    </w:p>
    <w:p w14:paraId="61B4E3D1" w14:textId="0820FC16" w:rsidR="00136188" w:rsidRPr="00C313F7" w:rsidRDefault="006D6BDC" w:rsidP="00136188">
      <w:pPr>
        <w:tabs>
          <w:tab w:val="left" w:pos="284"/>
        </w:tabs>
        <w:suppressAutoHyphens w:val="0"/>
        <w:spacing w:before="0" w:after="0" w:line="280" w:lineRule="exact"/>
        <w:jc w:val="both"/>
        <w:rPr>
          <w:rFonts w:cstheme="minorHAnsi"/>
          <w:color w:val="auto"/>
        </w:rPr>
      </w:pPr>
      <w:r w:rsidRPr="00C313F7">
        <w:rPr>
          <w:rFonts w:cstheme="minorHAnsi"/>
          <w:i/>
          <w:color w:val="auto"/>
        </w:rPr>
        <w:t>Pac</w:t>
      </w:r>
      <w:r w:rsidR="000460F5" w:rsidRPr="00C313F7">
        <w:rPr>
          <w:rFonts w:cstheme="minorHAnsi"/>
          <w:i/>
          <w:color w:val="auto"/>
        </w:rPr>
        <w:t>i</w:t>
      </w:r>
      <w:r w:rsidRPr="00C313F7">
        <w:rPr>
          <w:rFonts w:cstheme="minorHAnsi"/>
          <w:i/>
          <w:color w:val="auto"/>
        </w:rPr>
        <w:t>fic Women Lead</w:t>
      </w:r>
      <w:r w:rsidRPr="00C313F7">
        <w:rPr>
          <w:rFonts w:cstheme="minorHAnsi"/>
          <w:color w:val="auto"/>
        </w:rPr>
        <w:t xml:space="preserve"> </w:t>
      </w:r>
      <w:r w:rsidR="000F0B5A" w:rsidRPr="00C313F7">
        <w:rPr>
          <w:rFonts w:cstheme="minorHAnsi"/>
          <w:color w:val="auto"/>
        </w:rPr>
        <w:t xml:space="preserve">is </w:t>
      </w:r>
      <w:r w:rsidR="00421614" w:rsidRPr="00C313F7">
        <w:rPr>
          <w:rFonts w:cstheme="minorHAnsi"/>
          <w:color w:val="auto"/>
        </w:rPr>
        <w:t>a new</w:t>
      </w:r>
      <w:r w:rsidR="00FE66E9" w:rsidRPr="00C313F7">
        <w:rPr>
          <w:rFonts w:cstheme="minorHAnsi"/>
          <w:color w:val="auto"/>
        </w:rPr>
        <w:t xml:space="preserve"> </w:t>
      </w:r>
      <w:r w:rsidR="0039401A" w:rsidRPr="00C313F7">
        <w:rPr>
          <w:rFonts w:cstheme="minorHAnsi"/>
          <w:color w:val="auto"/>
        </w:rPr>
        <w:t xml:space="preserve">Pacific regional </w:t>
      </w:r>
      <w:r w:rsidR="00FE66E9" w:rsidRPr="00C313F7">
        <w:rPr>
          <w:rFonts w:cstheme="minorHAnsi"/>
          <w:color w:val="auto"/>
        </w:rPr>
        <w:t xml:space="preserve">development program to commence in 2021 for an initial period of five years with a budget of $170m </w:t>
      </w:r>
      <w:r w:rsidR="00DF7F8D" w:rsidRPr="00C313F7">
        <w:rPr>
          <w:rFonts w:cstheme="minorHAnsi"/>
          <w:color w:val="auto"/>
        </w:rPr>
        <w:t xml:space="preserve">drawn </w:t>
      </w:r>
      <w:r w:rsidR="00FE66E9" w:rsidRPr="00C313F7">
        <w:rPr>
          <w:rFonts w:cstheme="minorHAnsi"/>
          <w:color w:val="auto"/>
        </w:rPr>
        <w:t xml:space="preserve">from the Australian Government’s aid budget.  </w:t>
      </w:r>
      <w:r w:rsidR="00136188" w:rsidRPr="00C313F7">
        <w:rPr>
          <w:rFonts w:cstheme="minorHAnsi"/>
          <w:color w:val="auto"/>
        </w:rPr>
        <w:t xml:space="preserve">The program goal is that </w:t>
      </w:r>
      <w:r w:rsidR="00136188" w:rsidRPr="00C313F7">
        <w:rPr>
          <w:rFonts w:cstheme="minorHAnsi"/>
          <w:i/>
          <w:iCs/>
          <w:color w:val="auto"/>
        </w:rPr>
        <w:t>Pacific women and girls, in all their diversity, are safe and equitably share in resources, opportunities and decision-making, with men and boys</w:t>
      </w:r>
      <w:r w:rsidR="00136188" w:rsidRPr="00C313F7">
        <w:rPr>
          <w:rFonts w:cstheme="minorHAnsi"/>
          <w:color w:val="auto"/>
        </w:rPr>
        <w:t xml:space="preserve">.  There are three end of program outcomes: </w:t>
      </w:r>
    </w:p>
    <w:p w14:paraId="2D622F42" w14:textId="77777777" w:rsidR="00136188" w:rsidRPr="00C313F7" w:rsidRDefault="00136188" w:rsidP="00136188">
      <w:pPr>
        <w:pStyle w:val="ListParagraph"/>
        <w:numPr>
          <w:ilvl w:val="0"/>
          <w:numId w:val="14"/>
        </w:numPr>
        <w:tabs>
          <w:tab w:val="left" w:pos="284"/>
        </w:tabs>
        <w:suppressAutoHyphens w:val="0"/>
        <w:spacing w:before="0" w:line="280" w:lineRule="exact"/>
        <w:ind w:left="1004"/>
        <w:jc w:val="both"/>
        <w:rPr>
          <w:rFonts w:cstheme="minorHAnsi"/>
          <w:color w:val="auto"/>
        </w:rPr>
      </w:pPr>
      <w:r w:rsidRPr="00C313F7">
        <w:rPr>
          <w:rFonts w:cstheme="minorHAnsi"/>
          <w:color w:val="auto"/>
        </w:rPr>
        <w:t>Women’s leadership promoted</w:t>
      </w:r>
    </w:p>
    <w:p w14:paraId="2ABBBC70" w14:textId="3CB6EA96" w:rsidR="00136188" w:rsidRPr="00C313F7" w:rsidRDefault="00136188" w:rsidP="00136188">
      <w:pPr>
        <w:pStyle w:val="ListParagraph"/>
        <w:numPr>
          <w:ilvl w:val="0"/>
          <w:numId w:val="14"/>
        </w:numPr>
        <w:tabs>
          <w:tab w:val="left" w:pos="284"/>
        </w:tabs>
        <w:suppressAutoHyphens w:val="0"/>
        <w:spacing w:before="0" w:line="280" w:lineRule="exact"/>
        <w:ind w:left="1004"/>
        <w:jc w:val="both"/>
        <w:rPr>
          <w:rFonts w:cstheme="minorHAnsi"/>
          <w:color w:val="auto"/>
        </w:rPr>
      </w:pPr>
      <w:r w:rsidRPr="00C313F7">
        <w:rPr>
          <w:rFonts w:cstheme="minorHAnsi"/>
          <w:color w:val="auto"/>
        </w:rPr>
        <w:t xml:space="preserve">Women’s rights realised </w:t>
      </w:r>
    </w:p>
    <w:p w14:paraId="14C50CD4" w14:textId="03012679" w:rsidR="00136188" w:rsidRPr="00C313F7" w:rsidRDefault="00136188" w:rsidP="00457406">
      <w:pPr>
        <w:pStyle w:val="ListParagraph"/>
        <w:numPr>
          <w:ilvl w:val="0"/>
          <w:numId w:val="14"/>
        </w:numPr>
        <w:tabs>
          <w:tab w:val="left" w:pos="284"/>
        </w:tabs>
        <w:suppressAutoHyphens w:val="0"/>
        <w:spacing w:before="0" w:line="280" w:lineRule="exact"/>
        <w:ind w:left="1004"/>
        <w:jc w:val="both"/>
        <w:rPr>
          <w:rFonts w:cstheme="minorHAnsi"/>
          <w:color w:val="auto"/>
        </w:rPr>
      </w:pPr>
      <w:r w:rsidRPr="00C313F7">
        <w:rPr>
          <w:rFonts w:cstheme="minorHAnsi"/>
          <w:color w:val="auto"/>
        </w:rPr>
        <w:t>Pacific regional partners increase the effectiveness of regional gender equality efforts.</w:t>
      </w:r>
    </w:p>
    <w:p w14:paraId="5B6DA71D" w14:textId="491995F2" w:rsidR="0070382B" w:rsidRDefault="0070382B" w:rsidP="00136188">
      <w:pPr>
        <w:suppressAutoHyphens w:val="0"/>
        <w:spacing w:before="0" w:after="0" w:line="240" w:lineRule="auto"/>
        <w:jc w:val="both"/>
        <w:rPr>
          <w:rFonts w:cstheme="minorHAnsi"/>
          <w:color w:val="auto"/>
        </w:rPr>
      </w:pPr>
    </w:p>
    <w:p w14:paraId="4A0675D5" w14:textId="64BAC6C3" w:rsidR="00136188" w:rsidRPr="00C313F7" w:rsidRDefault="00136188" w:rsidP="00136188">
      <w:pPr>
        <w:suppressAutoHyphens w:val="0"/>
        <w:spacing w:before="0" w:after="0" w:line="240" w:lineRule="auto"/>
        <w:jc w:val="both"/>
        <w:rPr>
          <w:rFonts w:cstheme="minorHAnsi"/>
          <w:color w:val="auto"/>
        </w:rPr>
      </w:pPr>
      <w:r w:rsidRPr="00C313F7">
        <w:rPr>
          <w:rFonts w:cstheme="minorHAnsi"/>
          <w:color w:val="auto"/>
        </w:rPr>
        <w:t xml:space="preserve">As suggested by the program title, Pacific women will lead the program, </w:t>
      </w:r>
      <w:r w:rsidR="0070382B">
        <w:rPr>
          <w:rFonts w:cstheme="minorHAnsi"/>
          <w:color w:val="auto"/>
        </w:rPr>
        <w:t xml:space="preserve">define the problems, create solutions, and </w:t>
      </w:r>
      <w:r w:rsidRPr="00C313F7">
        <w:rPr>
          <w:rFonts w:cstheme="minorHAnsi"/>
          <w:color w:val="auto"/>
        </w:rPr>
        <w:t>driv</w:t>
      </w:r>
      <w:r w:rsidR="0070382B">
        <w:rPr>
          <w:rFonts w:cstheme="minorHAnsi"/>
          <w:color w:val="auto"/>
        </w:rPr>
        <w:t>e</w:t>
      </w:r>
      <w:r w:rsidRPr="00C313F7">
        <w:rPr>
          <w:rFonts w:cstheme="minorHAnsi"/>
          <w:color w:val="auto"/>
        </w:rPr>
        <w:t xml:space="preserve"> </w:t>
      </w:r>
      <w:r w:rsidR="0070382B">
        <w:rPr>
          <w:rFonts w:cstheme="minorHAnsi"/>
          <w:color w:val="auto"/>
        </w:rPr>
        <w:t>strategy</w:t>
      </w:r>
      <w:r w:rsidRPr="00C313F7">
        <w:rPr>
          <w:rFonts w:cstheme="minorHAnsi"/>
          <w:color w:val="auto"/>
        </w:rPr>
        <w:t xml:space="preserve"> through a </w:t>
      </w:r>
      <w:r w:rsidR="0070382B">
        <w:rPr>
          <w:rFonts w:cstheme="minorHAnsi"/>
          <w:color w:val="auto"/>
        </w:rPr>
        <w:t xml:space="preserve">Governance </w:t>
      </w:r>
      <w:r w:rsidRPr="00C313F7">
        <w:rPr>
          <w:rFonts w:cstheme="minorHAnsi"/>
          <w:color w:val="auto"/>
        </w:rPr>
        <w:t>Board chaired by an eminent Pacific woman, with strong and diverse membership from across the region</w:t>
      </w:r>
      <w:r w:rsidR="0070382B">
        <w:rPr>
          <w:rFonts w:cstheme="minorHAnsi"/>
          <w:color w:val="auto"/>
        </w:rPr>
        <w:t xml:space="preserve">, at least two thirds of whom will be Pacific women. </w:t>
      </w:r>
      <w:r w:rsidR="00007A62">
        <w:rPr>
          <w:rFonts w:cstheme="minorHAnsi"/>
          <w:color w:val="auto"/>
        </w:rPr>
        <w:t xml:space="preserve">Pacific Women have designed the Theory of Change and actively shaped this design through a participatory, co-design process. </w:t>
      </w:r>
    </w:p>
    <w:p w14:paraId="4162EA4F" w14:textId="77777777" w:rsidR="0070382B" w:rsidRDefault="0070382B" w:rsidP="00136188">
      <w:pPr>
        <w:suppressAutoHyphens w:val="0"/>
        <w:spacing w:before="0" w:after="0" w:line="240" w:lineRule="auto"/>
        <w:jc w:val="both"/>
        <w:rPr>
          <w:rFonts w:cstheme="minorHAnsi"/>
          <w:color w:val="auto"/>
        </w:rPr>
      </w:pPr>
    </w:p>
    <w:p w14:paraId="74E343BE" w14:textId="65C4543A" w:rsidR="00136188" w:rsidRPr="00C313F7" w:rsidRDefault="00136188" w:rsidP="00136188">
      <w:pPr>
        <w:suppressAutoHyphens w:val="0"/>
        <w:spacing w:before="0" w:after="0" w:line="240" w:lineRule="auto"/>
        <w:jc w:val="both"/>
        <w:rPr>
          <w:rFonts w:cstheme="minorHAnsi"/>
          <w:color w:val="auto"/>
        </w:rPr>
      </w:pPr>
      <w:r w:rsidRPr="00C313F7">
        <w:rPr>
          <w:rFonts w:cstheme="minorHAnsi"/>
          <w:color w:val="auto"/>
        </w:rPr>
        <w:t xml:space="preserve">Implementation of the program will be through complementary partnerships with SPC </w:t>
      </w:r>
      <w:r w:rsidR="00007A62">
        <w:rPr>
          <w:rFonts w:cstheme="minorHAnsi"/>
          <w:color w:val="auto"/>
        </w:rPr>
        <w:t>(</w:t>
      </w:r>
      <w:r w:rsidRPr="00C313F7">
        <w:rPr>
          <w:rFonts w:cstheme="minorHAnsi"/>
          <w:color w:val="auto"/>
        </w:rPr>
        <w:t>the Pacific Community</w:t>
      </w:r>
      <w:r w:rsidR="00007A62">
        <w:rPr>
          <w:rFonts w:cstheme="minorHAnsi"/>
          <w:color w:val="auto"/>
        </w:rPr>
        <w:t>)</w:t>
      </w:r>
      <w:r w:rsidRPr="00C313F7">
        <w:rPr>
          <w:rFonts w:cstheme="minorHAnsi"/>
          <w:color w:val="auto"/>
        </w:rPr>
        <w:t xml:space="preserve"> and a targeted group of Pacific women-led civil society organisations, including Feminist Funds</w:t>
      </w:r>
      <w:r w:rsidR="0070382B">
        <w:rPr>
          <w:rFonts w:cstheme="minorHAnsi"/>
          <w:color w:val="auto"/>
        </w:rPr>
        <w:t xml:space="preserve"> in the Pacific</w:t>
      </w:r>
      <w:r w:rsidRPr="00C313F7">
        <w:rPr>
          <w:rFonts w:cstheme="minorHAnsi"/>
          <w:color w:val="auto"/>
        </w:rPr>
        <w:t>.  There is flexibility for co-investment</w:t>
      </w:r>
      <w:r w:rsidR="00457406" w:rsidRPr="00C313F7">
        <w:rPr>
          <w:rFonts w:cstheme="minorHAnsi"/>
          <w:color w:val="auto"/>
        </w:rPr>
        <w:t xml:space="preserve"> and participation</w:t>
      </w:r>
      <w:r w:rsidRPr="00C313F7">
        <w:rPr>
          <w:rFonts w:cstheme="minorHAnsi"/>
          <w:color w:val="auto"/>
        </w:rPr>
        <w:t xml:space="preserve"> from likeminded donors.</w:t>
      </w:r>
    </w:p>
    <w:p w14:paraId="2BD26087" w14:textId="77777777" w:rsidR="00136188" w:rsidRPr="00C313F7" w:rsidRDefault="00136188" w:rsidP="0062032A">
      <w:pPr>
        <w:suppressAutoHyphens w:val="0"/>
        <w:spacing w:before="0" w:after="0" w:line="240" w:lineRule="auto"/>
        <w:jc w:val="both"/>
        <w:rPr>
          <w:rFonts w:cstheme="minorHAnsi"/>
          <w:color w:val="auto"/>
        </w:rPr>
      </w:pPr>
    </w:p>
    <w:p w14:paraId="489502BF" w14:textId="37E034D3" w:rsidR="00457406" w:rsidRPr="00C313F7" w:rsidRDefault="00457406" w:rsidP="00457406">
      <w:pPr>
        <w:tabs>
          <w:tab w:val="left" w:pos="284"/>
        </w:tabs>
        <w:suppressAutoHyphens w:val="0"/>
        <w:spacing w:before="0" w:after="0" w:line="280" w:lineRule="exact"/>
        <w:jc w:val="both"/>
        <w:rPr>
          <w:rFonts w:cstheme="minorHAnsi"/>
          <w:color w:val="auto"/>
        </w:rPr>
      </w:pPr>
      <w:r w:rsidRPr="00C313F7">
        <w:rPr>
          <w:rFonts w:cstheme="minorHAnsi"/>
          <w:color w:val="auto"/>
          <w:lang w:val="en-AU"/>
        </w:rPr>
        <w:t xml:space="preserve">The program is embedded in both a global and regional context for gender equality.  Gender equality is a human right and a powerful driver of growth, </w:t>
      </w:r>
      <w:proofErr w:type="gramStart"/>
      <w:r w:rsidRPr="00C313F7">
        <w:rPr>
          <w:rFonts w:cstheme="minorHAnsi"/>
          <w:color w:val="auto"/>
          <w:lang w:val="en-AU"/>
        </w:rPr>
        <w:t>development</w:t>
      </w:r>
      <w:proofErr w:type="gramEnd"/>
      <w:r w:rsidRPr="00C313F7">
        <w:rPr>
          <w:rFonts w:cstheme="minorHAnsi"/>
          <w:color w:val="auto"/>
          <w:lang w:val="en-AU"/>
        </w:rPr>
        <w:t xml:space="preserve"> and stability everywhere.  </w:t>
      </w:r>
      <w:r w:rsidR="0070382B">
        <w:rPr>
          <w:rFonts w:cstheme="minorHAnsi"/>
          <w:color w:val="auto"/>
          <w:lang w:val="en-AU"/>
        </w:rPr>
        <w:t>Gender inequality is at the heart of violence against women and girls</w:t>
      </w:r>
      <w:r w:rsidR="00007A62">
        <w:rPr>
          <w:rFonts w:cstheme="minorHAnsi"/>
          <w:color w:val="auto"/>
          <w:lang w:val="en-AU"/>
        </w:rPr>
        <w:t xml:space="preserve"> and women’s limited access to economic and health opportunities. </w:t>
      </w:r>
      <w:r w:rsidRPr="00C313F7">
        <w:rPr>
          <w:rFonts w:cstheme="minorHAnsi"/>
          <w:color w:val="auto"/>
        </w:rPr>
        <w:t xml:space="preserve">Harmful social norms in the Pacific reinforce gender inequalities that women and girls face.  Deep rooted structural barriers, in the form of discriminatory laws and non-inclusive institutions, reflect prevalent social and cultural norms that perpetuate inequality.  The global pandemic has deepened gender inequality in the Pacific and reduced the resources available to Pacific women and girls and to Pacific stakeholders including government’s and civil society for services that women and girls rely on.  </w:t>
      </w:r>
      <w:r w:rsidRPr="00C313F7">
        <w:rPr>
          <w:rFonts w:cstheme="minorHAnsi"/>
          <w:i/>
          <w:iCs/>
          <w:color w:val="auto"/>
        </w:rPr>
        <w:t>Pacific Women Lead</w:t>
      </w:r>
      <w:r w:rsidRPr="00C313F7">
        <w:rPr>
          <w:rFonts w:cstheme="minorHAnsi"/>
          <w:color w:val="auto"/>
        </w:rPr>
        <w:t xml:space="preserve"> is therefore a timely </w:t>
      </w:r>
      <w:r w:rsidR="005268CD" w:rsidRPr="00C313F7">
        <w:rPr>
          <w:rFonts w:cstheme="minorHAnsi"/>
          <w:color w:val="auto"/>
        </w:rPr>
        <w:t xml:space="preserve">contribution </w:t>
      </w:r>
      <w:r w:rsidRPr="00C313F7">
        <w:rPr>
          <w:rFonts w:cstheme="minorHAnsi"/>
          <w:color w:val="auto"/>
        </w:rPr>
        <w:t>of funding in support of the Pacific’s regional efforts to promote women’s leadership, ensure the rights of women and girls are realised and increase the effectiveness of regional gender equality efforts.</w:t>
      </w:r>
    </w:p>
    <w:p w14:paraId="1797394C" w14:textId="77777777" w:rsidR="00457406" w:rsidRPr="00C313F7" w:rsidRDefault="00457406" w:rsidP="00457406">
      <w:pPr>
        <w:tabs>
          <w:tab w:val="left" w:pos="284"/>
        </w:tabs>
        <w:suppressAutoHyphens w:val="0"/>
        <w:spacing w:before="0" w:after="0" w:line="280" w:lineRule="exact"/>
        <w:jc w:val="both"/>
        <w:rPr>
          <w:rFonts w:cstheme="minorHAnsi"/>
          <w:color w:val="auto"/>
        </w:rPr>
      </w:pPr>
    </w:p>
    <w:p w14:paraId="1F7DDF45" w14:textId="341514C0" w:rsidR="00457406" w:rsidRPr="00C313F7" w:rsidRDefault="00457406" w:rsidP="00457406">
      <w:pPr>
        <w:tabs>
          <w:tab w:val="left" w:pos="284"/>
        </w:tabs>
        <w:suppressAutoHyphens w:val="0"/>
        <w:spacing w:before="0" w:after="0" w:line="280" w:lineRule="exact"/>
        <w:jc w:val="both"/>
        <w:rPr>
          <w:rFonts w:cstheme="minorHAnsi"/>
          <w:color w:val="auto"/>
        </w:rPr>
      </w:pPr>
      <w:r w:rsidRPr="00C313F7">
        <w:rPr>
          <w:rFonts w:cstheme="minorHAnsi"/>
          <w:color w:val="auto"/>
        </w:rPr>
        <w:t xml:space="preserve">In preparing this high-level design framework, substantial consideration has been given to the deeply held cultural and religious drivers of the local contexts in which Pacific Women Lead will be delivered.  Success will depend on continuing to ensure that all Pacific Women Lead activities and actions are grounded in Pacific values and principles, and people centred approaches </w:t>
      </w:r>
      <w:r w:rsidR="005268CD" w:rsidRPr="00C313F7">
        <w:rPr>
          <w:rFonts w:cstheme="minorHAnsi"/>
          <w:color w:val="auto"/>
        </w:rPr>
        <w:t xml:space="preserve">that reinforce values of gender equality </w:t>
      </w:r>
      <w:r w:rsidRPr="00C313F7">
        <w:rPr>
          <w:rFonts w:cstheme="minorHAnsi"/>
          <w:color w:val="auto"/>
        </w:rPr>
        <w:t>with consideration of the diversity of women and girls.</w:t>
      </w:r>
    </w:p>
    <w:p w14:paraId="3AEB188F" w14:textId="77777777" w:rsidR="00457406" w:rsidRPr="00C313F7" w:rsidRDefault="00457406" w:rsidP="00457406">
      <w:pPr>
        <w:tabs>
          <w:tab w:val="left" w:pos="284"/>
        </w:tabs>
        <w:suppressAutoHyphens w:val="0"/>
        <w:spacing w:before="0" w:after="0" w:line="280" w:lineRule="exact"/>
        <w:jc w:val="both"/>
        <w:rPr>
          <w:rFonts w:cstheme="minorHAnsi"/>
          <w:color w:val="auto"/>
        </w:rPr>
      </w:pPr>
    </w:p>
    <w:p w14:paraId="6819EC28" w14:textId="3D160ADB" w:rsidR="00457406" w:rsidRPr="00C313F7" w:rsidRDefault="00457406" w:rsidP="00457406">
      <w:pPr>
        <w:tabs>
          <w:tab w:val="left" w:pos="284"/>
        </w:tabs>
        <w:suppressAutoHyphens w:val="0"/>
        <w:spacing w:before="0" w:after="0" w:line="280" w:lineRule="exact"/>
        <w:jc w:val="both"/>
        <w:rPr>
          <w:rFonts w:cstheme="minorHAnsi"/>
          <w:color w:val="auto"/>
        </w:rPr>
      </w:pPr>
      <w:r w:rsidRPr="00C313F7">
        <w:rPr>
          <w:rFonts w:cstheme="minorHAnsi"/>
          <w:color w:val="auto"/>
        </w:rPr>
        <w:t xml:space="preserve">Pacific Women Lead is complementary to bilateral Australian investments in gender equality in the Pacific and to Australia’s efforts to mainstream gender equality through the breadth of the development assistance program to the Pacific, through our diplomatic and security engagement and across our people-to-people programs. </w:t>
      </w:r>
    </w:p>
    <w:p w14:paraId="3A2C832B" w14:textId="77777777" w:rsidR="00FE4727" w:rsidRPr="00C313F7" w:rsidRDefault="00FE4727" w:rsidP="00C13494">
      <w:pPr>
        <w:tabs>
          <w:tab w:val="left" w:pos="284"/>
        </w:tabs>
        <w:suppressAutoHyphens w:val="0"/>
        <w:spacing w:before="0" w:after="0" w:line="280" w:lineRule="exact"/>
        <w:jc w:val="both"/>
        <w:rPr>
          <w:rFonts w:cstheme="minorHAnsi"/>
          <w:color w:val="auto"/>
        </w:rPr>
      </w:pPr>
    </w:p>
    <w:p w14:paraId="1788BF56" w14:textId="47A86E8D" w:rsidR="00FE4727" w:rsidRDefault="00FE4727" w:rsidP="00C13494">
      <w:pPr>
        <w:tabs>
          <w:tab w:val="left" w:pos="284"/>
        </w:tabs>
        <w:suppressAutoHyphens w:val="0"/>
        <w:spacing w:before="0" w:after="0" w:line="280" w:lineRule="exact"/>
        <w:jc w:val="both"/>
        <w:rPr>
          <w:rFonts w:cstheme="minorHAnsi"/>
          <w:color w:val="auto"/>
          <w:lang w:val="en-AU"/>
        </w:rPr>
      </w:pPr>
      <w:r w:rsidRPr="00C313F7">
        <w:rPr>
          <w:rFonts w:cstheme="minorHAnsi"/>
          <w:color w:val="auto"/>
        </w:rPr>
        <w:lastRenderedPageBreak/>
        <w:t xml:space="preserve">This framework </w:t>
      </w:r>
      <w:r w:rsidRPr="00C313F7">
        <w:rPr>
          <w:rFonts w:cstheme="minorHAnsi"/>
          <w:color w:val="auto"/>
          <w:lang w:val="en-AU"/>
        </w:rPr>
        <w:t>is</w:t>
      </w:r>
      <w:r w:rsidR="00F9059B" w:rsidRPr="00C313F7">
        <w:rPr>
          <w:rFonts w:cstheme="minorHAnsi"/>
          <w:color w:val="auto"/>
          <w:lang w:val="en-AU"/>
        </w:rPr>
        <w:t xml:space="preserve"> a platform for a flexible and adaptive program</w:t>
      </w:r>
      <w:r w:rsidRPr="00C313F7">
        <w:rPr>
          <w:rFonts w:cstheme="minorHAnsi"/>
          <w:color w:val="auto"/>
          <w:lang w:val="en-AU"/>
        </w:rPr>
        <w:t xml:space="preserve"> </w:t>
      </w:r>
      <w:r w:rsidR="00F9059B" w:rsidRPr="00C313F7">
        <w:rPr>
          <w:rFonts w:cstheme="minorHAnsi"/>
          <w:color w:val="auto"/>
          <w:lang w:val="en-AU"/>
        </w:rPr>
        <w:t xml:space="preserve">– not a detailed, locked-in program of specific activities. </w:t>
      </w:r>
      <w:r w:rsidRPr="00C313F7">
        <w:rPr>
          <w:rFonts w:cstheme="minorHAnsi"/>
          <w:color w:val="auto"/>
          <w:lang w:val="en-AU"/>
        </w:rPr>
        <w:t xml:space="preserve">A statement of requirement will </w:t>
      </w:r>
      <w:r w:rsidR="000B6CEF" w:rsidRPr="00C313F7">
        <w:rPr>
          <w:rFonts w:cstheme="minorHAnsi"/>
          <w:color w:val="auto"/>
          <w:lang w:val="en-AU"/>
        </w:rPr>
        <w:t xml:space="preserve">subsequently </w:t>
      </w:r>
      <w:r w:rsidRPr="00C313F7">
        <w:rPr>
          <w:rFonts w:cstheme="minorHAnsi"/>
          <w:color w:val="auto"/>
          <w:lang w:val="en-AU"/>
        </w:rPr>
        <w:t xml:space="preserve">be developed to inform </w:t>
      </w:r>
      <w:r w:rsidR="000B6CEF" w:rsidRPr="00C313F7">
        <w:rPr>
          <w:rFonts w:cstheme="minorHAnsi"/>
          <w:color w:val="auto"/>
          <w:lang w:val="en-AU"/>
        </w:rPr>
        <w:t xml:space="preserve">the proposed </w:t>
      </w:r>
      <w:r w:rsidRPr="00C313F7">
        <w:rPr>
          <w:rFonts w:cstheme="minorHAnsi"/>
          <w:color w:val="auto"/>
          <w:lang w:val="en-AU"/>
        </w:rPr>
        <w:t xml:space="preserve">arrangement between DFAT and SPC and a detailed design is being completed to inform DFAT’s partnerships with Pacific and Asian Feminist Funds.  DFAT </w:t>
      </w:r>
      <w:r w:rsidR="000B6CEF" w:rsidRPr="00C313F7">
        <w:rPr>
          <w:rFonts w:cstheme="minorHAnsi"/>
          <w:color w:val="auto"/>
          <w:lang w:val="en-AU"/>
        </w:rPr>
        <w:t>will</w:t>
      </w:r>
      <w:r w:rsidRPr="00C313F7">
        <w:rPr>
          <w:rFonts w:cstheme="minorHAnsi"/>
          <w:color w:val="auto"/>
          <w:lang w:val="en-AU"/>
        </w:rPr>
        <w:t xml:space="preserve"> also purchase enabling services to support program </w:t>
      </w:r>
      <w:r w:rsidR="008941E5">
        <w:rPr>
          <w:rFonts w:cstheme="minorHAnsi"/>
          <w:color w:val="auto"/>
          <w:lang w:val="en-AU"/>
        </w:rPr>
        <w:t>management</w:t>
      </w:r>
      <w:r w:rsidRPr="00C313F7">
        <w:rPr>
          <w:rFonts w:cstheme="minorHAnsi"/>
          <w:color w:val="auto"/>
          <w:lang w:val="en-AU"/>
        </w:rPr>
        <w:t xml:space="preserve"> and implementation</w:t>
      </w:r>
      <w:r w:rsidR="008941E5">
        <w:rPr>
          <w:rFonts w:cstheme="minorHAnsi"/>
          <w:color w:val="auto"/>
          <w:lang w:val="en-AU"/>
        </w:rPr>
        <w:t xml:space="preserve"> and support for Pacific Posts</w:t>
      </w:r>
      <w:r w:rsidR="000B6CEF" w:rsidRPr="00C313F7">
        <w:rPr>
          <w:rFonts w:cstheme="minorHAnsi"/>
          <w:color w:val="auto"/>
          <w:lang w:val="en-AU"/>
        </w:rPr>
        <w:t>, including transition of some activities from Pacific Women Shaping Pacific Development to Pacific Women Lead</w:t>
      </w:r>
      <w:r w:rsidR="008941E5">
        <w:rPr>
          <w:rFonts w:cstheme="minorHAnsi"/>
          <w:color w:val="auto"/>
          <w:lang w:val="en-AU"/>
        </w:rPr>
        <w:t xml:space="preserve">. </w:t>
      </w:r>
    </w:p>
    <w:p w14:paraId="4C0432D1" w14:textId="77777777" w:rsidR="007A49BB" w:rsidRDefault="007A49BB" w:rsidP="00646F77">
      <w:pPr>
        <w:pStyle w:val="Heading1"/>
      </w:pPr>
    </w:p>
    <w:p w14:paraId="38969662" w14:textId="7B7838E3" w:rsidR="002D4DE7" w:rsidRPr="00C64817" w:rsidRDefault="00423F6B" w:rsidP="00F328DA">
      <w:pPr>
        <w:pStyle w:val="Heading1"/>
      </w:pPr>
      <w:bookmarkStart w:id="2" w:name="_Toc75535877"/>
      <w:r>
        <w:t xml:space="preserve">2. </w:t>
      </w:r>
      <w:r w:rsidR="002D4DE7" w:rsidRPr="00C64817">
        <w:t>Development Context</w:t>
      </w:r>
      <w:bookmarkEnd w:id="2"/>
    </w:p>
    <w:p w14:paraId="1C6EF22A" w14:textId="0CD9B509" w:rsidR="00E21604" w:rsidRPr="00C64817" w:rsidRDefault="00E22840" w:rsidP="00A214FE">
      <w:pPr>
        <w:pStyle w:val="Default"/>
        <w:jc w:val="both"/>
        <w:rPr>
          <w:rFonts w:asciiTheme="minorHAnsi" w:hAnsiTheme="minorHAnsi" w:cstheme="minorHAnsi"/>
          <w:color w:val="auto"/>
          <w:sz w:val="22"/>
          <w:szCs w:val="22"/>
          <w:shd w:val="clear" w:color="auto" w:fill="FFFFFF"/>
          <w:lang w:val="en-GB" w:eastAsia="en-AU"/>
        </w:rPr>
      </w:pPr>
      <w:r w:rsidRPr="00C64817">
        <w:rPr>
          <w:rFonts w:asciiTheme="minorHAnsi" w:hAnsiTheme="minorHAnsi" w:cstheme="minorHAnsi"/>
          <w:sz w:val="22"/>
          <w:szCs w:val="22"/>
          <w:lang w:eastAsia="ja-JP"/>
        </w:rPr>
        <w:t>2.1</w:t>
      </w:r>
      <w:r w:rsidRPr="00C64817">
        <w:rPr>
          <w:rFonts w:asciiTheme="minorHAnsi" w:hAnsiTheme="minorHAnsi" w:cstheme="minorHAnsi"/>
          <w:sz w:val="22"/>
          <w:szCs w:val="22"/>
          <w:lang w:eastAsia="ja-JP"/>
        </w:rPr>
        <w:tab/>
      </w:r>
      <w:r w:rsidR="007C09ED" w:rsidRPr="00C64817">
        <w:rPr>
          <w:rFonts w:asciiTheme="minorHAnsi" w:hAnsiTheme="minorHAnsi" w:cstheme="minorHAnsi"/>
          <w:b/>
          <w:sz w:val="22"/>
          <w:szCs w:val="22"/>
          <w:lang w:eastAsia="ja-JP"/>
        </w:rPr>
        <w:t xml:space="preserve">Gender equality is </w:t>
      </w:r>
      <w:r w:rsidR="00E66CB6" w:rsidRPr="00C64817">
        <w:rPr>
          <w:rFonts w:asciiTheme="minorHAnsi" w:hAnsiTheme="minorHAnsi" w:cstheme="minorHAnsi"/>
          <w:b/>
          <w:sz w:val="22"/>
          <w:szCs w:val="22"/>
          <w:lang w:eastAsia="ja-JP"/>
        </w:rPr>
        <w:t>a human</w:t>
      </w:r>
      <w:r w:rsidR="007C09ED" w:rsidRPr="00C64817">
        <w:rPr>
          <w:rFonts w:asciiTheme="minorHAnsi" w:hAnsiTheme="minorHAnsi" w:cstheme="minorHAnsi"/>
          <w:b/>
          <w:sz w:val="22"/>
          <w:szCs w:val="22"/>
          <w:lang w:eastAsia="ja-JP"/>
        </w:rPr>
        <w:t xml:space="preserve"> right and a powerful driver </w:t>
      </w:r>
      <w:r w:rsidR="00EA489C" w:rsidRPr="00C64817">
        <w:rPr>
          <w:rFonts w:asciiTheme="minorHAnsi" w:hAnsiTheme="minorHAnsi" w:cstheme="minorHAnsi"/>
          <w:b/>
          <w:sz w:val="22"/>
          <w:szCs w:val="22"/>
          <w:lang w:eastAsia="ja-JP"/>
        </w:rPr>
        <w:t xml:space="preserve">of </w:t>
      </w:r>
      <w:r w:rsidR="007C09ED" w:rsidRPr="00C64817">
        <w:rPr>
          <w:rFonts w:asciiTheme="minorHAnsi" w:hAnsiTheme="minorHAnsi" w:cstheme="minorHAnsi"/>
          <w:b/>
          <w:sz w:val="22"/>
          <w:szCs w:val="22"/>
          <w:lang w:eastAsia="ja-JP"/>
        </w:rPr>
        <w:t xml:space="preserve">growth, </w:t>
      </w:r>
      <w:proofErr w:type="gramStart"/>
      <w:r w:rsidR="007C09ED" w:rsidRPr="00C64817">
        <w:rPr>
          <w:rFonts w:asciiTheme="minorHAnsi" w:hAnsiTheme="minorHAnsi" w:cstheme="minorHAnsi"/>
          <w:b/>
          <w:sz w:val="22"/>
          <w:szCs w:val="22"/>
          <w:lang w:eastAsia="ja-JP"/>
        </w:rPr>
        <w:t>development</w:t>
      </w:r>
      <w:proofErr w:type="gramEnd"/>
      <w:r w:rsidR="007C09ED" w:rsidRPr="00C64817">
        <w:rPr>
          <w:rFonts w:asciiTheme="minorHAnsi" w:hAnsiTheme="minorHAnsi" w:cstheme="minorHAnsi"/>
          <w:b/>
          <w:sz w:val="22"/>
          <w:szCs w:val="22"/>
          <w:lang w:eastAsia="ja-JP"/>
        </w:rPr>
        <w:t xml:space="preserve"> and stability.</w:t>
      </w:r>
      <w:r w:rsidR="007C09ED" w:rsidRPr="00C64817">
        <w:rPr>
          <w:rFonts w:asciiTheme="minorHAnsi" w:hAnsiTheme="minorHAnsi" w:cstheme="minorHAnsi"/>
          <w:sz w:val="22"/>
          <w:szCs w:val="22"/>
          <w:lang w:eastAsia="ja-JP"/>
        </w:rPr>
        <w:t xml:space="preserve"> </w:t>
      </w:r>
      <w:r w:rsidR="00E4130E" w:rsidRPr="00C64817">
        <w:rPr>
          <w:rFonts w:asciiTheme="minorHAnsi" w:hAnsiTheme="minorHAnsi" w:cstheme="minorHAnsi"/>
          <w:color w:val="222222"/>
          <w:spacing w:val="4"/>
          <w:sz w:val="22"/>
          <w:szCs w:val="22"/>
          <w:shd w:val="clear" w:color="auto" w:fill="FFFFFF"/>
        </w:rPr>
        <w:t>Advancing gender equality is a mechanism for realising women and girls’ human rights and</w:t>
      </w:r>
      <w:r w:rsidR="00816F1F" w:rsidRPr="00C64817">
        <w:rPr>
          <w:rFonts w:asciiTheme="minorHAnsi" w:hAnsiTheme="minorHAnsi" w:cstheme="minorHAnsi"/>
          <w:color w:val="222222"/>
          <w:spacing w:val="4"/>
          <w:sz w:val="22"/>
          <w:szCs w:val="22"/>
          <w:shd w:val="clear" w:color="auto" w:fill="FFFFFF"/>
        </w:rPr>
        <w:t xml:space="preserve"> </w:t>
      </w:r>
      <w:r w:rsidR="0030098A" w:rsidRPr="00C64817">
        <w:rPr>
          <w:rFonts w:asciiTheme="minorHAnsi" w:hAnsiTheme="minorHAnsi" w:cstheme="minorHAnsi"/>
          <w:color w:val="222222"/>
          <w:spacing w:val="4"/>
          <w:sz w:val="22"/>
          <w:szCs w:val="22"/>
          <w:shd w:val="clear" w:color="auto" w:fill="FFFFFF"/>
        </w:rPr>
        <w:t>contributes to</w:t>
      </w:r>
      <w:r w:rsidR="00E4130E" w:rsidRPr="00C64817">
        <w:rPr>
          <w:rFonts w:asciiTheme="minorHAnsi" w:hAnsiTheme="minorHAnsi" w:cstheme="minorHAnsi"/>
          <w:color w:val="222222"/>
          <w:spacing w:val="4"/>
          <w:sz w:val="22"/>
          <w:szCs w:val="22"/>
          <w:shd w:val="clear" w:color="auto" w:fill="FFFFFF"/>
        </w:rPr>
        <w:t xml:space="preserve"> sustainable peace</w:t>
      </w:r>
      <w:r w:rsidR="00097E2F" w:rsidRPr="00C64817">
        <w:rPr>
          <w:rFonts w:asciiTheme="minorHAnsi" w:hAnsiTheme="minorHAnsi" w:cstheme="minorHAnsi"/>
          <w:color w:val="222222"/>
          <w:spacing w:val="4"/>
          <w:sz w:val="22"/>
          <w:szCs w:val="22"/>
          <w:shd w:val="clear" w:color="auto" w:fill="FFFFFF"/>
        </w:rPr>
        <w:t>.</w:t>
      </w:r>
      <w:r w:rsidR="005C705F" w:rsidRPr="00C64817">
        <w:rPr>
          <w:rFonts w:asciiTheme="minorHAnsi" w:hAnsiTheme="minorHAnsi" w:cstheme="minorHAnsi"/>
          <w:color w:val="222222"/>
          <w:spacing w:val="4"/>
          <w:sz w:val="22"/>
          <w:szCs w:val="22"/>
          <w:shd w:val="clear" w:color="auto" w:fill="FFFFFF"/>
        </w:rPr>
        <w:t xml:space="preserve"> </w:t>
      </w:r>
      <w:r w:rsidR="0023616C" w:rsidRPr="00407D94">
        <w:rPr>
          <w:rFonts w:asciiTheme="minorHAnsi" w:hAnsiTheme="minorHAnsi" w:cstheme="minorHAnsi"/>
          <w:color w:val="auto"/>
          <w:sz w:val="22"/>
          <w:szCs w:val="22"/>
          <w:shd w:val="clear" w:color="auto" w:fill="FFFFFF"/>
          <w:lang w:val="en-GB" w:eastAsia="en-AU"/>
        </w:rPr>
        <w:t>I</w:t>
      </w:r>
      <w:r w:rsidR="00A214FE" w:rsidRPr="00407D94">
        <w:rPr>
          <w:rFonts w:asciiTheme="minorHAnsi" w:hAnsiTheme="minorHAnsi" w:cstheme="minorHAnsi"/>
          <w:color w:val="auto"/>
          <w:sz w:val="22"/>
          <w:szCs w:val="22"/>
          <w:shd w:val="clear" w:color="auto" w:fill="FFFFFF"/>
          <w:lang w:val="en-GB" w:eastAsia="en-AU"/>
        </w:rPr>
        <w:t xml:space="preserve">n the Pacific </w:t>
      </w:r>
      <w:r w:rsidR="0023616C" w:rsidRPr="00407D94">
        <w:rPr>
          <w:rFonts w:asciiTheme="minorHAnsi" w:hAnsiTheme="minorHAnsi" w:cstheme="minorHAnsi"/>
          <w:color w:val="auto"/>
          <w:sz w:val="22"/>
          <w:szCs w:val="22"/>
          <w:shd w:val="clear" w:color="auto" w:fill="FFFFFF"/>
          <w:lang w:val="en-GB" w:eastAsia="en-AU"/>
        </w:rPr>
        <w:t xml:space="preserve">today, </w:t>
      </w:r>
      <w:r w:rsidR="00A214FE" w:rsidRPr="008A7462">
        <w:rPr>
          <w:rFonts w:asciiTheme="minorHAnsi" w:hAnsiTheme="minorHAnsi" w:cstheme="minorHAnsi"/>
          <w:color w:val="auto"/>
          <w:sz w:val="22"/>
          <w:szCs w:val="22"/>
          <w:shd w:val="clear" w:color="auto" w:fill="FFFFFF"/>
          <w:lang w:val="en-GB" w:eastAsia="en-AU"/>
        </w:rPr>
        <w:t xml:space="preserve">there </w:t>
      </w:r>
      <w:r w:rsidR="0023616C" w:rsidRPr="008A7462">
        <w:rPr>
          <w:rFonts w:asciiTheme="minorHAnsi" w:hAnsiTheme="minorHAnsi" w:cstheme="minorHAnsi"/>
          <w:color w:val="auto"/>
          <w:sz w:val="22"/>
          <w:szCs w:val="22"/>
          <w:shd w:val="clear" w:color="auto" w:fill="FFFFFF"/>
          <w:lang w:val="en-GB" w:eastAsia="en-AU"/>
        </w:rPr>
        <w:t>remain harmful social norms underpinning gender inequality and</w:t>
      </w:r>
      <w:r w:rsidR="00A214FE" w:rsidRPr="008A7462">
        <w:rPr>
          <w:rFonts w:asciiTheme="minorHAnsi" w:hAnsiTheme="minorHAnsi" w:cstheme="minorHAnsi"/>
          <w:color w:val="auto"/>
          <w:sz w:val="22"/>
          <w:szCs w:val="22"/>
          <w:shd w:val="clear" w:color="auto" w:fill="FFFFFF"/>
          <w:lang w:val="en-GB" w:eastAsia="en-AU"/>
        </w:rPr>
        <w:t xml:space="preserve"> gaps </w:t>
      </w:r>
      <w:r w:rsidR="00E21604" w:rsidRPr="00B43027">
        <w:rPr>
          <w:rFonts w:asciiTheme="minorHAnsi" w:hAnsiTheme="minorHAnsi" w:cstheme="minorHAnsi"/>
          <w:color w:val="auto"/>
          <w:sz w:val="22"/>
          <w:szCs w:val="22"/>
          <w:shd w:val="clear" w:color="auto" w:fill="FFFFFF"/>
          <w:lang w:val="en-GB" w:eastAsia="en-AU"/>
        </w:rPr>
        <w:t>in leadership</w:t>
      </w:r>
      <w:r w:rsidR="005251D7" w:rsidRPr="00F44628">
        <w:rPr>
          <w:rFonts w:asciiTheme="minorHAnsi" w:hAnsiTheme="minorHAnsi" w:cstheme="minorHAnsi"/>
          <w:color w:val="auto"/>
          <w:sz w:val="22"/>
          <w:szCs w:val="22"/>
          <w:shd w:val="clear" w:color="auto" w:fill="FFFFFF"/>
          <w:lang w:val="en-GB" w:eastAsia="en-AU"/>
        </w:rPr>
        <w:t xml:space="preserve"> and efforts to address</w:t>
      </w:r>
      <w:r w:rsidR="00E21604" w:rsidRPr="00C64817">
        <w:rPr>
          <w:rFonts w:asciiTheme="minorHAnsi" w:hAnsiTheme="minorHAnsi" w:cstheme="minorHAnsi"/>
          <w:color w:val="auto"/>
          <w:sz w:val="22"/>
          <w:szCs w:val="22"/>
          <w:shd w:val="clear" w:color="auto" w:fill="FFFFFF"/>
          <w:lang w:val="en-GB" w:eastAsia="en-AU"/>
        </w:rPr>
        <w:t xml:space="preserve"> violence against women and women’s economic empowerment.</w:t>
      </w:r>
    </w:p>
    <w:p w14:paraId="153B3BB9" w14:textId="77777777" w:rsidR="00E21604" w:rsidRPr="00C64817" w:rsidRDefault="00E21604" w:rsidP="00C13494">
      <w:pPr>
        <w:pStyle w:val="Default"/>
        <w:jc w:val="both"/>
        <w:rPr>
          <w:rFonts w:asciiTheme="minorHAnsi" w:hAnsiTheme="minorHAnsi" w:cstheme="minorHAnsi"/>
          <w:color w:val="auto"/>
          <w:sz w:val="22"/>
          <w:szCs w:val="22"/>
          <w:shd w:val="clear" w:color="auto" w:fill="FFFFFF"/>
          <w:lang w:val="en-GB" w:eastAsia="en-AU"/>
        </w:rPr>
      </w:pPr>
    </w:p>
    <w:p w14:paraId="36320E63" w14:textId="52FD6EFC" w:rsidR="00DE14FD" w:rsidRPr="00C64817" w:rsidRDefault="00E22840" w:rsidP="006B7DE4">
      <w:pPr>
        <w:pStyle w:val="BodyTextHanging"/>
        <w:jc w:val="both"/>
        <w:rPr>
          <w:rFonts w:asciiTheme="minorHAnsi" w:hAnsiTheme="minorHAnsi" w:cstheme="minorHAnsi"/>
          <w:color w:val="auto"/>
          <w:shd w:val="clear" w:color="auto" w:fill="FFFFFF"/>
        </w:rPr>
      </w:pPr>
      <w:r w:rsidRPr="00C64817">
        <w:rPr>
          <w:rFonts w:asciiTheme="minorHAnsi" w:hAnsiTheme="minorHAnsi" w:cstheme="minorHAnsi"/>
          <w:color w:val="auto"/>
          <w:shd w:val="clear" w:color="auto" w:fill="FFFFFF"/>
        </w:rPr>
        <w:t>2.2</w:t>
      </w:r>
      <w:r w:rsidRPr="00C64817">
        <w:rPr>
          <w:rFonts w:asciiTheme="minorHAnsi" w:hAnsiTheme="minorHAnsi" w:cstheme="minorHAnsi"/>
          <w:color w:val="auto"/>
          <w:shd w:val="clear" w:color="auto" w:fill="FFFFFF"/>
        </w:rPr>
        <w:tab/>
      </w:r>
      <w:r w:rsidR="0004135C" w:rsidRPr="00C64817">
        <w:rPr>
          <w:rFonts w:asciiTheme="minorHAnsi" w:hAnsiTheme="minorHAnsi" w:cstheme="minorHAnsi"/>
          <w:b/>
          <w:color w:val="auto"/>
          <w:shd w:val="clear" w:color="auto" w:fill="FFFFFF"/>
        </w:rPr>
        <w:t xml:space="preserve">Gender inequality begins </w:t>
      </w:r>
      <w:r w:rsidR="003B41A0" w:rsidRPr="00C64817">
        <w:rPr>
          <w:rFonts w:asciiTheme="minorHAnsi" w:hAnsiTheme="minorHAnsi" w:cstheme="minorHAnsi"/>
          <w:b/>
          <w:color w:val="auto"/>
          <w:shd w:val="clear" w:color="auto" w:fill="FFFFFF"/>
        </w:rPr>
        <w:t xml:space="preserve">from birth </w:t>
      </w:r>
      <w:r w:rsidR="004F2111" w:rsidRPr="00C64817">
        <w:rPr>
          <w:rFonts w:asciiTheme="minorHAnsi" w:hAnsiTheme="minorHAnsi" w:cstheme="minorHAnsi"/>
          <w:color w:val="auto"/>
          <w:shd w:val="clear" w:color="auto" w:fill="FFFFFF"/>
        </w:rPr>
        <w:t xml:space="preserve">and </w:t>
      </w:r>
      <w:r w:rsidR="008F18D2" w:rsidRPr="00C64817">
        <w:rPr>
          <w:rFonts w:asciiTheme="minorHAnsi" w:hAnsiTheme="minorHAnsi" w:cstheme="minorHAnsi"/>
          <w:color w:val="auto"/>
          <w:shd w:val="clear" w:color="auto" w:fill="FFFFFF"/>
        </w:rPr>
        <w:t>accelerates during early teenage years</w:t>
      </w:r>
      <w:r w:rsidR="009C516A" w:rsidRPr="00C64817">
        <w:rPr>
          <w:rFonts w:asciiTheme="minorHAnsi" w:hAnsiTheme="minorHAnsi" w:cstheme="minorHAnsi"/>
          <w:color w:val="auto"/>
          <w:shd w:val="clear" w:color="auto" w:fill="FFFFFF"/>
        </w:rPr>
        <w:t xml:space="preserve"> across </w:t>
      </w:r>
      <w:r w:rsidR="008F020F" w:rsidRPr="00C64817">
        <w:rPr>
          <w:rFonts w:asciiTheme="minorHAnsi" w:hAnsiTheme="minorHAnsi" w:cstheme="minorHAnsi"/>
          <w:color w:val="auto"/>
          <w:shd w:val="clear" w:color="auto" w:fill="FFFFFF"/>
        </w:rPr>
        <w:t xml:space="preserve">many </w:t>
      </w:r>
      <w:r w:rsidR="009C516A" w:rsidRPr="00C64817">
        <w:rPr>
          <w:rFonts w:asciiTheme="minorHAnsi" w:hAnsiTheme="minorHAnsi" w:cstheme="minorHAnsi"/>
          <w:color w:val="auto"/>
          <w:shd w:val="clear" w:color="auto" w:fill="FFFFFF"/>
        </w:rPr>
        <w:t>Pacific Island nations</w:t>
      </w:r>
      <w:r w:rsidR="003B34E1" w:rsidRPr="00C64817">
        <w:rPr>
          <w:rFonts w:asciiTheme="minorHAnsi" w:hAnsiTheme="minorHAnsi" w:cstheme="minorHAnsi"/>
          <w:color w:val="auto"/>
          <w:shd w:val="clear" w:color="auto" w:fill="FFFFFF"/>
        </w:rPr>
        <w:t>;</w:t>
      </w:r>
      <w:r w:rsidR="008F18D2" w:rsidRPr="00C64817">
        <w:rPr>
          <w:rFonts w:asciiTheme="minorHAnsi" w:hAnsiTheme="minorHAnsi" w:cstheme="minorHAnsi"/>
          <w:color w:val="auto"/>
          <w:shd w:val="clear" w:color="auto" w:fill="FFFFFF"/>
        </w:rPr>
        <w:t xml:space="preserve"> </w:t>
      </w:r>
      <w:r w:rsidR="005E6568" w:rsidRPr="00C64817">
        <w:rPr>
          <w:rFonts w:asciiTheme="minorHAnsi" w:hAnsiTheme="minorHAnsi" w:cstheme="minorHAnsi"/>
          <w:color w:val="auto"/>
          <w:shd w:val="clear" w:color="auto" w:fill="FFFFFF"/>
        </w:rPr>
        <w:t>“Gender norms and patriarchal systems that assign a lower status to girls and enforce narrow, rigid ideals of masculinity harm both girls and boys.”</w:t>
      </w:r>
      <w:r w:rsidR="005E6568" w:rsidRPr="00407D94">
        <w:rPr>
          <w:rStyle w:val="FootnoteReference"/>
          <w:rFonts w:asciiTheme="minorHAnsi" w:hAnsiTheme="minorHAnsi" w:cstheme="minorHAnsi"/>
          <w:color w:val="auto"/>
          <w:shd w:val="clear" w:color="auto" w:fill="FFFFFF"/>
        </w:rPr>
        <w:footnoteReference w:id="2"/>
      </w:r>
      <w:r w:rsidR="005E6568" w:rsidRPr="00407D94">
        <w:rPr>
          <w:rFonts w:asciiTheme="minorHAnsi" w:hAnsiTheme="minorHAnsi" w:cstheme="minorHAnsi"/>
          <w:color w:val="auto"/>
          <w:shd w:val="clear" w:color="auto" w:fill="FFFFFF"/>
        </w:rPr>
        <w:t xml:space="preserve"> </w:t>
      </w:r>
      <w:r w:rsidR="00E104CA" w:rsidRPr="00407D94">
        <w:rPr>
          <w:rFonts w:asciiTheme="minorHAnsi" w:hAnsiTheme="minorHAnsi" w:cstheme="minorHAnsi"/>
          <w:color w:val="auto"/>
          <w:shd w:val="clear" w:color="auto" w:fill="FFFFFF"/>
        </w:rPr>
        <w:t>G</w:t>
      </w:r>
      <w:r w:rsidR="005E6568" w:rsidRPr="00407D94">
        <w:rPr>
          <w:rFonts w:asciiTheme="minorHAnsi" w:hAnsiTheme="minorHAnsi" w:cstheme="minorHAnsi"/>
          <w:color w:val="auto"/>
          <w:shd w:val="clear" w:color="auto" w:fill="FFFFFF"/>
        </w:rPr>
        <w:t xml:space="preserve">ender equality initiatives </w:t>
      </w:r>
      <w:r w:rsidR="00815074" w:rsidRPr="008A7462">
        <w:rPr>
          <w:rFonts w:asciiTheme="minorHAnsi" w:hAnsiTheme="minorHAnsi" w:cstheme="minorHAnsi"/>
          <w:color w:val="auto"/>
          <w:shd w:val="clear" w:color="auto" w:fill="FFFFFF"/>
        </w:rPr>
        <w:t xml:space="preserve">must </w:t>
      </w:r>
      <w:r w:rsidR="005E6568" w:rsidRPr="008A7462">
        <w:rPr>
          <w:rFonts w:asciiTheme="minorHAnsi" w:hAnsiTheme="minorHAnsi" w:cstheme="minorHAnsi"/>
          <w:color w:val="auto"/>
          <w:shd w:val="clear" w:color="auto" w:fill="FFFFFF"/>
        </w:rPr>
        <w:t>ensure the</w:t>
      </w:r>
      <w:r w:rsidR="00ED1E40" w:rsidRPr="008A7462">
        <w:rPr>
          <w:rFonts w:asciiTheme="minorHAnsi" w:hAnsiTheme="minorHAnsi" w:cstheme="minorHAnsi"/>
          <w:color w:val="auto"/>
          <w:shd w:val="clear" w:color="auto" w:fill="FFFFFF"/>
        </w:rPr>
        <w:t>y effect the</w:t>
      </w:r>
      <w:r w:rsidR="005E6568" w:rsidRPr="00B43027">
        <w:rPr>
          <w:rFonts w:asciiTheme="minorHAnsi" w:hAnsiTheme="minorHAnsi" w:cstheme="minorHAnsi"/>
          <w:color w:val="auto"/>
          <w:shd w:val="clear" w:color="auto" w:fill="FFFFFF"/>
        </w:rPr>
        <w:t xml:space="preserve"> inter-generational changes required for gender equality to succeed long term. Therefore, the new design will seek to adopt a life-cycle approach target</w:t>
      </w:r>
      <w:r w:rsidR="00AC1E7C" w:rsidRPr="00F44628">
        <w:rPr>
          <w:rFonts w:asciiTheme="minorHAnsi" w:hAnsiTheme="minorHAnsi" w:cstheme="minorHAnsi"/>
          <w:color w:val="auto"/>
          <w:shd w:val="clear" w:color="auto" w:fill="FFFFFF"/>
        </w:rPr>
        <w:t>ing</w:t>
      </w:r>
      <w:r w:rsidR="005E6568" w:rsidRPr="00C64817">
        <w:rPr>
          <w:rFonts w:asciiTheme="minorHAnsi" w:hAnsiTheme="minorHAnsi" w:cstheme="minorHAnsi"/>
          <w:color w:val="auto"/>
          <w:shd w:val="clear" w:color="auto" w:fill="FFFFFF"/>
        </w:rPr>
        <w:t xml:space="preserve"> </w:t>
      </w:r>
      <w:r w:rsidR="000A4A7D" w:rsidRPr="00C64817">
        <w:rPr>
          <w:rFonts w:asciiTheme="minorHAnsi" w:hAnsiTheme="minorHAnsi" w:cstheme="minorHAnsi"/>
          <w:color w:val="auto"/>
          <w:shd w:val="clear" w:color="auto" w:fill="FFFFFF"/>
        </w:rPr>
        <w:t xml:space="preserve">both </w:t>
      </w:r>
      <w:r w:rsidR="00896076" w:rsidRPr="00C64817">
        <w:rPr>
          <w:rFonts w:asciiTheme="minorHAnsi" w:hAnsiTheme="minorHAnsi" w:cstheme="minorHAnsi"/>
          <w:color w:val="auto"/>
          <w:shd w:val="clear" w:color="auto" w:fill="FFFFFF"/>
        </w:rPr>
        <w:t xml:space="preserve">young girls and </w:t>
      </w:r>
      <w:r w:rsidR="005E6568" w:rsidRPr="00C64817">
        <w:rPr>
          <w:rFonts w:asciiTheme="minorHAnsi" w:hAnsiTheme="minorHAnsi" w:cstheme="minorHAnsi"/>
          <w:color w:val="auto"/>
          <w:shd w:val="clear" w:color="auto" w:fill="FFFFFF"/>
        </w:rPr>
        <w:t>women</w:t>
      </w:r>
      <w:r w:rsidR="00896076" w:rsidRPr="00C64817">
        <w:rPr>
          <w:rFonts w:asciiTheme="minorHAnsi" w:hAnsiTheme="minorHAnsi" w:cstheme="minorHAnsi"/>
          <w:color w:val="auto"/>
          <w:shd w:val="clear" w:color="auto" w:fill="FFFFFF"/>
        </w:rPr>
        <w:t xml:space="preserve"> and young</w:t>
      </w:r>
      <w:r w:rsidR="005E6568" w:rsidRPr="00C64817">
        <w:rPr>
          <w:rFonts w:asciiTheme="minorHAnsi" w:hAnsiTheme="minorHAnsi" w:cstheme="minorHAnsi"/>
          <w:color w:val="auto"/>
          <w:shd w:val="clear" w:color="auto" w:fill="FFFFFF"/>
        </w:rPr>
        <w:t xml:space="preserve"> boys and men address</w:t>
      </w:r>
      <w:r w:rsidR="006725AD" w:rsidRPr="00C64817">
        <w:rPr>
          <w:rFonts w:asciiTheme="minorHAnsi" w:hAnsiTheme="minorHAnsi" w:cstheme="minorHAnsi"/>
          <w:color w:val="auto"/>
          <w:shd w:val="clear" w:color="auto" w:fill="FFFFFF"/>
        </w:rPr>
        <w:t>ing</w:t>
      </w:r>
      <w:r w:rsidR="005E6568" w:rsidRPr="00C64817">
        <w:rPr>
          <w:rFonts w:asciiTheme="minorHAnsi" w:hAnsiTheme="minorHAnsi" w:cstheme="minorHAnsi"/>
          <w:color w:val="auto"/>
          <w:shd w:val="clear" w:color="auto" w:fill="FFFFFF"/>
        </w:rPr>
        <w:t xml:space="preserve"> the gap</w:t>
      </w:r>
      <w:r w:rsidR="005C686B" w:rsidRPr="00C64817">
        <w:rPr>
          <w:rFonts w:asciiTheme="minorHAnsi" w:hAnsiTheme="minorHAnsi" w:cstheme="minorHAnsi"/>
          <w:color w:val="auto"/>
          <w:shd w:val="clear" w:color="auto" w:fill="FFFFFF"/>
        </w:rPr>
        <w:t>s</w:t>
      </w:r>
      <w:r w:rsidR="005E6568" w:rsidRPr="00C64817">
        <w:rPr>
          <w:rFonts w:asciiTheme="minorHAnsi" w:hAnsiTheme="minorHAnsi" w:cstheme="minorHAnsi"/>
          <w:color w:val="auto"/>
          <w:shd w:val="clear" w:color="auto" w:fill="FFFFFF"/>
        </w:rPr>
        <w:t xml:space="preserve"> they face in </w:t>
      </w:r>
      <w:r w:rsidR="002A5BE2" w:rsidRPr="00C64817">
        <w:rPr>
          <w:rFonts w:asciiTheme="minorHAnsi" w:hAnsiTheme="minorHAnsi" w:cstheme="minorHAnsi"/>
          <w:color w:val="auto"/>
          <w:shd w:val="clear" w:color="auto" w:fill="FFFFFF"/>
        </w:rPr>
        <w:t xml:space="preserve">services, </w:t>
      </w:r>
      <w:proofErr w:type="gramStart"/>
      <w:r w:rsidR="002A5BE2" w:rsidRPr="00C64817">
        <w:rPr>
          <w:rFonts w:asciiTheme="minorHAnsi" w:hAnsiTheme="minorHAnsi" w:cstheme="minorHAnsi"/>
          <w:color w:val="auto"/>
          <w:shd w:val="clear" w:color="auto" w:fill="FFFFFF"/>
        </w:rPr>
        <w:t>rights</w:t>
      </w:r>
      <w:proofErr w:type="gramEnd"/>
      <w:r w:rsidR="002A5BE2" w:rsidRPr="00C64817">
        <w:rPr>
          <w:rFonts w:asciiTheme="minorHAnsi" w:hAnsiTheme="minorHAnsi" w:cstheme="minorHAnsi"/>
          <w:color w:val="auto"/>
          <w:shd w:val="clear" w:color="auto" w:fill="FFFFFF"/>
        </w:rPr>
        <w:t xml:space="preserve"> and opportunities</w:t>
      </w:r>
      <w:r w:rsidR="005E6568" w:rsidRPr="00C64817">
        <w:rPr>
          <w:rFonts w:asciiTheme="minorHAnsi" w:hAnsiTheme="minorHAnsi" w:cstheme="minorHAnsi"/>
          <w:color w:val="auto"/>
          <w:shd w:val="clear" w:color="auto" w:fill="FFFFFF"/>
        </w:rPr>
        <w:t>.</w:t>
      </w:r>
      <w:r w:rsidR="00326CD0" w:rsidRPr="00C64817">
        <w:rPr>
          <w:rFonts w:asciiTheme="minorHAnsi" w:hAnsiTheme="minorHAnsi" w:cstheme="minorHAnsi"/>
          <w:color w:val="auto"/>
          <w:shd w:val="clear" w:color="auto" w:fill="FFFFFF"/>
        </w:rPr>
        <w:t xml:space="preserve"> </w:t>
      </w:r>
      <w:r w:rsidR="005E6568" w:rsidRPr="00C64817">
        <w:rPr>
          <w:rFonts w:asciiTheme="minorHAnsi" w:hAnsiTheme="minorHAnsi" w:cstheme="minorHAnsi"/>
          <w:color w:val="auto"/>
          <w:shd w:val="clear" w:color="auto" w:fill="FFFFFF"/>
        </w:rPr>
        <w:t xml:space="preserve"> </w:t>
      </w:r>
      <w:r w:rsidR="00E21604" w:rsidRPr="00C64817">
        <w:rPr>
          <w:rFonts w:asciiTheme="minorHAnsi" w:hAnsiTheme="minorHAnsi" w:cstheme="minorHAnsi"/>
          <w:color w:val="auto"/>
          <w:shd w:val="clear" w:color="auto" w:fill="FFFFFF"/>
        </w:rPr>
        <w:t>Gender equality initiatives need to have a strong focus on adolescent girls to ensure the inter-generational changes required for gender equality to succeed in the long term.</w:t>
      </w:r>
    </w:p>
    <w:p w14:paraId="326CF63F" w14:textId="77777777" w:rsidR="00FC710C" w:rsidRPr="00C64817" w:rsidRDefault="00E22840" w:rsidP="00D61036">
      <w:pPr>
        <w:jc w:val="both"/>
        <w:rPr>
          <w:rFonts w:cstheme="minorHAnsi"/>
          <w:color w:val="auto"/>
        </w:rPr>
      </w:pPr>
      <w:r w:rsidRPr="00C64817">
        <w:rPr>
          <w:rFonts w:cstheme="minorHAnsi"/>
          <w:color w:val="auto"/>
        </w:rPr>
        <w:t>2.3</w:t>
      </w:r>
      <w:r w:rsidRPr="00C64817">
        <w:rPr>
          <w:rFonts w:cstheme="minorHAnsi"/>
          <w:color w:val="auto"/>
        </w:rPr>
        <w:tab/>
      </w:r>
      <w:r w:rsidR="00E047F3" w:rsidRPr="00C64817">
        <w:rPr>
          <w:rFonts w:cstheme="minorHAnsi"/>
          <w:b/>
          <w:bCs/>
          <w:color w:val="auto"/>
        </w:rPr>
        <w:t xml:space="preserve">Harmful social norms in the Pacific </w:t>
      </w:r>
      <w:r w:rsidR="00BB3683" w:rsidRPr="00C64817">
        <w:rPr>
          <w:rFonts w:cstheme="minorHAnsi"/>
          <w:b/>
          <w:bCs/>
          <w:color w:val="auto"/>
        </w:rPr>
        <w:t xml:space="preserve">reinforce </w:t>
      </w:r>
      <w:r w:rsidR="00A92BDE" w:rsidRPr="00C64817">
        <w:rPr>
          <w:rFonts w:cstheme="minorHAnsi"/>
          <w:b/>
          <w:bCs/>
          <w:color w:val="auto"/>
        </w:rPr>
        <w:t xml:space="preserve">gender inequalities that women and girls face. </w:t>
      </w:r>
      <w:r w:rsidR="00830EE3" w:rsidRPr="00C64817">
        <w:rPr>
          <w:rFonts w:cstheme="minorHAnsi"/>
          <w:color w:val="auto"/>
        </w:rPr>
        <w:t xml:space="preserve"> </w:t>
      </w:r>
      <w:r w:rsidR="0006339B" w:rsidRPr="00C64817">
        <w:rPr>
          <w:rFonts w:cstheme="minorHAnsi"/>
          <w:color w:val="auto"/>
        </w:rPr>
        <w:t>The f</w:t>
      </w:r>
      <w:r w:rsidR="001B49BA" w:rsidRPr="00C64817">
        <w:rPr>
          <w:rFonts w:cstheme="minorHAnsi"/>
          <w:color w:val="auto"/>
        </w:rPr>
        <w:t xml:space="preserve">indings </w:t>
      </w:r>
      <w:r w:rsidR="0006339B" w:rsidRPr="00C64817">
        <w:rPr>
          <w:rFonts w:cstheme="minorHAnsi"/>
          <w:color w:val="auto"/>
        </w:rPr>
        <w:t xml:space="preserve">of </w:t>
      </w:r>
      <w:r w:rsidR="009079CB" w:rsidRPr="00C64817">
        <w:rPr>
          <w:rFonts w:cstheme="minorHAnsi"/>
          <w:color w:val="auto"/>
        </w:rPr>
        <w:t>the ‘</w:t>
      </w:r>
      <w:r w:rsidR="009079CB" w:rsidRPr="00C64817">
        <w:rPr>
          <w:rFonts w:cstheme="minorHAnsi"/>
          <w:i/>
          <w:iCs/>
          <w:color w:val="auto"/>
        </w:rPr>
        <w:t>Pacific Women Shaping Pacific Development: Six Year evalu</w:t>
      </w:r>
      <w:r w:rsidR="0074299F" w:rsidRPr="00C64817">
        <w:rPr>
          <w:rFonts w:cstheme="minorHAnsi"/>
          <w:i/>
          <w:iCs/>
          <w:color w:val="auto"/>
        </w:rPr>
        <w:t>ation and management response’</w:t>
      </w:r>
      <w:r w:rsidR="00AE593A" w:rsidRPr="00C64817">
        <w:rPr>
          <w:rFonts w:cstheme="minorHAnsi"/>
          <w:color w:val="auto"/>
        </w:rPr>
        <w:t xml:space="preserve"> </w:t>
      </w:r>
      <w:r w:rsidR="00EE6A0E" w:rsidRPr="00C64817">
        <w:rPr>
          <w:rFonts w:cstheme="minorHAnsi"/>
          <w:color w:val="auto"/>
        </w:rPr>
        <w:t xml:space="preserve">indicate only </w:t>
      </w:r>
      <w:r w:rsidR="00FC710C" w:rsidRPr="00C64817">
        <w:rPr>
          <w:rFonts w:cstheme="minorHAnsi"/>
          <w:color w:val="auto"/>
        </w:rPr>
        <w:t>modest progress against harmful social and cultural norms</w:t>
      </w:r>
      <w:r w:rsidR="0006339B" w:rsidRPr="00C64817">
        <w:rPr>
          <w:rFonts w:cstheme="minorHAnsi"/>
          <w:color w:val="auto"/>
        </w:rPr>
        <w:t xml:space="preserve"> — </w:t>
      </w:r>
      <w:r w:rsidR="00FC710C" w:rsidRPr="00C64817">
        <w:rPr>
          <w:rFonts w:cstheme="minorHAnsi"/>
          <w:color w:val="auto"/>
        </w:rPr>
        <w:t xml:space="preserve">transformational change has been limited. For example, while there has been an observable increase in awareness about </w:t>
      </w:r>
      <w:r w:rsidR="0006339B" w:rsidRPr="00C64817">
        <w:rPr>
          <w:rFonts w:cstheme="minorHAnsi"/>
          <w:color w:val="auto"/>
        </w:rPr>
        <w:t xml:space="preserve">gender-based </w:t>
      </w:r>
      <w:r w:rsidR="00FC710C" w:rsidRPr="00C64817">
        <w:rPr>
          <w:rFonts w:cstheme="minorHAnsi"/>
          <w:color w:val="auto"/>
        </w:rPr>
        <w:t xml:space="preserve">violence, </w:t>
      </w:r>
      <w:r w:rsidR="003D51B2" w:rsidRPr="00C64817">
        <w:rPr>
          <w:rFonts w:cstheme="minorHAnsi"/>
          <w:color w:val="auto"/>
        </w:rPr>
        <w:t xml:space="preserve">significant </w:t>
      </w:r>
      <w:r w:rsidR="00C34FF4" w:rsidRPr="00C64817">
        <w:rPr>
          <w:rFonts w:cstheme="minorHAnsi"/>
          <w:color w:val="auto"/>
        </w:rPr>
        <w:t>and longer-term</w:t>
      </w:r>
      <w:r w:rsidR="00FC710C" w:rsidRPr="00C64817">
        <w:rPr>
          <w:rFonts w:cstheme="minorHAnsi"/>
          <w:color w:val="auto"/>
        </w:rPr>
        <w:t xml:space="preserve"> steps are required to translate this into behaviour</w:t>
      </w:r>
      <w:r w:rsidR="00B12E3C" w:rsidRPr="00C64817">
        <w:rPr>
          <w:rFonts w:cstheme="minorHAnsi"/>
          <w:color w:val="auto"/>
        </w:rPr>
        <w:t xml:space="preserve"> </w:t>
      </w:r>
      <w:r w:rsidR="00C34FF4" w:rsidRPr="00C64817">
        <w:rPr>
          <w:rFonts w:cstheme="minorHAnsi"/>
          <w:color w:val="auto"/>
        </w:rPr>
        <w:t xml:space="preserve">and normative </w:t>
      </w:r>
      <w:r w:rsidR="00FC710C" w:rsidRPr="00C64817">
        <w:rPr>
          <w:rFonts w:cstheme="minorHAnsi"/>
          <w:color w:val="auto"/>
        </w:rPr>
        <w:t>change.</w:t>
      </w:r>
    </w:p>
    <w:p w14:paraId="74A2EB26" w14:textId="5ABE54B0" w:rsidR="00F55607" w:rsidRPr="00C64817" w:rsidRDefault="00E22840" w:rsidP="00F55607">
      <w:pPr>
        <w:jc w:val="both"/>
        <w:rPr>
          <w:rFonts w:cstheme="minorHAnsi"/>
          <w:color w:val="auto"/>
        </w:rPr>
      </w:pPr>
      <w:r w:rsidRPr="00C64817">
        <w:rPr>
          <w:rFonts w:cstheme="minorHAnsi"/>
          <w:color w:val="auto"/>
        </w:rPr>
        <w:t>2.4</w:t>
      </w:r>
      <w:r w:rsidRPr="00C64817">
        <w:rPr>
          <w:rFonts w:cstheme="minorHAnsi"/>
          <w:color w:val="auto"/>
        </w:rPr>
        <w:tab/>
      </w:r>
      <w:r w:rsidR="00FC710C" w:rsidRPr="00C64817">
        <w:rPr>
          <w:rFonts w:cstheme="minorHAnsi"/>
          <w:b/>
          <w:bCs/>
          <w:color w:val="auto"/>
        </w:rPr>
        <w:t>Deep rooted structural barriers</w:t>
      </w:r>
      <w:r w:rsidR="006E7F41" w:rsidRPr="00C64817">
        <w:rPr>
          <w:rFonts w:cstheme="minorHAnsi"/>
          <w:b/>
          <w:bCs/>
          <w:color w:val="auto"/>
        </w:rPr>
        <w:t>,</w:t>
      </w:r>
      <w:r w:rsidR="00FC710C" w:rsidRPr="00C64817">
        <w:rPr>
          <w:rFonts w:cstheme="minorHAnsi"/>
          <w:b/>
          <w:bCs/>
          <w:color w:val="auto"/>
        </w:rPr>
        <w:t xml:space="preserve"> in the form of discriminatory laws and</w:t>
      </w:r>
      <w:r w:rsidR="0006339B" w:rsidRPr="00C64817">
        <w:rPr>
          <w:rFonts w:cstheme="minorHAnsi"/>
          <w:b/>
          <w:bCs/>
          <w:color w:val="auto"/>
        </w:rPr>
        <w:t xml:space="preserve"> non-inclusive</w:t>
      </w:r>
      <w:r w:rsidR="00FC710C" w:rsidRPr="00C64817">
        <w:rPr>
          <w:rFonts w:cstheme="minorHAnsi"/>
          <w:b/>
          <w:bCs/>
          <w:color w:val="auto"/>
        </w:rPr>
        <w:t xml:space="preserve"> institutions</w:t>
      </w:r>
      <w:r w:rsidR="006E7F41" w:rsidRPr="00C64817">
        <w:rPr>
          <w:rFonts w:cstheme="minorHAnsi"/>
          <w:b/>
          <w:bCs/>
          <w:color w:val="auto"/>
        </w:rPr>
        <w:t>,</w:t>
      </w:r>
      <w:r w:rsidR="00FC710C" w:rsidRPr="00C64817">
        <w:rPr>
          <w:rFonts w:cstheme="minorHAnsi"/>
          <w:b/>
          <w:bCs/>
          <w:color w:val="auto"/>
        </w:rPr>
        <w:t xml:space="preserve"> </w:t>
      </w:r>
      <w:r w:rsidR="00F55607" w:rsidRPr="00C64817">
        <w:rPr>
          <w:rFonts w:cstheme="minorHAnsi"/>
          <w:color w:val="auto"/>
        </w:rPr>
        <w:t xml:space="preserve">reflect prevalent social and cultural norms that perpetuate inequality. There are limited examples of government agencies </w:t>
      </w:r>
      <w:r w:rsidR="00940073">
        <w:rPr>
          <w:rFonts w:cstheme="minorHAnsi"/>
          <w:color w:val="auto"/>
        </w:rPr>
        <w:t>resourcing and implementing for</w:t>
      </w:r>
      <w:r w:rsidR="00F55607" w:rsidRPr="00C64817">
        <w:rPr>
          <w:rFonts w:cstheme="minorHAnsi"/>
          <w:color w:val="auto"/>
        </w:rPr>
        <w:t xml:space="preserve"> gender equality. When laws do exist </w:t>
      </w:r>
      <w:r w:rsidR="00940073">
        <w:rPr>
          <w:rFonts w:cstheme="minorHAnsi"/>
          <w:color w:val="auto"/>
        </w:rPr>
        <w:t xml:space="preserve">to support gender equality, </w:t>
      </w:r>
      <w:r w:rsidR="00F55607" w:rsidRPr="00C64817">
        <w:rPr>
          <w:rFonts w:cstheme="minorHAnsi"/>
          <w:color w:val="auto"/>
        </w:rPr>
        <w:t xml:space="preserve">often departments do not have the capacity or mandate to implement. </w:t>
      </w:r>
    </w:p>
    <w:p w14:paraId="4CF419E3" w14:textId="3962D7D4" w:rsidR="007B178F" w:rsidRPr="00C64817" w:rsidRDefault="00E22840" w:rsidP="00BF020E">
      <w:pPr>
        <w:jc w:val="both"/>
        <w:rPr>
          <w:rFonts w:cstheme="minorHAnsi"/>
          <w:color w:val="auto"/>
        </w:rPr>
      </w:pPr>
      <w:r w:rsidRPr="00C64817">
        <w:rPr>
          <w:rFonts w:cstheme="minorHAnsi"/>
          <w:bCs/>
          <w:color w:val="auto"/>
        </w:rPr>
        <w:t>2.5</w:t>
      </w:r>
      <w:r w:rsidRPr="00C64817">
        <w:rPr>
          <w:rFonts w:cstheme="minorHAnsi"/>
          <w:bCs/>
          <w:color w:val="auto"/>
        </w:rPr>
        <w:tab/>
      </w:r>
      <w:r w:rsidR="00F55607" w:rsidRPr="00C64817">
        <w:rPr>
          <w:rFonts w:cstheme="minorHAnsi"/>
          <w:b/>
          <w:color w:val="auto"/>
        </w:rPr>
        <w:t>Communities, institutions (for example, schools and churches), government and business all need to be part of the transformation of harmful social norms</w:t>
      </w:r>
      <w:r w:rsidR="00F55607" w:rsidRPr="00C64817">
        <w:rPr>
          <w:rFonts w:cstheme="minorHAnsi"/>
          <w:color w:val="auto"/>
        </w:rPr>
        <w:t>. More dialogue is needed between government, civil society, and the private sector. The extent to which partners are equipped to engage with public and private institutions and push for legislative reform and implementation of existing laws, gender equality and human rights commitments (including Convention on the Elimination of All Forms of Discrimination Against Women (CEDAW), Convention on the Rights of the Child (CRC), Convention on the Rights of People with Disabilities (CRDP</w:t>
      </w:r>
      <w:r w:rsidR="00EF4AE2" w:rsidRPr="00C64817">
        <w:rPr>
          <w:rFonts w:cstheme="minorHAnsi"/>
          <w:color w:val="auto"/>
        </w:rPr>
        <w:t>)</w:t>
      </w:r>
      <w:r w:rsidR="00F55607" w:rsidRPr="00C64817">
        <w:rPr>
          <w:rFonts w:cstheme="minorHAnsi"/>
          <w:color w:val="auto"/>
        </w:rPr>
        <w:t xml:space="preserve">) varies across countries. </w:t>
      </w:r>
      <w:r w:rsidR="00EF4AE2" w:rsidRPr="00C64817">
        <w:rPr>
          <w:rFonts w:cstheme="minorHAnsi"/>
          <w:color w:val="auto"/>
        </w:rPr>
        <w:t xml:space="preserve">Most </w:t>
      </w:r>
      <w:r w:rsidR="00F55607" w:rsidRPr="00C64817">
        <w:rPr>
          <w:rFonts w:cstheme="minorHAnsi"/>
          <w:color w:val="auto"/>
        </w:rPr>
        <w:t xml:space="preserve">PICs are parties to these treaties </w:t>
      </w:r>
      <w:r w:rsidR="00940073">
        <w:rPr>
          <w:rFonts w:cstheme="minorHAnsi"/>
          <w:color w:val="auto"/>
        </w:rPr>
        <w:t>and</w:t>
      </w:r>
      <w:r w:rsidR="00F55607" w:rsidRPr="00C64817">
        <w:rPr>
          <w:rFonts w:cstheme="minorHAnsi"/>
          <w:color w:val="auto"/>
        </w:rPr>
        <w:t xml:space="preserve"> are bound by them under international law. </w:t>
      </w:r>
    </w:p>
    <w:p w14:paraId="1948A741" w14:textId="0A3E1775" w:rsidR="00F66C54" w:rsidRDefault="00E22840"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2.6</w:t>
      </w:r>
      <w:r w:rsidRPr="00C313F7">
        <w:rPr>
          <w:rFonts w:asciiTheme="minorHAnsi" w:hAnsiTheme="minorHAnsi" w:cstheme="minorHAnsi"/>
          <w:sz w:val="22"/>
          <w:szCs w:val="22"/>
          <w:lang w:eastAsia="ja-JP"/>
        </w:rPr>
        <w:tab/>
      </w:r>
      <w:r w:rsidR="000D354D" w:rsidRPr="00C313F7">
        <w:rPr>
          <w:rFonts w:asciiTheme="minorHAnsi" w:hAnsiTheme="minorHAnsi" w:cstheme="minorHAnsi"/>
          <w:sz w:val="22"/>
          <w:szCs w:val="22"/>
          <w:lang w:eastAsia="ja-JP"/>
        </w:rPr>
        <w:t xml:space="preserve">Barriers to women’s economic empowerment </w:t>
      </w:r>
      <w:r w:rsidR="0057381C" w:rsidRPr="00C313F7">
        <w:rPr>
          <w:rFonts w:asciiTheme="minorHAnsi" w:hAnsiTheme="minorHAnsi" w:cstheme="minorHAnsi"/>
          <w:sz w:val="22"/>
          <w:szCs w:val="22"/>
          <w:lang w:eastAsia="ja-JP"/>
        </w:rPr>
        <w:t>are prevalent in the Pacific</w:t>
      </w:r>
      <w:r w:rsidR="00221CD3" w:rsidRPr="00C313F7">
        <w:rPr>
          <w:rFonts w:asciiTheme="minorHAnsi" w:hAnsiTheme="minorHAnsi" w:cstheme="minorHAnsi"/>
          <w:sz w:val="22"/>
          <w:szCs w:val="22"/>
          <w:lang w:eastAsia="ja-JP"/>
        </w:rPr>
        <w:t xml:space="preserve"> </w:t>
      </w:r>
      <w:r w:rsidR="00C867AB" w:rsidRPr="00C313F7">
        <w:rPr>
          <w:rFonts w:asciiTheme="minorHAnsi" w:hAnsiTheme="minorHAnsi" w:cstheme="minorHAnsi"/>
          <w:sz w:val="22"/>
          <w:szCs w:val="22"/>
          <w:lang w:eastAsia="ja-JP"/>
        </w:rPr>
        <w:t xml:space="preserve">and </w:t>
      </w:r>
      <w:r w:rsidR="00221CD3" w:rsidRPr="00C313F7">
        <w:rPr>
          <w:rFonts w:asciiTheme="minorHAnsi" w:hAnsiTheme="minorHAnsi" w:cstheme="minorHAnsi"/>
          <w:sz w:val="22"/>
          <w:szCs w:val="22"/>
          <w:lang w:eastAsia="ja-JP"/>
        </w:rPr>
        <w:t xml:space="preserve">include a lack of employment </w:t>
      </w:r>
      <w:r w:rsidR="00890677" w:rsidRPr="00C313F7">
        <w:rPr>
          <w:rFonts w:asciiTheme="minorHAnsi" w:hAnsiTheme="minorHAnsi" w:cstheme="minorHAnsi"/>
          <w:sz w:val="22"/>
          <w:szCs w:val="22"/>
          <w:lang w:eastAsia="ja-JP"/>
        </w:rPr>
        <w:t xml:space="preserve">and productive </w:t>
      </w:r>
      <w:r w:rsidR="00221CD3" w:rsidRPr="00C313F7">
        <w:rPr>
          <w:rFonts w:asciiTheme="minorHAnsi" w:hAnsiTheme="minorHAnsi" w:cstheme="minorHAnsi"/>
          <w:sz w:val="22"/>
          <w:szCs w:val="22"/>
          <w:lang w:eastAsia="ja-JP"/>
        </w:rPr>
        <w:t>opportunities</w:t>
      </w:r>
      <w:r w:rsidR="00BB3BAC" w:rsidRPr="00C313F7">
        <w:rPr>
          <w:rFonts w:asciiTheme="minorHAnsi" w:hAnsiTheme="minorHAnsi" w:cstheme="minorHAnsi"/>
          <w:sz w:val="22"/>
          <w:szCs w:val="22"/>
          <w:lang w:eastAsia="ja-JP"/>
        </w:rPr>
        <w:t>;</w:t>
      </w:r>
      <w:r w:rsidR="00221CD3" w:rsidRPr="00C313F7">
        <w:rPr>
          <w:rFonts w:asciiTheme="minorHAnsi" w:hAnsiTheme="minorHAnsi" w:cstheme="minorHAnsi"/>
          <w:sz w:val="22"/>
          <w:szCs w:val="22"/>
          <w:lang w:eastAsia="ja-JP"/>
        </w:rPr>
        <w:t xml:space="preserve"> limited access to safety, </w:t>
      </w:r>
      <w:proofErr w:type="gramStart"/>
      <w:r w:rsidR="00221CD3" w:rsidRPr="00C313F7">
        <w:rPr>
          <w:rFonts w:asciiTheme="minorHAnsi" w:hAnsiTheme="minorHAnsi" w:cstheme="minorHAnsi"/>
          <w:sz w:val="22"/>
          <w:szCs w:val="22"/>
          <w:lang w:eastAsia="ja-JP"/>
        </w:rPr>
        <w:t>education</w:t>
      </w:r>
      <w:proofErr w:type="gramEnd"/>
      <w:r w:rsidR="00221CD3" w:rsidRPr="00C313F7">
        <w:rPr>
          <w:rFonts w:asciiTheme="minorHAnsi" w:hAnsiTheme="minorHAnsi" w:cstheme="minorHAnsi"/>
          <w:sz w:val="22"/>
          <w:szCs w:val="22"/>
          <w:lang w:eastAsia="ja-JP"/>
        </w:rPr>
        <w:t xml:space="preserve"> and sexual and reproductive health </w:t>
      </w:r>
      <w:r w:rsidR="00601A82" w:rsidRPr="00C313F7">
        <w:rPr>
          <w:rFonts w:asciiTheme="minorHAnsi" w:hAnsiTheme="minorHAnsi" w:cstheme="minorHAnsi"/>
          <w:sz w:val="22"/>
          <w:szCs w:val="22"/>
          <w:lang w:eastAsia="ja-JP"/>
        </w:rPr>
        <w:t>services</w:t>
      </w:r>
      <w:r w:rsidR="00BB3BAC" w:rsidRPr="00C313F7">
        <w:rPr>
          <w:rFonts w:asciiTheme="minorHAnsi" w:hAnsiTheme="minorHAnsi" w:cstheme="minorHAnsi"/>
          <w:sz w:val="22"/>
          <w:szCs w:val="22"/>
          <w:lang w:eastAsia="ja-JP"/>
        </w:rPr>
        <w:t>;</w:t>
      </w:r>
      <w:r w:rsidR="00322FEE" w:rsidRPr="00C313F7">
        <w:rPr>
          <w:rFonts w:asciiTheme="minorHAnsi" w:hAnsiTheme="minorHAnsi" w:cstheme="minorHAnsi"/>
          <w:sz w:val="22"/>
          <w:szCs w:val="22"/>
          <w:lang w:eastAsia="ja-JP"/>
        </w:rPr>
        <w:t xml:space="preserve"> </w:t>
      </w:r>
      <w:r w:rsidR="00221CD3" w:rsidRPr="00C313F7">
        <w:rPr>
          <w:rFonts w:asciiTheme="minorHAnsi" w:hAnsiTheme="minorHAnsi" w:cstheme="minorHAnsi"/>
          <w:sz w:val="22"/>
          <w:szCs w:val="22"/>
          <w:lang w:eastAsia="ja-JP"/>
        </w:rPr>
        <w:t xml:space="preserve">societal expectations over domestic roles. Societal norms </w:t>
      </w:r>
      <w:r w:rsidR="00C867AB" w:rsidRPr="00C313F7">
        <w:rPr>
          <w:rFonts w:asciiTheme="minorHAnsi" w:hAnsiTheme="minorHAnsi" w:cstheme="minorHAnsi"/>
          <w:sz w:val="22"/>
          <w:szCs w:val="22"/>
          <w:lang w:eastAsia="ja-JP"/>
        </w:rPr>
        <w:t xml:space="preserve">that </w:t>
      </w:r>
      <w:r w:rsidR="00221CD3" w:rsidRPr="00C313F7">
        <w:rPr>
          <w:rFonts w:asciiTheme="minorHAnsi" w:hAnsiTheme="minorHAnsi" w:cstheme="minorHAnsi"/>
          <w:sz w:val="22"/>
          <w:szCs w:val="22"/>
          <w:lang w:eastAsia="ja-JP"/>
        </w:rPr>
        <w:t>traditionally see men as economic providers and women as mothers and carers inhibit women’s ability to seek and maintain employment</w:t>
      </w:r>
      <w:r w:rsidR="00E167F0" w:rsidRPr="00C313F7">
        <w:rPr>
          <w:rFonts w:asciiTheme="minorHAnsi" w:hAnsiTheme="minorHAnsi" w:cstheme="minorHAnsi"/>
          <w:sz w:val="22"/>
          <w:szCs w:val="22"/>
          <w:lang w:eastAsia="ja-JP"/>
        </w:rPr>
        <w:t xml:space="preserve">. </w:t>
      </w:r>
      <w:r w:rsidR="003B284C" w:rsidRPr="00C313F7">
        <w:rPr>
          <w:rFonts w:asciiTheme="minorHAnsi" w:hAnsiTheme="minorHAnsi" w:cstheme="minorHAnsi"/>
          <w:sz w:val="22"/>
          <w:szCs w:val="22"/>
          <w:lang w:eastAsia="ja-JP"/>
        </w:rPr>
        <w:t>Economic development opportunities for improving productivity and resilience of</w:t>
      </w:r>
      <w:r w:rsidR="001A53E0" w:rsidRPr="00C313F7">
        <w:rPr>
          <w:rFonts w:asciiTheme="minorHAnsi" w:hAnsiTheme="minorHAnsi" w:cstheme="minorHAnsi"/>
          <w:sz w:val="22"/>
          <w:szCs w:val="22"/>
          <w:lang w:eastAsia="ja-JP"/>
        </w:rPr>
        <w:t xml:space="preserve"> agriculture and fisheries are targeted </w:t>
      </w:r>
      <w:r w:rsidR="00C867AB" w:rsidRPr="00C313F7">
        <w:rPr>
          <w:rFonts w:asciiTheme="minorHAnsi" w:hAnsiTheme="minorHAnsi" w:cstheme="minorHAnsi"/>
          <w:sz w:val="22"/>
          <w:szCs w:val="22"/>
          <w:lang w:eastAsia="ja-JP"/>
        </w:rPr>
        <w:t>for</w:t>
      </w:r>
      <w:r w:rsidR="001A53E0" w:rsidRPr="00C313F7">
        <w:rPr>
          <w:rFonts w:asciiTheme="minorHAnsi" w:hAnsiTheme="minorHAnsi" w:cstheme="minorHAnsi"/>
          <w:sz w:val="22"/>
          <w:szCs w:val="22"/>
          <w:lang w:eastAsia="ja-JP"/>
        </w:rPr>
        <w:t xml:space="preserve"> men, even though women constitute half of rural producers.</w:t>
      </w:r>
      <w:r w:rsidR="00221CD3" w:rsidRPr="00C313F7">
        <w:rPr>
          <w:rFonts w:asciiTheme="minorHAnsi" w:hAnsiTheme="minorHAnsi" w:cstheme="minorHAnsi"/>
          <w:sz w:val="22"/>
          <w:szCs w:val="22"/>
          <w:lang w:eastAsia="ja-JP"/>
        </w:rPr>
        <w:t xml:space="preserve"> Societal expectations encourage early marriage and </w:t>
      </w:r>
      <w:r w:rsidR="00601A82" w:rsidRPr="00C313F7">
        <w:rPr>
          <w:rFonts w:asciiTheme="minorHAnsi" w:hAnsiTheme="minorHAnsi" w:cstheme="minorHAnsi"/>
          <w:sz w:val="22"/>
          <w:szCs w:val="22"/>
          <w:lang w:eastAsia="ja-JP"/>
        </w:rPr>
        <w:t>childbearing; limit</w:t>
      </w:r>
      <w:r w:rsidR="00221CD3" w:rsidRPr="00C313F7">
        <w:rPr>
          <w:rFonts w:asciiTheme="minorHAnsi" w:hAnsiTheme="minorHAnsi" w:cstheme="minorHAnsi"/>
          <w:sz w:val="22"/>
          <w:szCs w:val="22"/>
          <w:lang w:eastAsia="ja-JP"/>
        </w:rPr>
        <w:t xml:space="preserve"> women’s ability to access financial resources and labour force participation. These issues in combination perpetuate gender inequality.</w:t>
      </w:r>
    </w:p>
    <w:p w14:paraId="388CD19B" w14:textId="77777777" w:rsidR="00F66C54" w:rsidRPr="00C313F7" w:rsidRDefault="00F66C54" w:rsidP="00C313F7">
      <w:pPr>
        <w:pStyle w:val="Default"/>
        <w:jc w:val="both"/>
        <w:rPr>
          <w:rFonts w:cstheme="minorHAnsi"/>
          <w:lang w:eastAsia="ja-JP"/>
        </w:rPr>
      </w:pPr>
    </w:p>
    <w:p w14:paraId="7A549590" w14:textId="6DC6918F" w:rsidR="00DE14FD" w:rsidRDefault="00224E00"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2.</w:t>
      </w:r>
      <w:r w:rsidR="00481162" w:rsidRPr="00C313F7">
        <w:rPr>
          <w:rFonts w:asciiTheme="minorHAnsi" w:hAnsiTheme="minorHAnsi" w:cstheme="minorHAnsi"/>
          <w:sz w:val="22"/>
          <w:szCs w:val="22"/>
          <w:lang w:eastAsia="ja-JP"/>
        </w:rPr>
        <w:t>7</w:t>
      </w:r>
      <w:r w:rsidRPr="00C313F7">
        <w:rPr>
          <w:rFonts w:asciiTheme="minorHAnsi" w:hAnsiTheme="minorHAnsi" w:cstheme="minorHAnsi"/>
          <w:sz w:val="22"/>
          <w:szCs w:val="22"/>
          <w:lang w:eastAsia="ja-JP"/>
        </w:rPr>
        <w:tab/>
      </w:r>
      <w:r w:rsidR="00221CD3" w:rsidRPr="00C313F7">
        <w:rPr>
          <w:rFonts w:asciiTheme="minorHAnsi" w:hAnsiTheme="minorHAnsi" w:cstheme="minorHAnsi"/>
          <w:sz w:val="22"/>
          <w:szCs w:val="22"/>
          <w:lang w:eastAsia="ja-JP"/>
        </w:rPr>
        <w:t xml:space="preserve">To improve women’s empowerment in the Pacific, national and local government buy-in to programming is essential. Integration of women’s economic empowerment into other priority issues such as climate change, agriculture, fisheries, coastal management, and migration provides useful strategic entry points. Integrated approaches can also build community support for women’s economic empowerment by </w:t>
      </w:r>
      <w:r w:rsidR="00C867AB" w:rsidRPr="00C313F7">
        <w:rPr>
          <w:rFonts w:asciiTheme="minorHAnsi" w:hAnsiTheme="minorHAnsi" w:cstheme="minorHAnsi"/>
          <w:sz w:val="22"/>
          <w:szCs w:val="22"/>
          <w:lang w:eastAsia="ja-JP"/>
        </w:rPr>
        <w:t>using</w:t>
      </w:r>
      <w:r w:rsidR="00221CD3" w:rsidRPr="00C313F7">
        <w:rPr>
          <w:rFonts w:asciiTheme="minorHAnsi" w:hAnsiTheme="minorHAnsi" w:cstheme="minorHAnsi"/>
          <w:sz w:val="22"/>
          <w:szCs w:val="22"/>
          <w:lang w:eastAsia="ja-JP"/>
        </w:rPr>
        <w:t xml:space="preserve"> a community development </w:t>
      </w:r>
      <w:r w:rsidR="00C867AB" w:rsidRPr="00C313F7">
        <w:rPr>
          <w:rFonts w:asciiTheme="minorHAnsi" w:hAnsiTheme="minorHAnsi" w:cstheme="minorHAnsi"/>
          <w:sz w:val="22"/>
          <w:szCs w:val="22"/>
          <w:lang w:eastAsia="ja-JP"/>
        </w:rPr>
        <w:t>approach</w:t>
      </w:r>
      <w:r w:rsidR="00221CD3" w:rsidRPr="00C313F7">
        <w:rPr>
          <w:rFonts w:asciiTheme="minorHAnsi" w:hAnsiTheme="minorHAnsi" w:cstheme="minorHAnsi"/>
          <w:sz w:val="22"/>
          <w:szCs w:val="22"/>
          <w:lang w:eastAsia="ja-JP"/>
        </w:rPr>
        <w:t xml:space="preserve"> </w:t>
      </w:r>
      <w:r w:rsidR="00C867AB" w:rsidRPr="00C313F7">
        <w:rPr>
          <w:rFonts w:asciiTheme="minorHAnsi" w:hAnsiTheme="minorHAnsi" w:cstheme="minorHAnsi"/>
          <w:sz w:val="22"/>
          <w:szCs w:val="22"/>
          <w:lang w:eastAsia="ja-JP"/>
        </w:rPr>
        <w:t xml:space="preserve">that </w:t>
      </w:r>
      <w:r w:rsidR="00221CD3" w:rsidRPr="00C313F7">
        <w:rPr>
          <w:rFonts w:asciiTheme="minorHAnsi" w:hAnsiTheme="minorHAnsi" w:cstheme="minorHAnsi"/>
          <w:sz w:val="22"/>
          <w:szCs w:val="22"/>
          <w:lang w:eastAsia="ja-JP"/>
        </w:rPr>
        <w:t>emphasis</w:t>
      </w:r>
      <w:r w:rsidR="00C867AB" w:rsidRPr="00C313F7">
        <w:rPr>
          <w:rFonts w:asciiTheme="minorHAnsi" w:hAnsiTheme="minorHAnsi" w:cstheme="minorHAnsi"/>
          <w:sz w:val="22"/>
          <w:szCs w:val="22"/>
          <w:lang w:eastAsia="ja-JP"/>
        </w:rPr>
        <w:t>es</w:t>
      </w:r>
      <w:r w:rsidR="00221CD3" w:rsidRPr="00C313F7">
        <w:rPr>
          <w:rFonts w:asciiTheme="minorHAnsi" w:hAnsiTheme="minorHAnsi" w:cstheme="minorHAnsi"/>
          <w:sz w:val="22"/>
          <w:szCs w:val="22"/>
          <w:lang w:eastAsia="ja-JP"/>
        </w:rPr>
        <w:t xml:space="preserve"> </w:t>
      </w:r>
      <w:r w:rsidR="00C867AB" w:rsidRPr="00C313F7">
        <w:rPr>
          <w:rFonts w:asciiTheme="minorHAnsi" w:hAnsiTheme="minorHAnsi" w:cstheme="minorHAnsi"/>
          <w:sz w:val="22"/>
          <w:szCs w:val="22"/>
          <w:lang w:eastAsia="ja-JP"/>
        </w:rPr>
        <w:t xml:space="preserve">the contribution of </w:t>
      </w:r>
      <w:r w:rsidR="00221CD3" w:rsidRPr="00C313F7">
        <w:rPr>
          <w:rFonts w:asciiTheme="minorHAnsi" w:hAnsiTheme="minorHAnsi" w:cstheme="minorHAnsi"/>
          <w:sz w:val="22"/>
          <w:szCs w:val="22"/>
          <w:lang w:eastAsia="ja-JP"/>
        </w:rPr>
        <w:t>women’s economic activities  to general levels of well-being.</w:t>
      </w:r>
      <w:r w:rsidR="008941E5">
        <w:rPr>
          <w:rStyle w:val="FootnoteReference"/>
          <w:rFonts w:asciiTheme="minorHAnsi" w:hAnsiTheme="minorHAnsi" w:cstheme="minorHAnsi"/>
          <w:sz w:val="22"/>
          <w:szCs w:val="22"/>
          <w:lang w:eastAsia="ja-JP"/>
        </w:rPr>
        <w:footnoteReference w:id="3"/>
      </w:r>
      <w:r w:rsidR="008941E5" w:rsidRPr="00C313F7">
        <w:rPr>
          <w:rFonts w:asciiTheme="minorHAnsi" w:hAnsiTheme="minorHAnsi" w:cstheme="minorHAnsi"/>
          <w:sz w:val="22"/>
          <w:szCs w:val="22"/>
          <w:lang w:eastAsia="ja-JP"/>
        </w:rPr>
        <w:t xml:space="preserve"> </w:t>
      </w:r>
      <w:r w:rsidR="00221CD3" w:rsidRPr="00C313F7">
        <w:rPr>
          <w:rFonts w:asciiTheme="minorHAnsi" w:hAnsiTheme="minorHAnsi" w:cstheme="minorHAnsi"/>
          <w:sz w:val="22"/>
          <w:szCs w:val="22"/>
          <w:lang w:eastAsia="ja-JP"/>
        </w:rPr>
        <w:t xml:space="preserve">This design process has revealed that improving gender equality across the Pacific will require detailed programming to support the rights of girls and </w:t>
      </w:r>
      <w:r w:rsidRPr="00C313F7">
        <w:rPr>
          <w:rFonts w:asciiTheme="minorHAnsi" w:hAnsiTheme="minorHAnsi" w:cstheme="minorHAnsi"/>
          <w:sz w:val="22"/>
          <w:szCs w:val="22"/>
          <w:lang w:eastAsia="ja-JP"/>
        </w:rPr>
        <w:t>women and</w:t>
      </w:r>
      <w:r w:rsidR="00221CD3" w:rsidRPr="00C313F7">
        <w:rPr>
          <w:rFonts w:asciiTheme="minorHAnsi" w:hAnsiTheme="minorHAnsi" w:cstheme="minorHAnsi"/>
          <w:sz w:val="22"/>
          <w:szCs w:val="22"/>
          <w:lang w:eastAsia="ja-JP"/>
        </w:rPr>
        <w:t xml:space="preserve"> improve their overall wellbeing across the Pacific. </w:t>
      </w:r>
    </w:p>
    <w:p w14:paraId="1E5EDC57" w14:textId="77777777" w:rsidR="00F66C54" w:rsidRPr="00C313F7" w:rsidRDefault="00F66C54" w:rsidP="00C313F7">
      <w:pPr>
        <w:pStyle w:val="Default"/>
        <w:jc w:val="both"/>
        <w:rPr>
          <w:rFonts w:cstheme="minorHAnsi"/>
          <w:lang w:eastAsia="ja-JP"/>
        </w:rPr>
      </w:pPr>
    </w:p>
    <w:p w14:paraId="5DE0B56E" w14:textId="0830933F" w:rsidR="000110F6" w:rsidRPr="00C313F7" w:rsidRDefault="000110F6" w:rsidP="00C313F7">
      <w:pPr>
        <w:pStyle w:val="Default"/>
        <w:jc w:val="both"/>
        <w:rPr>
          <w:rFonts w:cstheme="minorHAnsi"/>
          <w:lang w:eastAsia="ja-JP"/>
        </w:rPr>
      </w:pPr>
      <w:r w:rsidRPr="00C313F7">
        <w:rPr>
          <w:rFonts w:asciiTheme="minorHAnsi" w:hAnsiTheme="minorHAnsi" w:cstheme="minorHAnsi"/>
          <w:sz w:val="22"/>
          <w:szCs w:val="22"/>
          <w:lang w:eastAsia="ja-JP"/>
        </w:rPr>
        <w:t xml:space="preserve">2.8 </w:t>
      </w:r>
      <w:r w:rsidRPr="00C313F7">
        <w:rPr>
          <w:rFonts w:asciiTheme="minorHAnsi" w:hAnsiTheme="minorHAnsi" w:cstheme="minorHAnsi"/>
          <w:sz w:val="22"/>
          <w:szCs w:val="22"/>
          <w:lang w:eastAsia="ja-JP"/>
        </w:rPr>
        <w:tab/>
        <w:t xml:space="preserve">Climate change is one of the most urgent issues affecting Pacific Island Countries that is a real and growing threat to livelihoods, cultures, </w:t>
      </w:r>
      <w:proofErr w:type="gramStart"/>
      <w:r w:rsidRPr="00C313F7">
        <w:rPr>
          <w:rFonts w:asciiTheme="minorHAnsi" w:hAnsiTheme="minorHAnsi" w:cstheme="minorHAnsi"/>
          <w:sz w:val="22"/>
          <w:szCs w:val="22"/>
          <w:lang w:eastAsia="ja-JP"/>
        </w:rPr>
        <w:t>ecosystems</w:t>
      </w:r>
      <w:proofErr w:type="gramEnd"/>
      <w:r w:rsidRPr="00C313F7">
        <w:rPr>
          <w:rFonts w:asciiTheme="minorHAnsi" w:hAnsiTheme="minorHAnsi" w:cstheme="minorHAnsi"/>
          <w:sz w:val="22"/>
          <w:szCs w:val="22"/>
          <w:lang w:eastAsia="ja-JP"/>
        </w:rPr>
        <w:t xml:space="preserve"> and lives in the Pacific region. Women, girls, boys, and men are differently affected and have different abilities, </w:t>
      </w:r>
      <w:proofErr w:type="gramStart"/>
      <w:r w:rsidRPr="00C313F7">
        <w:rPr>
          <w:rFonts w:asciiTheme="minorHAnsi" w:hAnsiTheme="minorHAnsi" w:cstheme="minorHAnsi"/>
          <w:sz w:val="22"/>
          <w:szCs w:val="22"/>
          <w:lang w:eastAsia="ja-JP"/>
        </w:rPr>
        <w:t>skills</w:t>
      </w:r>
      <w:proofErr w:type="gramEnd"/>
      <w:r w:rsidRPr="00C313F7">
        <w:rPr>
          <w:rFonts w:asciiTheme="minorHAnsi" w:hAnsiTheme="minorHAnsi" w:cstheme="minorHAnsi"/>
          <w:sz w:val="22"/>
          <w:szCs w:val="22"/>
          <w:lang w:eastAsia="ja-JP"/>
        </w:rPr>
        <w:t xml:space="preserve"> and knowledge to contribute. Increasing women’s perspectives and voice will strengthen the outcomes of climate change and disaster risk management initiatives.</w:t>
      </w:r>
      <w:r w:rsidR="008941E5">
        <w:rPr>
          <w:rStyle w:val="FootnoteReference"/>
          <w:rFonts w:asciiTheme="minorHAnsi" w:hAnsiTheme="minorHAnsi" w:cstheme="minorHAnsi"/>
          <w:sz w:val="22"/>
          <w:szCs w:val="22"/>
          <w:lang w:eastAsia="ja-JP"/>
        </w:rPr>
        <w:footnoteReference w:id="4"/>
      </w:r>
      <w:r w:rsidRPr="00C313F7">
        <w:rPr>
          <w:rFonts w:asciiTheme="minorHAnsi" w:hAnsiTheme="minorHAnsi" w:cstheme="minorHAnsi"/>
          <w:sz w:val="22"/>
          <w:szCs w:val="22"/>
          <w:lang w:eastAsia="ja-JP"/>
        </w:rPr>
        <w:t xml:space="preserve"> Integrating climate change and disaster resilience is key to building a resilient, stable and prosperous region – and not incorporating the impacts of climate change will undermine the effectiveness of any investment. </w:t>
      </w:r>
    </w:p>
    <w:p w14:paraId="512D2EF6" w14:textId="77777777" w:rsidR="00224E00" w:rsidRPr="00C313F7" w:rsidRDefault="00224E00" w:rsidP="00D61036">
      <w:pPr>
        <w:pStyle w:val="Default"/>
        <w:jc w:val="both"/>
        <w:rPr>
          <w:rFonts w:asciiTheme="minorHAnsi" w:hAnsiTheme="minorHAnsi" w:cstheme="minorHAnsi"/>
          <w:sz w:val="22"/>
          <w:szCs w:val="22"/>
          <w:lang w:eastAsia="ja-JP"/>
        </w:rPr>
      </w:pPr>
    </w:p>
    <w:p w14:paraId="4A7BBE21" w14:textId="3828896A" w:rsidR="004102EF" w:rsidRDefault="00224E00" w:rsidP="00742526">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2.</w:t>
      </w:r>
      <w:r w:rsidR="000110F6" w:rsidRPr="00C313F7">
        <w:rPr>
          <w:rFonts w:asciiTheme="minorHAnsi" w:hAnsiTheme="minorHAnsi" w:cstheme="minorHAnsi"/>
          <w:sz w:val="22"/>
          <w:szCs w:val="22"/>
          <w:lang w:eastAsia="ja-JP"/>
        </w:rPr>
        <w:t>9</w:t>
      </w:r>
      <w:r w:rsidRPr="00C313F7">
        <w:rPr>
          <w:rFonts w:asciiTheme="minorHAnsi" w:hAnsiTheme="minorHAnsi" w:cstheme="minorHAnsi"/>
          <w:sz w:val="22"/>
          <w:szCs w:val="22"/>
          <w:lang w:eastAsia="ja-JP"/>
        </w:rPr>
        <w:tab/>
      </w:r>
      <w:r w:rsidR="008019FB" w:rsidRPr="00C313F7">
        <w:rPr>
          <w:rFonts w:asciiTheme="minorHAnsi" w:hAnsiTheme="minorHAnsi" w:cstheme="minorHAnsi"/>
          <w:sz w:val="22"/>
          <w:szCs w:val="22"/>
          <w:lang w:eastAsia="ja-JP"/>
        </w:rPr>
        <w:t>T</w:t>
      </w:r>
      <w:r w:rsidR="0091695A" w:rsidRPr="00C313F7">
        <w:rPr>
          <w:rFonts w:asciiTheme="minorHAnsi" w:hAnsiTheme="minorHAnsi" w:cstheme="minorHAnsi"/>
          <w:sz w:val="22"/>
          <w:szCs w:val="22"/>
          <w:lang w:eastAsia="ja-JP"/>
        </w:rPr>
        <w:t>he</w:t>
      </w:r>
      <w:r w:rsidR="008A4DD8" w:rsidRPr="00C313F7">
        <w:rPr>
          <w:rFonts w:asciiTheme="minorHAnsi" w:hAnsiTheme="minorHAnsi" w:cstheme="minorHAnsi"/>
          <w:sz w:val="22"/>
          <w:szCs w:val="22"/>
          <w:lang w:eastAsia="ja-JP"/>
        </w:rPr>
        <w:t xml:space="preserve"> COVID-19 crisis has highlighted fundamental instability and inequality </w:t>
      </w:r>
      <w:r w:rsidR="00DE19E7" w:rsidRPr="00C313F7">
        <w:rPr>
          <w:rFonts w:asciiTheme="minorHAnsi" w:hAnsiTheme="minorHAnsi" w:cstheme="minorHAnsi"/>
          <w:sz w:val="22"/>
          <w:szCs w:val="22"/>
          <w:lang w:eastAsia="ja-JP"/>
        </w:rPr>
        <w:t>in the Pacific</w:t>
      </w:r>
      <w:r w:rsidR="0091695A" w:rsidRPr="00C313F7">
        <w:rPr>
          <w:rFonts w:asciiTheme="minorHAnsi" w:hAnsiTheme="minorHAnsi" w:cstheme="minorHAnsi"/>
          <w:sz w:val="22"/>
          <w:szCs w:val="22"/>
          <w:lang w:eastAsia="ja-JP"/>
        </w:rPr>
        <w:t>.</w:t>
      </w:r>
      <w:r w:rsidR="0068297E" w:rsidRPr="00C313F7">
        <w:rPr>
          <w:rFonts w:asciiTheme="minorHAnsi" w:hAnsiTheme="minorHAnsi" w:cstheme="minorHAnsi"/>
          <w:sz w:val="22"/>
          <w:szCs w:val="22"/>
          <w:lang w:eastAsia="ja-JP"/>
        </w:rPr>
        <w:t xml:space="preserve"> </w:t>
      </w:r>
      <w:r w:rsidR="004102EF" w:rsidRPr="00C313F7">
        <w:rPr>
          <w:rFonts w:asciiTheme="minorHAnsi" w:hAnsiTheme="minorHAnsi" w:cstheme="minorHAnsi"/>
          <w:sz w:val="22"/>
          <w:szCs w:val="22"/>
          <w:lang w:eastAsia="ja-JP"/>
        </w:rPr>
        <w:t>Health pandemics have specific and severe impacts on the lives of women and girls. Since the COVID-19 outbreak first had reported cases, the gendered impacts began being documented in the Pacific and across the world.</w:t>
      </w:r>
      <w:r w:rsidR="008C79A3" w:rsidRPr="00C313F7">
        <w:rPr>
          <w:rFonts w:asciiTheme="minorHAnsi" w:hAnsiTheme="minorHAnsi" w:cstheme="minorHAnsi"/>
          <w:sz w:val="22"/>
          <w:szCs w:val="22"/>
          <w:lang w:eastAsia="ja-JP"/>
        </w:rPr>
        <w:t xml:space="preserve"> </w:t>
      </w:r>
      <w:r w:rsidR="004102EF" w:rsidRPr="00C313F7">
        <w:rPr>
          <w:rFonts w:asciiTheme="minorHAnsi" w:hAnsiTheme="minorHAnsi" w:cstheme="minorHAnsi"/>
          <w:sz w:val="22"/>
          <w:szCs w:val="22"/>
          <w:lang w:eastAsia="ja-JP"/>
        </w:rPr>
        <w:t xml:space="preserve">Women and girls are disproportionately impacted by crises. Existing gender inequalities are exacerbated during a crisis, with the result that women and girls face even higher rates of violence, sexual abuse and control from their husbands, </w:t>
      </w:r>
      <w:proofErr w:type="gramStart"/>
      <w:r w:rsidR="004102EF" w:rsidRPr="00C313F7">
        <w:rPr>
          <w:rFonts w:asciiTheme="minorHAnsi" w:hAnsiTheme="minorHAnsi" w:cstheme="minorHAnsi"/>
          <w:sz w:val="22"/>
          <w:szCs w:val="22"/>
          <w:lang w:eastAsia="ja-JP"/>
        </w:rPr>
        <w:t>partners</w:t>
      </w:r>
      <w:proofErr w:type="gramEnd"/>
      <w:r w:rsidR="004102EF" w:rsidRPr="00C313F7">
        <w:rPr>
          <w:rFonts w:asciiTheme="minorHAnsi" w:hAnsiTheme="minorHAnsi" w:cstheme="minorHAnsi"/>
          <w:sz w:val="22"/>
          <w:szCs w:val="22"/>
          <w:lang w:eastAsia="ja-JP"/>
        </w:rPr>
        <w:t xml:space="preserve"> and families. Women are expected to undertake more unpaid domestic work, are less able to access essential health services and are more vulnerable to economic hardship.</w:t>
      </w:r>
      <w:r w:rsidR="00AC68CB" w:rsidRPr="00C313F7">
        <w:rPr>
          <w:rFonts w:asciiTheme="minorHAnsi" w:hAnsiTheme="minorHAnsi" w:cstheme="minorHAnsi"/>
          <w:sz w:val="22"/>
          <w:szCs w:val="22"/>
          <w:lang w:eastAsia="ja-JP"/>
        </w:rPr>
        <w:t xml:space="preserve"> </w:t>
      </w:r>
    </w:p>
    <w:p w14:paraId="4D88F7D5" w14:textId="77777777" w:rsidR="00F66C54" w:rsidRPr="00C313F7" w:rsidRDefault="00F66C54" w:rsidP="00742526">
      <w:pPr>
        <w:pStyle w:val="Default"/>
        <w:jc w:val="both"/>
        <w:rPr>
          <w:rFonts w:asciiTheme="minorHAnsi" w:hAnsiTheme="minorHAnsi" w:cstheme="minorHAnsi"/>
          <w:sz w:val="22"/>
          <w:szCs w:val="22"/>
          <w:lang w:eastAsia="ja-JP"/>
        </w:rPr>
      </w:pPr>
    </w:p>
    <w:p w14:paraId="0839E649" w14:textId="72881ABA" w:rsidR="004102EF" w:rsidRDefault="00BC3E17"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2.</w:t>
      </w:r>
      <w:r w:rsidR="000110F6" w:rsidRPr="00C313F7">
        <w:rPr>
          <w:rFonts w:asciiTheme="minorHAnsi" w:hAnsiTheme="minorHAnsi" w:cstheme="minorHAnsi"/>
          <w:sz w:val="22"/>
          <w:szCs w:val="22"/>
          <w:lang w:eastAsia="ja-JP"/>
        </w:rPr>
        <w:t>10</w:t>
      </w:r>
      <w:r w:rsidRPr="00C313F7">
        <w:rPr>
          <w:rFonts w:asciiTheme="minorHAnsi" w:hAnsiTheme="minorHAnsi" w:cstheme="minorHAnsi"/>
          <w:sz w:val="22"/>
          <w:szCs w:val="22"/>
          <w:lang w:eastAsia="ja-JP"/>
        </w:rPr>
        <w:tab/>
      </w:r>
      <w:r w:rsidR="004102EF" w:rsidRPr="00C313F7">
        <w:rPr>
          <w:rFonts w:asciiTheme="minorHAnsi" w:hAnsiTheme="minorHAnsi" w:cstheme="minorHAnsi"/>
          <w:sz w:val="22"/>
          <w:szCs w:val="22"/>
          <w:lang w:eastAsia="ja-JP"/>
        </w:rPr>
        <w:t>Employing a gender lens highlights the differing impacts of COVID-19 on women, girls, men and boys, and other, marginalised groups in the community. Crises such as disease outbreaks heighten the vulnerabilities of different groups, accentuating inequalities and leading to the neglect of the needs and rights of the most marginalised. This includes women and girls living in poverty, migrants, people with disabilities, the elderly and people of diverse sexual orientation, gender identity and expression (SOGIE). Recognising the impact of the COVID-19 outbreak on marginalised groups is vital to ensure an effective health response which doesn’t further endanger and exclude already vulnerable groups.</w:t>
      </w:r>
    </w:p>
    <w:p w14:paraId="65BB4A30" w14:textId="77777777" w:rsidR="00F66C54" w:rsidRPr="00C313F7" w:rsidRDefault="00F66C54" w:rsidP="00C313F7">
      <w:pPr>
        <w:pStyle w:val="Default"/>
        <w:jc w:val="both"/>
        <w:rPr>
          <w:rFonts w:cstheme="minorHAnsi"/>
          <w:lang w:eastAsia="ja-JP"/>
        </w:rPr>
      </w:pPr>
    </w:p>
    <w:p w14:paraId="7DD47C83" w14:textId="740FE56A" w:rsidR="00173A38" w:rsidRPr="00C64817" w:rsidRDefault="009A2657" w:rsidP="00BC3E17">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2.1</w:t>
      </w:r>
      <w:r w:rsidR="00BC3E17" w:rsidRPr="00C313F7">
        <w:rPr>
          <w:rFonts w:asciiTheme="minorHAnsi" w:hAnsiTheme="minorHAnsi" w:cstheme="minorHAnsi"/>
          <w:sz w:val="22"/>
          <w:szCs w:val="22"/>
          <w:lang w:eastAsia="ja-JP"/>
        </w:rPr>
        <w:t>1</w:t>
      </w:r>
      <w:r w:rsidRPr="00C313F7">
        <w:rPr>
          <w:rFonts w:asciiTheme="minorHAnsi" w:hAnsiTheme="minorHAnsi" w:cstheme="minorHAnsi"/>
          <w:sz w:val="22"/>
          <w:szCs w:val="22"/>
          <w:lang w:eastAsia="ja-JP"/>
        </w:rPr>
        <w:tab/>
      </w:r>
      <w:r w:rsidR="00930A47" w:rsidRPr="00C313F7">
        <w:rPr>
          <w:rFonts w:asciiTheme="minorHAnsi" w:hAnsiTheme="minorHAnsi" w:cstheme="minorHAnsi"/>
          <w:sz w:val="22"/>
          <w:szCs w:val="22"/>
          <w:lang w:eastAsia="ja-JP"/>
        </w:rPr>
        <w:t xml:space="preserve">Preventative measures governments have taken to keep communities safe, such as lockdowns, are not safe for everyone. </w:t>
      </w:r>
      <w:r w:rsidR="0084144F" w:rsidRPr="00C313F7">
        <w:rPr>
          <w:rFonts w:asciiTheme="minorHAnsi" w:hAnsiTheme="minorHAnsi" w:cstheme="minorHAnsi"/>
          <w:sz w:val="22"/>
          <w:szCs w:val="22"/>
          <w:lang w:eastAsia="ja-JP"/>
        </w:rPr>
        <w:t xml:space="preserve">For women living in abusive and violent relationships, enforced social isolation and quarantine </w:t>
      </w:r>
      <w:r w:rsidR="00100398" w:rsidRPr="00C313F7">
        <w:rPr>
          <w:rFonts w:asciiTheme="minorHAnsi" w:hAnsiTheme="minorHAnsi" w:cstheme="minorHAnsi"/>
          <w:sz w:val="22"/>
          <w:szCs w:val="22"/>
          <w:lang w:eastAsia="ja-JP"/>
        </w:rPr>
        <w:t xml:space="preserve">has been </w:t>
      </w:r>
      <w:r w:rsidR="0084144F" w:rsidRPr="00C313F7">
        <w:rPr>
          <w:rFonts w:asciiTheme="minorHAnsi" w:hAnsiTheme="minorHAnsi" w:cstheme="minorHAnsi"/>
          <w:sz w:val="22"/>
          <w:szCs w:val="22"/>
          <w:lang w:eastAsia="ja-JP"/>
        </w:rPr>
        <w:t>particularly dangerous as they are confined with abusive partners or family members – for </w:t>
      </w:r>
      <w:hyperlink r:id="rId8" w:history="1">
        <w:r w:rsidR="0084144F" w:rsidRPr="00C313F7">
          <w:rPr>
            <w:rFonts w:asciiTheme="minorHAnsi" w:hAnsiTheme="minorHAnsi" w:cstheme="minorHAnsi"/>
            <w:sz w:val="22"/>
            <w:szCs w:val="22"/>
            <w:lang w:eastAsia="ja-JP"/>
          </w:rPr>
          <w:t>women and girls with disabilities</w:t>
        </w:r>
      </w:hyperlink>
      <w:r w:rsidR="0084144F" w:rsidRPr="00C313F7">
        <w:rPr>
          <w:rFonts w:asciiTheme="minorHAnsi" w:hAnsiTheme="minorHAnsi" w:cstheme="minorHAnsi"/>
          <w:sz w:val="22"/>
          <w:szCs w:val="22"/>
          <w:lang w:eastAsia="ja-JP"/>
        </w:rPr>
        <w:t> the risks of violence in lockdown situations is even further exacerbated. </w:t>
      </w:r>
      <w:r w:rsidR="00543D24" w:rsidRPr="00C313F7">
        <w:rPr>
          <w:rFonts w:asciiTheme="minorHAnsi" w:hAnsiTheme="minorHAnsi" w:cstheme="minorHAnsi"/>
          <w:sz w:val="22"/>
          <w:szCs w:val="22"/>
          <w:lang w:eastAsia="ja-JP"/>
        </w:rPr>
        <w:t xml:space="preserve">Women’s unpaid domestic labour </w:t>
      </w:r>
      <w:r w:rsidR="00A9084F" w:rsidRPr="00C313F7">
        <w:rPr>
          <w:rFonts w:asciiTheme="minorHAnsi" w:hAnsiTheme="minorHAnsi" w:cstheme="minorHAnsi"/>
          <w:sz w:val="22"/>
          <w:szCs w:val="22"/>
          <w:lang w:eastAsia="ja-JP"/>
        </w:rPr>
        <w:t>and care burden also has</w:t>
      </w:r>
      <w:r w:rsidR="00543D24" w:rsidRPr="00C313F7">
        <w:rPr>
          <w:rFonts w:asciiTheme="minorHAnsi" w:hAnsiTheme="minorHAnsi" w:cstheme="minorHAnsi"/>
          <w:sz w:val="22"/>
          <w:szCs w:val="22"/>
          <w:lang w:eastAsia="ja-JP"/>
        </w:rPr>
        <w:t xml:space="preserve"> increased </w:t>
      </w:r>
      <w:proofErr w:type="gramStart"/>
      <w:r w:rsidR="00543D24" w:rsidRPr="00C313F7">
        <w:rPr>
          <w:rFonts w:asciiTheme="minorHAnsi" w:hAnsiTheme="minorHAnsi" w:cstheme="minorHAnsi"/>
          <w:sz w:val="22"/>
          <w:szCs w:val="22"/>
          <w:lang w:eastAsia="ja-JP"/>
        </w:rPr>
        <w:t>as a result of</w:t>
      </w:r>
      <w:proofErr w:type="gramEnd"/>
      <w:r w:rsidR="00543D24" w:rsidRPr="00C313F7">
        <w:rPr>
          <w:rFonts w:asciiTheme="minorHAnsi" w:hAnsiTheme="minorHAnsi" w:cstheme="minorHAnsi"/>
          <w:sz w:val="22"/>
          <w:szCs w:val="22"/>
          <w:lang w:eastAsia="ja-JP"/>
        </w:rPr>
        <w:t xml:space="preserve"> COVID-19</w:t>
      </w:r>
      <w:r w:rsidR="002B01E7" w:rsidRPr="00C313F7">
        <w:rPr>
          <w:rFonts w:asciiTheme="minorHAnsi" w:hAnsiTheme="minorHAnsi" w:cstheme="minorHAnsi"/>
          <w:sz w:val="22"/>
          <w:szCs w:val="22"/>
          <w:lang w:eastAsia="ja-JP"/>
        </w:rPr>
        <w:t xml:space="preserve"> further inhibiting the </w:t>
      </w:r>
      <w:r w:rsidR="0058074C" w:rsidRPr="00C313F7">
        <w:rPr>
          <w:rFonts w:asciiTheme="minorHAnsi" w:hAnsiTheme="minorHAnsi" w:cstheme="minorHAnsi"/>
          <w:sz w:val="22"/>
          <w:szCs w:val="22"/>
          <w:lang w:eastAsia="ja-JP"/>
        </w:rPr>
        <w:t>participation of women</w:t>
      </w:r>
      <w:r w:rsidR="006007B3" w:rsidRPr="00C313F7">
        <w:rPr>
          <w:rFonts w:asciiTheme="minorHAnsi" w:hAnsiTheme="minorHAnsi" w:cstheme="minorHAnsi"/>
          <w:sz w:val="22"/>
          <w:szCs w:val="22"/>
          <w:lang w:eastAsia="ja-JP"/>
        </w:rPr>
        <w:t xml:space="preserve"> in</w:t>
      </w:r>
      <w:r w:rsidR="00B4127F" w:rsidRPr="00C313F7">
        <w:rPr>
          <w:rFonts w:asciiTheme="minorHAnsi" w:hAnsiTheme="minorHAnsi" w:cstheme="minorHAnsi"/>
          <w:sz w:val="22"/>
          <w:szCs w:val="22"/>
          <w:lang w:eastAsia="ja-JP"/>
        </w:rPr>
        <w:t xml:space="preserve"> paid employment</w:t>
      </w:r>
      <w:r w:rsidR="00C867AB" w:rsidRPr="00C313F7">
        <w:rPr>
          <w:rFonts w:asciiTheme="minorHAnsi" w:hAnsiTheme="minorHAnsi" w:cstheme="minorHAnsi"/>
          <w:sz w:val="22"/>
          <w:szCs w:val="22"/>
          <w:lang w:eastAsia="ja-JP"/>
        </w:rPr>
        <w:t xml:space="preserve"> and limiting their financial recovery</w:t>
      </w:r>
      <w:r w:rsidR="00B4127F" w:rsidRPr="00C313F7">
        <w:rPr>
          <w:rFonts w:asciiTheme="minorHAnsi" w:hAnsiTheme="minorHAnsi" w:cstheme="minorHAnsi"/>
          <w:sz w:val="22"/>
          <w:szCs w:val="22"/>
          <w:lang w:eastAsia="ja-JP"/>
        </w:rPr>
        <w:t xml:space="preserve">. </w:t>
      </w:r>
      <w:r w:rsidR="00E16034" w:rsidRPr="00C313F7">
        <w:rPr>
          <w:rFonts w:asciiTheme="minorHAnsi" w:hAnsiTheme="minorHAnsi" w:cstheme="minorHAnsi"/>
          <w:sz w:val="22"/>
          <w:szCs w:val="22"/>
          <w:lang w:eastAsia="ja-JP"/>
        </w:rPr>
        <w:t xml:space="preserve">At the same time, </w:t>
      </w:r>
      <w:r w:rsidR="00433CDE" w:rsidRPr="00C313F7">
        <w:rPr>
          <w:rFonts w:asciiTheme="minorHAnsi" w:hAnsiTheme="minorHAnsi" w:cstheme="minorHAnsi"/>
          <w:sz w:val="22"/>
          <w:szCs w:val="22"/>
          <w:lang w:eastAsia="ja-JP"/>
        </w:rPr>
        <w:t xml:space="preserve">COVID-19 has </w:t>
      </w:r>
      <w:r w:rsidR="002201BA" w:rsidRPr="00C313F7">
        <w:rPr>
          <w:rFonts w:asciiTheme="minorHAnsi" w:hAnsiTheme="minorHAnsi" w:cstheme="minorHAnsi"/>
          <w:sz w:val="22"/>
          <w:szCs w:val="22"/>
          <w:lang w:eastAsia="ja-JP"/>
        </w:rPr>
        <w:t xml:space="preserve">forced </w:t>
      </w:r>
      <w:r w:rsidR="00AD1DD7" w:rsidRPr="00C313F7">
        <w:rPr>
          <w:rFonts w:asciiTheme="minorHAnsi" w:hAnsiTheme="minorHAnsi" w:cstheme="minorHAnsi"/>
          <w:sz w:val="22"/>
          <w:szCs w:val="22"/>
          <w:lang w:eastAsia="ja-JP"/>
        </w:rPr>
        <w:t>some p</w:t>
      </w:r>
      <w:r w:rsidR="002201BA" w:rsidRPr="00C313F7">
        <w:rPr>
          <w:rFonts w:asciiTheme="minorHAnsi" w:hAnsiTheme="minorHAnsi" w:cstheme="minorHAnsi"/>
          <w:sz w:val="22"/>
          <w:szCs w:val="22"/>
          <w:lang w:eastAsia="ja-JP"/>
        </w:rPr>
        <w:t>ositive</w:t>
      </w:r>
      <w:r w:rsidR="008A4DD8" w:rsidRPr="00C313F7">
        <w:rPr>
          <w:rFonts w:asciiTheme="minorHAnsi" w:hAnsiTheme="minorHAnsi" w:cstheme="minorHAnsi"/>
          <w:sz w:val="22"/>
          <w:szCs w:val="22"/>
          <w:lang w:eastAsia="ja-JP"/>
        </w:rPr>
        <w:t xml:space="preserve"> transformation, where the boundaries of what is possible can shift and expand</w:t>
      </w:r>
      <w:r w:rsidR="007104EC" w:rsidRPr="00C313F7">
        <w:rPr>
          <w:rFonts w:asciiTheme="minorHAnsi" w:hAnsiTheme="minorHAnsi" w:cstheme="minorHAnsi"/>
          <w:sz w:val="22"/>
          <w:szCs w:val="22"/>
          <w:lang w:eastAsia="ja-JP"/>
        </w:rPr>
        <w:t>,</w:t>
      </w:r>
      <w:r w:rsidR="008A13B1" w:rsidRPr="00C313F7">
        <w:rPr>
          <w:rFonts w:asciiTheme="minorHAnsi" w:hAnsiTheme="minorHAnsi" w:cstheme="minorHAnsi"/>
          <w:sz w:val="22"/>
          <w:szCs w:val="22"/>
          <w:lang w:eastAsia="ja-JP"/>
        </w:rPr>
        <w:t xml:space="preserve"> </w:t>
      </w:r>
      <w:r w:rsidR="008A13B1" w:rsidRPr="008941E5">
        <w:rPr>
          <w:rFonts w:asciiTheme="minorHAnsi" w:hAnsiTheme="minorHAnsi" w:cstheme="minorHAnsi"/>
          <w:sz w:val="22"/>
          <w:szCs w:val="22"/>
          <w:lang w:eastAsia="ja-JP"/>
        </w:rPr>
        <w:t>with</w:t>
      </w:r>
      <w:r w:rsidR="00A70CB8" w:rsidRPr="008941E5">
        <w:rPr>
          <w:rFonts w:asciiTheme="minorHAnsi" w:hAnsiTheme="minorHAnsi" w:cstheme="minorHAnsi"/>
          <w:sz w:val="22"/>
          <w:szCs w:val="22"/>
          <w:lang w:eastAsia="ja-JP"/>
        </w:rPr>
        <w:t xml:space="preserve"> the women’s movement </w:t>
      </w:r>
      <w:r w:rsidR="008A13B1" w:rsidRPr="008941E5">
        <w:rPr>
          <w:rFonts w:asciiTheme="minorHAnsi" w:hAnsiTheme="minorHAnsi" w:cstheme="minorHAnsi"/>
          <w:sz w:val="22"/>
          <w:szCs w:val="22"/>
          <w:lang w:eastAsia="ja-JP"/>
        </w:rPr>
        <w:t>playing a</w:t>
      </w:r>
      <w:r w:rsidR="003608CC" w:rsidRPr="008941E5">
        <w:rPr>
          <w:rFonts w:asciiTheme="minorHAnsi" w:hAnsiTheme="minorHAnsi" w:cstheme="minorHAnsi"/>
          <w:sz w:val="22"/>
          <w:szCs w:val="22"/>
          <w:lang w:eastAsia="ja-JP"/>
        </w:rPr>
        <w:t>n early,</w:t>
      </w:r>
      <w:r w:rsidR="008A13B1" w:rsidRPr="008941E5">
        <w:rPr>
          <w:rFonts w:asciiTheme="minorHAnsi" w:hAnsiTheme="minorHAnsi" w:cstheme="minorHAnsi"/>
          <w:sz w:val="22"/>
          <w:szCs w:val="22"/>
          <w:lang w:eastAsia="ja-JP"/>
        </w:rPr>
        <w:t xml:space="preserve"> leading role </w:t>
      </w:r>
      <w:r w:rsidR="00F65D08" w:rsidRPr="008941E5">
        <w:rPr>
          <w:rFonts w:asciiTheme="minorHAnsi" w:hAnsiTheme="minorHAnsi" w:cstheme="minorHAnsi"/>
          <w:sz w:val="22"/>
          <w:szCs w:val="22"/>
          <w:lang w:eastAsia="ja-JP"/>
        </w:rPr>
        <w:t>to</w:t>
      </w:r>
      <w:r w:rsidR="00A70CB8" w:rsidRPr="008941E5">
        <w:rPr>
          <w:rFonts w:asciiTheme="minorHAnsi" w:hAnsiTheme="minorHAnsi" w:cstheme="minorHAnsi"/>
          <w:sz w:val="22"/>
          <w:szCs w:val="22"/>
          <w:lang w:eastAsia="ja-JP"/>
        </w:rPr>
        <w:t xml:space="preserve"> </w:t>
      </w:r>
      <w:r w:rsidR="003608CC" w:rsidRPr="008941E5">
        <w:rPr>
          <w:rFonts w:asciiTheme="minorHAnsi" w:hAnsiTheme="minorHAnsi" w:cstheme="minorHAnsi"/>
          <w:sz w:val="22"/>
          <w:szCs w:val="22"/>
          <w:lang w:eastAsia="ja-JP"/>
        </w:rPr>
        <w:t>l</w:t>
      </w:r>
      <w:r w:rsidR="00A70CB8" w:rsidRPr="008941E5">
        <w:rPr>
          <w:rFonts w:asciiTheme="minorHAnsi" w:hAnsiTheme="minorHAnsi" w:cstheme="minorHAnsi"/>
          <w:sz w:val="22"/>
          <w:szCs w:val="22"/>
          <w:lang w:eastAsia="ja-JP"/>
        </w:rPr>
        <w:t>essen the impact on women and girls</w:t>
      </w:r>
      <w:r w:rsidR="00692D27" w:rsidRPr="008941E5">
        <w:rPr>
          <w:rFonts w:asciiTheme="minorHAnsi" w:hAnsiTheme="minorHAnsi" w:cstheme="minorHAnsi"/>
          <w:sz w:val="22"/>
          <w:szCs w:val="22"/>
          <w:lang w:eastAsia="ja-JP"/>
        </w:rPr>
        <w:t>.</w:t>
      </w:r>
      <w:r w:rsidR="00ED0679" w:rsidRPr="00FD41D2">
        <w:rPr>
          <w:rFonts w:cstheme="minorHAnsi"/>
          <w:lang w:eastAsia="ja-JP"/>
        </w:rPr>
        <w:t xml:space="preserve"> </w:t>
      </w:r>
    </w:p>
    <w:p w14:paraId="439207F1" w14:textId="5BB37729" w:rsidR="00660FAB" w:rsidRPr="00C313F7" w:rsidRDefault="00660FAB" w:rsidP="00C313F7">
      <w:pPr>
        <w:pStyle w:val="Default"/>
        <w:jc w:val="both"/>
        <w:rPr>
          <w:rFonts w:cstheme="minorHAnsi"/>
          <w:lang w:eastAsia="ja-JP"/>
        </w:rPr>
      </w:pPr>
    </w:p>
    <w:p w14:paraId="54478E9A" w14:textId="1F48DE99" w:rsidR="00660FAB" w:rsidRPr="00C64817" w:rsidRDefault="00660FAB" w:rsidP="00C313F7">
      <w:pPr>
        <w:pStyle w:val="Default"/>
        <w:jc w:val="both"/>
        <w:rPr>
          <w:rFonts w:asciiTheme="minorHAnsi" w:hAnsiTheme="minorHAnsi" w:cstheme="minorHAnsi"/>
          <w:sz w:val="22"/>
          <w:szCs w:val="22"/>
        </w:rPr>
      </w:pPr>
      <w:r w:rsidRPr="00C313F7">
        <w:rPr>
          <w:rFonts w:asciiTheme="minorHAnsi" w:hAnsiTheme="minorHAnsi" w:cstheme="minorHAnsi"/>
          <w:sz w:val="22"/>
          <w:szCs w:val="22"/>
          <w:lang w:eastAsia="ja-JP"/>
        </w:rPr>
        <w:t>2.1</w:t>
      </w:r>
      <w:r w:rsidR="000110F6" w:rsidRPr="00C313F7">
        <w:rPr>
          <w:rFonts w:asciiTheme="minorHAnsi" w:hAnsiTheme="minorHAnsi" w:cstheme="minorHAnsi"/>
          <w:sz w:val="22"/>
          <w:szCs w:val="22"/>
          <w:lang w:eastAsia="ja-JP"/>
        </w:rPr>
        <w:t>2</w:t>
      </w:r>
      <w:r w:rsidRPr="00C313F7">
        <w:rPr>
          <w:rFonts w:asciiTheme="minorHAnsi" w:hAnsiTheme="minorHAnsi" w:cstheme="minorHAnsi"/>
          <w:sz w:val="22"/>
          <w:szCs w:val="22"/>
          <w:lang w:eastAsia="ja-JP"/>
        </w:rPr>
        <w:t xml:space="preserve"> Women and girls with disabilities experience multiple disadvantages resulting from the interplay between poverty and discrimination </w:t>
      </w:r>
      <w:proofErr w:type="gramStart"/>
      <w:r w:rsidRPr="00C313F7">
        <w:rPr>
          <w:rFonts w:asciiTheme="minorHAnsi" w:hAnsiTheme="minorHAnsi" w:cstheme="minorHAnsi"/>
          <w:sz w:val="22"/>
          <w:szCs w:val="22"/>
          <w:lang w:eastAsia="ja-JP"/>
        </w:rPr>
        <w:t>on the basis of</w:t>
      </w:r>
      <w:proofErr w:type="gramEnd"/>
      <w:r w:rsidRPr="00C313F7">
        <w:rPr>
          <w:rFonts w:asciiTheme="minorHAnsi" w:hAnsiTheme="minorHAnsi" w:cstheme="minorHAnsi"/>
          <w:sz w:val="22"/>
          <w:szCs w:val="22"/>
          <w:lang w:eastAsia="ja-JP"/>
        </w:rPr>
        <w:t xml:space="preserve"> gender and disability. This limits women’s and girls’ voices and agency and constrains their opportunities for economic, </w:t>
      </w:r>
      <w:proofErr w:type="gramStart"/>
      <w:r w:rsidRPr="00C313F7">
        <w:rPr>
          <w:rFonts w:asciiTheme="minorHAnsi" w:hAnsiTheme="minorHAnsi" w:cstheme="minorHAnsi"/>
          <w:sz w:val="22"/>
          <w:szCs w:val="22"/>
          <w:lang w:eastAsia="ja-JP"/>
        </w:rPr>
        <w:t>political</w:t>
      </w:r>
      <w:proofErr w:type="gramEnd"/>
      <w:r w:rsidRPr="00C313F7">
        <w:rPr>
          <w:rFonts w:asciiTheme="minorHAnsi" w:hAnsiTheme="minorHAnsi" w:cstheme="minorHAnsi"/>
          <w:sz w:val="22"/>
          <w:szCs w:val="22"/>
          <w:lang w:eastAsia="ja-JP"/>
        </w:rPr>
        <w:t xml:space="preserve"> and social advancement. Compared with men without disabilities: women with disabilities are three times more likely to have unmet needs for health care; three times </w:t>
      </w:r>
      <w:r w:rsidRPr="00C313F7">
        <w:rPr>
          <w:rFonts w:asciiTheme="minorHAnsi" w:hAnsiTheme="minorHAnsi" w:cstheme="minorHAnsi"/>
          <w:sz w:val="22"/>
          <w:szCs w:val="22"/>
          <w:lang w:eastAsia="ja-JP"/>
        </w:rPr>
        <w:lastRenderedPageBreak/>
        <w:t>more likely to be illiterate; two times less likely to be employed and two times less likely to use the internet. Moreover, women with disabilities are at heightened risk of sexual violence compared to those without disabilities.</w:t>
      </w:r>
      <w:r w:rsidR="008941E5">
        <w:rPr>
          <w:rStyle w:val="FootnoteReference"/>
          <w:rFonts w:asciiTheme="minorHAnsi" w:hAnsiTheme="minorHAnsi" w:cstheme="minorHAnsi"/>
          <w:sz w:val="22"/>
          <w:szCs w:val="22"/>
          <w:lang w:eastAsia="ja-JP"/>
        </w:rPr>
        <w:footnoteReference w:id="5"/>
      </w:r>
      <w:r w:rsidR="008941E5">
        <w:rPr>
          <w:rFonts w:asciiTheme="minorHAnsi" w:hAnsiTheme="minorHAnsi" w:cstheme="minorHAnsi"/>
          <w:sz w:val="22"/>
          <w:szCs w:val="22"/>
          <w:lang w:eastAsia="ja-JP"/>
        </w:rPr>
        <w:t xml:space="preserve"> </w:t>
      </w:r>
      <w:r w:rsidRPr="00C313F7">
        <w:rPr>
          <w:rFonts w:asciiTheme="minorHAnsi" w:hAnsiTheme="minorHAnsi" w:cstheme="minorHAnsi"/>
          <w:sz w:val="22"/>
          <w:szCs w:val="22"/>
          <w:lang w:eastAsia="ja-JP"/>
        </w:rPr>
        <w:t>The specific rights of women and girls are addressed throughout The Pacific Framework for the Rights of Persons with Disabilities: 2016- 2025, and in Development for All 2015-2020: Strategy for strengthening disability-inclusive development in Australia's aid program (extended to 2021).</w:t>
      </w:r>
    </w:p>
    <w:p w14:paraId="20C6FB1E" w14:textId="77777777" w:rsidR="007A49BB" w:rsidRDefault="007A49BB" w:rsidP="00141593">
      <w:pPr>
        <w:pStyle w:val="Default"/>
        <w:jc w:val="both"/>
        <w:rPr>
          <w:rFonts w:asciiTheme="minorHAnsi" w:hAnsiTheme="minorHAnsi" w:cstheme="minorHAnsi"/>
          <w:b/>
          <w:bCs/>
          <w:sz w:val="22"/>
          <w:szCs w:val="22"/>
          <w:lang w:eastAsia="ja-JP"/>
        </w:rPr>
      </w:pPr>
    </w:p>
    <w:p w14:paraId="496BF973" w14:textId="11306CE3" w:rsidR="00692D27" w:rsidRPr="00C313F7" w:rsidRDefault="00692D27" w:rsidP="00141593">
      <w:pPr>
        <w:pStyle w:val="Default"/>
        <w:jc w:val="both"/>
        <w:rPr>
          <w:rFonts w:asciiTheme="minorHAnsi" w:hAnsiTheme="minorHAnsi" w:cstheme="minorHAnsi"/>
          <w:b/>
          <w:bCs/>
          <w:sz w:val="22"/>
          <w:szCs w:val="22"/>
          <w:lang w:eastAsia="ja-JP"/>
        </w:rPr>
      </w:pPr>
      <w:bookmarkStart w:id="3" w:name="_Toc75535878"/>
      <w:r w:rsidRPr="00F328DA">
        <w:rPr>
          <w:rStyle w:val="Heading2Char"/>
          <w:sz w:val="36"/>
          <w:szCs w:val="24"/>
        </w:rPr>
        <w:t>Six</w:t>
      </w:r>
      <w:r w:rsidR="00E006AC" w:rsidRPr="00F328DA">
        <w:rPr>
          <w:rStyle w:val="Heading2Char"/>
          <w:sz w:val="36"/>
          <w:szCs w:val="24"/>
        </w:rPr>
        <w:t>-</w:t>
      </w:r>
      <w:r w:rsidRPr="00F328DA">
        <w:rPr>
          <w:rStyle w:val="Heading2Char"/>
          <w:sz w:val="36"/>
          <w:szCs w:val="24"/>
        </w:rPr>
        <w:t>year evaluation of Pacific Women Shaping Pacific Development</w:t>
      </w:r>
      <w:bookmarkEnd w:id="3"/>
    </w:p>
    <w:p w14:paraId="57B2D374" w14:textId="77777777" w:rsidR="00F66C54" w:rsidRPr="00C313F7" w:rsidRDefault="00F66C54" w:rsidP="00C313F7">
      <w:pPr>
        <w:pStyle w:val="Default"/>
        <w:jc w:val="both"/>
        <w:rPr>
          <w:lang w:eastAsia="ja-JP"/>
        </w:rPr>
      </w:pPr>
    </w:p>
    <w:p w14:paraId="37572FE3" w14:textId="344C6884" w:rsidR="005703D4" w:rsidRDefault="009A2657"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2.1</w:t>
      </w:r>
      <w:r w:rsidR="000110F6" w:rsidRPr="00C313F7">
        <w:rPr>
          <w:rFonts w:asciiTheme="minorHAnsi" w:hAnsiTheme="minorHAnsi" w:cstheme="minorHAnsi"/>
          <w:sz w:val="22"/>
          <w:szCs w:val="22"/>
          <w:lang w:eastAsia="ja-JP"/>
        </w:rPr>
        <w:t>3</w:t>
      </w:r>
      <w:r w:rsidRPr="00C313F7">
        <w:rPr>
          <w:rFonts w:asciiTheme="minorHAnsi" w:hAnsiTheme="minorHAnsi" w:cstheme="minorHAnsi"/>
          <w:sz w:val="22"/>
          <w:szCs w:val="22"/>
          <w:lang w:eastAsia="ja-JP"/>
        </w:rPr>
        <w:tab/>
      </w:r>
      <w:r w:rsidR="00582119" w:rsidRPr="00C313F7">
        <w:rPr>
          <w:rFonts w:asciiTheme="minorHAnsi" w:hAnsiTheme="minorHAnsi" w:cstheme="minorHAnsi"/>
          <w:sz w:val="22"/>
          <w:szCs w:val="22"/>
          <w:lang w:eastAsia="ja-JP"/>
        </w:rPr>
        <w:t xml:space="preserve">In 2020, </w:t>
      </w:r>
      <w:r w:rsidR="001F69E6" w:rsidRPr="00C313F7">
        <w:rPr>
          <w:rFonts w:asciiTheme="minorHAnsi" w:hAnsiTheme="minorHAnsi" w:cstheme="minorHAnsi"/>
          <w:sz w:val="22"/>
          <w:szCs w:val="22"/>
          <w:lang w:eastAsia="ja-JP"/>
        </w:rPr>
        <w:t>the</w:t>
      </w:r>
      <w:r w:rsidR="00582119" w:rsidRPr="00C313F7">
        <w:rPr>
          <w:rFonts w:asciiTheme="minorHAnsi" w:hAnsiTheme="minorHAnsi" w:cstheme="minorHAnsi"/>
          <w:sz w:val="22"/>
          <w:szCs w:val="22"/>
          <w:lang w:eastAsia="ja-JP"/>
        </w:rPr>
        <w:t xml:space="preserve"> six</w:t>
      </w:r>
      <w:r w:rsidR="00E006AC" w:rsidRPr="00C313F7">
        <w:rPr>
          <w:rFonts w:asciiTheme="minorHAnsi" w:hAnsiTheme="minorHAnsi" w:cstheme="minorHAnsi"/>
          <w:sz w:val="22"/>
          <w:szCs w:val="22"/>
          <w:lang w:eastAsia="ja-JP"/>
        </w:rPr>
        <w:t>-</w:t>
      </w:r>
      <w:r w:rsidR="00582119" w:rsidRPr="00C313F7">
        <w:rPr>
          <w:rFonts w:asciiTheme="minorHAnsi" w:hAnsiTheme="minorHAnsi" w:cstheme="minorHAnsi"/>
          <w:sz w:val="22"/>
          <w:szCs w:val="22"/>
          <w:lang w:eastAsia="ja-JP"/>
        </w:rPr>
        <w:t xml:space="preserve">year evaluation of </w:t>
      </w:r>
      <w:r w:rsidR="0041059A" w:rsidRPr="00C313F7">
        <w:rPr>
          <w:rFonts w:asciiTheme="minorHAnsi" w:hAnsiTheme="minorHAnsi" w:cstheme="minorHAnsi"/>
          <w:sz w:val="22"/>
          <w:szCs w:val="22"/>
          <w:lang w:eastAsia="ja-JP"/>
        </w:rPr>
        <w:t>Pacific Women Shaping Pacific Development was released</w:t>
      </w:r>
      <w:r w:rsidR="007A49BB">
        <w:rPr>
          <w:rFonts w:asciiTheme="minorHAnsi" w:hAnsiTheme="minorHAnsi" w:cstheme="minorHAnsi"/>
          <w:sz w:val="22"/>
          <w:szCs w:val="22"/>
          <w:lang w:eastAsia="ja-JP"/>
        </w:rPr>
        <w:t xml:space="preserve"> (see Annex 4)</w:t>
      </w:r>
      <w:r w:rsidR="0041059A" w:rsidRPr="00C313F7">
        <w:rPr>
          <w:rFonts w:asciiTheme="minorHAnsi" w:hAnsiTheme="minorHAnsi" w:cstheme="minorHAnsi"/>
          <w:sz w:val="22"/>
          <w:szCs w:val="22"/>
          <w:lang w:eastAsia="ja-JP"/>
        </w:rPr>
        <w:t xml:space="preserve">.  The </w:t>
      </w:r>
      <w:r w:rsidR="00703712" w:rsidRPr="00C313F7">
        <w:rPr>
          <w:rFonts w:asciiTheme="minorHAnsi" w:hAnsiTheme="minorHAnsi" w:cstheme="minorHAnsi"/>
          <w:sz w:val="22"/>
          <w:szCs w:val="22"/>
          <w:lang w:eastAsia="ja-JP"/>
        </w:rPr>
        <w:t xml:space="preserve">evaluation </w:t>
      </w:r>
      <w:r w:rsidR="00B95694" w:rsidRPr="00C313F7">
        <w:rPr>
          <w:rFonts w:asciiTheme="minorHAnsi" w:hAnsiTheme="minorHAnsi" w:cstheme="minorHAnsi"/>
          <w:sz w:val="22"/>
          <w:szCs w:val="22"/>
          <w:lang w:eastAsia="ja-JP"/>
        </w:rPr>
        <w:t>concluded</w:t>
      </w:r>
      <w:r w:rsidR="00903DCE" w:rsidRPr="00C313F7">
        <w:rPr>
          <w:rFonts w:asciiTheme="minorHAnsi" w:hAnsiTheme="minorHAnsi" w:cstheme="minorHAnsi"/>
          <w:sz w:val="22"/>
          <w:szCs w:val="22"/>
          <w:lang w:eastAsia="ja-JP"/>
        </w:rPr>
        <w:t xml:space="preserve"> </w:t>
      </w:r>
      <w:r w:rsidR="000640F6" w:rsidRPr="00C313F7">
        <w:rPr>
          <w:rFonts w:asciiTheme="minorHAnsi" w:hAnsiTheme="minorHAnsi" w:cstheme="minorHAnsi"/>
          <w:sz w:val="22"/>
          <w:szCs w:val="22"/>
          <w:lang w:eastAsia="ja-JP"/>
        </w:rPr>
        <w:t xml:space="preserve">that Pacific Women Shaping Pacific Development </w:t>
      </w:r>
      <w:r w:rsidR="00D40B6C" w:rsidRPr="00C313F7">
        <w:rPr>
          <w:rFonts w:asciiTheme="minorHAnsi" w:hAnsiTheme="minorHAnsi" w:cstheme="minorHAnsi"/>
          <w:sz w:val="22"/>
          <w:szCs w:val="22"/>
          <w:lang w:eastAsia="ja-JP"/>
        </w:rPr>
        <w:t>“has broadened the reach of the Australian aid program to vulnerable women and girls and is supporting key civil society and women’s organisations in the Pacific. The long-term nature of funding has raised public awareness on gender equality and women’s empowerment; and the program is an asset to Australia’s partnership with Pacific governments. The work should be continued and further developed going forward”</w:t>
      </w:r>
      <w:r w:rsidR="001D31A4" w:rsidRPr="00C313F7">
        <w:rPr>
          <w:rFonts w:asciiTheme="minorHAnsi" w:hAnsiTheme="minorHAnsi" w:cstheme="minorHAnsi"/>
          <w:sz w:val="22"/>
          <w:szCs w:val="22"/>
          <w:lang w:eastAsia="ja-JP"/>
        </w:rPr>
        <w:t>.</w:t>
      </w:r>
    </w:p>
    <w:p w14:paraId="3EEDD690" w14:textId="77777777" w:rsidR="00F66C54" w:rsidRPr="00C313F7" w:rsidRDefault="00F66C54" w:rsidP="00C313F7">
      <w:pPr>
        <w:pStyle w:val="Default"/>
        <w:jc w:val="both"/>
        <w:rPr>
          <w:lang w:eastAsia="ja-JP"/>
        </w:rPr>
      </w:pPr>
    </w:p>
    <w:p w14:paraId="3ECBA403" w14:textId="1D6C997F" w:rsidR="00F66C54" w:rsidRDefault="009A2657" w:rsidP="00C313F7">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2.1</w:t>
      </w:r>
      <w:r w:rsidR="000110F6" w:rsidRPr="00C313F7">
        <w:rPr>
          <w:rFonts w:asciiTheme="minorHAnsi" w:hAnsiTheme="minorHAnsi" w:cstheme="minorHAnsi"/>
          <w:sz w:val="22"/>
          <w:szCs w:val="22"/>
          <w:lang w:eastAsia="ja-JP"/>
        </w:rPr>
        <w:t>4</w:t>
      </w:r>
      <w:r w:rsidRPr="00C313F7">
        <w:rPr>
          <w:rFonts w:asciiTheme="minorHAnsi" w:hAnsiTheme="minorHAnsi" w:cstheme="minorHAnsi"/>
          <w:sz w:val="22"/>
          <w:szCs w:val="22"/>
          <w:lang w:eastAsia="ja-JP"/>
        </w:rPr>
        <w:tab/>
      </w:r>
      <w:r w:rsidR="00A414F8" w:rsidRPr="00C313F7">
        <w:rPr>
          <w:rFonts w:asciiTheme="minorHAnsi" w:hAnsiTheme="minorHAnsi" w:cstheme="minorHAnsi"/>
          <w:sz w:val="22"/>
          <w:szCs w:val="22"/>
          <w:lang w:eastAsia="ja-JP"/>
        </w:rPr>
        <w:t>The evaluation also found that</w:t>
      </w:r>
      <w:r w:rsidR="00B95694" w:rsidRPr="00C313F7">
        <w:rPr>
          <w:rFonts w:asciiTheme="minorHAnsi" w:hAnsiTheme="minorHAnsi" w:cstheme="minorHAnsi"/>
          <w:sz w:val="22"/>
          <w:szCs w:val="22"/>
          <w:lang w:eastAsia="ja-JP"/>
        </w:rPr>
        <w:t xml:space="preserve"> </w:t>
      </w:r>
      <w:r w:rsidR="00A414F8" w:rsidRPr="00C313F7">
        <w:rPr>
          <w:rFonts w:asciiTheme="minorHAnsi" w:hAnsiTheme="minorHAnsi" w:cstheme="minorHAnsi"/>
          <w:sz w:val="22"/>
          <w:szCs w:val="22"/>
          <w:lang w:eastAsia="ja-JP"/>
        </w:rPr>
        <w:t xml:space="preserve">many of the 100+ gender equality initiatives supported by Australia through Pacific Women are making steady progress within individual country contexts, but collective regional progress has been modest in some key areas such as </w:t>
      </w:r>
      <w:r w:rsidR="006A662D" w:rsidRPr="00C313F7">
        <w:rPr>
          <w:rFonts w:asciiTheme="minorHAnsi" w:hAnsiTheme="minorHAnsi" w:cstheme="minorHAnsi"/>
          <w:sz w:val="22"/>
          <w:szCs w:val="22"/>
          <w:lang w:eastAsia="ja-JP"/>
        </w:rPr>
        <w:t xml:space="preserve">women’s participation in </w:t>
      </w:r>
      <w:r w:rsidR="00A414F8" w:rsidRPr="00C313F7">
        <w:rPr>
          <w:rFonts w:asciiTheme="minorHAnsi" w:hAnsiTheme="minorHAnsi" w:cstheme="minorHAnsi"/>
          <w:sz w:val="22"/>
          <w:szCs w:val="22"/>
          <w:lang w:eastAsia="ja-JP"/>
        </w:rPr>
        <w:t xml:space="preserve">decision-making, attitudes to women’s economic empowerment, action to address violence against women and policies and practices to promote gender equality. The Evaluation also found there had been modest progress addressing harmful social and cultural norms and therefore that transformational change has been limited. </w:t>
      </w:r>
    </w:p>
    <w:p w14:paraId="6A4963B8" w14:textId="1C8367BB" w:rsidR="00FB047F" w:rsidRDefault="00FB047F" w:rsidP="00C313F7">
      <w:pPr>
        <w:pStyle w:val="Default"/>
        <w:jc w:val="both"/>
        <w:rPr>
          <w:rFonts w:asciiTheme="minorHAnsi" w:hAnsiTheme="minorHAnsi" w:cstheme="minorHAnsi"/>
          <w:sz w:val="22"/>
          <w:szCs w:val="22"/>
          <w:lang w:eastAsia="ja-JP"/>
        </w:rPr>
      </w:pPr>
    </w:p>
    <w:p w14:paraId="782F3B42" w14:textId="496D9A75" w:rsidR="00FB047F" w:rsidRPr="00C313F7" w:rsidRDefault="00FB047F" w:rsidP="00C313F7">
      <w:pPr>
        <w:pStyle w:val="Default"/>
        <w:jc w:val="both"/>
        <w:rPr>
          <w:lang w:eastAsia="ja-JP"/>
        </w:rPr>
      </w:pPr>
      <w:r>
        <w:rPr>
          <w:rFonts w:asciiTheme="minorHAnsi" w:hAnsiTheme="minorHAnsi" w:cstheme="minorHAnsi"/>
          <w:sz w:val="22"/>
          <w:szCs w:val="22"/>
          <w:lang w:eastAsia="ja-JP"/>
        </w:rPr>
        <w:t xml:space="preserve">2.15 The evaluation found that Pacific Women Advisory Board members should provide strategic oversight for the redesign process and should have an explicit role in the new design. Future programming should continue to focus on building the capacity of Pacific women leaders at multiple levels, in government, community and the private sector. </w:t>
      </w:r>
    </w:p>
    <w:p w14:paraId="7B58437C" w14:textId="56906E00" w:rsidR="00F45873" w:rsidRPr="00C313F7" w:rsidRDefault="00F45873" w:rsidP="00C313F7">
      <w:pPr>
        <w:pStyle w:val="Default"/>
        <w:jc w:val="both"/>
        <w:rPr>
          <w:rFonts w:cstheme="minorHAnsi"/>
          <w:lang w:eastAsia="ja-JP"/>
        </w:rPr>
      </w:pPr>
    </w:p>
    <w:p w14:paraId="711BB8A4" w14:textId="6F3EA7D6" w:rsidR="00E17B44" w:rsidRDefault="00601A82"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2.</w:t>
      </w:r>
      <w:r w:rsidR="00AB55B8" w:rsidRPr="00C313F7">
        <w:rPr>
          <w:rFonts w:asciiTheme="minorHAnsi" w:hAnsiTheme="minorHAnsi" w:cstheme="minorHAnsi"/>
          <w:sz w:val="22"/>
          <w:szCs w:val="22"/>
          <w:lang w:eastAsia="ja-JP"/>
        </w:rPr>
        <w:t>1</w:t>
      </w:r>
      <w:r w:rsidR="00FB047F">
        <w:rPr>
          <w:rFonts w:asciiTheme="minorHAnsi" w:hAnsiTheme="minorHAnsi" w:cstheme="minorHAnsi"/>
          <w:sz w:val="22"/>
          <w:szCs w:val="22"/>
          <w:lang w:eastAsia="ja-JP"/>
        </w:rPr>
        <w:t>6</w:t>
      </w:r>
      <w:r w:rsidRPr="00C313F7">
        <w:rPr>
          <w:rFonts w:asciiTheme="minorHAnsi" w:hAnsiTheme="minorHAnsi" w:cstheme="minorHAnsi"/>
          <w:sz w:val="22"/>
          <w:szCs w:val="22"/>
          <w:lang w:eastAsia="ja-JP"/>
        </w:rPr>
        <w:tab/>
      </w:r>
      <w:r w:rsidR="0081694A" w:rsidRPr="00C313F7">
        <w:rPr>
          <w:rFonts w:asciiTheme="minorHAnsi" w:hAnsiTheme="minorHAnsi" w:cstheme="minorHAnsi"/>
          <w:sz w:val="22"/>
          <w:szCs w:val="22"/>
          <w:lang w:eastAsia="ja-JP"/>
        </w:rPr>
        <w:t xml:space="preserve">In its management response, </w:t>
      </w:r>
      <w:r w:rsidR="00663E4B" w:rsidRPr="00C313F7">
        <w:rPr>
          <w:rFonts w:asciiTheme="minorHAnsi" w:hAnsiTheme="minorHAnsi" w:cstheme="minorHAnsi"/>
          <w:sz w:val="22"/>
          <w:szCs w:val="22"/>
          <w:lang w:eastAsia="ja-JP"/>
        </w:rPr>
        <w:t xml:space="preserve">DFAT </w:t>
      </w:r>
      <w:r w:rsidR="006B66B8" w:rsidRPr="00C313F7">
        <w:rPr>
          <w:rFonts w:asciiTheme="minorHAnsi" w:hAnsiTheme="minorHAnsi" w:cstheme="minorHAnsi"/>
          <w:sz w:val="22"/>
          <w:szCs w:val="22"/>
          <w:lang w:eastAsia="ja-JP"/>
        </w:rPr>
        <w:t>recognised that t</w:t>
      </w:r>
      <w:r w:rsidR="005928DB" w:rsidRPr="00C313F7">
        <w:rPr>
          <w:rFonts w:asciiTheme="minorHAnsi" w:hAnsiTheme="minorHAnsi" w:cstheme="minorHAnsi"/>
          <w:sz w:val="22"/>
          <w:szCs w:val="22"/>
          <w:lang w:eastAsia="ja-JP"/>
        </w:rPr>
        <w:t>he operating context for advancing gender equality in the Pacific has changed since the evaluation was undertaken in late 2019</w:t>
      </w:r>
      <w:r w:rsidR="00AC4068" w:rsidRPr="00C313F7">
        <w:rPr>
          <w:rFonts w:asciiTheme="minorHAnsi" w:hAnsiTheme="minorHAnsi" w:cstheme="minorHAnsi"/>
          <w:sz w:val="22"/>
          <w:szCs w:val="22"/>
          <w:lang w:eastAsia="ja-JP"/>
        </w:rPr>
        <w:t xml:space="preserve"> – in particular, the </w:t>
      </w:r>
      <w:r w:rsidR="00C90F07" w:rsidRPr="00C313F7">
        <w:rPr>
          <w:rFonts w:asciiTheme="minorHAnsi" w:hAnsiTheme="minorHAnsi" w:cstheme="minorHAnsi"/>
          <w:sz w:val="22"/>
          <w:szCs w:val="22"/>
          <w:lang w:eastAsia="ja-JP"/>
        </w:rPr>
        <w:t xml:space="preserve">impact in 2020 of </w:t>
      </w:r>
      <w:r w:rsidR="005928DB" w:rsidRPr="00C313F7">
        <w:rPr>
          <w:rFonts w:asciiTheme="minorHAnsi" w:hAnsiTheme="minorHAnsi" w:cstheme="minorHAnsi"/>
          <w:sz w:val="22"/>
          <w:szCs w:val="22"/>
          <w:lang w:eastAsia="ja-JP"/>
        </w:rPr>
        <w:t xml:space="preserve">COVID-19 </w:t>
      </w:r>
      <w:r w:rsidR="00C90F07" w:rsidRPr="00C313F7">
        <w:rPr>
          <w:rFonts w:asciiTheme="minorHAnsi" w:hAnsiTheme="minorHAnsi" w:cstheme="minorHAnsi"/>
          <w:sz w:val="22"/>
          <w:szCs w:val="22"/>
          <w:lang w:eastAsia="ja-JP"/>
        </w:rPr>
        <w:t xml:space="preserve">as </w:t>
      </w:r>
      <w:r w:rsidR="005928DB" w:rsidRPr="00C313F7">
        <w:rPr>
          <w:rFonts w:asciiTheme="minorHAnsi" w:hAnsiTheme="minorHAnsi" w:cstheme="minorHAnsi"/>
          <w:sz w:val="22"/>
          <w:szCs w:val="22"/>
          <w:lang w:eastAsia="ja-JP"/>
        </w:rPr>
        <w:t xml:space="preserve">a global pandemic </w:t>
      </w:r>
      <w:r w:rsidR="00C90F07" w:rsidRPr="00C313F7">
        <w:rPr>
          <w:rFonts w:asciiTheme="minorHAnsi" w:hAnsiTheme="minorHAnsi" w:cstheme="minorHAnsi"/>
          <w:sz w:val="22"/>
          <w:szCs w:val="22"/>
          <w:lang w:eastAsia="ja-JP"/>
        </w:rPr>
        <w:t>that has had</w:t>
      </w:r>
      <w:r w:rsidR="005928DB" w:rsidRPr="00C313F7">
        <w:rPr>
          <w:rFonts w:asciiTheme="minorHAnsi" w:hAnsiTheme="minorHAnsi" w:cstheme="minorHAnsi"/>
          <w:sz w:val="22"/>
          <w:szCs w:val="22"/>
          <w:lang w:eastAsia="ja-JP"/>
        </w:rPr>
        <w:t xml:space="preserve"> a significant and disproportionate health, economic and social impact on women and girls, deepening already high levels of inequality in the region. </w:t>
      </w:r>
    </w:p>
    <w:p w14:paraId="6AFFB3B9" w14:textId="77777777" w:rsidR="00F66C54" w:rsidRPr="00C313F7" w:rsidRDefault="00F66C54" w:rsidP="00C313F7">
      <w:pPr>
        <w:pStyle w:val="Default"/>
        <w:jc w:val="both"/>
        <w:rPr>
          <w:lang w:eastAsia="ja-JP"/>
        </w:rPr>
      </w:pPr>
    </w:p>
    <w:p w14:paraId="6430FABB" w14:textId="5C814DDF" w:rsidR="005A4B4D" w:rsidRPr="00C313F7" w:rsidRDefault="00601A82" w:rsidP="00C313F7">
      <w:pPr>
        <w:pStyle w:val="Default"/>
        <w:jc w:val="both"/>
        <w:rPr>
          <w:lang w:eastAsia="ja-JP"/>
        </w:rPr>
      </w:pPr>
      <w:r w:rsidRPr="00C313F7">
        <w:rPr>
          <w:rFonts w:asciiTheme="minorHAnsi" w:hAnsiTheme="minorHAnsi" w:cstheme="minorHAnsi"/>
          <w:sz w:val="22"/>
          <w:szCs w:val="22"/>
          <w:lang w:eastAsia="ja-JP"/>
        </w:rPr>
        <w:t>2.</w:t>
      </w:r>
      <w:r w:rsidR="00AB55B8" w:rsidRPr="00C313F7">
        <w:rPr>
          <w:rFonts w:asciiTheme="minorHAnsi" w:hAnsiTheme="minorHAnsi" w:cstheme="minorHAnsi"/>
          <w:sz w:val="22"/>
          <w:szCs w:val="22"/>
          <w:lang w:eastAsia="ja-JP"/>
        </w:rPr>
        <w:t>1</w:t>
      </w:r>
      <w:r w:rsidR="00FB047F">
        <w:rPr>
          <w:rFonts w:asciiTheme="minorHAnsi" w:hAnsiTheme="minorHAnsi" w:cstheme="minorHAnsi"/>
          <w:sz w:val="22"/>
          <w:szCs w:val="22"/>
          <w:lang w:eastAsia="ja-JP"/>
        </w:rPr>
        <w:t>7</w:t>
      </w:r>
      <w:r w:rsidRPr="00C313F7">
        <w:rPr>
          <w:rFonts w:asciiTheme="minorHAnsi" w:hAnsiTheme="minorHAnsi" w:cstheme="minorHAnsi"/>
          <w:sz w:val="22"/>
          <w:szCs w:val="22"/>
          <w:lang w:eastAsia="ja-JP"/>
        </w:rPr>
        <w:tab/>
      </w:r>
      <w:r w:rsidR="00FE1895" w:rsidRPr="00C313F7">
        <w:rPr>
          <w:rFonts w:asciiTheme="minorHAnsi" w:hAnsiTheme="minorHAnsi" w:cstheme="minorHAnsi"/>
          <w:sz w:val="22"/>
          <w:szCs w:val="22"/>
          <w:lang w:eastAsia="ja-JP"/>
        </w:rPr>
        <w:t xml:space="preserve">This </w:t>
      </w:r>
      <w:r w:rsidR="003F35F4" w:rsidRPr="00C313F7">
        <w:rPr>
          <w:rFonts w:asciiTheme="minorHAnsi" w:hAnsiTheme="minorHAnsi" w:cstheme="minorHAnsi"/>
          <w:sz w:val="22"/>
          <w:szCs w:val="22"/>
          <w:lang w:eastAsia="ja-JP"/>
        </w:rPr>
        <w:t xml:space="preserve">design has been </w:t>
      </w:r>
      <w:r w:rsidR="00AF60F6" w:rsidRPr="00C313F7">
        <w:rPr>
          <w:rFonts w:asciiTheme="minorHAnsi" w:hAnsiTheme="minorHAnsi" w:cstheme="minorHAnsi"/>
          <w:sz w:val="22"/>
          <w:szCs w:val="22"/>
          <w:lang w:eastAsia="ja-JP"/>
        </w:rPr>
        <w:t xml:space="preserve">prepared </w:t>
      </w:r>
      <w:r w:rsidR="005B7AAD" w:rsidRPr="00C313F7">
        <w:rPr>
          <w:rFonts w:asciiTheme="minorHAnsi" w:hAnsiTheme="minorHAnsi" w:cstheme="minorHAnsi"/>
          <w:sz w:val="22"/>
          <w:szCs w:val="22"/>
          <w:lang w:eastAsia="ja-JP"/>
        </w:rPr>
        <w:t xml:space="preserve">with the Evaluation </w:t>
      </w:r>
      <w:r w:rsidR="008B359D" w:rsidRPr="00C313F7">
        <w:rPr>
          <w:rFonts w:asciiTheme="minorHAnsi" w:hAnsiTheme="minorHAnsi" w:cstheme="minorHAnsi"/>
          <w:sz w:val="22"/>
          <w:szCs w:val="22"/>
          <w:lang w:eastAsia="ja-JP"/>
        </w:rPr>
        <w:t xml:space="preserve">as a key primary source of analysis, </w:t>
      </w:r>
      <w:proofErr w:type="gramStart"/>
      <w:r w:rsidR="008B359D" w:rsidRPr="00C313F7">
        <w:rPr>
          <w:rFonts w:asciiTheme="minorHAnsi" w:hAnsiTheme="minorHAnsi" w:cstheme="minorHAnsi"/>
          <w:sz w:val="22"/>
          <w:szCs w:val="22"/>
          <w:lang w:eastAsia="ja-JP"/>
        </w:rPr>
        <w:t>evidence</w:t>
      </w:r>
      <w:proofErr w:type="gramEnd"/>
      <w:r w:rsidR="008B359D" w:rsidRPr="00C313F7">
        <w:rPr>
          <w:rFonts w:asciiTheme="minorHAnsi" w:hAnsiTheme="minorHAnsi" w:cstheme="minorHAnsi"/>
          <w:sz w:val="22"/>
          <w:szCs w:val="22"/>
          <w:lang w:eastAsia="ja-JP"/>
        </w:rPr>
        <w:t xml:space="preserve"> and </w:t>
      </w:r>
      <w:r w:rsidR="00BC5685" w:rsidRPr="00C313F7">
        <w:rPr>
          <w:rFonts w:asciiTheme="minorHAnsi" w:hAnsiTheme="minorHAnsi" w:cstheme="minorHAnsi"/>
          <w:sz w:val="22"/>
          <w:szCs w:val="22"/>
          <w:lang w:eastAsia="ja-JP"/>
        </w:rPr>
        <w:t>ideas</w:t>
      </w:r>
      <w:r w:rsidR="001D31A4" w:rsidRPr="00C313F7">
        <w:rPr>
          <w:rFonts w:asciiTheme="minorHAnsi" w:hAnsiTheme="minorHAnsi" w:cstheme="minorHAnsi"/>
          <w:sz w:val="22"/>
          <w:szCs w:val="22"/>
          <w:lang w:eastAsia="ja-JP"/>
        </w:rPr>
        <w:t xml:space="preserve">.  </w:t>
      </w:r>
      <w:r w:rsidR="009A4EA4" w:rsidRPr="00C313F7">
        <w:rPr>
          <w:rFonts w:asciiTheme="minorHAnsi" w:hAnsiTheme="minorHAnsi" w:cstheme="minorHAnsi"/>
          <w:sz w:val="22"/>
          <w:szCs w:val="22"/>
          <w:lang w:eastAsia="ja-JP"/>
        </w:rPr>
        <w:t>At its hear</w:t>
      </w:r>
      <w:r w:rsidR="00EC7528" w:rsidRPr="00C313F7">
        <w:rPr>
          <w:rFonts w:asciiTheme="minorHAnsi" w:hAnsiTheme="minorHAnsi" w:cstheme="minorHAnsi"/>
          <w:sz w:val="22"/>
          <w:szCs w:val="22"/>
          <w:lang w:eastAsia="ja-JP"/>
        </w:rPr>
        <w:t>t</w:t>
      </w:r>
      <w:r w:rsidR="009A4EA4" w:rsidRPr="00C313F7">
        <w:rPr>
          <w:rFonts w:asciiTheme="minorHAnsi" w:hAnsiTheme="minorHAnsi" w:cstheme="minorHAnsi"/>
          <w:sz w:val="22"/>
          <w:szCs w:val="22"/>
          <w:lang w:eastAsia="ja-JP"/>
        </w:rPr>
        <w:t>, t</w:t>
      </w:r>
      <w:r w:rsidR="005552CA" w:rsidRPr="00C313F7">
        <w:rPr>
          <w:rFonts w:asciiTheme="minorHAnsi" w:hAnsiTheme="minorHAnsi" w:cstheme="minorHAnsi"/>
          <w:sz w:val="22"/>
          <w:szCs w:val="22"/>
          <w:lang w:eastAsia="ja-JP"/>
        </w:rPr>
        <w:t>his design seeks to build on Pacific Women Shaping Pacific Development’s strengths and learn from its lessons</w:t>
      </w:r>
      <w:r w:rsidR="004C2DAA" w:rsidRPr="00C313F7">
        <w:rPr>
          <w:rFonts w:asciiTheme="minorHAnsi" w:hAnsiTheme="minorHAnsi" w:cstheme="minorHAnsi"/>
          <w:sz w:val="22"/>
          <w:szCs w:val="22"/>
          <w:lang w:eastAsia="ja-JP"/>
        </w:rPr>
        <w:t xml:space="preserve">. </w:t>
      </w:r>
      <w:r w:rsidR="005552CA" w:rsidRPr="00C313F7">
        <w:rPr>
          <w:rFonts w:asciiTheme="minorHAnsi" w:hAnsiTheme="minorHAnsi" w:cstheme="minorHAnsi"/>
          <w:sz w:val="22"/>
          <w:szCs w:val="22"/>
          <w:lang w:eastAsia="ja-JP"/>
        </w:rPr>
        <w:t xml:space="preserve"> </w:t>
      </w:r>
      <w:r w:rsidR="001D31A4" w:rsidRPr="00C313F7">
        <w:rPr>
          <w:rFonts w:asciiTheme="minorHAnsi" w:hAnsiTheme="minorHAnsi" w:cstheme="minorHAnsi"/>
          <w:sz w:val="22"/>
          <w:szCs w:val="22"/>
          <w:lang w:eastAsia="ja-JP"/>
        </w:rPr>
        <w:t xml:space="preserve">At the same time, the design </w:t>
      </w:r>
      <w:r w:rsidR="004C2DAA" w:rsidRPr="00C313F7">
        <w:rPr>
          <w:rFonts w:asciiTheme="minorHAnsi" w:hAnsiTheme="minorHAnsi" w:cstheme="minorHAnsi"/>
          <w:sz w:val="22"/>
          <w:szCs w:val="22"/>
          <w:lang w:eastAsia="ja-JP"/>
        </w:rPr>
        <w:t>takes</w:t>
      </w:r>
      <w:r w:rsidR="001D31A4" w:rsidRPr="00C313F7">
        <w:rPr>
          <w:rFonts w:asciiTheme="minorHAnsi" w:hAnsiTheme="minorHAnsi" w:cstheme="minorHAnsi"/>
          <w:sz w:val="22"/>
          <w:szCs w:val="22"/>
          <w:lang w:eastAsia="ja-JP"/>
        </w:rPr>
        <w:t xml:space="preserve"> account of the context for gender equality in the Pacifi</w:t>
      </w:r>
      <w:r w:rsidR="00F44C87" w:rsidRPr="00C313F7">
        <w:rPr>
          <w:rFonts w:asciiTheme="minorHAnsi" w:hAnsiTheme="minorHAnsi" w:cstheme="minorHAnsi"/>
          <w:sz w:val="22"/>
          <w:szCs w:val="22"/>
          <w:lang w:eastAsia="ja-JP"/>
        </w:rPr>
        <w:t>c that is both deep-rooted and changing</w:t>
      </w:r>
      <w:r w:rsidR="001D31A4" w:rsidRPr="00C313F7">
        <w:rPr>
          <w:rFonts w:asciiTheme="minorHAnsi" w:hAnsiTheme="minorHAnsi" w:cstheme="minorHAnsi"/>
          <w:sz w:val="22"/>
          <w:szCs w:val="22"/>
          <w:lang w:eastAsia="ja-JP"/>
        </w:rPr>
        <w:t>.</w:t>
      </w:r>
    </w:p>
    <w:p w14:paraId="67BF47CB" w14:textId="77777777" w:rsidR="007A49BB" w:rsidRDefault="007A49BB" w:rsidP="00646F77">
      <w:pPr>
        <w:pStyle w:val="Heading1"/>
      </w:pPr>
    </w:p>
    <w:p w14:paraId="1BFFFA94" w14:textId="1607B0BF" w:rsidR="002D4DE7" w:rsidRPr="00C64817" w:rsidRDefault="00423F6B" w:rsidP="00F328DA">
      <w:pPr>
        <w:pStyle w:val="Heading1"/>
      </w:pPr>
      <w:bookmarkStart w:id="4" w:name="_Toc75535879"/>
      <w:r>
        <w:t xml:space="preserve">3. </w:t>
      </w:r>
      <w:r w:rsidR="002D4DE7" w:rsidRPr="00C64817">
        <w:t>Strategic Intent and Rationale</w:t>
      </w:r>
      <w:bookmarkEnd w:id="4"/>
    </w:p>
    <w:p w14:paraId="2946C2E6" w14:textId="3001B709" w:rsidR="00AD29E4" w:rsidRPr="00C64817" w:rsidRDefault="00601A82" w:rsidP="00F328DA">
      <w:pPr>
        <w:shd w:val="clear" w:color="auto" w:fill="FFFFFF" w:themeFill="background1"/>
        <w:jc w:val="both"/>
        <w:rPr>
          <w:rFonts w:cstheme="minorHAnsi"/>
          <w:color w:val="auto"/>
        </w:rPr>
      </w:pPr>
      <w:r w:rsidRPr="00C64817">
        <w:rPr>
          <w:rFonts w:cstheme="minorHAnsi"/>
          <w:color w:val="auto"/>
        </w:rPr>
        <w:t>3.1</w:t>
      </w:r>
      <w:r w:rsidRPr="00C64817">
        <w:rPr>
          <w:rFonts w:cstheme="minorHAnsi"/>
          <w:color w:val="auto"/>
        </w:rPr>
        <w:tab/>
      </w:r>
      <w:r w:rsidR="009E4C97" w:rsidRPr="00407D94">
        <w:rPr>
          <w:rFonts w:eastAsia="Times New Roman" w:cstheme="minorHAnsi"/>
          <w:b/>
          <w:i/>
          <w:color w:val="auto"/>
        </w:rPr>
        <w:t>Pacific Women Lead</w:t>
      </w:r>
      <w:r w:rsidR="009E4C97" w:rsidRPr="00407D94">
        <w:rPr>
          <w:rFonts w:eastAsia="Times New Roman" w:cstheme="minorHAnsi"/>
          <w:b/>
          <w:color w:val="auto"/>
        </w:rPr>
        <w:t xml:space="preserve"> is </w:t>
      </w:r>
      <w:r w:rsidR="004D5426" w:rsidRPr="00407D94">
        <w:rPr>
          <w:rFonts w:eastAsia="Times New Roman" w:cstheme="minorHAnsi"/>
          <w:b/>
          <w:color w:val="auto"/>
        </w:rPr>
        <w:t>ambitious in its intent t</w:t>
      </w:r>
      <w:r w:rsidR="00BB4F24" w:rsidRPr="008A7462">
        <w:rPr>
          <w:rFonts w:eastAsia="Times New Roman" w:cstheme="minorHAnsi"/>
          <w:b/>
          <w:color w:val="auto"/>
        </w:rPr>
        <w:t xml:space="preserve">o take a Pacific-led </w:t>
      </w:r>
      <w:r w:rsidR="00F20665" w:rsidRPr="008A7462">
        <w:rPr>
          <w:rFonts w:eastAsia="Times New Roman" w:cstheme="minorHAnsi"/>
          <w:b/>
          <w:color w:val="auto"/>
        </w:rPr>
        <w:t>approach</w:t>
      </w:r>
      <w:r w:rsidR="00F20665" w:rsidRPr="008A7462">
        <w:rPr>
          <w:rFonts w:eastAsia="Times New Roman" w:cstheme="minorHAnsi"/>
          <w:color w:val="auto"/>
        </w:rPr>
        <w:t xml:space="preserve"> to promoting gender equality in the region</w:t>
      </w:r>
      <w:r w:rsidR="008E7E70" w:rsidRPr="00F44628">
        <w:rPr>
          <w:rFonts w:eastAsia="Times New Roman" w:cstheme="minorHAnsi"/>
          <w:color w:val="auto"/>
        </w:rPr>
        <w:t xml:space="preserve">.  </w:t>
      </w:r>
      <w:r w:rsidR="00902020" w:rsidRPr="00C64817">
        <w:rPr>
          <w:rFonts w:eastAsia="Times New Roman" w:cstheme="minorHAnsi"/>
          <w:color w:val="auto"/>
        </w:rPr>
        <w:t>It is focused on</w:t>
      </w:r>
      <w:r w:rsidR="008E7E70" w:rsidRPr="00C64817">
        <w:rPr>
          <w:rFonts w:eastAsia="Times New Roman" w:cstheme="minorHAnsi"/>
          <w:color w:val="auto"/>
        </w:rPr>
        <w:t xml:space="preserve"> </w:t>
      </w:r>
      <w:r w:rsidR="00DF423F" w:rsidRPr="00C64817">
        <w:rPr>
          <w:rFonts w:eastAsia="Times New Roman" w:cstheme="minorHAnsi"/>
          <w:color w:val="auto"/>
        </w:rPr>
        <w:t xml:space="preserve">continuing to </w:t>
      </w:r>
      <w:r w:rsidR="008E7E70" w:rsidRPr="00C64817">
        <w:rPr>
          <w:rFonts w:eastAsia="Times New Roman" w:cstheme="minorHAnsi"/>
          <w:color w:val="auto"/>
        </w:rPr>
        <w:t xml:space="preserve">deliver development outcomes and </w:t>
      </w:r>
      <w:r w:rsidR="00DF423F" w:rsidRPr="00C64817">
        <w:rPr>
          <w:rFonts w:eastAsia="Times New Roman" w:cstheme="minorHAnsi"/>
          <w:color w:val="auto"/>
        </w:rPr>
        <w:t xml:space="preserve">to bring new emphasis to </w:t>
      </w:r>
      <w:r w:rsidR="008E7E70" w:rsidRPr="00C64817">
        <w:rPr>
          <w:rFonts w:eastAsia="Times New Roman" w:cstheme="minorHAnsi"/>
          <w:color w:val="auto"/>
        </w:rPr>
        <w:t>strengthen</w:t>
      </w:r>
      <w:r w:rsidR="00DF423F" w:rsidRPr="00C64817">
        <w:rPr>
          <w:rFonts w:eastAsia="Times New Roman" w:cstheme="minorHAnsi"/>
          <w:color w:val="auto"/>
        </w:rPr>
        <w:t>ing</w:t>
      </w:r>
      <w:r w:rsidR="008E7E70" w:rsidRPr="00C64817">
        <w:rPr>
          <w:rFonts w:eastAsia="Times New Roman" w:cstheme="minorHAnsi"/>
          <w:color w:val="auto"/>
        </w:rPr>
        <w:t xml:space="preserve"> regional action and architecture </w:t>
      </w:r>
      <w:r w:rsidR="00DF423F" w:rsidRPr="00C64817">
        <w:rPr>
          <w:rFonts w:eastAsia="Times New Roman" w:cstheme="minorHAnsi"/>
          <w:color w:val="auto"/>
        </w:rPr>
        <w:t>in support of</w:t>
      </w:r>
      <w:r w:rsidR="008E7E70" w:rsidRPr="00C64817">
        <w:rPr>
          <w:rFonts w:eastAsia="Times New Roman" w:cstheme="minorHAnsi"/>
          <w:color w:val="auto"/>
        </w:rPr>
        <w:t xml:space="preserve"> gender equality.  </w:t>
      </w:r>
      <w:r w:rsidR="00732C03" w:rsidRPr="00C64817">
        <w:rPr>
          <w:rFonts w:eastAsia="Times New Roman" w:cstheme="minorHAnsi"/>
          <w:color w:val="auto"/>
        </w:rPr>
        <w:t xml:space="preserve">The clear shift in governance and management </w:t>
      </w:r>
      <w:r w:rsidR="00C97C64" w:rsidRPr="00C64817">
        <w:rPr>
          <w:rFonts w:eastAsia="Times New Roman" w:cstheme="minorHAnsi"/>
          <w:color w:val="auto"/>
        </w:rPr>
        <w:t>will see</w:t>
      </w:r>
      <w:r w:rsidR="00721D3F" w:rsidRPr="00C64817">
        <w:rPr>
          <w:rFonts w:eastAsia="Times New Roman" w:cstheme="minorHAnsi"/>
          <w:color w:val="auto"/>
        </w:rPr>
        <w:t xml:space="preserve"> </w:t>
      </w:r>
      <w:r w:rsidR="00DF423F" w:rsidRPr="00C64817">
        <w:rPr>
          <w:rFonts w:eastAsia="Times New Roman" w:cstheme="minorHAnsi"/>
          <w:color w:val="auto"/>
        </w:rPr>
        <w:t xml:space="preserve">women in the Pacific </w:t>
      </w:r>
      <w:r w:rsidR="008C0697" w:rsidRPr="00C64817">
        <w:rPr>
          <w:rFonts w:eastAsia="Times New Roman" w:cstheme="minorHAnsi"/>
          <w:color w:val="auto"/>
        </w:rPr>
        <w:t xml:space="preserve">leading </w:t>
      </w:r>
      <w:r w:rsidR="00D0523B" w:rsidRPr="00C64817">
        <w:rPr>
          <w:rFonts w:eastAsia="Times New Roman" w:cstheme="minorHAnsi"/>
          <w:color w:val="auto"/>
        </w:rPr>
        <w:t xml:space="preserve">on </w:t>
      </w:r>
      <w:r w:rsidR="008C0697" w:rsidRPr="00C64817">
        <w:rPr>
          <w:rFonts w:eastAsia="Times New Roman" w:cstheme="minorHAnsi"/>
          <w:color w:val="auto"/>
        </w:rPr>
        <w:t xml:space="preserve">strategic direction and </w:t>
      </w:r>
      <w:r w:rsidR="008C3B67" w:rsidRPr="00C64817">
        <w:rPr>
          <w:rFonts w:eastAsia="Times New Roman" w:cstheme="minorHAnsi"/>
          <w:color w:val="auto"/>
        </w:rPr>
        <w:t>enhanced engagement</w:t>
      </w:r>
      <w:r w:rsidR="008E7E70" w:rsidRPr="00C64817">
        <w:rPr>
          <w:rFonts w:eastAsia="Times New Roman" w:cstheme="minorHAnsi"/>
          <w:color w:val="auto"/>
        </w:rPr>
        <w:t xml:space="preserve"> with SPC as a</w:t>
      </w:r>
      <w:r w:rsidR="008C3B67" w:rsidRPr="00C64817">
        <w:rPr>
          <w:rFonts w:eastAsia="Times New Roman" w:cstheme="minorHAnsi"/>
          <w:color w:val="auto"/>
        </w:rPr>
        <w:t xml:space="preserve"> regional</w:t>
      </w:r>
      <w:r w:rsidR="008E7E70" w:rsidRPr="00C64817">
        <w:rPr>
          <w:rFonts w:eastAsia="Times New Roman" w:cstheme="minorHAnsi"/>
          <w:color w:val="auto"/>
        </w:rPr>
        <w:t xml:space="preserve"> intergovernmental technical agency</w:t>
      </w:r>
      <w:r w:rsidR="0036078E" w:rsidRPr="00C64817">
        <w:rPr>
          <w:rFonts w:eastAsia="Times New Roman" w:cstheme="minorHAnsi"/>
          <w:color w:val="auto"/>
        </w:rPr>
        <w:t>,</w:t>
      </w:r>
      <w:r w:rsidR="008E7E70" w:rsidRPr="00C64817">
        <w:rPr>
          <w:rFonts w:eastAsia="Times New Roman" w:cstheme="minorHAnsi"/>
          <w:color w:val="auto"/>
        </w:rPr>
        <w:t xml:space="preserve"> PIFS through the </w:t>
      </w:r>
      <w:r w:rsidR="005A5C82" w:rsidRPr="00C64817">
        <w:rPr>
          <w:rFonts w:eastAsia="Times New Roman" w:cstheme="minorHAnsi"/>
          <w:color w:val="auto"/>
        </w:rPr>
        <w:t xml:space="preserve">new Pacific Island Forum Women’s Leaders </w:t>
      </w:r>
      <w:r w:rsidR="005A5C82" w:rsidRPr="00C64817">
        <w:rPr>
          <w:rFonts w:eastAsia="Times New Roman" w:cstheme="minorHAnsi"/>
          <w:color w:val="auto"/>
        </w:rPr>
        <w:lastRenderedPageBreak/>
        <w:t>Meeting (</w:t>
      </w:r>
      <w:r w:rsidR="008E7E70" w:rsidRPr="00C64817">
        <w:rPr>
          <w:rFonts w:eastAsia="Times New Roman" w:cstheme="minorHAnsi"/>
          <w:color w:val="auto"/>
        </w:rPr>
        <w:t>PIFWLM</w:t>
      </w:r>
      <w:r w:rsidR="005A5C82" w:rsidRPr="00C64817">
        <w:rPr>
          <w:rFonts w:eastAsia="Times New Roman" w:cstheme="minorHAnsi"/>
          <w:color w:val="auto"/>
        </w:rPr>
        <w:t>)</w:t>
      </w:r>
      <w:r w:rsidR="008E7E70" w:rsidRPr="00C64817">
        <w:rPr>
          <w:rFonts w:eastAsia="Times New Roman" w:cstheme="minorHAnsi"/>
          <w:color w:val="auto"/>
        </w:rPr>
        <w:t>, while continuing bilateral investments and ensuring regional approaches contribute to progress at national level</w:t>
      </w:r>
      <w:r w:rsidR="00F65D08">
        <w:rPr>
          <w:rFonts w:eastAsia="Times New Roman" w:cstheme="minorHAnsi"/>
          <w:color w:val="auto"/>
        </w:rPr>
        <w:t>s</w:t>
      </w:r>
      <w:r w:rsidR="008E7E70" w:rsidRPr="00C64817">
        <w:rPr>
          <w:rFonts w:eastAsia="Times New Roman" w:cstheme="minorHAnsi"/>
          <w:color w:val="auto"/>
        </w:rPr>
        <w:t>.</w:t>
      </w:r>
      <w:r w:rsidR="00583A64" w:rsidRPr="00C64817">
        <w:rPr>
          <w:rFonts w:eastAsia="Times New Roman" w:cstheme="minorHAnsi"/>
          <w:color w:val="auto"/>
        </w:rPr>
        <w:t xml:space="preserve"> In taking this new approach, Pacific Women Lead has been </w:t>
      </w:r>
      <w:r w:rsidR="00DD6408" w:rsidRPr="00C64817">
        <w:rPr>
          <w:rFonts w:cstheme="minorHAnsi"/>
          <w:color w:val="auto"/>
        </w:rPr>
        <w:t xml:space="preserve">designed to </w:t>
      </w:r>
      <w:r w:rsidR="00F0546A" w:rsidRPr="00C64817">
        <w:rPr>
          <w:rFonts w:cstheme="minorHAnsi"/>
          <w:color w:val="auto"/>
        </w:rPr>
        <w:t xml:space="preserve">address and deliver on </w:t>
      </w:r>
      <w:r w:rsidR="00DD6408" w:rsidRPr="00C64817">
        <w:rPr>
          <w:rFonts w:cstheme="minorHAnsi"/>
          <w:color w:val="auto"/>
        </w:rPr>
        <w:t xml:space="preserve">both </w:t>
      </w:r>
      <w:r w:rsidR="00341A47" w:rsidRPr="00C64817">
        <w:rPr>
          <w:rFonts w:cstheme="minorHAnsi"/>
          <w:color w:val="auto"/>
        </w:rPr>
        <w:t xml:space="preserve">Pacific </w:t>
      </w:r>
      <w:r w:rsidR="00CB0E3B" w:rsidRPr="00C64817">
        <w:rPr>
          <w:rFonts w:cstheme="minorHAnsi"/>
          <w:color w:val="auto"/>
        </w:rPr>
        <w:t>commitments</w:t>
      </w:r>
      <w:r w:rsidR="00EE520E" w:rsidRPr="00C64817">
        <w:rPr>
          <w:rFonts w:cstheme="minorHAnsi"/>
          <w:color w:val="auto"/>
        </w:rPr>
        <w:t xml:space="preserve"> </w:t>
      </w:r>
      <w:r w:rsidR="00CB0E3B" w:rsidRPr="00C64817">
        <w:rPr>
          <w:rFonts w:cstheme="minorHAnsi"/>
          <w:color w:val="auto"/>
        </w:rPr>
        <w:t>and Australian Government commitments to progress gender equality in the region</w:t>
      </w:r>
      <w:r w:rsidR="0065596F" w:rsidRPr="00C64817">
        <w:rPr>
          <w:rFonts w:cstheme="minorHAnsi"/>
          <w:color w:val="auto"/>
        </w:rPr>
        <w:t>.</w:t>
      </w:r>
      <w:r w:rsidR="009854A1" w:rsidRPr="00407D94">
        <w:rPr>
          <w:rFonts w:eastAsia="Times New Roman" w:cstheme="minorHAnsi"/>
          <w:color w:val="auto"/>
          <w:lang w:val="en-AU"/>
        </w:rPr>
        <w:t xml:space="preserve"> </w:t>
      </w:r>
    </w:p>
    <w:p w14:paraId="4E3F5E33" w14:textId="3060174D" w:rsidR="00A71EB0" w:rsidRPr="00F328DA" w:rsidRDefault="00A71EB0" w:rsidP="00F328DA">
      <w:pPr>
        <w:pStyle w:val="Heading2"/>
        <w:rPr>
          <w:sz w:val="36"/>
          <w:szCs w:val="24"/>
        </w:rPr>
      </w:pPr>
      <w:bookmarkStart w:id="5" w:name="_Toc75535880"/>
      <w:r w:rsidRPr="00F328DA">
        <w:rPr>
          <w:sz w:val="36"/>
          <w:szCs w:val="24"/>
        </w:rPr>
        <w:t xml:space="preserve">Pacific </w:t>
      </w:r>
      <w:r w:rsidR="007D7755" w:rsidRPr="00F328DA">
        <w:rPr>
          <w:sz w:val="36"/>
          <w:szCs w:val="24"/>
        </w:rPr>
        <w:t>commitments</w:t>
      </w:r>
      <w:r w:rsidR="005A6E88" w:rsidRPr="00F328DA">
        <w:rPr>
          <w:sz w:val="36"/>
          <w:szCs w:val="24"/>
        </w:rPr>
        <w:t xml:space="preserve"> to gender equality</w:t>
      </w:r>
      <w:bookmarkEnd w:id="5"/>
    </w:p>
    <w:p w14:paraId="2170E9CF" w14:textId="3321EC00" w:rsidR="00804F15" w:rsidRPr="00C64817" w:rsidRDefault="00DF5626" w:rsidP="00C13494">
      <w:pPr>
        <w:jc w:val="both"/>
        <w:rPr>
          <w:rFonts w:cstheme="minorHAnsi"/>
          <w:color w:val="auto"/>
        </w:rPr>
      </w:pPr>
      <w:r w:rsidRPr="00407D94">
        <w:rPr>
          <w:rFonts w:cstheme="minorHAnsi"/>
          <w:color w:val="auto"/>
          <w:lang w:val="en-AU"/>
        </w:rPr>
        <w:t>3.2</w:t>
      </w:r>
      <w:r w:rsidRPr="00407D94">
        <w:rPr>
          <w:rFonts w:cstheme="minorHAnsi"/>
          <w:color w:val="auto"/>
          <w:lang w:val="en-AU"/>
        </w:rPr>
        <w:tab/>
      </w:r>
      <w:r w:rsidR="00336E60" w:rsidRPr="00407D94">
        <w:rPr>
          <w:rFonts w:cstheme="minorHAnsi"/>
          <w:color w:val="auto"/>
          <w:lang w:val="en-AU"/>
        </w:rPr>
        <w:t xml:space="preserve">Pacific Government leaders established their commitment to gender equality through the </w:t>
      </w:r>
      <w:r w:rsidR="00336E60" w:rsidRPr="00407D94">
        <w:rPr>
          <w:rFonts w:cstheme="minorHAnsi"/>
          <w:b/>
          <w:bCs/>
          <w:color w:val="auto"/>
          <w:lang w:val="en-AU"/>
        </w:rPr>
        <w:t>Pacific Leaders Gender Equality Declaration, 2012</w:t>
      </w:r>
      <w:r w:rsidR="003542D2">
        <w:rPr>
          <w:rFonts w:cstheme="minorHAnsi"/>
          <w:color w:val="auto"/>
          <w:lang w:val="en-AU"/>
        </w:rPr>
        <w:t xml:space="preserve">. A review of the declaration will be completed in 2021 for the consideration of Leaders. The declaration </w:t>
      </w:r>
      <w:r w:rsidR="003542D2" w:rsidRPr="00407D94">
        <w:rPr>
          <w:rFonts w:cstheme="minorHAnsi"/>
          <w:color w:val="auto"/>
        </w:rPr>
        <w:t>commits</w:t>
      </w:r>
      <w:r w:rsidR="0062757D" w:rsidRPr="00407D94">
        <w:rPr>
          <w:rFonts w:cstheme="minorHAnsi"/>
          <w:color w:val="auto"/>
        </w:rPr>
        <w:t xml:space="preserve"> </w:t>
      </w:r>
      <w:r w:rsidR="00422076" w:rsidRPr="00407D94">
        <w:rPr>
          <w:rFonts w:cstheme="minorHAnsi"/>
          <w:color w:val="auto"/>
        </w:rPr>
        <w:t xml:space="preserve">“to lift the status of women in the Pacific and empower them to be active participants in economic, </w:t>
      </w:r>
      <w:r w:rsidR="00422076" w:rsidRPr="008A7462">
        <w:rPr>
          <w:rFonts w:cstheme="minorHAnsi"/>
          <w:color w:val="auto"/>
        </w:rPr>
        <w:t>political and social life”.</w:t>
      </w:r>
      <w:r w:rsidR="00112340" w:rsidRPr="008A7462">
        <w:rPr>
          <w:rFonts w:cstheme="minorHAnsi"/>
          <w:color w:val="auto"/>
        </w:rPr>
        <w:t xml:space="preserve">  </w:t>
      </w:r>
      <w:r w:rsidR="003542D2">
        <w:rPr>
          <w:rFonts w:cstheme="minorHAnsi"/>
          <w:color w:val="auto"/>
        </w:rPr>
        <w:t>It commits</w:t>
      </w:r>
      <w:r w:rsidR="00EA2485" w:rsidRPr="00B43027">
        <w:rPr>
          <w:rFonts w:cstheme="minorHAnsi"/>
          <w:color w:val="auto"/>
        </w:rPr>
        <w:t xml:space="preserve"> with renewed energy to implement </w:t>
      </w:r>
      <w:r w:rsidR="003219B4" w:rsidRPr="00F44628">
        <w:rPr>
          <w:rFonts w:cstheme="minorHAnsi"/>
          <w:color w:val="auto"/>
        </w:rPr>
        <w:t xml:space="preserve">other </w:t>
      </w:r>
      <w:r w:rsidR="00A501AF" w:rsidRPr="00C64817">
        <w:rPr>
          <w:rFonts w:cstheme="minorHAnsi"/>
          <w:color w:val="auto"/>
        </w:rPr>
        <w:t xml:space="preserve">significant global and regional </w:t>
      </w:r>
      <w:r w:rsidR="002A3266" w:rsidRPr="00C64817">
        <w:rPr>
          <w:rFonts w:cstheme="minorHAnsi"/>
          <w:color w:val="auto"/>
        </w:rPr>
        <w:t xml:space="preserve">commitments, </w:t>
      </w:r>
      <w:r w:rsidR="003219B4" w:rsidRPr="00C64817">
        <w:rPr>
          <w:rFonts w:cstheme="minorHAnsi"/>
          <w:color w:val="auto"/>
        </w:rPr>
        <w:t xml:space="preserve">including </w:t>
      </w:r>
      <w:r w:rsidR="00EA2485" w:rsidRPr="00C64817">
        <w:rPr>
          <w:rFonts w:cstheme="minorHAnsi"/>
          <w:color w:val="auto"/>
        </w:rPr>
        <w:t>the gender equality actions of the Convention for the Elimination of All Forms of Discrimination against Women (CEDAW), the Revised Pacific Platform for Action on Advancement of Women and Gender Equality; the Pacific Plan; the 42nd Pacific Island Forum commitment to increase the representation of women in legislatures and decision making; and the 40th Pacific Island Forum commitment to eradicate sexual and gender based violence.</w:t>
      </w:r>
      <w:r w:rsidR="00963B81" w:rsidRPr="00C64817">
        <w:rPr>
          <w:rFonts w:cstheme="minorHAnsi"/>
          <w:color w:val="auto"/>
        </w:rPr>
        <w:t xml:space="preserve">  </w:t>
      </w:r>
      <w:r w:rsidR="005A5C82" w:rsidRPr="00C64817">
        <w:rPr>
          <w:rFonts w:cstheme="minorHAnsi"/>
          <w:color w:val="auto"/>
        </w:rPr>
        <w:t>I</w:t>
      </w:r>
      <w:r w:rsidR="003814D1" w:rsidRPr="00C64817">
        <w:rPr>
          <w:rFonts w:cstheme="minorHAnsi"/>
          <w:color w:val="auto"/>
        </w:rPr>
        <w:t>n 2015, Pacific Forum Leaders committed to the implementation</w:t>
      </w:r>
      <w:r w:rsidR="00A81376">
        <w:rPr>
          <w:rFonts w:cstheme="minorHAnsi"/>
          <w:color w:val="auto"/>
        </w:rPr>
        <w:t xml:space="preserve"> </w:t>
      </w:r>
      <w:r w:rsidR="003814D1" w:rsidRPr="00C64817">
        <w:rPr>
          <w:rFonts w:cstheme="minorHAnsi"/>
          <w:color w:val="auto"/>
        </w:rPr>
        <w:t>of the 2030 Agenda and Sustainable</w:t>
      </w:r>
      <w:r w:rsidR="00A81376">
        <w:rPr>
          <w:rFonts w:cstheme="minorHAnsi"/>
          <w:color w:val="auto"/>
        </w:rPr>
        <w:t xml:space="preserve"> </w:t>
      </w:r>
      <w:r w:rsidR="003814D1" w:rsidRPr="00C64817">
        <w:rPr>
          <w:rFonts w:cstheme="minorHAnsi"/>
          <w:color w:val="auto"/>
        </w:rPr>
        <w:t xml:space="preserve">Development Goals (SDGs) which includes Gender Equality (SDG #5).  </w:t>
      </w:r>
      <w:r w:rsidR="00F65D08">
        <w:rPr>
          <w:rFonts w:cstheme="minorHAnsi"/>
          <w:color w:val="auto"/>
        </w:rPr>
        <w:t>T</w:t>
      </w:r>
      <w:r w:rsidR="00963B81" w:rsidRPr="00C64817">
        <w:rPr>
          <w:rFonts w:cstheme="minorHAnsi"/>
          <w:color w:val="auto"/>
        </w:rPr>
        <w:t xml:space="preserve">o progress these commitments, Leaders </w:t>
      </w:r>
      <w:r w:rsidR="00AC4A4B" w:rsidRPr="00C64817">
        <w:rPr>
          <w:rFonts w:cstheme="minorHAnsi"/>
          <w:color w:val="auto"/>
        </w:rPr>
        <w:t xml:space="preserve">committed to implement specific </w:t>
      </w:r>
      <w:r w:rsidR="00B425E8" w:rsidRPr="00C64817">
        <w:rPr>
          <w:rFonts w:cstheme="minorHAnsi"/>
          <w:color w:val="auto"/>
        </w:rPr>
        <w:t>national policy ac</w:t>
      </w:r>
      <w:r w:rsidR="004350D7" w:rsidRPr="00C64817">
        <w:rPr>
          <w:rFonts w:cstheme="minorHAnsi"/>
          <w:color w:val="auto"/>
        </w:rPr>
        <w:t>tions in the areas of:</w:t>
      </w:r>
    </w:p>
    <w:p w14:paraId="7C4F004B" w14:textId="77777777" w:rsidR="008805F5" w:rsidRPr="00C64817" w:rsidRDefault="008805F5" w:rsidP="00C13494">
      <w:pPr>
        <w:pStyle w:val="ListParagraph"/>
        <w:numPr>
          <w:ilvl w:val="1"/>
          <w:numId w:val="12"/>
        </w:numPr>
        <w:tabs>
          <w:tab w:val="left" w:pos="284"/>
        </w:tabs>
        <w:suppressAutoHyphens w:val="0"/>
        <w:spacing w:before="0" w:line="280" w:lineRule="exact"/>
        <w:jc w:val="both"/>
        <w:rPr>
          <w:rFonts w:cstheme="minorHAnsi"/>
          <w:color w:val="auto"/>
        </w:rPr>
      </w:pPr>
      <w:r w:rsidRPr="00C64817">
        <w:rPr>
          <w:rFonts w:cstheme="minorHAnsi"/>
          <w:color w:val="auto"/>
        </w:rPr>
        <w:t>Gender Responsive Government Programs and Policies</w:t>
      </w:r>
    </w:p>
    <w:p w14:paraId="7DCB349A" w14:textId="77777777" w:rsidR="008805F5" w:rsidRPr="00C64817" w:rsidRDefault="008805F5" w:rsidP="00C13494">
      <w:pPr>
        <w:pStyle w:val="ListParagraph"/>
        <w:numPr>
          <w:ilvl w:val="1"/>
          <w:numId w:val="12"/>
        </w:numPr>
        <w:tabs>
          <w:tab w:val="left" w:pos="284"/>
        </w:tabs>
        <w:suppressAutoHyphens w:val="0"/>
        <w:spacing w:before="0" w:line="280" w:lineRule="exact"/>
        <w:jc w:val="both"/>
        <w:rPr>
          <w:rFonts w:cstheme="minorHAnsi"/>
          <w:color w:val="auto"/>
        </w:rPr>
      </w:pPr>
      <w:r w:rsidRPr="00C64817">
        <w:rPr>
          <w:rFonts w:cstheme="minorHAnsi"/>
          <w:color w:val="auto"/>
        </w:rPr>
        <w:t>Decision Making</w:t>
      </w:r>
    </w:p>
    <w:p w14:paraId="77AE05C8" w14:textId="77777777" w:rsidR="008805F5" w:rsidRPr="00C64817" w:rsidRDefault="008805F5" w:rsidP="00C13494">
      <w:pPr>
        <w:pStyle w:val="ListParagraph"/>
        <w:numPr>
          <w:ilvl w:val="1"/>
          <w:numId w:val="12"/>
        </w:numPr>
        <w:tabs>
          <w:tab w:val="left" w:pos="284"/>
        </w:tabs>
        <w:suppressAutoHyphens w:val="0"/>
        <w:spacing w:before="0" w:line="280" w:lineRule="exact"/>
        <w:jc w:val="both"/>
        <w:rPr>
          <w:rFonts w:cstheme="minorHAnsi"/>
          <w:color w:val="auto"/>
        </w:rPr>
      </w:pPr>
      <w:r w:rsidRPr="00C64817">
        <w:rPr>
          <w:rFonts w:cstheme="minorHAnsi"/>
          <w:color w:val="auto"/>
        </w:rPr>
        <w:t>Economic empowerment</w:t>
      </w:r>
    </w:p>
    <w:p w14:paraId="6A20C403" w14:textId="77777777" w:rsidR="008805F5" w:rsidRPr="00C64817" w:rsidRDefault="008805F5" w:rsidP="00C13494">
      <w:pPr>
        <w:pStyle w:val="ListParagraph"/>
        <w:numPr>
          <w:ilvl w:val="1"/>
          <w:numId w:val="12"/>
        </w:numPr>
        <w:tabs>
          <w:tab w:val="left" w:pos="284"/>
        </w:tabs>
        <w:suppressAutoHyphens w:val="0"/>
        <w:spacing w:before="0" w:line="280" w:lineRule="exact"/>
        <w:jc w:val="both"/>
        <w:rPr>
          <w:rFonts w:cstheme="minorHAnsi"/>
          <w:color w:val="auto"/>
        </w:rPr>
      </w:pPr>
      <w:r w:rsidRPr="00C64817">
        <w:rPr>
          <w:rFonts w:cstheme="minorHAnsi"/>
          <w:color w:val="auto"/>
        </w:rPr>
        <w:t>Ending violence against women</w:t>
      </w:r>
    </w:p>
    <w:p w14:paraId="060C98C3" w14:textId="77777777" w:rsidR="008805F5" w:rsidRPr="00C64817" w:rsidRDefault="008805F5" w:rsidP="00C13494">
      <w:pPr>
        <w:pStyle w:val="ListParagraph"/>
        <w:numPr>
          <w:ilvl w:val="1"/>
          <w:numId w:val="12"/>
        </w:numPr>
        <w:tabs>
          <w:tab w:val="left" w:pos="284"/>
        </w:tabs>
        <w:suppressAutoHyphens w:val="0"/>
        <w:spacing w:before="0" w:line="280" w:lineRule="exact"/>
        <w:jc w:val="both"/>
        <w:rPr>
          <w:rFonts w:cstheme="minorHAnsi"/>
          <w:color w:val="auto"/>
        </w:rPr>
      </w:pPr>
      <w:r w:rsidRPr="00C64817">
        <w:rPr>
          <w:rFonts w:cstheme="minorHAnsi"/>
          <w:color w:val="auto"/>
        </w:rPr>
        <w:t xml:space="preserve">Health and education </w:t>
      </w:r>
    </w:p>
    <w:p w14:paraId="5EC3486D" w14:textId="77777777" w:rsidR="00504517" w:rsidRPr="00C64817" w:rsidRDefault="00504517" w:rsidP="00504517">
      <w:pPr>
        <w:tabs>
          <w:tab w:val="left" w:pos="284"/>
        </w:tabs>
        <w:suppressAutoHyphens w:val="0"/>
        <w:spacing w:before="0" w:line="280" w:lineRule="exact"/>
        <w:jc w:val="both"/>
        <w:rPr>
          <w:rFonts w:cstheme="minorHAnsi"/>
          <w:color w:val="auto"/>
        </w:rPr>
      </w:pPr>
    </w:p>
    <w:p w14:paraId="1AFC03FD" w14:textId="4B0A854F" w:rsidR="00855226" w:rsidRDefault="00DF5626"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3.3</w:t>
      </w:r>
      <w:r w:rsidRPr="00C313F7">
        <w:rPr>
          <w:rFonts w:asciiTheme="minorHAnsi" w:hAnsiTheme="minorHAnsi" w:cstheme="minorHAnsi"/>
          <w:sz w:val="22"/>
          <w:szCs w:val="22"/>
          <w:lang w:eastAsia="ja-JP"/>
        </w:rPr>
        <w:tab/>
      </w:r>
      <w:r w:rsidR="00812B27" w:rsidRPr="00C313F7">
        <w:rPr>
          <w:rFonts w:asciiTheme="minorHAnsi" w:hAnsiTheme="minorHAnsi" w:cstheme="minorHAnsi"/>
          <w:sz w:val="22"/>
          <w:szCs w:val="22"/>
          <w:lang w:eastAsia="ja-JP"/>
        </w:rPr>
        <w:t>The Pacific Platform for Action on Gender Equality and Women’s Human Rights 2018 – 2030</w:t>
      </w:r>
      <w:r w:rsidR="00F65D08" w:rsidRPr="00C313F7">
        <w:rPr>
          <w:rFonts w:asciiTheme="minorHAnsi" w:hAnsiTheme="minorHAnsi" w:cstheme="minorHAnsi"/>
          <w:sz w:val="22"/>
          <w:szCs w:val="22"/>
          <w:lang w:eastAsia="ja-JP"/>
        </w:rPr>
        <w:t xml:space="preserve"> (PPA)</w:t>
      </w:r>
      <w:r w:rsidR="001144D4" w:rsidRPr="00C313F7">
        <w:rPr>
          <w:rFonts w:asciiTheme="minorHAnsi" w:hAnsiTheme="minorHAnsi" w:cstheme="minorHAnsi"/>
          <w:sz w:val="22"/>
          <w:szCs w:val="22"/>
          <w:lang w:eastAsia="ja-JP"/>
        </w:rPr>
        <w:t>, was</w:t>
      </w:r>
      <w:r w:rsidR="005675FA" w:rsidRPr="00C313F7">
        <w:rPr>
          <w:rFonts w:asciiTheme="minorHAnsi" w:hAnsiTheme="minorHAnsi" w:cstheme="minorHAnsi"/>
          <w:sz w:val="22"/>
          <w:szCs w:val="22"/>
          <w:lang w:eastAsia="ja-JP"/>
        </w:rPr>
        <w:t xml:space="preserve"> </w:t>
      </w:r>
      <w:r w:rsidR="00F6784C" w:rsidRPr="00C313F7">
        <w:rPr>
          <w:rFonts w:asciiTheme="minorHAnsi" w:hAnsiTheme="minorHAnsi" w:cstheme="minorHAnsi"/>
          <w:sz w:val="22"/>
          <w:szCs w:val="22"/>
          <w:lang w:eastAsia="ja-JP"/>
        </w:rPr>
        <w:t>endorsed by the Pacific Ministers for Women in 2017</w:t>
      </w:r>
      <w:r w:rsidR="00F65D08" w:rsidRPr="00C313F7">
        <w:rPr>
          <w:rFonts w:asciiTheme="minorHAnsi" w:hAnsiTheme="minorHAnsi" w:cstheme="minorHAnsi"/>
          <w:sz w:val="22"/>
          <w:szCs w:val="22"/>
          <w:lang w:eastAsia="ja-JP"/>
        </w:rPr>
        <w:t xml:space="preserve">. It </w:t>
      </w:r>
      <w:r w:rsidR="00812B27" w:rsidRPr="00C313F7">
        <w:rPr>
          <w:rFonts w:asciiTheme="minorHAnsi" w:hAnsiTheme="minorHAnsi" w:cstheme="minorHAnsi"/>
          <w:sz w:val="22"/>
          <w:szCs w:val="22"/>
          <w:lang w:eastAsia="ja-JP"/>
        </w:rPr>
        <w:t>provides a roadmap for achieving gender equality and enhancing the well-being of all women and girls</w:t>
      </w:r>
      <w:r w:rsidR="00E03880" w:rsidRPr="00C313F7">
        <w:rPr>
          <w:rFonts w:asciiTheme="minorHAnsi" w:hAnsiTheme="minorHAnsi" w:cstheme="minorHAnsi"/>
          <w:sz w:val="22"/>
          <w:szCs w:val="22"/>
          <w:lang w:eastAsia="ja-JP"/>
        </w:rPr>
        <w:t xml:space="preserve"> </w:t>
      </w:r>
      <w:r w:rsidR="00812B27" w:rsidRPr="00C313F7">
        <w:rPr>
          <w:rFonts w:asciiTheme="minorHAnsi" w:hAnsiTheme="minorHAnsi" w:cstheme="minorHAnsi"/>
          <w:sz w:val="22"/>
          <w:szCs w:val="22"/>
          <w:lang w:eastAsia="ja-JP"/>
        </w:rPr>
        <w:t>in all their diversity</w:t>
      </w:r>
      <w:r w:rsidR="00E03880" w:rsidRPr="00C313F7">
        <w:rPr>
          <w:rFonts w:asciiTheme="minorHAnsi" w:hAnsiTheme="minorHAnsi" w:cstheme="minorHAnsi"/>
          <w:sz w:val="22"/>
          <w:szCs w:val="22"/>
          <w:lang w:eastAsia="ja-JP"/>
        </w:rPr>
        <w:t xml:space="preserve">. This includes </w:t>
      </w:r>
      <w:r w:rsidR="00812B27" w:rsidRPr="00C313F7">
        <w:rPr>
          <w:rFonts w:asciiTheme="minorHAnsi" w:hAnsiTheme="minorHAnsi" w:cstheme="minorHAnsi"/>
          <w:sz w:val="22"/>
          <w:szCs w:val="22"/>
          <w:lang w:eastAsia="ja-JP"/>
        </w:rPr>
        <w:t xml:space="preserve">young women, older women, rural women, women with disabilities, women with diverse sexual orientations and gender identities, and indigenous women. The PPA is meant to support the implementation of commitments made in all global, </w:t>
      </w:r>
      <w:proofErr w:type="gramStart"/>
      <w:r w:rsidR="00812B27" w:rsidRPr="00C313F7">
        <w:rPr>
          <w:rFonts w:asciiTheme="minorHAnsi" w:hAnsiTheme="minorHAnsi" w:cstheme="minorHAnsi"/>
          <w:sz w:val="22"/>
          <w:szCs w:val="22"/>
          <w:lang w:eastAsia="ja-JP"/>
        </w:rPr>
        <w:t>regional</w:t>
      </w:r>
      <w:proofErr w:type="gramEnd"/>
      <w:r w:rsidR="00812B27" w:rsidRPr="00C313F7">
        <w:rPr>
          <w:rFonts w:asciiTheme="minorHAnsi" w:hAnsiTheme="minorHAnsi" w:cstheme="minorHAnsi"/>
          <w:sz w:val="22"/>
          <w:szCs w:val="22"/>
          <w:lang w:eastAsia="ja-JP"/>
        </w:rPr>
        <w:t xml:space="preserve"> and national instruments, and more specifically through the PLGED and Sustainable Development Goal 5 – Achieve gender equality and empower all women and girls. It will serve as a tool for accelerating the implementation of the PLGED.</w:t>
      </w:r>
    </w:p>
    <w:p w14:paraId="096CFA83" w14:textId="77777777" w:rsidR="00F66C54" w:rsidRPr="00C313F7" w:rsidRDefault="00F66C54" w:rsidP="00C313F7">
      <w:pPr>
        <w:pStyle w:val="Default"/>
        <w:jc w:val="both"/>
        <w:rPr>
          <w:rFonts w:cstheme="minorHAnsi"/>
          <w:sz w:val="22"/>
          <w:szCs w:val="22"/>
          <w:lang w:eastAsia="ja-JP"/>
        </w:rPr>
      </w:pPr>
    </w:p>
    <w:p w14:paraId="78D54A2A" w14:textId="0B6540DF" w:rsidR="003542D2" w:rsidRPr="00C313F7" w:rsidRDefault="00DF5626" w:rsidP="00C313F7">
      <w:pPr>
        <w:pStyle w:val="Default"/>
        <w:jc w:val="both"/>
        <w:rPr>
          <w:rFonts w:cstheme="minorHAnsi"/>
          <w:lang w:eastAsia="ja-JP"/>
        </w:rPr>
      </w:pPr>
      <w:r w:rsidRPr="00C313F7">
        <w:rPr>
          <w:rFonts w:cstheme="minorHAnsi"/>
          <w:lang w:eastAsia="ja-JP"/>
        </w:rPr>
        <w:t>3.4</w:t>
      </w:r>
      <w:r w:rsidRPr="00C313F7">
        <w:rPr>
          <w:rFonts w:cstheme="minorHAnsi"/>
          <w:lang w:eastAsia="ja-JP"/>
        </w:rPr>
        <w:tab/>
      </w:r>
      <w:r w:rsidR="00C13494" w:rsidRPr="00C313F7">
        <w:rPr>
          <w:rFonts w:cstheme="minorHAnsi"/>
          <w:lang w:eastAsia="ja-JP"/>
        </w:rPr>
        <w:t>The PPA provides a clear definition of gender equality that is used in this design</w:t>
      </w:r>
      <w:r w:rsidR="003542D2" w:rsidRPr="00C313F7">
        <w:rPr>
          <w:rFonts w:cstheme="minorHAnsi"/>
          <w:lang w:eastAsia="ja-JP"/>
        </w:rPr>
        <w:t xml:space="preserve">: </w:t>
      </w:r>
    </w:p>
    <w:p w14:paraId="62959A0B" w14:textId="376797CA" w:rsidR="0035027C" w:rsidRDefault="0035027C"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Gender equality refers to the equal rights, responsibilities and opportunities of women and men and girls and boys. Equality does not mean that women and men will become the same but that women’s and men’s rights, responsibilities and opportunities will not depend on whether they are born male or female. Gender equality implies that the interests, needs and priorities of both women and men are taken into consideration, recognising the diversity of different groups of women and men. Gender equality is not a women’s issue but should concern and fully engage men as well as women. Equality between women and men is seen both as a human rights issue and as a precondition for, and indicator of, sustainable people-centred development.</w:t>
      </w:r>
    </w:p>
    <w:p w14:paraId="1C36E76B" w14:textId="0158AED8" w:rsidR="00A81376" w:rsidRDefault="00A81376" w:rsidP="00141593">
      <w:pPr>
        <w:pStyle w:val="Default"/>
        <w:jc w:val="both"/>
        <w:rPr>
          <w:rFonts w:asciiTheme="minorHAnsi" w:hAnsiTheme="minorHAnsi" w:cstheme="minorHAnsi"/>
          <w:sz w:val="22"/>
          <w:szCs w:val="22"/>
          <w:lang w:eastAsia="ja-JP"/>
        </w:rPr>
      </w:pPr>
    </w:p>
    <w:p w14:paraId="42384612" w14:textId="03E503D3" w:rsidR="00A81376" w:rsidRDefault="00A81376" w:rsidP="00141593">
      <w:pPr>
        <w:pStyle w:val="Default"/>
        <w:jc w:val="both"/>
        <w:rPr>
          <w:rFonts w:asciiTheme="minorHAnsi" w:hAnsiTheme="minorHAnsi" w:cstheme="minorHAnsi"/>
          <w:sz w:val="22"/>
          <w:szCs w:val="22"/>
          <w:lang w:eastAsia="ja-JP"/>
        </w:rPr>
      </w:pPr>
    </w:p>
    <w:p w14:paraId="03D06815" w14:textId="6D35AA78" w:rsidR="00A81376" w:rsidRDefault="00A81376" w:rsidP="00141593">
      <w:pPr>
        <w:pStyle w:val="Default"/>
        <w:jc w:val="both"/>
        <w:rPr>
          <w:rFonts w:asciiTheme="minorHAnsi" w:hAnsiTheme="minorHAnsi" w:cstheme="minorHAnsi"/>
          <w:sz w:val="22"/>
          <w:szCs w:val="22"/>
          <w:lang w:eastAsia="ja-JP"/>
        </w:rPr>
      </w:pPr>
    </w:p>
    <w:p w14:paraId="3ED9AA51" w14:textId="3F67AE7B" w:rsidR="00A81376" w:rsidRDefault="00A81376" w:rsidP="00141593">
      <w:pPr>
        <w:pStyle w:val="Default"/>
        <w:jc w:val="both"/>
        <w:rPr>
          <w:rFonts w:asciiTheme="minorHAnsi" w:hAnsiTheme="minorHAnsi" w:cstheme="minorHAnsi"/>
          <w:sz w:val="22"/>
          <w:szCs w:val="22"/>
          <w:lang w:eastAsia="ja-JP"/>
        </w:rPr>
      </w:pPr>
    </w:p>
    <w:p w14:paraId="079D8259" w14:textId="409E45C2" w:rsidR="00A81376" w:rsidRDefault="00A81376" w:rsidP="00141593">
      <w:pPr>
        <w:pStyle w:val="Default"/>
        <w:jc w:val="both"/>
        <w:rPr>
          <w:rFonts w:asciiTheme="minorHAnsi" w:hAnsiTheme="minorHAnsi" w:cstheme="minorHAnsi"/>
          <w:sz w:val="22"/>
          <w:szCs w:val="22"/>
          <w:lang w:eastAsia="ja-JP"/>
        </w:rPr>
      </w:pPr>
    </w:p>
    <w:p w14:paraId="12E6EA83" w14:textId="3FBF5E8F" w:rsidR="00A81376" w:rsidRDefault="00A81376" w:rsidP="00141593">
      <w:pPr>
        <w:pStyle w:val="Default"/>
        <w:jc w:val="both"/>
        <w:rPr>
          <w:rFonts w:asciiTheme="minorHAnsi" w:hAnsiTheme="minorHAnsi" w:cstheme="minorHAnsi"/>
          <w:sz w:val="22"/>
          <w:szCs w:val="22"/>
          <w:lang w:eastAsia="ja-JP"/>
        </w:rPr>
      </w:pPr>
    </w:p>
    <w:p w14:paraId="2B9B6BEB" w14:textId="77777777" w:rsidR="00A81376" w:rsidRDefault="00A81376" w:rsidP="00141593">
      <w:pPr>
        <w:pStyle w:val="Default"/>
        <w:jc w:val="both"/>
        <w:rPr>
          <w:rFonts w:asciiTheme="minorHAnsi" w:hAnsiTheme="minorHAnsi" w:cstheme="minorHAnsi"/>
          <w:sz w:val="22"/>
          <w:szCs w:val="22"/>
          <w:lang w:eastAsia="ja-JP"/>
        </w:rPr>
      </w:pPr>
    </w:p>
    <w:p w14:paraId="129A3045" w14:textId="5804F352" w:rsidR="0066255B" w:rsidRDefault="0066255B" w:rsidP="00141593">
      <w:pPr>
        <w:pStyle w:val="Default"/>
        <w:jc w:val="both"/>
        <w:rPr>
          <w:rFonts w:asciiTheme="minorHAnsi" w:hAnsiTheme="minorHAnsi" w:cstheme="minorHAnsi"/>
          <w:sz w:val="22"/>
          <w:szCs w:val="22"/>
          <w:lang w:eastAsia="ja-JP"/>
        </w:rPr>
      </w:pPr>
    </w:p>
    <w:p w14:paraId="50F768E7" w14:textId="3E805723" w:rsidR="0066255B" w:rsidRDefault="0066255B" w:rsidP="00141593">
      <w:pPr>
        <w:pStyle w:val="Default"/>
        <w:jc w:val="both"/>
        <w:rPr>
          <w:rFonts w:asciiTheme="minorHAnsi" w:hAnsiTheme="minorHAnsi" w:cstheme="minorHAnsi"/>
          <w:sz w:val="22"/>
          <w:szCs w:val="22"/>
          <w:lang w:eastAsia="ja-JP"/>
        </w:rPr>
      </w:pPr>
    </w:p>
    <w:p w14:paraId="20439308" w14:textId="77777777" w:rsidR="0035027C" w:rsidRPr="00C64817" w:rsidRDefault="0035027C" w:rsidP="00C13494">
      <w:pPr>
        <w:pBdr>
          <w:top w:val="single" w:sz="4" w:space="1" w:color="auto"/>
          <w:left w:val="single" w:sz="4" w:space="4" w:color="auto"/>
          <w:bottom w:val="single" w:sz="4" w:space="1" w:color="auto"/>
          <w:right w:val="single" w:sz="4" w:space="4" w:color="auto"/>
        </w:pBdr>
        <w:jc w:val="both"/>
        <w:rPr>
          <w:rFonts w:cstheme="minorHAnsi"/>
          <w:color w:val="auto"/>
        </w:rPr>
      </w:pPr>
      <w:r w:rsidRPr="00C64817">
        <w:rPr>
          <w:rFonts w:cstheme="minorHAnsi"/>
          <w:color w:val="auto"/>
        </w:rPr>
        <w:t xml:space="preserve">Gender equality means that women and men of all ages, in all their diversity, have equal rights in all areas of life: </w:t>
      </w:r>
    </w:p>
    <w:p w14:paraId="5B6C571F"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be </w:t>
      </w:r>
      <w:proofErr w:type="gramStart"/>
      <w:r w:rsidRPr="00407D94">
        <w:rPr>
          <w:rFonts w:cstheme="minorHAnsi"/>
          <w:color w:val="auto"/>
        </w:rPr>
        <w:t>safe;</w:t>
      </w:r>
      <w:proofErr w:type="gramEnd"/>
    </w:p>
    <w:p w14:paraId="66572976"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be </w:t>
      </w:r>
      <w:proofErr w:type="gramStart"/>
      <w:r w:rsidRPr="00407D94">
        <w:rPr>
          <w:rFonts w:cstheme="minorHAnsi"/>
          <w:color w:val="auto"/>
        </w:rPr>
        <w:t>respected;</w:t>
      </w:r>
      <w:proofErr w:type="gramEnd"/>
    </w:p>
    <w:p w14:paraId="38DE6E9B"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earn </w:t>
      </w:r>
      <w:proofErr w:type="gramStart"/>
      <w:r w:rsidRPr="00407D94">
        <w:rPr>
          <w:rFonts w:cstheme="minorHAnsi"/>
          <w:color w:val="auto"/>
        </w:rPr>
        <w:t>incomes;</w:t>
      </w:r>
      <w:proofErr w:type="gramEnd"/>
      <w:r w:rsidRPr="00407D94">
        <w:rPr>
          <w:rFonts w:cstheme="minorHAnsi"/>
          <w:color w:val="auto"/>
        </w:rPr>
        <w:t xml:space="preserve"> </w:t>
      </w:r>
    </w:p>
    <w:p w14:paraId="484608E0"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express their views and be </w:t>
      </w:r>
      <w:proofErr w:type="gramStart"/>
      <w:r w:rsidRPr="00407D94">
        <w:rPr>
          <w:rFonts w:cstheme="minorHAnsi"/>
          <w:color w:val="auto"/>
        </w:rPr>
        <w:t>heard;</w:t>
      </w:r>
      <w:proofErr w:type="gramEnd"/>
      <w:r w:rsidRPr="00407D94">
        <w:rPr>
          <w:rFonts w:cstheme="minorHAnsi"/>
          <w:color w:val="auto"/>
        </w:rPr>
        <w:t xml:space="preserve"> </w:t>
      </w:r>
    </w:p>
    <w:p w14:paraId="41CF47AD"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express their gender </w:t>
      </w:r>
      <w:proofErr w:type="gramStart"/>
      <w:r w:rsidRPr="00407D94">
        <w:rPr>
          <w:rFonts w:cstheme="minorHAnsi"/>
          <w:color w:val="auto"/>
        </w:rPr>
        <w:t>identity;</w:t>
      </w:r>
      <w:proofErr w:type="gramEnd"/>
      <w:r w:rsidRPr="00407D94">
        <w:rPr>
          <w:rFonts w:cstheme="minorHAnsi"/>
          <w:color w:val="auto"/>
        </w:rPr>
        <w:t xml:space="preserve"> </w:t>
      </w:r>
    </w:p>
    <w:p w14:paraId="47FD8A91"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choose how many children they </w:t>
      </w:r>
      <w:proofErr w:type="gramStart"/>
      <w:r w:rsidRPr="00407D94">
        <w:rPr>
          <w:rFonts w:cstheme="minorHAnsi"/>
          <w:color w:val="auto"/>
        </w:rPr>
        <w:t>have;</w:t>
      </w:r>
      <w:proofErr w:type="gramEnd"/>
      <w:r w:rsidRPr="00407D94">
        <w:rPr>
          <w:rFonts w:cstheme="minorHAnsi"/>
          <w:color w:val="auto"/>
        </w:rPr>
        <w:t xml:space="preserve"> </w:t>
      </w:r>
    </w:p>
    <w:p w14:paraId="64B9CAE5"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choose their </w:t>
      </w:r>
      <w:proofErr w:type="gramStart"/>
      <w:r w:rsidRPr="00407D94">
        <w:rPr>
          <w:rFonts w:cstheme="minorHAnsi"/>
          <w:color w:val="auto"/>
        </w:rPr>
        <w:t>partner;</w:t>
      </w:r>
      <w:proofErr w:type="gramEnd"/>
      <w:r w:rsidRPr="00407D94">
        <w:rPr>
          <w:rFonts w:cstheme="minorHAnsi"/>
          <w:color w:val="auto"/>
        </w:rPr>
        <w:t xml:space="preserve"> </w:t>
      </w:r>
    </w:p>
    <w:p w14:paraId="46A99473"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have safe and accessible services and infrastructure for women and men differently </w:t>
      </w:r>
      <w:proofErr w:type="gramStart"/>
      <w:r w:rsidRPr="00407D94">
        <w:rPr>
          <w:rFonts w:cstheme="minorHAnsi"/>
          <w:color w:val="auto"/>
        </w:rPr>
        <w:t>abled;</w:t>
      </w:r>
      <w:proofErr w:type="gramEnd"/>
      <w:r w:rsidRPr="00407D94">
        <w:rPr>
          <w:rFonts w:cstheme="minorHAnsi"/>
          <w:color w:val="auto"/>
        </w:rPr>
        <w:t xml:space="preserve"> </w:t>
      </w:r>
    </w:p>
    <w:p w14:paraId="72B0D0C6"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participate in decision-making and occupy leadership </w:t>
      </w:r>
      <w:proofErr w:type="gramStart"/>
      <w:r w:rsidRPr="00407D94">
        <w:rPr>
          <w:rFonts w:cstheme="minorHAnsi"/>
          <w:color w:val="auto"/>
        </w:rPr>
        <w:t>positions;</w:t>
      </w:r>
      <w:proofErr w:type="gramEnd"/>
    </w:p>
    <w:p w14:paraId="04462356" w14:textId="77777777" w:rsidR="0035027C" w:rsidRPr="00407D94" w:rsidRDefault="0035027C" w:rsidP="00C13494">
      <w:pPr>
        <w:pBdr>
          <w:top w:val="single" w:sz="4" w:space="1" w:color="auto"/>
          <w:left w:val="single" w:sz="4" w:space="4" w:color="auto"/>
          <w:bottom w:val="single" w:sz="4" w:space="1" w:color="auto"/>
          <w:right w:val="single" w:sz="4" w:space="4" w:color="auto"/>
        </w:pBdr>
        <w:spacing w:before="0" w:after="0" w:line="0" w:lineRule="atLeast"/>
        <w:jc w:val="both"/>
        <w:rPr>
          <w:rFonts w:cstheme="minorHAnsi"/>
          <w:color w:val="auto"/>
        </w:rPr>
      </w:pPr>
      <w:r w:rsidRPr="00C64817">
        <w:rPr>
          <w:rFonts w:eastAsia="Symbol" w:cstheme="minorHAnsi"/>
          <w:color w:val="auto"/>
        </w:rPr>
        <w:sym w:font="Symbol" w:char="F0B7"/>
      </w:r>
      <w:r w:rsidRPr="00407D94">
        <w:rPr>
          <w:rFonts w:cstheme="minorHAnsi"/>
          <w:color w:val="auto"/>
        </w:rPr>
        <w:t xml:space="preserve"> the right to decide for themselves the future they want.</w:t>
      </w:r>
    </w:p>
    <w:p w14:paraId="7DB1F3C2" w14:textId="46766681" w:rsidR="0035027C" w:rsidRPr="00B43027" w:rsidRDefault="0035027C" w:rsidP="00C13494">
      <w:pPr>
        <w:pBdr>
          <w:top w:val="single" w:sz="4" w:space="1" w:color="auto"/>
          <w:left w:val="single" w:sz="4" w:space="4" w:color="auto"/>
          <w:bottom w:val="single" w:sz="4" w:space="1" w:color="auto"/>
          <w:right w:val="single" w:sz="4" w:space="4" w:color="auto"/>
        </w:pBdr>
        <w:jc w:val="both"/>
        <w:rPr>
          <w:rFonts w:cstheme="minorHAnsi"/>
        </w:rPr>
      </w:pPr>
      <w:r w:rsidRPr="008A7462">
        <w:rPr>
          <w:rFonts w:cstheme="minorHAnsi"/>
        </w:rPr>
        <w:t xml:space="preserve">Source: </w:t>
      </w:r>
      <w:r w:rsidRPr="008A7462">
        <w:rPr>
          <w:rFonts w:cstheme="minorHAnsi"/>
          <w:color w:val="auto"/>
        </w:rPr>
        <w:t>Pacific Platform for Action on Gender Equality and Women’s Human Rights 2018</w:t>
      </w:r>
      <w:r w:rsidRPr="008A7462">
        <w:rPr>
          <w:rFonts w:cstheme="minorHAnsi"/>
          <w:color w:val="auto"/>
        </w:rPr>
        <w:softHyphen/>
        <w:t>–2030</w:t>
      </w:r>
    </w:p>
    <w:p w14:paraId="4D3F3765" w14:textId="27E84DD4" w:rsidR="004A7E97" w:rsidRDefault="004A7E97" w:rsidP="00C13494">
      <w:pPr>
        <w:tabs>
          <w:tab w:val="left" w:pos="284"/>
        </w:tabs>
        <w:suppressAutoHyphens w:val="0"/>
        <w:spacing w:before="0" w:line="280" w:lineRule="exact"/>
        <w:jc w:val="both"/>
        <w:rPr>
          <w:rFonts w:cstheme="minorHAnsi"/>
          <w:color w:val="auto"/>
        </w:rPr>
      </w:pPr>
    </w:p>
    <w:p w14:paraId="15FE813B" w14:textId="7E439856" w:rsidR="000110F6" w:rsidRDefault="000110F6" w:rsidP="00C313F7">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3.5</w:t>
      </w:r>
      <w:r w:rsidRPr="00C313F7">
        <w:rPr>
          <w:rFonts w:asciiTheme="minorHAnsi" w:hAnsiTheme="minorHAnsi" w:cstheme="minorHAnsi"/>
          <w:sz w:val="22"/>
          <w:szCs w:val="22"/>
          <w:lang w:eastAsia="ja-JP"/>
        </w:rPr>
        <w:tab/>
        <w:t xml:space="preserve">The </w:t>
      </w:r>
      <w:proofErr w:type="spellStart"/>
      <w:r w:rsidRPr="00C313F7">
        <w:rPr>
          <w:rFonts w:asciiTheme="minorHAnsi" w:hAnsiTheme="minorHAnsi" w:cstheme="minorHAnsi"/>
          <w:sz w:val="22"/>
          <w:szCs w:val="22"/>
          <w:lang w:eastAsia="ja-JP"/>
        </w:rPr>
        <w:t>Boe</w:t>
      </w:r>
      <w:proofErr w:type="spellEnd"/>
      <w:r w:rsidRPr="00C313F7">
        <w:rPr>
          <w:rFonts w:asciiTheme="minorHAnsi" w:hAnsiTheme="minorHAnsi" w:cstheme="minorHAnsi"/>
          <w:sz w:val="22"/>
          <w:szCs w:val="22"/>
          <w:lang w:eastAsia="ja-JP"/>
        </w:rPr>
        <w:t xml:space="preserve"> Declaration on Regional Security Action Plan </w:t>
      </w:r>
      <w:r w:rsidR="00173A38" w:rsidRPr="00C313F7">
        <w:rPr>
          <w:rFonts w:asciiTheme="minorHAnsi" w:hAnsiTheme="minorHAnsi" w:cstheme="minorHAnsi"/>
          <w:sz w:val="22"/>
          <w:szCs w:val="22"/>
          <w:lang w:eastAsia="ja-JP"/>
        </w:rPr>
        <w:t xml:space="preserve">commits to eradicate gender-based violence and provide space for participation of women based on merit in security processes. </w:t>
      </w:r>
    </w:p>
    <w:p w14:paraId="02381947" w14:textId="77777777" w:rsidR="00C10D69" w:rsidRPr="00C313F7" w:rsidRDefault="00C10D69" w:rsidP="00C313F7">
      <w:pPr>
        <w:pStyle w:val="Default"/>
        <w:jc w:val="both"/>
        <w:rPr>
          <w:rFonts w:cstheme="minorHAnsi"/>
          <w:lang w:eastAsia="ja-JP"/>
        </w:rPr>
      </w:pPr>
    </w:p>
    <w:p w14:paraId="60311E88" w14:textId="5EC522FA" w:rsidR="00927324" w:rsidRDefault="00DF5626"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3.</w:t>
      </w:r>
      <w:r w:rsidR="00173A38" w:rsidRPr="00C313F7">
        <w:rPr>
          <w:rFonts w:asciiTheme="minorHAnsi" w:hAnsiTheme="minorHAnsi" w:cstheme="minorHAnsi"/>
          <w:sz w:val="22"/>
          <w:szCs w:val="22"/>
          <w:lang w:eastAsia="ja-JP"/>
        </w:rPr>
        <w:t>6</w:t>
      </w:r>
      <w:r w:rsidRPr="00C313F7">
        <w:rPr>
          <w:rFonts w:asciiTheme="minorHAnsi" w:hAnsiTheme="minorHAnsi" w:cstheme="minorHAnsi"/>
          <w:sz w:val="22"/>
          <w:szCs w:val="22"/>
          <w:lang w:eastAsia="ja-JP"/>
        </w:rPr>
        <w:tab/>
      </w:r>
      <w:r w:rsidR="00E82E47" w:rsidRPr="00C313F7">
        <w:rPr>
          <w:rFonts w:asciiTheme="minorHAnsi" w:hAnsiTheme="minorHAnsi" w:cstheme="minorHAnsi"/>
          <w:sz w:val="22"/>
          <w:szCs w:val="22"/>
          <w:lang w:eastAsia="ja-JP"/>
        </w:rPr>
        <w:t xml:space="preserve">The two leading Pacific regional organisations – the Pacific Islands Forum Secretariat (PIFS) and the </w:t>
      </w:r>
      <w:r w:rsidR="00DD0D49" w:rsidRPr="00C313F7">
        <w:rPr>
          <w:rFonts w:asciiTheme="minorHAnsi" w:hAnsiTheme="minorHAnsi" w:cstheme="minorHAnsi"/>
          <w:sz w:val="22"/>
          <w:szCs w:val="22"/>
          <w:lang w:eastAsia="ja-JP"/>
        </w:rPr>
        <w:t xml:space="preserve"> Pacific Community (SPC)</w:t>
      </w:r>
      <w:r w:rsidR="00FF3DA9" w:rsidRPr="00C313F7">
        <w:rPr>
          <w:rFonts w:asciiTheme="minorHAnsi" w:hAnsiTheme="minorHAnsi" w:cstheme="minorHAnsi"/>
          <w:sz w:val="22"/>
          <w:szCs w:val="22"/>
          <w:lang w:eastAsia="ja-JP"/>
        </w:rPr>
        <w:t xml:space="preserve"> </w:t>
      </w:r>
      <w:r w:rsidR="00FB7AD9" w:rsidRPr="00C313F7">
        <w:rPr>
          <w:rFonts w:asciiTheme="minorHAnsi" w:hAnsiTheme="minorHAnsi" w:cstheme="minorHAnsi"/>
          <w:sz w:val="22"/>
          <w:szCs w:val="22"/>
          <w:lang w:eastAsia="ja-JP"/>
        </w:rPr>
        <w:t>–</w:t>
      </w:r>
      <w:r w:rsidR="00FF3DA9" w:rsidRPr="00C313F7">
        <w:rPr>
          <w:rFonts w:asciiTheme="minorHAnsi" w:hAnsiTheme="minorHAnsi" w:cstheme="minorHAnsi"/>
          <w:sz w:val="22"/>
          <w:szCs w:val="22"/>
          <w:lang w:eastAsia="ja-JP"/>
        </w:rPr>
        <w:t xml:space="preserve"> </w:t>
      </w:r>
      <w:r w:rsidR="00FB7AD9" w:rsidRPr="00C313F7">
        <w:rPr>
          <w:rFonts w:asciiTheme="minorHAnsi" w:hAnsiTheme="minorHAnsi" w:cstheme="minorHAnsi"/>
          <w:sz w:val="22"/>
          <w:szCs w:val="22"/>
          <w:lang w:eastAsia="ja-JP"/>
        </w:rPr>
        <w:t xml:space="preserve">play </w:t>
      </w:r>
      <w:r w:rsidR="00DD294B" w:rsidRPr="00C313F7">
        <w:rPr>
          <w:rFonts w:asciiTheme="minorHAnsi" w:hAnsiTheme="minorHAnsi" w:cstheme="minorHAnsi"/>
          <w:sz w:val="22"/>
          <w:szCs w:val="22"/>
          <w:lang w:eastAsia="ja-JP"/>
        </w:rPr>
        <w:t xml:space="preserve">complementary roles </w:t>
      </w:r>
      <w:r w:rsidR="00E87111" w:rsidRPr="00C313F7">
        <w:rPr>
          <w:rFonts w:asciiTheme="minorHAnsi" w:hAnsiTheme="minorHAnsi" w:cstheme="minorHAnsi"/>
          <w:sz w:val="22"/>
          <w:szCs w:val="22"/>
          <w:lang w:eastAsia="ja-JP"/>
        </w:rPr>
        <w:t>in</w:t>
      </w:r>
      <w:r w:rsidR="00EF20DD" w:rsidRPr="00C313F7">
        <w:rPr>
          <w:rFonts w:asciiTheme="minorHAnsi" w:hAnsiTheme="minorHAnsi" w:cstheme="minorHAnsi"/>
          <w:sz w:val="22"/>
          <w:szCs w:val="22"/>
          <w:lang w:eastAsia="ja-JP"/>
        </w:rPr>
        <w:t xml:space="preserve"> </w:t>
      </w:r>
      <w:r w:rsidR="00720670" w:rsidRPr="00C313F7">
        <w:rPr>
          <w:rFonts w:asciiTheme="minorHAnsi" w:hAnsiTheme="minorHAnsi" w:cstheme="minorHAnsi"/>
          <w:sz w:val="22"/>
          <w:szCs w:val="22"/>
          <w:lang w:eastAsia="ja-JP"/>
        </w:rPr>
        <w:t>gender equality in the region</w:t>
      </w:r>
      <w:r w:rsidR="00936518" w:rsidRPr="00C313F7">
        <w:rPr>
          <w:rFonts w:asciiTheme="minorHAnsi" w:hAnsiTheme="minorHAnsi" w:cstheme="minorHAnsi"/>
          <w:sz w:val="22"/>
          <w:szCs w:val="22"/>
          <w:lang w:eastAsia="ja-JP"/>
        </w:rPr>
        <w:t xml:space="preserve">, with </w:t>
      </w:r>
      <w:r w:rsidR="00156249" w:rsidRPr="00C313F7">
        <w:rPr>
          <w:rFonts w:asciiTheme="minorHAnsi" w:hAnsiTheme="minorHAnsi" w:cstheme="minorHAnsi"/>
          <w:sz w:val="22"/>
          <w:szCs w:val="22"/>
          <w:lang w:eastAsia="ja-JP"/>
        </w:rPr>
        <w:t xml:space="preserve">PIFS </w:t>
      </w:r>
      <w:r w:rsidR="00727B99" w:rsidRPr="00C313F7">
        <w:rPr>
          <w:rFonts w:asciiTheme="minorHAnsi" w:hAnsiTheme="minorHAnsi" w:cstheme="minorHAnsi"/>
          <w:sz w:val="22"/>
          <w:szCs w:val="22"/>
          <w:lang w:eastAsia="ja-JP"/>
        </w:rPr>
        <w:t>being the custodian</w:t>
      </w:r>
      <w:r w:rsidR="006C1C1C" w:rsidRPr="00C313F7">
        <w:rPr>
          <w:rFonts w:asciiTheme="minorHAnsi" w:hAnsiTheme="minorHAnsi" w:cstheme="minorHAnsi"/>
          <w:sz w:val="22"/>
          <w:szCs w:val="22"/>
          <w:lang w:eastAsia="ja-JP"/>
        </w:rPr>
        <w:t xml:space="preserve"> of th</w:t>
      </w:r>
      <w:r w:rsidR="00902E08" w:rsidRPr="00C313F7">
        <w:rPr>
          <w:rFonts w:asciiTheme="minorHAnsi" w:hAnsiTheme="minorHAnsi" w:cstheme="minorHAnsi"/>
          <w:sz w:val="22"/>
          <w:szCs w:val="22"/>
          <w:lang w:eastAsia="ja-JP"/>
        </w:rPr>
        <w:t xml:space="preserve">e Pacific Leaders Gender Equality Declaration </w:t>
      </w:r>
      <w:r w:rsidR="00617681" w:rsidRPr="00C313F7">
        <w:rPr>
          <w:rFonts w:asciiTheme="minorHAnsi" w:hAnsiTheme="minorHAnsi" w:cstheme="minorHAnsi"/>
          <w:sz w:val="22"/>
          <w:szCs w:val="22"/>
          <w:lang w:eastAsia="ja-JP"/>
        </w:rPr>
        <w:t xml:space="preserve">and SPC </w:t>
      </w:r>
      <w:r w:rsidR="006E6052" w:rsidRPr="00C313F7">
        <w:rPr>
          <w:rFonts w:asciiTheme="minorHAnsi" w:hAnsiTheme="minorHAnsi" w:cstheme="minorHAnsi"/>
          <w:sz w:val="22"/>
          <w:szCs w:val="22"/>
          <w:lang w:eastAsia="ja-JP"/>
        </w:rPr>
        <w:t>being the custodian</w:t>
      </w:r>
      <w:r w:rsidR="00617681" w:rsidRPr="00C313F7">
        <w:rPr>
          <w:rFonts w:asciiTheme="minorHAnsi" w:hAnsiTheme="minorHAnsi" w:cstheme="minorHAnsi"/>
          <w:sz w:val="22"/>
          <w:szCs w:val="22"/>
          <w:lang w:eastAsia="ja-JP"/>
        </w:rPr>
        <w:t xml:space="preserve"> of the </w:t>
      </w:r>
      <w:r w:rsidR="00902E08" w:rsidRPr="00C313F7">
        <w:rPr>
          <w:rFonts w:asciiTheme="minorHAnsi" w:hAnsiTheme="minorHAnsi" w:cstheme="minorHAnsi"/>
          <w:sz w:val="22"/>
          <w:szCs w:val="22"/>
          <w:lang w:eastAsia="ja-JP"/>
        </w:rPr>
        <w:t>P</w:t>
      </w:r>
      <w:r w:rsidR="002F7DF1" w:rsidRPr="00C313F7">
        <w:rPr>
          <w:rFonts w:asciiTheme="minorHAnsi" w:hAnsiTheme="minorHAnsi" w:cstheme="minorHAnsi"/>
          <w:sz w:val="22"/>
          <w:szCs w:val="22"/>
          <w:lang w:eastAsia="ja-JP"/>
        </w:rPr>
        <w:t>acific Platform for Action</w:t>
      </w:r>
      <w:r w:rsidR="00617681" w:rsidRPr="00C313F7">
        <w:rPr>
          <w:rFonts w:asciiTheme="minorHAnsi" w:hAnsiTheme="minorHAnsi" w:cstheme="minorHAnsi"/>
          <w:sz w:val="22"/>
          <w:szCs w:val="22"/>
          <w:lang w:eastAsia="ja-JP"/>
        </w:rPr>
        <w:t xml:space="preserve">.  PIFS </w:t>
      </w:r>
      <w:r w:rsidR="004D6F2D" w:rsidRPr="00C313F7">
        <w:rPr>
          <w:rFonts w:asciiTheme="minorHAnsi" w:hAnsiTheme="minorHAnsi" w:cstheme="minorHAnsi"/>
          <w:sz w:val="22"/>
          <w:szCs w:val="22"/>
          <w:lang w:eastAsia="ja-JP"/>
        </w:rPr>
        <w:t>provides a biennial and quadrennial report on the Leaders Declaration</w:t>
      </w:r>
      <w:r w:rsidR="00173326" w:rsidRPr="00C313F7">
        <w:rPr>
          <w:rFonts w:asciiTheme="minorHAnsi" w:hAnsiTheme="minorHAnsi" w:cstheme="minorHAnsi"/>
          <w:sz w:val="22"/>
          <w:szCs w:val="22"/>
          <w:lang w:eastAsia="ja-JP"/>
        </w:rPr>
        <w:t xml:space="preserve">; SPC </w:t>
      </w:r>
      <w:r w:rsidR="00940E37" w:rsidRPr="00C313F7">
        <w:rPr>
          <w:rFonts w:asciiTheme="minorHAnsi" w:hAnsiTheme="minorHAnsi" w:cstheme="minorHAnsi"/>
          <w:sz w:val="22"/>
          <w:szCs w:val="22"/>
          <w:lang w:eastAsia="ja-JP"/>
        </w:rPr>
        <w:t xml:space="preserve">convenes the Triennial </w:t>
      </w:r>
      <w:r w:rsidR="004E12EA" w:rsidRPr="00C313F7">
        <w:rPr>
          <w:rFonts w:asciiTheme="minorHAnsi" w:hAnsiTheme="minorHAnsi" w:cstheme="minorHAnsi"/>
          <w:sz w:val="22"/>
          <w:szCs w:val="22"/>
          <w:lang w:eastAsia="ja-JP"/>
        </w:rPr>
        <w:t>C</w:t>
      </w:r>
      <w:r w:rsidR="00940E37" w:rsidRPr="00C313F7">
        <w:rPr>
          <w:rFonts w:asciiTheme="minorHAnsi" w:hAnsiTheme="minorHAnsi" w:cstheme="minorHAnsi"/>
          <w:sz w:val="22"/>
          <w:szCs w:val="22"/>
          <w:lang w:eastAsia="ja-JP"/>
        </w:rPr>
        <w:t>onference of Pacific Women</w:t>
      </w:r>
      <w:r w:rsidR="00194691" w:rsidRPr="00C313F7">
        <w:rPr>
          <w:rFonts w:asciiTheme="minorHAnsi" w:hAnsiTheme="minorHAnsi" w:cstheme="minorHAnsi"/>
          <w:sz w:val="22"/>
          <w:szCs w:val="22"/>
          <w:lang w:eastAsia="ja-JP"/>
        </w:rPr>
        <w:t xml:space="preserve"> and the Meeting of Pacific Ministers for Women.</w:t>
      </w:r>
      <w:r w:rsidR="006455A5" w:rsidRPr="00C313F7">
        <w:rPr>
          <w:rFonts w:asciiTheme="minorHAnsi" w:hAnsiTheme="minorHAnsi" w:cstheme="minorHAnsi"/>
          <w:sz w:val="22"/>
          <w:szCs w:val="22"/>
          <w:lang w:eastAsia="ja-JP"/>
        </w:rPr>
        <w:t xml:space="preserve"> PIFS and SPC are member</w:t>
      </w:r>
      <w:r w:rsidR="007572C8" w:rsidRPr="00C313F7">
        <w:rPr>
          <w:rFonts w:asciiTheme="minorHAnsi" w:hAnsiTheme="minorHAnsi" w:cstheme="minorHAnsi"/>
          <w:sz w:val="22"/>
          <w:szCs w:val="22"/>
          <w:lang w:eastAsia="ja-JP"/>
        </w:rPr>
        <w:t>-</w:t>
      </w:r>
      <w:r w:rsidR="006455A5" w:rsidRPr="00C313F7">
        <w:rPr>
          <w:rFonts w:asciiTheme="minorHAnsi" w:hAnsiTheme="minorHAnsi" w:cstheme="minorHAnsi"/>
          <w:sz w:val="22"/>
          <w:szCs w:val="22"/>
          <w:lang w:eastAsia="ja-JP"/>
        </w:rPr>
        <w:t xml:space="preserve">driven and the role of government representatives is key, but the role of technical and administrative officers is critical to implementation. </w:t>
      </w:r>
      <w:r w:rsidR="00927324" w:rsidRPr="00C313F7">
        <w:rPr>
          <w:rFonts w:asciiTheme="minorHAnsi" w:hAnsiTheme="minorHAnsi" w:cstheme="minorHAnsi"/>
          <w:sz w:val="22"/>
          <w:szCs w:val="22"/>
          <w:lang w:eastAsia="ja-JP"/>
        </w:rPr>
        <w:t xml:space="preserve">The Steering Committee responsible for planning the upcoming Triennial and Meeting of Pacific Ministers for Women wants the agreed actions resulting from the Conference to be linked to </w:t>
      </w:r>
      <w:r w:rsidR="00F65D08" w:rsidRPr="00C313F7">
        <w:rPr>
          <w:rFonts w:asciiTheme="minorHAnsi" w:hAnsiTheme="minorHAnsi" w:cstheme="minorHAnsi"/>
          <w:sz w:val="22"/>
          <w:szCs w:val="22"/>
          <w:lang w:eastAsia="ja-JP"/>
        </w:rPr>
        <w:t>a costed action plan</w:t>
      </w:r>
      <w:r w:rsidR="00284985" w:rsidRPr="00C313F7">
        <w:rPr>
          <w:rFonts w:asciiTheme="minorHAnsi" w:hAnsiTheme="minorHAnsi" w:cstheme="minorHAnsi"/>
          <w:sz w:val="22"/>
          <w:szCs w:val="22"/>
          <w:lang w:eastAsia="ja-JP"/>
        </w:rPr>
        <w:t xml:space="preserve">, </w:t>
      </w:r>
      <w:r w:rsidR="005D34AC" w:rsidRPr="00C313F7">
        <w:rPr>
          <w:rFonts w:asciiTheme="minorHAnsi" w:hAnsiTheme="minorHAnsi" w:cstheme="minorHAnsi"/>
          <w:sz w:val="22"/>
          <w:szCs w:val="22"/>
          <w:lang w:eastAsia="ja-JP"/>
        </w:rPr>
        <w:t xml:space="preserve">providing </w:t>
      </w:r>
      <w:r w:rsidR="00927324" w:rsidRPr="00C313F7">
        <w:rPr>
          <w:rFonts w:asciiTheme="minorHAnsi" w:hAnsiTheme="minorHAnsi" w:cstheme="minorHAnsi"/>
          <w:sz w:val="22"/>
          <w:szCs w:val="22"/>
          <w:lang w:eastAsia="ja-JP"/>
        </w:rPr>
        <w:t xml:space="preserve">Pacific Women Lead </w:t>
      </w:r>
      <w:r w:rsidR="005D34AC" w:rsidRPr="00C313F7">
        <w:rPr>
          <w:rFonts w:asciiTheme="minorHAnsi" w:hAnsiTheme="minorHAnsi" w:cstheme="minorHAnsi"/>
          <w:sz w:val="22"/>
          <w:szCs w:val="22"/>
          <w:lang w:eastAsia="ja-JP"/>
        </w:rPr>
        <w:t>with the opportunity to</w:t>
      </w:r>
      <w:r w:rsidR="00D40655" w:rsidRPr="00C313F7">
        <w:rPr>
          <w:rFonts w:asciiTheme="minorHAnsi" w:hAnsiTheme="minorHAnsi" w:cstheme="minorHAnsi"/>
          <w:sz w:val="22"/>
          <w:szCs w:val="22"/>
          <w:lang w:eastAsia="ja-JP"/>
        </w:rPr>
        <w:t xml:space="preserve"> support this critical regional initiative.</w:t>
      </w:r>
      <w:r w:rsidR="00927324" w:rsidRPr="00C313F7">
        <w:rPr>
          <w:rFonts w:asciiTheme="minorHAnsi" w:hAnsiTheme="minorHAnsi" w:cstheme="minorHAnsi"/>
          <w:sz w:val="22"/>
          <w:szCs w:val="22"/>
          <w:lang w:eastAsia="ja-JP"/>
        </w:rPr>
        <w:t xml:space="preserve">  </w:t>
      </w:r>
    </w:p>
    <w:p w14:paraId="69A4BF64" w14:textId="77777777" w:rsidR="00F66C54" w:rsidRPr="00C313F7" w:rsidRDefault="00F66C54" w:rsidP="00C313F7">
      <w:pPr>
        <w:pStyle w:val="Default"/>
        <w:jc w:val="both"/>
        <w:rPr>
          <w:rFonts w:cstheme="minorHAnsi"/>
          <w:sz w:val="22"/>
          <w:szCs w:val="22"/>
          <w:lang w:eastAsia="ja-JP"/>
        </w:rPr>
      </w:pPr>
    </w:p>
    <w:p w14:paraId="3EC55DF4" w14:textId="41065B7A" w:rsidR="00F66C54" w:rsidRPr="00C313F7" w:rsidRDefault="00731474" w:rsidP="00C313F7">
      <w:pPr>
        <w:pStyle w:val="Default"/>
        <w:jc w:val="both"/>
        <w:rPr>
          <w:rFonts w:cstheme="minorHAnsi"/>
          <w:lang w:eastAsia="ja-JP"/>
        </w:rPr>
      </w:pPr>
      <w:r w:rsidRPr="00C313F7">
        <w:rPr>
          <w:rFonts w:asciiTheme="minorHAnsi" w:hAnsiTheme="minorHAnsi" w:cstheme="minorHAnsi"/>
          <w:sz w:val="22"/>
          <w:szCs w:val="22"/>
          <w:lang w:eastAsia="ja-JP"/>
        </w:rPr>
        <w:t>3.</w:t>
      </w:r>
      <w:r w:rsidR="00173A38" w:rsidRPr="00C313F7">
        <w:rPr>
          <w:rFonts w:asciiTheme="minorHAnsi" w:hAnsiTheme="minorHAnsi" w:cstheme="minorHAnsi"/>
          <w:sz w:val="22"/>
          <w:szCs w:val="22"/>
          <w:lang w:eastAsia="ja-JP"/>
        </w:rPr>
        <w:t>7</w:t>
      </w:r>
      <w:r w:rsidRPr="00C313F7">
        <w:rPr>
          <w:rFonts w:asciiTheme="minorHAnsi" w:hAnsiTheme="minorHAnsi" w:cstheme="minorHAnsi"/>
          <w:sz w:val="22"/>
          <w:szCs w:val="22"/>
          <w:lang w:eastAsia="ja-JP"/>
        </w:rPr>
        <w:tab/>
        <w:t>On 3 February</w:t>
      </w:r>
      <w:r w:rsidR="00173A38" w:rsidRPr="00C313F7">
        <w:rPr>
          <w:rFonts w:asciiTheme="minorHAnsi" w:hAnsiTheme="minorHAnsi" w:cstheme="minorHAnsi"/>
          <w:sz w:val="22"/>
          <w:szCs w:val="22"/>
          <w:lang w:eastAsia="ja-JP"/>
        </w:rPr>
        <w:t>,</w:t>
      </w:r>
      <w:r w:rsidRPr="00C313F7">
        <w:rPr>
          <w:rFonts w:asciiTheme="minorHAnsi" w:hAnsiTheme="minorHAnsi" w:cstheme="minorHAnsi"/>
          <w:sz w:val="22"/>
          <w:szCs w:val="22"/>
          <w:lang w:eastAsia="ja-JP"/>
        </w:rPr>
        <w:t xml:space="preserve"> Pacific Island Forum Leaders endorsed an annual standing Pacific Islands Forum Women Leaders Meeting (PIFPWLM) ahead of the Pacific Islands Forum Leaders Meeting to ensure an enduring focus on the critical role gender equality has on issues in the Pacific.  The inaugural meeting will be held in 2021</w:t>
      </w:r>
      <w:r w:rsidR="00A81376">
        <w:rPr>
          <w:rFonts w:asciiTheme="minorHAnsi" w:hAnsiTheme="minorHAnsi" w:cstheme="minorHAnsi"/>
          <w:sz w:val="22"/>
          <w:szCs w:val="22"/>
          <w:lang w:eastAsia="ja-JP"/>
        </w:rPr>
        <w:t>.</w:t>
      </w:r>
      <w:r w:rsidRPr="00C313F7">
        <w:rPr>
          <w:rFonts w:asciiTheme="minorHAnsi" w:hAnsiTheme="minorHAnsi" w:cstheme="minorHAnsi"/>
          <w:sz w:val="22"/>
          <w:szCs w:val="22"/>
          <w:lang w:eastAsia="ja-JP"/>
        </w:rPr>
        <w:t xml:space="preserve"> </w:t>
      </w:r>
    </w:p>
    <w:p w14:paraId="6FDFA773" w14:textId="3A47742F" w:rsidR="00731474" w:rsidRPr="00C313F7" w:rsidRDefault="00731474" w:rsidP="00C313F7">
      <w:pPr>
        <w:pStyle w:val="Default"/>
        <w:jc w:val="both"/>
        <w:rPr>
          <w:rFonts w:cstheme="minorHAnsi"/>
          <w:lang w:eastAsia="ja-JP"/>
        </w:rPr>
      </w:pPr>
    </w:p>
    <w:p w14:paraId="7EC10958" w14:textId="0D1DF41F" w:rsidR="00731474" w:rsidRDefault="00731474"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3.</w:t>
      </w:r>
      <w:r w:rsidR="00173A38" w:rsidRPr="00C313F7">
        <w:rPr>
          <w:rFonts w:asciiTheme="minorHAnsi" w:hAnsiTheme="minorHAnsi" w:cstheme="minorHAnsi"/>
          <w:sz w:val="22"/>
          <w:szCs w:val="22"/>
          <w:lang w:eastAsia="ja-JP"/>
        </w:rPr>
        <w:t>8</w:t>
      </w:r>
      <w:r w:rsidRPr="00C313F7">
        <w:rPr>
          <w:rFonts w:asciiTheme="minorHAnsi" w:hAnsiTheme="minorHAnsi" w:cstheme="minorHAnsi"/>
          <w:sz w:val="22"/>
          <w:szCs w:val="22"/>
          <w:lang w:eastAsia="ja-JP"/>
        </w:rPr>
        <w:tab/>
        <w:t xml:space="preserve">The PIFWLM will complement and amplify the Triennial Conference of Pacific Women and Meeting of Ministers for Women by providing a critical link to Forum Leaders on a more regular basis. The PIFWLM would serve to inform and advise Forum Leaders on priority gender issues, a function currently not performed by any existing meeting. The purpose, </w:t>
      </w:r>
      <w:proofErr w:type="gramStart"/>
      <w:r w:rsidRPr="00C313F7">
        <w:rPr>
          <w:rFonts w:asciiTheme="minorHAnsi" w:hAnsiTheme="minorHAnsi" w:cstheme="minorHAnsi"/>
          <w:sz w:val="22"/>
          <w:szCs w:val="22"/>
          <w:lang w:eastAsia="ja-JP"/>
        </w:rPr>
        <w:t>attendees</w:t>
      </w:r>
      <w:proofErr w:type="gramEnd"/>
      <w:r w:rsidRPr="00C313F7">
        <w:rPr>
          <w:rFonts w:asciiTheme="minorHAnsi" w:hAnsiTheme="minorHAnsi" w:cstheme="minorHAnsi"/>
          <w:sz w:val="22"/>
          <w:szCs w:val="22"/>
          <w:lang w:eastAsia="ja-JP"/>
        </w:rPr>
        <w:t xml:space="preserve"> and timing of the PIFWLM are different to the Triennial and mutually reinforcing.</w:t>
      </w:r>
    </w:p>
    <w:p w14:paraId="30AD870B" w14:textId="77777777" w:rsidR="00F66C54" w:rsidRPr="00C313F7" w:rsidRDefault="00F66C54" w:rsidP="00C313F7">
      <w:pPr>
        <w:pStyle w:val="Default"/>
        <w:jc w:val="both"/>
        <w:rPr>
          <w:rFonts w:cstheme="minorHAnsi"/>
          <w:lang w:eastAsia="ja-JP"/>
        </w:rPr>
      </w:pPr>
    </w:p>
    <w:p w14:paraId="219E59F2" w14:textId="34FF32B8" w:rsidR="00635D98" w:rsidRDefault="00DF5626" w:rsidP="00141593">
      <w:pPr>
        <w:pStyle w:val="Default"/>
        <w:jc w:val="both"/>
        <w:rPr>
          <w:rFonts w:asciiTheme="minorHAnsi" w:hAnsiTheme="minorHAnsi" w:cstheme="minorHAnsi"/>
          <w:sz w:val="22"/>
          <w:szCs w:val="22"/>
          <w:lang w:eastAsia="ja-JP"/>
        </w:rPr>
      </w:pPr>
      <w:r w:rsidRPr="00C313F7">
        <w:rPr>
          <w:rFonts w:asciiTheme="minorHAnsi" w:hAnsiTheme="minorHAnsi" w:cstheme="minorHAnsi"/>
          <w:sz w:val="22"/>
          <w:szCs w:val="22"/>
          <w:lang w:eastAsia="ja-JP"/>
        </w:rPr>
        <w:t>3.</w:t>
      </w:r>
      <w:r w:rsidR="00173A38" w:rsidRPr="00C313F7">
        <w:rPr>
          <w:rFonts w:asciiTheme="minorHAnsi" w:hAnsiTheme="minorHAnsi" w:cstheme="minorHAnsi"/>
          <w:sz w:val="22"/>
          <w:szCs w:val="22"/>
          <w:lang w:eastAsia="ja-JP"/>
        </w:rPr>
        <w:t>9</w:t>
      </w:r>
      <w:r w:rsidRPr="00C313F7">
        <w:rPr>
          <w:rFonts w:asciiTheme="minorHAnsi" w:hAnsiTheme="minorHAnsi" w:cstheme="minorHAnsi"/>
          <w:sz w:val="22"/>
          <w:szCs w:val="22"/>
          <w:lang w:eastAsia="ja-JP"/>
        </w:rPr>
        <w:tab/>
      </w:r>
      <w:r w:rsidR="00EE29F3" w:rsidRPr="00C313F7">
        <w:rPr>
          <w:rFonts w:asciiTheme="minorHAnsi" w:hAnsiTheme="minorHAnsi" w:cstheme="minorHAnsi"/>
          <w:sz w:val="22"/>
          <w:szCs w:val="22"/>
          <w:lang w:eastAsia="ja-JP"/>
        </w:rPr>
        <w:t>Pacific countries have their own</w:t>
      </w:r>
      <w:r w:rsidR="00D520F2" w:rsidRPr="00C313F7">
        <w:rPr>
          <w:rFonts w:asciiTheme="minorHAnsi" w:hAnsiTheme="minorHAnsi" w:cstheme="minorHAnsi"/>
          <w:sz w:val="22"/>
          <w:szCs w:val="22"/>
          <w:lang w:eastAsia="ja-JP"/>
        </w:rPr>
        <w:t xml:space="preserve"> </w:t>
      </w:r>
      <w:r w:rsidR="00EE29F3" w:rsidRPr="00C313F7">
        <w:rPr>
          <w:rFonts w:asciiTheme="minorHAnsi" w:hAnsiTheme="minorHAnsi" w:cstheme="minorHAnsi"/>
          <w:sz w:val="22"/>
          <w:szCs w:val="22"/>
          <w:lang w:eastAsia="ja-JP"/>
        </w:rPr>
        <w:t xml:space="preserve">national priorities for achieving gender equality </w:t>
      </w:r>
      <w:r w:rsidR="00ED5365" w:rsidRPr="00C313F7">
        <w:rPr>
          <w:rFonts w:asciiTheme="minorHAnsi" w:hAnsiTheme="minorHAnsi" w:cstheme="minorHAnsi"/>
          <w:sz w:val="22"/>
          <w:szCs w:val="22"/>
          <w:lang w:eastAsia="ja-JP"/>
        </w:rPr>
        <w:t>and</w:t>
      </w:r>
      <w:r w:rsidR="00D520F2" w:rsidRPr="00C313F7">
        <w:rPr>
          <w:rFonts w:asciiTheme="minorHAnsi" w:hAnsiTheme="minorHAnsi" w:cstheme="minorHAnsi"/>
          <w:sz w:val="22"/>
          <w:szCs w:val="22"/>
          <w:lang w:eastAsia="ja-JP"/>
        </w:rPr>
        <w:t xml:space="preserve"> established government institutions in charge of women’s affairs/gender equality and have developed gender equality policies or are in the process of finalising their policies. PICs</w:t>
      </w:r>
      <w:r w:rsidR="00DD5783" w:rsidRPr="00C313F7">
        <w:rPr>
          <w:rFonts w:asciiTheme="minorHAnsi" w:hAnsiTheme="minorHAnsi" w:cstheme="minorHAnsi"/>
          <w:sz w:val="22"/>
          <w:szCs w:val="22"/>
          <w:lang w:eastAsia="ja-JP"/>
        </w:rPr>
        <w:t xml:space="preserve"> </w:t>
      </w:r>
      <w:r w:rsidR="00D520F2" w:rsidRPr="00C313F7">
        <w:rPr>
          <w:rFonts w:asciiTheme="minorHAnsi" w:hAnsiTheme="minorHAnsi" w:cstheme="minorHAnsi"/>
          <w:sz w:val="22"/>
          <w:szCs w:val="22"/>
          <w:lang w:eastAsia="ja-JP"/>
        </w:rPr>
        <w:t xml:space="preserve">are also increasingly integrating a gender perspective in national development and sector plans. National gender policies prioritise issues related to gender mainstreaming and institutional strengthening, including compliance with CEDAW, ending violence against women, shared </w:t>
      </w:r>
      <w:r w:rsidRPr="00C313F7">
        <w:rPr>
          <w:rFonts w:asciiTheme="minorHAnsi" w:hAnsiTheme="minorHAnsi" w:cstheme="minorHAnsi"/>
          <w:sz w:val="22"/>
          <w:szCs w:val="22"/>
          <w:lang w:eastAsia="ja-JP"/>
        </w:rPr>
        <w:t>decision-making,</w:t>
      </w:r>
      <w:r w:rsidR="00D520F2" w:rsidRPr="00C313F7">
        <w:rPr>
          <w:rFonts w:asciiTheme="minorHAnsi" w:hAnsiTheme="minorHAnsi" w:cstheme="minorHAnsi"/>
          <w:sz w:val="22"/>
          <w:szCs w:val="22"/>
          <w:lang w:eastAsia="ja-JP"/>
        </w:rPr>
        <w:t xml:space="preserve"> and economic empowerment. Some policies include issues such as climate change, peace building and health.</w:t>
      </w:r>
      <w:r w:rsidR="006455A5" w:rsidRPr="00C313F7">
        <w:rPr>
          <w:rFonts w:asciiTheme="minorHAnsi" w:hAnsiTheme="minorHAnsi" w:cstheme="minorHAnsi"/>
          <w:sz w:val="22"/>
          <w:szCs w:val="22"/>
          <w:lang w:eastAsia="ja-JP"/>
        </w:rPr>
        <w:t xml:space="preserve"> Change</w:t>
      </w:r>
      <w:r w:rsidR="00F65D08" w:rsidRPr="00C313F7">
        <w:rPr>
          <w:rFonts w:asciiTheme="minorHAnsi" w:hAnsiTheme="minorHAnsi" w:cstheme="minorHAnsi"/>
          <w:sz w:val="22"/>
          <w:szCs w:val="22"/>
          <w:lang w:eastAsia="ja-JP"/>
        </w:rPr>
        <w:t xml:space="preserve">, </w:t>
      </w:r>
      <w:r w:rsidR="006455A5" w:rsidRPr="00C313F7">
        <w:rPr>
          <w:rFonts w:asciiTheme="minorHAnsi" w:hAnsiTheme="minorHAnsi" w:cstheme="minorHAnsi"/>
          <w:sz w:val="22"/>
          <w:szCs w:val="22"/>
          <w:lang w:eastAsia="ja-JP"/>
        </w:rPr>
        <w:t>reform</w:t>
      </w:r>
      <w:r w:rsidR="009C4408" w:rsidRPr="00C313F7">
        <w:rPr>
          <w:rFonts w:asciiTheme="minorHAnsi" w:hAnsiTheme="minorHAnsi" w:cstheme="minorHAnsi"/>
          <w:sz w:val="22"/>
          <w:szCs w:val="22"/>
          <w:lang w:eastAsia="ja-JP"/>
        </w:rPr>
        <w:t xml:space="preserve"> and service delivery</w:t>
      </w:r>
      <w:r w:rsidR="006455A5" w:rsidRPr="00C313F7">
        <w:rPr>
          <w:rFonts w:asciiTheme="minorHAnsi" w:hAnsiTheme="minorHAnsi" w:cstheme="minorHAnsi"/>
          <w:sz w:val="22"/>
          <w:szCs w:val="22"/>
          <w:lang w:eastAsia="ja-JP"/>
        </w:rPr>
        <w:t xml:space="preserve"> at the country and community level </w:t>
      </w:r>
      <w:r w:rsidR="00F65D08" w:rsidRPr="00C313F7">
        <w:rPr>
          <w:rFonts w:asciiTheme="minorHAnsi" w:hAnsiTheme="minorHAnsi" w:cstheme="minorHAnsi"/>
          <w:sz w:val="22"/>
          <w:szCs w:val="22"/>
          <w:lang w:eastAsia="ja-JP"/>
        </w:rPr>
        <w:t xml:space="preserve">are </w:t>
      </w:r>
      <w:r w:rsidR="006455A5" w:rsidRPr="00C313F7">
        <w:rPr>
          <w:rFonts w:asciiTheme="minorHAnsi" w:hAnsiTheme="minorHAnsi" w:cstheme="minorHAnsi"/>
          <w:sz w:val="22"/>
          <w:szCs w:val="22"/>
          <w:lang w:eastAsia="ja-JP"/>
        </w:rPr>
        <w:t>critical</w:t>
      </w:r>
      <w:r w:rsidR="009C4408" w:rsidRPr="00C313F7">
        <w:rPr>
          <w:rFonts w:asciiTheme="minorHAnsi" w:hAnsiTheme="minorHAnsi" w:cstheme="minorHAnsi"/>
          <w:sz w:val="22"/>
          <w:szCs w:val="22"/>
          <w:lang w:eastAsia="ja-JP"/>
        </w:rPr>
        <w:t xml:space="preserve"> to the lives of women, men and girls and boys. This design does not underestimate the importance of </w:t>
      </w:r>
      <w:r w:rsidR="009C4408" w:rsidRPr="00C313F7">
        <w:rPr>
          <w:rFonts w:asciiTheme="minorHAnsi" w:hAnsiTheme="minorHAnsi" w:cstheme="minorHAnsi"/>
          <w:sz w:val="22"/>
          <w:szCs w:val="22"/>
          <w:lang w:eastAsia="ja-JP"/>
        </w:rPr>
        <w:lastRenderedPageBreak/>
        <w:t xml:space="preserve">country level interventions from national governments, civil </w:t>
      </w:r>
      <w:proofErr w:type="gramStart"/>
      <w:r w:rsidR="009C4408" w:rsidRPr="00C313F7">
        <w:rPr>
          <w:rFonts w:asciiTheme="minorHAnsi" w:hAnsiTheme="minorHAnsi" w:cstheme="minorHAnsi"/>
          <w:sz w:val="22"/>
          <w:szCs w:val="22"/>
          <w:lang w:eastAsia="ja-JP"/>
        </w:rPr>
        <w:t>society</w:t>
      </w:r>
      <w:proofErr w:type="gramEnd"/>
      <w:r w:rsidR="009C4408" w:rsidRPr="00C313F7">
        <w:rPr>
          <w:rFonts w:asciiTheme="minorHAnsi" w:hAnsiTheme="minorHAnsi" w:cstheme="minorHAnsi"/>
          <w:sz w:val="22"/>
          <w:szCs w:val="22"/>
          <w:lang w:eastAsia="ja-JP"/>
        </w:rPr>
        <w:t xml:space="preserve"> and </w:t>
      </w:r>
      <w:r w:rsidR="00F65D08" w:rsidRPr="00C313F7">
        <w:rPr>
          <w:rFonts w:asciiTheme="minorHAnsi" w:hAnsiTheme="minorHAnsi" w:cstheme="minorHAnsi"/>
          <w:sz w:val="22"/>
          <w:szCs w:val="22"/>
          <w:lang w:eastAsia="ja-JP"/>
        </w:rPr>
        <w:t xml:space="preserve">support from </w:t>
      </w:r>
      <w:r w:rsidR="009C4408" w:rsidRPr="00C313F7">
        <w:rPr>
          <w:rFonts w:asciiTheme="minorHAnsi" w:hAnsiTheme="minorHAnsi" w:cstheme="minorHAnsi"/>
          <w:sz w:val="22"/>
          <w:szCs w:val="22"/>
          <w:lang w:eastAsia="ja-JP"/>
        </w:rPr>
        <w:t>DFAT country level investments. However, accountability for these investments and activities will sit at the country level</w:t>
      </w:r>
      <w:r w:rsidR="00F65D08" w:rsidRPr="00C313F7">
        <w:rPr>
          <w:rFonts w:asciiTheme="minorHAnsi" w:hAnsiTheme="minorHAnsi" w:cstheme="minorHAnsi"/>
          <w:sz w:val="22"/>
          <w:szCs w:val="22"/>
          <w:lang w:eastAsia="ja-JP"/>
        </w:rPr>
        <w:t xml:space="preserve">. DFAT bilateral and regional investments will be connected by </w:t>
      </w:r>
      <w:r w:rsidR="00CD1816" w:rsidRPr="00C313F7">
        <w:rPr>
          <w:rFonts w:asciiTheme="minorHAnsi" w:hAnsiTheme="minorHAnsi" w:cstheme="minorHAnsi"/>
          <w:sz w:val="22"/>
          <w:szCs w:val="22"/>
          <w:lang w:eastAsia="ja-JP"/>
        </w:rPr>
        <w:t xml:space="preserve">the regional </w:t>
      </w:r>
      <w:r w:rsidR="00F65D08" w:rsidRPr="00C313F7">
        <w:rPr>
          <w:rFonts w:asciiTheme="minorHAnsi" w:hAnsiTheme="minorHAnsi" w:cstheme="minorHAnsi"/>
          <w:sz w:val="22"/>
          <w:szCs w:val="22"/>
          <w:lang w:eastAsia="ja-JP"/>
        </w:rPr>
        <w:t xml:space="preserve">performance framework </w:t>
      </w:r>
      <w:r w:rsidR="00CD1816" w:rsidRPr="00C313F7">
        <w:rPr>
          <w:rFonts w:asciiTheme="minorHAnsi" w:hAnsiTheme="minorHAnsi" w:cstheme="minorHAnsi"/>
          <w:sz w:val="22"/>
          <w:szCs w:val="22"/>
          <w:lang w:eastAsia="ja-JP"/>
        </w:rPr>
        <w:t xml:space="preserve">and theory of change, which recognises and will report on country activities. </w:t>
      </w:r>
      <w:bookmarkStart w:id="6" w:name="_Hlk61591988"/>
      <w:r w:rsidR="00CD1816" w:rsidRPr="00C313F7">
        <w:rPr>
          <w:rFonts w:asciiTheme="minorHAnsi" w:hAnsiTheme="minorHAnsi" w:cstheme="minorHAnsi"/>
          <w:sz w:val="22"/>
          <w:szCs w:val="22"/>
          <w:lang w:eastAsia="ja-JP"/>
        </w:rPr>
        <w:t xml:space="preserve">The </w:t>
      </w:r>
      <w:r w:rsidR="003542D2" w:rsidRPr="00C313F7">
        <w:rPr>
          <w:rFonts w:asciiTheme="minorHAnsi" w:hAnsiTheme="minorHAnsi" w:cstheme="minorHAnsi"/>
          <w:sz w:val="22"/>
          <w:szCs w:val="22"/>
          <w:lang w:eastAsia="ja-JP"/>
        </w:rPr>
        <w:t>Governance</w:t>
      </w:r>
      <w:r w:rsidR="00CD1816" w:rsidRPr="00C313F7">
        <w:rPr>
          <w:rFonts w:asciiTheme="minorHAnsi" w:hAnsiTheme="minorHAnsi" w:cstheme="minorHAnsi"/>
          <w:sz w:val="22"/>
          <w:szCs w:val="22"/>
          <w:lang w:eastAsia="ja-JP"/>
        </w:rPr>
        <w:t xml:space="preserve"> </w:t>
      </w:r>
      <w:r w:rsidR="0093647F" w:rsidRPr="00C313F7">
        <w:rPr>
          <w:rFonts w:asciiTheme="minorHAnsi" w:hAnsiTheme="minorHAnsi" w:cstheme="minorHAnsi"/>
          <w:sz w:val="22"/>
          <w:szCs w:val="22"/>
          <w:lang w:eastAsia="ja-JP"/>
        </w:rPr>
        <w:t>B</w:t>
      </w:r>
      <w:r w:rsidR="00CD1816" w:rsidRPr="00C313F7">
        <w:rPr>
          <w:rFonts w:asciiTheme="minorHAnsi" w:hAnsiTheme="minorHAnsi" w:cstheme="minorHAnsi"/>
          <w:sz w:val="22"/>
          <w:szCs w:val="22"/>
          <w:lang w:eastAsia="ja-JP"/>
        </w:rPr>
        <w:t xml:space="preserve">oard will consider the performance of relevant country activities as reported through the regional program, and may make strategic recommendations in relation to opportunities, synergies or lessons learnt but will make no decisions. Decisions for country-level activities will remain with the relevant national governments, local partners and DFAT Posts and Desks. </w:t>
      </w:r>
    </w:p>
    <w:p w14:paraId="20389354" w14:textId="77777777" w:rsidR="00F66C54" w:rsidRPr="00C313F7" w:rsidRDefault="00F66C54" w:rsidP="00C313F7">
      <w:pPr>
        <w:pStyle w:val="Default"/>
        <w:jc w:val="both"/>
        <w:rPr>
          <w:rFonts w:cstheme="minorHAnsi"/>
          <w:lang w:eastAsia="ja-JP"/>
        </w:rPr>
      </w:pPr>
    </w:p>
    <w:p w14:paraId="2AC7051D" w14:textId="604DD5C4" w:rsidR="00AF2589" w:rsidRPr="00FB047F" w:rsidRDefault="00C01F13" w:rsidP="00C313F7">
      <w:pPr>
        <w:pStyle w:val="Default"/>
        <w:jc w:val="both"/>
        <w:rPr>
          <w:rFonts w:cstheme="minorHAnsi"/>
          <w:color w:val="auto"/>
          <w:sz w:val="22"/>
          <w:szCs w:val="22"/>
        </w:rPr>
      </w:pPr>
      <w:r w:rsidRPr="00C313F7">
        <w:rPr>
          <w:rFonts w:asciiTheme="minorHAnsi" w:hAnsiTheme="minorHAnsi" w:cstheme="minorHAnsi"/>
          <w:sz w:val="22"/>
          <w:szCs w:val="22"/>
          <w:lang w:eastAsia="ja-JP"/>
        </w:rPr>
        <w:t>3.</w:t>
      </w:r>
      <w:r w:rsidR="00173A38" w:rsidRPr="00C313F7">
        <w:rPr>
          <w:rFonts w:asciiTheme="minorHAnsi" w:hAnsiTheme="minorHAnsi" w:cstheme="minorHAnsi"/>
          <w:sz w:val="22"/>
          <w:szCs w:val="22"/>
          <w:lang w:eastAsia="ja-JP"/>
        </w:rPr>
        <w:t>10</w:t>
      </w:r>
      <w:r w:rsidRPr="00C313F7">
        <w:rPr>
          <w:rFonts w:asciiTheme="minorHAnsi" w:hAnsiTheme="minorHAnsi" w:cstheme="minorHAnsi"/>
          <w:sz w:val="22"/>
          <w:szCs w:val="22"/>
          <w:lang w:eastAsia="ja-JP"/>
        </w:rPr>
        <w:tab/>
      </w:r>
      <w:r w:rsidR="00855226" w:rsidRPr="00C313F7">
        <w:rPr>
          <w:rFonts w:asciiTheme="minorHAnsi" w:hAnsiTheme="minorHAnsi" w:cstheme="minorHAnsi"/>
          <w:sz w:val="22"/>
          <w:szCs w:val="22"/>
          <w:lang w:eastAsia="ja-JP"/>
        </w:rPr>
        <w:t xml:space="preserve">In addition, </w:t>
      </w:r>
      <w:r w:rsidR="005C165E" w:rsidRPr="00C313F7">
        <w:rPr>
          <w:rFonts w:asciiTheme="minorHAnsi" w:hAnsiTheme="minorHAnsi" w:cstheme="minorHAnsi"/>
          <w:sz w:val="22"/>
          <w:szCs w:val="22"/>
          <w:lang w:eastAsia="ja-JP"/>
        </w:rPr>
        <w:t>key regional frameworks relating to other priority development sector frameworks – climate change, health, economic development</w:t>
      </w:r>
      <w:r w:rsidR="00855226" w:rsidRPr="00C313F7">
        <w:rPr>
          <w:rFonts w:asciiTheme="minorHAnsi" w:hAnsiTheme="minorHAnsi" w:cstheme="minorHAnsi"/>
          <w:sz w:val="22"/>
          <w:szCs w:val="22"/>
          <w:lang w:eastAsia="ja-JP"/>
        </w:rPr>
        <w:t xml:space="preserve"> - have strong commitments t</w:t>
      </w:r>
      <w:r w:rsidR="00AF2589" w:rsidRPr="00C313F7">
        <w:rPr>
          <w:rFonts w:asciiTheme="minorHAnsi" w:hAnsiTheme="minorHAnsi" w:cstheme="minorHAnsi"/>
          <w:sz w:val="22"/>
          <w:szCs w:val="22"/>
          <w:lang w:eastAsia="ja-JP"/>
        </w:rPr>
        <w:t>o gender equality</w:t>
      </w:r>
      <w:r w:rsidR="00855226" w:rsidRPr="00C313F7">
        <w:rPr>
          <w:rFonts w:asciiTheme="minorHAnsi" w:hAnsiTheme="minorHAnsi" w:cstheme="minorHAnsi"/>
          <w:sz w:val="22"/>
          <w:szCs w:val="22"/>
          <w:lang w:eastAsia="ja-JP"/>
        </w:rPr>
        <w:t xml:space="preserve">. </w:t>
      </w:r>
      <w:r w:rsidR="00AF2589" w:rsidRPr="00C313F7">
        <w:rPr>
          <w:rFonts w:asciiTheme="minorHAnsi" w:hAnsiTheme="minorHAnsi" w:cstheme="minorHAnsi"/>
          <w:sz w:val="22"/>
          <w:szCs w:val="22"/>
          <w:lang w:eastAsia="ja-JP"/>
        </w:rPr>
        <w:t xml:space="preserve">Much has been achieved in mainstreaming gender equality and human rights in </w:t>
      </w:r>
      <w:r w:rsidR="00855226" w:rsidRPr="00C313F7">
        <w:rPr>
          <w:rFonts w:asciiTheme="minorHAnsi" w:hAnsiTheme="minorHAnsi" w:cstheme="minorHAnsi"/>
          <w:sz w:val="22"/>
          <w:szCs w:val="22"/>
          <w:lang w:eastAsia="ja-JP"/>
        </w:rPr>
        <w:t>these</w:t>
      </w:r>
      <w:r w:rsidR="00AF2589" w:rsidRPr="00C313F7">
        <w:rPr>
          <w:rFonts w:asciiTheme="minorHAnsi" w:hAnsiTheme="minorHAnsi" w:cstheme="minorHAnsi"/>
          <w:sz w:val="22"/>
          <w:szCs w:val="22"/>
          <w:lang w:eastAsia="ja-JP"/>
        </w:rPr>
        <w:t xml:space="preserve"> sector frameworks </w:t>
      </w:r>
      <w:r w:rsidR="00855226" w:rsidRPr="00C313F7">
        <w:rPr>
          <w:rFonts w:asciiTheme="minorHAnsi" w:hAnsiTheme="minorHAnsi" w:cstheme="minorHAnsi"/>
          <w:sz w:val="22"/>
          <w:szCs w:val="22"/>
          <w:lang w:eastAsia="ja-JP"/>
        </w:rPr>
        <w:t>which</w:t>
      </w:r>
      <w:r w:rsidR="00AF2589" w:rsidRPr="00C313F7">
        <w:rPr>
          <w:rFonts w:asciiTheme="minorHAnsi" w:hAnsiTheme="minorHAnsi" w:cstheme="minorHAnsi"/>
          <w:sz w:val="22"/>
          <w:szCs w:val="22"/>
          <w:lang w:eastAsia="ja-JP"/>
        </w:rPr>
        <w:t xml:space="preserve"> are priorities</w:t>
      </w:r>
      <w:r w:rsidR="00AF2589" w:rsidRPr="00C64817">
        <w:rPr>
          <w:rFonts w:cstheme="minorHAnsi"/>
          <w:color w:val="auto"/>
        </w:rPr>
        <w:t xml:space="preserve"> </w:t>
      </w:r>
      <w:r w:rsidR="00AF2589" w:rsidRPr="00FB047F">
        <w:rPr>
          <w:rFonts w:cstheme="minorHAnsi"/>
          <w:color w:val="auto"/>
          <w:sz w:val="22"/>
          <w:szCs w:val="22"/>
        </w:rPr>
        <w:t xml:space="preserve">for national governments. </w:t>
      </w:r>
      <w:r w:rsidR="00855226" w:rsidRPr="00FB047F">
        <w:rPr>
          <w:rFonts w:cstheme="minorHAnsi"/>
          <w:color w:val="auto"/>
          <w:sz w:val="22"/>
          <w:szCs w:val="22"/>
        </w:rPr>
        <w:t>E</w:t>
      </w:r>
      <w:r w:rsidR="00AF2589" w:rsidRPr="00FB047F">
        <w:rPr>
          <w:rFonts w:cstheme="minorHAnsi"/>
          <w:color w:val="auto"/>
          <w:sz w:val="22"/>
          <w:szCs w:val="22"/>
        </w:rPr>
        <w:t>vidence i</w:t>
      </w:r>
      <w:r w:rsidR="00855226" w:rsidRPr="00FB047F">
        <w:rPr>
          <w:rFonts w:cstheme="minorHAnsi"/>
          <w:color w:val="auto"/>
          <w:sz w:val="22"/>
          <w:szCs w:val="22"/>
        </w:rPr>
        <w:t>s</w:t>
      </w:r>
      <w:r w:rsidR="00AF2589" w:rsidRPr="00FB047F">
        <w:rPr>
          <w:rFonts w:cstheme="minorHAnsi"/>
          <w:color w:val="auto"/>
          <w:sz w:val="22"/>
          <w:szCs w:val="22"/>
        </w:rPr>
        <w:t xml:space="preserve"> clear that there needs to be </w:t>
      </w:r>
      <w:r w:rsidR="00173A38" w:rsidRPr="00FB047F">
        <w:rPr>
          <w:rFonts w:cstheme="minorHAnsi"/>
          <w:color w:val="auto"/>
          <w:sz w:val="22"/>
          <w:szCs w:val="22"/>
        </w:rPr>
        <w:t xml:space="preserve">a twin track approach of specific gender actions and mainstreaming gender through </w:t>
      </w:r>
      <w:r w:rsidR="00AF2589" w:rsidRPr="00FB047F">
        <w:rPr>
          <w:rFonts w:cstheme="minorHAnsi"/>
          <w:color w:val="auto"/>
          <w:sz w:val="22"/>
          <w:szCs w:val="22"/>
        </w:rPr>
        <w:t>other development frameworks.</w:t>
      </w:r>
    </w:p>
    <w:p w14:paraId="6DC74803" w14:textId="5965AE4F" w:rsidR="003E08AE" w:rsidRPr="00F328DA" w:rsidRDefault="003E08AE" w:rsidP="00F328DA">
      <w:pPr>
        <w:pStyle w:val="Heading2"/>
        <w:rPr>
          <w:sz w:val="36"/>
          <w:szCs w:val="24"/>
        </w:rPr>
      </w:pPr>
      <w:bookmarkStart w:id="7" w:name="_Toc75535881"/>
      <w:bookmarkEnd w:id="6"/>
      <w:r w:rsidRPr="00F328DA">
        <w:rPr>
          <w:sz w:val="36"/>
          <w:szCs w:val="24"/>
        </w:rPr>
        <w:t>Australian Government</w:t>
      </w:r>
      <w:r w:rsidR="00C033E2" w:rsidRPr="00F328DA">
        <w:rPr>
          <w:sz w:val="36"/>
          <w:szCs w:val="24"/>
        </w:rPr>
        <w:t xml:space="preserve"> </w:t>
      </w:r>
      <w:r w:rsidR="008120DB" w:rsidRPr="00F328DA">
        <w:rPr>
          <w:sz w:val="36"/>
          <w:szCs w:val="24"/>
        </w:rPr>
        <w:t>policy framework</w:t>
      </w:r>
      <w:bookmarkEnd w:id="7"/>
    </w:p>
    <w:p w14:paraId="42AF0A3E" w14:textId="13423A28" w:rsidR="008120DB" w:rsidRPr="00C64817" w:rsidRDefault="00C01F13" w:rsidP="000552FD">
      <w:pPr>
        <w:jc w:val="both"/>
        <w:rPr>
          <w:rFonts w:cstheme="minorHAnsi"/>
          <w:color w:val="auto"/>
        </w:rPr>
      </w:pPr>
      <w:r w:rsidRPr="00C64817">
        <w:rPr>
          <w:rFonts w:eastAsia="MS Mincho" w:cstheme="minorHAnsi"/>
          <w:color w:val="auto"/>
        </w:rPr>
        <w:t>3.</w:t>
      </w:r>
      <w:r w:rsidR="00B2617B" w:rsidRPr="00C64817">
        <w:rPr>
          <w:rFonts w:eastAsia="MS Mincho" w:cstheme="minorHAnsi"/>
          <w:color w:val="auto"/>
        </w:rPr>
        <w:t>1</w:t>
      </w:r>
      <w:r w:rsidR="00173A38">
        <w:rPr>
          <w:rFonts w:eastAsia="MS Mincho" w:cstheme="minorHAnsi"/>
          <w:color w:val="auto"/>
        </w:rPr>
        <w:t>1</w:t>
      </w:r>
      <w:r w:rsidRPr="00C64817">
        <w:rPr>
          <w:rFonts w:eastAsia="MS Mincho" w:cstheme="minorHAnsi"/>
          <w:b/>
          <w:bCs/>
          <w:color w:val="auto"/>
        </w:rPr>
        <w:tab/>
      </w:r>
      <w:r w:rsidR="008120DB" w:rsidRPr="00C64817">
        <w:rPr>
          <w:rFonts w:eastAsia="MS Mincho" w:cstheme="minorHAnsi"/>
          <w:b/>
          <w:bCs/>
          <w:color w:val="auto"/>
        </w:rPr>
        <w:t>Australia’s foreign policy</w:t>
      </w:r>
      <w:r w:rsidR="008120DB" w:rsidRPr="00C64817">
        <w:rPr>
          <w:rFonts w:eastAsia="MS Mincho" w:cstheme="minorHAnsi"/>
          <w:color w:val="auto"/>
        </w:rPr>
        <w:t xml:space="preserve"> </w:t>
      </w:r>
      <w:r w:rsidR="005D5052" w:rsidRPr="00C64817">
        <w:rPr>
          <w:rFonts w:eastAsia="MS Mincho" w:cstheme="minorHAnsi"/>
          <w:color w:val="auto"/>
        </w:rPr>
        <w:t>has</w:t>
      </w:r>
      <w:r w:rsidR="005C2654" w:rsidRPr="00C64817">
        <w:rPr>
          <w:rFonts w:eastAsia="MS Mincho" w:cstheme="minorHAnsi"/>
          <w:color w:val="auto"/>
        </w:rPr>
        <w:t xml:space="preserve"> a strong focus on</w:t>
      </w:r>
      <w:r w:rsidR="008120DB" w:rsidRPr="00C64817">
        <w:rPr>
          <w:rFonts w:eastAsia="MS Mincho" w:cstheme="minorHAnsi"/>
          <w:color w:val="auto"/>
        </w:rPr>
        <w:t xml:space="preserve"> </w:t>
      </w:r>
      <w:r w:rsidR="0032046D" w:rsidRPr="00C64817">
        <w:rPr>
          <w:rFonts w:eastAsia="MS Mincho" w:cstheme="minorHAnsi"/>
          <w:color w:val="auto"/>
        </w:rPr>
        <w:t xml:space="preserve">the </w:t>
      </w:r>
      <w:r w:rsidR="008120DB" w:rsidRPr="00C64817">
        <w:rPr>
          <w:rFonts w:eastAsia="MS Mincho" w:cstheme="minorHAnsi"/>
          <w:color w:val="auto"/>
        </w:rPr>
        <w:t xml:space="preserve">empowerment of women with the DFAT White Paper citing that </w:t>
      </w:r>
      <w:r w:rsidR="008120DB" w:rsidRPr="00C64817">
        <w:rPr>
          <w:rFonts w:cstheme="minorHAnsi"/>
          <w:color w:val="auto"/>
        </w:rPr>
        <w:t>gender inequality undermines global prosperity, stability, and security. Gender inequality contributes to and often exacerbates a range of challenges, including poverty, weak governance and conflict and violent extremism.</w:t>
      </w:r>
      <w:r w:rsidR="008120DB" w:rsidRPr="00407D94">
        <w:rPr>
          <w:rStyle w:val="FootnoteReference"/>
          <w:rFonts w:cstheme="minorHAnsi"/>
          <w:color w:val="auto"/>
        </w:rPr>
        <w:footnoteReference w:id="6"/>
      </w:r>
      <w:r w:rsidR="008120DB" w:rsidRPr="00407D94">
        <w:rPr>
          <w:rFonts w:eastAsia="MS Mincho" w:cstheme="minorHAnsi"/>
          <w:color w:val="auto"/>
        </w:rPr>
        <w:t xml:space="preserve"> </w:t>
      </w:r>
      <w:r w:rsidR="00A75E12" w:rsidRPr="00407D94">
        <w:rPr>
          <w:rFonts w:cstheme="minorHAnsi"/>
          <w:color w:val="auto"/>
        </w:rPr>
        <w:t xml:space="preserve">Performance on gender equality is </w:t>
      </w:r>
      <w:r w:rsidR="006B61C5" w:rsidRPr="00407D94">
        <w:rPr>
          <w:rFonts w:cstheme="minorHAnsi"/>
          <w:color w:val="auto"/>
        </w:rPr>
        <w:t xml:space="preserve">explicitly measured as part of the Performance Assessment Framework for </w:t>
      </w:r>
      <w:r w:rsidR="006B61C5" w:rsidRPr="008A7462">
        <w:rPr>
          <w:rFonts w:cstheme="minorHAnsi"/>
          <w:color w:val="auto"/>
        </w:rPr>
        <w:t>“Partnerships for Recovery”</w:t>
      </w:r>
      <w:r w:rsidR="00421BBC" w:rsidRPr="00B43027">
        <w:rPr>
          <w:rFonts w:cstheme="minorHAnsi"/>
          <w:color w:val="auto"/>
        </w:rPr>
        <w:t>, with internal DFAT resources dedicated to ensuring gender equality is mainstreamed through all Australian investments in the Pacific</w:t>
      </w:r>
      <w:r w:rsidR="00F56C8E" w:rsidRPr="00F44628">
        <w:rPr>
          <w:rFonts w:cstheme="minorHAnsi"/>
          <w:color w:val="auto"/>
        </w:rPr>
        <w:t>.</w:t>
      </w:r>
      <w:r w:rsidR="00EA30E0" w:rsidRPr="00C64817">
        <w:rPr>
          <w:rFonts w:cstheme="minorHAnsi"/>
          <w:color w:val="auto"/>
        </w:rPr>
        <w:t xml:space="preserve">  Technical support for gender mainstreaming </w:t>
      </w:r>
      <w:r w:rsidR="00B51E0C">
        <w:rPr>
          <w:rFonts w:cstheme="minorHAnsi"/>
          <w:color w:val="auto"/>
        </w:rPr>
        <w:t xml:space="preserve">in the Pacific </w:t>
      </w:r>
      <w:r w:rsidR="00EA30E0" w:rsidRPr="00C64817">
        <w:rPr>
          <w:rFonts w:cstheme="minorHAnsi"/>
          <w:color w:val="auto"/>
        </w:rPr>
        <w:t>will be delivered through DFAT</w:t>
      </w:r>
      <w:r w:rsidR="00B51E0C">
        <w:rPr>
          <w:rFonts w:cstheme="minorHAnsi"/>
          <w:color w:val="auto"/>
        </w:rPr>
        <w:t xml:space="preserve"> internal </w:t>
      </w:r>
      <w:proofErr w:type="gramStart"/>
      <w:r w:rsidR="00B51E0C">
        <w:rPr>
          <w:rFonts w:cstheme="minorHAnsi"/>
          <w:color w:val="auto"/>
        </w:rPr>
        <w:t xml:space="preserve">support,  </w:t>
      </w:r>
      <w:r w:rsidR="00EA30E0" w:rsidRPr="00C64817">
        <w:rPr>
          <w:rFonts w:cstheme="minorHAnsi"/>
          <w:color w:val="auto"/>
        </w:rPr>
        <w:t xml:space="preserve"> </w:t>
      </w:r>
      <w:proofErr w:type="gramEnd"/>
      <w:r w:rsidR="00EA30E0" w:rsidRPr="00C64817">
        <w:rPr>
          <w:rFonts w:cstheme="minorHAnsi"/>
          <w:color w:val="auto"/>
        </w:rPr>
        <w:t>bilateral program-contracted expertise</w:t>
      </w:r>
      <w:r w:rsidR="00B51E0C">
        <w:rPr>
          <w:rFonts w:cstheme="minorHAnsi"/>
          <w:color w:val="auto"/>
        </w:rPr>
        <w:t xml:space="preserve"> and the regional enabling mechanism</w:t>
      </w:r>
      <w:r w:rsidR="00EA30E0" w:rsidRPr="00C64817">
        <w:rPr>
          <w:rFonts w:cstheme="minorHAnsi"/>
          <w:color w:val="auto"/>
        </w:rPr>
        <w:t xml:space="preserve">.   The program’s proposed Governance Board will also play a role in providing strategic insights and advice to </w:t>
      </w:r>
      <w:r w:rsidR="00B51E0C">
        <w:rPr>
          <w:rFonts w:cstheme="minorHAnsi"/>
          <w:color w:val="auto"/>
        </w:rPr>
        <w:t xml:space="preserve">Pacific </w:t>
      </w:r>
      <w:r w:rsidR="00EA30E0" w:rsidRPr="00C64817">
        <w:rPr>
          <w:rFonts w:cstheme="minorHAnsi"/>
          <w:color w:val="auto"/>
        </w:rPr>
        <w:t xml:space="preserve">bilateral </w:t>
      </w:r>
      <w:r w:rsidR="00B51E0C">
        <w:rPr>
          <w:rFonts w:cstheme="minorHAnsi"/>
          <w:color w:val="auto"/>
        </w:rPr>
        <w:t xml:space="preserve">and regional </w:t>
      </w:r>
      <w:r w:rsidR="00EA30E0" w:rsidRPr="00C64817">
        <w:rPr>
          <w:rFonts w:cstheme="minorHAnsi"/>
          <w:color w:val="auto"/>
        </w:rPr>
        <w:t>programs.</w:t>
      </w:r>
    </w:p>
    <w:p w14:paraId="2101699E" w14:textId="6EBDC01C" w:rsidR="006A662D" w:rsidRPr="00407D94" w:rsidRDefault="00C01F13" w:rsidP="000552FD">
      <w:pPr>
        <w:jc w:val="both"/>
        <w:rPr>
          <w:rFonts w:cstheme="minorHAnsi"/>
          <w:bCs/>
          <w:color w:val="auto"/>
          <w:lang w:val="en-AU"/>
        </w:rPr>
      </w:pPr>
      <w:r w:rsidRPr="00C64817">
        <w:rPr>
          <w:rFonts w:cstheme="minorHAnsi"/>
          <w:color w:val="auto"/>
        </w:rPr>
        <w:t>3.</w:t>
      </w:r>
      <w:r w:rsidR="00B2617B" w:rsidRPr="00C64817">
        <w:rPr>
          <w:rFonts w:cstheme="minorHAnsi"/>
          <w:color w:val="auto"/>
        </w:rPr>
        <w:t>1</w:t>
      </w:r>
      <w:r w:rsidR="00173A38">
        <w:rPr>
          <w:rFonts w:cstheme="minorHAnsi"/>
          <w:color w:val="auto"/>
        </w:rPr>
        <w:t>2</w:t>
      </w:r>
      <w:r w:rsidRPr="00C64817">
        <w:rPr>
          <w:rFonts w:cstheme="minorHAnsi"/>
          <w:color w:val="auto"/>
        </w:rPr>
        <w:tab/>
      </w:r>
      <w:r w:rsidR="002F062B" w:rsidRPr="00C64817">
        <w:rPr>
          <w:rFonts w:cstheme="minorHAnsi"/>
          <w:b/>
          <w:bCs/>
          <w:color w:val="auto"/>
        </w:rPr>
        <w:t xml:space="preserve">Integral to Australia’s </w:t>
      </w:r>
      <w:r w:rsidR="0065604E" w:rsidRPr="00C64817">
        <w:rPr>
          <w:rFonts w:cstheme="minorHAnsi"/>
          <w:b/>
          <w:bCs/>
          <w:color w:val="auto"/>
        </w:rPr>
        <w:t xml:space="preserve">current </w:t>
      </w:r>
      <w:r w:rsidR="009A6A4A" w:rsidRPr="00C64817">
        <w:rPr>
          <w:rFonts w:cstheme="minorHAnsi"/>
          <w:b/>
          <w:bCs/>
          <w:color w:val="auto"/>
        </w:rPr>
        <w:t xml:space="preserve">foreign policy is the </w:t>
      </w:r>
      <w:r w:rsidR="00C10C82" w:rsidRPr="00C64817">
        <w:rPr>
          <w:rFonts w:cstheme="minorHAnsi"/>
          <w:b/>
          <w:bCs/>
          <w:color w:val="auto"/>
        </w:rPr>
        <w:t>Pacific Step- up</w:t>
      </w:r>
      <w:r w:rsidR="00BB1ECD" w:rsidRPr="00C64817">
        <w:rPr>
          <w:rFonts w:cstheme="minorHAnsi"/>
          <w:color w:val="auto"/>
        </w:rPr>
        <w:t xml:space="preserve">. </w:t>
      </w:r>
      <w:r w:rsidR="00BB1ECD" w:rsidRPr="00C64817">
        <w:rPr>
          <w:rFonts w:cstheme="minorHAnsi"/>
          <w:bCs/>
          <w:color w:val="auto"/>
          <w:lang w:val="en-AU"/>
        </w:rPr>
        <w:t>Under the Pacific Step-up</w:t>
      </w:r>
      <w:r w:rsidR="009B3221" w:rsidRPr="00C64817">
        <w:rPr>
          <w:rFonts w:cstheme="minorHAnsi"/>
          <w:bCs/>
          <w:color w:val="auto"/>
          <w:lang w:val="en-AU"/>
        </w:rPr>
        <w:t>,</w:t>
      </w:r>
      <w:r w:rsidR="00BB1ECD" w:rsidRPr="00C64817">
        <w:rPr>
          <w:rFonts w:cstheme="minorHAnsi"/>
          <w:bCs/>
          <w:color w:val="auto"/>
          <w:lang w:val="en-AU"/>
        </w:rPr>
        <w:t xml:space="preserve"> Australia is making its highest ever contribution to Pacific development, and a dedicated gender program will deliver social and economic results for women and children in the region and leverage Australia’s suite of Pacific bilateral and regional investments to enhance our efforts to improve gender equality in the region.</w:t>
      </w:r>
      <w:r w:rsidR="009B3221" w:rsidRPr="00C64817">
        <w:rPr>
          <w:rFonts w:cstheme="minorHAnsi"/>
          <w:bCs/>
          <w:color w:val="auto"/>
          <w:lang w:val="en-AU"/>
        </w:rPr>
        <w:t xml:space="preserve"> </w:t>
      </w:r>
      <w:r w:rsidR="00CF4F89" w:rsidRPr="00C64817">
        <w:rPr>
          <w:rFonts w:cstheme="minorHAnsi"/>
          <w:color w:val="auto"/>
        </w:rPr>
        <w:t>The creation of the Office of the Pacific within DFAT has ensured a dedicated effort to enact Pacific Step-up.</w:t>
      </w:r>
      <w:r w:rsidR="00BD13D2" w:rsidRPr="00C64817">
        <w:rPr>
          <w:rFonts w:cstheme="minorHAnsi"/>
          <w:color w:val="auto"/>
        </w:rPr>
        <w:t xml:space="preserve"> </w:t>
      </w:r>
      <w:r w:rsidR="00CF4F89" w:rsidRPr="00C64817">
        <w:rPr>
          <w:rFonts w:cstheme="minorHAnsi"/>
          <w:color w:val="auto"/>
        </w:rPr>
        <w:t xml:space="preserve"> </w:t>
      </w:r>
      <w:r w:rsidR="006A662D" w:rsidRPr="00C64817">
        <w:rPr>
          <w:rFonts w:cstheme="minorHAnsi"/>
          <w:bCs/>
          <w:color w:val="auto"/>
          <w:lang w:val="en-AU"/>
        </w:rPr>
        <w:t xml:space="preserve">Stepping up our engagement in the Pacific is one of our highest foreign policy priorities. Gender equality and women’s empowerment are central to the economic, security and people-to-people initiatives under our </w:t>
      </w:r>
      <w:r w:rsidR="00280CAC" w:rsidRPr="00C64817">
        <w:rPr>
          <w:rFonts w:cstheme="minorHAnsi"/>
          <w:bCs/>
          <w:color w:val="auto"/>
          <w:lang w:val="en-AU"/>
        </w:rPr>
        <w:t>stepped-up</w:t>
      </w:r>
      <w:r w:rsidR="006A662D" w:rsidRPr="00C64817">
        <w:rPr>
          <w:rFonts w:cstheme="minorHAnsi"/>
          <w:bCs/>
          <w:color w:val="auto"/>
          <w:lang w:val="en-AU"/>
        </w:rPr>
        <w:t xml:space="preserve"> engagement in the Pacific.</w:t>
      </w:r>
      <w:r w:rsidR="00C77D99" w:rsidRPr="00407D94">
        <w:rPr>
          <w:rStyle w:val="FootnoteReference"/>
          <w:rFonts w:cstheme="minorHAnsi"/>
          <w:bCs/>
          <w:color w:val="auto"/>
          <w:lang w:val="en-AU"/>
        </w:rPr>
        <w:footnoteReference w:id="7"/>
      </w:r>
    </w:p>
    <w:p w14:paraId="75B4DA57" w14:textId="007FD921" w:rsidR="00731003" w:rsidRPr="00407D94" w:rsidRDefault="0098027F" w:rsidP="00731003">
      <w:pPr>
        <w:tabs>
          <w:tab w:val="left" w:pos="284"/>
        </w:tabs>
        <w:suppressAutoHyphens w:val="0"/>
        <w:spacing w:before="0" w:line="280" w:lineRule="exact"/>
        <w:jc w:val="both"/>
        <w:rPr>
          <w:rFonts w:cstheme="minorHAnsi"/>
          <w:color w:val="auto"/>
        </w:rPr>
      </w:pPr>
      <w:r w:rsidRPr="008A7462">
        <w:rPr>
          <w:rFonts w:cstheme="minorHAnsi"/>
          <w:color w:val="auto"/>
        </w:rPr>
        <w:t>3.1</w:t>
      </w:r>
      <w:r w:rsidR="00173A38">
        <w:rPr>
          <w:rFonts w:cstheme="minorHAnsi"/>
          <w:color w:val="auto"/>
        </w:rPr>
        <w:t>3</w:t>
      </w:r>
      <w:r w:rsidRPr="00C64817">
        <w:rPr>
          <w:rFonts w:cstheme="minorHAnsi"/>
          <w:color w:val="auto"/>
        </w:rPr>
        <w:tab/>
      </w:r>
      <w:r w:rsidR="00731003" w:rsidRPr="00C64817">
        <w:rPr>
          <w:rFonts w:cstheme="minorHAnsi"/>
          <w:color w:val="auto"/>
        </w:rPr>
        <w:t>The Australian Foreign Policy White Paper spells out clearly the Australian values that are a critical component of the foundation upon which the nation builds its international engagement. “Australia’s support for political, economic and religious freedoms, liberal democracy, the rule of law, racial and gender equality and mutual respect reflect who we are and how we approach the world. They underpin a strong, fair and cohesive society at home and are a source of influence for Australia internationally”.</w:t>
      </w:r>
      <w:r w:rsidR="00731003" w:rsidRPr="00407D94">
        <w:rPr>
          <w:rStyle w:val="FootnoteReference"/>
          <w:rFonts w:cstheme="minorHAnsi"/>
          <w:color w:val="auto"/>
        </w:rPr>
        <w:footnoteReference w:id="8"/>
      </w:r>
    </w:p>
    <w:p w14:paraId="0EC0CD13" w14:textId="43B96A48" w:rsidR="00C5186C" w:rsidRPr="00C64817" w:rsidRDefault="00CF19E6" w:rsidP="00C5186C">
      <w:pPr>
        <w:tabs>
          <w:tab w:val="left" w:pos="284"/>
        </w:tabs>
        <w:suppressAutoHyphens w:val="0"/>
        <w:spacing w:before="0" w:line="280" w:lineRule="exact"/>
        <w:jc w:val="both"/>
        <w:rPr>
          <w:rFonts w:cstheme="minorHAnsi"/>
          <w:color w:val="auto"/>
        </w:rPr>
      </w:pPr>
      <w:r w:rsidRPr="008A7462">
        <w:rPr>
          <w:rFonts w:cstheme="minorHAnsi"/>
          <w:color w:val="auto"/>
        </w:rPr>
        <w:t>3.1</w:t>
      </w:r>
      <w:r w:rsidR="00173A38">
        <w:rPr>
          <w:rFonts w:cstheme="minorHAnsi"/>
          <w:color w:val="auto"/>
        </w:rPr>
        <w:t>4</w:t>
      </w:r>
      <w:r w:rsidRPr="00C64817">
        <w:rPr>
          <w:rFonts w:cstheme="minorHAnsi"/>
          <w:color w:val="auto"/>
        </w:rPr>
        <w:tab/>
      </w:r>
      <w:r w:rsidR="00C5186C" w:rsidRPr="00C64817">
        <w:rPr>
          <w:rFonts w:cstheme="minorHAnsi"/>
          <w:color w:val="auto"/>
        </w:rPr>
        <w:t xml:space="preserve">This investment aligns with the priorities for Australian Aid outlined in </w:t>
      </w:r>
      <w:r w:rsidR="00C5186C" w:rsidRPr="00C64817">
        <w:rPr>
          <w:rFonts w:cstheme="minorHAnsi"/>
          <w:b/>
          <w:bCs/>
          <w:color w:val="auto"/>
        </w:rPr>
        <w:t>DFAT’s Gender Equality and Women’s Empowerment Strategy</w:t>
      </w:r>
      <w:r w:rsidR="00C5186C" w:rsidRPr="00C64817">
        <w:rPr>
          <w:rFonts w:cstheme="minorHAnsi"/>
          <w:color w:val="auto"/>
        </w:rPr>
        <w:t>. The priorities guid</w:t>
      </w:r>
      <w:r w:rsidR="0032046D" w:rsidRPr="00C64817">
        <w:rPr>
          <w:rFonts w:cstheme="minorHAnsi"/>
          <w:color w:val="auto"/>
        </w:rPr>
        <w:t>ing</w:t>
      </w:r>
      <w:r w:rsidR="00C5186C" w:rsidRPr="00C64817">
        <w:rPr>
          <w:rFonts w:cstheme="minorHAnsi"/>
          <w:color w:val="auto"/>
        </w:rPr>
        <w:t xml:space="preserve"> work on gender equality are:</w:t>
      </w:r>
      <w:r w:rsidR="00C5186C" w:rsidRPr="00C64817">
        <w:rPr>
          <w:rFonts w:cstheme="minorHAnsi"/>
          <w:color w:val="auto"/>
        </w:rPr>
        <w:tab/>
      </w:r>
    </w:p>
    <w:p w14:paraId="15880EAC" w14:textId="77777777" w:rsidR="00C5186C" w:rsidRPr="00C64817" w:rsidRDefault="00C5186C" w:rsidP="003C0072">
      <w:pPr>
        <w:pStyle w:val="ListParagraph"/>
        <w:numPr>
          <w:ilvl w:val="0"/>
          <w:numId w:val="15"/>
        </w:numPr>
        <w:tabs>
          <w:tab w:val="left" w:pos="284"/>
        </w:tabs>
        <w:suppressAutoHyphens w:val="0"/>
        <w:spacing w:before="0" w:line="280" w:lineRule="exact"/>
        <w:jc w:val="both"/>
        <w:rPr>
          <w:rFonts w:cstheme="minorHAnsi"/>
          <w:color w:val="auto"/>
        </w:rPr>
      </w:pPr>
      <w:r w:rsidRPr="00C64817">
        <w:rPr>
          <w:rFonts w:cstheme="minorHAnsi"/>
          <w:color w:val="auto"/>
        </w:rPr>
        <w:t>Enhancing women’s voice in decision making, leadership and peace building.</w:t>
      </w:r>
    </w:p>
    <w:p w14:paraId="1FA79BE0" w14:textId="77777777" w:rsidR="00C5186C" w:rsidRPr="00C64817" w:rsidRDefault="00C5186C" w:rsidP="003C0072">
      <w:pPr>
        <w:pStyle w:val="ListParagraph"/>
        <w:numPr>
          <w:ilvl w:val="0"/>
          <w:numId w:val="15"/>
        </w:numPr>
        <w:tabs>
          <w:tab w:val="left" w:pos="284"/>
        </w:tabs>
        <w:suppressAutoHyphens w:val="0"/>
        <w:spacing w:before="0" w:line="280" w:lineRule="exact"/>
        <w:jc w:val="both"/>
        <w:rPr>
          <w:rFonts w:cstheme="minorHAnsi"/>
          <w:color w:val="auto"/>
        </w:rPr>
      </w:pPr>
      <w:r w:rsidRPr="00C64817">
        <w:rPr>
          <w:rFonts w:cstheme="minorHAnsi"/>
          <w:color w:val="auto"/>
        </w:rPr>
        <w:t>Promoting women’s economic empowerment.</w:t>
      </w:r>
    </w:p>
    <w:p w14:paraId="7C13AD79" w14:textId="77777777" w:rsidR="00C5186C" w:rsidRPr="00C64817" w:rsidRDefault="00C5186C" w:rsidP="003C0072">
      <w:pPr>
        <w:pStyle w:val="ListParagraph"/>
        <w:numPr>
          <w:ilvl w:val="0"/>
          <w:numId w:val="15"/>
        </w:numPr>
        <w:tabs>
          <w:tab w:val="left" w:pos="284"/>
        </w:tabs>
        <w:suppressAutoHyphens w:val="0"/>
        <w:spacing w:before="0" w:line="280" w:lineRule="exact"/>
        <w:jc w:val="both"/>
        <w:rPr>
          <w:rFonts w:cstheme="minorHAnsi"/>
          <w:color w:val="auto"/>
        </w:rPr>
      </w:pPr>
      <w:r w:rsidRPr="00C64817">
        <w:rPr>
          <w:rFonts w:cstheme="minorHAnsi"/>
          <w:color w:val="auto"/>
        </w:rPr>
        <w:t>Ending violence against women and girls.</w:t>
      </w:r>
    </w:p>
    <w:p w14:paraId="3B322BDF" w14:textId="77777777" w:rsidR="008120DB" w:rsidRPr="00C64817" w:rsidRDefault="008120DB" w:rsidP="009066AF">
      <w:pPr>
        <w:shd w:val="clear" w:color="auto" w:fill="FFFFFF" w:themeFill="background1"/>
        <w:tabs>
          <w:tab w:val="left" w:pos="284"/>
        </w:tabs>
        <w:suppressAutoHyphens w:val="0"/>
        <w:spacing w:before="0" w:line="280" w:lineRule="exact"/>
        <w:jc w:val="both"/>
        <w:rPr>
          <w:rFonts w:cstheme="minorHAnsi"/>
          <w:b/>
          <w:bCs/>
          <w:color w:val="auto"/>
        </w:rPr>
      </w:pPr>
    </w:p>
    <w:p w14:paraId="1BE55F85" w14:textId="3B2F14D7" w:rsidR="00D87B90" w:rsidRPr="00C64817" w:rsidRDefault="00C77A96" w:rsidP="009066AF">
      <w:pPr>
        <w:shd w:val="clear" w:color="auto" w:fill="FFFFFF" w:themeFill="background1"/>
        <w:suppressAutoHyphens w:val="0"/>
        <w:spacing w:before="0" w:after="0" w:line="240" w:lineRule="auto"/>
        <w:rPr>
          <w:rFonts w:eastAsia="Times New Roman" w:cstheme="minorHAnsi"/>
          <w:color w:val="auto"/>
          <w:lang w:val="en-AU"/>
        </w:rPr>
      </w:pPr>
      <w:r w:rsidRPr="00C64817">
        <w:rPr>
          <w:rFonts w:eastAsia="Times New Roman" w:cstheme="minorHAnsi"/>
          <w:color w:val="auto"/>
        </w:rPr>
        <w:lastRenderedPageBreak/>
        <w:t>3.1</w:t>
      </w:r>
      <w:r w:rsidR="00173A38">
        <w:rPr>
          <w:rFonts w:eastAsia="Times New Roman" w:cstheme="minorHAnsi"/>
          <w:color w:val="auto"/>
        </w:rPr>
        <w:t>5</w:t>
      </w:r>
      <w:r w:rsidRPr="00C64817">
        <w:rPr>
          <w:rFonts w:eastAsia="Times New Roman" w:cstheme="minorHAnsi"/>
          <w:color w:val="auto"/>
        </w:rPr>
        <w:tab/>
      </w:r>
      <w:r w:rsidR="00B95F70" w:rsidRPr="00C64817">
        <w:rPr>
          <w:rFonts w:eastAsia="Times New Roman" w:cstheme="minorHAnsi"/>
          <w:color w:val="auto"/>
        </w:rPr>
        <w:t>This Gender Equality and Women’s Empowerment Strategy was developed in 2016 and DFAT is planning to refresh the Strategy in 2021</w:t>
      </w:r>
      <w:r w:rsidR="009F4D7F" w:rsidRPr="00C64817">
        <w:rPr>
          <w:rFonts w:eastAsia="Times New Roman" w:cstheme="minorHAnsi"/>
          <w:color w:val="auto"/>
        </w:rPr>
        <w:t>.</w:t>
      </w:r>
      <w:r w:rsidR="00421BBC" w:rsidRPr="00C64817">
        <w:rPr>
          <w:rFonts w:eastAsia="Times New Roman" w:cstheme="minorHAnsi"/>
          <w:color w:val="auto"/>
        </w:rPr>
        <w:t xml:space="preserve">  Mainstreaming of gender equality is likely to remain a focus for the Strategy, as it allows Australia to leverage </w:t>
      </w:r>
      <w:r w:rsidR="00EA30E0" w:rsidRPr="00C64817">
        <w:rPr>
          <w:rFonts w:eastAsia="Times New Roman" w:cstheme="minorHAnsi"/>
          <w:color w:val="auto"/>
        </w:rPr>
        <w:t>larger investments in pursuit of gender equality and complements targeted action to shift persistent areas of gender inequality.</w:t>
      </w:r>
    </w:p>
    <w:p w14:paraId="1E81E268" w14:textId="77777777" w:rsidR="00D87B90" w:rsidRPr="00C64817" w:rsidRDefault="00D87B90" w:rsidP="009066AF">
      <w:pPr>
        <w:shd w:val="clear" w:color="auto" w:fill="FFFFFF" w:themeFill="background1"/>
        <w:tabs>
          <w:tab w:val="left" w:pos="284"/>
        </w:tabs>
        <w:suppressAutoHyphens w:val="0"/>
        <w:spacing w:before="0" w:line="280" w:lineRule="exact"/>
        <w:jc w:val="both"/>
        <w:rPr>
          <w:rFonts w:cstheme="minorHAnsi"/>
          <w:b/>
          <w:bCs/>
          <w:color w:val="auto"/>
        </w:rPr>
      </w:pPr>
    </w:p>
    <w:p w14:paraId="25550E34" w14:textId="183F4264" w:rsidR="008805F5" w:rsidRPr="00C64817" w:rsidRDefault="00594E68" w:rsidP="00C13494">
      <w:pPr>
        <w:tabs>
          <w:tab w:val="left" w:pos="284"/>
        </w:tabs>
        <w:suppressAutoHyphens w:val="0"/>
        <w:spacing w:before="0" w:line="280" w:lineRule="exact"/>
        <w:jc w:val="both"/>
        <w:rPr>
          <w:rFonts w:cstheme="minorHAnsi"/>
          <w:color w:val="auto"/>
        </w:rPr>
      </w:pPr>
      <w:r w:rsidRPr="00C64817">
        <w:rPr>
          <w:rFonts w:cstheme="minorHAnsi"/>
          <w:color w:val="auto"/>
        </w:rPr>
        <w:t>3.1</w:t>
      </w:r>
      <w:r w:rsidR="00173A38">
        <w:rPr>
          <w:rFonts w:cstheme="minorHAnsi"/>
          <w:color w:val="auto"/>
        </w:rPr>
        <w:t>6</w:t>
      </w:r>
      <w:r w:rsidRPr="00C64817">
        <w:rPr>
          <w:rFonts w:cstheme="minorHAnsi"/>
          <w:b/>
          <w:bCs/>
          <w:color w:val="auto"/>
        </w:rPr>
        <w:tab/>
      </w:r>
      <w:r w:rsidR="00197771">
        <w:rPr>
          <w:rFonts w:cstheme="minorHAnsi"/>
          <w:b/>
          <w:bCs/>
          <w:color w:val="auto"/>
        </w:rPr>
        <w:t>Australia’s development</w:t>
      </w:r>
      <w:r w:rsidR="00350034" w:rsidRPr="00C64817">
        <w:rPr>
          <w:rFonts w:cstheme="minorHAnsi"/>
          <w:b/>
          <w:bCs/>
          <w:color w:val="auto"/>
        </w:rPr>
        <w:t xml:space="preserve"> strategy for responding to the COVID-19 pandemic, </w:t>
      </w:r>
      <w:r w:rsidR="00350034" w:rsidRPr="00C64817">
        <w:rPr>
          <w:rFonts w:cstheme="minorHAnsi"/>
          <w:b/>
          <w:bCs/>
          <w:i/>
          <w:iCs/>
          <w:color w:val="auto"/>
        </w:rPr>
        <w:t>Partnerships for Recovery</w:t>
      </w:r>
      <w:r w:rsidR="000E1622" w:rsidRPr="00C64817">
        <w:rPr>
          <w:rFonts w:cstheme="minorHAnsi"/>
          <w:color w:val="auto"/>
        </w:rPr>
        <w:t>, outlines a clear approach for Australia’s COVID</w:t>
      </w:r>
      <w:r w:rsidR="00391397" w:rsidRPr="00C64817">
        <w:rPr>
          <w:rFonts w:cstheme="minorHAnsi"/>
          <w:color w:val="auto"/>
        </w:rPr>
        <w:t xml:space="preserve">-19 recovery </w:t>
      </w:r>
      <w:r w:rsidR="00C5186C" w:rsidRPr="00C64817">
        <w:rPr>
          <w:rFonts w:cstheme="minorHAnsi"/>
          <w:color w:val="auto"/>
        </w:rPr>
        <w:t>efforts</w:t>
      </w:r>
      <w:r w:rsidR="00391397" w:rsidRPr="00C64817">
        <w:rPr>
          <w:rFonts w:cstheme="minorHAnsi"/>
          <w:color w:val="auto"/>
        </w:rPr>
        <w:t xml:space="preserve">.  </w:t>
      </w:r>
      <w:r w:rsidR="008805F5" w:rsidRPr="00C64817">
        <w:rPr>
          <w:rFonts w:cstheme="minorHAnsi"/>
          <w:color w:val="auto"/>
        </w:rPr>
        <w:t xml:space="preserve">“Our efforts will focus sharply on where we can make the most difference. Our response will focus on three core action areas, which reflect our shared interests with partner governments: </w:t>
      </w:r>
    </w:p>
    <w:p w14:paraId="4B0EA599" w14:textId="77777777" w:rsidR="008805F5" w:rsidRPr="00C64817" w:rsidRDefault="008805F5" w:rsidP="00C13494">
      <w:pPr>
        <w:pStyle w:val="ListParagraph"/>
        <w:numPr>
          <w:ilvl w:val="1"/>
          <w:numId w:val="10"/>
        </w:numPr>
        <w:tabs>
          <w:tab w:val="left" w:pos="284"/>
        </w:tabs>
        <w:suppressAutoHyphens w:val="0"/>
        <w:spacing w:before="0" w:line="280" w:lineRule="exact"/>
        <w:jc w:val="both"/>
        <w:rPr>
          <w:rFonts w:cstheme="minorHAnsi"/>
          <w:color w:val="auto"/>
        </w:rPr>
      </w:pPr>
      <w:r w:rsidRPr="00C64817">
        <w:rPr>
          <w:rFonts w:cstheme="minorHAnsi"/>
          <w:color w:val="auto"/>
        </w:rPr>
        <w:t>Health security</w:t>
      </w:r>
    </w:p>
    <w:p w14:paraId="0BF3CE14" w14:textId="77777777" w:rsidR="008805F5" w:rsidRPr="00C64817" w:rsidRDefault="008805F5" w:rsidP="00C13494">
      <w:pPr>
        <w:pStyle w:val="ListParagraph"/>
        <w:numPr>
          <w:ilvl w:val="1"/>
          <w:numId w:val="10"/>
        </w:numPr>
        <w:tabs>
          <w:tab w:val="left" w:pos="284"/>
        </w:tabs>
        <w:suppressAutoHyphens w:val="0"/>
        <w:spacing w:before="0" w:line="280" w:lineRule="exact"/>
        <w:jc w:val="both"/>
        <w:rPr>
          <w:rFonts w:cstheme="minorHAnsi"/>
          <w:color w:val="auto"/>
        </w:rPr>
      </w:pPr>
      <w:r w:rsidRPr="00C64817">
        <w:rPr>
          <w:rFonts w:cstheme="minorHAnsi"/>
          <w:color w:val="auto"/>
        </w:rPr>
        <w:t>Stability</w:t>
      </w:r>
    </w:p>
    <w:p w14:paraId="23359388" w14:textId="77777777" w:rsidR="008805F5" w:rsidRPr="00C64817" w:rsidRDefault="008805F5" w:rsidP="00C13494">
      <w:pPr>
        <w:pStyle w:val="ListParagraph"/>
        <w:numPr>
          <w:ilvl w:val="1"/>
          <w:numId w:val="10"/>
        </w:numPr>
        <w:tabs>
          <w:tab w:val="left" w:pos="284"/>
        </w:tabs>
        <w:suppressAutoHyphens w:val="0"/>
        <w:spacing w:before="0" w:line="280" w:lineRule="exact"/>
        <w:jc w:val="both"/>
        <w:rPr>
          <w:rFonts w:cstheme="minorHAnsi"/>
          <w:color w:val="auto"/>
        </w:rPr>
      </w:pPr>
      <w:r w:rsidRPr="00C64817">
        <w:rPr>
          <w:rFonts w:cstheme="minorHAnsi"/>
          <w:color w:val="auto"/>
        </w:rPr>
        <w:t xml:space="preserve">Economic recovery. </w:t>
      </w:r>
    </w:p>
    <w:p w14:paraId="5969A012" w14:textId="7B0156DB" w:rsidR="008805F5" w:rsidRPr="00C64817" w:rsidRDefault="008805F5" w:rsidP="00C13494">
      <w:pPr>
        <w:tabs>
          <w:tab w:val="left" w:pos="284"/>
        </w:tabs>
        <w:suppressAutoHyphens w:val="0"/>
        <w:spacing w:before="0" w:line="280" w:lineRule="exact"/>
        <w:jc w:val="both"/>
        <w:rPr>
          <w:rFonts w:cstheme="minorHAnsi"/>
          <w:color w:val="auto"/>
        </w:rPr>
      </w:pPr>
      <w:r w:rsidRPr="00C64817">
        <w:rPr>
          <w:rFonts w:cstheme="minorHAnsi"/>
          <w:color w:val="auto"/>
        </w:rPr>
        <w:t xml:space="preserve">This will be underpinned by a strong emphasis on protecting the most vulnerable, especially women and girls.” </w:t>
      </w:r>
    </w:p>
    <w:p w14:paraId="57FA77AC" w14:textId="4DE2B857" w:rsidR="005E5C57" w:rsidRPr="00C64817" w:rsidRDefault="00F60679" w:rsidP="005E5C57">
      <w:pPr>
        <w:rPr>
          <w:rFonts w:cstheme="minorHAnsi"/>
          <w:color w:val="auto"/>
          <w:lang w:val="en-AU"/>
        </w:rPr>
      </w:pPr>
      <w:r w:rsidRPr="00C64817">
        <w:rPr>
          <w:rFonts w:cstheme="minorHAnsi"/>
          <w:color w:val="auto"/>
        </w:rPr>
        <w:t>3.1</w:t>
      </w:r>
      <w:r w:rsidR="00173A38">
        <w:rPr>
          <w:rFonts w:cstheme="minorHAnsi"/>
          <w:color w:val="auto"/>
        </w:rPr>
        <w:t>7</w:t>
      </w:r>
      <w:r w:rsidR="005E5C57" w:rsidRPr="00C64817">
        <w:rPr>
          <w:rFonts w:cstheme="minorHAnsi"/>
          <w:color w:val="auto"/>
        </w:rPr>
        <w:tab/>
      </w:r>
      <w:r w:rsidR="007325C0" w:rsidRPr="00C64817">
        <w:rPr>
          <w:rFonts w:cstheme="minorHAnsi"/>
          <w:color w:val="auto"/>
        </w:rPr>
        <w:t xml:space="preserve">Under Partnerships for Recovery, </w:t>
      </w:r>
      <w:r w:rsidR="00197771">
        <w:rPr>
          <w:rFonts w:cstheme="minorHAnsi"/>
          <w:color w:val="auto"/>
        </w:rPr>
        <w:t>the Australian Government</w:t>
      </w:r>
      <w:r w:rsidR="00C51B5E" w:rsidRPr="00C64817">
        <w:rPr>
          <w:rFonts w:cstheme="minorHAnsi"/>
          <w:color w:val="auto"/>
        </w:rPr>
        <w:t xml:space="preserve"> has a </w:t>
      </w:r>
      <w:r w:rsidR="00C51B5E" w:rsidRPr="00C64817">
        <w:rPr>
          <w:rFonts w:cstheme="minorHAnsi"/>
          <w:b/>
          <w:bCs/>
          <w:color w:val="auto"/>
        </w:rPr>
        <w:t>Pacific Regional COVID-19 Response Plan</w:t>
      </w:r>
      <w:r w:rsidR="00C51B5E" w:rsidRPr="00C64817">
        <w:rPr>
          <w:rFonts w:cstheme="minorHAnsi"/>
          <w:color w:val="auto"/>
        </w:rPr>
        <w:t xml:space="preserve"> which commits to </w:t>
      </w:r>
      <w:r w:rsidR="005E5C57" w:rsidRPr="00C64817">
        <w:rPr>
          <w:rFonts w:cstheme="minorHAnsi"/>
          <w:color w:val="auto"/>
        </w:rPr>
        <w:t>supporting Pacific-driven responses and stronger regional and national institutions in the Pacific</w:t>
      </w:r>
      <w:r w:rsidR="000E5969" w:rsidRPr="00C64817">
        <w:rPr>
          <w:rFonts w:cstheme="minorHAnsi"/>
          <w:color w:val="auto"/>
        </w:rPr>
        <w:t>.  This Response Plan suggests</w:t>
      </w:r>
      <w:r w:rsidRPr="00C64817">
        <w:rPr>
          <w:rFonts w:cstheme="minorHAnsi"/>
          <w:color w:val="auto"/>
        </w:rPr>
        <w:t xml:space="preserve"> DFAT</w:t>
      </w:r>
      <w:r w:rsidR="005E5C57" w:rsidRPr="00C64817">
        <w:rPr>
          <w:rFonts w:cstheme="minorHAnsi"/>
          <w:color w:val="auto"/>
        </w:rPr>
        <w:t xml:space="preserve"> </w:t>
      </w:r>
      <w:r w:rsidR="005E5C57" w:rsidRPr="00C64817">
        <w:rPr>
          <w:rFonts w:cstheme="minorHAnsi"/>
          <w:b/>
          <w:bCs/>
          <w:color w:val="auto"/>
        </w:rPr>
        <w:t>consider vesting oversight in a strategic partnership between DFAT and the Pacific Community (SPC)</w:t>
      </w:r>
      <w:r w:rsidR="005E5C57" w:rsidRPr="00C64817">
        <w:rPr>
          <w:rFonts w:cstheme="minorHAnsi"/>
          <w:color w:val="auto"/>
        </w:rPr>
        <w:t>, with clear links to PIF Secretariat and the Pacific Island Forum Leaders Meeting.</w:t>
      </w:r>
    </w:p>
    <w:p w14:paraId="7DB0EACD" w14:textId="0DC6BC6C" w:rsidR="005E5C57" w:rsidRPr="00C64817" w:rsidRDefault="00F60679" w:rsidP="005E5C57">
      <w:pPr>
        <w:rPr>
          <w:rFonts w:cstheme="minorHAnsi"/>
          <w:color w:val="auto"/>
        </w:rPr>
      </w:pPr>
      <w:r w:rsidRPr="00C64817">
        <w:rPr>
          <w:rFonts w:cstheme="minorHAnsi"/>
          <w:color w:val="auto"/>
        </w:rPr>
        <w:t>3.1</w:t>
      </w:r>
      <w:r w:rsidR="00173A38">
        <w:rPr>
          <w:rFonts w:cstheme="minorHAnsi"/>
          <w:color w:val="auto"/>
        </w:rPr>
        <w:t>8</w:t>
      </w:r>
      <w:r w:rsidR="005E5C57" w:rsidRPr="00C64817">
        <w:rPr>
          <w:rFonts w:cstheme="minorHAnsi"/>
          <w:color w:val="auto"/>
        </w:rPr>
        <w:t xml:space="preserve">         </w:t>
      </w:r>
      <w:r w:rsidR="007527CA" w:rsidRPr="00C64817">
        <w:rPr>
          <w:rFonts w:cstheme="minorHAnsi"/>
          <w:color w:val="auto"/>
        </w:rPr>
        <w:t>T</w:t>
      </w:r>
      <w:r w:rsidR="005E5C57" w:rsidRPr="00C64817">
        <w:rPr>
          <w:rFonts w:cstheme="minorHAnsi"/>
          <w:color w:val="auto"/>
        </w:rPr>
        <w:t>he Pacific Regional COVID Response Plan</w:t>
      </w:r>
      <w:r w:rsidR="007527CA" w:rsidRPr="00C64817">
        <w:rPr>
          <w:rFonts w:cstheme="minorHAnsi"/>
          <w:color w:val="auto"/>
        </w:rPr>
        <w:t xml:space="preserve"> promotes </w:t>
      </w:r>
      <w:r w:rsidR="005E5C57" w:rsidRPr="00C64817">
        <w:rPr>
          <w:rFonts w:cstheme="minorHAnsi"/>
          <w:color w:val="auto"/>
        </w:rPr>
        <w:t>the following principles that</w:t>
      </w:r>
      <w:r w:rsidR="007527CA" w:rsidRPr="00C64817">
        <w:rPr>
          <w:rFonts w:cstheme="minorHAnsi"/>
          <w:color w:val="auto"/>
        </w:rPr>
        <w:t xml:space="preserve"> provide relevant guidance to Pacific Women Lead:</w:t>
      </w:r>
    </w:p>
    <w:p w14:paraId="072CA3E7" w14:textId="77777777" w:rsidR="005E5C57" w:rsidRPr="00C64817" w:rsidRDefault="005E5C57" w:rsidP="008B3991">
      <w:pPr>
        <w:pStyle w:val="ListParagraph"/>
        <w:numPr>
          <w:ilvl w:val="1"/>
          <w:numId w:val="34"/>
        </w:numPr>
        <w:suppressAutoHyphens w:val="0"/>
        <w:spacing w:before="0" w:after="0" w:line="240" w:lineRule="auto"/>
        <w:rPr>
          <w:rFonts w:eastAsia="Times New Roman" w:cstheme="minorHAnsi"/>
          <w:color w:val="auto"/>
        </w:rPr>
      </w:pPr>
      <w:r w:rsidRPr="00C64817">
        <w:rPr>
          <w:rFonts w:eastAsia="Times New Roman" w:cstheme="minorHAnsi"/>
          <w:color w:val="auto"/>
        </w:rPr>
        <w:t>Supporting Pacific-driven coordination on issues that are transboundary in nature</w:t>
      </w:r>
    </w:p>
    <w:p w14:paraId="569877E9" w14:textId="77777777" w:rsidR="005E5C57" w:rsidRPr="00C64817" w:rsidRDefault="005E5C57" w:rsidP="008B3991">
      <w:pPr>
        <w:pStyle w:val="ListParagraph"/>
        <w:numPr>
          <w:ilvl w:val="1"/>
          <w:numId w:val="34"/>
        </w:numPr>
        <w:suppressAutoHyphens w:val="0"/>
        <w:spacing w:before="0" w:after="0" w:line="240" w:lineRule="auto"/>
        <w:rPr>
          <w:rFonts w:eastAsia="Times New Roman" w:cstheme="minorHAnsi"/>
          <w:color w:val="auto"/>
        </w:rPr>
      </w:pPr>
      <w:r w:rsidRPr="00C64817">
        <w:rPr>
          <w:rFonts w:eastAsia="Times New Roman" w:cstheme="minorHAnsi"/>
          <w:color w:val="auto"/>
        </w:rPr>
        <w:t>Delivering regional collective goods and services</w:t>
      </w:r>
    </w:p>
    <w:p w14:paraId="323CF8D1" w14:textId="77777777" w:rsidR="005E5C57" w:rsidRPr="00C64817" w:rsidRDefault="005E5C57" w:rsidP="008B3991">
      <w:pPr>
        <w:pStyle w:val="ListParagraph"/>
        <w:numPr>
          <w:ilvl w:val="1"/>
          <w:numId w:val="34"/>
        </w:numPr>
        <w:suppressAutoHyphens w:val="0"/>
        <w:spacing w:before="0" w:after="0" w:line="240" w:lineRule="auto"/>
        <w:rPr>
          <w:rFonts w:eastAsia="Times New Roman" w:cstheme="minorHAnsi"/>
          <w:color w:val="auto"/>
        </w:rPr>
      </w:pPr>
      <w:r w:rsidRPr="00C64817">
        <w:rPr>
          <w:rFonts w:eastAsia="Times New Roman" w:cstheme="minorHAnsi"/>
          <w:color w:val="auto"/>
        </w:rPr>
        <w:t>Building regional institutions and norms to further regional objectives and support national capacity</w:t>
      </w:r>
    </w:p>
    <w:p w14:paraId="6822353A" w14:textId="77777777" w:rsidR="005E5C57" w:rsidRPr="00C64817" w:rsidRDefault="005E5C57" w:rsidP="008B3991">
      <w:pPr>
        <w:pStyle w:val="ListParagraph"/>
        <w:numPr>
          <w:ilvl w:val="1"/>
          <w:numId w:val="34"/>
        </w:numPr>
        <w:suppressAutoHyphens w:val="0"/>
        <w:spacing w:before="0" w:after="0" w:line="240" w:lineRule="auto"/>
        <w:rPr>
          <w:rFonts w:eastAsia="Times New Roman" w:cstheme="minorHAnsi"/>
          <w:color w:val="auto"/>
        </w:rPr>
      </w:pPr>
      <w:r w:rsidRPr="00C64817">
        <w:rPr>
          <w:rFonts w:eastAsia="Times New Roman" w:cstheme="minorHAnsi"/>
          <w:color w:val="auto"/>
        </w:rPr>
        <w:t xml:space="preserve">Deepening regional integration, including Australia’s connections with our region, and </w:t>
      </w:r>
    </w:p>
    <w:p w14:paraId="0360E0F8" w14:textId="77777777" w:rsidR="005E5C57" w:rsidRPr="00C64817" w:rsidRDefault="005E5C57" w:rsidP="008B3991">
      <w:pPr>
        <w:pStyle w:val="ListParagraph"/>
        <w:numPr>
          <w:ilvl w:val="1"/>
          <w:numId w:val="34"/>
        </w:numPr>
        <w:suppressAutoHyphens w:val="0"/>
        <w:spacing w:before="0" w:after="0" w:line="240" w:lineRule="auto"/>
        <w:rPr>
          <w:rFonts w:eastAsia="Times New Roman" w:cstheme="minorHAnsi"/>
          <w:color w:val="auto"/>
        </w:rPr>
      </w:pPr>
      <w:r w:rsidRPr="00C64817">
        <w:rPr>
          <w:rFonts w:eastAsia="Times New Roman" w:cstheme="minorHAnsi"/>
          <w:color w:val="auto"/>
        </w:rPr>
        <w:t xml:space="preserve">Fostering common policy approaches. </w:t>
      </w:r>
    </w:p>
    <w:p w14:paraId="1958EDEF" w14:textId="1C373468" w:rsidR="009C4408" w:rsidRPr="00C64817" w:rsidRDefault="00594E68" w:rsidP="00855226">
      <w:pPr>
        <w:jc w:val="both"/>
        <w:rPr>
          <w:rFonts w:cstheme="minorHAnsi"/>
          <w:color w:val="auto"/>
        </w:rPr>
      </w:pPr>
      <w:r w:rsidRPr="00C64817">
        <w:rPr>
          <w:rFonts w:cstheme="minorHAnsi"/>
          <w:color w:val="auto"/>
        </w:rPr>
        <w:t>3.1</w:t>
      </w:r>
      <w:r w:rsidR="00173A38">
        <w:rPr>
          <w:rFonts w:cstheme="minorHAnsi"/>
          <w:color w:val="auto"/>
        </w:rPr>
        <w:t>9</w:t>
      </w:r>
      <w:r w:rsidRPr="00C64817">
        <w:rPr>
          <w:rFonts w:cstheme="minorHAnsi"/>
          <w:color w:val="auto"/>
        </w:rPr>
        <w:tab/>
      </w:r>
      <w:r w:rsidR="006C3DCD" w:rsidRPr="00C64817">
        <w:rPr>
          <w:rFonts w:cstheme="minorHAnsi"/>
          <w:color w:val="auto"/>
        </w:rPr>
        <w:t xml:space="preserve">It is critical in a regional program design to be </w:t>
      </w:r>
      <w:r w:rsidR="001917E6" w:rsidRPr="00C64817">
        <w:rPr>
          <w:rFonts w:cstheme="minorHAnsi"/>
          <w:color w:val="auto"/>
        </w:rPr>
        <w:t xml:space="preserve">ever mindful that Australia is not just a donor, but </w:t>
      </w:r>
      <w:r w:rsidR="006455A5" w:rsidRPr="00C64817">
        <w:rPr>
          <w:rFonts w:cstheme="minorHAnsi"/>
          <w:b/>
          <w:bCs/>
          <w:color w:val="auto"/>
        </w:rPr>
        <w:t>Australia is a member country of the Pacific Island Forum</w:t>
      </w:r>
      <w:r w:rsidR="0047413E" w:rsidRPr="00C64817">
        <w:rPr>
          <w:rFonts w:cstheme="minorHAnsi"/>
          <w:b/>
          <w:bCs/>
          <w:color w:val="auto"/>
        </w:rPr>
        <w:t xml:space="preserve"> (PIF)</w:t>
      </w:r>
      <w:r w:rsidR="006455A5" w:rsidRPr="00C64817">
        <w:rPr>
          <w:rFonts w:cstheme="minorHAnsi"/>
          <w:b/>
          <w:bCs/>
          <w:color w:val="auto"/>
        </w:rPr>
        <w:t xml:space="preserve"> and SPC</w:t>
      </w:r>
      <w:r w:rsidR="006455A5" w:rsidRPr="00C64817">
        <w:rPr>
          <w:rFonts w:cstheme="minorHAnsi"/>
          <w:color w:val="auto"/>
        </w:rPr>
        <w:t xml:space="preserve">. Gender equality is a domestic concern and challenge for Australia across all the priorities identified through this design: women’s leadership, women’s </w:t>
      </w:r>
      <w:proofErr w:type="gramStart"/>
      <w:r w:rsidR="006455A5" w:rsidRPr="00C64817">
        <w:rPr>
          <w:rFonts w:cstheme="minorHAnsi"/>
          <w:color w:val="auto"/>
        </w:rPr>
        <w:t>rights</w:t>
      </w:r>
      <w:proofErr w:type="gramEnd"/>
      <w:r w:rsidR="006455A5" w:rsidRPr="00C64817">
        <w:rPr>
          <w:rFonts w:cstheme="minorHAnsi"/>
          <w:color w:val="auto"/>
        </w:rPr>
        <w:t xml:space="preserve"> and the regional agenda for gender equality. Australia has gender challenges and lessons learnt to share as a member country. However, Australia is also </w:t>
      </w:r>
      <w:r w:rsidR="00421BBC" w:rsidRPr="00C64817">
        <w:rPr>
          <w:rFonts w:cstheme="minorHAnsi"/>
          <w:color w:val="auto"/>
        </w:rPr>
        <w:t xml:space="preserve">a </w:t>
      </w:r>
      <w:r w:rsidR="006455A5" w:rsidRPr="00C64817">
        <w:rPr>
          <w:rFonts w:cstheme="minorHAnsi"/>
          <w:color w:val="auto"/>
        </w:rPr>
        <w:t xml:space="preserve">major donor for gender equality in the Pacific region through bilateral, </w:t>
      </w:r>
      <w:proofErr w:type="gramStart"/>
      <w:r w:rsidR="006455A5" w:rsidRPr="00C64817">
        <w:rPr>
          <w:rFonts w:cstheme="minorHAnsi"/>
          <w:color w:val="auto"/>
        </w:rPr>
        <w:t>regional</w:t>
      </w:r>
      <w:proofErr w:type="gramEnd"/>
      <w:r w:rsidR="006455A5" w:rsidRPr="00C64817">
        <w:rPr>
          <w:rFonts w:cstheme="minorHAnsi"/>
          <w:color w:val="auto"/>
        </w:rPr>
        <w:t xml:space="preserve"> and global contributions. </w:t>
      </w:r>
    </w:p>
    <w:p w14:paraId="646DAC28" w14:textId="02692492" w:rsidR="00EF34EE" w:rsidRPr="008A7462" w:rsidRDefault="00EF34EE" w:rsidP="00855226">
      <w:pPr>
        <w:jc w:val="both"/>
        <w:rPr>
          <w:rFonts w:cstheme="minorHAnsi"/>
          <w:color w:val="auto"/>
        </w:rPr>
      </w:pPr>
      <w:r w:rsidRPr="00C64817">
        <w:rPr>
          <w:rFonts w:cstheme="minorHAnsi"/>
          <w:color w:val="auto"/>
        </w:rPr>
        <w:t>3.</w:t>
      </w:r>
      <w:r w:rsidR="00173A38">
        <w:rPr>
          <w:rFonts w:cstheme="minorHAnsi"/>
          <w:color w:val="auto"/>
        </w:rPr>
        <w:t>20</w:t>
      </w:r>
      <w:r w:rsidRPr="00C64817">
        <w:rPr>
          <w:rFonts w:cstheme="minorHAnsi"/>
          <w:color w:val="auto"/>
        </w:rPr>
        <w:tab/>
      </w:r>
      <w:r w:rsidR="00B56036" w:rsidRPr="00C64817">
        <w:rPr>
          <w:rFonts w:cstheme="minorHAnsi"/>
          <w:b/>
          <w:bCs/>
          <w:color w:val="auto"/>
        </w:rPr>
        <w:t>Australia aims to</w:t>
      </w:r>
      <w:r w:rsidR="00197771">
        <w:rPr>
          <w:rFonts w:cstheme="minorHAnsi"/>
          <w:b/>
          <w:bCs/>
          <w:color w:val="auto"/>
        </w:rPr>
        <w:t xml:space="preserve"> </w:t>
      </w:r>
      <w:r w:rsidR="00B56036" w:rsidRPr="00C64817">
        <w:rPr>
          <w:rFonts w:cstheme="minorHAnsi"/>
          <w:b/>
          <w:bCs/>
          <w:color w:val="auto"/>
        </w:rPr>
        <w:t>address climate change and strengthen socially inclusive, gender-responsive sustainable development</w:t>
      </w:r>
      <w:r w:rsidR="00B56036" w:rsidRPr="00407D94">
        <w:rPr>
          <w:rFonts w:cstheme="minorHAnsi"/>
          <w:color w:val="auto"/>
        </w:rPr>
        <w:t xml:space="preserve"> in our region, as outlined in DFAT Climate Change Action Strategy, and has released a $500 million climate change funding package to support this.</w:t>
      </w:r>
    </w:p>
    <w:p w14:paraId="430AB695" w14:textId="5B6FFDC1" w:rsidR="00610419" w:rsidRDefault="0096759F" w:rsidP="00C64817">
      <w:pPr>
        <w:rPr>
          <w:rFonts w:cstheme="minorHAnsi"/>
          <w:color w:val="auto"/>
        </w:rPr>
      </w:pPr>
      <w:r w:rsidRPr="00C313F7">
        <w:rPr>
          <w:rFonts w:cstheme="minorHAnsi"/>
          <w:color w:val="auto"/>
        </w:rPr>
        <w:t>3.</w:t>
      </w:r>
      <w:r w:rsidR="00C77A96" w:rsidRPr="00C313F7">
        <w:rPr>
          <w:rFonts w:cstheme="minorHAnsi"/>
          <w:color w:val="auto"/>
        </w:rPr>
        <w:t>2</w:t>
      </w:r>
      <w:r w:rsidR="00173A38" w:rsidRPr="00C313F7">
        <w:rPr>
          <w:rFonts w:cstheme="minorHAnsi"/>
          <w:color w:val="auto"/>
        </w:rPr>
        <w:t>1</w:t>
      </w:r>
      <w:r w:rsidRPr="00C313F7">
        <w:rPr>
          <w:rFonts w:cstheme="minorHAnsi"/>
          <w:color w:val="auto"/>
        </w:rPr>
        <w:t xml:space="preserve"> </w:t>
      </w:r>
      <w:r w:rsidRPr="00C64817">
        <w:rPr>
          <w:rFonts w:cstheme="minorHAnsi"/>
        </w:rPr>
        <w:tab/>
      </w:r>
      <w:r w:rsidRPr="00C313F7">
        <w:rPr>
          <w:rFonts w:cstheme="minorHAnsi"/>
          <w:b/>
          <w:bCs/>
          <w:color w:val="auto"/>
        </w:rPr>
        <w:t>Disability-inclusive development is a priority for Australia's international engagement</w:t>
      </w:r>
      <w:r w:rsidRPr="00C313F7">
        <w:rPr>
          <w:rFonts w:cstheme="minorHAnsi"/>
          <w:color w:val="auto"/>
        </w:rPr>
        <w:t>. The Development for All 2015-2020: Strategy for strengthening disability-inclusive development in Australia's aid program (extended to 2021) address the interaction of gender and disabilities through including women with disabilities in programming on leadership, women’s economic empowerment and ending violence against women.</w:t>
      </w:r>
      <w:r w:rsidR="00C60F58" w:rsidRPr="00C313F7">
        <w:rPr>
          <w:rFonts w:cstheme="minorHAnsi"/>
          <w:color w:val="auto"/>
        </w:rPr>
        <w:t xml:space="preserve"> With the 6-year Evaluation recommending that the new program “</w:t>
      </w:r>
      <w:r w:rsidR="00C60F58" w:rsidRPr="00B51E0C">
        <w:rPr>
          <w:rFonts w:cstheme="minorHAnsi"/>
          <w:color w:val="auto"/>
        </w:rPr>
        <w:t>ramp up efforts to address disability issues”</w:t>
      </w:r>
      <w:r w:rsidR="00C60F58" w:rsidRPr="00AF4C5D">
        <w:rPr>
          <w:rFonts w:cstheme="minorHAnsi"/>
          <w:color w:val="auto"/>
        </w:rPr>
        <w:t xml:space="preserve">, </w:t>
      </w:r>
      <w:r w:rsidR="00C60F58" w:rsidRPr="00AF4C5D">
        <w:rPr>
          <w:rFonts w:cstheme="minorHAnsi"/>
          <w:i/>
          <w:iCs/>
          <w:color w:val="auto"/>
        </w:rPr>
        <w:t>Pacific Women Lead</w:t>
      </w:r>
      <w:r w:rsidR="00C60F58" w:rsidRPr="00AF4C5D">
        <w:rPr>
          <w:rFonts w:cstheme="minorHAnsi"/>
          <w:color w:val="auto"/>
        </w:rPr>
        <w:t xml:space="preserve"> </w:t>
      </w:r>
      <w:r w:rsidR="006A42AE" w:rsidRPr="00AF4C5D">
        <w:rPr>
          <w:rFonts w:cstheme="minorHAnsi"/>
          <w:color w:val="auto"/>
        </w:rPr>
        <w:t>seek</w:t>
      </w:r>
      <w:r w:rsidR="00407D94" w:rsidRPr="00FB051D">
        <w:rPr>
          <w:rFonts w:cstheme="minorHAnsi"/>
          <w:color w:val="auto"/>
        </w:rPr>
        <w:t>s</w:t>
      </w:r>
      <w:r w:rsidR="006A42AE" w:rsidRPr="00FB051D">
        <w:rPr>
          <w:rFonts w:cstheme="minorHAnsi"/>
          <w:color w:val="auto"/>
        </w:rPr>
        <w:t xml:space="preserve"> to do this throughout all components of the program.</w:t>
      </w:r>
    </w:p>
    <w:p w14:paraId="7266CE45" w14:textId="05A8C26F" w:rsidR="00C10D69" w:rsidRDefault="00C10D69" w:rsidP="00C64817">
      <w:pPr>
        <w:rPr>
          <w:rFonts w:cstheme="minorHAnsi"/>
          <w:color w:val="auto"/>
        </w:rPr>
      </w:pPr>
    </w:p>
    <w:p w14:paraId="3637C10A" w14:textId="77777777" w:rsidR="00C10D69" w:rsidRPr="0093647F" w:rsidRDefault="00C10D69" w:rsidP="00C64817">
      <w:pPr>
        <w:rPr>
          <w:rFonts w:cstheme="minorHAnsi"/>
          <w:color w:val="auto"/>
        </w:rPr>
      </w:pPr>
    </w:p>
    <w:p w14:paraId="52E8090A" w14:textId="30B9F106" w:rsidR="002D4DE7" w:rsidRPr="00C64817" w:rsidRDefault="002D4DE7" w:rsidP="00F328DA">
      <w:pPr>
        <w:pStyle w:val="Heading1"/>
        <w:numPr>
          <w:ilvl w:val="0"/>
          <w:numId w:val="14"/>
        </w:numPr>
        <w:ind w:left="426" w:hanging="426"/>
      </w:pPr>
      <w:bookmarkStart w:id="8" w:name="_Toc75535882"/>
      <w:r w:rsidRPr="00C64817">
        <w:lastRenderedPageBreak/>
        <w:t>Proposed Outcomes and Investment Options</w:t>
      </w:r>
      <w:bookmarkEnd w:id="8"/>
    </w:p>
    <w:p w14:paraId="7FF6961F" w14:textId="7EFAFAC9" w:rsidR="006E3907" w:rsidRPr="00C64817" w:rsidRDefault="00594E68" w:rsidP="00C13494">
      <w:pPr>
        <w:pStyle w:val="Default"/>
        <w:jc w:val="both"/>
        <w:rPr>
          <w:rFonts w:asciiTheme="minorHAnsi" w:hAnsiTheme="minorHAnsi" w:cstheme="minorHAnsi"/>
          <w:color w:val="auto"/>
          <w:sz w:val="22"/>
          <w:szCs w:val="22"/>
        </w:rPr>
      </w:pPr>
      <w:r w:rsidRPr="008A7462">
        <w:rPr>
          <w:rFonts w:asciiTheme="minorHAnsi" w:hAnsiTheme="minorHAnsi" w:cstheme="minorHAnsi"/>
          <w:color w:val="auto"/>
          <w:sz w:val="22"/>
          <w:szCs w:val="22"/>
        </w:rPr>
        <w:t>4.1</w:t>
      </w:r>
      <w:r w:rsidRPr="008A7462">
        <w:rPr>
          <w:rFonts w:asciiTheme="minorHAnsi" w:hAnsiTheme="minorHAnsi" w:cstheme="minorHAnsi"/>
          <w:color w:val="auto"/>
          <w:sz w:val="22"/>
          <w:szCs w:val="22"/>
        </w:rPr>
        <w:tab/>
      </w:r>
      <w:r w:rsidR="006E3907" w:rsidRPr="008A7462">
        <w:rPr>
          <w:rFonts w:asciiTheme="minorHAnsi" w:hAnsiTheme="minorHAnsi" w:cstheme="minorHAnsi"/>
          <w:b/>
          <w:bCs/>
          <w:i/>
          <w:iCs/>
          <w:color w:val="auto"/>
          <w:sz w:val="22"/>
          <w:szCs w:val="22"/>
        </w:rPr>
        <w:t>Pacific Women Lead</w:t>
      </w:r>
      <w:r w:rsidR="006E3907" w:rsidRPr="008A7462">
        <w:rPr>
          <w:rFonts w:asciiTheme="minorHAnsi" w:hAnsiTheme="minorHAnsi" w:cstheme="minorHAnsi"/>
          <w:b/>
          <w:bCs/>
          <w:color w:val="auto"/>
          <w:sz w:val="22"/>
          <w:szCs w:val="22"/>
        </w:rPr>
        <w:t xml:space="preserve"> is a multi-year initiative to be delivered over the period 2021-2026 through a</w:t>
      </w:r>
      <w:r w:rsidR="00280CAC" w:rsidRPr="009348A9">
        <w:rPr>
          <w:rFonts w:asciiTheme="minorHAnsi" w:hAnsiTheme="minorHAnsi" w:cstheme="minorHAnsi"/>
          <w:b/>
          <w:bCs/>
          <w:color w:val="auto"/>
          <w:sz w:val="22"/>
          <w:szCs w:val="22"/>
        </w:rPr>
        <w:t xml:space="preserve">n </w:t>
      </w:r>
      <w:r w:rsidR="006E3907" w:rsidRPr="00B43027">
        <w:rPr>
          <w:rFonts w:asciiTheme="minorHAnsi" w:hAnsiTheme="minorHAnsi" w:cstheme="minorHAnsi"/>
          <w:b/>
          <w:bCs/>
          <w:color w:val="auto"/>
          <w:sz w:val="22"/>
          <w:szCs w:val="22"/>
        </w:rPr>
        <w:t>AUD</w:t>
      </w:r>
      <w:r w:rsidR="00280CAC" w:rsidRPr="000220F0">
        <w:rPr>
          <w:rFonts w:asciiTheme="minorHAnsi" w:hAnsiTheme="minorHAnsi" w:cstheme="minorHAnsi"/>
          <w:b/>
          <w:bCs/>
          <w:color w:val="auto"/>
          <w:sz w:val="22"/>
          <w:szCs w:val="22"/>
        </w:rPr>
        <w:t xml:space="preserve"> $1</w:t>
      </w:r>
      <w:r w:rsidR="00D903D9" w:rsidRPr="00F44628">
        <w:rPr>
          <w:rFonts w:asciiTheme="minorHAnsi" w:hAnsiTheme="minorHAnsi" w:cstheme="minorHAnsi"/>
          <w:b/>
          <w:bCs/>
          <w:color w:val="auto"/>
          <w:sz w:val="22"/>
          <w:szCs w:val="22"/>
        </w:rPr>
        <w:t>7</w:t>
      </w:r>
      <w:r w:rsidR="00B51E0C">
        <w:rPr>
          <w:rFonts w:asciiTheme="minorHAnsi" w:hAnsiTheme="minorHAnsi" w:cstheme="minorHAnsi"/>
          <w:b/>
          <w:bCs/>
          <w:color w:val="auto"/>
          <w:sz w:val="22"/>
          <w:szCs w:val="22"/>
        </w:rPr>
        <w:t>0</w:t>
      </w:r>
      <w:r w:rsidR="00D903D9" w:rsidRPr="00F44628">
        <w:rPr>
          <w:rFonts w:asciiTheme="minorHAnsi" w:hAnsiTheme="minorHAnsi" w:cstheme="minorHAnsi"/>
          <w:b/>
          <w:bCs/>
          <w:color w:val="auto"/>
          <w:sz w:val="22"/>
          <w:szCs w:val="22"/>
        </w:rPr>
        <w:t xml:space="preserve"> </w:t>
      </w:r>
      <w:r w:rsidR="006E3907" w:rsidRPr="00C64817">
        <w:rPr>
          <w:rFonts w:asciiTheme="minorHAnsi" w:hAnsiTheme="minorHAnsi" w:cstheme="minorHAnsi"/>
          <w:b/>
          <w:bCs/>
          <w:color w:val="auto"/>
          <w:sz w:val="22"/>
          <w:szCs w:val="22"/>
        </w:rPr>
        <w:t>million commitment from the Australian Government to further gender equality in the Pacific.</w:t>
      </w:r>
      <w:r w:rsidR="006E3907" w:rsidRPr="00C64817">
        <w:rPr>
          <w:rFonts w:asciiTheme="minorHAnsi" w:hAnsiTheme="minorHAnsi" w:cstheme="minorHAnsi"/>
          <w:color w:val="auto"/>
          <w:sz w:val="22"/>
          <w:szCs w:val="22"/>
        </w:rPr>
        <w:t xml:space="preserve">  The initiative will be characterised by flexibility with this design providing a high-level framework for a range of act</w:t>
      </w:r>
      <w:r w:rsidR="00B51E0C">
        <w:rPr>
          <w:rFonts w:asciiTheme="minorHAnsi" w:hAnsiTheme="minorHAnsi" w:cstheme="minorHAnsi"/>
          <w:color w:val="auto"/>
          <w:sz w:val="22"/>
          <w:szCs w:val="22"/>
        </w:rPr>
        <w:t>ivities</w:t>
      </w:r>
      <w:r w:rsidR="006E3907" w:rsidRPr="00C64817">
        <w:rPr>
          <w:rFonts w:asciiTheme="minorHAnsi" w:hAnsiTheme="minorHAnsi" w:cstheme="minorHAnsi"/>
          <w:color w:val="auto"/>
          <w:sz w:val="22"/>
          <w:szCs w:val="22"/>
        </w:rPr>
        <w:t xml:space="preserve"> that will be developed and implemented over the life of the initiative.</w:t>
      </w:r>
    </w:p>
    <w:p w14:paraId="76BC3A9E" w14:textId="10AFBEC3" w:rsidR="0066255B" w:rsidRDefault="0066255B">
      <w:pPr>
        <w:tabs>
          <w:tab w:val="left" w:pos="284"/>
        </w:tabs>
        <w:suppressAutoHyphens w:val="0"/>
        <w:spacing w:before="0" w:after="0" w:line="280" w:lineRule="exact"/>
        <w:jc w:val="both"/>
        <w:rPr>
          <w:rFonts w:cstheme="minorHAnsi"/>
          <w:b/>
          <w:bCs/>
          <w:color w:val="auto"/>
          <w:lang w:val="en-AU"/>
        </w:rPr>
      </w:pPr>
    </w:p>
    <w:p w14:paraId="781A5939" w14:textId="6274470A" w:rsidR="003E026D" w:rsidRPr="00C10D69" w:rsidRDefault="003E026D">
      <w:pPr>
        <w:tabs>
          <w:tab w:val="left" w:pos="284"/>
        </w:tabs>
        <w:suppressAutoHyphens w:val="0"/>
        <w:spacing w:before="0" w:after="0" w:line="280" w:lineRule="exact"/>
        <w:jc w:val="both"/>
        <w:rPr>
          <w:rFonts w:cstheme="minorHAnsi"/>
          <w:b/>
          <w:bCs/>
          <w:color w:val="auto"/>
          <w:lang w:val="en-AU"/>
        </w:rPr>
      </w:pPr>
      <w:r w:rsidRPr="00C64817">
        <w:rPr>
          <w:rFonts w:cstheme="minorHAnsi"/>
          <w:b/>
          <w:bCs/>
          <w:color w:val="auto"/>
          <w:lang w:val="en-AU"/>
        </w:rPr>
        <w:t xml:space="preserve">Strategic framework </w:t>
      </w:r>
      <w:r w:rsidR="00D76479" w:rsidRPr="00C64817">
        <w:rPr>
          <w:rFonts w:cstheme="minorHAnsi"/>
          <w:b/>
          <w:bCs/>
          <w:color w:val="auto"/>
          <w:lang w:val="en-AU"/>
        </w:rPr>
        <w:t xml:space="preserve">and process </w:t>
      </w:r>
      <w:r w:rsidRPr="00C64817">
        <w:rPr>
          <w:rFonts w:cstheme="minorHAnsi"/>
          <w:b/>
          <w:bCs/>
          <w:color w:val="auto"/>
          <w:lang w:val="en-AU"/>
        </w:rPr>
        <w:t>for the Design</w:t>
      </w:r>
    </w:p>
    <w:p w14:paraId="4FDC09D0" w14:textId="3CD2A80D" w:rsidR="00F53674" w:rsidRPr="00C64817" w:rsidRDefault="00594E68">
      <w:pPr>
        <w:tabs>
          <w:tab w:val="left" w:pos="284"/>
        </w:tabs>
        <w:suppressAutoHyphens w:val="0"/>
        <w:spacing w:before="0" w:after="0" w:line="280" w:lineRule="exact"/>
        <w:jc w:val="both"/>
        <w:rPr>
          <w:rFonts w:cstheme="minorHAnsi"/>
          <w:color w:val="auto"/>
          <w:lang w:val="en-AU"/>
        </w:rPr>
      </w:pPr>
      <w:r w:rsidRPr="00C64817">
        <w:rPr>
          <w:rFonts w:cstheme="minorHAnsi"/>
          <w:color w:val="auto"/>
          <w:lang w:val="en-AU"/>
        </w:rPr>
        <w:t>4.2</w:t>
      </w:r>
      <w:r w:rsidRPr="00C64817">
        <w:rPr>
          <w:rFonts w:cstheme="minorHAnsi"/>
          <w:color w:val="auto"/>
          <w:lang w:val="en-AU"/>
        </w:rPr>
        <w:tab/>
      </w:r>
      <w:r w:rsidRPr="00C64817">
        <w:rPr>
          <w:rFonts w:cstheme="minorHAnsi"/>
          <w:color w:val="auto"/>
          <w:lang w:val="en-AU"/>
        </w:rPr>
        <w:tab/>
      </w:r>
      <w:r w:rsidR="003E026D" w:rsidRPr="00C64817">
        <w:rPr>
          <w:rFonts w:cstheme="minorHAnsi"/>
          <w:color w:val="auto"/>
          <w:lang w:val="en-AU"/>
        </w:rPr>
        <w:t xml:space="preserve">This is a </w:t>
      </w:r>
      <w:r w:rsidR="003E026D" w:rsidRPr="00C64817">
        <w:rPr>
          <w:rFonts w:cstheme="minorHAnsi"/>
          <w:b/>
          <w:bCs/>
          <w:color w:val="auto"/>
          <w:lang w:val="en-AU"/>
        </w:rPr>
        <w:t>High</w:t>
      </w:r>
      <w:r w:rsidR="001D6934" w:rsidRPr="00C64817">
        <w:rPr>
          <w:rFonts w:cstheme="minorHAnsi"/>
          <w:b/>
          <w:bCs/>
          <w:color w:val="auto"/>
          <w:lang w:val="en-AU"/>
        </w:rPr>
        <w:t>-</w:t>
      </w:r>
      <w:r w:rsidR="003E026D" w:rsidRPr="00C64817">
        <w:rPr>
          <w:rFonts w:cstheme="minorHAnsi"/>
          <w:b/>
          <w:bCs/>
          <w:color w:val="auto"/>
          <w:lang w:val="en-AU"/>
        </w:rPr>
        <w:t>Level Framework Design</w:t>
      </w:r>
      <w:r w:rsidR="003E026D" w:rsidRPr="00C64817">
        <w:rPr>
          <w:rFonts w:cstheme="minorHAnsi"/>
          <w:color w:val="auto"/>
          <w:lang w:val="en-AU"/>
        </w:rPr>
        <w:t>.</w:t>
      </w:r>
      <w:r w:rsidR="001D6934" w:rsidRPr="00C64817">
        <w:rPr>
          <w:rFonts w:cstheme="minorHAnsi"/>
          <w:color w:val="auto"/>
          <w:lang w:val="en-AU"/>
        </w:rPr>
        <w:t xml:space="preserve">  </w:t>
      </w:r>
      <w:r w:rsidR="00CF1D3A" w:rsidRPr="00C64817">
        <w:rPr>
          <w:rFonts w:cstheme="minorHAnsi"/>
          <w:color w:val="auto"/>
          <w:lang w:val="en-AU"/>
        </w:rPr>
        <w:t xml:space="preserve">It is intended to provide a platform for a </w:t>
      </w:r>
      <w:r w:rsidR="000A5FC6" w:rsidRPr="00C64817">
        <w:rPr>
          <w:rFonts w:cstheme="minorHAnsi"/>
          <w:color w:val="auto"/>
          <w:lang w:val="en-AU"/>
        </w:rPr>
        <w:t xml:space="preserve">flexible and </w:t>
      </w:r>
      <w:r w:rsidR="007929C0" w:rsidRPr="00C64817">
        <w:rPr>
          <w:rFonts w:cstheme="minorHAnsi"/>
          <w:color w:val="auto"/>
          <w:lang w:val="en-AU"/>
        </w:rPr>
        <w:t xml:space="preserve">adaptive </w:t>
      </w:r>
      <w:r w:rsidR="000A5FC6" w:rsidRPr="00C64817">
        <w:rPr>
          <w:rFonts w:cstheme="minorHAnsi"/>
          <w:color w:val="auto"/>
          <w:lang w:val="en-AU"/>
        </w:rPr>
        <w:t xml:space="preserve">program of </w:t>
      </w:r>
      <w:r w:rsidR="00042A4E" w:rsidRPr="00C64817">
        <w:rPr>
          <w:rFonts w:cstheme="minorHAnsi"/>
          <w:color w:val="auto"/>
          <w:lang w:val="en-AU"/>
        </w:rPr>
        <w:t xml:space="preserve">impact </w:t>
      </w:r>
      <w:r w:rsidR="001B76B0">
        <w:rPr>
          <w:rFonts w:cstheme="minorHAnsi"/>
          <w:color w:val="auto"/>
          <w:lang w:val="en-AU"/>
        </w:rPr>
        <w:t xml:space="preserve">with strategic partners </w:t>
      </w:r>
      <w:r w:rsidR="00042A4E" w:rsidRPr="00C64817">
        <w:rPr>
          <w:rFonts w:cstheme="minorHAnsi"/>
          <w:color w:val="auto"/>
          <w:lang w:val="en-AU"/>
        </w:rPr>
        <w:t xml:space="preserve">over the next five years – not a detailed, locked-in </w:t>
      </w:r>
      <w:r w:rsidR="0014042C" w:rsidRPr="00C64817">
        <w:rPr>
          <w:rFonts w:cstheme="minorHAnsi"/>
          <w:color w:val="auto"/>
          <w:lang w:val="en-AU"/>
        </w:rPr>
        <w:t xml:space="preserve">program of specific activities. The </w:t>
      </w:r>
      <w:r w:rsidR="001B76B0">
        <w:rPr>
          <w:rFonts w:cstheme="minorHAnsi"/>
          <w:color w:val="auto"/>
          <w:lang w:val="en-AU"/>
        </w:rPr>
        <w:t>framework determines</w:t>
      </w:r>
      <w:r w:rsidR="0014042C" w:rsidRPr="00C64817">
        <w:rPr>
          <w:rFonts w:cstheme="minorHAnsi"/>
          <w:color w:val="auto"/>
          <w:lang w:val="en-AU"/>
        </w:rPr>
        <w:t xml:space="preserve"> the </w:t>
      </w:r>
      <w:r w:rsidR="001B76B0">
        <w:rPr>
          <w:rFonts w:cstheme="minorHAnsi"/>
          <w:color w:val="auto"/>
          <w:lang w:val="en-AU"/>
        </w:rPr>
        <w:t>goals</w:t>
      </w:r>
      <w:r w:rsidR="00EC7528" w:rsidRPr="00C64817">
        <w:rPr>
          <w:rFonts w:cstheme="minorHAnsi"/>
          <w:color w:val="auto"/>
          <w:lang w:val="en-AU"/>
        </w:rPr>
        <w:t xml:space="preserve">, </w:t>
      </w:r>
      <w:proofErr w:type="gramStart"/>
      <w:r w:rsidR="00EC7528" w:rsidRPr="00C64817">
        <w:rPr>
          <w:rFonts w:cstheme="minorHAnsi"/>
          <w:color w:val="auto"/>
          <w:lang w:val="en-AU"/>
        </w:rPr>
        <w:t>priorities</w:t>
      </w:r>
      <w:proofErr w:type="gramEnd"/>
      <w:r w:rsidR="00EC7528" w:rsidRPr="00C64817">
        <w:rPr>
          <w:rFonts w:cstheme="minorHAnsi"/>
          <w:color w:val="auto"/>
          <w:lang w:val="en-AU"/>
        </w:rPr>
        <w:t xml:space="preserve"> and partners. </w:t>
      </w:r>
    </w:p>
    <w:p w14:paraId="66E2D96C" w14:textId="27BBFA79" w:rsidR="008B5A03" w:rsidRPr="00C64817" w:rsidRDefault="008B5A03">
      <w:pPr>
        <w:tabs>
          <w:tab w:val="left" w:pos="284"/>
        </w:tabs>
        <w:suppressAutoHyphens w:val="0"/>
        <w:spacing w:before="0" w:after="0" w:line="280" w:lineRule="exact"/>
        <w:jc w:val="both"/>
        <w:rPr>
          <w:rFonts w:cstheme="minorHAnsi"/>
          <w:color w:val="auto"/>
          <w:lang w:val="en-AU"/>
        </w:rPr>
      </w:pPr>
    </w:p>
    <w:p w14:paraId="7184BF8F" w14:textId="6B4C0E73" w:rsidR="008B5A03" w:rsidRPr="00C64817" w:rsidRDefault="00594E68">
      <w:pPr>
        <w:tabs>
          <w:tab w:val="left" w:pos="284"/>
        </w:tabs>
        <w:suppressAutoHyphens w:val="0"/>
        <w:spacing w:before="0" w:after="0" w:line="280" w:lineRule="exact"/>
        <w:jc w:val="both"/>
        <w:rPr>
          <w:rFonts w:cstheme="minorHAnsi"/>
          <w:color w:val="auto"/>
          <w:lang w:val="en-AU"/>
        </w:rPr>
      </w:pPr>
      <w:r w:rsidRPr="00C64817">
        <w:rPr>
          <w:rFonts w:cstheme="minorHAnsi"/>
          <w:color w:val="auto"/>
          <w:lang w:val="en-AU"/>
        </w:rPr>
        <w:t>4.3</w:t>
      </w:r>
      <w:r w:rsidRPr="00C64817">
        <w:rPr>
          <w:rFonts w:cstheme="minorHAnsi"/>
          <w:color w:val="auto"/>
          <w:lang w:val="en-AU"/>
        </w:rPr>
        <w:tab/>
      </w:r>
      <w:r w:rsidRPr="00C64817">
        <w:rPr>
          <w:rFonts w:cstheme="minorHAnsi"/>
          <w:color w:val="auto"/>
          <w:lang w:val="en-AU"/>
        </w:rPr>
        <w:tab/>
      </w:r>
      <w:r w:rsidR="008B5A03" w:rsidRPr="00C64817">
        <w:rPr>
          <w:rFonts w:cstheme="minorHAnsi"/>
          <w:color w:val="auto"/>
          <w:lang w:val="en-AU"/>
        </w:rPr>
        <w:t xml:space="preserve">This design has been developed through a </w:t>
      </w:r>
      <w:r w:rsidR="008B5A03" w:rsidRPr="00C64817">
        <w:rPr>
          <w:rFonts w:cstheme="minorHAnsi"/>
          <w:b/>
          <w:bCs/>
          <w:color w:val="auto"/>
          <w:lang w:val="en-AU"/>
        </w:rPr>
        <w:t>co-design process</w:t>
      </w:r>
      <w:r w:rsidR="008B5A03" w:rsidRPr="00C64817">
        <w:rPr>
          <w:rFonts w:cstheme="minorHAnsi"/>
          <w:color w:val="auto"/>
          <w:lang w:val="en-AU"/>
        </w:rPr>
        <w:t xml:space="preserve"> by a team of 6 people, 4 women and two men, 4 Pacific Islanders and 2 Australians, with </w:t>
      </w:r>
      <w:r w:rsidR="007D26CF" w:rsidRPr="00C64817">
        <w:rPr>
          <w:rFonts w:cstheme="minorHAnsi"/>
          <w:color w:val="auto"/>
          <w:lang w:val="en-AU"/>
        </w:rPr>
        <w:t>complementary skills and experiences in the region and with program design and implementation.</w:t>
      </w:r>
    </w:p>
    <w:p w14:paraId="0BAB51D0" w14:textId="6A4855C9" w:rsidR="00CF1D3A" w:rsidRPr="00C64817" w:rsidRDefault="00594E68">
      <w:pPr>
        <w:pStyle w:val="BodyText"/>
        <w:spacing w:after="0"/>
        <w:jc w:val="both"/>
        <w:rPr>
          <w:rFonts w:cstheme="minorHAnsi"/>
          <w:i/>
          <w:iCs/>
          <w:color w:val="auto"/>
          <w:lang w:val="en-AU"/>
        </w:rPr>
      </w:pPr>
      <w:r w:rsidRPr="00C64817">
        <w:rPr>
          <w:rFonts w:cstheme="minorHAnsi"/>
          <w:color w:val="auto"/>
          <w:lang w:val="en-AU"/>
        </w:rPr>
        <w:t>4.4</w:t>
      </w:r>
      <w:r w:rsidRPr="00C64817">
        <w:rPr>
          <w:rFonts w:cstheme="minorHAnsi"/>
          <w:color w:val="auto"/>
          <w:lang w:val="en-AU"/>
        </w:rPr>
        <w:tab/>
      </w:r>
      <w:r w:rsidR="00CF1D3A" w:rsidRPr="00C64817">
        <w:rPr>
          <w:rFonts w:cstheme="minorHAnsi"/>
          <w:b/>
          <w:bCs/>
          <w:color w:val="auto"/>
          <w:lang w:val="en-AU"/>
        </w:rPr>
        <w:t xml:space="preserve">The </w:t>
      </w:r>
      <w:r w:rsidR="00DD1537" w:rsidRPr="00C64817">
        <w:rPr>
          <w:rFonts w:cstheme="minorHAnsi"/>
          <w:b/>
          <w:bCs/>
          <w:color w:val="auto"/>
          <w:lang w:val="en-AU"/>
        </w:rPr>
        <w:t>high-</w:t>
      </w:r>
      <w:r w:rsidR="00CF1D3A" w:rsidRPr="00C64817">
        <w:rPr>
          <w:rFonts w:cstheme="minorHAnsi"/>
          <w:b/>
          <w:bCs/>
          <w:color w:val="auto"/>
          <w:lang w:val="en-AU"/>
        </w:rPr>
        <w:t>level program goal, priorities and outcomes were formulated following a wide-ranging process of consultations</w:t>
      </w:r>
      <w:r w:rsidR="00CF1D3A" w:rsidRPr="00C64817">
        <w:rPr>
          <w:rFonts w:cstheme="minorHAnsi"/>
          <w:color w:val="auto"/>
          <w:lang w:val="en-AU"/>
        </w:rPr>
        <w:t xml:space="preserve"> with stakeholders, strong engagement with the Pacific Women Advisory Board and analysis of lessons from the </w:t>
      </w:r>
      <w:r w:rsidR="000220F0" w:rsidRPr="00C64817">
        <w:rPr>
          <w:rFonts w:cstheme="minorHAnsi"/>
          <w:color w:val="auto"/>
          <w:lang w:val="en-AU"/>
        </w:rPr>
        <w:t>six-year</w:t>
      </w:r>
      <w:r w:rsidR="00CF1D3A" w:rsidRPr="00C64817">
        <w:rPr>
          <w:rFonts w:cstheme="minorHAnsi"/>
          <w:color w:val="auto"/>
          <w:lang w:val="en-AU"/>
        </w:rPr>
        <w:t xml:space="preserve"> Evaluation of </w:t>
      </w:r>
      <w:r w:rsidR="00CF1D3A" w:rsidRPr="00C64817">
        <w:rPr>
          <w:rFonts w:cstheme="minorHAnsi"/>
          <w:i/>
          <w:iCs/>
          <w:color w:val="auto"/>
          <w:lang w:val="en-AU"/>
        </w:rPr>
        <w:t>Pacific Women Shaping Pacific Development</w:t>
      </w:r>
      <w:r w:rsidR="00CF1D3A" w:rsidRPr="00C64817">
        <w:rPr>
          <w:rFonts w:cstheme="minorHAnsi"/>
          <w:color w:val="auto"/>
          <w:lang w:val="en-AU"/>
        </w:rPr>
        <w:t xml:space="preserve"> and lessons from other gender equality programs.  </w:t>
      </w:r>
    </w:p>
    <w:p w14:paraId="0FA44F8B" w14:textId="31C94B52" w:rsidR="00677EE9" w:rsidRPr="008A7462" w:rsidRDefault="00594E68" w:rsidP="00F328DA">
      <w:pPr>
        <w:jc w:val="both"/>
        <w:rPr>
          <w:rFonts w:cstheme="minorHAnsi"/>
          <w:color w:val="auto"/>
          <w:lang w:val="en-AU"/>
        </w:rPr>
      </w:pPr>
      <w:r w:rsidRPr="00C64817">
        <w:rPr>
          <w:rFonts w:eastAsia="MS Mincho" w:cstheme="minorHAnsi"/>
          <w:color w:val="auto"/>
        </w:rPr>
        <w:t>4.5</w:t>
      </w:r>
      <w:r w:rsidRPr="00C64817">
        <w:rPr>
          <w:rFonts w:eastAsia="MS Mincho" w:cstheme="minorHAnsi"/>
          <w:color w:val="auto"/>
        </w:rPr>
        <w:tab/>
      </w:r>
      <w:r w:rsidR="00CF1D3A" w:rsidRPr="00C64817">
        <w:rPr>
          <w:rFonts w:eastAsia="MS Mincho" w:cstheme="minorHAnsi"/>
          <w:color w:val="auto"/>
        </w:rPr>
        <w:t xml:space="preserve">Throughout the course of this design process </w:t>
      </w:r>
      <w:r w:rsidR="000B5B5D" w:rsidRPr="00C64817">
        <w:rPr>
          <w:rFonts w:eastAsia="MS Mincho" w:cstheme="minorHAnsi"/>
          <w:color w:val="auto"/>
        </w:rPr>
        <w:t xml:space="preserve">over </w:t>
      </w:r>
      <w:r w:rsidR="00744BB8" w:rsidRPr="00C64817">
        <w:rPr>
          <w:rFonts w:eastAsia="MS Mincho" w:cstheme="minorHAnsi"/>
          <w:color w:val="auto"/>
        </w:rPr>
        <w:t>200</w:t>
      </w:r>
      <w:r w:rsidR="000B5B5D" w:rsidRPr="00C64817">
        <w:rPr>
          <w:rFonts w:eastAsia="MS Mincho" w:cstheme="minorHAnsi"/>
          <w:color w:val="auto"/>
        </w:rPr>
        <w:t xml:space="preserve"> </w:t>
      </w:r>
      <w:r w:rsidR="00F029C8" w:rsidRPr="00C64817">
        <w:rPr>
          <w:rFonts w:eastAsia="MS Mincho" w:cstheme="minorHAnsi"/>
          <w:color w:val="auto"/>
        </w:rPr>
        <w:t xml:space="preserve">people </w:t>
      </w:r>
      <w:r w:rsidR="00CF1D3A" w:rsidRPr="00C64817">
        <w:rPr>
          <w:rFonts w:eastAsia="MS Mincho" w:cstheme="minorHAnsi"/>
          <w:color w:val="auto"/>
        </w:rPr>
        <w:t>from civil society, private sector, government, regional and international organisations - within the Pacific and Australia</w:t>
      </w:r>
      <w:r w:rsidR="00B3038A" w:rsidRPr="00C64817">
        <w:rPr>
          <w:rFonts w:eastAsia="MS Mincho" w:cstheme="minorHAnsi"/>
          <w:color w:val="auto"/>
        </w:rPr>
        <w:t xml:space="preserve"> - </w:t>
      </w:r>
      <w:r w:rsidR="00CF1D3A" w:rsidRPr="00C64817">
        <w:rPr>
          <w:rFonts w:eastAsia="MS Mincho" w:cstheme="minorHAnsi"/>
          <w:color w:val="auto"/>
        </w:rPr>
        <w:t>were invited to participate in consultations and through the provision of direct written submission</w:t>
      </w:r>
      <w:r w:rsidR="00927331" w:rsidRPr="00C64817">
        <w:rPr>
          <w:rFonts w:eastAsia="MS Mincho" w:cstheme="minorHAnsi"/>
          <w:color w:val="auto"/>
        </w:rPr>
        <w:t>s</w:t>
      </w:r>
      <w:r w:rsidR="00CF1D3A" w:rsidRPr="00C64817">
        <w:rPr>
          <w:rFonts w:eastAsia="MS Mincho" w:cstheme="minorHAnsi"/>
          <w:color w:val="auto"/>
        </w:rPr>
        <w:t xml:space="preserve">. The broad ranging consultation was both to inform the goals and modalities for the new program and, crucially, to be true to the aspiration for Pacific ownership of this the new DFAT investment from the outset.  A </w:t>
      </w:r>
      <w:r w:rsidR="00744BB8" w:rsidRPr="00C64817">
        <w:rPr>
          <w:rFonts w:eastAsia="MS Mincho" w:cstheme="minorHAnsi"/>
          <w:color w:val="auto"/>
        </w:rPr>
        <w:t>list</w:t>
      </w:r>
      <w:r w:rsidR="00CF1D3A" w:rsidRPr="00C64817">
        <w:rPr>
          <w:rFonts w:eastAsia="MS Mincho" w:cstheme="minorHAnsi"/>
          <w:color w:val="auto"/>
        </w:rPr>
        <w:t xml:space="preserve"> of </w:t>
      </w:r>
      <w:r w:rsidR="00744BB8" w:rsidRPr="00C64817">
        <w:rPr>
          <w:rFonts w:eastAsia="MS Mincho" w:cstheme="minorHAnsi"/>
          <w:color w:val="auto"/>
        </w:rPr>
        <w:t>people consulted</w:t>
      </w:r>
      <w:r w:rsidR="00CF1D3A" w:rsidRPr="00C64817">
        <w:rPr>
          <w:rFonts w:eastAsia="MS Mincho" w:cstheme="minorHAnsi"/>
          <w:color w:val="auto"/>
        </w:rPr>
        <w:t xml:space="preserve"> is at Annex </w:t>
      </w:r>
      <w:r w:rsidR="00FC55FB">
        <w:rPr>
          <w:rFonts w:eastAsia="MS Mincho" w:cstheme="minorHAnsi"/>
          <w:color w:val="auto"/>
        </w:rPr>
        <w:t>6</w:t>
      </w:r>
      <w:r w:rsidR="003E4379" w:rsidRPr="00C64817">
        <w:rPr>
          <w:rFonts w:eastAsia="MS Mincho" w:cstheme="minorHAnsi"/>
          <w:color w:val="auto"/>
        </w:rPr>
        <w:t>.</w:t>
      </w:r>
      <w:r w:rsidR="00FD24B7" w:rsidRPr="00C64817">
        <w:rPr>
          <w:rFonts w:eastAsia="MS Mincho" w:cstheme="minorHAnsi"/>
          <w:color w:val="auto"/>
        </w:rPr>
        <w:t xml:space="preserve"> </w:t>
      </w:r>
      <w:r w:rsidR="00600A6E" w:rsidRPr="00C64817">
        <w:rPr>
          <w:rFonts w:eastAsia="MS Mincho" w:cstheme="minorHAnsi"/>
          <w:color w:val="auto"/>
        </w:rPr>
        <w:t xml:space="preserve">The consultations generated a wide range of rich </w:t>
      </w:r>
      <w:r w:rsidR="008A7462">
        <w:rPr>
          <w:rFonts w:eastAsia="MS Mincho" w:cstheme="minorHAnsi"/>
          <w:color w:val="auto"/>
        </w:rPr>
        <w:t xml:space="preserve">insights, </w:t>
      </w:r>
      <w:r w:rsidR="00600A6E" w:rsidRPr="008A7462">
        <w:rPr>
          <w:rFonts w:eastAsia="MS Mincho" w:cstheme="minorHAnsi"/>
          <w:color w:val="auto"/>
        </w:rPr>
        <w:t>information and feedback</w:t>
      </w:r>
      <w:r w:rsidR="00AB6F45" w:rsidRPr="008A7462">
        <w:rPr>
          <w:rFonts w:eastAsia="MS Mincho" w:cstheme="minorHAnsi"/>
          <w:color w:val="auto"/>
        </w:rPr>
        <w:t xml:space="preserve">, with some very </w:t>
      </w:r>
      <w:r w:rsidR="00AB6F45" w:rsidRPr="00F44628">
        <w:rPr>
          <w:rFonts w:eastAsia="MS Mincho" w:cstheme="minorHAnsi"/>
          <w:color w:val="auto"/>
        </w:rPr>
        <w:t>clear</w:t>
      </w:r>
      <w:r w:rsidR="00AB6F45" w:rsidRPr="00C64817">
        <w:rPr>
          <w:rFonts w:eastAsia="MS Mincho" w:cstheme="minorHAnsi"/>
          <w:color w:val="auto"/>
        </w:rPr>
        <w:t xml:space="preserve"> messages standing out – these included the significance of ‘women’s leadership’ as a priority in its own right</w:t>
      </w:r>
      <w:r w:rsidR="007C45DC" w:rsidRPr="00C64817">
        <w:rPr>
          <w:rFonts w:eastAsia="MS Mincho" w:cstheme="minorHAnsi"/>
          <w:color w:val="auto"/>
        </w:rPr>
        <w:t xml:space="preserve">; </w:t>
      </w:r>
      <w:r w:rsidR="00226EE5" w:rsidRPr="00C64817">
        <w:rPr>
          <w:rFonts w:eastAsia="MS Mincho" w:cstheme="minorHAnsi"/>
          <w:color w:val="auto"/>
        </w:rPr>
        <w:t xml:space="preserve">the </w:t>
      </w:r>
      <w:r w:rsidR="00254AB6" w:rsidRPr="00C64817">
        <w:rPr>
          <w:rFonts w:eastAsia="MS Mincho" w:cstheme="minorHAnsi"/>
          <w:color w:val="auto"/>
        </w:rPr>
        <w:t xml:space="preserve">key role of Pacific feminist civil society in </w:t>
      </w:r>
      <w:r w:rsidR="001C0BF4" w:rsidRPr="00C64817">
        <w:rPr>
          <w:rFonts w:eastAsia="MS Mincho" w:cstheme="minorHAnsi"/>
          <w:color w:val="auto"/>
        </w:rPr>
        <w:t xml:space="preserve">the push for gender equality; </w:t>
      </w:r>
      <w:r w:rsidR="007C45DC" w:rsidRPr="00C64817">
        <w:rPr>
          <w:rFonts w:eastAsia="MS Mincho" w:cstheme="minorHAnsi"/>
          <w:color w:val="auto"/>
        </w:rPr>
        <w:t>the concept of ‘women’s rights’ a</w:t>
      </w:r>
      <w:r w:rsidR="00226EE5" w:rsidRPr="00C64817">
        <w:rPr>
          <w:rFonts w:eastAsia="MS Mincho" w:cstheme="minorHAnsi"/>
          <w:color w:val="auto"/>
        </w:rPr>
        <w:t>s framing for service delivery work in key areas</w:t>
      </w:r>
      <w:r w:rsidR="005A58E1" w:rsidRPr="00C64817">
        <w:rPr>
          <w:rFonts w:eastAsia="MS Mincho" w:cstheme="minorHAnsi"/>
          <w:color w:val="auto"/>
        </w:rPr>
        <w:t xml:space="preserve"> where women and girls are missing out</w:t>
      </w:r>
      <w:r w:rsidR="00226EE5" w:rsidRPr="00C64817">
        <w:rPr>
          <w:rFonts w:eastAsia="MS Mincho" w:cstheme="minorHAnsi"/>
          <w:color w:val="auto"/>
        </w:rPr>
        <w:t xml:space="preserve">; and </w:t>
      </w:r>
      <w:r w:rsidR="00396493" w:rsidRPr="00C64817">
        <w:rPr>
          <w:rFonts w:eastAsia="MS Mincho" w:cstheme="minorHAnsi"/>
          <w:color w:val="auto"/>
        </w:rPr>
        <w:t>the need for collaboration and cooperation between governments, regional organisations and civil society.</w:t>
      </w:r>
      <w:r w:rsidR="001B76B0">
        <w:rPr>
          <w:rFonts w:eastAsia="MS Mincho" w:cstheme="minorHAnsi"/>
          <w:color w:val="auto"/>
        </w:rPr>
        <w:t xml:space="preserve"> </w:t>
      </w:r>
    </w:p>
    <w:p w14:paraId="7909C541" w14:textId="72421CE1" w:rsidR="00677EE9" w:rsidRPr="00F328DA" w:rsidRDefault="00677EE9" w:rsidP="00F328DA">
      <w:pPr>
        <w:pStyle w:val="Heading2"/>
        <w:rPr>
          <w:i/>
          <w:iCs/>
          <w:sz w:val="36"/>
          <w:szCs w:val="24"/>
          <w:lang w:val="en-AU"/>
        </w:rPr>
      </w:pPr>
      <w:bookmarkStart w:id="9" w:name="_Toc75535883"/>
      <w:r w:rsidRPr="00F328DA">
        <w:rPr>
          <w:sz w:val="36"/>
          <w:szCs w:val="24"/>
          <w:lang w:val="en-AU"/>
        </w:rPr>
        <w:t xml:space="preserve">Goal and Outcomes for </w:t>
      </w:r>
      <w:r w:rsidRPr="00F328DA">
        <w:rPr>
          <w:i/>
          <w:iCs/>
          <w:sz w:val="36"/>
          <w:szCs w:val="24"/>
          <w:lang w:val="en-AU"/>
        </w:rPr>
        <w:t>Pacific Women Lead</w:t>
      </w:r>
      <w:bookmarkEnd w:id="9"/>
    </w:p>
    <w:p w14:paraId="25C0ACB6" w14:textId="6ABF7665" w:rsidR="006E3907" w:rsidRDefault="009968BD">
      <w:pPr>
        <w:tabs>
          <w:tab w:val="left" w:pos="284"/>
        </w:tabs>
        <w:suppressAutoHyphens w:val="0"/>
        <w:spacing w:before="0" w:after="0" w:line="280" w:lineRule="exact"/>
        <w:jc w:val="both"/>
        <w:rPr>
          <w:rFonts w:cstheme="minorHAnsi"/>
          <w:color w:val="auto"/>
          <w:lang w:val="en-AU"/>
        </w:rPr>
      </w:pPr>
      <w:r w:rsidRPr="00C64817">
        <w:rPr>
          <w:rFonts w:cstheme="minorHAnsi"/>
          <w:color w:val="auto"/>
          <w:lang w:val="en-AU"/>
        </w:rPr>
        <w:t>4.6</w:t>
      </w:r>
      <w:r w:rsidRPr="00C64817">
        <w:rPr>
          <w:rFonts w:cstheme="minorHAnsi"/>
          <w:color w:val="auto"/>
          <w:lang w:val="en-AU"/>
        </w:rPr>
        <w:tab/>
      </w:r>
      <w:r w:rsidRPr="00C64817">
        <w:rPr>
          <w:rFonts w:cstheme="minorHAnsi"/>
          <w:color w:val="auto"/>
          <w:lang w:val="en-AU"/>
        </w:rPr>
        <w:tab/>
      </w:r>
      <w:r w:rsidR="006E3907" w:rsidRPr="00C64817">
        <w:rPr>
          <w:rFonts w:cstheme="minorHAnsi"/>
          <w:color w:val="auto"/>
          <w:lang w:val="en-AU"/>
        </w:rPr>
        <w:t>The proposed Goal and Outcomes are as follows:</w:t>
      </w:r>
    </w:p>
    <w:p w14:paraId="4E2DF1AF" w14:textId="77777777" w:rsidR="00C10D69" w:rsidRPr="00C64817" w:rsidRDefault="00C10D69">
      <w:pPr>
        <w:tabs>
          <w:tab w:val="left" w:pos="284"/>
        </w:tabs>
        <w:suppressAutoHyphens w:val="0"/>
        <w:spacing w:before="0" w:after="0" w:line="280" w:lineRule="exact"/>
        <w:jc w:val="both"/>
        <w:rPr>
          <w:rFonts w:cstheme="minorHAnsi"/>
          <w:color w:val="auto"/>
          <w:lang w:val="en-AU"/>
        </w:rPr>
      </w:pPr>
    </w:p>
    <w:p w14:paraId="2071A7EB" w14:textId="7A7B91E5" w:rsidR="006E3907" w:rsidRPr="00C64817" w:rsidRDefault="006E3907">
      <w:pPr>
        <w:tabs>
          <w:tab w:val="left" w:pos="284"/>
        </w:tabs>
        <w:suppressAutoHyphens w:val="0"/>
        <w:spacing w:before="0" w:line="280" w:lineRule="exact"/>
        <w:ind w:left="284"/>
        <w:jc w:val="both"/>
        <w:rPr>
          <w:rFonts w:cstheme="minorHAnsi"/>
          <w:color w:val="auto"/>
          <w:lang w:eastAsia="en-AU"/>
        </w:rPr>
      </w:pPr>
      <w:r w:rsidRPr="00C64817">
        <w:rPr>
          <w:rFonts w:cstheme="minorHAnsi"/>
          <w:b/>
          <w:bCs/>
          <w:color w:val="auto"/>
          <w:u w:val="single"/>
          <w:lang w:eastAsia="en-AU"/>
        </w:rPr>
        <w:t>Goal</w:t>
      </w:r>
      <w:r w:rsidRPr="00C64817">
        <w:rPr>
          <w:rFonts w:cstheme="minorHAnsi"/>
          <w:b/>
          <w:bCs/>
          <w:color w:val="auto"/>
          <w:lang w:eastAsia="en-AU"/>
        </w:rPr>
        <w:t xml:space="preserve"> </w:t>
      </w:r>
      <w:r w:rsidRPr="00C64817">
        <w:rPr>
          <w:rFonts w:cstheme="minorHAnsi"/>
          <w:color w:val="auto"/>
          <w:lang w:eastAsia="en-AU"/>
        </w:rPr>
        <w:t>(</w:t>
      </w:r>
      <w:r w:rsidRPr="00C64817">
        <w:rPr>
          <w:rFonts w:cstheme="minorHAnsi"/>
          <w:i/>
          <w:iCs/>
          <w:color w:val="auto"/>
          <w:lang w:eastAsia="en-AU"/>
        </w:rPr>
        <w:t>The high level aim we seek to contribute to but are not solely responsible for</w:t>
      </w:r>
      <w:r w:rsidRPr="00C64817">
        <w:rPr>
          <w:rFonts w:cstheme="minorHAnsi"/>
          <w:color w:val="auto"/>
          <w:lang w:eastAsia="en-AU"/>
        </w:rPr>
        <w:t>)</w:t>
      </w:r>
    </w:p>
    <w:p w14:paraId="151F781C" w14:textId="3D11E61C" w:rsidR="004850C6" w:rsidRDefault="004850C6" w:rsidP="00C13494">
      <w:pPr>
        <w:tabs>
          <w:tab w:val="left" w:pos="284"/>
        </w:tabs>
        <w:suppressAutoHyphens w:val="0"/>
        <w:spacing w:before="0" w:line="280" w:lineRule="exact"/>
        <w:ind w:left="284"/>
        <w:jc w:val="both"/>
        <w:rPr>
          <w:rFonts w:cstheme="minorHAnsi"/>
          <w:b/>
          <w:bCs/>
          <w:color w:val="auto"/>
          <w:lang w:eastAsia="en-AU"/>
        </w:rPr>
      </w:pPr>
      <w:r w:rsidRPr="00C64817">
        <w:rPr>
          <w:rFonts w:cstheme="minorHAnsi"/>
          <w:b/>
          <w:bCs/>
          <w:color w:val="auto"/>
          <w:lang w:eastAsia="en-AU"/>
        </w:rPr>
        <w:t>“</w:t>
      </w:r>
      <w:r w:rsidR="001C08CC" w:rsidRPr="00C64817">
        <w:rPr>
          <w:rFonts w:cstheme="minorHAnsi"/>
          <w:b/>
          <w:bCs/>
          <w:color w:val="auto"/>
          <w:lang w:eastAsia="en-AU"/>
        </w:rPr>
        <w:t>Pacific women and girls, in all their diversity, are safe and equitably share in resources, opportunities and decision-making, with men and boys.”</w:t>
      </w:r>
    </w:p>
    <w:p w14:paraId="72B58973" w14:textId="77777777" w:rsidR="00C10D69" w:rsidRPr="00C64817" w:rsidRDefault="00C10D69" w:rsidP="00C13494">
      <w:pPr>
        <w:tabs>
          <w:tab w:val="left" w:pos="284"/>
        </w:tabs>
        <w:suppressAutoHyphens w:val="0"/>
        <w:spacing w:before="0" w:line="280" w:lineRule="exact"/>
        <w:ind w:left="284"/>
        <w:jc w:val="both"/>
        <w:rPr>
          <w:rFonts w:cstheme="minorHAnsi"/>
          <w:b/>
          <w:bCs/>
          <w:color w:val="auto"/>
          <w:lang w:eastAsia="en-AU"/>
        </w:rPr>
      </w:pPr>
    </w:p>
    <w:p w14:paraId="5D3442ED" w14:textId="4335AB03" w:rsidR="006E3907" w:rsidRPr="000220F0" w:rsidRDefault="006E3907" w:rsidP="00236209">
      <w:pPr>
        <w:tabs>
          <w:tab w:val="left" w:pos="284"/>
        </w:tabs>
        <w:suppressAutoHyphens w:val="0"/>
        <w:spacing w:before="0" w:line="280" w:lineRule="exact"/>
        <w:ind w:left="284"/>
        <w:jc w:val="both"/>
        <w:rPr>
          <w:rFonts w:cstheme="minorHAnsi"/>
          <w:b/>
          <w:bCs/>
          <w:i/>
          <w:iCs/>
          <w:color w:val="auto"/>
          <w:lang w:eastAsia="en-AU"/>
        </w:rPr>
      </w:pPr>
      <w:r w:rsidRPr="008A7462">
        <w:rPr>
          <w:rFonts w:cstheme="minorHAnsi"/>
          <w:b/>
          <w:bCs/>
          <w:color w:val="auto"/>
          <w:u w:val="single"/>
          <w:lang w:eastAsia="en-AU"/>
        </w:rPr>
        <w:t>Outcomes</w:t>
      </w:r>
      <w:r w:rsidRPr="008A7462">
        <w:rPr>
          <w:rFonts w:cstheme="minorHAnsi"/>
          <w:b/>
          <w:bCs/>
          <w:color w:val="auto"/>
          <w:lang w:eastAsia="en-AU"/>
        </w:rPr>
        <w:t xml:space="preserve"> </w:t>
      </w:r>
      <w:r w:rsidRPr="008A7462">
        <w:rPr>
          <w:rFonts w:cstheme="minorHAnsi"/>
          <w:color w:val="auto"/>
          <w:lang w:eastAsia="en-AU"/>
        </w:rPr>
        <w:t>(</w:t>
      </w:r>
      <w:r w:rsidRPr="00B43027">
        <w:rPr>
          <w:rFonts w:cstheme="minorHAnsi"/>
          <w:i/>
          <w:iCs/>
          <w:color w:val="auto"/>
          <w:lang w:eastAsia="en-AU"/>
        </w:rPr>
        <w:t>The measurable priorities we will be held accountable for)</w:t>
      </w:r>
    </w:p>
    <w:p w14:paraId="38F85637" w14:textId="7119E2F2" w:rsidR="006E3907" w:rsidRPr="00C64817" w:rsidRDefault="006E3907" w:rsidP="003C0072">
      <w:pPr>
        <w:pStyle w:val="ListParagraph"/>
        <w:numPr>
          <w:ilvl w:val="0"/>
          <w:numId w:val="30"/>
        </w:numPr>
        <w:tabs>
          <w:tab w:val="left" w:pos="284"/>
        </w:tabs>
        <w:suppressAutoHyphens w:val="0"/>
        <w:spacing w:before="0" w:line="280" w:lineRule="exact"/>
        <w:jc w:val="both"/>
        <w:rPr>
          <w:rFonts w:cstheme="minorHAnsi"/>
          <w:b/>
          <w:bCs/>
          <w:color w:val="auto"/>
          <w:lang w:eastAsia="en-AU"/>
        </w:rPr>
      </w:pPr>
      <w:r w:rsidRPr="00F44628">
        <w:rPr>
          <w:rFonts w:cstheme="minorHAnsi"/>
          <w:b/>
          <w:bCs/>
          <w:color w:val="auto"/>
          <w:lang w:eastAsia="en-AU"/>
        </w:rPr>
        <w:t xml:space="preserve">Women’s </w:t>
      </w:r>
      <w:r w:rsidR="000A7F42" w:rsidRPr="00C64817">
        <w:rPr>
          <w:rFonts w:cstheme="minorHAnsi"/>
          <w:b/>
          <w:bCs/>
          <w:color w:val="auto"/>
          <w:lang w:eastAsia="en-AU"/>
        </w:rPr>
        <w:t>l</w:t>
      </w:r>
      <w:r w:rsidRPr="00C64817">
        <w:rPr>
          <w:rFonts w:cstheme="minorHAnsi"/>
          <w:b/>
          <w:bCs/>
          <w:color w:val="auto"/>
          <w:lang w:eastAsia="en-AU"/>
        </w:rPr>
        <w:t>eadership promoted</w:t>
      </w:r>
    </w:p>
    <w:p w14:paraId="71699FCF" w14:textId="376074CE" w:rsidR="007D26CF" w:rsidRPr="00C64817" w:rsidRDefault="006E3907" w:rsidP="003C0072">
      <w:pPr>
        <w:pStyle w:val="ListParagraph"/>
        <w:numPr>
          <w:ilvl w:val="1"/>
          <w:numId w:val="30"/>
        </w:numPr>
        <w:suppressAutoHyphens w:val="0"/>
        <w:spacing w:before="0" w:after="160" w:line="259" w:lineRule="auto"/>
        <w:ind w:left="1724"/>
        <w:jc w:val="both"/>
        <w:rPr>
          <w:rFonts w:eastAsia="Times New Roman" w:cstheme="minorHAnsi"/>
          <w:color w:val="auto"/>
          <w:lang w:eastAsia="en-AU"/>
        </w:rPr>
      </w:pPr>
      <w:r w:rsidRPr="00C64817">
        <w:rPr>
          <w:rFonts w:cstheme="minorHAnsi"/>
          <w:b/>
          <w:color w:val="auto"/>
        </w:rPr>
        <w:t>Increased women's voices in decision making spaces</w:t>
      </w:r>
      <w:r w:rsidRPr="00C64817">
        <w:rPr>
          <w:rFonts w:cstheme="minorHAnsi"/>
          <w:color w:val="auto"/>
        </w:rPr>
        <w:t xml:space="preserve">, </w:t>
      </w:r>
      <w:r w:rsidR="00236209" w:rsidRPr="00C64817">
        <w:rPr>
          <w:rFonts w:cstheme="minorHAnsi"/>
          <w:color w:val="auto"/>
        </w:rPr>
        <w:t xml:space="preserve">from household, community, </w:t>
      </w:r>
      <w:proofErr w:type="gramStart"/>
      <w:r w:rsidR="00236209" w:rsidRPr="00C64817">
        <w:rPr>
          <w:rFonts w:cstheme="minorHAnsi"/>
          <w:color w:val="auto"/>
        </w:rPr>
        <w:t>business</w:t>
      </w:r>
      <w:proofErr w:type="gramEnd"/>
      <w:r w:rsidR="00236209" w:rsidRPr="00C64817">
        <w:rPr>
          <w:rFonts w:cstheme="minorHAnsi"/>
          <w:color w:val="auto"/>
        </w:rPr>
        <w:t xml:space="preserve"> and local level leadership through to national</w:t>
      </w:r>
      <w:r w:rsidR="008F1314" w:rsidRPr="00C64817">
        <w:rPr>
          <w:rFonts w:cstheme="minorHAnsi"/>
          <w:color w:val="auto"/>
        </w:rPr>
        <w:t>,</w:t>
      </w:r>
      <w:r w:rsidR="00236209" w:rsidRPr="00C64817">
        <w:rPr>
          <w:rFonts w:cstheme="minorHAnsi"/>
          <w:color w:val="auto"/>
        </w:rPr>
        <w:t xml:space="preserve"> regional</w:t>
      </w:r>
      <w:r w:rsidR="008F1314" w:rsidRPr="00C64817">
        <w:rPr>
          <w:rFonts w:cstheme="minorHAnsi"/>
          <w:color w:val="auto"/>
        </w:rPr>
        <w:t xml:space="preserve"> and global</w:t>
      </w:r>
      <w:r w:rsidR="00236209" w:rsidRPr="00C64817">
        <w:rPr>
          <w:rFonts w:cstheme="minorHAnsi"/>
          <w:color w:val="auto"/>
        </w:rPr>
        <w:t xml:space="preserve"> political spheres.</w:t>
      </w:r>
      <w:r w:rsidR="00000EBC" w:rsidRPr="00C64817">
        <w:rPr>
          <w:rFonts w:cstheme="minorHAnsi"/>
          <w:color w:val="auto"/>
        </w:rPr>
        <w:t xml:space="preserve"> </w:t>
      </w:r>
    </w:p>
    <w:p w14:paraId="4D7A44D3" w14:textId="7EA08C7C" w:rsidR="006E3907" w:rsidRPr="00C64817" w:rsidRDefault="006E3907" w:rsidP="003C0072">
      <w:pPr>
        <w:pStyle w:val="ListParagraph"/>
        <w:numPr>
          <w:ilvl w:val="1"/>
          <w:numId w:val="30"/>
        </w:numPr>
        <w:suppressAutoHyphens w:val="0"/>
        <w:spacing w:before="0" w:after="160" w:line="259" w:lineRule="auto"/>
        <w:ind w:left="1724"/>
        <w:jc w:val="both"/>
        <w:rPr>
          <w:rFonts w:eastAsia="Times New Roman" w:cstheme="minorHAnsi"/>
          <w:color w:val="auto"/>
          <w:lang w:eastAsia="en-AU"/>
        </w:rPr>
      </w:pPr>
      <w:r w:rsidRPr="00C64817">
        <w:rPr>
          <w:rFonts w:cstheme="minorHAnsi"/>
          <w:color w:val="auto"/>
        </w:rPr>
        <w:t xml:space="preserve">Recognition and amplification of the </w:t>
      </w:r>
      <w:r w:rsidRPr="00C64817">
        <w:rPr>
          <w:rFonts w:cstheme="minorHAnsi"/>
          <w:b/>
          <w:color w:val="auto"/>
        </w:rPr>
        <w:t>leadership of Pacific feminist civil society</w:t>
      </w:r>
      <w:r w:rsidRPr="00C64817">
        <w:rPr>
          <w:rFonts w:cstheme="minorHAnsi"/>
          <w:color w:val="auto"/>
        </w:rPr>
        <w:t xml:space="preserve"> </w:t>
      </w:r>
    </w:p>
    <w:p w14:paraId="66AF3E9F" w14:textId="6A247A2C" w:rsidR="006E3907" w:rsidRPr="00C64817" w:rsidRDefault="006E3907" w:rsidP="003C0072">
      <w:pPr>
        <w:pStyle w:val="ListParagraph"/>
        <w:numPr>
          <w:ilvl w:val="0"/>
          <w:numId w:val="30"/>
        </w:numPr>
        <w:tabs>
          <w:tab w:val="left" w:pos="284"/>
        </w:tabs>
        <w:suppressAutoHyphens w:val="0"/>
        <w:spacing w:before="0" w:line="280" w:lineRule="exact"/>
        <w:ind w:left="1004"/>
        <w:jc w:val="both"/>
        <w:rPr>
          <w:rFonts w:cstheme="minorHAnsi"/>
          <w:b/>
          <w:bCs/>
          <w:color w:val="auto"/>
          <w:lang w:eastAsia="en-AU"/>
        </w:rPr>
      </w:pPr>
      <w:r w:rsidRPr="00C64817">
        <w:rPr>
          <w:rFonts w:cstheme="minorHAnsi"/>
          <w:b/>
          <w:bCs/>
          <w:color w:val="auto"/>
          <w:lang w:eastAsia="en-AU"/>
        </w:rPr>
        <w:t xml:space="preserve">Women’s </w:t>
      </w:r>
      <w:r w:rsidR="000A7F42" w:rsidRPr="00C64817">
        <w:rPr>
          <w:rFonts w:cstheme="minorHAnsi"/>
          <w:b/>
          <w:bCs/>
          <w:color w:val="auto"/>
          <w:lang w:eastAsia="en-AU"/>
        </w:rPr>
        <w:t>r</w:t>
      </w:r>
      <w:r w:rsidRPr="00C64817">
        <w:rPr>
          <w:rFonts w:cstheme="minorHAnsi"/>
          <w:b/>
          <w:bCs/>
          <w:color w:val="auto"/>
          <w:lang w:eastAsia="en-AU"/>
        </w:rPr>
        <w:t>ights realised</w:t>
      </w:r>
    </w:p>
    <w:p w14:paraId="6C025025" w14:textId="291E5E11" w:rsidR="006E3907" w:rsidRPr="00C64817" w:rsidRDefault="006E3907" w:rsidP="003C0072">
      <w:pPr>
        <w:pStyle w:val="ListParagraph"/>
        <w:numPr>
          <w:ilvl w:val="1"/>
          <w:numId w:val="30"/>
        </w:numPr>
        <w:tabs>
          <w:tab w:val="left" w:pos="284"/>
        </w:tabs>
        <w:suppressAutoHyphens w:val="0"/>
        <w:spacing w:before="0" w:after="160" w:line="259" w:lineRule="auto"/>
        <w:ind w:left="1724"/>
        <w:jc w:val="both"/>
        <w:rPr>
          <w:rFonts w:eastAsia="Times New Roman" w:cstheme="minorHAnsi"/>
          <w:color w:val="auto"/>
          <w:lang w:eastAsia="en-AU"/>
        </w:rPr>
      </w:pPr>
      <w:r w:rsidRPr="00C64817">
        <w:rPr>
          <w:rFonts w:cstheme="minorHAnsi"/>
          <w:b/>
          <w:bCs/>
          <w:color w:val="auto"/>
          <w:lang w:eastAsia="en-AU"/>
        </w:rPr>
        <w:t>Women’s health</w:t>
      </w:r>
      <w:r w:rsidRPr="00C64817">
        <w:rPr>
          <w:rFonts w:cstheme="minorHAnsi"/>
          <w:color w:val="auto"/>
          <w:lang w:eastAsia="en-AU"/>
        </w:rPr>
        <w:t xml:space="preserve"> </w:t>
      </w:r>
      <w:r w:rsidR="004F2454" w:rsidRPr="00C64817">
        <w:rPr>
          <w:rFonts w:cstheme="minorHAnsi"/>
          <w:color w:val="auto"/>
          <w:lang w:eastAsia="en-AU"/>
        </w:rPr>
        <w:t>–</w:t>
      </w:r>
      <w:r w:rsidRPr="00C64817">
        <w:rPr>
          <w:rFonts w:cstheme="minorHAnsi"/>
          <w:color w:val="auto"/>
          <w:lang w:eastAsia="en-AU"/>
        </w:rPr>
        <w:t xml:space="preserve"> </w:t>
      </w:r>
      <w:r w:rsidR="00C1558B" w:rsidRPr="00C64817">
        <w:rPr>
          <w:rFonts w:cstheme="minorHAnsi"/>
          <w:color w:val="auto"/>
          <w:lang w:eastAsia="en-AU"/>
        </w:rPr>
        <w:t>Women and girls have improved access to quality health care services, including sexual and reproductive health, through addressing gender inequality that underpin</w:t>
      </w:r>
      <w:r w:rsidR="0070375D" w:rsidRPr="00C64817">
        <w:rPr>
          <w:rFonts w:cstheme="minorHAnsi"/>
          <w:color w:val="auto"/>
          <w:lang w:eastAsia="en-AU"/>
        </w:rPr>
        <w:t>s</w:t>
      </w:r>
      <w:r w:rsidR="00C1558B" w:rsidRPr="00C64817">
        <w:rPr>
          <w:rFonts w:cstheme="minorHAnsi"/>
          <w:color w:val="auto"/>
          <w:lang w:eastAsia="en-AU"/>
        </w:rPr>
        <w:t xml:space="preserve"> poor health outcomes</w:t>
      </w:r>
      <w:r w:rsidR="00F524BF" w:rsidRPr="00C64817">
        <w:rPr>
          <w:rFonts w:eastAsia="Times New Roman" w:cstheme="minorHAnsi"/>
          <w:color w:val="auto"/>
          <w:lang w:eastAsia="en-AU"/>
        </w:rPr>
        <w:t>.</w:t>
      </w:r>
    </w:p>
    <w:p w14:paraId="2FC99B58" w14:textId="359B51B8" w:rsidR="006E3907" w:rsidRPr="00C64817" w:rsidRDefault="006E3907" w:rsidP="006342E4">
      <w:pPr>
        <w:pStyle w:val="ListParagraph"/>
        <w:numPr>
          <w:ilvl w:val="1"/>
          <w:numId w:val="30"/>
        </w:numPr>
        <w:tabs>
          <w:tab w:val="left" w:pos="284"/>
        </w:tabs>
        <w:suppressAutoHyphens w:val="0"/>
        <w:spacing w:before="0"/>
        <w:ind w:left="1724"/>
        <w:rPr>
          <w:rFonts w:eastAsia="Times New Roman" w:cstheme="minorHAnsi"/>
          <w:color w:val="auto"/>
          <w:lang w:val="en-AU" w:eastAsia="en-AU"/>
        </w:rPr>
      </w:pPr>
      <w:r w:rsidRPr="00C64817">
        <w:rPr>
          <w:rFonts w:cstheme="minorHAnsi"/>
          <w:b/>
          <w:bCs/>
          <w:color w:val="auto"/>
          <w:lang w:eastAsia="en-AU"/>
        </w:rPr>
        <w:lastRenderedPageBreak/>
        <w:t>Women’s safety</w:t>
      </w:r>
      <w:r w:rsidRPr="00C64817">
        <w:rPr>
          <w:rFonts w:cstheme="minorHAnsi"/>
          <w:color w:val="auto"/>
          <w:lang w:eastAsia="en-AU"/>
        </w:rPr>
        <w:t xml:space="preserve"> –</w:t>
      </w:r>
      <w:r w:rsidR="00E1547F" w:rsidRPr="00C64817">
        <w:rPr>
          <w:rFonts w:cstheme="minorHAnsi"/>
          <w:color w:val="auto"/>
          <w:lang w:eastAsia="en-AU"/>
        </w:rPr>
        <w:t xml:space="preserve"> </w:t>
      </w:r>
      <w:r w:rsidR="00330EA6" w:rsidRPr="00C64817">
        <w:rPr>
          <w:rFonts w:eastAsia="Times New Roman" w:cstheme="minorHAnsi"/>
          <w:color w:val="auto"/>
          <w:lang w:val="en-AU" w:eastAsia="en-AU"/>
        </w:rPr>
        <w:t xml:space="preserve">Survivors of gender-based violence have access to quality support services </w:t>
      </w:r>
      <w:r w:rsidR="00E06DE7" w:rsidRPr="00C64817">
        <w:rPr>
          <w:rFonts w:eastAsia="Times New Roman" w:cstheme="minorHAnsi"/>
          <w:color w:val="auto"/>
          <w:lang w:val="en-AU" w:eastAsia="en-AU"/>
        </w:rPr>
        <w:t xml:space="preserve">including in times of disaster </w:t>
      </w:r>
      <w:r w:rsidR="00330EA6" w:rsidRPr="00C64817">
        <w:rPr>
          <w:rFonts w:eastAsia="Times New Roman" w:cstheme="minorHAnsi"/>
          <w:color w:val="auto"/>
          <w:lang w:val="en-AU" w:eastAsia="en-AU"/>
        </w:rPr>
        <w:t>and Pacific governments and communities work together to address and prevent violence</w:t>
      </w:r>
      <w:r w:rsidR="00F92BF1" w:rsidRPr="00C64817">
        <w:rPr>
          <w:rFonts w:eastAsia="Times New Roman" w:cstheme="minorHAnsi"/>
          <w:color w:val="auto"/>
          <w:lang w:val="en-AU" w:eastAsia="en-AU"/>
        </w:rPr>
        <w:t>,</w:t>
      </w:r>
      <w:r w:rsidR="00FD03CA" w:rsidRPr="00C64817">
        <w:rPr>
          <w:rFonts w:eastAsia="Times New Roman" w:cstheme="minorHAnsi"/>
          <w:color w:val="auto"/>
          <w:lang w:val="en-AU" w:eastAsia="en-AU"/>
        </w:rPr>
        <w:t xml:space="preserve"> through tackling </w:t>
      </w:r>
      <w:r w:rsidR="009F5996" w:rsidRPr="00C64817">
        <w:rPr>
          <w:rFonts w:eastAsia="Times New Roman" w:cstheme="minorHAnsi"/>
          <w:color w:val="auto"/>
          <w:lang w:val="en-AU" w:eastAsia="en-AU"/>
        </w:rPr>
        <w:t>harmful social and cultural norms</w:t>
      </w:r>
      <w:r w:rsidR="00330EA6" w:rsidRPr="00C64817">
        <w:rPr>
          <w:rFonts w:eastAsia="Times New Roman" w:cstheme="minorHAnsi"/>
          <w:color w:val="auto"/>
          <w:lang w:val="en-AU" w:eastAsia="en-AU"/>
        </w:rPr>
        <w:t>.</w:t>
      </w:r>
    </w:p>
    <w:p w14:paraId="64595B34" w14:textId="24A8483E" w:rsidR="006E3907" w:rsidRPr="00C64817" w:rsidRDefault="006E3907" w:rsidP="003C0072">
      <w:pPr>
        <w:pStyle w:val="ListParagraph"/>
        <w:numPr>
          <w:ilvl w:val="1"/>
          <w:numId w:val="30"/>
        </w:numPr>
        <w:tabs>
          <w:tab w:val="left" w:pos="284"/>
        </w:tabs>
        <w:suppressAutoHyphens w:val="0"/>
        <w:spacing w:before="0" w:line="280" w:lineRule="exact"/>
        <w:ind w:left="1724"/>
        <w:jc w:val="both"/>
        <w:rPr>
          <w:rFonts w:eastAsia="Times New Roman" w:cstheme="minorHAnsi"/>
          <w:color w:val="auto"/>
          <w:lang w:eastAsia="en-AU"/>
        </w:rPr>
      </w:pPr>
      <w:r w:rsidRPr="00C64817">
        <w:rPr>
          <w:rFonts w:cstheme="minorHAnsi"/>
          <w:b/>
          <w:bCs/>
          <w:color w:val="auto"/>
          <w:lang w:eastAsia="en-AU"/>
        </w:rPr>
        <w:t>Women’s economic empowerment</w:t>
      </w:r>
      <w:r w:rsidRPr="00C64817">
        <w:rPr>
          <w:rFonts w:cstheme="minorHAnsi"/>
          <w:color w:val="auto"/>
          <w:lang w:eastAsia="en-AU"/>
        </w:rPr>
        <w:t xml:space="preserve"> –</w:t>
      </w:r>
      <w:r w:rsidR="009C6370" w:rsidRPr="00C64817">
        <w:rPr>
          <w:rFonts w:eastAsia="Times New Roman" w:cstheme="minorHAnsi"/>
          <w:color w:val="auto"/>
          <w:lang w:eastAsia="en-AU"/>
        </w:rPr>
        <w:t xml:space="preserve"> </w:t>
      </w:r>
      <w:r w:rsidR="003149BB" w:rsidRPr="00C64817">
        <w:rPr>
          <w:rFonts w:eastAsia="Times New Roman" w:cstheme="minorHAnsi"/>
          <w:color w:val="auto"/>
          <w:lang w:eastAsia="en-AU"/>
        </w:rPr>
        <w:t xml:space="preserve">Women have more equitable access to </w:t>
      </w:r>
      <w:r w:rsidR="00E06DE7" w:rsidRPr="00C64817">
        <w:rPr>
          <w:rFonts w:eastAsia="Times New Roman" w:cstheme="minorHAnsi"/>
          <w:color w:val="auto"/>
          <w:lang w:eastAsia="en-AU"/>
        </w:rPr>
        <w:t xml:space="preserve">resilient </w:t>
      </w:r>
      <w:r w:rsidR="003149BB" w:rsidRPr="00C64817">
        <w:rPr>
          <w:rFonts w:eastAsia="Times New Roman" w:cstheme="minorHAnsi"/>
          <w:color w:val="auto"/>
          <w:lang w:eastAsia="en-AU"/>
        </w:rPr>
        <w:t xml:space="preserve">economic opportunities and </w:t>
      </w:r>
      <w:r w:rsidR="00613E16" w:rsidRPr="00C64817">
        <w:rPr>
          <w:rFonts w:eastAsia="Times New Roman" w:cstheme="minorHAnsi"/>
          <w:color w:val="auto"/>
          <w:lang w:eastAsia="en-AU"/>
        </w:rPr>
        <w:t xml:space="preserve">increased </w:t>
      </w:r>
      <w:r w:rsidR="00654BD7" w:rsidRPr="00C64817">
        <w:rPr>
          <w:rFonts w:eastAsia="Times New Roman" w:cstheme="minorHAnsi"/>
          <w:color w:val="auto"/>
          <w:lang w:eastAsia="en-AU"/>
        </w:rPr>
        <w:t>voice in economic decision</w:t>
      </w:r>
      <w:r w:rsidR="00D718C3" w:rsidRPr="00C64817">
        <w:rPr>
          <w:rFonts w:eastAsia="Times New Roman" w:cstheme="minorHAnsi"/>
          <w:color w:val="auto"/>
          <w:lang w:eastAsia="en-AU"/>
        </w:rPr>
        <w:t xml:space="preserve">-making. </w:t>
      </w:r>
    </w:p>
    <w:p w14:paraId="5227B07D" w14:textId="182A1B55" w:rsidR="00930D71" w:rsidRPr="00C64817" w:rsidRDefault="001D05FE" w:rsidP="00930D71">
      <w:pPr>
        <w:pStyle w:val="ListParagraph"/>
        <w:numPr>
          <w:ilvl w:val="0"/>
          <w:numId w:val="30"/>
        </w:numPr>
        <w:tabs>
          <w:tab w:val="left" w:pos="284"/>
        </w:tabs>
        <w:suppressAutoHyphens w:val="0"/>
        <w:spacing w:before="0" w:line="280" w:lineRule="exact"/>
        <w:jc w:val="both"/>
        <w:rPr>
          <w:rFonts w:cstheme="minorHAnsi"/>
          <w:color w:val="auto"/>
          <w:lang w:val="en-AU"/>
        </w:rPr>
      </w:pPr>
      <w:r>
        <w:rPr>
          <w:rFonts w:cstheme="minorHAnsi"/>
          <w:b/>
          <w:bCs/>
          <w:color w:val="auto"/>
          <w:lang w:eastAsia="en-AU"/>
        </w:rPr>
        <w:t>Pacific r</w:t>
      </w:r>
      <w:r w:rsidR="00796F53" w:rsidRPr="00C64817">
        <w:rPr>
          <w:rFonts w:cstheme="minorHAnsi"/>
          <w:b/>
          <w:bCs/>
          <w:color w:val="auto"/>
          <w:lang w:eastAsia="en-AU"/>
        </w:rPr>
        <w:t xml:space="preserve">egional </w:t>
      </w:r>
      <w:r w:rsidR="00A63FCB" w:rsidRPr="00C64817">
        <w:rPr>
          <w:rFonts w:eastAsia="Calibri" w:cstheme="minorHAnsi"/>
          <w:b/>
          <w:bCs/>
          <w:color w:val="auto"/>
        </w:rPr>
        <w:t>partners increase</w:t>
      </w:r>
      <w:r w:rsidR="00F12C68">
        <w:rPr>
          <w:rFonts w:eastAsia="Calibri" w:cstheme="minorHAnsi"/>
          <w:b/>
          <w:bCs/>
          <w:color w:val="auto"/>
        </w:rPr>
        <w:t xml:space="preserve"> the </w:t>
      </w:r>
      <w:r w:rsidR="00A63FCB" w:rsidRPr="00C64817">
        <w:rPr>
          <w:rFonts w:eastAsia="Calibri" w:cstheme="minorHAnsi"/>
          <w:b/>
          <w:bCs/>
          <w:color w:val="auto"/>
        </w:rPr>
        <w:t>effectiveness of regional gender equality efforts</w:t>
      </w:r>
    </w:p>
    <w:p w14:paraId="14E2AC2F" w14:textId="57AA8074" w:rsidR="00A241C9" w:rsidRPr="00C64817" w:rsidRDefault="00A241C9" w:rsidP="00930D71">
      <w:pPr>
        <w:pStyle w:val="ListParagraph"/>
        <w:numPr>
          <w:ilvl w:val="1"/>
          <w:numId w:val="30"/>
        </w:numPr>
        <w:tabs>
          <w:tab w:val="left" w:pos="284"/>
        </w:tabs>
        <w:suppressAutoHyphens w:val="0"/>
        <w:spacing w:before="0" w:line="280" w:lineRule="exact"/>
        <w:jc w:val="both"/>
        <w:rPr>
          <w:rFonts w:cstheme="minorHAnsi"/>
          <w:color w:val="auto"/>
          <w:lang w:val="en-AU"/>
        </w:rPr>
      </w:pPr>
      <w:r w:rsidRPr="00C64817">
        <w:rPr>
          <w:rFonts w:cstheme="minorHAnsi"/>
          <w:color w:val="auto"/>
        </w:rPr>
        <w:t xml:space="preserve">Opportunities for </w:t>
      </w:r>
      <w:r w:rsidRPr="00C64817">
        <w:rPr>
          <w:rFonts w:cstheme="minorHAnsi"/>
          <w:b/>
          <w:bCs/>
          <w:color w:val="auto"/>
        </w:rPr>
        <w:t xml:space="preserve">civil society, </w:t>
      </w:r>
      <w:proofErr w:type="gramStart"/>
      <w:r w:rsidRPr="00C64817">
        <w:rPr>
          <w:rFonts w:cstheme="minorHAnsi"/>
          <w:b/>
          <w:bCs/>
          <w:color w:val="auto"/>
        </w:rPr>
        <w:t>government</w:t>
      </w:r>
      <w:proofErr w:type="gramEnd"/>
      <w:r w:rsidRPr="00C64817">
        <w:rPr>
          <w:rFonts w:cstheme="minorHAnsi"/>
          <w:b/>
          <w:bCs/>
          <w:color w:val="auto"/>
        </w:rPr>
        <w:t xml:space="preserve"> and intergovernmental collaboration in </w:t>
      </w:r>
      <w:r w:rsidRPr="00C64817">
        <w:rPr>
          <w:rFonts w:cstheme="minorHAnsi"/>
          <w:color w:val="auto"/>
        </w:rPr>
        <w:t>support of gender equality</w:t>
      </w:r>
      <w:r w:rsidRPr="00C64817">
        <w:rPr>
          <w:rFonts w:cstheme="minorHAnsi"/>
          <w:b/>
          <w:bCs/>
          <w:color w:val="auto"/>
        </w:rPr>
        <w:t xml:space="preserve"> </w:t>
      </w:r>
      <w:r w:rsidRPr="00C64817">
        <w:rPr>
          <w:rFonts w:cstheme="minorHAnsi"/>
          <w:color w:val="auto"/>
        </w:rPr>
        <w:t>are facilitated.</w:t>
      </w:r>
    </w:p>
    <w:p w14:paraId="6A111627" w14:textId="481407E6" w:rsidR="00133F64" w:rsidRPr="00F328DA" w:rsidRDefault="00D2560E" w:rsidP="00F328DA">
      <w:pPr>
        <w:pStyle w:val="ListParagraph"/>
        <w:numPr>
          <w:ilvl w:val="1"/>
          <w:numId w:val="30"/>
        </w:numPr>
        <w:tabs>
          <w:tab w:val="left" w:pos="284"/>
        </w:tabs>
        <w:suppressAutoHyphens w:val="0"/>
        <w:spacing w:before="0" w:line="280" w:lineRule="exact"/>
        <w:ind w:left="1724"/>
        <w:jc w:val="both"/>
        <w:rPr>
          <w:rFonts w:cstheme="minorHAnsi"/>
          <w:color w:val="auto"/>
          <w:lang w:eastAsia="en-AU"/>
        </w:rPr>
      </w:pPr>
      <w:r w:rsidRPr="00C64817">
        <w:rPr>
          <w:rFonts w:cstheme="minorHAnsi"/>
          <w:b/>
          <w:bCs/>
          <w:color w:val="auto"/>
          <w:lang w:eastAsia="en-AU"/>
        </w:rPr>
        <w:t>M</w:t>
      </w:r>
      <w:r w:rsidR="00325F65" w:rsidRPr="00C64817">
        <w:rPr>
          <w:rFonts w:cstheme="minorHAnsi"/>
          <w:b/>
          <w:bCs/>
          <w:color w:val="auto"/>
          <w:lang w:eastAsia="en-AU"/>
        </w:rPr>
        <w:t xml:space="preserve">ainstreaming </w:t>
      </w:r>
      <w:r w:rsidR="00906372" w:rsidRPr="00C64817">
        <w:rPr>
          <w:rFonts w:cstheme="minorHAnsi"/>
          <w:b/>
          <w:bCs/>
          <w:color w:val="auto"/>
          <w:lang w:eastAsia="en-AU"/>
        </w:rPr>
        <w:t xml:space="preserve">of </w:t>
      </w:r>
      <w:r w:rsidR="006E3907" w:rsidRPr="00C64817">
        <w:rPr>
          <w:rFonts w:cstheme="minorHAnsi"/>
          <w:b/>
          <w:bCs/>
          <w:color w:val="auto"/>
          <w:lang w:eastAsia="en-AU"/>
        </w:rPr>
        <w:t>gender equality</w:t>
      </w:r>
      <w:r w:rsidR="006E3907" w:rsidRPr="00C64817">
        <w:rPr>
          <w:rFonts w:cstheme="minorHAnsi"/>
          <w:color w:val="auto"/>
          <w:lang w:eastAsia="en-AU"/>
        </w:rPr>
        <w:t xml:space="preserve"> through other development programs in all sectors across the Pacific</w:t>
      </w:r>
      <w:r w:rsidR="00906372" w:rsidRPr="00C64817">
        <w:rPr>
          <w:rFonts w:cstheme="minorHAnsi"/>
          <w:color w:val="auto"/>
          <w:lang w:eastAsia="en-AU"/>
        </w:rPr>
        <w:t xml:space="preserve"> is supported.</w:t>
      </w:r>
    </w:p>
    <w:p w14:paraId="0AD7E968" w14:textId="79DB1C02" w:rsidR="006E3907" w:rsidRPr="00F328DA" w:rsidRDefault="006E3907" w:rsidP="00F328DA">
      <w:pPr>
        <w:pStyle w:val="Heading2"/>
        <w:rPr>
          <w:sz w:val="36"/>
          <w:szCs w:val="24"/>
          <w:lang w:eastAsia="en-AU"/>
        </w:rPr>
      </w:pPr>
      <w:bookmarkStart w:id="10" w:name="_Toc75535884"/>
      <w:r w:rsidRPr="00F328DA">
        <w:rPr>
          <w:sz w:val="36"/>
          <w:szCs w:val="24"/>
          <w:lang w:eastAsia="en-AU"/>
        </w:rPr>
        <w:t xml:space="preserve">Outputs and activities – </w:t>
      </w:r>
      <w:r w:rsidR="00452009" w:rsidRPr="00F328DA">
        <w:rPr>
          <w:sz w:val="36"/>
          <w:szCs w:val="24"/>
          <w:lang w:eastAsia="en-AU"/>
        </w:rPr>
        <w:t>R</w:t>
      </w:r>
      <w:r w:rsidRPr="00F328DA">
        <w:rPr>
          <w:sz w:val="36"/>
          <w:szCs w:val="24"/>
          <w:lang w:eastAsia="en-AU"/>
        </w:rPr>
        <w:t>egional</w:t>
      </w:r>
      <w:bookmarkEnd w:id="10"/>
      <w:r w:rsidRPr="00F328DA">
        <w:rPr>
          <w:sz w:val="36"/>
          <w:szCs w:val="24"/>
          <w:lang w:eastAsia="en-AU"/>
        </w:rPr>
        <w:t xml:space="preserve"> </w:t>
      </w:r>
    </w:p>
    <w:p w14:paraId="1C98B36A" w14:textId="4B813B39" w:rsidR="005A042C" w:rsidRPr="00C64817" w:rsidRDefault="009F29E5" w:rsidP="00002E5D">
      <w:pPr>
        <w:suppressAutoHyphens w:val="0"/>
        <w:spacing w:before="0" w:after="160" w:line="256" w:lineRule="auto"/>
        <w:jc w:val="both"/>
        <w:rPr>
          <w:rFonts w:cstheme="minorHAnsi"/>
          <w:color w:val="auto"/>
        </w:rPr>
      </w:pPr>
      <w:r w:rsidRPr="00407D94">
        <w:rPr>
          <w:rFonts w:cstheme="minorHAnsi"/>
          <w:color w:val="auto"/>
        </w:rPr>
        <w:t>4.7</w:t>
      </w:r>
      <w:r w:rsidRPr="00407D94">
        <w:rPr>
          <w:rFonts w:cstheme="minorHAnsi"/>
        </w:rPr>
        <w:tab/>
      </w:r>
      <w:r w:rsidR="00566678" w:rsidRPr="00702AD1">
        <w:rPr>
          <w:rFonts w:cstheme="minorHAnsi"/>
          <w:color w:val="auto"/>
        </w:rPr>
        <w:t xml:space="preserve">As stated in the Goal, this program’s beneficiaries are </w:t>
      </w:r>
      <w:r w:rsidR="0067734D" w:rsidRPr="00702AD1">
        <w:rPr>
          <w:rFonts w:cstheme="minorHAnsi"/>
          <w:b/>
          <w:bCs/>
          <w:color w:val="auto"/>
        </w:rPr>
        <w:t>Pacific Women and Girls, in all their diversity</w:t>
      </w:r>
      <w:r w:rsidR="0067734D" w:rsidRPr="00702AD1">
        <w:rPr>
          <w:rFonts w:cstheme="minorHAnsi"/>
          <w:color w:val="auto"/>
        </w:rPr>
        <w:t xml:space="preserve">. This </w:t>
      </w:r>
      <w:r w:rsidR="00CB3685" w:rsidRPr="00702AD1">
        <w:rPr>
          <w:rFonts w:cstheme="minorHAnsi"/>
          <w:color w:val="auto"/>
        </w:rPr>
        <w:t xml:space="preserve">diversity is a critically important part of this design </w:t>
      </w:r>
      <w:r w:rsidR="006D7070" w:rsidRPr="00702AD1">
        <w:rPr>
          <w:rFonts w:cstheme="minorHAnsi"/>
          <w:color w:val="auto"/>
        </w:rPr>
        <w:t xml:space="preserve">– it means that Pacific Women Lead is </w:t>
      </w:r>
      <w:r w:rsidR="00A00383" w:rsidRPr="00702AD1">
        <w:rPr>
          <w:rFonts w:cstheme="minorHAnsi"/>
          <w:color w:val="auto"/>
        </w:rPr>
        <w:t>for women and girls of all ages, LGBTQI</w:t>
      </w:r>
      <w:r w:rsidR="00FE78C2" w:rsidRPr="00702AD1">
        <w:rPr>
          <w:rFonts w:cstheme="minorHAnsi"/>
          <w:color w:val="auto"/>
        </w:rPr>
        <w:t xml:space="preserve"> women</w:t>
      </w:r>
      <w:r w:rsidR="00A00383" w:rsidRPr="00702AD1">
        <w:rPr>
          <w:rFonts w:cstheme="minorHAnsi"/>
          <w:color w:val="auto"/>
        </w:rPr>
        <w:t xml:space="preserve">, </w:t>
      </w:r>
      <w:r w:rsidR="00FE78C2" w:rsidRPr="00702AD1">
        <w:rPr>
          <w:rFonts w:cstheme="minorHAnsi"/>
          <w:color w:val="auto"/>
        </w:rPr>
        <w:t>women from all cultural and social backgrounds, including indigenous women, and women with disability. This is clear at the very highest level of the Design of this program</w:t>
      </w:r>
      <w:r w:rsidR="00DF7F9D" w:rsidRPr="00702AD1">
        <w:rPr>
          <w:rFonts w:cstheme="minorHAnsi"/>
          <w:color w:val="auto"/>
        </w:rPr>
        <w:t xml:space="preserve"> and is reinforced here as it is relevant to every reference to women throughout the document.</w:t>
      </w:r>
      <w:r w:rsidR="000E173B" w:rsidRPr="00702AD1">
        <w:rPr>
          <w:rFonts w:cstheme="minorHAnsi"/>
          <w:color w:val="auto"/>
        </w:rPr>
        <w:t xml:space="preserve"> </w:t>
      </w:r>
    </w:p>
    <w:p w14:paraId="3EBEF30B" w14:textId="5E13A5CE" w:rsidR="000049E0" w:rsidRPr="00C64817" w:rsidRDefault="00002E5D" w:rsidP="00C64817">
      <w:pPr>
        <w:suppressAutoHyphens w:val="0"/>
        <w:spacing w:before="0" w:after="0" w:line="240" w:lineRule="auto"/>
        <w:rPr>
          <w:rFonts w:eastAsia="Times New Roman" w:cstheme="minorHAnsi"/>
        </w:rPr>
      </w:pPr>
      <w:r w:rsidRPr="00C64817">
        <w:rPr>
          <w:rFonts w:cstheme="minorHAnsi"/>
          <w:color w:val="auto"/>
        </w:rPr>
        <w:t>4.8</w:t>
      </w:r>
      <w:r w:rsidRPr="00C64817">
        <w:rPr>
          <w:rFonts w:cstheme="minorHAnsi"/>
        </w:rPr>
        <w:tab/>
      </w:r>
      <w:r w:rsidR="00906372" w:rsidRPr="00C64817">
        <w:rPr>
          <w:rFonts w:cstheme="minorHAnsi"/>
          <w:color w:val="auto"/>
        </w:rPr>
        <w:t xml:space="preserve">In support of </w:t>
      </w:r>
      <w:r w:rsidR="00ED3242" w:rsidRPr="00C64817">
        <w:rPr>
          <w:rFonts w:cstheme="minorHAnsi"/>
          <w:color w:val="auto"/>
        </w:rPr>
        <w:t>regional gender equality and human rights frameworks and commitments</w:t>
      </w:r>
      <w:r w:rsidR="00C74E37" w:rsidRPr="00C64817">
        <w:rPr>
          <w:rFonts w:cstheme="minorHAnsi"/>
          <w:color w:val="auto"/>
        </w:rPr>
        <w:t>,</w:t>
      </w:r>
      <w:r w:rsidR="008B7849" w:rsidRPr="00C64817">
        <w:rPr>
          <w:rFonts w:cstheme="minorHAnsi"/>
          <w:color w:val="auto"/>
        </w:rPr>
        <w:t xml:space="preserve"> </w:t>
      </w:r>
      <w:r w:rsidR="006E3907" w:rsidRPr="00C64817">
        <w:rPr>
          <w:rFonts w:cstheme="minorHAnsi"/>
          <w:color w:val="auto"/>
        </w:rPr>
        <w:t xml:space="preserve">Pacific Women Lead will focus on funding and implementing </w:t>
      </w:r>
      <w:r w:rsidR="006E3907" w:rsidRPr="00C64817">
        <w:rPr>
          <w:rFonts w:cstheme="minorHAnsi"/>
          <w:b/>
          <w:color w:val="auto"/>
        </w:rPr>
        <w:t>regional-level investments</w:t>
      </w:r>
      <w:r w:rsidR="006E3907" w:rsidRPr="00C64817">
        <w:rPr>
          <w:rFonts w:cstheme="minorHAnsi"/>
          <w:color w:val="auto"/>
          <w:lang w:eastAsia="en-AU"/>
        </w:rPr>
        <w:t xml:space="preserve"> to address shared challenges</w:t>
      </w:r>
      <w:r w:rsidR="000049E0" w:rsidRPr="00C64817">
        <w:rPr>
          <w:rFonts w:cstheme="minorHAnsi"/>
          <w:color w:val="auto"/>
          <w:lang w:eastAsia="en-AU"/>
        </w:rPr>
        <w:t xml:space="preserve">, at all times informed </w:t>
      </w:r>
      <w:r w:rsidR="004236D9" w:rsidRPr="00C64817">
        <w:rPr>
          <w:rFonts w:cstheme="minorHAnsi"/>
          <w:color w:val="auto"/>
          <w:lang w:eastAsia="en-AU"/>
        </w:rPr>
        <w:t xml:space="preserve">by </w:t>
      </w:r>
      <w:r w:rsidR="00074EE5" w:rsidRPr="00C64817">
        <w:rPr>
          <w:rFonts w:cstheme="minorHAnsi"/>
          <w:color w:val="auto"/>
        </w:rPr>
        <w:t>national considerations and contexts</w:t>
      </w:r>
      <w:r w:rsidR="00310FBA" w:rsidRPr="00407D94">
        <w:rPr>
          <w:rFonts w:cstheme="minorHAnsi"/>
          <w:color w:val="auto"/>
        </w:rPr>
        <w:t xml:space="preserve">.  </w:t>
      </w:r>
      <w:r w:rsidR="0056090C" w:rsidRPr="00407D94">
        <w:rPr>
          <w:rFonts w:cstheme="minorHAnsi"/>
          <w:color w:val="auto"/>
        </w:rPr>
        <w:t xml:space="preserve">This includes recognising and harnessing the leadership and decision-making value of women in mitigating and adapting to climate change in the Pacific region and globally. </w:t>
      </w:r>
      <w:r w:rsidR="00D81E6A" w:rsidRPr="008A7462">
        <w:rPr>
          <w:rFonts w:cstheme="minorHAnsi"/>
          <w:color w:val="auto"/>
        </w:rPr>
        <w:t xml:space="preserve">The starting point for </w:t>
      </w:r>
      <w:r w:rsidR="0056090C" w:rsidRPr="008A7462">
        <w:rPr>
          <w:rFonts w:cstheme="minorHAnsi"/>
          <w:color w:val="auto"/>
        </w:rPr>
        <w:t xml:space="preserve">decisions on regional-level investments </w:t>
      </w:r>
      <w:r w:rsidR="00D81E6A" w:rsidRPr="00B43027">
        <w:rPr>
          <w:rFonts w:cstheme="minorHAnsi"/>
          <w:color w:val="auto"/>
        </w:rPr>
        <w:t xml:space="preserve">will be the suite of </w:t>
      </w:r>
      <w:r w:rsidR="0058586F" w:rsidRPr="000220F0">
        <w:rPr>
          <w:rFonts w:cstheme="minorHAnsi"/>
          <w:color w:val="auto"/>
        </w:rPr>
        <w:t xml:space="preserve">ongoing regional activities under </w:t>
      </w:r>
      <w:r w:rsidR="0058586F" w:rsidRPr="00F44628">
        <w:rPr>
          <w:rFonts w:cstheme="minorHAnsi"/>
          <w:i/>
          <w:color w:val="auto"/>
        </w:rPr>
        <w:t>Pacific Women Shaping Pacific Development (PWSPD)</w:t>
      </w:r>
      <w:r w:rsidR="009B0A47" w:rsidRPr="00C64817">
        <w:rPr>
          <w:rFonts w:cstheme="minorHAnsi"/>
          <w:color w:val="auto"/>
        </w:rPr>
        <w:t xml:space="preserve"> and the extent to which these activities </w:t>
      </w:r>
      <w:r w:rsidR="00D137D1" w:rsidRPr="00C64817">
        <w:rPr>
          <w:rFonts w:cstheme="minorHAnsi"/>
          <w:color w:val="auto"/>
        </w:rPr>
        <w:t xml:space="preserve">can contribute to the Goal and Outcomes of </w:t>
      </w:r>
      <w:r w:rsidR="00D137D1" w:rsidRPr="00C64817">
        <w:rPr>
          <w:rFonts w:cstheme="minorHAnsi"/>
          <w:i/>
          <w:color w:val="auto"/>
        </w:rPr>
        <w:t>Pacific Women Lead (</w:t>
      </w:r>
      <w:r w:rsidR="007B1C93" w:rsidRPr="00C64817">
        <w:rPr>
          <w:rFonts w:cstheme="minorHAnsi"/>
          <w:i/>
          <w:color w:val="auto"/>
        </w:rPr>
        <w:t>PWL)</w:t>
      </w:r>
      <w:r w:rsidR="007B1C93" w:rsidRPr="00C64817">
        <w:rPr>
          <w:rFonts w:cstheme="minorHAnsi"/>
          <w:color w:val="auto"/>
        </w:rPr>
        <w:t xml:space="preserve"> </w:t>
      </w:r>
      <w:r w:rsidR="001169AB" w:rsidRPr="00C64817">
        <w:rPr>
          <w:rFonts w:cstheme="minorHAnsi"/>
          <w:color w:val="auto"/>
        </w:rPr>
        <w:t>– this is addressed in Section E of this Design.</w:t>
      </w:r>
      <w:r w:rsidR="008B7E72" w:rsidRPr="00C64817">
        <w:rPr>
          <w:rFonts w:cstheme="minorHAnsi"/>
          <w:color w:val="auto"/>
        </w:rPr>
        <w:t xml:space="preserve"> In addition, there will the opportunity for new investments using funds that become progressively available through the life o</w:t>
      </w:r>
      <w:r w:rsidR="002A37C5" w:rsidRPr="00C64817">
        <w:rPr>
          <w:rFonts w:cstheme="minorHAnsi"/>
          <w:color w:val="auto"/>
        </w:rPr>
        <w:t>f the program – see</w:t>
      </w:r>
      <w:r w:rsidR="00E9209F" w:rsidRPr="00C64817">
        <w:rPr>
          <w:rFonts w:cstheme="minorHAnsi"/>
          <w:color w:val="auto"/>
        </w:rPr>
        <w:t xml:space="preserve"> section H.</w:t>
      </w:r>
      <w:r w:rsidR="002A37C5" w:rsidRPr="00C64817">
        <w:rPr>
          <w:rFonts w:cstheme="minorHAnsi"/>
          <w:color w:val="auto"/>
        </w:rPr>
        <w:t xml:space="preserve"> </w:t>
      </w:r>
      <w:r w:rsidR="00480ADB" w:rsidRPr="00C64817">
        <w:rPr>
          <w:rFonts w:cstheme="minorHAnsi"/>
          <w:color w:val="auto"/>
        </w:rPr>
        <w:t xml:space="preserve">Regional investments </w:t>
      </w:r>
      <w:r w:rsidR="4B546562" w:rsidRPr="00C64817">
        <w:rPr>
          <w:rFonts w:cstheme="minorHAnsi"/>
          <w:color w:val="auto"/>
        </w:rPr>
        <w:t xml:space="preserve">are expected to contribute to progress at national level, through a </w:t>
      </w:r>
      <w:r w:rsidR="00480ADB" w:rsidRPr="00C64817">
        <w:rPr>
          <w:rFonts w:cstheme="minorHAnsi"/>
          <w:color w:val="auto"/>
        </w:rPr>
        <w:t>focus on</w:t>
      </w:r>
      <w:r w:rsidR="008B030F" w:rsidRPr="00C64817">
        <w:rPr>
          <w:rFonts w:cstheme="minorHAnsi"/>
          <w:color w:val="auto"/>
        </w:rPr>
        <w:t xml:space="preserve"> s</w:t>
      </w:r>
      <w:r w:rsidR="000049E0" w:rsidRPr="00C64817">
        <w:rPr>
          <w:rFonts w:eastAsia="Times New Roman" w:cstheme="minorHAnsi"/>
          <w:color w:val="auto"/>
        </w:rPr>
        <w:t xml:space="preserve">upporting Pacific-driven </w:t>
      </w:r>
      <w:r w:rsidR="4EFDBD6D" w:rsidRPr="00C64817">
        <w:rPr>
          <w:rFonts w:eastAsia="Times New Roman" w:cstheme="minorHAnsi"/>
          <w:color w:val="auto"/>
        </w:rPr>
        <w:t>action</w:t>
      </w:r>
      <w:r w:rsidR="33B34C08" w:rsidRPr="00C64817">
        <w:rPr>
          <w:rFonts w:eastAsia="Times New Roman" w:cstheme="minorHAnsi"/>
          <w:color w:val="auto"/>
        </w:rPr>
        <w:t>, knowledge management and learning</w:t>
      </w:r>
      <w:r w:rsidR="000049E0" w:rsidRPr="00C64817">
        <w:rPr>
          <w:rFonts w:eastAsia="Times New Roman" w:cstheme="minorHAnsi"/>
          <w:color w:val="auto"/>
        </w:rPr>
        <w:t xml:space="preserve"> on issues that are </w:t>
      </w:r>
      <w:r w:rsidR="220477A5" w:rsidRPr="00C64817">
        <w:rPr>
          <w:rFonts w:eastAsia="Times New Roman" w:cstheme="minorHAnsi"/>
          <w:color w:val="auto"/>
        </w:rPr>
        <w:t>common to all countries</w:t>
      </w:r>
    </w:p>
    <w:p w14:paraId="1831E1C8" w14:textId="7F7929E5" w:rsidR="00452009" w:rsidRPr="00C64817" w:rsidRDefault="00452009" w:rsidP="00452009">
      <w:pPr>
        <w:suppressAutoHyphens w:val="0"/>
        <w:spacing w:before="0" w:after="0" w:line="240" w:lineRule="auto"/>
        <w:rPr>
          <w:rFonts w:eastAsia="Times New Roman" w:cstheme="minorHAnsi"/>
          <w:color w:val="auto"/>
        </w:rPr>
      </w:pPr>
    </w:p>
    <w:p w14:paraId="66493D0F" w14:textId="6B473675" w:rsidR="00452009" w:rsidRPr="00C64817" w:rsidRDefault="006A42AE">
      <w:pPr>
        <w:suppressAutoHyphens w:val="0"/>
        <w:spacing w:before="0" w:after="0" w:line="240" w:lineRule="auto"/>
        <w:rPr>
          <w:rFonts w:eastAsia="Times New Roman" w:cstheme="minorHAnsi"/>
          <w:color w:val="auto"/>
        </w:rPr>
      </w:pPr>
      <w:r w:rsidRPr="00C64817">
        <w:rPr>
          <w:rFonts w:eastAsia="Times New Roman" w:cstheme="minorHAnsi"/>
          <w:color w:val="auto"/>
        </w:rPr>
        <w:t>4.9</w:t>
      </w:r>
      <w:r w:rsidRPr="00C64817">
        <w:rPr>
          <w:rFonts w:eastAsia="Times New Roman" w:cstheme="minorHAnsi"/>
          <w:color w:val="auto"/>
        </w:rPr>
        <w:tab/>
      </w:r>
      <w:r w:rsidR="00AF4C5D">
        <w:rPr>
          <w:rFonts w:eastAsia="Times New Roman" w:cstheme="minorHAnsi"/>
          <w:color w:val="auto"/>
        </w:rPr>
        <w:t>F</w:t>
      </w:r>
      <w:r w:rsidR="007B7D8C" w:rsidRPr="00C64817">
        <w:rPr>
          <w:rFonts w:eastAsia="Times New Roman" w:cstheme="minorHAnsi"/>
          <w:color w:val="auto"/>
        </w:rPr>
        <w:t xml:space="preserve">urther </w:t>
      </w:r>
      <w:r w:rsidR="006F5C0D" w:rsidRPr="00C64817">
        <w:rPr>
          <w:rFonts w:eastAsia="Times New Roman" w:cstheme="minorHAnsi"/>
          <w:color w:val="auto"/>
        </w:rPr>
        <w:t xml:space="preserve">detailed </w:t>
      </w:r>
      <w:r w:rsidR="007B7D8C" w:rsidRPr="00C64817">
        <w:rPr>
          <w:rFonts w:eastAsia="Times New Roman" w:cstheme="minorHAnsi"/>
          <w:color w:val="auto"/>
        </w:rPr>
        <w:t>work on output and activity planning will take place during the transition phas</w:t>
      </w:r>
      <w:r w:rsidR="00955F29" w:rsidRPr="00C64817">
        <w:rPr>
          <w:rFonts w:eastAsia="Times New Roman" w:cstheme="minorHAnsi"/>
          <w:color w:val="auto"/>
        </w:rPr>
        <w:t>e and beyond</w:t>
      </w:r>
      <w:r w:rsidR="00455F6F" w:rsidRPr="00C64817">
        <w:rPr>
          <w:rFonts w:eastAsia="Times New Roman" w:cstheme="minorHAnsi"/>
          <w:color w:val="auto"/>
        </w:rPr>
        <w:t xml:space="preserve"> (see principles and criterial for investment in Section E)</w:t>
      </w:r>
      <w:r w:rsidR="00AF4C5D">
        <w:rPr>
          <w:rFonts w:eastAsia="Times New Roman" w:cstheme="minorHAnsi"/>
          <w:color w:val="auto"/>
        </w:rPr>
        <w:t xml:space="preserve">. At this stage, known </w:t>
      </w:r>
      <w:r w:rsidR="008F501E" w:rsidRPr="00C64817">
        <w:rPr>
          <w:rFonts w:eastAsia="Times New Roman" w:cstheme="minorHAnsi"/>
          <w:color w:val="auto"/>
        </w:rPr>
        <w:t xml:space="preserve">deliverables </w:t>
      </w:r>
      <w:r w:rsidR="00471E94" w:rsidRPr="00C64817">
        <w:rPr>
          <w:rFonts w:eastAsia="Times New Roman" w:cstheme="minorHAnsi"/>
          <w:color w:val="auto"/>
        </w:rPr>
        <w:t>and the focus of future design and planning work is, as follows</w:t>
      </w:r>
      <w:r w:rsidR="0073050B" w:rsidRPr="00C64817">
        <w:rPr>
          <w:rFonts w:eastAsia="Times New Roman" w:cstheme="minorHAnsi"/>
          <w:color w:val="auto"/>
        </w:rPr>
        <w:t>:</w:t>
      </w:r>
    </w:p>
    <w:p w14:paraId="1F1973B8" w14:textId="2E792719" w:rsidR="0073050B" w:rsidRPr="00C64817" w:rsidRDefault="0073050B">
      <w:pPr>
        <w:suppressAutoHyphens w:val="0"/>
        <w:spacing w:before="0" w:after="0" w:line="240" w:lineRule="auto"/>
        <w:rPr>
          <w:rFonts w:eastAsia="Times New Roman" w:cstheme="minorHAnsi"/>
          <w:color w:val="auto"/>
        </w:rPr>
      </w:pPr>
    </w:p>
    <w:p w14:paraId="54BB65CA" w14:textId="082CD87D" w:rsidR="002D5670" w:rsidRPr="00407D94" w:rsidRDefault="007E1CD1" w:rsidP="002D5670">
      <w:pPr>
        <w:suppressAutoHyphens w:val="0"/>
        <w:spacing w:before="0" w:after="0" w:line="240" w:lineRule="auto"/>
        <w:rPr>
          <w:rFonts w:eastAsia="Times New Roman" w:cstheme="minorHAnsi"/>
          <w:color w:val="auto"/>
        </w:rPr>
      </w:pPr>
      <w:r w:rsidRPr="00C64817">
        <w:rPr>
          <w:rFonts w:eastAsia="Times New Roman" w:cstheme="minorHAnsi"/>
          <w:color w:val="auto"/>
        </w:rPr>
        <w:t>4.10</w:t>
      </w:r>
      <w:r w:rsidRPr="00407D94">
        <w:rPr>
          <w:rFonts w:eastAsia="Times New Roman" w:cstheme="minorHAnsi"/>
          <w:i/>
          <w:iCs/>
          <w:color w:val="auto"/>
        </w:rPr>
        <w:t xml:space="preserve"> </w:t>
      </w:r>
      <w:r w:rsidRPr="00407D94">
        <w:rPr>
          <w:rFonts w:eastAsia="Times New Roman" w:cstheme="minorHAnsi"/>
          <w:i/>
          <w:iCs/>
          <w:color w:val="auto"/>
        </w:rPr>
        <w:tab/>
      </w:r>
      <w:r w:rsidR="005D1A14" w:rsidRPr="00C64817">
        <w:rPr>
          <w:rFonts w:eastAsia="Times New Roman" w:cstheme="minorHAnsi"/>
          <w:b/>
          <w:bCs/>
          <w:color w:val="auto"/>
        </w:rPr>
        <w:t xml:space="preserve">Outcome 1: </w:t>
      </w:r>
      <w:r w:rsidR="0073050B" w:rsidRPr="00C64817">
        <w:rPr>
          <w:rFonts w:eastAsia="Times New Roman" w:cstheme="minorHAnsi"/>
          <w:b/>
          <w:bCs/>
          <w:color w:val="auto"/>
        </w:rPr>
        <w:t xml:space="preserve">Women’s </w:t>
      </w:r>
      <w:r w:rsidR="00610D34" w:rsidRPr="00C64817">
        <w:rPr>
          <w:rFonts w:eastAsia="Times New Roman" w:cstheme="minorHAnsi"/>
          <w:b/>
          <w:bCs/>
          <w:color w:val="auto"/>
        </w:rPr>
        <w:t>l</w:t>
      </w:r>
      <w:r w:rsidR="0073050B" w:rsidRPr="00C64817">
        <w:rPr>
          <w:rFonts w:eastAsia="Times New Roman" w:cstheme="minorHAnsi"/>
          <w:b/>
          <w:bCs/>
          <w:color w:val="auto"/>
        </w:rPr>
        <w:t xml:space="preserve">eadership </w:t>
      </w:r>
      <w:r w:rsidR="00610D34" w:rsidRPr="00C64817">
        <w:rPr>
          <w:rFonts w:eastAsia="Times New Roman" w:cstheme="minorHAnsi"/>
          <w:b/>
          <w:bCs/>
          <w:color w:val="auto"/>
        </w:rPr>
        <w:t>promoted</w:t>
      </w:r>
      <w:r w:rsidR="0073050B" w:rsidRPr="00C64817">
        <w:rPr>
          <w:rFonts w:eastAsia="Times New Roman" w:cstheme="minorHAnsi"/>
          <w:b/>
          <w:bCs/>
          <w:color w:val="auto"/>
        </w:rPr>
        <w:t>:</w:t>
      </w:r>
      <w:r w:rsidR="0094556B" w:rsidRPr="00C64817">
        <w:rPr>
          <w:rFonts w:eastAsia="Times New Roman" w:cstheme="minorHAnsi"/>
          <w:color w:val="auto"/>
        </w:rPr>
        <w:t xml:space="preserve"> </w:t>
      </w:r>
    </w:p>
    <w:p w14:paraId="3BBE7168" w14:textId="6F0E7A6F" w:rsidR="00C83646" w:rsidRPr="000D5E14" w:rsidRDefault="00C83646" w:rsidP="00C83646">
      <w:pPr>
        <w:pStyle w:val="ListParagraph"/>
        <w:numPr>
          <w:ilvl w:val="0"/>
          <w:numId w:val="69"/>
        </w:numPr>
        <w:suppressAutoHyphens w:val="0"/>
        <w:spacing w:before="0" w:after="0" w:line="240" w:lineRule="auto"/>
        <w:rPr>
          <w:rFonts w:eastAsia="Times New Roman" w:cstheme="minorHAnsi"/>
          <w:color w:val="auto"/>
        </w:rPr>
      </w:pPr>
      <w:r w:rsidRPr="000D5E14">
        <w:rPr>
          <w:rFonts w:eastAsia="Times New Roman" w:cstheme="minorHAnsi"/>
          <w:color w:val="auto"/>
        </w:rPr>
        <w:t>T</w:t>
      </w:r>
      <w:r w:rsidR="0094556B" w:rsidRPr="000D5E14">
        <w:rPr>
          <w:rFonts w:eastAsia="Times New Roman" w:cstheme="minorHAnsi"/>
          <w:color w:val="auto"/>
        </w:rPr>
        <w:t xml:space="preserve">his outcome </w:t>
      </w:r>
      <w:r w:rsidR="006F2DC1" w:rsidRPr="000D5E14">
        <w:rPr>
          <w:rFonts w:eastAsia="Times New Roman" w:cstheme="minorHAnsi"/>
          <w:color w:val="auto"/>
        </w:rPr>
        <w:t>will support the continuation of</w:t>
      </w:r>
      <w:r w:rsidR="00C936F6" w:rsidRPr="000D5E14">
        <w:rPr>
          <w:rFonts w:eastAsia="Times New Roman" w:cstheme="minorHAnsi"/>
          <w:color w:val="auto"/>
        </w:rPr>
        <w:t xml:space="preserve"> key investments </w:t>
      </w:r>
      <w:r w:rsidR="00B46C7A" w:rsidRPr="000D5E14">
        <w:rPr>
          <w:rFonts w:eastAsia="Times New Roman" w:cstheme="minorHAnsi"/>
          <w:color w:val="auto"/>
        </w:rPr>
        <w:t xml:space="preserve">in the current </w:t>
      </w:r>
      <w:r w:rsidR="00B46C7A" w:rsidRPr="000D5E14">
        <w:rPr>
          <w:rFonts w:eastAsia="Times New Roman" w:cstheme="minorHAnsi"/>
          <w:i/>
          <w:iCs/>
          <w:color w:val="auto"/>
        </w:rPr>
        <w:t>Pacific Women Shaping Pacific Development</w:t>
      </w:r>
      <w:r w:rsidR="00B46C7A" w:rsidRPr="000D5E14">
        <w:rPr>
          <w:rFonts w:eastAsia="Times New Roman" w:cstheme="minorHAnsi"/>
          <w:color w:val="auto"/>
        </w:rPr>
        <w:t xml:space="preserve"> (PWSPD) program, i</w:t>
      </w:r>
      <w:r w:rsidR="003C66E3" w:rsidRPr="000D5E14">
        <w:rPr>
          <w:rFonts w:eastAsia="Times New Roman" w:cstheme="minorHAnsi"/>
          <w:color w:val="auto"/>
        </w:rPr>
        <w:t xml:space="preserve">n particular </w:t>
      </w:r>
      <w:r w:rsidR="00B46C7A" w:rsidRPr="000D5E14">
        <w:rPr>
          <w:rFonts w:eastAsia="Times New Roman" w:cstheme="minorHAnsi"/>
          <w:color w:val="auto"/>
        </w:rPr>
        <w:t xml:space="preserve">Balance of Power (which </w:t>
      </w:r>
      <w:r w:rsidR="005D1A14" w:rsidRPr="000D5E14">
        <w:rPr>
          <w:rFonts w:eastAsia="Times New Roman" w:cstheme="minorHAnsi"/>
          <w:color w:val="auto"/>
        </w:rPr>
        <w:t>addresses the social norms that define political leadership as the domain of men)</w:t>
      </w:r>
      <w:r w:rsidR="00C62161" w:rsidRPr="000D5E14">
        <w:rPr>
          <w:rFonts w:eastAsia="Times New Roman" w:cstheme="minorHAnsi"/>
          <w:color w:val="auto"/>
        </w:rPr>
        <w:t xml:space="preserve">. It will also provide the opportunity for </w:t>
      </w:r>
      <w:r w:rsidR="007A3CCA" w:rsidRPr="000D5E14">
        <w:rPr>
          <w:rFonts w:eastAsia="Times New Roman" w:cstheme="minorHAnsi"/>
          <w:color w:val="auto"/>
        </w:rPr>
        <w:t>new initiatives to support women’s leadership at all levels, from local to global</w:t>
      </w:r>
      <w:r w:rsidR="005A5146" w:rsidRPr="000D5E14">
        <w:rPr>
          <w:rFonts w:eastAsia="Times New Roman" w:cstheme="minorHAnsi"/>
          <w:color w:val="auto"/>
        </w:rPr>
        <w:t xml:space="preserve"> and in a range of sectors beyond parliamentary politics</w:t>
      </w:r>
      <w:r w:rsidR="002D2499" w:rsidRPr="000D5E14">
        <w:rPr>
          <w:rFonts w:eastAsia="Times New Roman" w:cstheme="minorHAnsi"/>
          <w:color w:val="auto"/>
        </w:rPr>
        <w:t xml:space="preserve"> including climate action and women’s leadership in sport</w:t>
      </w:r>
      <w:r w:rsidR="0057339E" w:rsidRPr="000D5E14">
        <w:rPr>
          <w:rFonts w:eastAsia="Times New Roman" w:cstheme="minorHAnsi"/>
          <w:color w:val="auto"/>
        </w:rPr>
        <w:t>.</w:t>
      </w:r>
      <w:r w:rsidR="00FB047F">
        <w:rPr>
          <w:rFonts w:eastAsia="Times New Roman" w:cstheme="minorHAnsi"/>
          <w:color w:val="auto"/>
        </w:rPr>
        <w:t xml:space="preserve"> Support for Feminist Funds will be critical for supporting women’s leadership. </w:t>
      </w:r>
    </w:p>
    <w:p w14:paraId="2BB8FE32" w14:textId="692774F2" w:rsidR="00347DF8" w:rsidRPr="000D5E14" w:rsidRDefault="00C83646" w:rsidP="00117130">
      <w:pPr>
        <w:pStyle w:val="ListParagraph"/>
        <w:numPr>
          <w:ilvl w:val="0"/>
          <w:numId w:val="69"/>
        </w:numPr>
        <w:suppressAutoHyphens w:val="0"/>
        <w:spacing w:before="0" w:after="0" w:line="240" w:lineRule="auto"/>
        <w:rPr>
          <w:rFonts w:eastAsia="Times New Roman" w:cstheme="minorHAnsi"/>
          <w:color w:val="auto"/>
        </w:rPr>
      </w:pPr>
      <w:r w:rsidRPr="000D5E14">
        <w:rPr>
          <w:rFonts w:eastAsia="Times New Roman" w:cstheme="minorHAnsi"/>
          <w:color w:val="auto"/>
        </w:rPr>
        <w:t xml:space="preserve">This outcome </w:t>
      </w:r>
      <w:r w:rsidR="0057339E" w:rsidRPr="000D5E14">
        <w:rPr>
          <w:rFonts w:eastAsia="Times New Roman" w:cstheme="minorHAnsi"/>
          <w:color w:val="auto"/>
        </w:rPr>
        <w:t xml:space="preserve">introduces an explicit focus on </w:t>
      </w:r>
      <w:r w:rsidR="00D65ACC" w:rsidRPr="000D5E14">
        <w:rPr>
          <w:rFonts w:cstheme="minorHAnsi"/>
          <w:color w:val="auto"/>
        </w:rPr>
        <w:t xml:space="preserve">Pacific </w:t>
      </w:r>
      <w:r w:rsidR="001B76B0">
        <w:rPr>
          <w:rFonts w:cstheme="minorHAnsi"/>
          <w:color w:val="auto"/>
        </w:rPr>
        <w:t xml:space="preserve">women’s </w:t>
      </w:r>
      <w:r w:rsidR="00D65ACC" w:rsidRPr="000D5E14">
        <w:rPr>
          <w:rFonts w:cstheme="minorHAnsi"/>
          <w:color w:val="auto"/>
        </w:rPr>
        <w:t>civil society</w:t>
      </w:r>
      <w:r w:rsidR="001B76B0">
        <w:rPr>
          <w:rFonts w:cstheme="minorHAnsi"/>
          <w:color w:val="auto"/>
        </w:rPr>
        <w:t xml:space="preserve">, organisations </w:t>
      </w:r>
      <w:r w:rsidR="00D65ACC" w:rsidRPr="000D5E14">
        <w:rPr>
          <w:rFonts w:cstheme="minorHAnsi"/>
          <w:color w:val="auto"/>
        </w:rPr>
        <w:t xml:space="preserve">working towards gender equality in the region.  </w:t>
      </w:r>
      <w:r w:rsidR="001B76B0">
        <w:rPr>
          <w:rFonts w:cstheme="minorHAnsi"/>
          <w:color w:val="auto"/>
        </w:rPr>
        <w:t>Some organisations</w:t>
      </w:r>
      <w:r w:rsidR="00D65ACC" w:rsidRPr="000D5E14">
        <w:rPr>
          <w:rFonts w:cstheme="minorHAnsi"/>
          <w:color w:val="auto"/>
        </w:rPr>
        <w:t xml:space="preserve"> explicitly identify themselves as </w:t>
      </w:r>
      <w:proofErr w:type="gramStart"/>
      <w:r w:rsidR="00D65ACC" w:rsidRPr="000D5E14">
        <w:rPr>
          <w:rFonts w:cstheme="minorHAnsi"/>
          <w:color w:val="auto"/>
        </w:rPr>
        <w:t>feminist</w:t>
      </w:r>
      <w:proofErr w:type="gramEnd"/>
      <w:r w:rsidR="000D5E14">
        <w:rPr>
          <w:rFonts w:cstheme="minorHAnsi"/>
          <w:color w:val="auto"/>
        </w:rPr>
        <w:t xml:space="preserve"> </w:t>
      </w:r>
      <w:r w:rsidR="00D65ACC" w:rsidRPr="000D5E14">
        <w:rPr>
          <w:rFonts w:cstheme="minorHAnsi"/>
          <w:color w:val="auto"/>
        </w:rPr>
        <w:t xml:space="preserve">but </w:t>
      </w:r>
      <w:r w:rsidR="001B76B0">
        <w:rPr>
          <w:rFonts w:cstheme="minorHAnsi"/>
          <w:color w:val="auto"/>
        </w:rPr>
        <w:t>all</w:t>
      </w:r>
      <w:r w:rsidR="001B76B0" w:rsidRPr="000D5E14">
        <w:rPr>
          <w:rFonts w:cstheme="minorHAnsi"/>
          <w:color w:val="auto"/>
        </w:rPr>
        <w:t xml:space="preserve"> </w:t>
      </w:r>
      <w:r w:rsidR="001B76B0">
        <w:rPr>
          <w:rFonts w:cstheme="minorHAnsi"/>
          <w:color w:val="auto"/>
        </w:rPr>
        <w:t xml:space="preserve">organisations </w:t>
      </w:r>
      <w:r w:rsidR="00D65ACC" w:rsidRPr="000D5E14">
        <w:rPr>
          <w:rFonts w:cstheme="minorHAnsi"/>
          <w:color w:val="auto"/>
        </w:rPr>
        <w:t>engage in promoting transformative change and work to address harmful social norms that discriminate against women and girls.</w:t>
      </w:r>
      <w:r w:rsidR="00230CFD" w:rsidRPr="000D5E14">
        <w:rPr>
          <w:rFonts w:cstheme="minorHAnsi"/>
          <w:color w:val="auto"/>
        </w:rPr>
        <w:t xml:space="preserve"> Examples of such </w:t>
      </w:r>
      <w:r w:rsidR="00127EDA" w:rsidRPr="000D5E14">
        <w:rPr>
          <w:rFonts w:cstheme="minorHAnsi"/>
          <w:color w:val="auto"/>
        </w:rPr>
        <w:t xml:space="preserve">feminist civil society groups includes: </w:t>
      </w:r>
      <w:r w:rsidR="00717248" w:rsidRPr="000D5E14">
        <w:rPr>
          <w:rFonts w:cstheme="minorHAnsi"/>
          <w:color w:val="auto"/>
        </w:rPr>
        <w:t xml:space="preserve">We Rise Coalition (regional); Pacific Women’s Network Against Violence Against Women (regional); Tonga Women and Children Crisis Centre, Talitha Project (Tonga), Brown Girl Woke (Samoa); Kiribati Women and Children Support Centre; Fiji Women’s Crisis Centre; </w:t>
      </w:r>
      <w:proofErr w:type="spellStart"/>
      <w:r w:rsidR="00717248" w:rsidRPr="000D5E14">
        <w:rPr>
          <w:rFonts w:cstheme="minorHAnsi"/>
          <w:color w:val="auto"/>
        </w:rPr>
        <w:t>Femlink</w:t>
      </w:r>
      <w:proofErr w:type="spellEnd"/>
      <w:r w:rsidR="00717248" w:rsidRPr="000D5E14">
        <w:rPr>
          <w:rFonts w:cstheme="minorHAnsi"/>
          <w:color w:val="auto"/>
        </w:rPr>
        <w:t xml:space="preserve"> Pacific </w:t>
      </w:r>
      <w:r w:rsidR="00717248" w:rsidRPr="000D5E14">
        <w:rPr>
          <w:rFonts w:cstheme="minorHAnsi"/>
          <w:color w:val="auto"/>
        </w:rPr>
        <w:lastRenderedPageBreak/>
        <w:t>(regional); Fiji Women’s Rights Movement; Shifting the Power Coalition (regional); Women’s Rights Action Movement (Solomon Islands); YWCA Solomon Islands; Cookhouse Confidential (Marshall Islands); Fiji Women’s Fund</w:t>
      </w:r>
      <w:r w:rsidR="00230CFD" w:rsidRPr="000D5E14">
        <w:rPr>
          <w:rFonts w:cstheme="minorHAnsi"/>
          <w:color w:val="auto"/>
        </w:rPr>
        <w:t>.</w:t>
      </w:r>
    </w:p>
    <w:p w14:paraId="0FDD670C" w14:textId="77777777" w:rsidR="00717248" w:rsidRPr="00407D94" w:rsidRDefault="00717248" w:rsidP="002D5670">
      <w:pPr>
        <w:suppressAutoHyphens w:val="0"/>
        <w:spacing w:before="0" w:after="0" w:line="240" w:lineRule="auto"/>
        <w:rPr>
          <w:rFonts w:eastAsia="Times New Roman" w:cstheme="minorHAnsi"/>
          <w:b/>
          <w:bCs/>
          <w:color w:val="auto"/>
        </w:rPr>
      </w:pPr>
    </w:p>
    <w:p w14:paraId="278892A9" w14:textId="1054E8CA" w:rsidR="004E31A1" w:rsidRPr="00407D94" w:rsidRDefault="007E1CD1" w:rsidP="002D5670">
      <w:pPr>
        <w:suppressAutoHyphens w:val="0"/>
        <w:spacing w:before="0" w:after="0" w:line="240" w:lineRule="auto"/>
        <w:rPr>
          <w:rFonts w:eastAsia="Times New Roman" w:cstheme="minorHAnsi"/>
          <w:b/>
          <w:bCs/>
          <w:color w:val="auto"/>
        </w:rPr>
      </w:pPr>
      <w:r w:rsidRPr="00C64817">
        <w:rPr>
          <w:rFonts w:eastAsia="Times New Roman" w:cstheme="minorHAnsi"/>
          <w:color w:val="auto"/>
        </w:rPr>
        <w:t>4.11</w:t>
      </w:r>
      <w:r w:rsidRPr="00C64817">
        <w:rPr>
          <w:rFonts w:eastAsia="Times New Roman" w:cstheme="minorHAnsi"/>
          <w:color w:val="auto"/>
        </w:rPr>
        <w:tab/>
      </w:r>
      <w:r w:rsidR="00610D34" w:rsidRPr="00C64817">
        <w:rPr>
          <w:rFonts w:eastAsia="Times New Roman" w:cstheme="minorHAnsi"/>
          <w:b/>
          <w:bCs/>
          <w:color w:val="auto"/>
        </w:rPr>
        <w:t xml:space="preserve">Women’s rights realised: </w:t>
      </w:r>
    </w:p>
    <w:p w14:paraId="161A2A20" w14:textId="776B2FB5" w:rsidR="00610D34" w:rsidRPr="001B3C85" w:rsidRDefault="00AA6BDE" w:rsidP="004E31A1">
      <w:pPr>
        <w:pStyle w:val="ListParagraph"/>
        <w:numPr>
          <w:ilvl w:val="0"/>
          <w:numId w:val="71"/>
        </w:numPr>
        <w:suppressAutoHyphens w:val="0"/>
        <w:spacing w:before="0" w:after="0" w:line="240" w:lineRule="auto"/>
        <w:rPr>
          <w:rFonts w:eastAsia="Times New Roman" w:cstheme="minorHAnsi"/>
          <w:b/>
          <w:bCs/>
          <w:color w:val="auto"/>
        </w:rPr>
      </w:pPr>
      <w:r w:rsidRPr="00C64817">
        <w:rPr>
          <w:rFonts w:eastAsia="Times New Roman" w:cstheme="minorHAnsi"/>
          <w:color w:val="auto"/>
        </w:rPr>
        <w:t xml:space="preserve">This outcome will support the continuation of key investments in the current </w:t>
      </w:r>
      <w:r w:rsidRPr="00C64817">
        <w:rPr>
          <w:rFonts w:eastAsia="Times New Roman" w:cstheme="minorHAnsi"/>
          <w:i/>
          <w:iCs/>
          <w:color w:val="auto"/>
        </w:rPr>
        <w:t>Pacific Women Shaping Pacific Development</w:t>
      </w:r>
      <w:r w:rsidRPr="00C64817">
        <w:rPr>
          <w:rFonts w:eastAsia="Times New Roman" w:cstheme="minorHAnsi"/>
          <w:color w:val="auto"/>
        </w:rPr>
        <w:t xml:space="preserve"> (PWSPD) program, including </w:t>
      </w:r>
      <w:r w:rsidR="00230C3D" w:rsidRPr="00C64817">
        <w:rPr>
          <w:rFonts w:eastAsia="Times New Roman" w:cstheme="minorHAnsi"/>
          <w:color w:val="auto"/>
        </w:rPr>
        <w:t xml:space="preserve">support for </w:t>
      </w:r>
      <w:r w:rsidRPr="00C64817">
        <w:rPr>
          <w:rFonts w:eastAsia="Times New Roman" w:cstheme="minorHAnsi"/>
          <w:color w:val="auto"/>
        </w:rPr>
        <w:t>the</w:t>
      </w:r>
      <w:r w:rsidR="0024126E" w:rsidRPr="00C64817">
        <w:rPr>
          <w:rFonts w:eastAsia="Times New Roman" w:cstheme="minorHAnsi"/>
          <w:color w:val="auto"/>
        </w:rPr>
        <w:t xml:space="preserve"> </w:t>
      </w:r>
      <w:r w:rsidR="00B9217B" w:rsidRPr="00C64817">
        <w:rPr>
          <w:rFonts w:eastAsia="Times New Roman" w:cstheme="minorHAnsi"/>
          <w:color w:val="auto"/>
        </w:rPr>
        <w:t>essential</w:t>
      </w:r>
      <w:r w:rsidR="0024126E" w:rsidRPr="00C64817">
        <w:rPr>
          <w:rFonts w:eastAsia="Times New Roman" w:cstheme="minorHAnsi"/>
          <w:color w:val="auto"/>
        </w:rPr>
        <w:t xml:space="preserve"> </w:t>
      </w:r>
      <w:r w:rsidR="004E31A1" w:rsidRPr="00C64817">
        <w:rPr>
          <w:rFonts w:eastAsia="Times New Roman" w:cstheme="minorHAnsi"/>
          <w:color w:val="auto"/>
        </w:rPr>
        <w:t xml:space="preserve">and life-saving </w:t>
      </w:r>
      <w:r w:rsidR="0024126E" w:rsidRPr="00C64817">
        <w:rPr>
          <w:rFonts w:eastAsia="Times New Roman" w:cstheme="minorHAnsi"/>
          <w:color w:val="auto"/>
        </w:rPr>
        <w:t>service</w:t>
      </w:r>
      <w:r w:rsidR="00230C3D" w:rsidRPr="00C64817">
        <w:rPr>
          <w:rFonts w:eastAsia="Times New Roman" w:cstheme="minorHAnsi"/>
          <w:color w:val="auto"/>
        </w:rPr>
        <w:t xml:space="preserve"> </w:t>
      </w:r>
      <w:r w:rsidR="00230C3D" w:rsidRPr="00AF4C5D">
        <w:rPr>
          <w:rFonts w:eastAsia="Times New Roman" w:cstheme="minorHAnsi"/>
          <w:color w:val="auto"/>
        </w:rPr>
        <w:t>delivery of crisis centres</w:t>
      </w:r>
      <w:r w:rsidR="00C30EFE" w:rsidRPr="00FB051D">
        <w:rPr>
          <w:rFonts w:eastAsia="Times New Roman" w:cstheme="minorHAnsi"/>
          <w:color w:val="auto"/>
        </w:rPr>
        <w:t xml:space="preserve">, </w:t>
      </w:r>
      <w:r w:rsidR="00230C3D" w:rsidRPr="00FB051D">
        <w:rPr>
          <w:rFonts w:eastAsia="Times New Roman" w:cstheme="minorHAnsi"/>
          <w:color w:val="auto"/>
        </w:rPr>
        <w:t xml:space="preserve">the </w:t>
      </w:r>
      <w:r w:rsidRPr="00FB051D">
        <w:rPr>
          <w:rFonts w:eastAsia="Times New Roman" w:cstheme="minorHAnsi"/>
          <w:color w:val="auto"/>
        </w:rPr>
        <w:t>Pacific Partnership to End Violence Against Women</w:t>
      </w:r>
      <w:r w:rsidR="00B9217B" w:rsidRPr="00FB051D">
        <w:rPr>
          <w:rFonts w:eastAsia="Times New Roman" w:cstheme="minorHAnsi"/>
          <w:color w:val="auto"/>
        </w:rPr>
        <w:t xml:space="preserve"> (which</w:t>
      </w:r>
      <w:r w:rsidR="0024126E" w:rsidRPr="0093647F">
        <w:rPr>
          <w:rFonts w:eastAsia="Times New Roman" w:cstheme="minorHAnsi"/>
          <w:b/>
          <w:bCs/>
          <w:color w:val="auto"/>
        </w:rPr>
        <w:t xml:space="preserve"> </w:t>
      </w:r>
      <w:r w:rsidR="00B9217B" w:rsidRPr="00C313F7">
        <w:rPr>
          <w:rFonts w:cstheme="minorHAnsi"/>
          <w:color w:val="auto"/>
        </w:rPr>
        <w:t>p</w:t>
      </w:r>
      <w:r w:rsidR="00517995" w:rsidRPr="00C313F7">
        <w:rPr>
          <w:rFonts w:cstheme="minorHAnsi"/>
          <w:color w:val="auto"/>
        </w:rPr>
        <w:t>romot</w:t>
      </w:r>
      <w:r w:rsidR="00B9217B" w:rsidRPr="00C313F7">
        <w:rPr>
          <w:rFonts w:cstheme="minorHAnsi"/>
          <w:color w:val="auto"/>
        </w:rPr>
        <w:t>es</w:t>
      </w:r>
      <w:r w:rsidR="00517995" w:rsidRPr="00C313F7">
        <w:rPr>
          <w:rFonts w:cstheme="minorHAnsi"/>
          <w:color w:val="auto"/>
        </w:rPr>
        <w:t xml:space="preserve"> gender equality and reducing violence against women and girls across communities and nations in the Pacific</w:t>
      </w:r>
      <w:r w:rsidR="00B9217B" w:rsidRPr="00C313F7">
        <w:rPr>
          <w:rFonts w:cstheme="minorHAnsi"/>
          <w:color w:val="auto"/>
        </w:rPr>
        <w:t>)</w:t>
      </w:r>
      <w:r w:rsidR="00517995" w:rsidRPr="00AF4C5D" w:rsidDel="00B12D70">
        <w:rPr>
          <w:rFonts w:eastAsia="Times New Roman" w:cstheme="minorHAnsi"/>
          <w:color w:val="auto"/>
        </w:rPr>
        <w:t xml:space="preserve"> </w:t>
      </w:r>
      <w:r w:rsidR="00E20866" w:rsidRPr="00FB051D">
        <w:rPr>
          <w:rFonts w:eastAsia="Times New Roman" w:cstheme="minorHAnsi"/>
          <w:color w:val="auto"/>
        </w:rPr>
        <w:t xml:space="preserve">and current health and economic empowerment programs that will help deliver </w:t>
      </w:r>
      <w:r w:rsidR="002A7A63" w:rsidRPr="00FB051D">
        <w:rPr>
          <w:rFonts w:eastAsia="Times New Roman" w:cstheme="minorHAnsi"/>
          <w:color w:val="auto"/>
        </w:rPr>
        <w:t>on the goal outcomes.</w:t>
      </w:r>
    </w:p>
    <w:p w14:paraId="6091A522" w14:textId="2FFC2C5E" w:rsidR="00C30EFE" w:rsidRDefault="00C30EFE" w:rsidP="004E31A1">
      <w:pPr>
        <w:pStyle w:val="ListParagraph"/>
        <w:numPr>
          <w:ilvl w:val="0"/>
          <w:numId w:val="71"/>
        </w:numPr>
        <w:suppressAutoHyphens w:val="0"/>
        <w:spacing w:before="0" w:after="0" w:line="240" w:lineRule="auto"/>
        <w:rPr>
          <w:rFonts w:eastAsia="Times New Roman" w:cstheme="minorHAnsi"/>
          <w:color w:val="auto"/>
        </w:rPr>
      </w:pPr>
      <w:r w:rsidRPr="00C64817">
        <w:rPr>
          <w:rFonts w:eastAsia="Times New Roman" w:cstheme="minorHAnsi"/>
          <w:color w:val="auto"/>
        </w:rPr>
        <w:t>This</w:t>
      </w:r>
      <w:r w:rsidR="00124E3E" w:rsidRPr="00C64817">
        <w:rPr>
          <w:rFonts w:eastAsia="Times New Roman" w:cstheme="minorHAnsi"/>
          <w:color w:val="auto"/>
        </w:rPr>
        <w:t xml:space="preserve"> outcome</w:t>
      </w:r>
      <w:r w:rsidR="001A5E06" w:rsidRPr="00C64817">
        <w:rPr>
          <w:rFonts w:eastAsia="Times New Roman" w:cstheme="minorHAnsi"/>
          <w:color w:val="auto"/>
        </w:rPr>
        <w:t xml:space="preserve"> will provide the opportunity to </w:t>
      </w:r>
      <w:r w:rsidR="002A7A63" w:rsidRPr="00C64817">
        <w:rPr>
          <w:rFonts w:eastAsia="Times New Roman" w:cstheme="minorHAnsi"/>
          <w:color w:val="auto"/>
        </w:rPr>
        <w:t xml:space="preserve">develop new work in the areas of health, including the strong focus on </w:t>
      </w:r>
      <w:r w:rsidR="00BD49A1" w:rsidRPr="00C64817">
        <w:rPr>
          <w:rFonts w:eastAsia="Times New Roman" w:cstheme="minorHAnsi"/>
          <w:color w:val="auto"/>
        </w:rPr>
        <w:t>sexual and reproductive health, including menstrual health,</w:t>
      </w:r>
      <w:r w:rsidR="00C353D0" w:rsidRPr="00C64817">
        <w:rPr>
          <w:rFonts w:eastAsia="Times New Roman" w:cstheme="minorHAnsi"/>
          <w:color w:val="auto"/>
        </w:rPr>
        <w:t xml:space="preserve"> COVID </w:t>
      </w:r>
      <w:r w:rsidR="005F760F" w:rsidRPr="00C64817">
        <w:rPr>
          <w:rFonts w:eastAsia="Times New Roman" w:cstheme="minorHAnsi"/>
          <w:color w:val="auto"/>
        </w:rPr>
        <w:t>recovery and improving economic opportunities for women.</w:t>
      </w:r>
      <w:r w:rsidR="0025147A" w:rsidRPr="00C64817">
        <w:rPr>
          <w:rFonts w:eastAsia="Times New Roman" w:cstheme="minorHAnsi"/>
          <w:color w:val="auto"/>
        </w:rPr>
        <w:t xml:space="preserve"> </w:t>
      </w:r>
    </w:p>
    <w:p w14:paraId="783EDBF3" w14:textId="5084F89F" w:rsidR="001448D8" w:rsidRPr="00C64817" w:rsidRDefault="00A1543A" w:rsidP="004E31A1">
      <w:pPr>
        <w:pStyle w:val="ListParagraph"/>
        <w:numPr>
          <w:ilvl w:val="0"/>
          <w:numId w:val="71"/>
        </w:numPr>
        <w:suppressAutoHyphens w:val="0"/>
        <w:spacing w:before="0" w:after="0" w:line="240" w:lineRule="auto"/>
        <w:rPr>
          <w:rFonts w:eastAsia="Times New Roman" w:cstheme="minorHAnsi"/>
          <w:color w:val="auto"/>
        </w:rPr>
      </w:pPr>
      <w:r>
        <w:rPr>
          <w:rFonts w:eastAsia="Times New Roman" w:cstheme="minorHAnsi"/>
          <w:color w:val="auto"/>
        </w:rPr>
        <w:t>Gender</w:t>
      </w:r>
      <w:r w:rsidR="001448D8">
        <w:rPr>
          <w:rFonts w:eastAsia="Times New Roman" w:cstheme="minorHAnsi"/>
          <w:color w:val="auto"/>
        </w:rPr>
        <w:t xml:space="preserve"> and sexual and reproducti</w:t>
      </w:r>
      <w:r w:rsidR="00CA53DD">
        <w:rPr>
          <w:rFonts w:eastAsia="Times New Roman" w:cstheme="minorHAnsi"/>
          <w:color w:val="auto"/>
        </w:rPr>
        <w:t xml:space="preserve">ve health programs </w:t>
      </w:r>
      <w:r>
        <w:rPr>
          <w:rFonts w:eastAsia="Times New Roman" w:cstheme="minorHAnsi"/>
          <w:color w:val="auto"/>
        </w:rPr>
        <w:t xml:space="preserve">will be linked to </w:t>
      </w:r>
      <w:r w:rsidR="00CF5794">
        <w:rPr>
          <w:rFonts w:eastAsia="Times New Roman" w:cstheme="minorHAnsi"/>
          <w:color w:val="auto"/>
        </w:rPr>
        <w:t xml:space="preserve">make stronger connections that introduce opportunities to </w:t>
      </w:r>
      <w:r>
        <w:rPr>
          <w:rFonts w:eastAsia="Times New Roman" w:cstheme="minorHAnsi"/>
          <w:color w:val="auto"/>
        </w:rPr>
        <w:t>expand</w:t>
      </w:r>
      <w:r w:rsidR="00CA53DD">
        <w:rPr>
          <w:rFonts w:eastAsia="Times New Roman" w:cstheme="minorHAnsi"/>
          <w:color w:val="auto"/>
        </w:rPr>
        <w:t xml:space="preserve"> access to quality sexual and reproductive health services. </w:t>
      </w:r>
    </w:p>
    <w:p w14:paraId="726F6EE6" w14:textId="1E648627" w:rsidR="00124E3E" w:rsidRPr="00B555C7" w:rsidRDefault="00124E3E" w:rsidP="00124E3E">
      <w:pPr>
        <w:pStyle w:val="ListParagraph"/>
        <w:numPr>
          <w:ilvl w:val="0"/>
          <w:numId w:val="71"/>
        </w:numPr>
        <w:suppressAutoHyphens w:val="0"/>
        <w:spacing w:before="0" w:after="0" w:line="240" w:lineRule="auto"/>
        <w:rPr>
          <w:rFonts w:eastAsia="Times New Roman" w:cstheme="minorHAnsi"/>
          <w:color w:val="auto"/>
        </w:rPr>
      </w:pPr>
      <w:r w:rsidRPr="00B555C7">
        <w:rPr>
          <w:rFonts w:cstheme="minorHAnsi"/>
          <w:color w:val="auto"/>
        </w:rPr>
        <w:t>SPC’s Human Rights and Social Development (HRSD) Division</w:t>
      </w:r>
      <w:r w:rsidR="00CA53DD">
        <w:rPr>
          <w:rFonts w:cstheme="minorHAnsi"/>
          <w:color w:val="auto"/>
        </w:rPr>
        <w:t xml:space="preserve"> has a focus on human rights and gender</w:t>
      </w:r>
      <w:r w:rsidR="00FB047F">
        <w:rPr>
          <w:rFonts w:cstheme="minorHAnsi"/>
          <w:color w:val="auto"/>
        </w:rPr>
        <w:t xml:space="preserve">. Support for the </w:t>
      </w:r>
      <w:r w:rsidRPr="00B555C7">
        <w:rPr>
          <w:rFonts w:cstheme="minorHAnsi"/>
          <w:color w:val="auto"/>
        </w:rPr>
        <w:t>HRSD Business Plan</w:t>
      </w:r>
      <w:r w:rsidR="00FB047F">
        <w:rPr>
          <w:rFonts w:cstheme="minorHAnsi"/>
          <w:color w:val="auto"/>
        </w:rPr>
        <w:t xml:space="preserve"> </w:t>
      </w:r>
      <w:r w:rsidRPr="00B555C7">
        <w:rPr>
          <w:rFonts w:cstheme="minorHAnsi"/>
          <w:color w:val="auto"/>
        </w:rPr>
        <w:t xml:space="preserve">will be explored through the life of </w:t>
      </w:r>
      <w:r w:rsidRPr="00B555C7">
        <w:rPr>
          <w:rFonts w:cstheme="minorHAnsi"/>
          <w:i/>
          <w:iCs/>
          <w:color w:val="auto"/>
        </w:rPr>
        <w:t>Pacific Women Lead</w:t>
      </w:r>
      <w:r w:rsidR="00FB047F">
        <w:rPr>
          <w:rFonts w:cstheme="minorHAnsi"/>
          <w:color w:val="auto"/>
        </w:rPr>
        <w:t xml:space="preserve"> through annual planning and program development. </w:t>
      </w:r>
    </w:p>
    <w:p w14:paraId="5CA386E2" w14:textId="77777777" w:rsidR="002D5670" w:rsidRPr="00C64817" w:rsidRDefault="002D5670" w:rsidP="00C64817">
      <w:pPr>
        <w:suppressAutoHyphens w:val="0"/>
        <w:spacing w:before="0" w:after="0" w:line="240" w:lineRule="auto"/>
        <w:rPr>
          <w:rFonts w:eastAsia="Times New Roman" w:cstheme="minorHAnsi"/>
          <w:color w:val="auto"/>
        </w:rPr>
      </w:pPr>
    </w:p>
    <w:p w14:paraId="748FF6F1" w14:textId="5C4BF6A1" w:rsidR="00610D34" w:rsidRPr="00407D94" w:rsidRDefault="007E1CD1" w:rsidP="002D5670">
      <w:pPr>
        <w:suppressAutoHyphens w:val="0"/>
        <w:spacing w:before="0" w:after="0" w:line="240" w:lineRule="auto"/>
        <w:rPr>
          <w:rFonts w:eastAsia="Times New Roman" w:cstheme="minorHAnsi"/>
          <w:b/>
          <w:bCs/>
          <w:color w:val="auto"/>
        </w:rPr>
      </w:pPr>
      <w:r w:rsidRPr="00C64817">
        <w:rPr>
          <w:rFonts w:cstheme="minorHAnsi"/>
          <w:color w:val="auto"/>
          <w:lang w:eastAsia="en-AU"/>
        </w:rPr>
        <w:t>4.12</w:t>
      </w:r>
      <w:r w:rsidRPr="00C64817">
        <w:rPr>
          <w:rFonts w:cstheme="minorHAnsi"/>
          <w:color w:val="auto"/>
          <w:lang w:eastAsia="en-AU"/>
        </w:rPr>
        <w:tab/>
      </w:r>
      <w:r w:rsidR="00AF4C5D">
        <w:rPr>
          <w:rFonts w:cstheme="minorHAnsi"/>
          <w:b/>
          <w:bCs/>
          <w:color w:val="auto"/>
          <w:lang w:eastAsia="en-AU"/>
        </w:rPr>
        <w:t>Pacific r</w:t>
      </w:r>
      <w:r w:rsidR="00610D34" w:rsidRPr="00C64817">
        <w:rPr>
          <w:rFonts w:cstheme="minorHAnsi"/>
          <w:b/>
          <w:bCs/>
          <w:color w:val="auto"/>
          <w:lang w:eastAsia="en-AU"/>
        </w:rPr>
        <w:t xml:space="preserve">egional </w:t>
      </w:r>
      <w:r w:rsidR="00610D34" w:rsidRPr="00C64817">
        <w:rPr>
          <w:rFonts w:eastAsia="Calibri" w:cstheme="minorHAnsi"/>
          <w:b/>
          <w:bCs/>
          <w:color w:val="auto"/>
        </w:rPr>
        <w:t xml:space="preserve">partners increase </w:t>
      </w:r>
      <w:r w:rsidR="00F12C68">
        <w:rPr>
          <w:rFonts w:eastAsia="Calibri" w:cstheme="minorHAnsi"/>
          <w:b/>
          <w:bCs/>
          <w:color w:val="auto"/>
        </w:rPr>
        <w:t xml:space="preserve">the </w:t>
      </w:r>
      <w:r w:rsidR="00610D34" w:rsidRPr="00C64817">
        <w:rPr>
          <w:rFonts w:eastAsia="Calibri" w:cstheme="minorHAnsi"/>
          <w:b/>
          <w:bCs/>
          <w:color w:val="auto"/>
        </w:rPr>
        <w:t>effectiveness of regional gender equality efforts</w:t>
      </w:r>
      <w:r w:rsidR="00EE7E76" w:rsidRPr="00407D94">
        <w:rPr>
          <w:rFonts w:eastAsia="Times New Roman" w:cstheme="minorHAnsi"/>
          <w:b/>
          <w:bCs/>
          <w:color w:val="auto"/>
        </w:rPr>
        <w:t>:</w:t>
      </w:r>
    </w:p>
    <w:p w14:paraId="2FD6A91D" w14:textId="5A5E5836" w:rsidR="0073050B" w:rsidRPr="00B555C7" w:rsidRDefault="00EE7E76" w:rsidP="00C64817">
      <w:pPr>
        <w:pStyle w:val="ListParagraph"/>
        <w:numPr>
          <w:ilvl w:val="0"/>
          <w:numId w:val="71"/>
        </w:numPr>
        <w:suppressAutoHyphens w:val="0"/>
        <w:spacing w:before="0" w:after="0" w:line="240" w:lineRule="auto"/>
        <w:rPr>
          <w:rFonts w:cstheme="minorHAnsi"/>
          <w:color w:val="auto"/>
        </w:rPr>
      </w:pPr>
      <w:r w:rsidRPr="00B555C7">
        <w:rPr>
          <w:rFonts w:cstheme="minorHAnsi"/>
          <w:color w:val="auto"/>
        </w:rPr>
        <w:t xml:space="preserve">Unlike the first two outcomes, which will largely be </w:t>
      </w:r>
      <w:r w:rsidR="002A3BE2" w:rsidRPr="00B555C7">
        <w:rPr>
          <w:rFonts w:cstheme="minorHAnsi"/>
          <w:color w:val="auto"/>
        </w:rPr>
        <w:t xml:space="preserve">progressed through direct investment of program funds into discrete activities, this outcome will be </w:t>
      </w:r>
      <w:r w:rsidR="00A943B0" w:rsidRPr="00B555C7">
        <w:rPr>
          <w:rFonts w:cstheme="minorHAnsi"/>
          <w:color w:val="auto"/>
        </w:rPr>
        <w:t xml:space="preserve">addressed through </w:t>
      </w:r>
      <w:r w:rsidR="009232D0">
        <w:rPr>
          <w:rFonts w:cstheme="minorHAnsi"/>
          <w:color w:val="auto"/>
        </w:rPr>
        <w:t>existing and new partnership arran</w:t>
      </w:r>
      <w:r w:rsidR="00F12C68">
        <w:rPr>
          <w:rFonts w:cstheme="minorHAnsi"/>
          <w:color w:val="auto"/>
        </w:rPr>
        <w:t xml:space="preserve">gements between DFAT, SPC, PIF and </w:t>
      </w:r>
      <w:r w:rsidR="009232D0">
        <w:rPr>
          <w:rFonts w:cstheme="minorHAnsi"/>
          <w:color w:val="auto"/>
        </w:rPr>
        <w:t>regional civil society.  C</w:t>
      </w:r>
      <w:r w:rsidR="00A943B0" w:rsidRPr="00B555C7">
        <w:rPr>
          <w:rFonts w:cstheme="minorHAnsi"/>
          <w:color w:val="auto"/>
        </w:rPr>
        <w:t>ooperation</w:t>
      </w:r>
      <w:r w:rsidR="009232D0">
        <w:rPr>
          <w:rFonts w:cstheme="minorHAnsi"/>
          <w:color w:val="auto"/>
        </w:rPr>
        <w:t xml:space="preserve"> and</w:t>
      </w:r>
      <w:r w:rsidR="001B76B0">
        <w:rPr>
          <w:rFonts w:cstheme="minorHAnsi"/>
          <w:color w:val="auto"/>
        </w:rPr>
        <w:t xml:space="preserve"> </w:t>
      </w:r>
      <w:r w:rsidR="00B83A9D" w:rsidRPr="00B555C7">
        <w:rPr>
          <w:rFonts w:cstheme="minorHAnsi"/>
          <w:color w:val="auto"/>
        </w:rPr>
        <w:t xml:space="preserve">mutual sharing </w:t>
      </w:r>
      <w:r w:rsidR="009232D0">
        <w:rPr>
          <w:rFonts w:cstheme="minorHAnsi"/>
          <w:color w:val="auto"/>
        </w:rPr>
        <w:t xml:space="preserve">will enable increased opportunities to deliver gender equality. </w:t>
      </w:r>
      <w:r w:rsidR="00E10B51" w:rsidRPr="00B555C7">
        <w:rPr>
          <w:rFonts w:cstheme="minorHAnsi"/>
          <w:color w:val="auto"/>
        </w:rPr>
        <w:t xml:space="preserve">The success of this outcome will depend on the level of regional </w:t>
      </w:r>
      <w:r w:rsidR="00B555C7">
        <w:rPr>
          <w:rFonts w:cstheme="minorHAnsi"/>
          <w:color w:val="auto"/>
        </w:rPr>
        <w:t>engagement</w:t>
      </w:r>
      <w:r w:rsidR="00E10B51" w:rsidRPr="00B555C7">
        <w:rPr>
          <w:rFonts w:cstheme="minorHAnsi"/>
          <w:color w:val="auto"/>
        </w:rPr>
        <w:t xml:space="preserve"> </w:t>
      </w:r>
      <w:r w:rsidR="00F12C68">
        <w:rPr>
          <w:rFonts w:cstheme="minorHAnsi"/>
          <w:color w:val="auto"/>
        </w:rPr>
        <w:t xml:space="preserve">and collaboration </w:t>
      </w:r>
      <w:r w:rsidR="00E10B51" w:rsidRPr="00B555C7">
        <w:rPr>
          <w:rFonts w:cstheme="minorHAnsi"/>
          <w:color w:val="auto"/>
        </w:rPr>
        <w:t xml:space="preserve">through both </w:t>
      </w:r>
      <w:r w:rsidR="001B76B0">
        <w:rPr>
          <w:rFonts w:cstheme="minorHAnsi"/>
          <w:color w:val="auto"/>
        </w:rPr>
        <w:t>the</w:t>
      </w:r>
      <w:r w:rsidR="001B76B0" w:rsidRPr="00B555C7">
        <w:rPr>
          <w:rFonts w:cstheme="minorHAnsi"/>
          <w:color w:val="auto"/>
        </w:rPr>
        <w:t xml:space="preserve"> </w:t>
      </w:r>
      <w:r w:rsidR="00E10B51" w:rsidRPr="00B555C7">
        <w:rPr>
          <w:rFonts w:cstheme="minorHAnsi"/>
          <w:color w:val="auto"/>
        </w:rPr>
        <w:t xml:space="preserve">Governance Board and </w:t>
      </w:r>
      <w:r w:rsidR="00B555C7" w:rsidRPr="00B555C7">
        <w:rPr>
          <w:rFonts w:cstheme="minorHAnsi"/>
          <w:color w:val="auto"/>
        </w:rPr>
        <w:t>impl</w:t>
      </w:r>
      <w:r w:rsidR="00B555C7">
        <w:rPr>
          <w:rFonts w:cstheme="minorHAnsi"/>
          <w:color w:val="auto"/>
        </w:rPr>
        <w:t>eme</w:t>
      </w:r>
      <w:r w:rsidR="00B555C7" w:rsidRPr="00B555C7">
        <w:rPr>
          <w:rFonts w:cstheme="minorHAnsi"/>
          <w:color w:val="auto"/>
        </w:rPr>
        <w:t>nt</w:t>
      </w:r>
      <w:r w:rsidR="009232D0">
        <w:rPr>
          <w:rFonts w:cstheme="minorHAnsi"/>
          <w:color w:val="auto"/>
        </w:rPr>
        <w:t>ing</w:t>
      </w:r>
      <w:r w:rsidR="00E10B51" w:rsidRPr="00B555C7">
        <w:rPr>
          <w:rFonts w:cstheme="minorHAnsi"/>
          <w:color w:val="auto"/>
        </w:rPr>
        <w:t xml:space="preserve"> </w:t>
      </w:r>
      <w:r w:rsidR="009232D0">
        <w:rPr>
          <w:rFonts w:cstheme="minorHAnsi"/>
          <w:color w:val="auto"/>
        </w:rPr>
        <w:t>partners</w:t>
      </w:r>
      <w:r w:rsidR="00E10B51" w:rsidRPr="00B555C7">
        <w:rPr>
          <w:rFonts w:cstheme="minorHAnsi"/>
          <w:color w:val="auto"/>
        </w:rPr>
        <w:t>.</w:t>
      </w:r>
    </w:p>
    <w:p w14:paraId="246415F4" w14:textId="59B394C1" w:rsidR="00452009" w:rsidRPr="00F328DA" w:rsidRDefault="00452009" w:rsidP="00F328DA">
      <w:pPr>
        <w:pStyle w:val="Heading2"/>
        <w:rPr>
          <w:sz w:val="36"/>
          <w:szCs w:val="24"/>
          <w:lang w:eastAsia="en-AU"/>
        </w:rPr>
      </w:pPr>
      <w:bookmarkStart w:id="11" w:name="_Toc75535885"/>
      <w:r w:rsidRPr="00F328DA">
        <w:rPr>
          <w:sz w:val="36"/>
          <w:szCs w:val="24"/>
          <w:lang w:eastAsia="en-AU"/>
        </w:rPr>
        <w:t>Outputs and activities – Bilateral</w:t>
      </w:r>
      <w:bookmarkEnd w:id="11"/>
      <w:r w:rsidRPr="00F328DA">
        <w:rPr>
          <w:sz w:val="36"/>
          <w:szCs w:val="24"/>
          <w:lang w:eastAsia="en-AU"/>
        </w:rPr>
        <w:t xml:space="preserve"> </w:t>
      </w:r>
    </w:p>
    <w:p w14:paraId="00CAC6DB" w14:textId="67C9CA73" w:rsidR="00415B1F" w:rsidRPr="00C64817" w:rsidRDefault="004445AF" w:rsidP="00C64817">
      <w:pPr>
        <w:rPr>
          <w:rFonts w:eastAsia="Times New Roman" w:cstheme="minorHAnsi"/>
          <w:lang w:val="en-AU"/>
        </w:rPr>
      </w:pPr>
      <w:r w:rsidRPr="00C64817">
        <w:rPr>
          <w:rFonts w:cstheme="minorHAnsi"/>
          <w:color w:val="auto"/>
        </w:rPr>
        <w:t>4.</w:t>
      </w:r>
      <w:r w:rsidR="007E1CD1" w:rsidRPr="00C64817">
        <w:rPr>
          <w:rFonts w:cstheme="minorHAnsi"/>
          <w:color w:val="auto"/>
        </w:rPr>
        <w:t>13</w:t>
      </w:r>
      <w:r w:rsidRPr="00C64817">
        <w:rPr>
          <w:rFonts w:cstheme="minorHAnsi"/>
        </w:rPr>
        <w:tab/>
      </w:r>
      <w:r w:rsidR="00A53818" w:rsidRPr="00C64817">
        <w:rPr>
          <w:rFonts w:cstheme="minorHAnsi"/>
          <w:b/>
          <w:color w:val="auto"/>
        </w:rPr>
        <w:t xml:space="preserve">DFAT’s bilateral </w:t>
      </w:r>
      <w:r w:rsidR="1898C5EA" w:rsidRPr="00C64817">
        <w:rPr>
          <w:rFonts w:cstheme="minorHAnsi"/>
          <w:b/>
          <w:bCs/>
          <w:color w:val="auto"/>
        </w:rPr>
        <w:t xml:space="preserve">gender </w:t>
      </w:r>
      <w:r w:rsidR="00A53818" w:rsidRPr="00C64817">
        <w:rPr>
          <w:rFonts w:cstheme="minorHAnsi"/>
          <w:b/>
          <w:color w:val="auto"/>
        </w:rPr>
        <w:t>programs</w:t>
      </w:r>
      <w:r w:rsidR="00A53818" w:rsidRPr="00C64817">
        <w:rPr>
          <w:rFonts w:cstheme="minorHAnsi"/>
          <w:color w:val="auto"/>
        </w:rPr>
        <w:t xml:space="preserve"> will </w:t>
      </w:r>
      <w:r w:rsidR="003542D2">
        <w:rPr>
          <w:rFonts w:cstheme="minorHAnsi"/>
          <w:color w:val="auto"/>
        </w:rPr>
        <w:t>contribute to</w:t>
      </w:r>
      <w:r w:rsidR="003542D2" w:rsidRPr="00C64817">
        <w:rPr>
          <w:rFonts w:cstheme="minorHAnsi"/>
          <w:color w:val="auto"/>
        </w:rPr>
        <w:t xml:space="preserve"> </w:t>
      </w:r>
      <w:r w:rsidR="00CD45DF" w:rsidRPr="00C64817">
        <w:rPr>
          <w:rFonts w:cstheme="minorHAnsi"/>
          <w:color w:val="auto"/>
        </w:rPr>
        <w:t xml:space="preserve">the Goal and Outcomes of </w:t>
      </w:r>
      <w:r w:rsidR="00CD45DF" w:rsidRPr="00C64817">
        <w:rPr>
          <w:rFonts w:cstheme="minorHAnsi"/>
          <w:i/>
          <w:color w:val="auto"/>
        </w:rPr>
        <w:t>Pacific Women Lead</w:t>
      </w:r>
      <w:r w:rsidR="00CD45DF" w:rsidRPr="00C64817">
        <w:rPr>
          <w:rFonts w:cstheme="minorHAnsi"/>
          <w:color w:val="auto"/>
        </w:rPr>
        <w:t xml:space="preserve">, </w:t>
      </w:r>
      <w:r w:rsidR="1208A7A0" w:rsidRPr="00C64817">
        <w:rPr>
          <w:rFonts w:cstheme="minorHAnsi"/>
          <w:color w:val="auto"/>
        </w:rPr>
        <w:t>particularly in relation to women’s leadership (Outcome One) and realising women’s rights (Outcome Two)</w:t>
      </w:r>
      <w:r w:rsidR="0C26435E" w:rsidRPr="00C64817">
        <w:rPr>
          <w:rFonts w:cstheme="minorHAnsi"/>
          <w:color w:val="auto"/>
        </w:rPr>
        <w:t xml:space="preserve">.  </w:t>
      </w:r>
      <w:r w:rsidR="7201A3E2" w:rsidRPr="00C64817">
        <w:rPr>
          <w:rFonts w:cstheme="minorHAnsi"/>
          <w:color w:val="auto"/>
        </w:rPr>
        <w:t xml:space="preserve">In the area of </w:t>
      </w:r>
      <w:proofErr w:type="gramStart"/>
      <w:r w:rsidR="7201A3E2" w:rsidRPr="00C64817">
        <w:rPr>
          <w:rFonts w:cstheme="minorHAnsi"/>
          <w:color w:val="auto"/>
        </w:rPr>
        <w:t>women‘</w:t>
      </w:r>
      <w:proofErr w:type="gramEnd"/>
      <w:r w:rsidR="7201A3E2" w:rsidRPr="00C64817">
        <w:rPr>
          <w:rFonts w:cstheme="minorHAnsi"/>
          <w:color w:val="auto"/>
        </w:rPr>
        <w:t>s health, it is expected that Pacific Women Lead will support regional activities</w:t>
      </w:r>
      <w:r w:rsidR="00197771">
        <w:rPr>
          <w:rFonts w:cstheme="minorHAnsi"/>
          <w:color w:val="auto"/>
        </w:rPr>
        <w:t xml:space="preserve"> </w:t>
      </w:r>
      <w:r w:rsidR="2A61BED9" w:rsidRPr="00C64817">
        <w:rPr>
          <w:rFonts w:cstheme="minorHAnsi"/>
          <w:color w:val="auto"/>
        </w:rPr>
        <w:t>f</w:t>
      </w:r>
      <w:r w:rsidR="7201A3E2" w:rsidRPr="00C64817">
        <w:rPr>
          <w:rFonts w:cstheme="minorHAnsi"/>
          <w:color w:val="auto"/>
        </w:rPr>
        <w:t>ocused on sexual and reproductive health, or menstrual hygiene</w:t>
      </w:r>
      <w:r w:rsidR="009232D0">
        <w:rPr>
          <w:rFonts w:cstheme="minorHAnsi"/>
          <w:color w:val="auto"/>
        </w:rPr>
        <w:t xml:space="preserve">. </w:t>
      </w:r>
      <w:r w:rsidR="1E0C6182" w:rsidRPr="00C64817">
        <w:rPr>
          <w:rFonts w:cstheme="minorHAnsi"/>
          <w:color w:val="auto"/>
        </w:rPr>
        <w:t xml:space="preserve"> DFAT’s existing bilateral health programs</w:t>
      </w:r>
      <w:r w:rsidR="01E9F4AF" w:rsidRPr="00C64817">
        <w:rPr>
          <w:rFonts w:cstheme="minorHAnsi"/>
          <w:color w:val="auto"/>
        </w:rPr>
        <w:t>,</w:t>
      </w:r>
      <w:r w:rsidR="1E0C6182" w:rsidRPr="00C64817">
        <w:rPr>
          <w:rFonts w:cstheme="minorHAnsi"/>
          <w:color w:val="auto"/>
        </w:rPr>
        <w:t xml:space="preserve"> will </w:t>
      </w:r>
      <w:r w:rsidR="007E6718">
        <w:rPr>
          <w:rFonts w:cstheme="minorHAnsi"/>
          <w:color w:val="auto"/>
        </w:rPr>
        <w:t xml:space="preserve">continue to </w:t>
      </w:r>
      <w:r w:rsidR="1E0C6182" w:rsidRPr="00C64817">
        <w:rPr>
          <w:rFonts w:cstheme="minorHAnsi"/>
          <w:color w:val="auto"/>
        </w:rPr>
        <w:t xml:space="preserve">respond to issues around </w:t>
      </w:r>
      <w:proofErr w:type="gramStart"/>
      <w:r w:rsidR="1E0C6182" w:rsidRPr="00C64817">
        <w:rPr>
          <w:rFonts w:cstheme="minorHAnsi"/>
          <w:color w:val="auto"/>
        </w:rPr>
        <w:t>women‘</w:t>
      </w:r>
      <w:proofErr w:type="gramEnd"/>
      <w:r w:rsidR="1E0C6182" w:rsidRPr="00C64817">
        <w:rPr>
          <w:rFonts w:cstheme="minorHAnsi"/>
          <w:color w:val="auto"/>
        </w:rPr>
        <w:t xml:space="preserve">s health through DFAT bilateral COVID-19 </w:t>
      </w:r>
      <w:r w:rsidR="28E55F98" w:rsidRPr="00C64817">
        <w:rPr>
          <w:rFonts w:cstheme="minorHAnsi"/>
          <w:color w:val="auto"/>
        </w:rPr>
        <w:t>Response Plans</w:t>
      </w:r>
      <w:r w:rsidR="007E6718">
        <w:rPr>
          <w:rFonts w:cstheme="minorHAnsi"/>
          <w:color w:val="auto"/>
        </w:rPr>
        <w:t xml:space="preserve"> and are not expected to be linked to Pacific Women Lead</w:t>
      </w:r>
      <w:r w:rsidR="003542D2">
        <w:rPr>
          <w:rFonts w:cstheme="minorHAnsi"/>
          <w:color w:val="auto"/>
        </w:rPr>
        <w:t xml:space="preserve">. </w:t>
      </w:r>
    </w:p>
    <w:p w14:paraId="50D28B4E" w14:textId="43688A46" w:rsidR="00415B1F" w:rsidRPr="007E6718" w:rsidRDefault="007E1CD1" w:rsidP="1ED51411">
      <w:pPr>
        <w:spacing w:before="0" w:after="160" w:line="256" w:lineRule="auto"/>
        <w:rPr>
          <w:rFonts w:cstheme="minorHAnsi"/>
          <w:color w:val="auto"/>
        </w:rPr>
      </w:pPr>
      <w:r w:rsidRPr="00C64817">
        <w:rPr>
          <w:rFonts w:cstheme="minorHAnsi"/>
          <w:color w:val="auto"/>
        </w:rPr>
        <w:t>4.14</w:t>
      </w:r>
      <w:r w:rsidRPr="00C64817">
        <w:rPr>
          <w:rFonts w:cstheme="minorHAnsi"/>
          <w:color w:val="auto"/>
        </w:rPr>
        <w:tab/>
      </w:r>
      <w:r w:rsidR="59C294E9" w:rsidRPr="00C64817">
        <w:rPr>
          <w:rFonts w:cstheme="minorHAnsi"/>
          <w:color w:val="auto"/>
        </w:rPr>
        <w:t xml:space="preserve">Country-level investments that support gender equality </w:t>
      </w:r>
      <w:r w:rsidR="007E6718">
        <w:rPr>
          <w:rFonts w:cstheme="minorHAnsi"/>
          <w:color w:val="auto"/>
        </w:rPr>
        <w:t xml:space="preserve">through </w:t>
      </w:r>
      <w:r w:rsidR="59C294E9" w:rsidRPr="00C64817">
        <w:rPr>
          <w:rFonts w:cstheme="minorHAnsi"/>
          <w:color w:val="auto"/>
        </w:rPr>
        <w:t>DFAT’s bilateral gender programs will generally be directly funded, implemented, and managed by country programs separate to Pacific Women Lead, but with Pacific Women Lead providing a cohesive strategic framework</w:t>
      </w:r>
      <w:r w:rsidR="007E6718">
        <w:rPr>
          <w:rFonts w:cstheme="minorHAnsi"/>
          <w:color w:val="auto"/>
        </w:rPr>
        <w:t>, including links to a regional theory of change</w:t>
      </w:r>
      <w:r w:rsidR="007E6718" w:rsidRPr="00C64817">
        <w:rPr>
          <w:rFonts w:cstheme="minorHAnsi"/>
          <w:color w:val="auto"/>
        </w:rPr>
        <w:t xml:space="preserve"> </w:t>
      </w:r>
      <w:r w:rsidR="007E6718">
        <w:rPr>
          <w:rFonts w:cstheme="minorHAnsi"/>
          <w:color w:val="auto"/>
        </w:rPr>
        <w:t xml:space="preserve"> and performance framework</w:t>
      </w:r>
      <w:r w:rsidR="59C294E9" w:rsidRPr="00C64817">
        <w:rPr>
          <w:rFonts w:cstheme="minorHAnsi"/>
          <w:color w:val="auto"/>
        </w:rPr>
        <w:t xml:space="preserve">. </w:t>
      </w:r>
      <w:r w:rsidR="59C294E9" w:rsidRPr="00C313F7">
        <w:rPr>
          <w:rFonts w:cstheme="minorHAnsi"/>
          <w:color w:val="auto"/>
        </w:rPr>
        <w:t>In the case of DFAT bilateral programs in smaller Pacific countries (Kiribati, Nauru, Tuvalu, Federated States of Micronesia, Republic of Marshall Islands, Palau and Niue), Pacific Women Lead will provide direct country-level support for grants management, technical assistance, monitoring and reporting, through either SPC or a managing contractor.  Larger bilateral programs have agreed to either manage programs directly or have developed (or are in the process of developing) resource facilities or platforms to deliver programming.</w:t>
      </w:r>
    </w:p>
    <w:p w14:paraId="1439F9DB" w14:textId="042626BD" w:rsidR="00415B1F" w:rsidRDefault="007E1CD1" w:rsidP="094CF1D8">
      <w:pPr>
        <w:spacing w:before="0" w:after="160" w:line="256" w:lineRule="auto"/>
        <w:rPr>
          <w:rFonts w:cstheme="minorHAnsi"/>
          <w:color w:val="auto"/>
        </w:rPr>
      </w:pPr>
      <w:r w:rsidRPr="00C313F7">
        <w:rPr>
          <w:rFonts w:cstheme="minorHAnsi"/>
          <w:color w:val="auto"/>
        </w:rPr>
        <w:t>4.15</w:t>
      </w:r>
      <w:r w:rsidRPr="00C313F7">
        <w:rPr>
          <w:rFonts w:cstheme="minorHAnsi"/>
          <w:color w:val="auto"/>
        </w:rPr>
        <w:tab/>
      </w:r>
      <w:r w:rsidR="1C363053" w:rsidRPr="00C313F7">
        <w:rPr>
          <w:rFonts w:cstheme="minorHAnsi"/>
          <w:color w:val="auto"/>
        </w:rPr>
        <w:t xml:space="preserve">Bilateral gender programs are expected to maintain a similar level of funding as provided under Pacific Women </w:t>
      </w:r>
      <w:r w:rsidR="007E6718">
        <w:rPr>
          <w:rFonts w:cstheme="minorHAnsi"/>
          <w:color w:val="auto"/>
        </w:rPr>
        <w:t xml:space="preserve">Shaping Pacific Development </w:t>
      </w:r>
      <w:r w:rsidR="1C363053" w:rsidRPr="00C313F7">
        <w:rPr>
          <w:rFonts w:cstheme="minorHAnsi"/>
          <w:color w:val="auto"/>
        </w:rPr>
        <w:t xml:space="preserve">and continue to deliver critical services, particularly crisis services for women and girls experiencing violence.  This is in line with the six-year evaluation of Pacific Women and the </w:t>
      </w:r>
      <w:r w:rsidR="1C363053" w:rsidRPr="00C313F7">
        <w:rPr>
          <w:rFonts w:cstheme="minorHAnsi"/>
          <w:color w:val="auto"/>
        </w:rPr>
        <w:lastRenderedPageBreak/>
        <w:t xml:space="preserve">2019 Office of Development Effectiveness evaluation ‘Ending Violence against women and girls: Evaluating a decade of Australia’s development assistance’. </w:t>
      </w:r>
    </w:p>
    <w:p w14:paraId="7A48A3D0" w14:textId="3C29B3F3" w:rsidR="001B76B0" w:rsidRPr="00777368" w:rsidRDefault="001B76B0" w:rsidP="00C313F7">
      <w:pPr>
        <w:spacing w:before="0" w:after="160" w:line="256" w:lineRule="auto"/>
        <w:rPr>
          <w:rFonts w:cstheme="minorHAnsi"/>
          <w:color w:val="auto"/>
        </w:rPr>
      </w:pPr>
      <w:r>
        <w:rPr>
          <w:rFonts w:cstheme="minorHAnsi"/>
          <w:color w:val="auto"/>
        </w:rPr>
        <w:t xml:space="preserve">4.16 </w:t>
      </w:r>
      <w:r>
        <w:rPr>
          <w:rFonts w:cstheme="minorHAnsi"/>
          <w:color w:val="auto"/>
        </w:rPr>
        <w:tab/>
      </w:r>
      <w:r w:rsidRPr="00777368">
        <w:rPr>
          <w:rFonts w:cstheme="minorHAnsi"/>
          <w:color w:val="auto"/>
        </w:rPr>
        <w:t xml:space="preserve">Bilateral investments </w:t>
      </w:r>
      <w:r>
        <w:rPr>
          <w:rFonts w:cstheme="minorHAnsi"/>
          <w:color w:val="auto"/>
        </w:rPr>
        <w:t>will be</w:t>
      </w:r>
      <w:r w:rsidR="00F12C68">
        <w:rPr>
          <w:rFonts w:cstheme="minorHAnsi"/>
          <w:color w:val="auto"/>
        </w:rPr>
        <w:t xml:space="preserve"> </w:t>
      </w:r>
      <w:r w:rsidRPr="00777368">
        <w:rPr>
          <w:rFonts w:cstheme="minorHAnsi"/>
          <w:color w:val="auto"/>
        </w:rPr>
        <w:t>tailored to the country context</w:t>
      </w:r>
      <w:r>
        <w:rPr>
          <w:rFonts w:cstheme="minorHAnsi"/>
          <w:color w:val="auto"/>
        </w:rPr>
        <w:t xml:space="preserve"> and </w:t>
      </w:r>
      <w:r w:rsidRPr="00777368">
        <w:rPr>
          <w:rFonts w:cstheme="minorHAnsi"/>
          <w:color w:val="auto"/>
        </w:rPr>
        <w:t xml:space="preserve">aligned with national priorities. Programming should take forward relevant recommendations of the </w:t>
      </w:r>
      <w:proofErr w:type="gramStart"/>
      <w:r w:rsidRPr="00777368">
        <w:rPr>
          <w:rFonts w:cstheme="minorHAnsi"/>
          <w:color w:val="auto"/>
        </w:rPr>
        <w:t>6 year</w:t>
      </w:r>
      <w:proofErr w:type="gramEnd"/>
      <w:r w:rsidRPr="00777368">
        <w:rPr>
          <w:rFonts w:cstheme="minorHAnsi"/>
          <w:color w:val="auto"/>
        </w:rPr>
        <w:t xml:space="preserve"> evaluation of PWSPD. DFAT bilateral programs will provide reporting on bilateral results and achievements that together with regional reporting, will give a complete view of Australia’s investments in gender equality across the Pacific region under Pacific Women Lead. Bilateral programs will also engage with the Board on mainstreaming of gender equality through the broader bilateral program e</w:t>
      </w:r>
      <w:r>
        <w:rPr>
          <w:rFonts w:cstheme="minorHAnsi"/>
          <w:color w:val="auto"/>
        </w:rPr>
        <w:t>.</w:t>
      </w:r>
      <w:r w:rsidRPr="00777368">
        <w:rPr>
          <w:rFonts w:cstheme="minorHAnsi"/>
          <w:color w:val="auto"/>
        </w:rPr>
        <w:t>g. through health, education, infrastructure sectors.   This means the Board will have a (high level) view of Australia’s entire development program in the Pacific and can make suggestions for gender mainstreaming to address any key gaps or increase impact. DFAT bilateral programs will have the opportunity on an annual basis to share their mainstreaming approach with the Governance Board, and to benefit from the strategic insights and advice of the combined expertise of the Governance Board members.</w:t>
      </w:r>
    </w:p>
    <w:p w14:paraId="510FE1DE" w14:textId="1AC4B926" w:rsidR="00DE4BA8" w:rsidRPr="00C64817" w:rsidRDefault="006E3E16" w:rsidP="00DE4BA8">
      <w:pPr>
        <w:suppressAutoHyphens w:val="0"/>
        <w:spacing w:before="0" w:after="160" w:line="256" w:lineRule="auto"/>
        <w:jc w:val="both"/>
        <w:rPr>
          <w:rFonts w:cstheme="minorHAnsi"/>
          <w:color w:val="auto"/>
        </w:rPr>
      </w:pPr>
      <w:r w:rsidRPr="00C64817">
        <w:rPr>
          <w:rFonts w:cstheme="minorHAnsi"/>
          <w:color w:val="auto"/>
        </w:rPr>
        <w:t>4.1</w:t>
      </w:r>
      <w:r w:rsidR="001B76B0">
        <w:rPr>
          <w:rFonts w:cstheme="minorHAnsi"/>
          <w:color w:val="auto"/>
        </w:rPr>
        <w:t>7</w:t>
      </w:r>
      <w:r w:rsidRPr="00C64817">
        <w:rPr>
          <w:rFonts w:cstheme="minorHAnsi"/>
          <w:color w:val="auto"/>
        </w:rPr>
        <w:tab/>
      </w:r>
      <w:r w:rsidR="00DE4BA8" w:rsidRPr="00C64817">
        <w:rPr>
          <w:rFonts w:cstheme="minorHAnsi"/>
          <w:color w:val="auto"/>
        </w:rPr>
        <w:t xml:space="preserve">A key point of strength for Pacific Women Lead will be a focus on strong linkages and complementarity between country and regional-level investments, and an overarching performance framework will capture the contribution of all DFAT-funded gender equality investments in the Pacific. </w:t>
      </w:r>
    </w:p>
    <w:p w14:paraId="0C826EA2" w14:textId="77777777" w:rsidR="00DE125A" w:rsidRPr="008A7462" w:rsidRDefault="00DE125A" w:rsidP="00DE125A">
      <w:pPr>
        <w:suppressAutoHyphens w:val="0"/>
        <w:spacing w:before="0" w:after="0" w:line="240" w:lineRule="auto"/>
        <w:rPr>
          <w:rFonts w:cstheme="minorHAnsi"/>
          <w:color w:val="auto"/>
        </w:rPr>
      </w:pPr>
    </w:p>
    <w:p w14:paraId="0864D4F9" w14:textId="7999A7C9" w:rsidR="0051672D" w:rsidRPr="00C64817" w:rsidRDefault="009F29E5" w:rsidP="0051672D">
      <w:pPr>
        <w:suppressAutoHyphens w:val="0"/>
        <w:spacing w:before="0" w:after="160" w:line="256" w:lineRule="auto"/>
        <w:jc w:val="both"/>
        <w:rPr>
          <w:rFonts w:cstheme="minorHAnsi"/>
          <w:color w:val="auto"/>
        </w:rPr>
      </w:pPr>
      <w:r w:rsidRPr="008A7462">
        <w:rPr>
          <w:rFonts w:cstheme="minorHAnsi"/>
          <w:color w:val="auto"/>
        </w:rPr>
        <w:t>4.</w:t>
      </w:r>
      <w:r w:rsidR="003836D1" w:rsidRPr="008A7462">
        <w:rPr>
          <w:rFonts w:cstheme="minorHAnsi"/>
          <w:color w:val="auto"/>
        </w:rPr>
        <w:t>1</w:t>
      </w:r>
      <w:r w:rsidR="001B76B0">
        <w:rPr>
          <w:rFonts w:cstheme="minorHAnsi"/>
          <w:color w:val="auto"/>
        </w:rPr>
        <w:t>8</w:t>
      </w:r>
      <w:r w:rsidRPr="00C64817">
        <w:rPr>
          <w:rFonts w:cstheme="minorHAnsi"/>
          <w:color w:val="auto"/>
        </w:rPr>
        <w:tab/>
      </w:r>
      <w:r w:rsidR="009F6B43" w:rsidRPr="00C64817">
        <w:rPr>
          <w:rFonts w:cstheme="minorHAnsi"/>
          <w:color w:val="auto"/>
        </w:rPr>
        <w:t xml:space="preserve">A key consideration </w:t>
      </w:r>
      <w:r w:rsidR="00D81E6A" w:rsidRPr="00C64817">
        <w:rPr>
          <w:rFonts w:cstheme="minorHAnsi"/>
          <w:color w:val="auto"/>
        </w:rPr>
        <w:t>in ongoing</w:t>
      </w:r>
      <w:r w:rsidR="009F6B43" w:rsidRPr="00C64817">
        <w:rPr>
          <w:rFonts w:cstheme="minorHAnsi"/>
          <w:color w:val="auto"/>
        </w:rPr>
        <w:t xml:space="preserve"> partnership discussions between DFAT and SPC is the extent to which</w:t>
      </w:r>
      <w:r w:rsidR="00825897" w:rsidRPr="00C64817">
        <w:rPr>
          <w:rFonts w:cstheme="minorHAnsi"/>
          <w:color w:val="auto"/>
        </w:rPr>
        <w:t xml:space="preserve"> some parts of</w:t>
      </w:r>
      <w:r w:rsidR="009F6B43" w:rsidRPr="00C64817">
        <w:rPr>
          <w:rFonts w:cstheme="minorHAnsi"/>
          <w:color w:val="auto"/>
        </w:rPr>
        <w:t xml:space="preserve"> </w:t>
      </w:r>
      <w:r w:rsidR="003D5D3A" w:rsidRPr="00C64817">
        <w:rPr>
          <w:rFonts w:cstheme="minorHAnsi"/>
          <w:i/>
          <w:iCs/>
          <w:color w:val="auto"/>
        </w:rPr>
        <w:t>Pacific Women Lead</w:t>
      </w:r>
      <w:r w:rsidR="003D5D3A" w:rsidRPr="00C64817">
        <w:rPr>
          <w:rFonts w:cstheme="minorHAnsi"/>
          <w:color w:val="auto"/>
        </w:rPr>
        <w:t xml:space="preserve"> will </w:t>
      </w:r>
      <w:r w:rsidR="00825897" w:rsidRPr="00C64817">
        <w:rPr>
          <w:rFonts w:cstheme="minorHAnsi"/>
          <w:color w:val="auto"/>
        </w:rPr>
        <w:t xml:space="preserve">be delivered through </w:t>
      </w:r>
      <w:r w:rsidR="002B45D1" w:rsidRPr="00C64817">
        <w:rPr>
          <w:rFonts w:cstheme="minorHAnsi"/>
          <w:color w:val="auto"/>
        </w:rPr>
        <w:t>provid</w:t>
      </w:r>
      <w:r w:rsidR="00825897" w:rsidRPr="00C64817">
        <w:rPr>
          <w:rFonts w:cstheme="minorHAnsi"/>
          <w:color w:val="auto"/>
        </w:rPr>
        <w:t>ing</w:t>
      </w:r>
      <w:r w:rsidR="002B45D1" w:rsidRPr="00C64817">
        <w:rPr>
          <w:rFonts w:cstheme="minorHAnsi"/>
          <w:color w:val="auto"/>
        </w:rPr>
        <w:t xml:space="preserve"> funding for implementation of relevant components of </w:t>
      </w:r>
      <w:r w:rsidR="002B45D1" w:rsidRPr="00C64817">
        <w:rPr>
          <w:rFonts w:cstheme="minorHAnsi"/>
          <w:b/>
          <w:bCs/>
          <w:color w:val="auto"/>
        </w:rPr>
        <w:t>the Business Plan for SPC’s Human Rights and Social Development (HRSD) Division</w:t>
      </w:r>
      <w:r w:rsidR="001539CC" w:rsidRPr="00C64817">
        <w:rPr>
          <w:rFonts w:cstheme="minorHAnsi"/>
          <w:color w:val="auto"/>
        </w:rPr>
        <w:t xml:space="preserve">. These </w:t>
      </w:r>
      <w:r w:rsidR="009B0B75" w:rsidRPr="00C64817">
        <w:rPr>
          <w:rFonts w:cstheme="minorHAnsi"/>
          <w:color w:val="auto"/>
        </w:rPr>
        <w:t xml:space="preserve">partnership </w:t>
      </w:r>
      <w:r w:rsidR="001539CC" w:rsidRPr="00C64817">
        <w:rPr>
          <w:rFonts w:cstheme="minorHAnsi"/>
          <w:color w:val="auto"/>
        </w:rPr>
        <w:t>discussions will continue</w:t>
      </w:r>
      <w:r w:rsidR="00D500FE" w:rsidRPr="00C64817">
        <w:rPr>
          <w:rFonts w:cstheme="minorHAnsi"/>
          <w:color w:val="auto"/>
        </w:rPr>
        <w:t xml:space="preserve"> through the transition phase</w:t>
      </w:r>
      <w:r w:rsidR="004B6A04">
        <w:rPr>
          <w:rFonts w:cstheme="minorHAnsi"/>
          <w:color w:val="auto"/>
        </w:rPr>
        <w:t xml:space="preserve"> in 2021. </w:t>
      </w:r>
    </w:p>
    <w:p w14:paraId="55793EA5" w14:textId="5AD01AE4" w:rsidR="00BF3C1E" w:rsidRPr="00F328DA" w:rsidRDefault="00BF3C1E" w:rsidP="00F328DA">
      <w:pPr>
        <w:pStyle w:val="Heading2"/>
        <w:rPr>
          <w:sz w:val="36"/>
          <w:szCs w:val="24"/>
        </w:rPr>
      </w:pPr>
      <w:bookmarkStart w:id="12" w:name="_Toc75535886"/>
      <w:r w:rsidRPr="00F328DA">
        <w:rPr>
          <w:sz w:val="36"/>
          <w:szCs w:val="24"/>
        </w:rPr>
        <w:t>Theory of Change</w:t>
      </w:r>
      <w:bookmarkEnd w:id="12"/>
    </w:p>
    <w:p w14:paraId="4D3E0639" w14:textId="39A67088" w:rsidR="003542D2" w:rsidRPr="00C64817" w:rsidRDefault="003542D2" w:rsidP="003542D2">
      <w:pPr>
        <w:suppressAutoHyphens w:val="0"/>
        <w:spacing w:before="0" w:after="160" w:line="256" w:lineRule="auto"/>
        <w:jc w:val="both"/>
        <w:rPr>
          <w:rFonts w:eastAsia="Calibri" w:cstheme="minorHAnsi"/>
          <w:color w:val="000000" w:themeColor="text1"/>
          <w:lang w:val="en-AU" w:eastAsia="en-AU"/>
        </w:rPr>
      </w:pPr>
      <w:r>
        <w:rPr>
          <w:rFonts w:eastAsia="Calibri" w:cstheme="minorHAnsi"/>
          <w:color w:val="000000" w:themeColor="text1"/>
          <w:lang w:val="en-AU" w:eastAsia="en-AU"/>
        </w:rPr>
        <w:t>4.19</w:t>
      </w:r>
      <w:r>
        <w:rPr>
          <w:rFonts w:eastAsia="Calibri" w:cstheme="minorHAnsi"/>
          <w:color w:val="000000" w:themeColor="text1"/>
          <w:lang w:val="en-AU" w:eastAsia="en-AU"/>
        </w:rPr>
        <w:tab/>
      </w:r>
      <w:r w:rsidRPr="00C64817">
        <w:rPr>
          <w:rFonts w:eastAsia="Calibri" w:cstheme="minorHAnsi"/>
          <w:color w:val="000000" w:themeColor="text1"/>
          <w:lang w:val="en-AU" w:eastAsia="en-AU"/>
        </w:rPr>
        <w:t>The pursuit of the goal, objective and outcomes will be undertaken through an approach that is:</w:t>
      </w:r>
    </w:p>
    <w:p w14:paraId="5F81940B" w14:textId="77777777" w:rsidR="003542D2" w:rsidRPr="00C64817" w:rsidRDefault="003542D2" w:rsidP="003542D2">
      <w:pPr>
        <w:pStyle w:val="ListParagraph"/>
        <w:numPr>
          <w:ilvl w:val="0"/>
          <w:numId w:val="23"/>
        </w:numPr>
        <w:suppressAutoHyphens w:val="0"/>
        <w:spacing w:before="0" w:after="160" w:line="256" w:lineRule="auto"/>
        <w:jc w:val="both"/>
        <w:rPr>
          <w:rFonts w:cstheme="minorHAnsi"/>
          <w:color w:val="auto"/>
        </w:rPr>
      </w:pPr>
      <w:r w:rsidRPr="00C64817">
        <w:rPr>
          <w:rFonts w:cstheme="minorHAnsi"/>
          <w:color w:val="auto"/>
        </w:rPr>
        <w:t>focused on transformational change and addressing harmful social norms</w:t>
      </w:r>
    </w:p>
    <w:p w14:paraId="091953F3" w14:textId="77777777" w:rsidR="003542D2" w:rsidRPr="00C64817" w:rsidRDefault="003542D2" w:rsidP="003542D2">
      <w:pPr>
        <w:pStyle w:val="ListParagraph"/>
        <w:numPr>
          <w:ilvl w:val="0"/>
          <w:numId w:val="23"/>
        </w:numPr>
        <w:suppressAutoHyphens w:val="0"/>
        <w:spacing w:before="0" w:after="160" w:line="256" w:lineRule="auto"/>
        <w:jc w:val="both"/>
        <w:rPr>
          <w:rFonts w:cstheme="minorHAnsi"/>
          <w:color w:val="auto"/>
        </w:rPr>
      </w:pPr>
      <w:r w:rsidRPr="00C64817">
        <w:rPr>
          <w:rFonts w:cstheme="minorHAnsi"/>
          <w:color w:val="auto"/>
        </w:rPr>
        <w:t>relevant to culture and context, underpinned by positive expressions of Pacific cultural values</w:t>
      </w:r>
    </w:p>
    <w:p w14:paraId="2BB63E9C" w14:textId="77777777" w:rsidR="003542D2" w:rsidRPr="00C64817" w:rsidRDefault="003542D2" w:rsidP="003542D2">
      <w:pPr>
        <w:pStyle w:val="ListParagraph"/>
        <w:numPr>
          <w:ilvl w:val="0"/>
          <w:numId w:val="23"/>
        </w:numPr>
        <w:suppressAutoHyphens w:val="0"/>
        <w:spacing w:before="0" w:after="160" w:line="256" w:lineRule="auto"/>
        <w:jc w:val="both"/>
        <w:rPr>
          <w:rFonts w:cstheme="minorHAnsi"/>
          <w:color w:val="auto"/>
        </w:rPr>
      </w:pPr>
      <w:r w:rsidRPr="00C64817">
        <w:rPr>
          <w:rFonts w:cstheme="minorHAnsi"/>
          <w:color w:val="auto"/>
        </w:rPr>
        <w:t xml:space="preserve">informed by research, </w:t>
      </w:r>
      <w:proofErr w:type="gramStart"/>
      <w:r w:rsidRPr="00C64817">
        <w:rPr>
          <w:rFonts w:cstheme="minorHAnsi"/>
          <w:color w:val="auto"/>
        </w:rPr>
        <w:t>evidence</w:t>
      </w:r>
      <w:proofErr w:type="gramEnd"/>
      <w:r w:rsidRPr="00C64817">
        <w:rPr>
          <w:rFonts w:cstheme="minorHAnsi"/>
          <w:color w:val="auto"/>
        </w:rPr>
        <w:t xml:space="preserve"> and data</w:t>
      </w:r>
    </w:p>
    <w:p w14:paraId="098CBC65" w14:textId="77777777" w:rsidR="003542D2" w:rsidRPr="00C64817" w:rsidRDefault="003542D2" w:rsidP="003542D2">
      <w:pPr>
        <w:pStyle w:val="ListParagraph"/>
        <w:numPr>
          <w:ilvl w:val="0"/>
          <w:numId w:val="23"/>
        </w:numPr>
        <w:suppressAutoHyphens w:val="0"/>
        <w:spacing w:before="0" w:after="160" w:line="256" w:lineRule="auto"/>
        <w:jc w:val="both"/>
        <w:rPr>
          <w:rFonts w:cstheme="minorHAnsi"/>
          <w:color w:val="auto"/>
        </w:rPr>
      </w:pPr>
      <w:r w:rsidRPr="00C64817">
        <w:rPr>
          <w:rFonts w:cstheme="minorHAnsi"/>
          <w:color w:val="auto"/>
        </w:rPr>
        <w:t>characterised by deep engagement with Pacific governments and aligned with Ministries’ mandates</w:t>
      </w:r>
    </w:p>
    <w:p w14:paraId="77241A5F" w14:textId="77777777" w:rsidR="003542D2" w:rsidRPr="00C64817" w:rsidRDefault="003542D2" w:rsidP="003542D2">
      <w:pPr>
        <w:pStyle w:val="ListParagraph"/>
        <w:numPr>
          <w:ilvl w:val="1"/>
          <w:numId w:val="23"/>
        </w:numPr>
        <w:suppressAutoHyphens w:val="0"/>
        <w:spacing w:before="0" w:after="160" w:line="256" w:lineRule="auto"/>
        <w:jc w:val="both"/>
        <w:rPr>
          <w:rFonts w:cstheme="minorHAnsi"/>
          <w:color w:val="auto"/>
        </w:rPr>
      </w:pPr>
      <w:r w:rsidRPr="00C64817">
        <w:rPr>
          <w:rFonts w:cstheme="minorHAnsi"/>
          <w:color w:val="auto"/>
        </w:rPr>
        <w:t>particularly where seeking to address discriminatory laws and institutions</w:t>
      </w:r>
    </w:p>
    <w:p w14:paraId="3F14AABE" w14:textId="77777777" w:rsidR="003542D2" w:rsidRPr="00C64817" w:rsidRDefault="003542D2" w:rsidP="003542D2">
      <w:pPr>
        <w:pStyle w:val="ListParagraph"/>
        <w:numPr>
          <w:ilvl w:val="1"/>
          <w:numId w:val="23"/>
        </w:numPr>
        <w:suppressAutoHyphens w:val="0"/>
        <w:spacing w:before="0" w:after="160" w:line="256" w:lineRule="auto"/>
        <w:jc w:val="both"/>
        <w:rPr>
          <w:rFonts w:cstheme="minorHAnsi"/>
          <w:color w:val="auto"/>
        </w:rPr>
      </w:pPr>
      <w:r w:rsidRPr="00C64817">
        <w:rPr>
          <w:rFonts w:cstheme="minorHAnsi"/>
          <w:color w:val="auto"/>
        </w:rPr>
        <w:t>taking a whole of government approach, not only working with Ministries of Women</w:t>
      </w:r>
    </w:p>
    <w:p w14:paraId="16E71B29" w14:textId="252AF8B8" w:rsidR="003542D2" w:rsidRDefault="003542D2" w:rsidP="003542D2">
      <w:pPr>
        <w:pStyle w:val="PacificWomenstyle-body"/>
      </w:pPr>
      <w:r w:rsidRPr="00C64817">
        <w:t>4.</w:t>
      </w:r>
      <w:r>
        <w:t>20</w:t>
      </w:r>
      <w:r w:rsidRPr="00C64817">
        <w:tab/>
        <w:t xml:space="preserve">As was the case with </w:t>
      </w:r>
      <w:r w:rsidRPr="00C64817">
        <w:rPr>
          <w:i/>
          <w:iCs/>
        </w:rPr>
        <w:t>Pacific Women Shaping Pacific Development</w:t>
      </w:r>
      <w:r w:rsidRPr="00C64817">
        <w:t xml:space="preserve">, the </w:t>
      </w:r>
      <w:r w:rsidRPr="00C64817">
        <w:rPr>
          <w:i/>
          <w:iCs/>
        </w:rPr>
        <w:t>Pacific Women Lead</w:t>
      </w:r>
      <w:r w:rsidRPr="00C64817">
        <w:t xml:space="preserve"> program will be informed by the </w:t>
      </w:r>
      <w:r w:rsidRPr="00C64817">
        <w:rPr>
          <w:b/>
          <w:bCs/>
        </w:rPr>
        <w:t>Rao and Kelleher Framework</w:t>
      </w:r>
      <w:r w:rsidRPr="00407D94">
        <w:rPr>
          <w:rStyle w:val="FootnoteReference"/>
          <w:b/>
          <w:bCs/>
        </w:rPr>
        <w:footnoteReference w:id="9"/>
      </w:r>
      <w:r w:rsidRPr="00407D94">
        <w:t>, a conceptual framework which identifies where change is needed to achieve increased gender equality and empowerment of women. This framework points to the interconnected areas of individual, family and community change; changes in informal and formal sys</w:t>
      </w:r>
      <w:r w:rsidRPr="008A7462">
        <w:t>tems; and changes to organisational and societal systems. Its central logic, adopted by the program, is that strategies are needed across these different dimensions for longer term, sustainable impact in women’s lives.  This framework will not be used in a</w:t>
      </w:r>
      <w:r w:rsidRPr="00DB3C73">
        <w:t xml:space="preserve"> rigid </w:t>
      </w:r>
      <w:r w:rsidRPr="002B6BA5">
        <w:t>way but</w:t>
      </w:r>
      <w:r w:rsidRPr="00B43027">
        <w:t xml:space="preserve"> will help inform and guide both: a) design of any </w:t>
      </w:r>
      <w:r w:rsidRPr="00F44628">
        <w:t xml:space="preserve">new activities under </w:t>
      </w:r>
      <w:r w:rsidRPr="00C64817">
        <w:rPr>
          <w:i/>
          <w:iCs/>
        </w:rPr>
        <w:t xml:space="preserve">Pacific Women Lead; </w:t>
      </w:r>
      <w:r w:rsidRPr="00407D94">
        <w:t xml:space="preserve">and b) monitoring and evaluation </w:t>
      </w:r>
      <w:r w:rsidRPr="008A7462">
        <w:t xml:space="preserve">of </w:t>
      </w:r>
      <w:r w:rsidRPr="008A7462">
        <w:rPr>
          <w:i/>
          <w:iCs/>
        </w:rPr>
        <w:t>Pacific Women Lead</w:t>
      </w:r>
      <w:r w:rsidRPr="00DB3C73">
        <w:t xml:space="preserve"> so that </w:t>
      </w:r>
      <w:r w:rsidRPr="002B6BA5">
        <w:t xml:space="preserve">all </w:t>
      </w:r>
      <w:r w:rsidRPr="00C64817">
        <w:t>elements of the program from start to finish will take account of the multiple dimensions that are important to achieving progress in gender equality (see Performance Assessment Framework (PAF) included in Annex 1).</w:t>
      </w:r>
    </w:p>
    <w:p w14:paraId="6676F8FB" w14:textId="73496819" w:rsidR="004B6A04" w:rsidRPr="0046546C" w:rsidRDefault="004B6A04" w:rsidP="004B6A04">
      <w:pPr>
        <w:pStyle w:val="PacificWomenstyle-body"/>
        <w:rPr>
          <w:b/>
          <w:bCs/>
          <w:u w:val="single"/>
        </w:rPr>
      </w:pPr>
      <w:r w:rsidRPr="00C64817">
        <w:rPr>
          <w:b/>
          <w:u w:val="single"/>
        </w:rPr>
        <w:t>Rao and Kelleher Framework</w:t>
      </w:r>
      <w:r w:rsidRPr="00407D94">
        <w:rPr>
          <w:b/>
          <w:u w:val="single"/>
        </w:rPr>
        <w:t xml:space="preserve"> diagram</w:t>
      </w:r>
    </w:p>
    <w:p w14:paraId="7D3A9D1B" w14:textId="77777777" w:rsidR="004B6A04" w:rsidRPr="00407D94" w:rsidRDefault="004B6A04" w:rsidP="004B6A04">
      <w:pPr>
        <w:pStyle w:val="PacificWomenstyle-body"/>
        <w:rPr>
          <w:color w:val="auto"/>
        </w:rPr>
      </w:pPr>
      <w:r w:rsidRPr="00407D94">
        <w:rPr>
          <w:noProof/>
        </w:rPr>
        <w:lastRenderedPageBreak/>
        <w:drawing>
          <wp:inline distT="0" distB="0" distL="0" distR="0" wp14:anchorId="33960A2E" wp14:editId="11A99AA5">
            <wp:extent cx="3705225" cy="2659733"/>
            <wp:effectExtent l="0" t="0" r="0" b="7620"/>
            <wp:docPr id="4" name="Picture 4" descr="Rao and Kelleher Framework&#10;&#10;The Rao and Kelleher Framework presents four quadrants or domains of change along two axes: informal vs formal change (x axis) and individual/family/community change vs organisation/societal/systemic change (y axis).&#10;&#10;In each quadrant: &#10;1. Women and men's individual beliefs, abilities, attitudes and opportunities (individual, informal)&#10;2. Access to resources such as land, income, education and health (individual, formal)&#10; 3. Social norms and attitudes (societal, informal)&#10;4. Policies and laws (societal, forma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ao and Kelleher Framework&#10;&#10;The Rao and Kelleher Framework presents four quadrants or domains of change along two axes: informal vs formal change (x axis) and individual/family/community change vs organisation/societal/systemic change (y axis).&#10;&#10;In each quadrant: &#10;1. Women and men's individual beliefs, abilities, attitudes and opportunities (individual, informal)&#10;2. Access to resources such as land, income, education and health (individual, formal)&#10; 3. Social norms and attitudes (societal, informal)&#10;4. Policies and laws (societal, formal) &#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10" t="5536"/>
                    <a:stretch/>
                  </pic:blipFill>
                  <pic:spPr bwMode="auto">
                    <a:xfrm>
                      <a:off x="0" y="0"/>
                      <a:ext cx="3735203" cy="2681252"/>
                    </a:xfrm>
                    <a:prstGeom prst="rect">
                      <a:avLst/>
                    </a:prstGeom>
                    <a:noFill/>
                    <a:ln>
                      <a:noFill/>
                    </a:ln>
                    <a:extLst>
                      <a:ext uri="{53640926-AAD7-44D8-BBD7-CCE9431645EC}">
                        <a14:shadowObscured xmlns:a14="http://schemas.microsoft.com/office/drawing/2010/main"/>
                      </a:ext>
                    </a:extLst>
                  </pic:spPr>
                </pic:pic>
              </a:graphicData>
            </a:graphic>
          </wp:inline>
        </w:drawing>
      </w:r>
    </w:p>
    <w:p w14:paraId="0458AAB0" w14:textId="17718671" w:rsidR="00DD1537" w:rsidRPr="00C64817" w:rsidRDefault="005C44E3" w:rsidP="004A03C0">
      <w:pPr>
        <w:suppressAutoHyphens w:val="0"/>
        <w:spacing w:before="0" w:after="160" w:line="256" w:lineRule="auto"/>
        <w:jc w:val="both"/>
        <w:rPr>
          <w:rFonts w:cstheme="minorHAnsi"/>
          <w:color w:val="auto"/>
          <w:u w:val="single"/>
        </w:rPr>
      </w:pPr>
      <w:r w:rsidRPr="00C64817">
        <w:rPr>
          <w:rFonts w:cstheme="minorHAnsi"/>
          <w:color w:val="auto"/>
        </w:rPr>
        <w:t>4.</w:t>
      </w:r>
      <w:r w:rsidR="003542D2">
        <w:rPr>
          <w:rFonts w:cstheme="minorHAnsi"/>
          <w:color w:val="auto"/>
        </w:rPr>
        <w:t>21</w:t>
      </w:r>
      <w:r w:rsidRPr="00C64817">
        <w:rPr>
          <w:rFonts w:cstheme="minorHAnsi"/>
          <w:color w:val="auto"/>
        </w:rPr>
        <w:tab/>
      </w:r>
      <w:r w:rsidR="0051672D" w:rsidRPr="00C64817">
        <w:rPr>
          <w:rFonts w:cstheme="minorHAnsi"/>
          <w:color w:val="auto"/>
        </w:rPr>
        <w:t>Guided by strategy sessions with t</w:t>
      </w:r>
      <w:r w:rsidR="003B3300" w:rsidRPr="00C64817">
        <w:rPr>
          <w:rFonts w:cstheme="minorHAnsi"/>
          <w:color w:val="auto"/>
        </w:rPr>
        <w:t xml:space="preserve">he Pacific Women Advisory Board </w:t>
      </w:r>
      <w:r w:rsidR="0011012B" w:rsidRPr="00C64817">
        <w:rPr>
          <w:rFonts w:cstheme="minorHAnsi"/>
          <w:color w:val="auto"/>
        </w:rPr>
        <w:t xml:space="preserve">and stakeholder consultations, a </w:t>
      </w:r>
      <w:r w:rsidR="00F56F51" w:rsidRPr="00C64817">
        <w:rPr>
          <w:rFonts w:cstheme="minorHAnsi"/>
          <w:color w:val="auto"/>
        </w:rPr>
        <w:t>Theory of Change model for the new program design</w:t>
      </w:r>
      <w:r w:rsidR="0011012B" w:rsidRPr="00C64817">
        <w:rPr>
          <w:rFonts w:cstheme="minorHAnsi"/>
          <w:color w:val="auto"/>
        </w:rPr>
        <w:t xml:space="preserve"> has been partially developed</w:t>
      </w:r>
      <w:r w:rsidR="00DC25C7" w:rsidRPr="00C64817">
        <w:rPr>
          <w:rFonts w:cstheme="minorHAnsi"/>
          <w:color w:val="auto"/>
        </w:rPr>
        <w:t>.</w:t>
      </w:r>
      <w:r w:rsidR="00825566" w:rsidRPr="00C64817">
        <w:rPr>
          <w:rFonts w:cstheme="minorHAnsi"/>
          <w:color w:val="auto"/>
        </w:rPr>
        <w:t xml:space="preserve"> A</w:t>
      </w:r>
      <w:r w:rsidR="0011012B" w:rsidRPr="00C64817">
        <w:rPr>
          <w:rFonts w:cstheme="minorHAnsi"/>
          <w:color w:val="auto"/>
        </w:rPr>
        <w:t xml:space="preserve">s this is a High-Level Framework Design, outputs and inputs </w:t>
      </w:r>
      <w:r w:rsidR="003C6CB8" w:rsidRPr="00C64817">
        <w:rPr>
          <w:rFonts w:cstheme="minorHAnsi"/>
          <w:color w:val="auto"/>
        </w:rPr>
        <w:t xml:space="preserve">that will help achieve the intermediate outcomes, the end of program outcomes and, ultimately, contribute to the Goal, </w:t>
      </w:r>
      <w:r w:rsidR="0011012B" w:rsidRPr="00C64817">
        <w:rPr>
          <w:rFonts w:cstheme="minorHAnsi"/>
          <w:color w:val="auto"/>
        </w:rPr>
        <w:t>are</w:t>
      </w:r>
      <w:r w:rsidR="00DB27AB" w:rsidRPr="00C64817">
        <w:rPr>
          <w:rFonts w:cstheme="minorHAnsi"/>
          <w:color w:val="auto"/>
        </w:rPr>
        <w:t xml:space="preserve"> indicated at a high level and will be </w:t>
      </w:r>
      <w:r w:rsidR="00EE4EE8" w:rsidRPr="00C64817">
        <w:rPr>
          <w:rFonts w:cstheme="minorHAnsi"/>
          <w:color w:val="auto"/>
        </w:rPr>
        <w:t xml:space="preserve">further developed </w:t>
      </w:r>
      <w:r w:rsidR="0011012B" w:rsidRPr="00C64817">
        <w:rPr>
          <w:rFonts w:cstheme="minorHAnsi"/>
          <w:color w:val="auto"/>
        </w:rPr>
        <w:t xml:space="preserve">through the transition phase </w:t>
      </w:r>
      <w:r w:rsidR="00D722D0" w:rsidRPr="00C64817">
        <w:rPr>
          <w:rFonts w:cstheme="minorHAnsi"/>
          <w:color w:val="auto"/>
        </w:rPr>
        <w:t>during</w:t>
      </w:r>
      <w:r w:rsidR="0011012B" w:rsidRPr="00C64817">
        <w:rPr>
          <w:rFonts w:cstheme="minorHAnsi"/>
          <w:color w:val="auto"/>
        </w:rPr>
        <w:t xml:space="preserve"> 2021</w:t>
      </w:r>
      <w:r w:rsidR="00FB051D">
        <w:rPr>
          <w:rFonts w:cstheme="minorHAnsi"/>
          <w:color w:val="auto"/>
        </w:rPr>
        <w:t xml:space="preserve"> and the development of the MELF</w:t>
      </w:r>
      <w:r w:rsidR="0011012B" w:rsidRPr="00C64817">
        <w:rPr>
          <w:rFonts w:cstheme="minorHAnsi"/>
          <w:color w:val="auto"/>
          <w:u w:val="single"/>
        </w:rPr>
        <w:t>.</w:t>
      </w:r>
      <w:r w:rsidR="00FB051D">
        <w:rPr>
          <w:rFonts w:cstheme="minorHAnsi"/>
          <w:color w:val="auto"/>
          <w:u w:val="single"/>
        </w:rPr>
        <w:t xml:space="preserve"> </w:t>
      </w:r>
      <w:r w:rsidR="00460259" w:rsidRPr="00C64817">
        <w:rPr>
          <w:rFonts w:cstheme="minorHAnsi"/>
          <w:color w:val="auto"/>
          <w:u w:val="single"/>
        </w:rPr>
        <w:t xml:space="preserve">Key considerations during the Transition Phase will </w:t>
      </w:r>
      <w:r w:rsidR="0082653A" w:rsidRPr="00C64817">
        <w:rPr>
          <w:rFonts w:cstheme="minorHAnsi"/>
          <w:color w:val="auto"/>
          <w:u w:val="single"/>
        </w:rPr>
        <w:t>be:</w:t>
      </w:r>
    </w:p>
    <w:p w14:paraId="79ECA4A8" w14:textId="793F5F82" w:rsidR="00F952D9" w:rsidRPr="00B327E0" w:rsidRDefault="00166B0B" w:rsidP="00F952D9">
      <w:pPr>
        <w:pStyle w:val="ListParagraph"/>
        <w:numPr>
          <w:ilvl w:val="0"/>
          <w:numId w:val="63"/>
        </w:numPr>
        <w:suppressAutoHyphens w:val="0"/>
        <w:spacing w:before="0" w:after="160" w:line="256" w:lineRule="auto"/>
        <w:jc w:val="both"/>
        <w:rPr>
          <w:rFonts w:cstheme="minorHAnsi"/>
          <w:color w:val="auto"/>
        </w:rPr>
      </w:pPr>
      <w:r w:rsidRPr="00B327E0">
        <w:rPr>
          <w:rFonts w:cstheme="minorHAnsi"/>
          <w:b/>
          <w:bCs/>
          <w:color w:val="auto"/>
        </w:rPr>
        <w:t>Enabling policy context:</w:t>
      </w:r>
      <w:r w:rsidRPr="00B327E0">
        <w:rPr>
          <w:rFonts w:cstheme="minorHAnsi"/>
          <w:color w:val="auto"/>
        </w:rPr>
        <w:t xml:space="preserve"> </w:t>
      </w:r>
      <w:r w:rsidR="00F952D9" w:rsidRPr="00B327E0">
        <w:rPr>
          <w:rFonts w:cstheme="minorHAnsi"/>
          <w:color w:val="auto"/>
        </w:rPr>
        <w:t xml:space="preserve">in 2021, there will be significant developments on the regional scale in relation to gender equality. In May, the Triennial and Meeting of Pacific Ministers for Women will be </w:t>
      </w:r>
      <w:proofErr w:type="gramStart"/>
      <w:r w:rsidR="00F952D9" w:rsidRPr="00B327E0">
        <w:rPr>
          <w:rFonts w:cstheme="minorHAnsi"/>
          <w:color w:val="auto"/>
        </w:rPr>
        <w:t>held</w:t>
      </w:r>
      <w:proofErr w:type="gramEnd"/>
      <w:r w:rsidR="00F952D9" w:rsidRPr="00B327E0">
        <w:rPr>
          <w:rFonts w:cstheme="minorHAnsi"/>
          <w:color w:val="auto"/>
        </w:rPr>
        <w:t xml:space="preserve"> and its outcomes will be taken into account in shaping the directions of Pacific Women Lead. Later in 2021, the outcomes of the Review of the Leaders Declaration on Gender Equality will be another significant strategic consideration for Pacific Women Lead.</w:t>
      </w:r>
      <w:r w:rsidR="00F952D9" w:rsidRPr="00B327E0" w:rsidDel="00DA597C">
        <w:rPr>
          <w:rFonts w:cstheme="minorHAnsi"/>
          <w:color w:val="auto"/>
        </w:rPr>
        <w:t xml:space="preserve"> </w:t>
      </w:r>
    </w:p>
    <w:p w14:paraId="7AFCC66F" w14:textId="6EC20D03" w:rsidR="00166B0B" w:rsidRPr="00B327E0" w:rsidRDefault="00166B0B" w:rsidP="00C64817">
      <w:pPr>
        <w:pStyle w:val="ListParagraph"/>
        <w:numPr>
          <w:ilvl w:val="0"/>
          <w:numId w:val="63"/>
        </w:numPr>
        <w:suppressAutoHyphens w:val="0"/>
        <w:spacing w:before="0" w:after="160" w:line="256" w:lineRule="auto"/>
        <w:jc w:val="both"/>
        <w:rPr>
          <w:rFonts w:cstheme="minorHAnsi"/>
          <w:b/>
          <w:color w:val="auto"/>
        </w:rPr>
      </w:pPr>
      <w:r w:rsidRPr="00B327E0">
        <w:rPr>
          <w:rFonts w:cstheme="minorHAnsi"/>
          <w:b/>
          <w:color w:val="auto"/>
        </w:rPr>
        <w:t>Inputs</w:t>
      </w:r>
      <w:r w:rsidR="006A3321" w:rsidRPr="00B327E0">
        <w:rPr>
          <w:rFonts w:cstheme="minorHAnsi"/>
          <w:b/>
          <w:color w:val="auto"/>
        </w:rPr>
        <w:t xml:space="preserve">: </w:t>
      </w:r>
      <w:r w:rsidR="006A3321" w:rsidRPr="00B327E0">
        <w:rPr>
          <w:rFonts w:cstheme="minorHAnsi"/>
          <w:bCs/>
          <w:color w:val="auto"/>
        </w:rPr>
        <w:t xml:space="preserve">The Australian Government </w:t>
      </w:r>
      <w:r w:rsidR="008B6355" w:rsidRPr="00B327E0">
        <w:rPr>
          <w:rFonts w:cstheme="minorHAnsi"/>
          <w:bCs/>
          <w:color w:val="auto"/>
        </w:rPr>
        <w:t xml:space="preserve">is making a significant financial </w:t>
      </w:r>
      <w:r w:rsidR="00AA00F4" w:rsidRPr="00B327E0">
        <w:rPr>
          <w:rFonts w:cstheme="minorHAnsi"/>
          <w:bCs/>
          <w:color w:val="auto"/>
        </w:rPr>
        <w:t xml:space="preserve">and policy </w:t>
      </w:r>
      <w:r w:rsidR="008B6355" w:rsidRPr="00B327E0">
        <w:rPr>
          <w:rFonts w:cstheme="minorHAnsi"/>
          <w:bCs/>
          <w:color w:val="auto"/>
        </w:rPr>
        <w:t xml:space="preserve">commitment to Pacific Women Lead </w:t>
      </w:r>
      <w:r w:rsidR="00CF1DAF" w:rsidRPr="00B327E0">
        <w:rPr>
          <w:rFonts w:cstheme="minorHAnsi"/>
          <w:bCs/>
          <w:color w:val="auto"/>
        </w:rPr>
        <w:t xml:space="preserve">and will work with SPC to maximise the </w:t>
      </w:r>
      <w:r w:rsidR="00AA00F4" w:rsidRPr="00B327E0">
        <w:rPr>
          <w:rFonts w:cstheme="minorHAnsi"/>
          <w:bCs/>
          <w:color w:val="auto"/>
        </w:rPr>
        <w:t xml:space="preserve">total resources available </w:t>
      </w:r>
      <w:r w:rsidR="00C677B8" w:rsidRPr="00B327E0">
        <w:rPr>
          <w:rFonts w:cstheme="minorHAnsi"/>
          <w:bCs/>
          <w:color w:val="auto"/>
        </w:rPr>
        <w:t xml:space="preserve">to the program. </w:t>
      </w:r>
      <w:r w:rsidR="00FC122A" w:rsidRPr="00B327E0">
        <w:rPr>
          <w:rFonts w:cstheme="minorHAnsi"/>
          <w:bCs/>
          <w:color w:val="auto"/>
        </w:rPr>
        <w:t>The contribution of civil society, in particular Pacific feminist civil society, will be</w:t>
      </w:r>
      <w:r w:rsidR="003F0F37" w:rsidRPr="00B327E0">
        <w:rPr>
          <w:rFonts w:cstheme="minorHAnsi"/>
          <w:bCs/>
          <w:color w:val="auto"/>
        </w:rPr>
        <w:t xml:space="preserve"> elaborated and confirmed through partnership </w:t>
      </w:r>
      <w:r w:rsidR="008A46CC" w:rsidRPr="00B327E0">
        <w:rPr>
          <w:rFonts w:cstheme="minorHAnsi"/>
          <w:bCs/>
          <w:color w:val="auto"/>
        </w:rPr>
        <w:t>negotiations through the transition period.</w:t>
      </w:r>
    </w:p>
    <w:p w14:paraId="3AAF6FE2" w14:textId="25BA2C28" w:rsidR="00BF61C4" w:rsidRPr="00B327E0" w:rsidRDefault="00BF61C4" w:rsidP="00C64817">
      <w:pPr>
        <w:pStyle w:val="ListParagraph"/>
        <w:numPr>
          <w:ilvl w:val="0"/>
          <w:numId w:val="63"/>
        </w:numPr>
        <w:suppressAutoHyphens w:val="0"/>
        <w:spacing w:before="0" w:after="160" w:line="256" w:lineRule="auto"/>
        <w:jc w:val="both"/>
        <w:rPr>
          <w:rFonts w:cstheme="minorHAnsi"/>
          <w:b/>
          <w:bCs/>
          <w:color w:val="auto"/>
        </w:rPr>
      </w:pPr>
      <w:r w:rsidRPr="00B327E0">
        <w:rPr>
          <w:rFonts w:cstheme="minorHAnsi"/>
          <w:b/>
          <w:bCs/>
          <w:color w:val="auto"/>
        </w:rPr>
        <w:t xml:space="preserve">Outputs </w:t>
      </w:r>
      <w:r w:rsidR="00FD0EFF" w:rsidRPr="00B327E0">
        <w:rPr>
          <w:rFonts w:cstheme="minorHAnsi"/>
          <w:b/>
          <w:color w:val="auto"/>
        </w:rPr>
        <w:t>–</w:t>
      </w:r>
      <w:r w:rsidRPr="00B327E0">
        <w:rPr>
          <w:rFonts w:cstheme="minorHAnsi"/>
          <w:b/>
          <w:bCs/>
          <w:color w:val="auto"/>
        </w:rPr>
        <w:t xml:space="preserve"> </w:t>
      </w:r>
      <w:r w:rsidR="00FD0EFF" w:rsidRPr="00B327E0">
        <w:rPr>
          <w:rFonts w:cstheme="minorHAnsi"/>
          <w:color w:val="auto"/>
        </w:rPr>
        <w:t>using the criteria outlined in this design, decisions will be progressively made about the continuation or otherwise</w:t>
      </w:r>
      <w:r w:rsidR="00CF6DA1" w:rsidRPr="00B327E0">
        <w:rPr>
          <w:rFonts w:cstheme="minorHAnsi"/>
          <w:color w:val="auto"/>
        </w:rPr>
        <w:t xml:space="preserve"> of initiatives currently under way as part of Pacific Women Shaping Pacific Development</w:t>
      </w:r>
      <w:r w:rsidR="002A30C3" w:rsidRPr="00B327E0">
        <w:rPr>
          <w:rFonts w:cstheme="minorHAnsi"/>
          <w:color w:val="auto"/>
        </w:rPr>
        <w:t>. These decisions will have a bearing</w:t>
      </w:r>
      <w:r w:rsidR="002A30C3" w:rsidRPr="00B327E0">
        <w:rPr>
          <w:rFonts w:cstheme="minorHAnsi"/>
          <w:b/>
          <w:color w:val="auto"/>
        </w:rPr>
        <w:t xml:space="preserve"> </w:t>
      </w:r>
      <w:r w:rsidR="00687420" w:rsidRPr="00B327E0">
        <w:rPr>
          <w:rFonts w:cstheme="minorHAnsi"/>
          <w:bCs/>
          <w:color w:val="auto"/>
        </w:rPr>
        <w:t>on the level of funds available for ne</w:t>
      </w:r>
      <w:r w:rsidR="00D55E4D" w:rsidRPr="00B327E0">
        <w:rPr>
          <w:rFonts w:cstheme="minorHAnsi"/>
          <w:bCs/>
          <w:color w:val="auto"/>
        </w:rPr>
        <w:t xml:space="preserve">w activities and investments as Pacific Women Lead </w:t>
      </w:r>
      <w:r w:rsidR="0093647F" w:rsidRPr="00B327E0">
        <w:rPr>
          <w:rFonts w:cstheme="minorHAnsi"/>
          <w:bCs/>
          <w:color w:val="auto"/>
        </w:rPr>
        <w:t>progresses</w:t>
      </w:r>
      <w:r w:rsidR="00D55E4D" w:rsidRPr="00B327E0">
        <w:rPr>
          <w:rFonts w:cstheme="minorHAnsi"/>
          <w:bCs/>
          <w:color w:val="auto"/>
        </w:rPr>
        <w:t>.</w:t>
      </w:r>
    </w:p>
    <w:p w14:paraId="329C5CA8" w14:textId="74C6A967" w:rsidR="00AA10EE" w:rsidRDefault="00682D34" w:rsidP="0093647F">
      <w:pPr>
        <w:suppressAutoHyphens w:val="0"/>
        <w:spacing w:before="0" w:after="160" w:line="256" w:lineRule="auto"/>
        <w:jc w:val="both"/>
        <w:rPr>
          <w:rFonts w:cstheme="minorHAnsi"/>
          <w:color w:val="auto"/>
        </w:rPr>
      </w:pPr>
      <w:r w:rsidRPr="00B327E0">
        <w:rPr>
          <w:rFonts w:cstheme="minorHAnsi"/>
          <w:color w:val="auto"/>
        </w:rPr>
        <w:t>4.</w:t>
      </w:r>
      <w:r w:rsidR="001B76B0">
        <w:rPr>
          <w:rFonts w:cstheme="minorHAnsi"/>
          <w:color w:val="auto"/>
        </w:rPr>
        <w:t>2</w:t>
      </w:r>
      <w:r w:rsidR="003542D2">
        <w:rPr>
          <w:rFonts w:cstheme="minorHAnsi"/>
          <w:color w:val="auto"/>
        </w:rPr>
        <w:t>2</w:t>
      </w:r>
      <w:r w:rsidRPr="00B327E0">
        <w:rPr>
          <w:rFonts w:cstheme="minorHAnsi"/>
          <w:color w:val="auto"/>
        </w:rPr>
        <w:tab/>
      </w:r>
      <w:r w:rsidR="0093647F">
        <w:t>T</w:t>
      </w:r>
      <w:r w:rsidR="00687420" w:rsidRPr="00B327E0">
        <w:rPr>
          <w:rFonts w:cstheme="minorHAnsi"/>
          <w:color w:val="auto"/>
        </w:rPr>
        <w:t>he Theory of Change</w:t>
      </w:r>
      <w:r w:rsidR="0093647F">
        <w:rPr>
          <w:rFonts w:cstheme="minorHAnsi"/>
          <w:color w:val="auto"/>
        </w:rPr>
        <w:t xml:space="preserve"> will be further developed together with the MELF and considered by the </w:t>
      </w:r>
      <w:r w:rsidR="0093647F" w:rsidRPr="00B327E0">
        <w:rPr>
          <w:rFonts w:cstheme="minorHAnsi"/>
          <w:color w:val="auto"/>
        </w:rPr>
        <w:t>Governance Board</w:t>
      </w:r>
      <w:r w:rsidR="008A46CC" w:rsidRPr="00B327E0">
        <w:rPr>
          <w:rFonts w:cstheme="minorHAnsi"/>
          <w:color w:val="auto"/>
        </w:rPr>
        <w:t>.</w:t>
      </w:r>
    </w:p>
    <w:p w14:paraId="0F2A9E01" w14:textId="62C5DB5A" w:rsidR="009E3214" w:rsidRPr="00C64817" w:rsidRDefault="00576DD2" w:rsidP="00C13494">
      <w:pPr>
        <w:suppressAutoHyphens w:val="0"/>
        <w:spacing w:before="0" w:after="160" w:line="256" w:lineRule="auto"/>
        <w:jc w:val="both"/>
        <w:rPr>
          <w:rFonts w:cstheme="minorHAnsi"/>
          <w:b/>
          <w:bCs/>
          <w:noProof/>
        </w:rPr>
      </w:pPr>
      <w:r w:rsidRPr="00C64817">
        <w:rPr>
          <w:rFonts w:cstheme="minorHAnsi"/>
          <w:b/>
          <w:bCs/>
          <w:color w:val="auto"/>
        </w:rPr>
        <w:t xml:space="preserve">Pacific Women Lead: </w:t>
      </w:r>
      <w:r w:rsidR="009F6AC1" w:rsidRPr="00C64817">
        <w:rPr>
          <w:rFonts w:cstheme="minorHAnsi"/>
          <w:b/>
          <w:bCs/>
          <w:color w:val="auto"/>
        </w:rPr>
        <w:t xml:space="preserve">Indicative </w:t>
      </w:r>
      <w:r w:rsidR="00FB71BE" w:rsidRPr="00C64817">
        <w:rPr>
          <w:rFonts w:cstheme="minorHAnsi"/>
          <w:b/>
          <w:bCs/>
          <w:color w:val="auto"/>
        </w:rPr>
        <w:t>High</w:t>
      </w:r>
      <w:r w:rsidR="00B327E0">
        <w:rPr>
          <w:rFonts w:cstheme="minorHAnsi"/>
          <w:b/>
          <w:bCs/>
          <w:color w:val="auto"/>
        </w:rPr>
        <w:t>-</w:t>
      </w:r>
      <w:r w:rsidR="00FB71BE" w:rsidRPr="00C64817">
        <w:rPr>
          <w:rFonts w:cstheme="minorHAnsi"/>
          <w:b/>
          <w:bCs/>
          <w:color w:val="auto"/>
        </w:rPr>
        <w:t xml:space="preserve">Level </w:t>
      </w:r>
      <w:r w:rsidRPr="00C64817">
        <w:rPr>
          <w:rFonts w:cstheme="minorHAnsi"/>
          <w:b/>
          <w:bCs/>
          <w:color w:val="auto"/>
        </w:rPr>
        <w:t>Theory of Change</w:t>
      </w:r>
      <w:r w:rsidR="003F5054" w:rsidRPr="00C64817">
        <w:rPr>
          <w:rFonts w:cstheme="minorHAnsi"/>
          <w:b/>
          <w:bCs/>
          <w:color w:val="auto"/>
        </w:rPr>
        <w:t xml:space="preserve"> </w:t>
      </w:r>
    </w:p>
    <w:p w14:paraId="3969B29D" w14:textId="36399CB5" w:rsidR="009F6AC1" w:rsidRPr="00C313F7" w:rsidRDefault="00682D34" w:rsidP="009F6AC1">
      <w:pPr>
        <w:spacing w:after="160" w:line="256" w:lineRule="auto"/>
        <w:jc w:val="both"/>
        <w:rPr>
          <w:rFonts w:cstheme="minorHAnsi"/>
          <w:color w:val="auto"/>
        </w:rPr>
      </w:pPr>
      <w:r w:rsidRPr="00C313F7">
        <w:rPr>
          <w:rFonts w:cstheme="minorHAnsi"/>
          <w:color w:val="auto"/>
        </w:rPr>
        <w:t>4.2</w:t>
      </w:r>
      <w:r w:rsidR="003542D2">
        <w:rPr>
          <w:rFonts w:cstheme="minorHAnsi"/>
          <w:color w:val="auto"/>
        </w:rPr>
        <w:t>3</w:t>
      </w:r>
      <w:r w:rsidRPr="00C313F7">
        <w:rPr>
          <w:rFonts w:cstheme="minorHAnsi"/>
          <w:color w:val="auto"/>
        </w:rPr>
        <w:tab/>
      </w:r>
      <w:r w:rsidR="009F6AC1" w:rsidRPr="00C313F7">
        <w:rPr>
          <w:rFonts w:cstheme="minorHAnsi"/>
          <w:color w:val="auto"/>
        </w:rPr>
        <w:t xml:space="preserve">An indicative Theory of Change (TOC) for Pacific Women Lead demonstrates the linkages between the goal for the Program, outcomes and associated outputs that will support the goal and </w:t>
      </w:r>
      <w:r w:rsidR="0093647F" w:rsidRPr="00C313F7">
        <w:rPr>
          <w:rFonts w:cstheme="minorHAnsi"/>
          <w:color w:val="auto"/>
        </w:rPr>
        <w:t>approach</w:t>
      </w:r>
      <w:r w:rsidR="009F6AC1" w:rsidRPr="00C313F7">
        <w:rPr>
          <w:rFonts w:cstheme="minorHAnsi"/>
          <w:color w:val="auto"/>
        </w:rPr>
        <w:t xml:space="preserve"> of the program. The outputs needed to attain the intermediate outcomes will be refined by key stakeholders during the inception/transition phase of implementation. Some provisional outputs have been proposed for early preparation. However, it is deemed inappropriate to pre-determine too many outputs at this stage so as not to prescribe the direction, causal pathways and functioning of the Program at the design phase</w:t>
      </w:r>
      <w:r w:rsidR="007160A4" w:rsidRPr="00C313F7">
        <w:rPr>
          <w:rFonts w:cstheme="minorHAnsi"/>
          <w:color w:val="auto"/>
        </w:rPr>
        <w:t>.</w:t>
      </w:r>
    </w:p>
    <w:p w14:paraId="207DB789" w14:textId="66880A6E" w:rsidR="00185081" w:rsidRPr="00407D94" w:rsidRDefault="0090531B" w:rsidP="00236209">
      <w:pPr>
        <w:suppressAutoHyphens w:val="0"/>
        <w:spacing w:before="0" w:after="160" w:line="256" w:lineRule="auto"/>
        <w:jc w:val="both"/>
        <w:rPr>
          <w:rFonts w:cstheme="minorHAnsi"/>
          <w:noProof/>
        </w:rPr>
      </w:pPr>
      <w:r w:rsidRPr="00407D94">
        <w:rPr>
          <w:rFonts w:cstheme="minorHAnsi"/>
          <w:noProof/>
          <w:lang w:val="en-AU" w:eastAsia="en-AU"/>
        </w:rPr>
        <w:lastRenderedPageBreak/>
        <w:drawing>
          <wp:inline distT="0" distB="0" distL="0" distR="0" wp14:anchorId="476C307E" wp14:editId="5E21B750">
            <wp:extent cx="5238750" cy="3320334"/>
            <wp:effectExtent l="0" t="0" r="0" b="0"/>
            <wp:docPr id="6" name="Picture 6" descr="Theory of Change for Pacific Women Lead design, which includes: enabling policy context; inputs; major outputs; intermediate outcomes; end of program outcomes; and goal. &#10;&#10;Goal: Pacific women and girls, in all their diversity, are safe and equitably share in resources, opportunities and decision-making, with men and boys&#10;&#10;End of Program Outcomes: EOPO 1 Women's leadership promoted; EOPO 2 Women's rights realised; EOPO 3 Regional partners supported to increase Pacific ownership and effectiveness of regional gender equality efforts.&#10;Intermediate outcomes: (EOPO 1) Increased women's voices in decision making spaced, from household, community, business and local level leadership through to national, regional and global political spheres; Recognition and amplification of the leadership of Pacific feminist civil society; (EOPO 2) Health - Women and girls have improved access to quality health care services, including sexual and reproductive health, through addressing gender inequality that underpins poor health outcomes; Economic empowerment - Women have more equitable access to resilient economic opportunities and increased voice in economic decision-making; Safety - Survivors of gender-based violence have access to quality support services including in times of disaster and Pacific governments and communities work together to address and prevent violence through tackling harmful social and cultural norms; (EOPO 3) Opportunities for civil society, government and intergovernmental collaboration in support of gender equality are facilitated; Mainstreaming of gender equality through other development programs in all sectors across the Pacific is supported.&#10;Major outputs: Continuation of PWSPD initiatives aligned with PWL, DFAT/UN Partnerships, SPC delivery of gender initiatives under HRSD Business Plan, Design of new activities using discretionary funds, Regular formal and informal collaboration and sharing of lessons, Annual reporting on DFAT and SPC gender mainstreaming, Quality technical advice and support on gender programming, Quality technical advice and support on inclusive programming.&#10;Inputs: Australian Government funding and policy dialogue; SPC expertise, resources and regional networks; UN expertise and regional networks; Civil society expertise, experience and partnerships.&#10;Enabling Policy context: Pacific Platform for Action on Gender Equality and Women's Human Rights; Pacific Leaders Gender Equality Declaration; DFAT's Gender Equality and Empowerment Strategy; Partnerships for Recovery; Pacific Framework for the Rights of the Persons with Disabilities and Development for Al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ory of Change for Pacific Women Lead design, which includes: enabling policy context; inputs; major outputs; intermediate outcomes; end of program outcomes; and goal. &#10;&#10;Goal: Pacific women and girls, in all their diversity, are safe and equitably share in resources, opportunities and decision-making, with men and boys&#10;&#10;End of Program Outcomes: EOPO 1 Women's leadership promoted; EOPO 2 Women's rights realised; EOPO 3 Regional partners supported to increase Pacific ownership and effectiveness of regional gender equality efforts.&#10;Intermediate outcomes: (EOPO 1) Increased women's voices in decision making spaced, from household, community, business and local level leadership through to national, regional and global political spheres; Recognition and amplification of the leadership of Pacific feminist civil society; (EOPO 2) Health - Women and girls have improved access to quality health care services, including sexual and reproductive health, through addressing gender inequality that underpins poor health outcomes; Economic empowerment - Women have more equitable access to resilient economic opportunities and increased voice in economic decision-making; Safety - Survivors of gender-based violence have access to quality support services including in times of disaster and Pacific governments and communities work together to address and prevent violence through tackling harmful social and cultural norms; (EOPO 3) Opportunities for civil society, government and intergovernmental collaboration in support of gender equality are facilitated; Mainstreaming of gender equality through other development programs in all sectors across the Pacific is supported.&#10;Major outputs: Continuation of PWSPD initiatives aligned with PWL, DFAT/UN Partnerships, SPC delivery of gender initiatives under HRSD Business Plan, Design of new activities using discretionary funds, Regular formal and informal collaboration and sharing of lessons, Annual reporting on DFAT and SPC gender mainstreaming, Quality technical advice and support on gender programming, Quality technical advice and support on inclusive programming.&#10;Inputs: Australian Government funding and policy dialogue; SPC expertise, resources and regional networks; UN expertise and regional networks; Civil society expertise, experience and partnerships.&#10;Enabling Policy context: Pacific Platform for Action on Gender Equality and Women's Human Rights; Pacific Leaders Gender Equality Declaration; DFAT's Gender Equality and Empowerment Strategy; Partnerships for Recovery; Pacific Framework for the Rights of the Persons with Disabilities and Development for All. &#10;"/>
                    <pic:cNvPicPr/>
                  </pic:nvPicPr>
                  <pic:blipFill rotWithShape="1">
                    <a:blip r:embed="rId10"/>
                    <a:srcRect l="27452" t="17993" r="7218" b="8398"/>
                    <a:stretch/>
                  </pic:blipFill>
                  <pic:spPr bwMode="auto">
                    <a:xfrm>
                      <a:off x="0" y="0"/>
                      <a:ext cx="5238750" cy="3320334"/>
                    </a:xfrm>
                    <a:prstGeom prst="rect">
                      <a:avLst/>
                    </a:prstGeom>
                    <a:ln>
                      <a:noFill/>
                    </a:ln>
                    <a:extLst>
                      <a:ext uri="{53640926-AAD7-44D8-BBD7-CCE9431645EC}">
                        <a14:shadowObscured xmlns:a14="http://schemas.microsoft.com/office/drawing/2010/main"/>
                      </a:ext>
                    </a:extLst>
                  </pic:spPr>
                </pic:pic>
              </a:graphicData>
            </a:graphic>
          </wp:inline>
        </w:drawing>
      </w:r>
    </w:p>
    <w:p w14:paraId="5A1DEB98" w14:textId="3AC8C62A" w:rsidR="008B5A03" w:rsidRPr="00141593" w:rsidRDefault="00BB6898" w:rsidP="00236209">
      <w:pPr>
        <w:suppressAutoHyphens w:val="0"/>
        <w:spacing w:before="0" w:after="160" w:line="256" w:lineRule="auto"/>
        <w:jc w:val="both"/>
        <w:rPr>
          <w:rFonts w:cstheme="minorHAnsi"/>
          <w:color w:val="auto"/>
        </w:rPr>
      </w:pPr>
      <w:r w:rsidRPr="008A7462" w:rsidDel="00BB6898">
        <w:rPr>
          <w:rFonts w:cstheme="minorHAnsi"/>
          <w:noProof/>
        </w:rPr>
        <w:t xml:space="preserve"> </w:t>
      </w:r>
    </w:p>
    <w:p w14:paraId="29CEC92B" w14:textId="64128BE7" w:rsidR="00EA1E53" w:rsidRPr="00141593" w:rsidRDefault="00682D34" w:rsidP="00EA1E53">
      <w:pPr>
        <w:spacing w:before="100" w:beforeAutospacing="1" w:after="100" w:afterAutospacing="1"/>
        <w:jc w:val="both"/>
        <w:rPr>
          <w:rFonts w:cstheme="minorHAnsi"/>
          <w:color w:val="auto"/>
          <w:lang w:val="en-AU"/>
        </w:rPr>
      </w:pPr>
      <w:r w:rsidRPr="00C313F7">
        <w:rPr>
          <w:rFonts w:cstheme="minorHAnsi"/>
          <w:color w:val="auto"/>
        </w:rPr>
        <w:t>4.2</w:t>
      </w:r>
      <w:r w:rsidR="003542D2">
        <w:rPr>
          <w:rFonts w:cstheme="minorHAnsi"/>
          <w:color w:val="auto"/>
        </w:rPr>
        <w:t>4</w:t>
      </w:r>
      <w:r w:rsidRPr="00C313F7">
        <w:rPr>
          <w:rFonts w:cstheme="minorHAnsi"/>
          <w:color w:val="auto"/>
        </w:rPr>
        <w:tab/>
      </w:r>
      <w:r w:rsidR="00EA1E53" w:rsidRPr="00C313F7">
        <w:rPr>
          <w:rFonts w:cstheme="minorHAnsi"/>
          <w:color w:val="auto"/>
        </w:rPr>
        <w:t>Once finalised during the transition phase </w:t>
      </w:r>
      <w:r w:rsidR="00EA1E53" w:rsidRPr="00C313F7">
        <w:rPr>
          <w:rFonts w:cstheme="minorHAnsi"/>
          <w:b/>
          <w:bCs/>
          <w:color w:val="auto"/>
        </w:rPr>
        <w:t>the Theory of Change will fully identify the main causal pathways required to achieve the proposed EOP outcomes, in addition to specifying the steps needed to achieve the overall goal.</w:t>
      </w:r>
      <w:r w:rsidR="00EA1E53" w:rsidRPr="00C313F7">
        <w:rPr>
          <w:rFonts w:cstheme="minorHAnsi"/>
          <w:color w:val="auto"/>
        </w:rPr>
        <w:t xml:space="preserve"> The Theory of Change will be framed by a set of critical assumptions that underlie the proposed investment. These assumptions articulate the necessary and sufficient conditions which need to be met to achieve the success of what is being proposed. Whilst the full set of assumptions will be finalised during the transition phase, several key assumptions are already apparent, including: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6314"/>
      </w:tblGrid>
      <w:tr w:rsidR="00EA1E53" w:rsidRPr="00C64817" w14:paraId="74C303CD" w14:textId="77777777" w:rsidTr="00117130">
        <w:tc>
          <w:tcPr>
            <w:tcW w:w="2686" w:type="dxa"/>
            <w:tcBorders>
              <w:top w:val="single" w:sz="6" w:space="0" w:color="auto"/>
              <w:left w:val="single" w:sz="6" w:space="0" w:color="auto"/>
              <w:bottom w:val="single" w:sz="6" w:space="0" w:color="auto"/>
              <w:right w:val="single" w:sz="6" w:space="0" w:color="auto"/>
            </w:tcBorders>
            <w:hideMark/>
          </w:tcPr>
          <w:p w14:paraId="40B08B4F" w14:textId="77777777" w:rsidR="00EA1E53" w:rsidRPr="00C313F7" w:rsidRDefault="00EA1E53" w:rsidP="00117130">
            <w:pPr>
              <w:spacing w:before="100" w:beforeAutospacing="1" w:after="100" w:afterAutospacing="1" w:line="440" w:lineRule="atLeast"/>
              <w:rPr>
                <w:rFonts w:cstheme="minorHAnsi"/>
                <w:color w:val="auto"/>
                <w:sz w:val="20"/>
                <w:szCs w:val="20"/>
              </w:rPr>
            </w:pPr>
            <w:r w:rsidRPr="00C313F7">
              <w:rPr>
                <w:rFonts w:cstheme="minorHAnsi"/>
                <w:b/>
                <w:bCs/>
                <w:color w:val="auto"/>
                <w:sz w:val="20"/>
                <w:szCs w:val="20"/>
              </w:rPr>
              <w:t>Theory of Change</w:t>
            </w:r>
          </w:p>
        </w:tc>
        <w:tc>
          <w:tcPr>
            <w:tcW w:w="6314" w:type="dxa"/>
            <w:tcBorders>
              <w:top w:val="single" w:sz="6" w:space="0" w:color="auto"/>
              <w:left w:val="nil"/>
              <w:bottom w:val="single" w:sz="6" w:space="0" w:color="auto"/>
              <w:right w:val="single" w:sz="6" w:space="0" w:color="auto"/>
            </w:tcBorders>
            <w:hideMark/>
          </w:tcPr>
          <w:p w14:paraId="4FDD383B" w14:textId="77777777" w:rsidR="00EA1E53" w:rsidRPr="00C313F7" w:rsidRDefault="00EA1E53" w:rsidP="00117130">
            <w:pPr>
              <w:spacing w:before="100" w:beforeAutospacing="1" w:after="100" w:afterAutospacing="1" w:line="440" w:lineRule="atLeast"/>
              <w:rPr>
                <w:rFonts w:cstheme="minorHAnsi"/>
                <w:color w:val="auto"/>
                <w:sz w:val="20"/>
                <w:szCs w:val="20"/>
              </w:rPr>
            </w:pPr>
            <w:r w:rsidRPr="00C313F7">
              <w:rPr>
                <w:rFonts w:cstheme="minorHAnsi"/>
                <w:b/>
                <w:bCs/>
                <w:color w:val="auto"/>
                <w:sz w:val="20"/>
                <w:szCs w:val="20"/>
              </w:rPr>
              <w:t>Assumptions </w:t>
            </w:r>
          </w:p>
        </w:tc>
      </w:tr>
      <w:tr w:rsidR="00EA1E53" w:rsidRPr="00C64817" w14:paraId="5275EAAC" w14:textId="77777777" w:rsidTr="00117130">
        <w:tc>
          <w:tcPr>
            <w:tcW w:w="2686" w:type="dxa"/>
            <w:tcBorders>
              <w:top w:val="nil"/>
              <w:left w:val="single" w:sz="6" w:space="0" w:color="auto"/>
              <w:bottom w:val="single" w:sz="6" w:space="0" w:color="auto"/>
              <w:right w:val="single" w:sz="6" w:space="0" w:color="auto"/>
            </w:tcBorders>
            <w:hideMark/>
          </w:tcPr>
          <w:p w14:paraId="7875BD8A" w14:textId="77777777" w:rsidR="00EA1E53" w:rsidRPr="00C313F7" w:rsidRDefault="00EA1E53" w:rsidP="00117130">
            <w:pPr>
              <w:spacing w:before="100" w:beforeAutospacing="1" w:after="100" w:afterAutospacing="1" w:line="440" w:lineRule="atLeast"/>
              <w:rPr>
                <w:rFonts w:cstheme="minorHAnsi"/>
                <w:color w:val="auto"/>
                <w:sz w:val="20"/>
                <w:szCs w:val="20"/>
              </w:rPr>
            </w:pPr>
            <w:r w:rsidRPr="00C313F7">
              <w:rPr>
                <w:rFonts w:cstheme="minorHAnsi"/>
                <w:color w:val="auto"/>
                <w:sz w:val="20"/>
                <w:szCs w:val="20"/>
              </w:rPr>
              <w:t>Goal Level</w:t>
            </w:r>
          </w:p>
        </w:tc>
        <w:tc>
          <w:tcPr>
            <w:tcW w:w="6314" w:type="dxa"/>
            <w:tcBorders>
              <w:top w:val="nil"/>
              <w:left w:val="nil"/>
              <w:bottom w:val="single" w:sz="6" w:space="0" w:color="auto"/>
              <w:right w:val="single" w:sz="6" w:space="0" w:color="auto"/>
            </w:tcBorders>
            <w:hideMark/>
          </w:tcPr>
          <w:p w14:paraId="57F550E4" w14:textId="6023F820"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Domestic and political acceptance across the region to address the challenge of gender equality</w:t>
            </w:r>
          </w:p>
          <w:p w14:paraId="792D1B1C" w14:textId="584B1215"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Wider/ongoing recognition of the importance of Pacific leadership and ownership to address the challenge of gender equality</w:t>
            </w:r>
          </w:p>
        </w:tc>
      </w:tr>
      <w:tr w:rsidR="00EA1E53" w:rsidRPr="00C64817" w14:paraId="23C7BBE6" w14:textId="77777777" w:rsidTr="00117130">
        <w:tc>
          <w:tcPr>
            <w:tcW w:w="2686" w:type="dxa"/>
            <w:tcBorders>
              <w:top w:val="nil"/>
              <w:left w:val="single" w:sz="6" w:space="0" w:color="auto"/>
              <w:bottom w:val="single" w:sz="6" w:space="0" w:color="auto"/>
              <w:right w:val="single" w:sz="6" w:space="0" w:color="auto"/>
            </w:tcBorders>
            <w:hideMark/>
          </w:tcPr>
          <w:p w14:paraId="10B898BC" w14:textId="6326B120" w:rsidR="00EA1E53" w:rsidRPr="00C313F7" w:rsidRDefault="00EA1E53" w:rsidP="00117130">
            <w:pPr>
              <w:spacing w:before="100" w:beforeAutospacing="1" w:after="100" w:afterAutospacing="1" w:line="440" w:lineRule="atLeast"/>
              <w:rPr>
                <w:rFonts w:cstheme="minorHAnsi"/>
                <w:color w:val="auto"/>
                <w:sz w:val="20"/>
                <w:szCs w:val="20"/>
              </w:rPr>
            </w:pPr>
            <w:r w:rsidRPr="00C313F7">
              <w:rPr>
                <w:rFonts w:cstheme="minorHAnsi"/>
                <w:color w:val="auto"/>
                <w:sz w:val="20"/>
                <w:szCs w:val="20"/>
              </w:rPr>
              <w:t>E</w:t>
            </w:r>
            <w:r w:rsidR="009316BC" w:rsidRPr="00C313F7">
              <w:rPr>
                <w:rFonts w:cstheme="minorHAnsi"/>
                <w:color w:val="auto"/>
                <w:sz w:val="20"/>
                <w:szCs w:val="20"/>
              </w:rPr>
              <w:t>nd of Program L</w:t>
            </w:r>
            <w:r w:rsidRPr="00C313F7">
              <w:rPr>
                <w:rFonts w:cstheme="minorHAnsi"/>
                <w:color w:val="auto"/>
                <w:sz w:val="20"/>
                <w:szCs w:val="20"/>
              </w:rPr>
              <w:t>evel </w:t>
            </w:r>
          </w:p>
        </w:tc>
        <w:tc>
          <w:tcPr>
            <w:tcW w:w="6314" w:type="dxa"/>
            <w:tcBorders>
              <w:top w:val="nil"/>
              <w:left w:val="nil"/>
              <w:bottom w:val="single" w:sz="6" w:space="0" w:color="auto"/>
              <w:right w:val="single" w:sz="6" w:space="0" w:color="auto"/>
            </w:tcBorders>
            <w:hideMark/>
          </w:tcPr>
          <w:p w14:paraId="14C82C61" w14:textId="368DFFF9"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Australian Government</w:t>
            </w:r>
            <w:r w:rsidRPr="00C313F7">
              <w:rPr>
                <w:sz w:val="20"/>
                <w:szCs w:val="20"/>
              </w:rPr>
              <w:t> </w:t>
            </w:r>
            <w:r w:rsidRPr="00C313F7">
              <w:rPr>
                <w:rFonts w:cstheme="minorHAnsi"/>
                <w:color w:val="auto"/>
                <w:sz w:val="20"/>
                <w:szCs w:val="20"/>
              </w:rPr>
              <w:t>remains committed to promoting gender equality in the region</w:t>
            </w:r>
          </w:p>
          <w:p w14:paraId="5E5B5509" w14:textId="440F69E7"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Partner countries continue to prioritise, and remain committed to increasing gender equality efforts</w:t>
            </w:r>
          </w:p>
          <w:p w14:paraId="70DA2544" w14:textId="77777777" w:rsidR="00EA1E53" w:rsidRPr="00C313F7" w:rsidRDefault="00EA1E53" w:rsidP="0011713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Key delivery partners willing to build close relationships with the program and promote effective joint coordination of efforts</w:t>
            </w:r>
          </w:p>
          <w:p w14:paraId="7BD48A3A" w14:textId="521C57A0"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lastRenderedPageBreak/>
              <w:t>Partner countries continue to recognise and support leadership of Pacific women to enhance gender equality across the region</w:t>
            </w:r>
          </w:p>
        </w:tc>
      </w:tr>
      <w:tr w:rsidR="00EA1E53" w:rsidRPr="00C64817" w14:paraId="4C811C4B" w14:textId="77777777" w:rsidTr="00117130">
        <w:tc>
          <w:tcPr>
            <w:tcW w:w="2686" w:type="dxa"/>
            <w:tcBorders>
              <w:top w:val="nil"/>
              <w:left w:val="single" w:sz="6" w:space="0" w:color="auto"/>
              <w:bottom w:val="single" w:sz="6" w:space="0" w:color="auto"/>
              <w:right w:val="single" w:sz="6" w:space="0" w:color="auto"/>
            </w:tcBorders>
            <w:hideMark/>
          </w:tcPr>
          <w:p w14:paraId="40801E87" w14:textId="77777777" w:rsidR="00EA1E53" w:rsidRPr="00C313F7" w:rsidRDefault="00EA1E53" w:rsidP="00117130">
            <w:pPr>
              <w:spacing w:before="100" w:beforeAutospacing="1" w:after="100" w:afterAutospacing="1" w:line="440" w:lineRule="atLeast"/>
              <w:rPr>
                <w:rFonts w:cstheme="minorHAnsi"/>
                <w:color w:val="auto"/>
                <w:sz w:val="20"/>
                <w:szCs w:val="20"/>
              </w:rPr>
            </w:pPr>
            <w:r w:rsidRPr="00C313F7">
              <w:rPr>
                <w:rFonts w:cstheme="minorHAnsi"/>
                <w:color w:val="auto"/>
                <w:sz w:val="20"/>
                <w:szCs w:val="20"/>
              </w:rPr>
              <w:lastRenderedPageBreak/>
              <w:t>Intermediate Outcome Level </w:t>
            </w:r>
          </w:p>
        </w:tc>
        <w:tc>
          <w:tcPr>
            <w:tcW w:w="6314" w:type="dxa"/>
            <w:tcBorders>
              <w:top w:val="nil"/>
              <w:left w:val="nil"/>
              <w:bottom w:val="single" w:sz="6" w:space="0" w:color="auto"/>
              <w:right w:val="single" w:sz="6" w:space="0" w:color="auto"/>
            </w:tcBorders>
            <w:hideMark/>
          </w:tcPr>
          <w:p w14:paraId="0E1FEED2" w14:textId="4D812FB7"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Partners will commit to engaging fully with this program (including providing sufficient resources to support the program, and be willing to engage in dialogue over relevant policies and laws)</w:t>
            </w:r>
          </w:p>
          <w:p w14:paraId="7A19B697" w14:textId="496F1343"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Quality technical advice from feminist CSOs available to support the program</w:t>
            </w:r>
          </w:p>
          <w:p w14:paraId="477EC9EC" w14:textId="1E7EA095"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Partners countries, DFAT bilateral programs and SCP sectoral programs welcome opportunities to engage on mainstreaming gender equality and social inclusion across all activities</w:t>
            </w:r>
          </w:p>
          <w:p w14:paraId="6615415E" w14:textId="42C8DFBC"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Partners willing to provide in-kind resources (e.g. staff time, facilities, ICT, data etc)</w:t>
            </w:r>
          </w:p>
          <w:p w14:paraId="58799CCC" w14:textId="7786D338" w:rsidR="00EA1E53" w:rsidRPr="00C313F7" w:rsidRDefault="00EA1E53" w:rsidP="00B327E0">
            <w:pPr>
              <w:pStyle w:val="ListParagraph"/>
              <w:numPr>
                <w:ilvl w:val="0"/>
                <w:numId w:val="67"/>
              </w:numPr>
              <w:spacing w:line="440" w:lineRule="atLeast"/>
              <w:rPr>
                <w:rFonts w:cstheme="minorHAnsi"/>
                <w:color w:val="auto"/>
                <w:sz w:val="20"/>
                <w:szCs w:val="20"/>
              </w:rPr>
            </w:pPr>
            <w:r w:rsidRPr="00C313F7">
              <w:rPr>
                <w:rFonts w:cstheme="minorHAnsi"/>
                <w:color w:val="auto"/>
                <w:sz w:val="20"/>
                <w:szCs w:val="20"/>
              </w:rPr>
              <w:t xml:space="preserve">Activities are sufficiently targeted to enhance the desired change in beliefs, social </w:t>
            </w:r>
            <w:proofErr w:type="gramStart"/>
            <w:r w:rsidRPr="00C313F7">
              <w:rPr>
                <w:rFonts w:cstheme="minorHAnsi"/>
                <w:color w:val="auto"/>
                <w:sz w:val="20"/>
                <w:szCs w:val="20"/>
              </w:rPr>
              <w:t>norms</w:t>
            </w:r>
            <w:proofErr w:type="gramEnd"/>
            <w:r w:rsidRPr="00C313F7">
              <w:rPr>
                <w:rFonts w:cstheme="minorHAnsi"/>
                <w:color w:val="auto"/>
                <w:sz w:val="20"/>
                <w:szCs w:val="20"/>
              </w:rPr>
              <w:t xml:space="preserve"> and attitudes</w:t>
            </w:r>
            <w:r w:rsidR="0093647F" w:rsidRPr="00C313F7">
              <w:rPr>
                <w:rFonts w:cstheme="minorHAnsi"/>
                <w:color w:val="auto"/>
                <w:sz w:val="20"/>
                <w:szCs w:val="20"/>
              </w:rPr>
              <w:t xml:space="preserve">. </w:t>
            </w:r>
          </w:p>
        </w:tc>
      </w:tr>
    </w:tbl>
    <w:p w14:paraId="29FB53E9" w14:textId="77777777" w:rsidR="00EA1E53" w:rsidRPr="00C64817" w:rsidRDefault="00EA1E53" w:rsidP="00236209">
      <w:pPr>
        <w:suppressAutoHyphens w:val="0"/>
        <w:spacing w:before="0" w:after="160" w:line="256" w:lineRule="auto"/>
        <w:jc w:val="both"/>
        <w:rPr>
          <w:rFonts w:cstheme="minorHAnsi"/>
          <w:b/>
          <w:bCs/>
          <w:color w:val="auto"/>
        </w:rPr>
      </w:pPr>
    </w:p>
    <w:p w14:paraId="55709714" w14:textId="46908485" w:rsidR="002D4DE7" w:rsidRPr="00C64817" w:rsidRDefault="00423F6B" w:rsidP="00F328DA">
      <w:pPr>
        <w:pStyle w:val="Heading1"/>
      </w:pPr>
      <w:bookmarkStart w:id="13" w:name="_Toc75535887"/>
      <w:r>
        <w:t xml:space="preserve">5. </w:t>
      </w:r>
      <w:r w:rsidR="002D4DE7" w:rsidRPr="00C64817">
        <w:t>Implementation Arrangements</w:t>
      </w:r>
      <w:bookmarkEnd w:id="13"/>
      <w:r w:rsidR="00E17B02" w:rsidRPr="00C64817">
        <w:t xml:space="preserve"> </w:t>
      </w:r>
    </w:p>
    <w:p w14:paraId="3511B2CA" w14:textId="2D19AA70" w:rsidR="003F55E1" w:rsidRPr="00C64817" w:rsidRDefault="00097052" w:rsidP="0018394C">
      <w:pPr>
        <w:suppressAutoHyphens w:val="0"/>
        <w:spacing w:before="0" w:after="160" w:line="259" w:lineRule="auto"/>
        <w:jc w:val="both"/>
        <w:rPr>
          <w:rFonts w:eastAsia="Times New Roman" w:cstheme="minorHAnsi"/>
          <w:color w:val="auto"/>
          <w:lang w:eastAsia="en-AU"/>
        </w:rPr>
      </w:pPr>
      <w:r w:rsidRPr="00407D94">
        <w:rPr>
          <w:rFonts w:eastAsia="Times New Roman" w:cstheme="minorHAnsi"/>
          <w:color w:val="auto"/>
          <w:lang w:eastAsia="en-AU"/>
        </w:rPr>
        <w:t>5.1</w:t>
      </w:r>
      <w:r w:rsidRPr="00407D94">
        <w:rPr>
          <w:rFonts w:eastAsia="Times New Roman" w:cstheme="minorHAnsi"/>
          <w:color w:val="auto"/>
          <w:lang w:eastAsia="en-AU"/>
        </w:rPr>
        <w:tab/>
      </w:r>
      <w:r w:rsidR="003F55E1" w:rsidRPr="00407D94">
        <w:rPr>
          <w:rFonts w:eastAsia="Times New Roman" w:cstheme="minorHAnsi"/>
          <w:i/>
          <w:iCs/>
          <w:color w:val="auto"/>
          <w:lang w:eastAsia="en-AU"/>
        </w:rPr>
        <w:t>Pacific Women Lead</w:t>
      </w:r>
      <w:r w:rsidR="003F55E1" w:rsidRPr="008A7462">
        <w:rPr>
          <w:rFonts w:eastAsia="Times New Roman" w:cstheme="minorHAnsi"/>
          <w:color w:val="auto"/>
          <w:lang w:eastAsia="en-AU"/>
        </w:rPr>
        <w:t xml:space="preserve"> will be characterised by both Governance and Management arrangements that are Pacif</w:t>
      </w:r>
      <w:r w:rsidR="0065272A" w:rsidRPr="00F44628">
        <w:rPr>
          <w:rFonts w:eastAsia="Times New Roman" w:cstheme="minorHAnsi"/>
          <w:color w:val="auto"/>
          <w:lang w:eastAsia="en-AU"/>
        </w:rPr>
        <w:t>i</w:t>
      </w:r>
      <w:r w:rsidR="003F55E1" w:rsidRPr="00C64817">
        <w:rPr>
          <w:rFonts w:eastAsia="Times New Roman" w:cstheme="minorHAnsi"/>
          <w:color w:val="auto"/>
          <w:lang w:eastAsia="en-AU"/>
        </w:rPr>
        <w:t>c-driven.</w:t>
      </w:r>
    </w:p>
    <w:p w14:paraId="0304B957" w14:textId="0EDED313" w:rsidR="003F55E1" w:rsidRPr="00F328DA" w:rsidRDefault="003F55E1" w:rsidP="00F328DA">
      <w:pPr>
        <w:pStyle w:val="Heading2"/>
        <w:rPr>
          <w:sz w:val="36"/>
          <w:szCs w:val="24"/>
          <w:lang w:eastAsia="en-AU"/>
        </w:rPr>
      </w:pPr>
      <w:bookmarkStart w:id="14" w:name="_Toc75535888"/>
      <w:r w:rsidRPr="00F328DA">
        <w:rPr>
          <w:sz w:val="36"/>
          <w:szCs w:val="24"/>
          <w:lang w:eastAsia="en-AU"/>
        </w:rPr>
        <w:t>Governance</w:t>
      </w:r>
      <w:bookmarkEnd w:id="14"/>
    </w:p>
    <w:p w14:paraId="295CEED0" w14:textId="5417730F" w:rsidR="003F55E1" w:rsidRPr="00C64817" w:rsidRDefault="00D46713" w:rsidP="0018394C">
      <w:p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5.2</w:t>
      </w:r>
      <w:r w:rsidRPr="00C64817">
        <w:rPr>
          <w:rFonts w:eastAsia="Times New Roman" w:cstheme="minorHAnsi"/>
          <w:color w:val="auto"/>
          <w:lang w:eastAsia="en-AU"/>
        </w:rPr>
        <w:tab/>
      </w:r>
      <w:r w:rsidR="003F55E1" w:rsidRPr="00C64817">
        <w:rPr>
          <w:rFonts w:eastAsia="Times New Roman" w:cstheme="minorHAnsi"/>
          <w:color w:val="auto"/>
          <w:lang w:eastAsia="en-AU"/>
        </w:rPr>
        <w:t xml:space="preserve">Governance will be treated as it is meant to be – as being about ‘authority and direction’. </w:t>
      </w:r>
      <w:r w:rsidR="003F55E1" w:rsidRPr="00C64817">
        <w:rPr>
          <w:rFonts w:eastAsia="Times New Roman" w:cstheme="minorHAnsi"/>
          <w:i/>
          <w:iCs/>
          <w:color w:val="auto"/>
          <w:lang w:eastAsia="en-AU"/>
        </w:rPr>
        <w:t>Pacific Women Shaping Pacific Development</w:t>
      </w:r>
      <w:r w:rsidR="003F55E1" w:rsidRPr="00C64817">
        <w:rPr>
          <w:rFonts w:eastAsia="Times New Roman" w:cstheme="minorHAnsi"/>
          <w:color w:val="auto"/>
          <w:lang w:eastAsia="en-AU"/>
        </w:rPr>
        <w:t xml:space="preserve"> has had an Advisory Board with outstanding people from the Pacific</w:t>
      </w:r>
      <w:r w:rsidR="0087220F" w:rsidRPr="00C64817">
        <w:rPr>
          <w:rFonts w:eastAsia="Times New Roman" w:cstheme="minorHAnsi"/>
          <w:color w:val="auto"/>
          <w:lang w:eastAsia="en-AU"/>
        </w:rPr>
        <w:t xml:space="preserve"> </w:t>
      </w:r>
      <w:r w:rsidR="006F453B" w:rsidRPr="00C64817">
        <w:rPr>
          <w:rFonts w:eastAsia="Times New Roman" w:cstheme="minorHAnsi"/>
          <w:color w:val="auto"/>
          <w:lang w:eastAsia="en-AU"/>
        </w:rPr>
        <w:t>who have been instrumental in</w:t>
      </w:r>
      <w:r w:rsidR="003309F7" w:rsidRPr="00C64817">
        <w:rPr>
          <w:rFonts w:eastAsia="Times New Roman" w:cstheme="minorHAnsi"/>
          <w:color w:val="auto"/>
          <w:lang w:eastAsia="en-AU"/>
        </w:rPr>
        <w:t xml:space="preserve"> </w:t>
      </w:r>
      <w:r w:rsidR="000B5B5D" w:rsidRPr="00C64817">
        <w:rPr>
          <w:rFonts w:eastAsia="Times New Roman" w:cstheme="minorHAnsi"/>
          <w:color w:val="auto"/>
          <w:lang w:eastAsia="en-AU"/>
        </w:rPr>
        <w:t>making advances in</w:t>
      </w:r>
      <w:r w:rsidR="003A0E1B" w:rsidRPr="00C64817">
        <w:rPr>
          <w:rFonts w:eastAsia="Times New Roman" w:cstheme="minorHAnsi"/>
          <w:color w:val="auto"/>
          <w:lang w:eastAsia="en-AU"/>
        </w:rPr>
        <w:t xml:space="preserve"> gender equality</w:t>
      </w:r>
      <w:r w:rsidR="006F453B" w:rsidRPr="00C64817">
        <w:rPr>
          <w:rFonts w:eastAsia="Times New Roman" w:cstheme="minorHAnsi"/>
          <w:color w:val="auto"/>
          <w:lang w:eastAsia="en-AU"/>
        </w:rPr>
        <w:t xml:space="preserve"> in the Pacific</w:t>
      </w:r>
      <w:r w:rsidR="003A0E1B" w:rsidRPr="00C64817">
        <w:rPr>
          <w:rFonts w:eastAsia="Times New Roman" w:cstheme="minorHAnsi"/>
          <w:color w:val="auto"/>
          <w:lang w:eastAsia="en-AU"/>
        </w:rPr>
        <w:t xml:space="preserve">. </w:t>
      </w:r>
      <w:r w:rsidR="003F55E1" w:rsidRPr="00C64817">
        <w:rPr>
          <w:rFonts w:eastAsia="Times New Roman" w:cstheme="minorHAnsi"/>
          <w:color w:val="auto"/>
          <w:lang w:eastAsia="en-AU"/>
        </w:rPr>
        <w:t xml:space="preserve">However, it has clearly been limited to </w:t>
      </w:r>
      <w:r w:rsidR="00437BE3">
        <w:rPr>
          <w:rFonts w:eastAsia="Times New Roman" w:cstheme="minorHAnsi"/>
          <w:color w:val="auto"/>
          <w:lang w:eastAsia="en-AU"/>
        </w:rPr>
        <w:t xml:space="preserve">an </w:t>
      </w:r>
      <w:r w:rsidR="003F55E1" w:rsidRPr="00C64817">
        <w:rPr>
          <w:rFonts w:eastAsia="Times New Roman" w:cstheme="minorHAnsi"/>
          <w:color w:val="auto"/>
          <w:lang w:eastAsia="en-AU"/>
        </w:rPr>
        <w:t xml:space="preserve">‘advisory’ role – with the governance </w:t>
      </w:r>
      <w:r w:rsidR="00CE7104">
        <w:rPr>
          <w:rFonts w:eastAsia="Times New Roman" w:cstheme="minorHAnsi"/>
          <w:color w:val="auto"/>
          <w:lang w:eastAsia="en-AU"/>
        </w:rPr>
        <w:t xml:space="preserve">and funding decisions </w:t>
      </w:r>
      <w:r w:rsidR="003F55E1" w:rsidRPr="00C64817">
        <w:rPr>
          <w:rFonts w:eastAsia="Times New Roman" w:cstheme="minorHAnsi"/>
          <w:color w:val="auto"/>
          <w:lang w:eastAsia="en-AU"/>
        </w:rPr>
        <w:t>resting with DFAT.</w:t>
      </w:r>
    </w:p>
    <w:p w14:paraId="30ACDF37" w14:textId="15E563C3" w:rsidR="0012256D" w:rsidRPr="00C64817" w:rsidRDefault="00D46713" w:rsidP="0012256D">
      <w:pPr>
        <w:rPr>
          <w:rFonts w:cstheme="minorHAnsi"/>
        </w:rPr>
      </w:pPr>
      <w:r w:rsidRPr="00C64817">
        <w:rPr>
          <w:rFonts w:eastAsia="Times New Roman" w:cstheme="minorHAnsi"/>
          <w:color w:val="auto"/>
          <w:lang w:eastAsia="en-AU"/>
        </w:rPr>
        <w:t>5.3</w:t>
      </w:r>
      <w:r w:rsidRPr="00C64817">
        <w:rPr>
          <w:rFonts w:eastAsia="Times New Roman" w:cstheme="minorHAnsi"/>
          <w:color w:val="auto"/>
          <w:lang w:eastAsia="en-AU"/>
        </w:rPr>
        <w:tab/>
      </w:r>
      <w:r w:rsidR="00C56541" w:rsidRPr="00C64817">
        <w:rPr>
          <w:rFonts w:eastAsia="Times New Roman" w:cstheme="minorHAnsi"/>
          <w:color w:val="auto"/>
          <w:lang w:eastAsia="en-AU"/>
        </w:rPr>
        <w:t xml:space="preserve">For </w:t>
      </w:r>
      <w:r w:rsidR="003F55E1" w:rsidRPr="00C64817">
        <w:rPr>
          <w:rFonts w:eastAsia="Times New Roman" w:cstheme="minorHAnsi"/>
          <w:i/>
          <w:iCs/>
          <w:color w:val="auto"/>
          <w:lang w:eastAsia="en-AU"/>
        </w:rPr>
        <w:t>Pacific Women Lead</w:t>
      </w:r>
      <w:r w:rsidR="00031941" w:rsidRPr="00C64817">
        <w:rPr>
          <w:rFonts w:eastAsia="Times New Roman" w:cstheme="minorHAnsi"/>
          <w:color w:val="auto"/>
          <w:lang w:eastAsia="en-AU"/>
        </w:rPr>
        <w:t xml:space="preserve">, with its </w:t>
      </w:r>
      <w:r w:rsidR="001052C2" w:rsidRPr="00C64817">
        <w:rPr>
          <w:rFonts w:eastAsia="Times New Roman" w:cstheme="minorHAnsi"/>
          <w:color w:val="auto"/>
          <w:lang w:eastAsia="en-AU"/>
        </w:rPr>
        <w:t xml:space="preserve">strong focus on </w:t>
      </w:r>
      <w:r w:rsidR="001052C2" w:rsidRPr="00C64817">
        <w:rPr>
          <w:rFonts w:cstheme="minorHAnsi"/>
          <w:color w:val="auto"/>
        </w:rPr>
        <w:t>Pacific ownership</w:t>
      </w:r>
      <w:r w:rsidR="00C56541" w:rsidRPr="00C64817">
        <w:rPr>
          <w:rFonts w:cstheme="minorHAnsi"/>
          <w:color w:val="auto"/>
        </w:rPr>
        <w:t>,</w:t>
      </w:r>
      <w:r w:rsidR="001052C2" w:rsidRPr="00C64817">
        <w:rPr>
          <w:rFonts w:cstheme="minorHAnsi"/>
          <w:color w:val="auto"/>
        </w:rPr>
        <w:t xml:space="preserve"> </w:t>
      </w:r>
      <w:r w:rsidR="008279B1" w:rsidRPr="00C64817">
        <w:rPr>
          <w:rFonts w:cstheme="minorHAnsi"/>
          <w:color w:val="auto"/>
        </w:rPr>
        <w:t xml:space="preserve">there will be </w:t>
      </w:r>
      <w:r w:rsidR="003F55E1" w:rsidRPr="00C64817">
        <w:rPr>
          <w:rFonts w:eastAsia="Times New Roman" w:cstheme="minorHAnsi"/>
          <w:color w:val="auto"/>
          <w:lang w:eastAsia="en-AU"/>
        </w:rPr>
        <w:t xml:space="preserve">a </w:t>
      </w:r>
      <w:r w:rsidR="008279B1" w:rsidRPr="00C64817">
        <w:rPr>
          <w:rFonts w:eastAsia="Times New Roman" w:cstheme="minorHAnsi"/>
          <w:color w:val="auto"/>
          <w:lang w:eastAsia="en-AU"/>
        </w:rPr>
        <w:t xml:space="preserve">Board </w:t>
      </w:r>
      <w:r w:rsidR="00437BE3">
        <w:rPr>
          <w:rFonts w:eastAsia="Times New Roman" w:cstheme="minorHAnsi"/>
          <w:color w:val="auto"/>
          <w:lang w:eastAsia="en-AU"/>
        </w:rPr>
        <w:t>of</w:t>
      </w:r>
      <w:r w:rsidR="003F55E1" w:rsidRPr="00C64817">
        <w:rPr>
          <w:rFonts w:eastAsia="Times New Roman" w:cstheme="minorHAnsi"/>
          <w:color w:val="auto"/>
          <w:lang w:eastAsia="en-AU"/>
        </w:rPr>
        <w:t xml:space="preserve"> highly credentialed people, </w:t>
      </w:r>
      <w:r w:rsidR="00437BE3">
        <w:rPr>
          <w:rFonts w:eastAsia="Times New Roman" w:cstheme="minorHAnsi"/>
          <w:color w:val="auto"/>
          <w:lang w:eastAsia="en-AU"/>
        </w:rPr>
        <w:t xml:space="preserve">at least two thirds of whom will be women, </w:t>
      </w:r>
      <w:r w:rsidR="00813CC5" w:rsidRPr="00C64817">
        <w:rPr>
          <w:rFonts w:eastAsia="Times New Roman" w:cstheme="minorHAnsi"/>
          <w:color w:val="auto"/>
          <w:lang w:eastAsia="en-AU"/>
        </w:rPr>
        <w:t xml:space="preserve">with a strategic role, including </w:t>
      </w:r>
      <w:r w:rsidR="00CE7104">
        <w:rPr>
          <w:rFonts w:eastAsia="Times New Roman" w:cstheme="minorHAnsi"/>
          <w:color w:val="auto"/>
          <w:lang w:eastAsia="en-AU"/>
        </w:rPr>
        <w:t xml:space="preserve">decision making for </w:t>
      </w:r>
      <w:r w:rsidR="00CB44ED" w:rsidRPr="00C64817">
        <w:rPr>
          <w:rFonts w:eastAsia="Times New Roman" w:cstheme="minorHAnsi"/>
          <w:color w:val="auto"/>
          <w:lang w:eastAsia="en-AU"/>
        </w:rPr>
        <w:t>key components of the program</w:t>
      </w:r>
      <w:r w:rsidR="003F55E1" w:rsidRPr="00C64817">
        <w:rPr>
          <w:rFonts w:eastAsia="Times New Roman" w:cstheme="minorHAnsi"/>
          <w:color w:val="auto"/>
          <w:lang w:eastAsia="en-AU"/>
        </w:rPr>
        <w:t xml:space="preserve">. </w:t>
      </w:r>
      <w:r w:rsidR="0012256D" w:rsidRPr="00C64817">
        <w:rPr>
          <w:rFonts w:cstheme="minorHAnsi"/>
          <w:color w:val="auto"/>
        </w:rPr>
        <w:t>The Governance Board will have direct oversight of certain elements of Pacific Women Lead (</w:t>
      </w:r>
      <w:r w:rsidR="00437BE3">
        <w:rPr>
          <w:rFonts w:cstheme="minorHAnsi"/>
          <w:color w:val="auto"/>
        </w:rPr>
        <w:t>some</w:t>
      </w:r>
      <w:r w:rsidR="00437BE3" w:rsidRPr="00C64817">
        <w:rPr>
          <w:rFonts w:cstheme="minorHAnsi"/>
          <w:color w:val="auto"/>
        </w:rPr>
        <w:t xml:space="preserve"> </w:t>
      </w:r>
      <w:r w:rsidR="0012256D" w:rsidRPr="00C64817">
        <w:rPr>
          <w:rFonts w:cstheme="minorHAnsi"/>
          <w:color w:val="auto"/>
        </w:rPr>
        <w:t xml:space="preserve">funding and SPC management and activity delivery). Other </w:t>
      </w:r>
      <w:r w:rsidR="00437BE3">
        <w:rPr>
          <w:rFonts w:cstheme="minorHAnsi"/>
          <w:color w:val="auto"/>
        </w:rPr>
        <w:t xml:space="preserve">activities </w:t>
      </w:r>
      <w:r w:rsidR="0012256D" w:rsidRPr="00C64817">
        <w:rPr>
          <w:rFonts w:cstheme="minorHAnsi"/>
          <w:color w:val="auto"/>
        </w:rPr>
        <w:t xml:space="preserve">with </w:t>
      </w:r>
      <w:r w:rsidR="00437BE3">
        <w:rPr>
          <w:rFonts w:cstheme="minorHAnsi"/>
          <w:color w:val="auto"/>
        </w:rPr>
        <w:t>separate</w:t>
      </w:r>
      <w:r w:rsidR="0012256D" w:rsidRPr="00C64817">
        <w:rPr>
          <w:rFonts w:cstheme="minorHAnsi"/>
          <w:color w:val="auto"/>
        </w:rPr>
        <w:t xml:space="preserve"> governance arrangements will share reporting and lessons</w:t>
      </w:r>
      <w:r w:rsidR="006945EC" w:rsidRPr="00C64817">
        <w:rPr>
          <w:rFonts w:cstheme="minorHAnsi"/>
          <w:color w:val="auto"/>
        </w:rPr>
        <w:t xml:space="preserve"> – this particularly relates to Feminist Funds</w:t>
      </w:r>
      <w:r w:rsidR="00425B02" w:rsidRPr="00C64817">
        <w:rPr>
          <w:rFonts w:cstheme="minorHAnsi"/>
          <w:color w:val="auto"/>
        </w:rPr>
        <w:t xml:space="preserve">, </w:t>
      </w:r>
      <w:r w:rsidR="008B027C" w:rsidRPr="00C64817">
        <w:rPr>
          <w:rFonts w:cstheme="minorHAnsi"/>
          <w:color w:val="auto"/>
        </w:rPr>
        <w:t xml:space="preserve">for whom </w:t>
      </w:r>
      <w:r w:rsidR="00C81DE1" w:rsidRPr="00C64817">
        <w:rPr>
          <w:rFonts w:cstheme="minorHAnsi"/>
          <w:color w:val="auto"/>
        </w:rPr>
        <w:t xml:space="preserve">maintaining </w:t>
      </w:r>
      <w:r w:rsidR="009757EB" w:rsidRPr="00C64817">
        <w:rPr>
          <w:rFonts w:cstheme="minorHAnsi"/>
          <w:color w:val="auto"/>
        </w:rPr>
        <w:t>their own</w:t>
      </w:r>
      <w:r w:rsidR="0097617C" w:rsidRPr="00C64817">
        <w:rPr>
          <w:rFonts w:cstheme="minorHAnsi"/>
          <w:color w:val="auto"/>
        </w:rPr>
        <w:t xml:space="preserve"> autonomy</w:t>
      </w:r>
      <w:r w:rsidR="00C81DE1" w:rsidRPr="00C64817">
        <w:rPr>
          <w:rFonts w:cstheme="minorHAnsi"/>
          <w:color w:val="auto"/>
        </w:rPr>
        <w:t xml:space="preserve"> is critical</w:t>
      </w:r>
      <w:r w:rsidR="00425B02" w:rsidRPr="00C64817">
        <w:rPr>
          <w:rFonts w:cstheme="minorHAnsi"/>
          <w:color w:val="auto"/>
        </w:rPr>
        <w:t>,</w:t>
      </w:r>
      <w:r w:rsidR="00745F20" w:rsidRPr="00C64817">
        <w:rPr>
          <w:rFonts w:cstheme="minorHAnsi"/>
          <w:color w:val="auto"/>
        </w:rPr>
        <w:t xml:space="preserve"> and DFAT direct funding </w:t>
      </w:r>
      <w:r w:rsidR="00437BE3">
        <w:rPr>
          <w:rFonts w:cstheme="minorHAnsi"/>
          <w:color w:val="auto"/>
        </w:rPr>
        <w:t>for</w:t>
      </w:r>
      <w:r w:rsidR="00745F20" w:rsidRPr="00C64817">
        <w:rPr>
          <w:rFonts w:cstheme="minorHAnsi"/>
          <w:color w:val="auto"/>
        </w:rPr>
        <w:t xml:space="preserve"> UN </w:t>
      </w:r>
      <w:r w:rsidR="005547F9" w:rsidRPr="00C64817">
        <w:rPr>
          <w:rFonts w:cstheme="minorHAnsi"/>
          <w:color w:val="auto"/>
        </w:rPr>
        <w:t>programs</w:t>
      </w:r>
      <w:r w:rsidR="00437BE3">
        <w:rPr>
          <w:rFonts w:cstheme="minorHAnsi"/>
          <w:color w:val="auto"/>
        </w:rPr>
        <w:t>.</w:t>
      </w:r>
    </w:p>
    <w:p w14:paraId="2612A34E" w14:textId="6948963D" w:rsidR="003F55E1" w:rsidRPr="00C64817" w:rsidRDefault="0077404B" w:rsidP="0059780B">
      <w:p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5.4</w:t>
      </w:r>
      <w:r w:rsidRPr="00C64817">
        <w:rPr>
          <w:rFonts w:eastAsia="Times New Roman" w:cstheme="minorHAnsi"/>
          <w:color w:val="auto"/>
          <w:lang w:eastAsia="en-AU"/>
        </w:rPr>
        <w:tab/>
      </w:r>
      <w:r w:rsidR="003F55E1" w:rsidRPr="00C64817">
        <w:rPr>
          <w:rFonts w:eastAsia="Times New Roman" w:cstheme="minorHAnsi"/>
          <w:color w:val="auto"/>
          <w:lang w:eastAsia="en-AU"/>
        </w:rPr>
        <w:t xml:space="preserve">The members of the </w:t>
      </w:r>
      <w:r w:rsidR="0097617C" w:rsidRPr="00C64817">
        <w:rPr>
          <w:rFonts w:eastAsia="Times New Roman" w:cstheme="minorHAnsi"/>
          <w:i/>
          <w:iCs/>
          <w:color w:val="auto"/>
          <w:lang w:eastAsia="en-AU"/>
        </w:rPr>
        <w:t>Pacific Women Lead</w:t>
      </w:r>
      <w:r w:rsidR="0097617C" w:rsidRPr="00C64817">
        <w:rPr>
          <w:rFonts w:eastAsia="Times New Roman" w:cstheme="minorHAnsi"/>
          <w:color w:val="auto"/>
          <w:lang w:eastAsia="en-AU"/>
        </w:rPr>
        <w:t xml:space="preserve"> </w:t>
      </w:r>
      <w:r w:rsidR="00463863" w:rsidRPr="00C64817">
        <w:rPr>
          <w:rFonts w:eastAsia="Times New Roman" w:cstheme="minorHAnsi"/>
          <w:color w:val="auto"/>
          <w:lang w:eastAsia="en-AU"/>
        </w:rPr>
        <w:t>Board</w:t>
      </w:r>
      <w:r w:rsidR="003F55E1" w:rsidRPr="00C64817">
        <w:rPr>
          <w:rFonts w:eastAsia="Times New Roman" w:cstheme="minorHAnsi"/>
          <w:color w:val="auto"/>
          <w:lang w:eastAsia="en-AU"/>
        </w:rPr>
        <w:t xml:space="preserve"> will </w:t>
      </w:r>
      <w:r w:rsidR="002209DA" w:rsidRPr="00C64817">
        <w:rPr>
          <w:rFonts w:eastAsia="Times New Roman" w:cstheme="minorHAnsi"/>
          <w:color w:val="auto"/>
          <w:lang w:eastAsia="en-AU"/>
        </w:rPr>
        <w:t xml:space="preserve">hold their </w:t>
      </w:r>
      <w:proofErr w:type="gramStart"/>
      <w:r w:rsidR="002209DA" w:rsidRPr="00C64817">
        <w:rPr>
          <w:rFonts w:eastAsia="Times New Roman" w:cstheme="minorHAnsi"/>
          <w:color w:val="auto"/>
          <w:lang w:eastAsia="en-AU"/>
        </w:rPr>
        <w:t>positions in their own right, not</w:t>
      </w:r>
      <w:proofErr w:type="gramEnd"/>
      <w:r w:rsidR="002209DA" w:rsidRPr="00C64817">
        <w:rPr>
          <w:rFonts w:eastAsia="Times New Roman" w:cstheme="minorHAnsi"/>
          <w:color w:val="auto"/>
          <w:lang w:eastAsia="en-AU"/>
        </w:rPr>
        <w:t xml:space="preserve"> as a representative of a particular organisation, </w:t>
      </w:r>
      <w:r w:rsidR="00C12262" w:rsidRPr="00C64817">
        <w:rPr>
          <w:rFonts w:eastAsia="Times New Roman" w:cstheme="minorHAnsi"/>
          <w:color w:val="auto"/>
          <w:lang w:eastAsia="en-AU"/>
        </w:rPr>
        <w:t xml:space="preserve">and </w:t>
      </w:r>
      <w:r w:rsidR="00B6494E" w:rsidRPr="00C64817">
        <w:rPr>
          <w:rFonts w:eastAsia="Times New Roman" w:cstheme="minorHAnsi"/>
          <w:color w:val="auto"/>
          <w:lang w:eastAsia="en-AU"/>
        </w:rPr>
        <w:t xml:space="preserve">work </w:t>
      </w:r>
      <w:r w:rsidR="00B6578B" w:rsidRPr="00C64817">
        <w:rPr>
          <w:rFonts w:eastAsia="Times New Roman" w:cstheme="minorHAnsi"/>
          <w:color w:val="auto"/>
          <w:lang w:eastAsia="en-AU"/>
        </w:rPr>
        <w:t>collectively</w:t>
      </w:r>
      <w:r w:rsidR="00C12262" w:rsidRPr="00C64817">
        <w:rPr>
          <w:rFonts w:eastAsia="Times New Roman" w:cstheme="minorHAnsi"/>
          <w:color w:val="auto"/>
          <w:lang w:eastAsia="en-AU"/>
        </w:rPr>
        <w:t xml:space="preserve"> to </w:t>
      </w:r>
      <w:r w:rsidR="00382BD6" w:rsidRPr="00C64817">
        <w:rPr>
          <w:rFonts w:eastAsia="Times New Roman" w:cstheme="minorHAnsi"/>
          <w:color w:val="auto"/>
          <w:lang w:eastAsia="en-AU"/>
        </w:rPr>
        <w:t xml:space="preserve">support the Goal and Outcomes of Pacific Women Lead. </w:t>
      </w:r>
      <w:r w:rsidR="00FD4137" w:rsidRPr="00C64817">
        <w:rPr>
          <w:rFonts w:eastAsia="Times New Roman" w:cstheme="minorHAnsi"/>
          <w:color w:val="auto"/>
          <w:lang w:eastAsia="en-AU"/>
        </w:rPr>
        <w:t>They will be</w:t>
      </w:r>
      <w:r w:rsidR="00B6578B" w:rsidRPr="00C64817">
        <w:rPr>
          <w:rFonts w:eastAsia="Times New Roman" w:cstheme="minorHAnsi"/>
          <w:color w:val="auto"/>
          <w:lang w:eastAsia="en-AU"/>
        </w:rPr>
        <w:t xml:space="preserve"> </w:t>
      </w:r>
      <w:r w:rsidR="003F55E1" w:rsidRPr="00C64817">
        <w:rPr>
          <w:rFonts w:eastAsia="Times New Roman" w:cstheme="minorHAnsi"/>
          <w:color w:val="auto"/>
          <w:lang w:eastAsia="en-AU"/>
        </w:rPr>
        <w:t>drawn from:</w:t>
      </w:r>
    </w:p>
    <w:p w14:paraId="340FAF31" w14:textId="20B88944" w:rsidR="003F55E1" w:rsidRPr="00C64817" w:rsidRDefault="0065272A" w:rsidP="0059780B">
      <w:pPr>
        <w:pStyle w:val="ListParagraph"/>
        <w:numPr>
          <w:ilvl w:val="0"/>
          <w:numId w:val="16"/>
        </w:numPr>
        <w:shd w:val="clear" w:color="auto" w:fill="FFFFFF" w:themeFill="background1"/>
        <w:tabs>
          <w:tab w:val="left" w:pos="284"/>
        </w:tabs>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E</w:t>
      </w:r>
      <w:r w:rsidR="003F55E1" w:rsidRPr="00C64817">
        <w:rPr>
          <w:rFonts w:eastAsia="Times New Roman" w:cstheme="minorHAnsi"/>
          <w:color w:val="auto"/>
          <w:lang w:eastAsia="en-AU"/>
        </w:rPr>
        <w:t xml:space="preserve">xperienced people (especially women) from the Pacific – civil society, </w:t>
      </w:r>
      <w:r w:rsidR="00861949" w:rsidRPr="00C64817">
        <w:rPr>
          <w:rFonts w:eastAsia="Times New Roman" w:cstheme="minorHAnsi"/>
          <w:color w:val="auto"/>
          <w:lang w:eastAsia="en-AU"/>
        </w:rPr>
        <w:t xml:space="preserve">churches, </w:t>
      </w:r>
      <w:r w:rsidR="003F55E1" w:rsidRPr="00C64817">
        <w:rPr>
          <w:rFonts w:eastAsia="Times New Roman" w:cstheme="minorHAnsi"/>
          <w:color w:val="auto"/>
          <w:lang w:eastAsia="en-AU"/>
        </w:rPr>
        <w:t xml:space="preserve">private sector, government </w:t>
      </w:r>
      <w:r w:rsidR="006B0FD5" w:rsidRPr="00C64817">
        <w:rPr>
          <w:rFonts w:eastAsia="Times New Roman" w:cstheme="minorHAnsi"/>
          <w:color w:val="auto"/>
          <w:lang w:eastAsia="en-AU"/>
        </w:rPr>
        <w:t>–</w:t>
      </w:r>
      <w:r w:rsidR="003F55E1" w:rsidRPr="00C64817">
        <w:rPr>
          <w:rFonts w:eastAsia="Times New Roman" w:cstheme="minorHAnsi"/>
          <w:color w:val="auto"/>
          <w:lang w:eastAsia="en-AU"/>
        </w:rPr>
        <w:t xml:space="preserve"> </w:t>
      </w:r>
      <w:r w:rsidR="006B0FD5" w:rsidRPr="00C64817">
        <w:rPr>
          <w:rFonts w:eastAsia="Times New Roman" w:cstheme="minorHAnsi"/>
          <w:color w:val="auto"/>
          <w:lang w:eastAsia="en-AU"/>
        </w:rPr>
        <w:t>with a</w:t>
      </w:r>
      <w:r w:rsidR="0055324E" w:rsidRPr="00C64817">
        <w:rPr>
          <w:rFonts w:eastAsia="Times New Roman" w:cstheme="minorHAnsi"/>
          <w:color w:val="auto"/>
          <w:lang w:eastAsia="en-AU"/>
        </w:rPr>
        <w:t xml:space="preserve">n emphasis on diversity and inclusion </w:t>
      </w:r>
      <w:r w:rsidR="0055324E" w:rsidRPr="00C64817">
        <w:rPr>
          <w:rFonts w:cstheme="minorHAnsi"/>
          <w:color w:val="auto"/>
          <w:lang w:eastAsia="en-AU"/>
        </w:rPr>
        <w:t>(</w:t>
      </w:r>
      <w:r w:rsidR="003F55E1" w:rsidRPr="00C64817">
        <w:rPr>
          <w:rFonts w:cstheme="minorHAnsi"/>
          <w:color w:val="auto"/>
          <w:lang w:eastAsia="en-AU"/>
        </w:rPr>
        <w:t xml:space="preserve">particularly </w:t>
      </w:r>
      <w:r w:rsidR="00B606D1" w:rsidRPr="00C64817">
        <w:rPr>
          <w:rFonts w:cstheme="minorHAnsi"/>
          <w:color w:val="auto"/>
          <w:lang w:eastAsia="en-AU"/>
        </w:rPr>
        <w:t xml:space="preserve">women </w:t>
      </w:r>
      <w:r w:rsidR="003F55E1" w:rsidRPr="00C64817">
        <w:rPr>
          <w:rFonts w:cstheme="minorHAnsi"/>
          <w:color w:val="auto"/>
          <w:lang w:eastAsia="en-AU"/>
        </w:rPr>
        <w:t>with disabilities</w:t>
      </w:r>
      <w:r w:rsidR="0055324E" w:rsidRPr="00C64817">
        <w:rPr>
          <w:rFonts w:cstheme="minorHAnsi"/>
          <w:color w:val="auto"/>
          <w:lang w:eastAsia="en-AU"/>
        </w:rPr>
        <w:t>)</w:t>
      </w:r>
    </w:p>
    <w:p w14:paraId="58C0CC0E" w14:textId="65409178" w:rsidR="003F55E1" w:rsidRPr="00C64817" w:rsidRDefault="003F55E1" w:rsidP="0059780B">
      <w:pPr>
        <w:pStyle w:val="ListParagraph"/>
        <w:numPr>
          <w:ilvl w:val="0"/>
          <w:numId w:val="16"/>
        </w:num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lastRenderedPageBreak/>
        <w:t>regional organisations</w:t>
      </w:r>
    </w:p>
    <w:p w14:paraId="77612C72" w14:textId="477ABE3C" w:rsidR="003F55E1" w:rsidRPr="00C64817" w:rsidRDefault="003F55E1" w:rsidP="0059780B">
      <w:pPr>
        <w:pStyle w:val="ListParagraph"/>
        <w:numPr>
          <w:ilvl w:val="0"/>
          <w:numId w:val="16"/>
        </w:num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DFAT</w:t>
      </w:r>
    </w:p>
    <w:p w14:paraId="4AE0D0AC" w14:textId="258F59E2" w:rsidR="0019642B" w:rsidRPr="00C64817" w:rsidRDefault="00EF3FF6" w:rsidP="0059780B">
      <w:pPr>
        <w:pStyle w:val="ListParagraph"/>
        <w:numPr>
          <w:ilvl w:val="0"/>
          <w:numId w:val="16"/>
        </w:num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 xml:space="preserve">The Board’s Terms of Reference will spell out </w:t>
      </w:r>
      <w:r w:rsidR="002D21A5" w:rsidRPr="00C64817">
        <w:rPr>
          <w:rFonts w:eastAsia="Times New Roman" w:cstheme="minorHAnsi"/>
          <w:color w:val="auto"/>
          <w:lang w:eastAsia="en-AU"/>
        </w:rPr>
        <w:t>a</w:t>
      </w:r>
      <w:r w:rsidRPr="00C64817">
        <w:rPr>
          <w:rFonts w:eastAsia="Times New Roman" w:cstheme="minorHAnsi"/>
          <w:color w:val="auto"/>
          <w:lang w:eastAsia="en-AU"/>
        </w:rPr>
        <w:t xml:space="preserve"> </w:t>
      </w:r>
      <w:r w:rsidR="002D21A5" w:rsidRPr="00C64817">
        <w:rPr>
          <w:rFonts w:eastAsia="Times New Roman" w:cstheme="minorHAnsi"/>
          <w:color w:val="auto"/>
          <w:lang w:eastAsia="en-AU"/>
        </w:rPr>
        <w:t>transparent process for board appointments</w:t>
      </w:r>
      <w:r w:rsidR="00664C0F" w:rsidRPr="00C64817">
        <w:rPr>
          <w:rFonts w:eastAsia="Times New Roman" w:cstheme="minorHAnsi"/>
          <w:color w:val="auto"/>
          <w:lang w:eastAsia="en-AU"/>
        </w:rPr>
        <w:t xml:space="preserve">, including </w:t>
      </w:r>
      <w:r w:rsidR="009F550F" w:rsidRPr="00C64817">
        <w:rPr>
          <w:rFonts w:eastAsia="Times New Roman" w:cstheme="minorHAnsi"/>
          <w:color w:val="auto"/>
          <w:lang w:eastAsia="en-AU"/>
        </w:rPr>
        <w:t>the impact on board membership of c</w:t>
      </w:r>
      <w:r w:rsidR="00664C0F" w:rsidRPr="00C64817">
        <w:rPr>
          <w:rFonts w:eastAsia="Times New Roman" w:cstheme="minorHAnsi"/>
          <w:color w:val="auto"/>
          <w:lang w:eastAsia="en-AU"/>
        </w:rPr>
        <w:t>onflicts of interest</w:t>
      </w:r>
      <w:r w:rsidR="001F4546" w:rsidRPr="00C64817">
        <w:rPr>
          <w:rFonts w:eastAsia="Times New Roman" w:cstheme="minorHAnsi"/>
          <w:color w:val="auto"/>
          <w:lang w:eastAsia="en-AU"/>
        </w:rPr>
        <w:t>.</w:t>
      </w:r>
    </w:p>
    <w:p w14:paraId="65F2F8D0" w14:textId="62A9D8F0" w:rsidR="003F55E1" w:rsidRPr="00C64817" w:rsidRDefault="0077404B" w:rsidP="0059780B">
      <w:p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5.5</w:t>
      </w:r>
      <w:r w:rsidRPr="00C64817">
        <w:rPr>
          <w:rFonts w:eastAsia="Times New Roman" w:cstheme="minorHAnsi"/>
          <w:color w:val="auto"/>
          <w:lang w:eastAsia="en-AU"/>
        </w:rPr>
        <w:tab/>
      </w:r>
      <w:r w:rsidR="003F55E1" w:rsidRPr="00C64817">
        <w:rPr>
          <w:rFonts w:eastAsia="Times New Roman" w:cstheme="minorHAnsi"/>
          <w:color w:val="auto"/>
          <w:lang w:eastAsia="en-AU"/>
        </w:rPr>
        <w:t xml:space="preserve">The </w:t>
      </w:r>
      <w:r w:rsidR="00463863" w:rsidRPr="00C64817">
        <w:rPr>
          <w:rFonts w:eastAsia="Times New Roman" w:cstheme="minorHAnsi"/>
          <w:color w:val="auto"/>
          <w:lang w:eastAsia="en-AU"/>
        </w:rPr>
        <w:t>Board</w:t>
      </w:r>
      <w:r w:rsidR="003F55E1" w:rsidRPr="00C64817">
        <w:rPr>
          <w:rFonts w:eastAsia="Times New Roman" w:cstheme="minorHAnsi"/>
          <w:color w:val="auto"/>
          <w:lang w:eastAsia="en-AU"/>
        </w:rPr>
        <w:t xml:space="preserve"> will</w:t>
      </w:r>
      <w:r w:rsidR="00FC71A5" w:rsidRPr="00C64817">
        <w:rPr>
          <w:rFonts w:eastAsia="Times New Roman" w:cstheme="minorHAnsi"/>
          <w:color w:val="auto"/>
          <w:lang w:eastAsia="en-AU"/>
        </w:rPr>
        <w:t>:</w:t>
      </w:r>
    </w:p>
    <w:p w14:paraId="63E5AA8B" w14:textId="77777777" w:rsidR="00F91D61" w:rsidRPr="00C64817" w:rsidRDefault="00F91D61" w:rsidP="0059780B">
      <w:pPr>
        <w:pStyle w:val="ListParagraph"/>
        <w:numPr>
          <w:ilvl w:val="0"/>
          <w:numId w:val="16"/>
        </w:num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 xml:space="preserve">Monitor performance of Pacific Women Lead against its Goal and Outcomes </w:t>
      </w:r>
    </w:p>
    <w:p w14:paraId="7B861E1E" w14:textId="2654BE17" w:rsidR="003F55E1" w:rsidRPr="00C64817" w:rsidRDefault="003F55E1" w:rsidP="0059780B">
      <w:pPr>
        <w:pStyle w:val="ListParagraph"/>
        <w:numPr>
          <w:ilvl w:val="0"/>
          <w:numId w:val="16"/>
        </w:num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 xml:space="preserve">Set strategic directions </w:t>
      </w:r>
      <w:r w:rsidR="00F91D61" w:rsidRPr="00C64817">
        <w:rPr>
          <w:rFonts w:eastAsia="Times New Roman" w:cstheme="minorHAnsi"/>
          <w:color w:val="auto"/>
          <w:lang w:eastAsia="en-AU"/>
        </w:rPr>
        <w:t xml:space="preserve">and </w:t>
      </w:r>
      <w:r w:rsidR="006D5AC4" w:rsidRPr="00C64817">
        <w:rPr>
          <w:rFonts w:eastAsia="Times New Roman" w:cstheme="minorHAnsi"/>
          <w:color w:val="auto"/>
          <w:lang w:eastAsia="en-AU"/>
        </w:rPr>
        <w:t>e</w:t>
      </w:r>
      <w:r w:rsidRPr="00C64817">
        <w:rPr>
          <w:rFonts w:eastAsia="Times New Roman" w:cstheme="minorHAnsi"/>
          <w:color w:val="auto"/>
          <w:lang w:eastAsia="en-AU"/>
        </w:rPr>
        <w:t>stablish priorities</w:t>
      </w:r>
    </w:p>
    <w:p w14:paraId="514D4937" w14:textId="52DA2528" w:rsidR="00A06FC5" w:rsidRPr="00C64817" w:rsidRDefault="00A06FC5" w:rsidP="0059780B">
      <w:pPr>
        <w:pStyle w:val="ListParagraph"/>
        <w:numPr>
          <w:ilvl w:val="0"/>
          <w:numId w:val="16"/>
        </w:num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Make resourcing decisions at</w:t>
      </w:r>
      <w:r w:rsidR="0065272A" w:rsidRPr="00C64817">
        <w:rPr>
          <w:rFonts w:eastAsia="Times New Roman" w:cstheme="minorHAnsi"/>
          <w:color w:val="auto"/>
          <w:lang w:eastAsia="en-AU"/>
        </w:rPr>
        <w:t xml:space="preserve"> a</w:t>
      </w:r>
      <w:r w:rsidRPr="00C64817">
        <w:rPr>
          <w:rFonts w:eastAsia="Times New Roman" w:cstheme="minorHAnsi"/>
          <w:color w:val="auto"/>
          <w:lang w:eastAsia="en-AU"/>
        </w:rPr>
        <w:t xml:space="preserve"> high level </w:t>
      </w:r>
      <w:r w:rsidR="006D5AC4" w:rsidRPr="00C64817">
        <w:rPr>
          <w:rFonts w:eastAsia="Times New Roman" w:cstheme="minorHAnsi"/>
          <w:color w:val="auto"/>
          <w:lang w:eastAsia="en-AU"/>
        </w:rPr>
        <w:t>for SPC and discretionary elements</w:t>
      </w:r>
    </w:p>
    <w:p w14:paraId="25349618" w14:textId="2B18B621" w:rsidR="0099544C" w:rsidRPr="00C64817" w:rsidRDefault="0099544C" w:rsidP="0059780B">
      <w:pPr>
        <w:pStyle w:val="ListParagraph"/>
        <w:numPr>
          <w:ilvl w:val="0"/>
          <w:numId w:val="16"/>
        </w:num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Monitor risks</w:t>
      </w:r>
      <w:r w:rsidR="00F9349D" w:rsidRPr="00C64817">
        <w:rPr>
          <w:rFonts w:eastAsia="Times New Roman" w:cstheme="minorHAnsi"/>
          <w:color w:val="auto"/>
          <w:lang w:eastAsia="en-AU"/>
        </w:rPr>
        <w:t xml:space="preserve"> and safeguards</w:t>
      </w:r>
    </w:p>
    <w:p w14:paraId="15D04C72" w14:textId="47F35D82" w:rsidR="006D5AC4" w:rsidRPr="00C64817" w:rsidRDefault="00F9349D" w:rsidP="0059780B">
      <w:pPr>
        <w:pStyle w:val="ListParagraph"/>
        <w:numPr>
          <w:ilvl w:val="0"/>
          <w:numId w:val="16"/>
        </w:num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Share</w:t>
      </w:r>
      <w:r w:rsidR="006D5AC4" w:rsidRPr="00C64817">
        <w:rPr>
          <w:rFonts w:eastAsia="Times New Roman" w:cstheme="minorHAnsi"/>
          <w:color w:val="auto"/>
          <w:lang w:eastAsia="en-AU"/>
        </w:rPr>
        <w:t xml:space="preserve"> strategic advice </w:t>
      </w:r>
      <w:r w:rsidRPr="00C64817">
        <w:rPr>
          <w:rFonts w:eastAsia="Times New Roman" w:cstheme="minorHAnsi"/>
          <w:color w:val="auto"/>
          <w:lang w:eastAsia="en-AU"/>
        </w:rPr>
        <w:t xml:space="preserve">and learning </w:t>
      </w:r>
      <w:r w:rsidR="00461E4A" w:rsidRPr="00C64817">
        <w:rPr>
          <w:rFonts w:eastAsia="Times New Roman" w:cstheme="minorHAnsi"/>
          <w:color w:val="auto"/>
          <w:lang w:eastAsia="en-AU"/>
        </w:rPr>
        <w:t xml:space="preserve">with </w:t>
      </w:r>
      <w:r w:rsidR="004A0C8E" w:rsidRPr="00C64817">
        <w:rPr>
          <w:rFonts w:eastAsia="Times New Roman" w:cstheme="minorHAnsi"/>
          <w:color w:val="auto"/>
          <w:lang w:eastAsia="en-AU"/>
        </w:rPr>
        <w:t xml:space="preserve">other program components with separate governance </w:t>
      </w:r>
      <w:r w:rsidR="00AE13BF" w:rsidRPr="00C64817">
        <w:rPr>
          <w:rFonts w:eastAsia="Times New Roman" w:cstheme="minorHAnsi"/>
          <w:color w:val="auto"/>
          <w:lang w:eastAsia="en-AU"/>
        </w:rPr>
        <w:t>(</w:t>
      </w:r>
      <w:proofErr w:type="spellStart"/>
      <w:r w:rsidR="00AE13BF" w:rsidRPr="00C64817">
        <w:rPr>
          <w:rFonts w:eastAsia="Times New Roman" w:cstheme="minorHAnsi"/>
          <w:color w:val="auto"/>
          <w:lang w:eastAsia="en-AU"/>
        </w:rPr>
        <w:t>esp</w:t>
      </w:r>
      <w:proofErr w:type="spellEnd"/>
      <w:r w:rsidR="00AE13BF" w:rsidRPr="00C64817">
        <w:rPr>
          <w:rFonts w:eastAsia="Times New Roman" w:cstheme="minorHAnsi"/>
          <w:color w:val="auto"/>
          <w:lang w:eastAsia="en-AU"/>
        </w:rPr>
        <w:t xml:space="preserve"> </w:t>
      </w:r>
      <w:r w:rsidR="006D5AC4" w:rsidRPr="00C64817">
        <w:rPr>
          <w:rFonts w:eastAsia="Times New Roman" w:cstheme="minorHAnsi"/>
          <w:color w:val="auto"/>
          <w:lang w:eastAsia="en-AU"/>
        </w:rPr>
        <w:t>DFAT</w:t>
      </w:r>
      <w:r w:rsidR="00AE13BF" w:rsidRPr="00C64817">
        <w:rPr>
          <w:rFonts w:eastAsia="Times New Roman" w:cstheme="minorHAnsi"/>
          <w:color w:val="auto"/>
          <w:lang w:eastAsia="en-AU"/>
        </w:rPr>
        <w:t xml:space="preserve"> funding to UN</w:t>
      </w:r>
      <w:r w:rsidR="006D5AC4" w:rsidRPr="00C64817">
        <w:rPr>
          <w:rFonts w:eastAsia="Times New Roman" w:cstheme="minorHAnsi"/>
          <w:color w:val="auto"/>
          <w:lang w:eastAsia="en-AU"/>
        </w:rPr>
        <w:t xml:space="preserve"> </w:t>
      </w:r>
      <w:r w:rsidR="00AE13BF" w:rsidRPr="00C64817">
        <w:rPr>
          <w:rFonts w:eastAsia="Times New Roman" w:cstheme="minorHAnsi"/>
          <w:color w:val="auto"/>
          <w:lang w:eastAsia="en-AU"/>
        </w:rPr>
        <w:t xml:space="preserve">programs </w:t>
      </w:r>
      <w:r w:rsidR="00E55105" w:rsidRPr="00C64817">
        <w:rPr>
          <w:rFonts w:eastAsia="Times New Roman" w:cstheme="minorHAnsi"/>
          <w:color w:val="auto"/>
          <w:lang w:eastAsia="en-AU"/>
        </w:rPr>
        <w:t xml:space="preserve">such as UN Women and UNFPA </w:t>
      </w:r>
      <w:r w:rsidR="006D5AC4" w:rsidRPr="00C64817">
        <w:rPr>
          <w:rFonts w:eastAsia="Times New Roman" w:cstheme="minorHAnsi"/>
          <w:color w:val="auto"/>
          <w:lang w:eastAsia="en-AU"/>
        </w:rPr>
        <w:t>and civil society</w:t>
      </w:r>
      <w:r w:rsidR="00AE13BF" w:rsidRPr="00C64817">
        <w:rPr>
          <w:rFonts w:eastAsia="Times New Roman" w:cstheme="minorHAnsi"/>
          <w:color w:val="auto"/>
          <w:lang w:eastAsia="en-AU"/>
        </w:rPr>
        <w:t>/feminist funds)</w:t>
      </w:r>
    </w:p>
    <w:p w14:paraId="3B81AA1E" w14:textId="2511CCF9" w:rsidR="003F55E1" w:rsidRPr="00C64817" w:rsidRDefault="00B06828" w:rsidP="0059780B">
      <w:pPr>
        <w:pStyle w:val="ListParagraph"/>
        <w:numPr>
          <w:ilvl w:val="0"/>
          <w:numId w:val="16"/>
        </w:numPr>
        <w:shd w:val="clear" w:color="auto" w:fill="FFFFFF" w:themeFill="background1"/>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Review</w:t>
      </w:r>
      <w:r w:rsidR="003F55E1" w:rsidRPr="00C64817">
        <w:rPr>
          <w:rFonts w:eastAsia="Times New Roman" w:cstheme="minorHAnsi"/>
          <w:color w:val="auto"/>
          <w:lang w:eastAsia="en-AU"/>
        </w:rPr>
        <w:t xml:space="preserve"> mainstreaming </w:t>
      </w:r>
      <w:r w:rsidR="00FC71A5" w:rsidRPr="00C64817">
        <w:rPr>
          <w:rFonts w:eastAsia="Times New Roman" w:cstheme="minorHAnsi"/>
          <w:color w:val="auto"/>
          <w:lang w:eastAsia="en-AU"/>
        </w:rPr>
        <w:t xml:space="preserve">across </w:t>
      </w:r>
      <w:r w:rsidR="008E0EBA" w:rsidRPr="00C64817">
        <w:rPr>
          <w:rFonts w:eastAsia="Times New Roman" w:cstheme="minorHAnsi"/>
          <w:color w:val="auto"/>
          <w:lang w:eastAsia="en-AU"/>
        </w:rPr>
        <w:t>DFAT and SPC</w:t>
      </w:r>
      <w:r w:rsidR="00FC71A5" w:rsidRPr="00C64817">
        <w:rPr>
          <w:rFonts w:eastAsia="Times New Roman" w:cstheme="minorHAnsi"/>
          <w:color w:val="auto"/>
          <w:lang w:eastAsia="en-AU"/>
        </w:rPr>
        <w:t xml:space="preserve"> program</w:t>
      </w:r>
      <w:r w:rsidR="00D25D1B" w:rsidRPr="00C64817">
        <w:rPr>
          <w:rFonts w:eastAsia="Times New Roman" w:cstheme="minorHAnsi"/>
          <w:color w:val="auto"/>
          <w:lang w:eastAsia="en-AU"/>
        </w:rPr>
        <w:t>s</w:t>
      </w:r>
      <w:r w:rsidR="0088425E" w:rsidRPr="00C64817">
        <w:rPr>
          <w:rFonts w:eastAsia="Times New Roman" w:cstheme="minorHAnsi"/>
          <w:color w:val="auto"/>
          <w:lang w:eastAsia="en-AU"/>
        </w:rPr>
        <w:t xml:space="preserve"> in other sectors</w:t>
      </w:r>
    </w:p>
    <w:p w14:paraId="6B37E13A" w14:textId="5290087F" w:rsidR="003F55E1" w:rsidRPr="00C64817" w:rsidRDefault="0077404B" w:rsidP="0059780B">
      <w:pPr>
        <w:shd w:val="clear" w:color="auto" w:fill="FFFFFF" w:themeFill="background1"/>
        <w:suppressAutoHyphens w:val="0"/>
        <w:spacing w:before="0" w:after="160" w:line="259" w:lineRule="auto"/>
        <w:jc w:val="both"/>
        <w:rPr>
          <w:rFonts w:cstheme="minorHAnsi"/>
          <w:color w:val="auto"/>
          <w:lang w:eastAsia="en-AU"/>
        </w:rPr>
      </w:pPr>
      <w:r w:rsidRPr="00C64817">
        <w:rPr>
          <w:rFonts w:eastAsia="Times New Roman" w:cstheme="minorHAnsi"/>
          <w:color w:val="auto"/>
          <w:lang w:eastAsia="en-AU"/>
        </w:rPr>
        <w:t>5.6</w:t>
      </w:r>
      <w:r w:rsidRPr="00C64817">
        <w:rPr>
          <w:rFonts w:eastAsia="Times New Roman" w:cstheme="minorHAnsi"/>
          <w:color w:val="auto"/>
          <w:lang w:eastAsia="en-AU"/>
        </w:rPr>
        <w:tab/>
      </w:r>
      <w:r w:rsidR="004A6FD8" w:rsidRPr="00C64817">
        <w:rPr>
          <w:rFonts w:eastAsia="Times New Roman" w:cstheme="minorHAnsi"/>
          <w:color w:val="auto"/>
          <w:lang w:eastAsia="en-AU"/>
        </w:rPr>
        <w:t xml:space="preserve">The </w:t>
      </w:r>
      <w:r w:rsidR="00463863" w:rsidRPr="00C64817">
        <w:rPr>
          <w:rFonts w:eastAsia="Times New Roman" w:cstheme="minorHAnsi"/>
          <w:color w:val="auto"/>
          <w:lang w:eastAsia="en-AU"/>
        </w:rPr>
        <w:t>Board</w:t>
      </w:r>
      <w:r w:rsidR="004A6FD8" w:rsidRPr="00C64817">
        <w:rPr>
          <w:rFonts w:eastAsia="Times New Roman" w:cstheme="minorHAnsi"/>
          <w:color w:val="auto"/>
          <w:lang w:eastAsia="en-AU"/>
        </w:rPr>
        <w:t xml:space="preserve"> will </w:t>
      </w:r>
      <w:r w:rsidR="00160D7E" w:rsidRPr="00C64817">
        <w:rPr>
          <w:rFonts w:eastAsia="Times New Roman" w:cstheme="minorHAnsi"/>
          <w:color w:val="auto"/>
          <w:lang w:eastAsia="en-AU"/>
        </w:rPr>
        <w:t xml:space="preserve">focus on the strategic level, but not get involved in the </w:t>
      </w:r>
      <w:r w:rsidR="00416CC1" w:rsidRPr="00C64817">
        <w:rPr>
          <w:rFonts w:eastAsia="Times New Roman" w:cstheme="minorHAnsi"/>
          <w:color w:val="auto"/>
          <w:lang w:eastAsia="en-AU"/>
        </w:rPr>
        <w:t xml:space="preserve">detailed </w:t>
      </w:r>
      <w:r w:rsidR="00160D7E" w:rsidRPr="00C64817">
        <w:rPr>
          <w:rFonts w:eastAsia="Times New Roman" w:cstheme="minorHAnsi"/>
          <w:color w:val="auto"/>
          <w:lang w:eastAsia="en-AU"/>
        </w:rPr>
        <w:t>running</w:t>
      </w:r>
      <w:r w:rsidR="00F56B4A" w:rsidRPr="00C64817">
        <w:rPr>
          <w:rFonts w:eastAsia="Times New Roman" w:cstheme="minorHAnsi"/>
          <w:color w:val="auto"/>
          <w:lang w:eastAsia="en-AU"/>
        </w:rPr>
        <w:t xml:space="preserve"> and management</w:t>
      </w:r>
      <w:r w:rsidR="00160D7E" w:rsidRPr="00C64817">
        <w:rPr>
          <w:rFonts w:eastAsia="Times New Roman" w:cstheme="minorHAnsi"/>
          <w:color w:val="auto"/>
          <w:lang w:eastAsia="en-AU"/>
        </w:rPr>
        <w:t xml:space="preserve"> of the program.</w:t>
      </w:r>
      <w:r w:rsidR="003D30FD" w:rsidRPr="00C64817">
        <w:rPr>
          <w:rFonts w:eastAsia="Times New Roman" w:cstheme="minorHAnsi"/>
          <w:color w:val="auto"/>
          <w:lang w:eastAsia="en-AU"/>
        </w:rPr>
        <w:t xml:space="preserve"> </w:t>
      </w:r>
      <w:r w:rsidR="009D1FCE" w:rsidRPr="00C64817">
        <w:rPr>
          <w:rFonts w:eastAsia="Times New Roman" w:cstheme="minorHAnsi"/>
          <w:color w:val="auto"/>
          <w:lang w:eastAsia="en-AU"/>
        </w:rPr>
        <w:t xml:space="preserve">One other key point relating to governance is </w:t>
      </w:r>
      <w:r w:rsidR="00D25D1B" w:rsidRPr="00C64817">
        <w:rPr>
          <w:rFonts w:eastAsia="Times New Roman" w:cstheme="minorHAnsi"/>
          <w:color w:val="auto"/>
          <w:lang w:eastAsia="en-AU"/>
        </w:rPr>
        <w:t>that</w:t>
      </w:r>
      <w:r w:rsidR="00F150FB" w:rsidRPr="00C64817">
        <w:rPr>
          <w:rFonts w:eastAsia="Times New Roman" w:cstheme="minorHAnsi"/>
          <w:color w:val="auto"/>
          <w:lang w:eastAsia="en-AU"/>
        </w:rPr>
        <w:t xml:space="preserve"> </w:t>
      </w:r>
      <w:r w:rsidR="003F55E1" w:rsidRPr="00C64817">
        <w:rPr>
          <w:rFonts w:eastAsia="Times New Roman" w:cstheme="minorHAnsi"/>
          <w:color w:val="auto"/>
          <w:lang w:eastAsia="en-AU"/>
        </w:rPr>
        <w:t>DFAT bilateral</w:t>
      </w:r>
      <w:r w:rsidR="00F150FB" w:rsidRPr="00C64817">
        <w:rPr>
          <w:rFonts w:eastAsia="Times New Roman" w:cstheme="minorHAnsi"/>
          <w:color w:val="auto"/>
          <w:lang w:eastAsia="en-AU"/>
        </w:rPr>
        <w:t xml:space="preserve"> programs</w:t>
      </w:r>
      <w:r w:rsidR="003F55E1" w:rsidRPr="00C64817">
        <w:rPr>
          <w:rFonts w:eastAsia="Times New Roman" w:cstheme="minorHAnsi"/>
          <w:color w:val="auto"/>
          <w:lang w:eastAsia="en-AU"/>
        </w:rPr>
        <w:t xml:space="preserve"> </w:t>
      </w:r>
      <w:r w:rsidR="00D25D1B" w:rsidRPr="00C64817">
        <w:rPr>
          <w:rFonts w:eastAsia="Times New Roman" w:cstheme="minorHAnsi"/>
          <w:color w:val="auto"/>
          <w:lang w:eastAsia="en-AU"/>
        </w:rPr>
        <w:t xml:space="preserve">will </w:t>
      </w:r>
      <w:r w:rsidR="00F150FB" w:rsidRPr="00C64817">
        <w:rPr>
          <w:rFonts w:eastAsia="Times New Roman" w:cstheme="minorHAnsi"/>
          <w:color w:val="auto"/>
          <w:lang w:eastAsia="en-AU"/>
        </w:rPr>
        <w:t>deliver their own gender equality initiatives at the national level</w:t>
      </w:r>
      <w:r w:rsidR="00C0678C" w:rsidRPr="00C64817">
        <w:rPr>
          <w:rFonts w:eastAsia="Times New Roman" w:cstheme="minorHAnsi"/>
          <w:color w:val="auto"/>
          <w:lang w:eastAsia="en-AU"/>
        </w:rPr>
        <w:t xml:space="preserve">. </w:t>
      </w:r>
      <w:r w:rsidR="00F150FB" w:rsidRPr="00C64817">
        <w:rPr>
          <w:rFonts w:eastAsia="Times New Roman" w:cstheme="minorHAnsi"/>
          <w:color w:val="auto"/>
          <w:lang w:eastAsia="en-AU"/>
        </w:rPr>
        <w:t xml:space="preserve">In </w:t>
      </w:r>
      <w:r w:rsidR="00DE591B" w:rsidRPr="00C64817">
        <w:rPr>
          <w:rFonts w:eastAsia="Times New Roman" w:cstheme="minorHAnsi"/>
          <w:color w:val="auto"/>
          <w:lang w:eastAsia="en-AU"/>
        </w:rPr>
        <w:t xml:space="preserve">some </w:t>
      </w:r>
      <w:r w:rsidR="00F150FB" w:rsidRPr="00C64817">
        <w:rPr>
          <w:rFonts w:eastAsia="Times New Roman" w:cstheme="minorHAnsi"/>
          <w:color w:val="auto"/>
          <w:lang w:eastAsia="en-AU"/>
        </w:rPr>
        <w:t xml:space="preserve">cases, </w:t>
      </w:r>
      <w:r w:rsidR="00DE591B" w:rsidRPr="00C64817">
        <w:rPr>
          <w:rFonts w:eastAsia="Times New Roman" w:cstheme="minorHAnsi"/>
          <w:color w:val="auto"/>
          <w:lang w:eastAsia="en-AU"/>
        </w:rPr>
        <w:t xml:space="preserve">especially larger programs, </w:t>
      </w:r>
      <w:proofErr w:type="gramStart"/>
      <w:r w:rsidR="00F150FB" w:rsidRPr="00C64817">
        <w:rPr>
          <w:rFonts w:eastAsia="Times New Roman" w:cstheme="minorHAnsi"/>
          <w:color w:val="auto"/>
          <w:lang w:eastAsia="en-AU"/>
        </w:rPr>
        <w:t>governance</w:t>
      </w:r>
      <w:proofErr w:type="gramEnd"/>
      <w:r w:rsidR="00F150FB" w:rsidRPr="00C64817">
        <w:rPr>
          <w:rFonts w:eastAsia="Times New Roman" w:cstheme="minorHAnsi"/>
          <w:color w:val="auto"/>
          <w:lang w:eastAsia="en-AU"/>
        </w:rPr>
        <w:t xml:space="preserve"> </w:t>
      </w:r>
      <w:r w:rsidR="00AA7C6B" w:rsidRPr="00C64817">
        <w:rPr>
          <w:rFonts w:eastAsia="Times New Roman" w:cstheme="minorHAnsi"/>
          <w:color w:val="auto"/>
          <w:lang w:eastAsia="en-AU"/>
        </w:rPr>
        <w:t xml:space="preserve">and management </w:t>
      </w:r>
      <w:r w:rsidR="00C0678C" w:rsidRPr="00C64817">
        <w:rPr>
          <w:rFonts w:eastAsia="Times New Roman" w:cstheme="minorHAnsi"/>
          <w:color w:val="auto"/>
          <w:lang w:eastAsia="en-AU"/>
        </w:rPr>
        <w:t xml:space="preserve">will </w:t>
      </w:r>
      <w:r w:rsidR="00F150FB" w:rsidRPr="00C64817">
        <w:rPr>
          <w:rFonts w:eastAsia="Times New Roman" w:cstheme="minorHAnsi"/>
          <w:color w:val="auto"/>
          <w:lang w:eastAsia="en-AU"/>
        </w:rPr>
        <w:t>rest with the relevant DFAT program</w:t>
      </w:r>
      <w:r w:rsidR="00C0678C" w:rsidRPr="00C64817">
        <w:rPr>
          <w:rFonts w:eastAsia="Times New Roman" w:cstheme="minorHAnsi"/>
          <w:color w:val="auto"/>
          <w:lang w:eastAsia="en-AU"/>
        </w:rPr>
        <w:t xml:space="preserve"> who </w:t>
      </w:r>
      <w:r w:rsidR="003F55E1" w:rsidRPr="00C64817">
        <w:rPr>
          <w:rFonts w:eastAsia="Times New Roman" w:cstheme="minorHAnsi"/>
          <w:color w:val="auto"/>
          <w:lang w:eastAsia="en-AU"/>
        </w:rPr>
        <w:t xml:space="preserve">will </w:t>
      </w:r>
      <w:r w:rsidR="00D25D1B" w:rsidRPr="00C64817">
        <w:rPr>
          <w:rFonts w:eastAsia="Times New Roman" w:cstheme="minorHAnsi"/>
          <w:color w:val="auto"/>
          <w:lang w:eastAsia="en-AU"/>
        </w:rPr>
        <w:t>work in partnership with national governments and civil society</w:t>
      </w:r>
      <w:r w:rsidR="00C0678C" w:rsidRPr="00C64817">
        <w:rPr>
          <w:rFonts w:eastAsia="Times New Roman" w:cstheme="minorHAnsi"/>
          <w:color w:val="auto"/>
          <w:lang w:eastAsia="en-AU"/>
        </w:rPr>
        <w:t xml:space="preserve">, but with a connection to and alignment with the overall strategic direction of </w:t>
      </w:r>
      <w:r w:rsidR="00C0678C" w:rsidRPr="00C64817">
        <w:rPr>
          <w:rFonts w:eastAsia="Times New Roman" w:cstheme="minorHAnsi"/>
          <w:i/>
          <w:color w:val="auto"/>
          <w:lang w:eastAsia="en-AU"/>
        </w:rPr>
        <w:t>Pacific Women Lead</w:t>
      </w:r>
      <w:r w:rsidR="00C0678C" w:rsidRPr="00C64817">
        <w:rPr>
          <w:rFonts w:eastAsia="Times New Roman" w:cstheme="minorHAnsi"/>
          <w:color w:val="auto"/>
          <w:lang w:eastAsia="en-AU"/>
        </w:rPr>
        <w:t>.</w:t>
      </w:r>
      <w:r w:rsidR="00B41D23" w:rsidRPr="00C64817">
        <w:rPr>
          <w:rFonts w:eastAsia="Times New Roman" w:cstheme="minorHAnsi"/>
          <w:color w:val="auto"/>
          <w:lang w:eastAsia="en-AU"/>
        </w:rPr>
        <w:t xml:space="preserve"> </w:t>
      </w:r>
      <w:r w:rsidR="00B41D23" w:rsidRPr="00C64817">
        <w:rPr>
          <w:rFonts w:cstheme="minorHAnsi"/>
          <w:color w:val="auto"/>
          <w:lang w:eastAsia="en-AU"/>
        </w:rPr>
        <w:t>Recognising constraints in smaller Pacific countries (for both DFAT posts and partners), additional support may be provided to identified smaller DFAT programs to support</w:t>
      </w:r>
      <w:r w:rsidR="00BD663F" w:rsidRPr="00C64817">
        <w:rPr>
          <w:rFonts w:cstheme="minorHAnsi"/>
          <w:color w:val="auto"/>
          <w:lang w:eastAsia="en-AU"/>
        </w:rPr>
        <w:t xml:space="preserve"> their</w:t>
      </w:r>
      <w:r w:rsidR="00B41D23" w:rsidRPr="00C64817">
        <w:rPr>
          <w:rFonts w:cstheme="minorHAnsi"/>
          <w:color w:val="auto"/>
          <w:lang w:eastAsia="en-AU"/>
        </w:rPr>
        <w:t xml:space="preserve"> </w:t>
      </w:r>
      <w:r w:rsidR="00AA7C6B" w:rsidRPr="00C64817">
        <w:rPr>
          <w:rFonts w:cstheme="minorHAnsi"/>
          <w:color w:val="auto"/>
          <w:lang w:eastAsia="en-AU"/>
        </w:rPr>
        <w:t>management</w:t>
      </w:r>
      <w:r w:rsidR="00793647" w:rsidRPr="00C64817">
        <w:rPr>
          <w:rFonts w:cstheme="minorHAnsi"/>
          <w:color w:val="auto"/>
          <w:lang w:eastAsia="en-AU"/>
        </w:rPr>
        <w:t>, but with governance remaining with the bilateral program</w:t>
      </w:r>
      <w:r w:rsidR="00BD663F" w:rsidRPr="00C64817">
        <w:rPr>
          <w:rFonts w:cstheme="minorHAnsi"/>
          <w:color w:val="auto"/>
          <w:lang w:eastAsia="en-AU"/>
        </w:rPr>
        <w:t>.</w:t>
      </w:r>
    </w:p>
    <w:p w14:paraId="275D2BCD" w14:textId="27931E06" w:rsidR="008943A5" w:rsidRPr="00C64817" w:rsidRDefault="007A3CA0" w:rsidP="0059780B">
      <w:pPr>
        <w:shd w:val="clear" w:color="auto" w:fill="FFFFFF" w:themeFill="background1"/>
        <w:suppressAutoHyphens w:val="0"/>
        <w:spacing w:before="0" w:after="160" w:line="259" w:lineRule="auto"/>
        <w:jc w:val="both"/>
        <w:rPr>
          <w:rFonts w:cstheme="minorHAnsi"/>
          <w:color w:val="auto"/>
          <w:lang w:eastAsia="en-AU"/>
        </w:rPr>
      </w:pPr>
      <w:r w:rsidRPr="00C64817">
        <w:rPr>
          <w:rFonts w:cstheme="minorHAnsi"/>
          <w:color w:val="auto"/>
          <w:lang w:eastAsia="en-AU"/>
        </w:rPr>
        <w:t>5.7</w:t>
      </w:r>
      <w:r w:rsidRPr="00C64817">
        <w:rPr>
          <w:rFonts w:cstheme="minorHAnsi"/>
          <w:color w:val="auto"/>
          <w:lang w:eastAsia="en-AU"/>
        </w:rPr>
        <w:tab/>
      </w:r>
      <w:r w:rsidR="00A409B4" w:rsidRPr="00C64817">
        <w:rPr>
          <w:rFonts w:cstheme="minorHAnsi"/>
          <w:color w:val="auto"/>
          <w:lang w:eastAsia="en-AU"/>
        </w:rPr>
        <w:t xml:space="preserve">The following </w:t>
      </w:r>
      <w:r w:rsidR="00C145DD">
        <w:rPr>
          <w:rFonts w:cstheme="minorHAnsi"/>
          <w:color w:val="auto"/>
          <w:lang w:eastAsia="en-AU"/>
        </w:rPr>
        <w:t>table</w:t>
      </w:r>
      <w:r w:rsidR="00C145DD" w:rsidRPr="00C64817">
        <w:rPr>
          <w:rFonts w:cstheme="minorHAnsi"/>
          <w:color w:val="auto"/>
          <w:lang w:eastAsia="en-AU"/>
        </w:rPr>
        <w:t xml:space="preserve"> </w:t>
      </w:r>
      <w:r w:rsidR="00A409B4" w:rsidRPr="00C64817">
        <w:rPr>
          <w:rFonts w:cstheme="minorHAnsi"/>
          <w:color w:val="auto"/>
          <w:lang w:eastAsia="en-AU"/>
        </w:rPr>
        <w:t xml:space="preserve">provides a </w:t>
      </w:r>
      <w:proofErr w:type="gramStart"/>
      <w:r w:rsidR="00A47075" w:rsidRPr="00C64817">
        <w:rPr>
          <w:rFonts w:cstheme="minorHAnsi"/>
          <w:color w:val="auto"/>
          <w:lang w:eastAsia="en-AU"/>
        </w:rPr>
        <w:t>high level</w:t>
      </w:r>
      <w:proofErr w:type="gramEnd"/>
      <w:r w:rsidR="00A47075" w:rsidRPr="00C64817">
        <w:rPr>
          <w:rFonts w:cstheme="minorHAnsi"/>
          <w:color w:val="auto"/>
          <w:lang w:eastAsia="en-AU"/>
        </w:rPr>
        <w:t xml:space="preserve"> </w:t>
      </w:r>
      <w:r w:rsidR="00A409B4" w:rsidRPr="00C64817">
        <w:rPr>
          <w:rFonts w:cstheme="minorHAnsi"/>
          <w:color w:val="auto"/>
          <w:lang w:eastAsia="en-AU"/>
        </w:rPr>
        <w:t xml:space="preserve">visual representation of the </w:t>
      </w:r>
      <w:r w:rsidR="00ED31AF" w:rsidRPr="00C64817">
        <w:rPr>
          <w:rFonts w:cstheme="minorHAnsi"/>
          <w:color w:val="auto"/>
          <w:lang w:eastAsia="en-AU"/>
        </w:rPr>
        <w:t>g</w:t>
      </w:r>
      <w:r w:rsidR="000616A2" w:rsidRPr="00C64817">
        <w:rPr>
          <w:rFonts w:cstheme="minorHAnsi"/>
          <w:color w:val="auto"/>
          <w:lang w:eastAsia="en-AU"/>
        </w:rPr>
        <w:t xml:space="preserve">overnance </w:t>
      </w:r>
      <w:r w:rsidR="00A47075" w:rsidRPr="00C64817">
        <w:rPr>
          <w:rFonts w:cstheme="minorHAnsi"/>
          <w:color w:val="auto"/>
          <w:lang w:eastAsia="en-AU"/>
        </w:rPr>
        <w:t>of Pacific Women Lead. I</w:t>
      </w:r>
      <w:r w:rsidR="003B0E5B" w:rsidRPr="00C64817">
        <w:rPr>
          <w:rFonts w:cstheme="minorHAnsi"/>
          <w:color w:val="auto"/>
          <w:lang w:eastAsia="en-AU"/>
        </w:rPr>
        <w:t xml:space="preserve">n the interests of transparency, </w:t>
      </w:r>
      <w:r w:rsidR="00ED31AF" w:rsidRPr="00C64817">
        <w:rPr>
          <w:rFonts w:cstheme="minorHAnsi"/>
          <w:color w:val="auto"/>
          <w:lang w:eastAsia="en-AU"/>
        </w:rPr>
        <w:t xml:space="preserve">clear boundaries </w:t>
      </w:r>
      <w:r w:rsidR="00E225B7" w:rsidRPr="00C64817">
        <w:rPr>
          <w:rFonts w:cstheme="minorHAnsi"/>
          <w:color w:val="auto"/>
          <w:lang w:eastAsia="en-AU"/>
        </w:rPr>
        <w:t>are be</w:t>
      </w:r>
      <w:r w:rsidR="00474462" w:rsidRPr="00C64817">
        <w:rPr>
          <w:rFonts w:cstheme="minorHAnsi"/>
          <w:color w:val="auto"/>
          <w:lang w:eastAsia="en-AU"/>
        </w:rPr>
        <w:t>ing put around</w:t>
      </w:r>
      <w:r w:rsidR="00ED31AF" w:rsidRPr="00C64817">
        <w:rPr>
          <w:rFonts w:cstheme="minorHAnsi"/>
          <w:color w:val="auto"/>
          <w:lang w:eastAsia="en-AU"/>
        </w:rPr>
        <w:t xml:space="preserve"> the Governance Board</w:t>
      </w:r>
      <w:r w:rsidR="00AF188E" w:rsidRPr="00C64817">
        <w:rPr>
          <w:rFonts w:cstheme="minorHAnsi"/>
          <w:color w:val="auto"/>
          <w:lang w:eastAsia="en-AU"/>
        </w:rPr>
        <w:t xml:space="preserve"> – and </w:t>
      </w:r>
      <w:r w:rsidR="00CD0CC4" w:rsidRPr="00C64817">
        <w:rPr>
          <w:rFonts w:cstheme="minorHAnsi"/>
          <w:color w:val="auto"/>
          <w:lang w:eastAsia="en-AU"/>
        </w:rPr>
        <w:t xml:space="preserve">the reality that </w:t>
      </w:r>
      <w:r w:rsidR="001D16D4" w:rsidRPr="00C64817">
        <w:rPr>
          <w:rFonts w:cstheme="minorHAnsi"/>
          <w:color w:val="auto"/>
          <w:lang w:eastAsia="en-AU"/>
        </w:rPr>
        <w:t xml:space="preserve">certain </w:t>
      </w:r>
      <w:r w:rsidR="00FA404D" w:rsidRPr="00C64817">
        <w:rPr>
          <w:rFonts w:cstheme="minorHAnsi"/>
          <w:color w:val="auto"/>
          <w:lang w:eastAsia="en-AU"/>
        </w:rPr>
        <w:t xml:space="preserve">program elements </w:t>
      </w:r>
      <w:r w:rsidR="00DA7B3C" w:rsidRPr="00C64817">
        <w:rPr>
          <w:rFonts w:cstheme="minorHAnsi"/>
          <w:color w:val="auto"/>
          <w:lang w:eastAsia="en-AU"/>
        </w:rPr>
        <w:t xml:space="preserve">are outside the direct </w:t>
      </w:r>
      <w:r w:rsidR="00916F70" w:rsidRPr="00C64817">
        <w:rPr>
          <w:rFonts w:cstheme="minorHAnsi"/>
          <w:color w:val="auto"/>
          <w:lang w:eastAsia="en-AU"/>
        </w:rPr>
        <w:t xml:space="preserve">oversight </w:t>
      </w:r>
      <w:r w:rsidR="00D77151" w:rsidRPr="00C64817">
        <w:rPr>
          <w:rFonts w:cstheme="minorHAnsi"/>
          <w:color w:val="auto"/>
          <w:lang w:eastAsia="en-AU"/>
        </w:rPr>
        <w:t xml:space="preserve">of the Governance Board </w:t>
      </w:r>
      <w:r w:rsidR="00F33EB5" w:rsidRPr="00C64817">
        <w:rPr>
          <w:rFonts w:cstheme="minorHAnsi"/>
          <w:color w:val="auto"/>
          <w:lang w:eastAsia="en-AU"/>
        </w:rPr>
        <w:t>is</w:t>
      </w:r>
      <w:r w:rsidR="003F2171" w:rsidRPr="00C64817">
        <w:rPr>
          <w:rFonts w:cstheme="minorHAnsi"/>
          <w:color w:val="auto"/>
          <w:lang w:eastAsia="en-AU"/>
        </w:rPr>
        <w:t xml:space="preserve"> made</w:t>
      </w:r>
      <w:r w:rsidR="00F33EB5" w:rsidRPr="00C64817">
        <w:rPr>
          <w:rFonts w:cstheme="minorHAnsi"/>
          <w:color w:val="auto"/>
          <w:lang w:eastAsia="en-AU"/>
        </w:rPr>
        <w:t xml:space="preserve"> </w:t>
      </w:r>
      <w:r w:rsidR="001F2991" w:rsidRPr="00C64817">
        <w:rPr>
          <w:rFonts w:cstheme="minorHAnsi"/>
          <w:color w:val="auto"/>
          <w:lang w:eastAsia="en-AU"/>
        </w:rPr>
        <w:t>very clea</w:t>
      </w:r>
      <w:r w:rsidR="00647F9D" w:rsidRPr="00C64817">
        <w:rPr>
          <w:rFonts w:cstheme="minorHAnsi"/>
          <w:color w:val="auto"/>
          <w:lang w:eastAsia="en-AU"/>
        </w:rPr>
        <w:t xml:space="preserve">r. </w:t>
      </w:r>
      <w:r w:rsidR="00992003">
        <w:rPr>
          <w:rFonts w:cstheme="minorHAnsi"/>
          <w:color w:val="auto"/>
          <w:lang w:eastAsia="en-AU"/>
        </w:rPr>
        <w:t>The</w:t>
      </w:r>
      <w:r w:rsidR="00CC0A43" w:rsidRPr="00C64817">
        <w:rPr>
          <w:rFonts w:cstheme="minorHAnsi"/>
          <w:color w:val="auto"/>
          <w:lang w:eastAsia="en-AU"/>
        </w:rPr>
        <w:t xml:space="preserve"> Governance Board will not have decision making </w:t>
      </w:r>
      <w:r w:rsidR="00BC6C5F" w:rsidRPr="00C64817">
        <w:rPr>
          <w:rFonts w:cstheme="minorHAnsi"/>
          <w:color w:val="auto"/>
          <w:lang w:eastAsia="en-AU"/>
        </w:rPr>
        <w:t xml:space="preserve">responsibility in relation to Civil Society/Feminist Funds </w:t>
      </w:r>
      <w:r w:rsidR="008134AF" w:rsidRPr="00C64817">
        <w:rPr>
          <w:rFonts w:cstheme="minorHAnsi"/>
          <w:color w:val="auto"/>
          <w:lang w:eastAsia="en-AU"/>
        </w:rPr>
        <w:t xml:space="preserve">(because of the importance of autonomy </w:t>
      </w:r>
      <w:r w:rsidR="006279CA" w:rsidRPr="00C64817">
        <w:rPr>
          <w:rFonts w:cstheme="minorHAnsi"/>
          <w:color w:val="auto"/>
          <w:lang w:eastAsia="en-AU"/>
        </w:rPr>
        <w:t xml:space="preserve">from government or intergovernmental </w:t>
      </w:r>
      <w:r w:rsidR="00744E78" w:rsidRPr="00C64817">
        <w:rPr>
          <w:rFonts w:cstheme="minorHAnsi"/>
          <w:color w:val="auto"/>
          <w:lang w:eastAsia="en-AU"/>
        </w:rPr>
        <w:t>organisational influence)</w:t>
      </w:r>
      <w:r w:rsidR="00EF74B4" w:rsidRPr="00C64817">
        <w:rPr>
          <w:rFonts w:cstheme="minorHAnsi"/>
          <w:color w:val="auto"/>
          <w:lang w:eastAsia="en-AU"/>
        </w:rPr>
        <w:t>, a</w:t>
      </w:r>
      <w:r w:rsidR="00352249" w:rsidRPr="00C64817">
        <w:rPr>
          <w:rFonts w:cstheme="minorHAnsi"/>
          <w:color w:val="auto"/>
          <w:lang w:eastAsia="en-AU"/>
        </w:rPr>
        <w:t xml:space="preserve">nd DFAT </w:t>
      </w:r>
      <w:r w:rsidR="002007A6" w:rsidRPr="00C64817">
        <w:rPr>
          <w:rFonts w:cstheme="minorHAnsi"/>
          <w:color w:val="auto"/>
          <w:lang w:eastAsia="en-AU"/>
        </w:rPr>
        <w:t>funding for UN/international organisations</w:t>
      </w:r>
      <w:r w:rsidR="00EF74B4" w:rsidRPr="00C64817">
        <w:rPr>
          <w:rFonts w:cstheme="minorHAnsi"/>
          <w:color w:val="auto"/>
          <w:lang w:eastAsia="en-AU"/>
        </w:rPr>
        <w:t xml:space="preserve"> </w:t>
      </w:r>
      <w:r w:rsidR="006E4EFD" w:rsidRPr="00C64817">
        <w:rPr>
          <w:rFonts w:cstheme="minorHAnsi"/>
          <w:color w:val="auto"/>
          <w:lang w:eastAsia="en-AU"/>
        </w:rPr>
        <w:t xml:space="preserve">(because of the </w:t>
      </w:r>
      <w:r w:rsidR="008A1A59" w:rsidRPr="00C64817">
        <w:rPr>
          <w:rFonts w:cstheme="minorHAnsi"/>
          <w:color w:val="auto"/>
          <w:lang w:eastAsia="en-AU"/>
        </w:rPr>
        <w:t>important</w:t>
      </w:r>
      <w:r w:rsidR="008863E8" w:rsidRPr="00C64817">
        <w:rPr>
          <w:rFonts w:cstheme="minorHAnsi"/>
          <w:color w:val="auto"/>
          <w:lang w:eastAsia="en-AU"/>
        </w:rPr>
        <w:t xml:space="preserve"> direct relationship between Australia and </w:t>
      </w:r>
      <w:r w:rsidR="008A1A59" w:rsidRPr="00C64817">
        <w:rPr>
          <w:rFonts w:cstheme="minorHAnsi"/>
          <w:color w:val="auto"/>
          <w:lang w:eastAsia="en-AU"/>
        </w:rPr>
        <w:t xml:space="preserve">international bodies of which Australia is a member) and DFAT funding for bilateral activities (because these are based on </w:t>
      </w:r>
      <w:r w:rsidR="00FF6473" w:rsidRPr="00C64817">
        <w:rPr>
          <w:rFonts w:cstheme="minorHAnsi"/>
          <w:color w:val="auto"/>
          <w:lang w:eastAsia="en-AU"/>
        </w:rPr>
        <w:t xml:space="preserve">relationships and agreements between </w:t>
      </w:r>
      <w:r w:rsidR="00CE1A00" w:rsidRPr="00C64817">
        <w:rPr>
          <w:rFonts w:cstheme="minorHAnsi"/>
          <w:color w:val="auto"/>
          <w:lang w:eastAsia="en-AU"/>
        </w:rPr>
        <w:t xml:space="preserve">Australia and </w:t>
      </w:r>
      <w:r w:rsidR="008D0E02" w:rsidRPr="00C64817">
        <w:rPr>
          <w:rFonts w:cstheme="minorHAnsi"/>
          <w:color w:val="auto"/>
          <w:lang w:eastAsia="en-AU"/>
        </w:rPr>
        <w:t>its bilateral partners).</w:t>
      </w:r>
      <w:r w:rsidR="008943A5" w:rsidRPr="00C64817">
        <w:rPr>
          <w:rFonts w:cstheme="minorHAnsi"/>
          <w:color w:val="auto"/>
          <w:lang w:eastAsia="en-AU"/>
        </w:rPr>
        <w:t xml:space="preserve">  However, </w:t>
      </w:r>
      <w:r w:rsidR="009907EF" w:rsidRPr="00C64817">
        <w:rPr>
          <w:rFonts w:cstheme="minorHAnsi"/>
          <w:color w:val="auto"/>
          <w:lang w:eastAsia="en-AU"/>
        </w:rPr>
        <w:t>a significant feature of the Governance Board is that</w:t>
      </w:r>
      <w:r w:rsidR="00997EBD" w:rsidRPr="00C64817">
        <w:rPr>
          <w:rFonts w:cstheme="minorHAnsi"/>
          <w:color w:val="auto"/>
          <w:lang w:eastAsia="en-AU"/>
        </w:rPr>
        <w:t xml:space="preserve">, while not having </w:t>
      </w:r>
      <w:r w:rsidR="00992003">
        <w:rPr>
          <w:rFonts w:cstheme="minorHAnsi"/>
          <w:color w:val="auto"/>
          <w:lang w:eastAsia="en-AU"/>
        </w:rPr>
        <w:t xml:space="preserve">a </w:t>
      </w:r>
      <w:r w:rsidR="00997EBD" w:rsidRPr="00C64817">
        <w:rPr>
          <w:rFonts w:cstheme="minorHAnsi"/>
          <w:color w:val="auto"/>
          <w:lang w:eastAsia="en-AU"/>
        </w:rPr>
        <w:t xml:space="preserve">direct governance </w:t>
      </w:r>
      <w:r w:rsidR="00E7790E" w:rsidRPr="00C64817">
        <w:rPr>
          <w:rFonts w:cstheme="minorHAnsi"/>
          <w:color w:val="auto"/>
          <w:lang w:eastAsia="en-AU"/>
        </w:rPr>
        <w:t xml:space="preserve">or decision-making </w:t>
      </w:r>
      <w:r w:rsidR="003954DA" w:rsidRPr="00C64817">
        <w:rPr>
          <w:rFonts w:cstheme="minorHAnsi"/>
          <w:color w:val="auto"/>
          <w:lang w:eastAsia="en-AU"/>
        </w:rPr>
        <w:t xml:space="preserve">role in relation to these other elements, it will take an interest in the overall picture of gender equality programming in the Pacific </w:t>
      </w:r>
      <w:r w:rsidR="006738D1" w:rsidRPr="00C64817">
        <w:rPr>
          <w:rFonts w:cstheme="minorHAnsi"/>
          <w:color w:val="auto"/>
          <w:lang w:eastAsia="en-AU"/>
        </w:rPr>
        <w:t>in a spirit of mutual shar</w:t>
      </w:r>
      <w:r w:rsidR="008909BA" w:rsidRPr="00C64817">
        <w:rPr>
          <w:rFonts w:cstheme="minorHAnsi"/>
          <w:color w:val="auto"/>
          <w:lang w:eastAsia="en-AU"/>
        </w:rPr>
        <w:t>ing of information, lessons</w:t>
      </w:r>
      <w:r w:rsidR="00992003">
        <w:rPr>
          <w:rFonts w:cstheme="minorHAnsi"/>
          <w:color w:val="auto"/>
          <w:lang w:eastAsia="en-AU"/>
        </w:rPr>
        <w:t>, reflection</w:t>
      </w:r>
      <w:r w:rsidR="003542D2">
        <w:rPr>
          <w:rFonts w:cstheme="minorHAnsi"/>
          <w:color w:val="auto"/>
          <w:lang w:eastAsia="en-AU"/>
        </w:rPr>
        <w:t xml:space="preserve"> </w:t>
      </w:r>
      <w:r w:rsidR="008909BA" w:rsidRPr="00C64817">
        <w:rPr>
          <w:rFonts w:cstheme="minorHAnsi"/>
          <w:color w:val="auto"/>
          <w:lang w:eastAsia="en-AU"/>
        </w:rPr>
        <w:t>and advice.</w:t>
      </w:r>
    </w:p>
    <w:p w14:paraId="7BA2E5D5" w14:textId="0E99C254" w:rsidR="00EA30E0" w:rsidRPr="00C64817" w:rsidRDefault="007A3CA0" w:rsidP="00EA30E0">
      <w:pPr>
        <w:shd w:val="clear" w:color="auto" w:fill="FFFFFF" w:themeFill="background1"/>
        <w:suppressAutoHyphens w:val="0"/>
        <w:spacing w:before="0" w:after="160" w:line="259" w:lineRule="auto"/>
        <w:jc w:val="both"/>
        <w:rPr>
          <w:rFonts w:cstheme="minorHAnsi"/>
          <w:color w:val="auto"/>
          <w:lang w:eastAsia="en-AU"/>
        </w:rPr>
      </w:pPr>
      <w:r w:rsidRPr="00C64817">
        <w:rPr>
          <w:rFonts w:cstheme="minorHAnsi"/>
          <w:color w:val="auto"/>
          <w:lang w:eastAsia="en-AU"/>
        </w:rPr>
        <w:t>5.8</w:t>
      </w:r>
      <w:r w:rsidRPr="00C64817">
        <w:rPr>
          <w:rFonts w:cstheme="minorHAnsi"/>
          <w:color w:val="auto"/>
          <w:lang w:eastAsia="en-AU"/>
        </w:rPr>
        <w:tab/>
      </w:r>
      <w:r w:rsidR="00EA30E0" w:rsidRPr="00C64817">
        <w:rPr>
          <w:rFonts w:cstheme="minorHAnsi"/>
          <w:color w:val="auto"/>
          <w:lang w:eastAsia="en-AU"/>
        </w:rPr>
        <w:t>The Governance Board will also have a strategic advisory role in engaging with DFAT on the mainstreaming of gender equality through Australia’s bilateral programs in the Pacific e</w:t>
      </w:r>
      <w:r w:rsidR="003542D2">
        <w:rPr>
          <w:rFonts w:cstheme="minorHAnsi"/>
          <w:color w:val="auto"/>
          <w:lang w:eastAsia="en-AU"/>
        </w:rPr>
        <w:t>.</w:t>
      </w:r>
      <w:r w:rsidR="00EA30E0" w:rsidRPr="00C64817">
        <w:rPr>
          <w:rFonts w:cstheme="minorHAnsi"/>
          <w:color w:val="auto"/>
          <w:lang w:eastAsia="en-AU"/>
        </w:rPr>
        <w:t xml:space="preserve">g. through health, education, infrastructure sectors.   This means the Board will have a (high level) view of Australia’s entire development program in the </w:t>
      </w:r>
      <w:proofErr w:type="gramStart"/>
      <w:r w:rsidR="00EA30E0" w:rsidRPr="00C64817">
        <w:rPr>
          <w:rFonts w:cstheme="minorHAnsi"/>
          <w:color w:val="auto"/>
          <w:lang w:eastAsia="en-AU"/>
        </w:rPr>
        <w:t>Pacific, and</w:t>
      </w:r>
      <w:proofErr w:type="gramEnd"/>
      <w:r w:rsidR="00EA30E0" w:rsidRPr="00C64817">
        <w:rPr>
          <w:rFonts w:cstheme="minorHAnsi"/>
          <w:color w:val="auto"/>
          <w:lang w:eastAsia="en-AU"/>
        </w:rPr>
        <w:t xml:space="preserve"> can make suggestions for gender mainstreaming to address any key gaps or increase impact. DFAT bilateral programs will have the opportunity on an annual basis to share their mainstreaming approach with the Governance Board, and to benefit from the strategic insights and advice of the combined expertise of the Governance Board members.</w:t>
      </w:r>
    </w:p>
    <w:p w14:paraId="2CD5A4A0" w14:textId="1B196ABD" w:rsidR="00141593" w:rsidRDefault="00141593" w:rsidP="00B55C71">
      <w:pPr>
        <w:rPr>
          <w:rFonts w:cstheme="minorHAnsi"/>
          <w:b/>
          <w:bCs/>
          <w:color w:val="auto"/>
          <w:u w:val="single"/>
        </w:rPr>
      </w:pPr>
    </w:p>
    <w:p w14:paraId="39209B9E" w14:textId="32FED6C3" w:rsidR="00141593" w:rsidRDefault="00141593" w:rsidP="00B55C71">
      <w:pPr>
        <w:rPr>
          <w:rFonts w:cstheme="minorHAnsi"/>
          <w:b/>
          <w:bCs/>
          <w:color w:val="auto"/>
          <w:u w:val="single"/>
        </w:rPr>
      </w:pPr>
    </w:p>
    <w:p w14:paraId="7581D2EC" w14:textId="1085B102" w:rsidR="00141593" w:rsidRDefault="00141593" w:rsidP="00B55C71">
      <w:pPr>
        <w:rPr>
          <w:rFonts w:cstheme="minorHAnsi"/>
          <w:b/>
          <w:bCs/>
          <w:color w:val="auto"/>
          <w:u w:val="single"/>
        </w:rPr>
      </w:pPr>
    </w:p>
    <w:p w14:paraId="7399AD05" w14:textId="77777777" w:rsidR="00A81376" w:rsidRDefault="00A81376" w:rsidP="00B55C71">
      <w:pPr>
        <w:rPr>
          <w:rFonts w:cstheme="minorHAnsi"/>
          <w:b/>
          <w:bCs/>
          <w:color w:val="auto"/>
          <w:u w:val="single"/>
        </w:rPr>
      </w:pPr>
    </w:p>
    <w:p w14:paraId="4247C516" w14:textId="77777777" w:rsidR="00A81376" w:rsidRDefault="00A81376" w:rsidP="00B55C71">
      <w:pPr>
        <w:rPr>
          <w:rFonts w:cstheme="minorHAnsi"/>
          <w:b/>
          <w:bCs/>
          <w:color w:val="auto"/>
          <w:u w:val="single"/>
        </w:rPr>
      </w:pPr>
    </w:p>
    <w:p w14:paraId="149F95E0" w14:textId="51F38C05" w:rsidR="00B55C71" w:rsidRDefault="00C145DD" w:rsidP="00B55C71">
      <w:pPr>
        <w:rPr>
          <w:rFonts w:cstheme="minorHAnsi"/>
          <w:b/>
          <w:bCs/>
          <w:color w:val="auto"/>
          <w:u w:val="single"/>
        </w:rPr>
      </w:pPr>
      <w:r>
        <w:rPr>
          <w:rFonts w:cstheme="minorHAnsi"/>
          <w:b/>
          <w:bCs/>
          <w:color w:val="auto"/>
          <w:u w:val="single"/>
        </w:rPr>
        <w:t>Table</w:t>
      </w:r>
      <w:r w:rsidR="00B55C71" w:rsidRPr="007B1BB1">
        <w:rPr>
          <w:rFonts w:cstheme="minorHAnsi"/>
          <w:b/>
          <w:bCs/>
          <w:color w:val="auto"/>
          <w:u w:val="single"/>
        </w:rPr>
        <w:t>: Pacific Women Lead – Proposed Governance Arrangements</w:t>
      </w:r>
    </w:p>
    <w:p w14:paraId="0BEFE5AB" w14:textId="0D4A9B61" w:rsidR="00C145DD" w:rsidRDefault="00C145DD" w:rsidP="00B55C71">
      <w:pPr>
        <w:rPr>
          <w:rFonts w:cstheme="minorHAnsi"/>
          <w:b/>
          <w:bCs/>
          <w:color w:val="auto"/>
          <w:u w:val="single"/>
        </w:rPr>
      </w:pPr>
    </w:p>
    <w:tbl>
      <w:tblPr>
        <w:tblStyle w:val="TableGrid"/>
        <w:tblW w:w="0" w:type="auto"/>
        <w:tblLook w:val="04A0" w:firstRow="1" w:lastRow="0" w:firstColumn="1" w:lastColumn="0" w:noHBand="0" w:noVBand="1"/>
      </w:tblPr>
      <w:tblGrid>
        <w:gridCol w:w="3257"/>
        <w:gridCol w:w="3257"/>
        <w:gridCol w:w="3257"/>
      </w:tblGrid>
      <w:tr w:rsidR="00C145DD" w14:paraId="0BC7C040" w14:textId="77777777" w:rsidTr="00C145DD">
        <w:tc>
          <w:tcPr>
            <w:tcW w:w="3257" w:type="dxa"/>
          </w:tcPr>
          <w:p w14:paraId="194737A1" w14:textId="1E41914B" w:rsidR="00C145DD" w:rsidRPr="00C145DD" w:rsidRDefault="00C145DD" w:rsidP="00C145DD">
            <w:pPr>
              <w:pStyle w:val="ListParagraph"/>
              <w:numPr>
                <w:ilvl w:val="0"/>
                <w:numId w:val="82"/>
              </w:numPr>
              <w:rPr>
                <w:rFonts w:cstheme="minorHAnsi"/>
                <w:b/>
                <w:bCs/>
                <w:noProof/>
                <w:color w:val="auto"/>
                <w:u w:val="single"/>
              </w:rPr>
            </w:pPr>
            <w:r>
              <w:rPr>
                <w:rFonts w:cstheme="minorHAnsi"/>
                <w:b/>
                <w:bCs/>
                <w:noProof/>
                <w:color w:val="auto"/>
                <w:u w:val="single"/>
              </w:rPr>
              <w:t>Governance Board (for SPC and discretionary elements)</w:t>
            </w:r>
          </w:p>
        </w:tc>
        <w:tc>
          <w:tcPr>
            <w:tcW w:w="3257" w:type="dxa"/>
          </w:tcPr>
          <w:p w14:paraId="5C2DCEAA" w14:textId="6987F85E" w:rsidR="00C145DD" w:rsidRPr="00C145DD" w:rsidRDefault="00C145DD" w:rsidP="00C145DD">
            <w:pPr>
              <w:pStyle w:val="ListParagraph"/>
              <w:numPr>
                <w:ilvl w:val="0"/>
                <w:numId w:val="82"/>
              </w:numPr>
              <w:rPr>
                <w:rFonts w:cstheme="minorHAnsi"/>
                <w:b/>
                <w:bCs/>
                <w:noProof/>
                <w:color w:val="auto"/>
                <w:u w:val="single"/>
              </w:rPr>
            </w:pPr>
            <w:r>
              <w:rPr>
                <w:rFonts w:cstheme="minorHAnsi"/>
                <w:b/>
                <w:bCs/>
                <w:noProof/>
                <w:color w:val="auto"/>
                <w:u w:val="single"/>
              </w:rPr>
              <w:t>Civil Society/Feminist Funds Governance</w:t>
            </w:r>
          </w:p>
        </w:tc>
        <w:tc>
          <w:tcPr>
            <w:tcW w:w="3257" w:type="dxa"/>
          </w:tcPr>
          <w:p w14:paraId="645E2BEB" w14:textId="49102E43" w:rsidR="00C145DD" w:rsidRPr="00C145DD" w:rsidRDefault="00C145DD" w:rsidP="00C145DD">
            <w:pPr>
              <w:pStyle w:val="ListParagraph"/>
              <w:numPr>
                <w:ilvl w:val="0"/>
                <w:numId w:val="82"/>
              </w:numPr>
              <w:rPr>
                <w:rFonts w:cstheme="minorHAnsi"/>
                <w:b/>
                <w:bCs/>
                <w:noProof/>
                <w:color w:val="auto"/>
                <w:u w:val="single"/>
              </w:rPr>
            </w:pPr>
            <w:r>
              <w:rPr>
                <w:rFonts w:cstheme="minorHAnsi"/>
                <w:b/>
                <w:bCs/>
                <w:noProof/>
                <w:color w:val="auto"/>
                <w:u w:val="single"/>
              </w:rPr>
              <w:t>Bilateral and other regional funds</w:t>
            </w:r>
          </w:p>
        </w:tc>
      </w:tr>
      <w:tr w:rsidR="00C145DD" w14:paraId="5274EDBF" w14:textId="77777777" w:rsidTr="00C145DD">
        <w:tc>
          <w:tcPr>
            <w:tcW w:w="3257" w:type="dxa"/>
          </w:tcPr>
          <w:p w14:paraId="080A85A4" w14:textId="77777777" w:rsidR="00C145DD" w:rsidRPr="0091387B" w:rsidRDefault="00C145DD" w:rsidP="000A04F0">
            <w:pPr>
              <w:pStyle w:val="ListParagraph"/>
              <w:numPr>
                <w:ilvl w:val="0"/>
                <w:numId w:val="83"/>
              </w:numPr>
              <w:rPr>
                <w:rFonts w:cstheme="minorHAnsi"/>
                <w:noProof/>
                <w:color w:val="auto"/>
                <w:u w:val="single"/>
              </w:rPr>
            </w:pPr>
            <w:r w:rsidRPr="0091387B">
              <w:rPr>
                <w:rFonts w:cstheme="minorHAnsi"/>
                <w:noProof/>
                <w:color w:val="auto"/>
                <w:u w:val="single"/>
              </w:rPr>
              <w:t>Coverage/performance oversight for discretionary funding and SPC management and activities</w:t>
            </w:r>
          </w:p>
          <w:p w14:paraId="3C33305A" w14:textId="77777777" w:rsidR="00C145DD" w:rsidRPr="0091387B" w:rsidRDefault="00C145DD" w:rsidP="000A04F0">
            <w:pPr>
              <w:pStyle w:val="ListParagraph"/>
              <w:numPr>
                <w:ilvl w:val="0"/>
                <w:numId w:val="83"/>
              </w:numPr>
              <w:rPr>
                <w:rFonts w:cstheme="minorHAnsi"/>
                <w:noProof/>
                <w:color w:val="auto"/>
                <w:u w:val="single"/>
              </w:rPr>
            </w:pPr>
            <w:r w:rsidRPr="0091387B">
              <w:rPr>
                <w:rFonts w:cstheme="minorHAnsi"/>
                <w:noProof/>
                <w:color w:val="auto"/>
                <w:u w:val="single"/>
              </w:rPr>
              <w:t>Resourcing decisions for discretionary funding and SPC management and activities</w:t>
            </w:r>
          </w:p>
          <w:p w14:paraId="0926FD9E" w14:textId="5D9ED6E1" w:rsidR="00C145DD" w:rsidRPr="0091387B" w:rsidRDefault="00C145DD" w:rsidP="0091387B">
            <w:pPr>
              <w:pStyle w:val="ListParagraph"/>
              <w:numPr>
                <w:ilvl w:val="0"/>
                <w:numId w:val="83"/>
              </w:numPr>
              <w:rPr>
                <w:rFonts w:cstheme="minorHAnsi"/>
                <w:noProof/>
                <w:color w:val="auto"/>
                <w:u w:val="single"/>
              </w:rPr>
            </w:pPr>
            <w:r w:rsidRPr="0091387B">
              <w:rPr>
                <w:rFonts w:cstheme="minorHAnsi"/>
                <w:noProof/>
                <w:color w:val="auto"/>
                <w:u w:val="single"/>
              </w:rPr>
              <w:t>Review Mainstreaming for DFAT work in other sectors and SPC work in other sectors</w:t>
            </w:r>
          </w:p>
        </w:tc>
        <w:tc>
          <w:tcPr>
            <w:tcW w:w="3257" w:type="dxa"/>
          </w:tcPr>
          <w:p w14:paraId="15EA759F" w14:textId="77777777" w:rsidR="00C145DD" w:rsidRPr="0091387B" w:rsidRDefault="00C145DD" w:rsidP="000A04F0">
            <w:pPr>
              <w:pStyle w:val="ListParagraph"/>
              <w:numPr>
                <w:ilvl w:val="0"/>
                <w:numId w:val="83"/>
              </w:numPr>
              <w:rPr>
                <w:rFonts w:cstheme="minorHAnsi"/>
                <w:noProof/>
                <w:color w:val="auto"/>
                <w:u w:val="single"/>
              </w:rPr>
            </w:pPr>
            <w:r w:rsidRPr="0091387B">
              <w:rPr>
                <w:rFonts w:cstheme="minorHAnsi"/>
                <w:noProof/>
                <w:color w:val="auto"/>
                <w:u w:val="single"/>
              </w:rPr>
              <w:t>A strategic partnership agreement between DFAT and all the Feminist Funds (Asia and Pacific)</w:t>
            </w:r>
          </w:p>
          <w:p w14:paraId="37DC49E0" w14:textId="0E9E5E0D" w:rsidR="00C145DD" w:rsidRPr="0091387B" w:rsidRDefault="00C145DD" w:rsidP="0091387B">
            <w:pPr>
              <w:pStyle w:val="ListParagraph"/>
              <w:numPr>
                <w:ilvl w:val="0"/>
                <w:numId w:val="83"/>
              </w:numPr>
              <w:rPr>
                <w:rFonts w:cstheme="minorHAnsi"/>
                <w:noProof/>
                <w:color w:val="auto"/>
                <w:u w:val="single"/>
              </w:rPr>
            </w:pPr>
            <w:r w:rsidRPr="0091387B">
              <w:rPr>
                <w:rFonts w:cstheme="minorHAnsi"/>
                <w:noProof/>
                <w:color w:val="auto"/>
                <w:u w:val="single"/>
              </w:rPr>
              <w:t>Individual Grant Agreements between DFAT and each Fund (Fiji Women’s Fund, Urgent Action Fund and Pacific Feminist Fund)</w:t>
            </w:r>
          </w:p>
        </w:tc>
        <w:tc>
          <w:tcPr>
            <w:tcW w:w="3257" w:type="dxa"/>
          </w:tcPr>
          <w:p w14:paraId="63237835" w14:textId="77777777" w:rsidR="00C145DD" w:rsidRPr="0091387B" w:rsidRDefault="00C145DD" w:rsidP="000A04F0">
            <w:pPr>
              <w:pStyle w:val="ListParagraph"/>
              <w:numPr>
                <w:ilvl w:val="0"/>
                <w:numId w:val="83"/>
              </w:numPr>
              <w:rPr>
                <w:rFonts w:cstheme="minorHAnsi"/>
                <w:noProof/>
                <w:color w:val="auto"/>
                <w:u w:val="single"/>
              </w:rPr>
            </w:pPr>
            <w:r w:rsidRPr="0091387B">
              <w:rPr>
                <w:rFonts w:cstheme="minorHAnsi"/>
                <w:noProof/>
                <w:color w:val="auto"/>
                <w:u w:val="single"/>
              </w:rPr>
              <w:t>DFAT will manage agreeements for bilateral gender programs with separate management and governance arrangements</w:t>
            </w:r>
          </w:p>
          <w:p w14:paraId="190AE80D" w14:textId="62AC6B57" w:rsidR="00C145DD" w:rsidRPr="0091387B" w:rsidRDefault="00C145DD" w:rsidP="0091387B">
            <w:pPr>
              <w:pStyle w:val="ListParagraph"/>
              <w:numPr>
                <w:ilvl w:val="0"/>
                <w:numId w:val="83"/>
              </w:numPr>
              <w:rPr>
                <w:rFonts w:cstheme="minorHAnsi"/>
                <w:noProof/>
                <w:color w:val="auto"/>
                <w:u w:val="single"/>
              </w:rPr>
            </w:pPr>
            <w:r w:rsidRPr="0091387B">
              <w:rPr>
                <w:rFonts w:cstheme="minorHAnsi"/>
                <w:noProof/>
                <w:color w:val="auto"/>
                <w:u w:val="single"/>
              </w:rPr>
              <w:t>DFAT will manage agreements with UN agencies with separate management and governance arrangements</w:t>
            </w:r>
          </w:p>
        </w:tc>
      </w:tr>
    </w:tbl>
    <w:p w14:paraId="02378BF1" w14:textId="137CE935" w:rsidR="00C145DD" w:rsidRPr="00D1405E" w:rsidRDefault="00D1405E" w:rsidP="00B55C71">
      <w:pPr>
        <w:rPr>
          <w:rFonts w:cstheme="minorHAnsi"/>
          <w:noProof/>
          <w:color w:val="auto"/>
          <w:u w:val="single"/>
        </w:rPr>
      </w:pPr>
      <w:r w:rsidRPr="00D1405E">
        <w:rPr>
          <w:rFonts w:cstheme="minorHAnsi"/>
          <w:noProof/>
          <w:color w:val="auto"/>
          <w:u w:val="single"/>
        </w:rPr>
        <w:t>Performance reporting and lessons learned consolidated and shared across (A), (B) and (C).</w:t>
      </w:r>
    </w:p>
    <w:p w14:paraId="6C046DCF" w14:textId="074F6C5E" w:rsidR="000C4F33" w:rsidRPr="00407D94" w:rsidRDefault="000C4F33">
      <w:pPr>
        <w:suppressAutoHyphens w:val="0"/>
        <w:spacing w:before="0" w:after="160" w:line="259" w:lineRule="auto"/>
        <w:jc w:val="both"/>
        <w:rPr>
          <w:rFonts w:eastAsia="Times New Roman" w:cstheme="minorHAnsi"/>
          <w:color w:val="auto"/>
          <w:lang w:eastAsia="en-AU"/>
        </w:rPr>
      </w:pPr>
    </w:p>
    <w:p w14:paraId="78975402" w14:textId="29646BF2" w:rsidR="00D34179" w:rsidRPr="00C64817" w:rsidRDefault="009E795A">
      <w:pPr>
        <w:suppressAutoHyphens w:val="0"/>
        <w:spacing w:before="0" w:after="160" w:line="259" w:lineRule="auto"/>
        <w:jc w:val="both"/>
        <w:rPr>
          <w:rFonts w:eastAsia="Times New Roman" w:cstheme="minorHAnsi"/>
          <w:color w:val="auto"/>
          <w:lang w:eastAsia="en-AU"/>
        </w:rPr>
      </w:pPr>
      <w:r w:rsidRPr="008A7462">
        <w:rPr>
          <w:rFonts w:eastAsia="Times New Roman" w:cstheme="minorHAnsi"/>
          <w:color w:val="auto"/>
          <w:lang w:eastAsia="en-AU"/>
        </w:rPr>
        <w:t>5.</w:t>
      </w:r>
      <w:r w:rsidR="007A3CA0" w:rsidRPr="00C64817">
        <w:rPr>
          <w:rFonts w:eastAsia="Times New Roman" w:cstheme="minorHAnsi"/>
          <w:color w:val="auto"/>
          <w:lang w:eastAsia="en-AU"/>
        </w:rPr>
        <w:t>9</w:t>
      </w:r>
      <w:r w:rsidRPr="00C64817">
        <w:rPr>
          <w:rFonts w:eastAsia="Times New Roman" w:cstheme="minorHAnsi"/>
          <w:b/>
          <w:color w:val="auto"/>
          <w:lang w:eastAsia="en-AU"/>
        </w:rPr>
        <w:tab/>
      </w:r>
      <w:r w:rsidR="00576DD2" w:rsidRPr="00C64817">
        <w:rPr>
          <w:rFonts w:eastAsia="Times New Roman" w:cstheme="minorHAnsi"/>
          <w:b/>
          <w:color w:val="auto"/>
          <w:lang w:eastAsia="en-AU"/>
        </w:rPr>
        <w:t>DFAT’s role in governance</w:t>
      </w:r>
      <w:r w:rsidR="00576DD2" w:rsidRPr="00C64817">
        <w:rPr>
          <w:rFonts w:eastAsia="Times New Roman" w:cstheme="minorHAnsi"/>
          <w:color w:val="auto"/>
          <w:lang w:eastAsia="en-AU"/>
        </w:rPr>
        <w:t>:</w:t>
      </w:r>
    </w:p>
    <w:p w14:paraId="33D69650" w14:textId="09B3681D" w:rsidR="002535FB" w:rsidRPr="00C64817" w:rsidRDefault="002535FB" w:rsidP="003C0072">
      <w:pPr>
        <w:pStyle w:val="ListParagraph"/>
        <w:numPr>
          <w:ilvl w:val="0"/>
          <w:numId w:val="16"/>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 xml:space="preserve">DFAT will have a single representative on the </w:t>
      </w:r>
      <w:r w:rsidR="00463863" w:rsidRPr="00C64817">
        <w:rPr>
          <w:rFonts w:eastAsia="Times New Roman" w:cstheme="minorHAnsi"/>
          <w:color w:val="auto"/>
          <w:lang w:eastAsia="en-AU"/>
        </w:rPr>
        <w:t>Board</w:t>
      </w:r>
      <w:r w:rsidRPr="00C64817">
        <w:rPr>
          <w:rFonts w:eastAsia="Times New Roman" w:cstheme="minorHAnsi"/>
          <w:color w:val="auto"/>
          <w:lang w:eastAsia="en-AU"/>
        </w:rPr>
        <w:t xml:space="preserve"> and will participate equally with other board members in the governance of Pacific Women Lead</w:t>
      </w:r>
    </w:p>
    <w:p w14:paraId="2F19C2CC" w14:textId="31514650" w:rsidR="002535FB" w:rsidRPr="00C64817" w:rsidRDefault="002535FB" w:rsidP="003C0072">
      <w:pPr>
        <w:pStyle w:val="ListParagraph"/>
        <w:numPr>
          <w:ilvl w:val="0"/>
          <w:numId w:val="16"/>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 xml:space="preserve">DFAT will have the financial delegations to authorise funding requirements arising from </w:t>
      </w:r>
      <w:r w:rsidR="00463863" w:rsidRPr="00C64817">
        <w:rPr>
          <w:rFonts w:eastAsia="Times New Roman" w:cstheme="minorHAnsi"/>
          <w:color w:val="auto"/>
          <w:lang w:eastAsia="en-AU"/>
        </w:rPr>
        <w:t>Board</w:t>
      </w:r>
      <w:r w:rsidRPr="00C64817">
        <w:rPr>
          <w:rFonts w:eastAsia="Times New Roman" w:cstheme="minorHAnsi"/>
          <w:color w:val="auto"/>
          <w:lang w:eastAsia="en-AU"/>
        </w:rPr>
        <w:t xml:space="preserve"> decisions </w:t>
      </w:r>
      <w:r w:rsidR="00283C9E" w:rsidRPr="00C64817">
        <w:rPr>
          <w:rFonts w:eastAsia="Times New Roman" w:cstheme="minorHAnsi"/>
          <w:color w:val="auto"/>
          <w:lang w:eastAsia="en-AU"/>
        </w:rPr>
        <w:t>on SPC and discretionary components of the program</w:t>
      </w:r>
      <w:r w:rsidR="008D7DA6" w:rsidRPr="00C64817">
        <w:rPr>
          <w:rFonts w:eastAsia="Times New Roman" w:cstheme="minorHAnsi"/>
          <w:color w:val="auto"/>
          <w:lang w:eastAsia="en-AU"/>
        </w:rPr>
        <w:t xml:space="preserve">. </w:t>
      </w:r>
      <w:r w:rsidR="003542D2">
        <w:rPr>
          <w:rFonts w:eastAsia="Times New Roman" w:cstheme="minorHAnsi"/>
          <w:color w:val="auto"/>
          <w:lang w:eastAsia="en-AU"/>
        </w:rPr>
        <w:t>If</w:t>
      </w:r>
      <w:r w:rsidR="0080410E" w:rsidRPr="00C64817">
        <w:rPr>
          <w:rFonts w:eastAsia="Times New Roman" w:cstheme="minorHAnsi"/>
          <w:color w:val="auto"/>
          <w:lang w:eastAsia="en-AU"/>
        </w:rPr>
        <w:t xml:space="preserve"> DFAT is not able </w:t>
      </w:r>
      <w:r w:rsidR="004372DE" w:rsidRPr="00C64817">
        <w:rPr>
          <w:rFonts w:eastAsia="Times New Roman" w:cstheme="minorHAnsi"/>
          <w:color w:val="auto"/>
          <w:lang w:eastAsia="en-AU"/>
        </w:rPr>
        <w:t>to exercise financial delegations in accordance with the decision of the Board, DFAT will be required to provide the Board with a written explanation.</w:t>
      </w:r>
    </w:p>
    <w:p w14:paraId="01956B14" w14:textId="4769ED4D" w:rsidR="00F37873" w:rsidRDefault="00F37873" w:rsidP="003C0072">
      <w:pPr>
        <w:pStyle w:val="ListParagraph"/>
        <w:numPr>
          <w:ilvl w:val="0"/>
          <w:numId w:val="16"/>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At the same time, DFAT will retain</w:t>
      </w:r>
      <w:r w:rsidR="00A90260" w:rsidRPr="00C64817">
        <w:rPr>
          <w:rFonts w:eastAsia="Times New Roman" w:cstheme="minorHAnsi"/>
          <w:color w:val="auto"/>
          <w:lang w:eastAsia="en-AU"/>
        </w:rPr>
        <w:t xml:space="preserve"> </w:t>
      </w:r>
      <w:r w:rsidR="00CE7104">
        <w:rPr>
          <w:rFonts w:eastAsia="Times New Roman" w:cstheme="minorHAnsi"/>
          <w:color w:val="auto"/>
          <w:lang w:eastAsia="en-AU"/>
        </w:rPr>
        <w:t>separate governance arrangements with</w:t>
      </w:r>
      <w:r w:rsidR="00A90260" w:rsidRPr="00C64817">
        <w:rPr>
          <w:rFonts w:eastAsia="Times New Roman" w:cstheme="minorHAnsi"/>
          <w:color w:val="auto"/>
          <w:lang w:eastAsia="en-AU"/>
        </w:rPr>
        <w:t xml:space="preserve"> its partnerships with </w:t>
      </w:r>
      <w:r w:rsidR="00CE7104">
        <w:rPr>
          <w:rFonts w:eastAsia="Times New Roman" w:cstheme="minorHAnsi"/>
          <w:color w:val="auto"/>
          <w:lang w:eastAsia="en-AU"/>
        </w:rPr>
        <w:t xml:space="preserve">Feminist Funds </w:t>
      </w:r>
      <w:r w:rsidR="00A90260" w:rsidRPr="00C64817">
        <w:rPr>
          <w:rFonts w:eastAsia="Times New Roman" w:cstheme="minorHAnsi"/>
          <w:color w:val="auto"/>
          <w:lang w:eastAsia="en-AU"/>
        </w:rPr>
        <w:t>intergovernmental agencies, in particular the UN</w:t>
      </w:r>
      <w:r w:rsidR="00CE7104">
        <w:rPr>
          <w:rFonts w:eastAsia="Times New Roman" w:cstheme="minorHAnsi"/>
          <w:color w:val="auto"/>
          <w:lang w:eastAsia="en-AU"/>
        </w:rPr>
        <w:t xml:space="preserve">. </w:t>
      </w:r>
    </w:p>
    <w:p w14:paraId="7AC0863F" w14:textId="54D198E7" w:rsidR="0066255B" w:rsidRDefault="009E795A" w:rsidP="00BA6799">
      <w:pPr>
        <w:suppressAutoHyphens w:val="0"/>
        <w:spacing w:before="0" w:after="160" w:line="259" w:lineRule="auto"/>
        <w:jc w:val="both"/>
        <w:rPr>
          <w:rFonts w:eastAsia="Times New Roman" w:cstheme="minorHAnsi"/>
          <w:b/>
          <w:bCs/>
          <w:color w:val="auto"/>
          <w:lang w:eastAsia="en-AU"/>
        </w:rPr>
      </w:pPr>
      <w:r w:rsidRPr="00C64817">
        <w:rPr>
          <w:rFonts w:eastAsia="Times New Roman" w:cstheme="minorHAnsi"/>
          <w:color w:val="auto"/>
          <w:lang w:eastAsia="en-AU"/>
        </w:rPr>
        <w:t>5.</w:t>
      </w:r>
      <w:r w:rsidR="007A3CA0" w:rsidRPr="00C64817">
        <w:rPr>
          <w:rFonts w:eastAsia="Times New Roman" w:cstheme="minorHAnsi"/>
          <w:color w:val="auto"/>
          <w:lang w:eastAsia="en-AU"/>
        </w:rPr>
        <w:t>10</w:t>
      </w:r>
      <w:r w:rsidRPr="00C64817">
        <w:rPr>
          <w:rFonts w:eastAsia="Times New Roman" w:cstheme="minorHAnsi"/>
          <w:color w:val="auto"/>
          <w:lang w:eastAsia="en-AU"/>
        </w:rPr>
        <w:tab/>
      </w:r>
      <w:r w:rsidR="002535FB" w:rsidRPr="00C64817">
        <w:rPr>
          <w:rFonts w:eastAsia="Times New Roman" w:cstheme="minorHAnsi"/>
          <w:color w:val="auto"/>
          <w:lang w:eastAsia="en-AU"/>
        </w:rPr>
        <w:t xml:space="preserve">Consistent with the Pacific-led principle for this program, the </w:t>
      </w:r>
      <w:r w:rsidR="00463863" w:rsidRPr="00C64817">
        <w:rPr>
          <w:rFonts w:eastAsia="Times New Roman" w:cstheme="minorHAnsi"/>
          <w:color w:val="auto"/>
          <w:lang w:eastAsia="en-AU"/>
        </w:rPr>
        <w:t>Board</w:t>
      </w:r>
      <w:r w:rsidR="002535FB" w:rsidRPr="00C64817">
        <w:rPr>
          <w:rFonts w:eastAsia="Times New Roman" w:cstheme="minorHAnsi"/>
          <w:color w:val="auto"/>
          <w:lang w:eastAsia="en-AU"/>
        </w:rPr>
        <w:t xml:space="preserve"> </w:t>
      </w:r>
      <w:r w:rsidR="00DB3C73">
        <w:rPr>
          <w:rFonts w:eastAsia="Times New Roman" w:cstheme="minorHAnsi"/>
          <w:color w:val="auto"/>
          <w:lang w:eastAsia="en-AU"/>
        </w:rPr>
        <w:t xml:space="preserve">(including one member from DFAT) </w:t>
      </w:r>
      <w:r w:rsidR="002535FB" w:rsidRPr="00DB3C73">
        <w:rPr>
          <w:rFonts w:eastAsia="Times New Roman" w:cstheme="minorHAnsi"/>
          <w:color w:val="auto"/>
          <w:lang w:eastAsia="en-AU"/>
        </w:rPr>
        <w:t xml:space="preserve">will </w:t>
      </w:r>
      <w:r w:rsidR="006522FB" w:rsidRPr="00DB3C73">
        <w:rPr>
          <w:rFonts w:eastAsia="Times New Roman" w:cstheme="minorHAnsi"/>
          <w:color w:val="auto"/>
          <w:lang w:eastAsia="en-AU"/>
        </w:rPr>
        <w:t>set the s</w:t>
      </w:r>
      <w:r w:rsidR="004757A6" w:rsidRPr="00DB3C73">
        <w:rPr>
          <w:rFonts w:eastAsia="Times New Roman" w:cstheme="minorHAnsi"/>
          <w:color w:val="auto"/>
          <w:lang w:eastAsia="en-AU"/>
        </w:rPr>
        <w:t>trategic</w:t>
      </w:r>
      <w:r w:rsidR="0018394C" w:rsidRPr="00DB3C73">
        <w:rPr>
          <w:rFonts w:eastAsia="Times New Roman" w:cstheme="minorHAnsi"/>
          <w:color w:val="auto"/>
          <w:lang w:eastAsia="en-AU"/>
        </w:rPr>
        <w:t xml:space="preserve"> </w:t>
      </w:r>
      <w:r w:rsidR="002535FB" w:rsidRPr="00DB3C73">
        <w:rPr>
          <w:rFonts w:eastAsia="Times New Roman" w:cstheme="minorHAnsi"/>
          <w:color w:val="auto"/>
          <w:lang w:eastAsia="en-AU"/>
        </w:rPr>
        <w:t xml:space="preserve">direction for </w:t>
      </w:r>
      <w:r w:rsidR="0018394C" w:rsidRPr="00DB3C73">
        <w:rPr>
          <w:rFonts w:eastAsia="Times New Roman" w:cstheme="minorHAnsi"/>
          <w:i/>
          <w:color w:val="auto"/>
          <w:lang w:eastAsia="en-AU"/>
        </w:rPr>
        <w:t>Pacific Women Lead</w:t>
      </w:r>
      <w:r w:rsidR="008D7DA6" w:rsidRPr="00C64817">
        <w:rPr>
          <w:rFonts w:eastAsia="Times New Roman" w:cstheme="minorHAnsi"/>
          <w:iCs/>
          <w:color w:val="auto"/>
          <w:lang w:eastAsia="en-AU"/>
        </w:rPr>
        <w:t>, not DFAT</w:t>
      </w:r>
      <w:r w:rsidR="00DB3C73">
        <w:rPr>
          <w:rFonts w:eastAsia="Times New Roman" w:cstheme="minorHAnsi"/>
          <w:iCs/>
          <w:color w:val="auto"/>
          <w:lang w:eastAsia="en-AU"/>
        </w:rPr>
        <w:t xml:space="preserve"> on its own</w:t>
      </w:r>
      <w:r w:rsidR="002535FB" w:rsidRPr="00407D94">
        <w:rPr>
          <w:rFonts w:eastAsia="Times New Roman" w:cstheme="minorHAnsi"/>
          <w:iCs/>
          <w:color w:val="auto"/>
          <w:lang w:eastAsia="en-AU"/>
        </w:rPr>
        <w:t>.</w:t>
      </w:r>
    </w:p>
    <w:p w14:paraId="771BFDB1" w14:textId="4BC5B513" w:rsidR="003F55E1" w:rsidRPr="00F328DA" w:rsidRDefault="003F55E1" w:rsidP="00F328DA">
      <w:pPr>
        <w:pStyle w:val="Heading2"/>
        <w:rPr>
          <w:sz w:val="36"/>
          <w:szCs w:val="24"/>
          <w:lang w:eastAsia="en-AU"/>
        </w:rPr>
      </w:pPr>
      <w:bookmarkStart w:id="15" w:name="_Toc75535889"/>
      <w:r w:rsidRPr="00F328DA">
        <w:rPr>
          <w:sz w:val="36"/>
          <w:szCs w:val="24"/>
          <w:lang w:eastAsia="en-AU"/>
        </w:rPr>
        <w:t>Management</w:t>
      </w:r>
      <w:r w:rsidR="00C4699C" w:rsidRPr="00F328DA">
        <w:rPr>
          <w:sz w:val="36"/>
          <w:szCs w:val="24"/>
          <w:lang w:eastAsia="en-AU"/>
        </w:rPr>
        <w:t xml:space="preserve"> &amp; Delivery Model</w:t>
      </w:r>
      <w:bookmarkEnd w:id="15"/>
    </w:p>
    <w:p w14:paraId="07E0623F" w14:textId="20CF4618" w:rsidR="003F55E1" w:rsidRPr="00C64817" w:rsidRDefault="0095765A" w:rsidP="00BA6799">
      <w:p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5.</w:t>
      </w:r>
      <w:r w:rsidR="007A3CA0" w:rsidRPr="00C64817">
        <w:rPr>
          <w:rFonts w:eastAsia="Times New Roman" w:cstheme="minorHAnsi"/>
          <w:color w:val="auto"/>
          <w:lang w:eastAsia="en-AU"/>
        </w:rPr>
        <w:t>11</w:t>
      </w:r>
      <w:r w:rsidRPr="00C64817">
        <w:rPr>
          <w:rFonts w:eastAsia="Times New Roman" w:cstheme="minorHAnsi"/>
          <w:color w:val="auto"/>
          <w:lang w:eastAsia="en-AU"/>
        </w:rPr>
        <w:tab/>
      </w:r>
      <w:r w:rsidR="003F55E1" w:rsidRPr="00C64817">
        <w:rPr>
          <w:rFonts w:eastAsia="Times New Roman" w:cstheme="minorHAnsi"/>
          <w:i/>
          <w:iCs/>
          <w:color w:val="auto"/>
          <w:lang w:eastAsia="en-AU"/>
        </w:rPr>
        <w:t>Pacific Women Lead</w:t>
      </w:r>
      <w:r w:rsidR="003F55E1" w:rsidRPr="00C64817">
        <w:rPr>
          <w:rFonts w:eastAsia="Times New Roman" w:cstheme="minorHAnsi"/>
          <w:color w:val="auto"/>
          <w:lang w:eastAsia="en-AU"/>
        </w:rPr>
        <w:t xml:space="preserve"> will be professionally managed in a cohesive and coherent way</w:t>
      </w:r>
      <w:r w:rsidR="007801C1" w:rsidRPr="00C64817">
        <w:rPr>
          <w:rFonts w:eastAsia="Times New Roman" w:cstheme="minorHAnsi"/>
          <w:color w:val="auto"/>
          <w:lang w:eastAsia="en-AU"/>
        </w:rPr>
        <w:t xml:space="preserve">, in line with </w:t>
      </w:r>
      <w:r w:rsidR="003F55E1" w:rsidRPr="00C64817">
        <w:rPr>
          <w:rFonts w:eastAsia="Times New Roman" w:cstheme="minorHAnsi"/>
          <w:color w:val="auto"/>
          <w:lang w:eastAsia="en-AU"/>
        </w:rPr>
        <w:t xml:space="preserve">the Pacific-driven principle, under the </w:t>
      </w:r>
      <w:r w:rsidR="003542D2">
        <w:rPr>
          <w:rFonts w:eastAsia="Times New Roman" w:cstheme="minorHAnsi"/>
          <w:color w:val="auto"/>
          <w:lang w:eastAsia="en-AU"/>
        </w:rPr>
        <w:t xml:space="preserve">strategic </w:t>
      </w:r>
      <w:r w:rsidR="003F55E1" w:rsidRPr="00C64817">
        <w:rPr>
          <w:rFonts w:eastAsia="Times New Roman" w:cstheme="minorHAnsi"/>
          <w:color w:val="auto"/>
          <w:lang w:eastAsia="en-AU"/>
        </w:rPr>
        <w:t xml:space="preserve">direction of the </w:t>
      </w:r>
      <w:r w:rsidR="00463863" w:rsidRPr="00C64817">
        <w:rPr>
          <w:rFonts w:eastAsia="Times New Roman" w:cstheme="minorHAnsi"/>
          <w:color w:val="auto"/>
          <w:lang w:eastAsia="en-AU"/>
        </w:rPr>
        <w:t>Board</w:t>
      </w:r>
      <w:r w:rsidR="003F55E1" w:rsidRPr="00C64817">
        <w:rPr>
          <w:rFonts w:eastAsia="Times New Roman" w:cstheme="minorHAnsi"/>
          <w:color w:val="auto"/>
          <w:lang w:eastAsia="en-AU"/>
        </w:rPr>
        <w:t>.</w:t>
      </w:r>
    </w:p>
    <w:p w14:paraId="3F712144" w14:textId="0C1EE516" w:rsidR="00C4699C" w:rsidRPr="00C64817" w:rsidRDefault="0095765A" w:rsidP="00BA6799">
      <w:pPr>
        <w:tabs>
          <w:tab w:val="num" w:pos="720"/>
        </w:tabs>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5.1</w:t>
      </w:r>
      <w:r w:rsidR="007A3CA0" w:rsidRPr="00C64817">
        <w:rPr>
          <w:rFonts w:eastAsia="Times New Roman" w:cstheme="minorHAnsi"/>
          <w:color w:val="auto"/>
          <w:lang w:eastAsia="en-AU"/>
        </w:rPr>
        <w:t>2</w:t>
      </w:r>
      <w:r w:rsidRPr="00C64817">
        <w:rPr>
          <w:rFonts w:eastAsia="Times New Roman" w:cstheme="minorHAnsi"/>
          <w:color w:val="auto"/>
          <w:lang w:eastAsia="en-AU"/>
        </w:rPr>
        <w:tab/>
      </w:r>
      <w:r w:rsidR="001A09C0" w:rsidRPr="00C64817">
        <w:rPr>
          <w:rFonts w:eastAsia="Times New Roman" w:cstheme="minorHAnsi"/>
          <w:color w:val="auto"/>
          <w:lang w:eastAsia="en-AU"/>
        </w:rPr>
        <w:t>An entity or entities is required to</w:t>
      </w:r>
      <w:r w:rsidR="00C4699C" w:rsidRPr="00C64817">
        <w:rPr>
          <w:rFonts w:eastAsia="Times New Roman" w:cstheme="minorHAnsi"/>
          <w:color w:val="auto"/>
          <w:lang w:eastAsia="en-AU"/>
        </w:rPr>
        <w:t xml:space="preserve"> perform effective program management and directly carry out </w:t>
      </w:r>
      <w:r w:rsidR="001A09C0" w:rsidRPr="00C64817">
        <w:rPr>
          <w:rFonts w:eastAsia="Times New Roman" w:cstheme="minorHAnsi"/>
          <w:color w:val="auto"/>
          <w:lang w:eastAsia="en-AU"/>
        </w:rPr>
        <w:t>t</w:t>
      </w:r>
      <w:r w:rsidR="00C4699C" w:rsidRPr="00C64817">
        <w:rPr>
          <w:rFonts w:eastAsia="Times New Roman" w:cstheme="minorHAnsi"/>
          <w:color w:val="auto"/>
          <w:lang w:eastAsia="en-AU"/>
        </w:rPr>
        <w:t>he following functions</w:t>
      </w:r>
      <w:r w:rsidR="00F57F8D" w:rsidRPr="00C64817">
        <w:rPr>
          <w:rFonts w:eastAsia="Times New Roman" w:cstheme="minorHAnsi"/>
          <w:color w:val="auto"/>
          <w:lang w:eastAsia="en-AU"/>
        </w:rPr>
        <w:t xml:space="preserve"> in support </w:t>
      </w:r>
      <w:r w:rsidR="003505B8" w:rsidRPr="00C64817">
        <w:rPr>
          <w:rFonts w:eastAsia="Times New Roman" w:cstheme="minorHAnsi"/>
          <w:color w:val="auto"/>
          <w:lang w:eastAsia="en-AU"/>
        </w:rPr>
        <w:t>of a strong regional program</w:t>
      </w:r>
      <w:r w:rsidR="00336EED" w:rsidRPr="00C64817">
        <w:rPr>
          <w:rFonts w:eastAsia="Times New Roman" w:cstheme="minorHAnsi"/>
          <w:color w:val="auto"/>
          <w:lang w:eastAsia="en-AU"/>
        </w:rPr>
        <w:t xml:space="preserve">, </w:t>
      </w:r>
      <w:r w:rsidR="007202BF" w:rsidRPr="00C64817">
        <w:rPr>
          <w:rFonts w:eastAsia="Times New Roman" w:cstheme="minorHAnsi"/>
          <w:color w:val="auto"/>
          <w:lang w:eastAsia="en-AU"/>
        </w:rPr>
        <w:t>to be performed across multiple sectors at both the regional and national levels</w:t>
      </w:r>
      <w:r w:rsidR="00C4699C" w:rsidRPr="00C64817">
        <w:rPr>
          <w:rFonts w:eastAsia="Times New Roman" w:cstheme="minorHAnsi"/>
          <w:color w:val="auto"/>
          <w:lang w:eastAsia="en-AU"/>
        </w:rPr>
        <w:t>:</w:t>
      </w:r>
    </w:p>
    <w:p w14:paraId="721613FA" w14:textId="77777777" w:rsidR="00C4699C" w:rsidRPr="00C64817" w:rsidRDefault="00C4699C"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Convening of partners and stakeholders</w:t>
      </w:r>
    </w:p>
    <w:p w14:paraId="54095BB3" w14:textId="6AD51E90" w:rsidR="00C4699C" w:rsidRPr="00C64817" w:rsidRDefault="00C4699C"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Engagement with diverse women’s organisations driving gender equality</w:t>
      </w:r>
    </w:p>
    <w:p w14:paraId="060FC1DD" w14:textId="77777777" w:rsidR="00C4699C" w:rsidRPr="00C64817" w:rsidRDefault="00C4699C"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Policy and program advice</w:t>
      </w:r>
    </w:p>
    <w:p w14:paraId="258CFAFA" w14:textId="77777777" w:rsidR="00C4699C" w:rsidRPr="00C64817" w:rsidRDefault="00C4699C"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lastRenderedPageBreak/>
        <w:t>Grant disbursement and management</w:t>
      </w:r>
    </w:p>
    <w:p w14:paraId="2C850B6F" w14:textId="77777777" w:rsidR="00C4699C" w:rsidRPr="00C64817" w:rsidRDefault="00C4699C"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Partnership brokering and support</w:t>
      </w:r>
    </w:p>
    <w:p w14:paraId="07146729" w14:textId="77777777" w:rsidR="00C4699C" w:rsidRPr="00C64817" w:rsidRDefault="00C4699C"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Technical assistance</w:t>
      </w:r>
    </w:p>
    <w:p w14:paraId="34C64E76" w14:textId="2A9203EC" w:rsidR="00C4699C" w:rsidRPr="00C64817" w:rsidRDefault="00C4699C"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Support for mainstreaming of gender equality in other programs (incl</w:t>
      </w:r>
      <w:r w:rsidR="00F56B4A" w:rsidRPr="00C64817">
        <w:rPr>
          <w:rFonts w:eastAsia="Times New Roman" w:cstheme="minorHAnsi"/>
          <w:color w:val="auto"/>
          <w:lang w:eastAsia="en-AU"/>
        </w:rPr>
        <w:t>uding</w:t>
      </w:r>
      <w:r w:rsidRPr="00C64817">
        <w:rPr>
          <w:rFonts w:eastAsia="Times New Roman" w:cstheme="minorHAnsi"/>
          <w:color w:val="auto"/>
          <w:lang w:eastAsia="en-AU"/>
        </w:rPr>
        <w:t xml:space="preserve"> DFAT programs and potentially others)</w:t>
      </w:r>
    </w:p>
    <w:p w14:paraId="36BCD20B" w14:textId="77777777" w:rsidR="00C4699C" w:rsidRPr="00C64817" w:rsidRDefault="00C4699C"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Data collection and analysis</w:t>
      </w:r>
    </w:p>
    <w:p w14:paraId="04D2CD49" w14:textId="77777777" w:rsidR="00C4699C" w:rsidRPr="00C64817" w:rsidRDefault="00C4699C"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Facilitation of learning and sharing of lessons across the program</w:t>
      </w:r>
    </w:p>
    <w:p w14:paraId="261A2278" w14:textId="18472468" w:rsidR="00C4699C" w:rsidRPr="00C64817" w:rsidRDefault="003257B2"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Financial management</w:t>
      </w:r>
    </w:p>
    <w:p w14:paraId="1AD73620" w14:textId="759C282A" w:rsidR="003257B2" w:rsidRPr="00C64817" w:rsidRDefault="003257B2" w:rsidP="003257B2">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Human resource management</w:t>
      </w:r>
    </w:p>
    <w:p w14:paraId="02BDC228" w14:textId="4F35CED2" w:rsidR="003257B2" w:rsidRPr="00C64817" w:rsidRDefault="003149D5" w:rsidP="003257B2">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IT</w:t>
      </w:r>
    </w:p>
    <w:p w14:paraId="392451DE" w14:textId="046A652B" w:rsidR="003257B2" w:rsidRPr="008A7462" w:rsidRDefault="003257B2"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407D94">
        <w:rPr>
          <w:rFonts w:eastAsia="Times New Roman" w:cstheme="minorHAnsi"/>
          <w:color w:val="auto"/>
          <w:lang w:eastAsia="en-AU"/>
        </w:rPr>
        <w:t>Fraud control</w:t>
      </w:r>
    </w:p>
    <w:p w14:paraId="3828E868" w14:textId="7B671E95" w:rsidR="0069433A" w:rsidRPr="00C64817" w:rsidRDefault="0069433A"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F44628">
        <w:rPr>
          <w:rFonts w:eastAsia="Times New Roman" w:cstheme="minorHAnsi"/>
          <w:color w:val="auto"/>
          <w:lang w:eastAsia="en-AU"/>
        </w:rPr>
        <w:t>R</w:t>
      </w:r>
      <w:r w:rsidRPr="00C64817">
        <w:rPr>
          <w:rFonts w:eastAsia="Times New Roman" w:cstheme="minorHAnsi"/>
          <w:color w:val="auto"/>
          <w:lang w:eastAsia="en-AU"/>
        </w:rPr>
        <w:t xml:space="preserve">eport to the Board on </w:t>
      </w:r>
      <w:r w:rsidR="0016580B" w:rsidRPr="00C64817">
        <w:rPr>
          <w:rFonts w:eastAsia="Times New Roman" w:cstheme="minorHAnsi"/>
          <w:color w:val="auto"/>
          <w:lang w:eastAsia="en-AU"/>
        </w:rPr>
        <w:t>risks and safeguards</w:t>
      </w:r>
    </w:p>
    <w:p w14:paraId="1712C61C" w14:textId="660C8C38" w:rsidR="00C4699C" w:rsidRPr="00C64817" w:rsidRDefault="00C4699C" w:rsidP="005624DE">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Performance measurement and reporting</w:t>
      </w:r>
    </w:p>
    <w:p w14:paraId="64467DFB" w14:textId="7C4C7215" w:rsidR="00617456" w:rsidRPr="00C64817" w:rsidRDefault="00617456" w:rsidP="005624DE">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 xml:space="preserve">Secretariat support </w:t>
      </w:r>
      <w:r w:rsidR="003505B8" w:rsidRPr="00C64817">
        <w:rPr>
          <w:rFonts w:eastAsia="Times New Roman" w:cstheme="minorHAnsi"/>
          <w:color w:val="auto"/>
          <w:lang w:eastAsia="en-AU"/>
        </w:rPr>
        <w:t xml:space="preserve">to </w:t>
      </w:r>
      <w:r w:rsidRPr="00C64817">
        <w:rPr>
          <w:rFonts w:eastAsia="Times New Roman" w:cstheme="minorHAnsi"/>
          <w:color w:val="auto"/>
          <w:lang w:eastAsia="en-AU"/>
        </w:rPr>
        <w:t>the Board</w:t>
      </w:r>
    </w:p>
    <w:p w14:paraId="04538D54" w14:textId="1BC19AB3" w:rsidR="003505B8" w:rsidRPr="00C64817" w:rsidRDefault="003257B2" w:rsidP="005624DE">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Demand-driven s</w:t>
      </w:r>
      <w:r w:rsidR="0009710E" w:rsidRPr="00C64817">
        <w:rPr>
          <w:rFonts w:eastAsia="Times New Roman" w:cstheme="minorHAnsi"/>
          <w:color w:val="auto"/>
          <w:lang w:eastAsia="en-AU"/>
        </w:rPr>
        <w:t>upport for DFAT bilateral program</w:t>
      </w:r>
      <w:r w:rsidR="00F76B12" w:rsidRPr="00C64817">
        <w:rPr>
          <w:rFonts w:eastAsia="Times New Roman" w:cstheme="minorHAnsi"/>
          <w:color w:val="auto"/>
          <w:lang w:eastAsia="en-AU"/>
        </w:rPr>
        <w:t>s</w:t>
      </w:r>
    </w:p>
    <w:p w14:paraId="3CCF25F2" w14:textId="6D587D4C" w:rsidR="00305232" w:rsidRPr="00C64817" w:rsidRDefault="00336EED" w:rsidP="00BA6799">
      <w:p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5.1</w:t>
      </w:r>
      <w:r w:rsidR="007A3CA0" w:rsidRPr="00C64817">
        <w:rPr>
          <w:rFonts w:eastAsia="Times New Roman" w:cstheme="minorHAnsi"/>
          <w:color w:val="auto"/>
          <w:lang w:eastAsia="en-AU"/>
        </w:rPr>
        <w:t>3</w:t>
      </w:r>
      <w:r w:rsidRPr="00C64817">
        <w:rPr>
          <w:rFonts w:eastAsia="Times New Roman" w:cstheme="minorHAnsi"/>
          <w:color w:val="auto"/>
          <w:lang w:eastAsia="en-AU"/>
        </w:rPr>
        <w:tab/>
      </w:r>
      <w:r w:rsidR="00305232" w:rsidRPr="00C64817">
        <w:rPr>
          <w:rFonts w:eastAsia="Times New Roman" w:cstheme="minorHAnsi"/>
          <w:color w:val="auto"/>
          <w:lang w:eastAsia="en-AU"/>
        </w:rPr>
        <w:t xml:space="preserve">Based on an assessment of delivery model options, the </w:t>
      </w:r>
      <w:r w:rsidR="004502E1" w:rsidRPr="00C64817">
        <w:rPr>
          <w:rFonts w:eastAsia="Times New Roman" w:cstheme="minorHAnsi"/>
          <w:color w:val="auto"/>
          <w:lang w:eastAsia="en-AU"/>
        </w:rPr>
        <w:t xml:space="preserve">proposed approach is for a Hybrid model </w:t>
      </w:r>
      <w:r w:rsidR="000E6C18" w:rsidRPr="00C64817">
        <w:rPr>
          <w:rFonts w:eastAsia="Times New Roman" w:cstheme="minorHAnsi"/>
          <w:color w:val="auto"/>
          <w:lang w:eastAsia="en-AU"/>
        </w:rPr>
        <w:t xml:space="preserve">with a </w:t>
      </w:r>
      <w:r w:rsidR="00F56B4A" w:rsidRPr="00C64817">
        <w:rPr>
          <w:rFonts w:eastAsia="Times New Roman" w:cstheme="minorHAnsi"/>
          <w:color w:val="auto"/>
          <w:lang w:eastAsia="en-AU"/>
        </w:rPr>
        <w:t>P</w:t>
      </w:r>
      <w:r w:rsidR="000E6C18" w:rsidRPr="00C64817">
        <w:rPr>
          <w:rFonts w:eastAsia="Times New Roman" w:cstheme="minorHAnsi"/>
          <w:color w:val="auto"/>
          <w:lang w:eastAsia="en-AU"/>
        </w:rPr>
        <w:t xml:space="preserve">acific regional organisation as ‘host’ </w:t>
      </w:r>
      <w:r w:rsidR="00AC0785" w:rsidRPr="00C64817">
        <w:rPr>
          <w:rFonts w:eastAsia="Times New Roman" w:cstheme="minorHAnsi"/>
          <w:color w:val="auto"/>
          <w:lang w:eastAsia="en-AU"/>
        </w:rPr>
        <w:t xml:space="preserve">and </w:t>
      </w:r>
      <w:r w:rsidR="004625E2" w:rsidRPr="00C64817">
        <w:rPr>
          <w:rFonts w:eastAsia="Times New Roman" w:cstheme="minorHAnsi"/>
          <w:color w:val="auto"/>
          <w:lang w:eastAsia="en-AU"/>
        </w:rPr>
        <w:t xml:space="preserve">including </w:t>
      </w:r>
      <w:r w:rsidR="00AC0785" w:rsidRPr="00C64817">
        <w:rPr>
          <w:rFonts w:eastAsia="Times New Roman" w:cstheme="minorHAnsi"/>
          <w:color w:val="auto"/>
          <w:lang w:eastAsia="en-AU"/>
        </w:rPr>
        <w:t xml:space="preserve">other </w:t>
      </w:r>
      <w:r w:rsidR="00E70DF4" w:rsidRPr="00C64817">
        <w:rPr>
          <w:rFonts w:eastAsia="Times New Roman" w:cstheme="minorHAnsi"/>
          <w:color w:val="auto"/>
          <w:lang w:eastAsia="en-AU"/>
        </w:rPr>
        <w:t>such</w:t>
      </w:r>
      <w:r w:rsidR="00F56B4A" w:rsidRPr="00C64817">
        <w:rPr>
          <w:rFonts w:eastAsia="Times New Roman" w:cstheme="minorHAnsi"/>
          <w:color w:val="auto"/>
          <w:lang w:eastAsia="en-AU"/>
        </w:rPr>
        <w:t xml:space="preserve"> actors</w:t>
      </w:r>
      <w:r w:rsidR="00E70DF4" w:rsidRPr="00C64817">
        <w:rPr>
          <w:rFonts w:eastAsia="Times New Roman" w:cstheme="minorHAnsi"/>
          <w:color w:val="auto"/>
          <w:lang w:eastAsia="en-AU"/>
        </w:rPr>
        <w:t xml:space="preserve"> as civil society organisations</w:t>
      </w:r>
      <w:r w:rsidR="00C951D5" w:rsidRPr="00C64817">
        <w:rPr>
          <w:rFonts w:eastAsia="Times New Roman" w:cstheme="minorHAnsi"/>
          <w:color w:val="auto"/>
          <w:lang w:eastAsia="en-AU"/>
        </w:rPr>
        <w:t>, commercial</w:t>
      </w:r>
      <w:r w:rsidR="008B61BD" w:rsidRPr="00C64817">
        <w:rPr>
          <w:rFonts w:eastAsia="Times New Roman" w:cstheme="minorHAnsi"/>
          <w:color w:val="auto"/>
          <w:lang w:eastAsia="en-AU"/>
        </w:rPr>
        <w:t xml:space="preserve"> </w:t>
      </w:r>
      <w:proofErr w:type="gramStart"/>
      <w:r w:rsidR="008B61BD" w:rsidRPr="00C64817">
        <w:rPr>
          <w:rFonts w:eastAsia="Times New Roman" w:cstheme="minorHAnsi"/>
          <w:color w:val="auto"/>
          <w:lang w:eastAsia="en-AU"/>
        </w:rPr>
        <w:t>entities</w:t>
      </w:r>
      <w:proofErr w:type="gramEnd"/>
      <w:r w:rsidR="00C951D5" w:rsidRPr="00C64817">
        <w:rPr>
          <w:rFonts w:eastAsia="Times New Roman" w:cstheme="minorHAnsi"/>
          <w:color w:val="auto"/>
          <w:lang w:eastAsia="en-AU"/>
        </w:rPr>
        <w:t xml:space="preserve"> and government. This assessment looked at potential delivery options tha</w:t>
      </w:r>
      <w:r w:rsidR="002A3EDA" w:rsidRPr="00C64817">
        <w:rPr>
          <w:rFonts w:eastAsia="Times New Roman" w:cstheme="minorHAnsi"/>
          <w:color w:val="auto"/>
          <w:lang w:eastAsia="en-AU"/>
        </w:rPr>
        <w:t>t:</w:t>
      </w:r>
    </w:p>
    <w:p w14:paraId="19068511" w14:textId="7A889166" w:rsidR="00C951D5" w:rsidRPr="00C64817" w:rsidRDefault="002A3EDA" w:rsidP="00B43713">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d</w:t>
      </w:r>
      <w:r w:rsidR="00C951D5" w:rsidRPr="00C64817">
        <w:rPr>
          <w:rFonts w:eastAsia="Times New Roman" w:cstheme="minorHAnsi"/>
          <w:color w:val="auto"/>
          <w:lang w:eastAsia="en-AU"/>
        </w:rPr>
        <w:t xml:space="preserve">raw on </w:t>
      </w:r>
      <w:r w:rsidR="00C951D5" w:rsidRPr="00C64817">
        <w:rPr>
          <w:rFonts w:eastAsia="Times New Roman" w:cstheme="minorHAnsi"/>
          <w:b/>
          <w:bCs/>
          <w:color w:val="auto"/>
          <w:lang w:eastAsia="en-AU"/>
        </w:rPr>
        <w:t xml:space="preserve">local Pacific expertise and </w:t>
      </w:r>
      <w:r w:rsidR="00C951D5" w:rsidRPr="00C64817">
        <w:rPr>
          <w:rFonts w:eastAsia="Times New Roman" w:cstheme="minorHAnsi"/>
          <w:color w:val="auto"/>
          <w:lang w:eastAsia="en-AU"/>
        </w:rPr>
        <w:t xml:space="preserve">local civil society groups </w:t>
      </w:r>
    </w:p>
    <w:p w14:paraId="2A2B8E55" w14:textId="4355DD56" w:rsidR="00C951D5" w:rsidRPr="00C64817" w:rsidRDefault="002A3EDA" w:rsidP="00B43713">
      <w:pPr>
        <w:pStyle w:val="ListParagraph"/>
        <w:numPr>
          <w:ilvl w:val="0"/>
          <w:numId w:val="13"/>
        </w:numPr>
        <w:suppressAutoHyphens w:val="0"/>
        <w:spacing w:before="0" w:after="160" w:line="259" w:lineRule="auto"/>
        <w:jc w:val="both"/>
        <w:rPr>
          <w:rFonts w:cstheme="minorHAnsi"/>
          <w:color w:val="auto"/>
        </w:rPr>
      </w:pPr>
      <w:r w:rsidRPr="00C64817">
        <w:rPr>
          <w:rFonts w:eastAsia="Times New Roman" w:cstheme="minorHAnsi"/>
          <w:color w:val="auto"/>
          <w:lang w:eastAsia="en-AU"/>
        </w:rPr>
        <w:t>can operate in a</w:t>
      </w:r>
      <w:r w:rsidR="00C951D5" w:rsidRPr="00C64817">
        <w:rPr>
          <w:rFonts w:eastAsia="Times New Roman" w:cstheme="minorHAnsi"/>
          <w:color w:val="auto"/>
          <w:lang w:eastAsia="en-AU"/>
        </w:rPr>
        <w:t xml:space="preserve"> </w:t>
      </w:r>
      <w:r w:rsidR="00C951D5" w:rsidRPr="00C64817">
        <w:rPr>
          <w:rFonts w:eastAsia="Times New Roman" w:cstheme="minorHAnsi"/>
          <w:b/>
          <w:bCs/>
          <w:color w:val="auto"/>
          <w:lang w:eastAsia="en-AU"/>
        </w:rPr>
        <w:t>decentralised</w:t>
      </w:r>
      <w:r w:rsidR="00C951D5" w:rsidRPr="00C64817">
        <w:rPr>
          <w:rFonts w:eastAsia="Times New Roman" w:cstheme="minorHAnsi"/>
          <w:color w:val="auto"/>
          <w:lang w:eastAsia="en-AU"/>
        </w:rPr>
        <w:t xml:space="preserve"> </w:t>
      </w:r>
      <w:r w:rsidRPr="00C64817">
        <w:rPr>
          <w:rFonts w:eastAsia="Times New Roman" w:cstheme="minorHAnsi"/>
          <w:color w:val="auto"/>
          <w:lang w:eastAsia="en-AU"/>
        </w:rPr>
        <w:t xml:space="preserve">way </w:t>
      </w:r>
      <w:r w:rsidR="00C951D5" w:rsidRPr="00C64817">
        <w:rPr>
          <w:rFonts w:eastAsia="Times New Roman" w:cstheme="minorHAnsi"/>
          <w:color w:val="auto"/>
          <w:lang w:eastAsia="en-AU"/>
        </w:rPr>
        <w:t>through engagement at country level with reach to provincial/rural areas</w:t>
      </w:r>
    </w:p>
    <w:p w14:paraId="00671F74" w14:textId="59DB4C01" w:rsidR="00BA6799" w:rsidRPr="00C64817" w:rsidRDefault="002A3EDA" w:rsidP="00C13494">
      <w:pPr>
        <w:pStyle w:val="ListParagraph"/>
        <w:numPr>
          <w:ilvl w:val="0"/>
          <w:numId w:val="13"/>
        </w:numPr>
        <w:suppressAutoHyphens w:val="0"/>
        <w:spacing w:before="0" w:after="160" w:line="259" w:lineRule="auto"/>
        <w:jc w:val="both"/>
        <w:rPr>
          <w:rFonts w:cstheme="minorHAnsi"/>
          <w:color w:val="auto"/>
        </w:rPr>
      </w:pPr>
      <w:r w:rsidRPr="00C64817">
        <w:rPr>
          <w:rFonts w:eastAsia="Times New Roman" w:cstheme="minorHAnsi"/>
          <w:color w:val="auto"/>
          <w:lang w:eastAsia="en-AU"/>
        </w:rPr>
        <w:t>are</w:t>
      </w:r>
      <w:r w:rsidR="00C951D5" w:rsidRPr="00C64817">
        <w:rPr>
          <w:rFonts w:eastAsia="Times New Roman" w:cstheme="minorHAnsi"/>
          <w:color w:val="auto"/>
          <w:lang w:eastAsia="en-AU"/>
        </w:rPr>
        <w:t xml:space="preserve"> </w:t>
      </w:r>
      <w:r w:rsidR="00C951D5" w:rsidRPr="00C64817">
        <w:rPr>
          <w:rFonts w:eastAsia="Times New Roman" w:cstheme="minorHAnsi"/>
          <w:b/>
          <w:bCs/>
          <w:color w:val="auto"/>
          <w:lang w:eastAsia="en-AU"/>
        </w:rPr>
        <w:t>accountable to partners on the ground</w:t>
      </w:r>
      <w:r w:rsidR="00C951D5" w:rsidRPr="00C64817">
        <w:rPr>
          <w:rFonts w:eastAsia="Times New Roman" w:cstheme="minorHAnsi"/>
          <w:color w:val="auto"/>
          <w:lang w:eastAsia="en-AU"/>
        </w:rPr>
        <w:t xml:space="preserve"> </w:t>
      </w:r>
      <w:r w:rsidR="002535FB" w:rsidRPr="00C64817">
        <w:rPr>
          <w:rFonts w:eastAsia="Times New Roman" w:cstheme="minorHAnsi"/>
          <w:color w:val="auto"/>
          <w:lang w:eastAsia="en-AU"/>
        </w:rPr>
        <w:t>(Pacific governments, civil society, UN agencies etc)</w:t>
      </w:r>
    </w:p>
    <w:p w14:paraId="70E69862" w14:textId="0B09BA64" w:rsidR="00C951D5" w:rsidRPr="00DB3C73" w:rsidRDefault="002A3EDA" w:rsidP="00B43713">
      <w:pPr>
        <w:pStyle w:val="ListParagraph"/>
        <w:numPr>
          <w:ilvl w:val="0"/>
          <w:numId w:val="13"/>
        </w:numPr>
        <w:suppressAutoHyphens w:val="0"/>
        <w:spacing w:before="0" w:after="160" w:line="259" w:lineRule="auto"/>
        <w:jc w:val="both"/>
        <w:rPr>
          <w:rFonts w:cstheme="minorHAnsi"/>
          <w:color w:val="auto"/>
        </w:rPr>
      </w:pPr>
      <w:r w:rsidRPr="00407D94">
        <w:rPr>
          <w:rFonts w:eastAsia="Times New Roman" w:cstheme="minorHAnsi"/>
          <w:color w:val="auto"/>
          <w:lang w:eastAsia="en-AU"/>
        </w:rPr>
        <w:t xml:space="preserve">have </w:t>
      </w:r>
      <w:r w:rsidR="00C951D5" w:rsidRPr="008A7462">
        <w:rPr>
          <w:rFonts w:eastAsia="Times New Roman" w:cstheme="minorHAnsi"/>
          <w:color w:val="auto"/>
          <w:lang w:eastAsia="en-AU"/>
        </w:rPr>
        <w:t xml:space="preserve">a </w:t>
      </w:r>
      <w:r w:rsidR="00C951D5" w:rsidRPr="008A7462">
        <w:rPr>
          <w:rFonts w:eastAsia="Times New Roman" w:cstheme="minorHAnsi"/>
          <w:b/>
          <w:bCs/>
          <w:color w:val="auto"/>
          <w:lang w:eastAsia="en-AU"/>
        </w:rPr>
        <w:t xml:space="preserve">footprint </w:t>
      </w:r>
      <w:r w:rsidR="00C951D5" w:rsidRPr="00DB3C73">
        <w:rPr>
          <w:rFonts w:eastAsia="Times New Roman" w:cstheme="minorHAnsi"/>
          <w:color w:val="auto"/>
          <w:lang w:eastAsia="en-AU"/>
        </w:rPr>
        <w:t>and capacity at country level &amp; a regional support hub</w:t>
      </w:r>
    </w:p>
    <w:p w14:paraId="2E01F058" w14:textId="788C81D3" w:rsidR="007234E5" w:rsidRPr="00C64817" w:rsidRDefault="00C951D5" w:rsidP="00AF41E7">
      <w:pPr>
        <w:pStyle w:val="ListParagraph"/>
        <w:numPr>
          <w:ilvl w:val="0"/>
          <w:numId w:val="13"/>
        </w:numPr>
        <w:suppressAutoHyphens w:val="0"/>
        <w:spacing w:before="0" w:after="160" w:line="259" w:lineRule="auto"/>
        <w:jc w:val="both"/>
        <w:rPr>
          <w:rFonts w:eastAsia="Times New Roman" w:cstheme="minorHAnsi"/>
          <w:color w:val="auto"/>
          <w:lang w:eastAsia="en-AU"/>
        </w:rPr>
      </w:pPr>
      <w:r w:rsidRPr="00F44628">
        <w:rPr>
          <w:rFonts w:eastAsia="Times New Roman" w:cstheme="minorHAnsi"/>
          <w:color w:val="auto"/>
          <w:lang w:eastAsia="en-AU"/>
        </w:rPr>
        <w:t>ha</w:t>
      </w:r>
      <w:r w:rsidR="002A3EDA" w:rsidRPr="00C64817">
        <w:rPr>
          <w:rFonts w:eastAsia="Times New Roman" w:cstheme="minorHAnsi"/>
          <w:color w:val="auto"/>
          <w:lang w:eastAsia="en-AU"/>
        </w:rPr>
        <w:t>ve</w:t>
      </w:r>
      <w:r w:rsidRPr="00C64817">
        <w:rPr>
          <w:rFonts w:eastAsia="Times New Roman" w:cstheme="minorHAnsi"/>
          <w:color w:val="auto"/>
          <w:lang w:eastAsia="en-AU"/>
        </w:rPr>
        <w:t xml:space="preserve"> built-in </w:t>
      </w:r>
      <w:r w:rsidRPr="00C64817">
        <w:rPr>
          <w:rFonts w:eastAsia="Times New Roman" w:cstheme="minorHAnsi"/>
          <w:b/>
          <w:bCs/>
          <w:color w:val="auto"/>
          <w:lang w:eastAsia="en-AU"/>
        </w:rPr>
        <w:t>flexibility</w:t>
      </w:r>
      <w:r w:rsidRPr="00C64817">
        <w:rPr>
          <w:rFonts w:eastAsia="Times New Roman" w:cstheme="minorHAnsi"/>
          <w:color w:val="auto"/>
          <w:lang w:eastAsia="en-AU"/>
        </w:rPr>
        <w:t xml:space="preserve"> – not just one modality but ability to tailor funding models to the needs of different programs and partners</w:t>
      </w:r>
    </w:p>
    <w:p w14:paraId="06F6AB90" w14:textId="76CBB641" w:rsidR="004502E1" w:rsidRPr="00C64817" w:rsidRDefault="004F449F" w:rsidP="00621BCC">
      <w:p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5.1</w:t>
      </w:r>
      <w:r w:rsidR="007A3CA0" w:rsidRPr="00C64817">
        <w:rPr>
          <w:rFonts w:eastAsia="Times New Roman" w:cstheme="minorHAnsi"/>
          <w:color w:val="auto"/>
          <w:lang w:eastAsia="en-AU"/>
        </w:rPr>
        <w:t>4</w:t>
      </w:r>
      <w:r w:rsidRPr="00C64817">
        <w:rPr>
          <w:rFonts w:eastAsia="Times New Roman" w:cstheme="minorHAnsi"/>
          <w:color w:val="auto"/>
          <w:lang w:eastAsia="en-AU"/>
        </w:rPr>
        <w:tab/>
      </w:r>
      <w:r w:rsidR="00770D88" w:rsidRPr="00C64817">
        <w:rPr>
          <w:rFonts w:eastAsia="Times New Roman" w:cstheme="minorHAnsi"/>
          <w:b/>
          <w:color w:val="auto"/>
          <w:lang w:eastAsia="en-AU"/>
        </w:rPr>
        <w:t>The Pacific Community (</w:t>
      </w:r>
      <w:r w:rsidR="004502E1" w:rsidRPr="00C64817">
        <w:rPr>
          <w:rFonts w:eastAsia="Times New Roman" w:cstheme="minorHAnsi"/>
          <w:b/>
          <w:bCs/>
          <w:color w:val="auto"/>
          <w:lang w:eastAsia="en-AU"/>
        </w:rPr>
        <w:t>SPC</w:t>
      </w:r>
      <w:r w:rsidR="00770D88" w:rsidRPr="00C64817">
        <w:rPr>
          <w:rFonts w:eastAsia="Times New Roman" w:cstheme="minorHAnsi"/>
          <w:b/>
          <w:bCs/>
          <w:color w:val="auto"/>
          <w:lang w:eastAsia="en-AU"/>
        </w:rPr>
        <w:t>)</w:t>
      </w:r>
      <w:r w:rsidR="004502E1" w:rsidRPr="00C64817">
        <w:rPr>
          <w:rFonts w:eastAsia="Times New Roman" w:cstheme="minorHAnsi"/>
          <w:b/>
          <w:color w:val="auto"/>
          <w:lang w:eastAsia="en-AU"/>
        </w:rPr>
        <w:t xml:space="preserve"> is the regional organisation with the clearest mandate and capacity</w:t>
      </w:r>
      <w:r w:rsidR="004502E1" w:rsidRPr="00C64817">
        <w:rPr>
          <w:rFonts w:eastAsia="Times New Roman" w:cstheme="minorHAnsi"/>
          <w:color w:val="auto"/>
          <w:lang w:eastAsia="en-AU"/>
        </w:rPr>
        <w:t xml:space="preserve"> to perform </w:t>
      </w:r>
      <w:r w:rsidR="00AC0785" w:rsidRPr="00C64817">
        <w:rPr>
          <w:rFonts w:eastAsia="Times New Roman" w:cstheme="minorHAnsi"/>
          <w:color w:val="auto"/>
          <w:lang w:eastAsia="en-AU"/>
        </w:rPr>
        <w:t>many of</w:t>
      </w:r>
      <w:r w:rsidR="004502E1" w:rsidRPr="00C64817">
        <w:rPr>
          <w:rFonts w:eastAsia="Times New Roman" w:cstheme="minorHAnsi"/>
          <w:color w:val="auto"/>
          <w:lang w:eastAsia="en-AU"/>
        </w:rPr>
        <w:t xml:space="preserve"> the required functions</w:t>
      </w:r>
      <w:r w:rsidR="00AC0785" w:rsidRPr="00C64817">
        <w:rPr>
          <w:rFonts w:eastAsia="Times New Roman" w:cstheme="minorHAnsi"/>
          <w:color w:val="auto"/>
          <w:lang w:eastAsia="en-AU"/>
        </w:rPr>
        <w:t xml:space="preserve"> and is recommended as the ‘host’</w:t>
      </w:r>
      <w:r w:rsidR="004502E1" w:rsidRPr="00C64817">
        <w:rPr>
          <w:rFonts w:eastAsia="Times New Roman" w:cstheme="minorHAnsi"/>
          <w:color w:val="auto"/>
          <w:lang w:eastAsia="en-AU"/>
        </w:rPr>
        <w:t>:</w:t>
      </w:r>
    </w:p>
    <w:p w14:paraId="29850621" w14:textId="77777777" w:rsidR="00B22231" w:rsidRPr="00C64817" w:rsidRDefault="00B22231" w:rsidP="00B22231">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SPC has the regional mandate from its members</w:t>
      </w:r>
      <w:r w:rsidRPr="00407D94">
        <w:rPr>
          <w:rStyle w:val="FootnoteReference"/>
          <w:rFonts w:eastAsia="Times New Roman" w:cstheme="minorHAnsi"/>
          <w:color w:val="auto"/>
          <w:lang w:eastAsia="en-AU"/>
        </w:rPr>
        <w:footnoteReference w:id="10"/>
      </w:r>
      <w:r w:rsidRPr="00407D94">
        <w:rPr>
          <w:rFonts w:eastAsia="Times New Roman" w:cstheme="minorHAnsi"/>
          <w:color w:val="auto"/>
          <w:lang w:eastAsia="en-AU"/>
        </w:rPr>
        <w:t xml:space="preserve"> to promote human rights and gender equality and provides releva</w:t>
      </w:r>
      <w:r w:rsidRPr="008A7462">
        <w:rPr>
          <w:rFonts w:eastAsia="Times New Roman" w:cstheme="minorHAnsi"/>
          <w:color w:val="auto"/>
          <w:lang w:eastAsia="en-AU"/>
        </w:rPr>
        <w:t>nt technical assistance and capacity building for this purpose through a range of modalities. SPC is responsible for implementation of the PPA and works closely with PIFS in relation to the implementation of the PLGED. SPC is implementing components / pill</w:t>
      </w:r>
      <w:r w:rsidRPr="00F44628">
        <w:rPr>
          <w:rFonts w:eastAsia="Times New Roman" w:cstheme="minorHAnsi"/>
          <w:color w:val="auto"/>
          <w:lang w:eastAsia="en-AU"/>
        </w:rPr>
        <w:t xml:space="preserve">ars of the Pacific Partnership to End Violence against Women and Girls as well as the Spotlight </w:t>
      </w:r>
      <w:proofErr w:type="gramStart"/>
      <w:r w:rsidRPr="00F44628">
        <w:rPr>
          <w:rFonts w:eastAsia="Times New Roman" w:cstheme="minorHAnsi"/>
          <w:color w:val="auto"/>
          <w:lang w:eastAsia="en-AU"/>
        </w:rPr>
        <w:t>Initiative, and</w:t>
      </w:r>
      <w:proofErr w:type="gramEnd"/>
      <w:r w:rsidRPr="00F44628">
        <w:rPr>
          <w:rFonts w:eastAsia="Times New Roman" w:cstheme="minorHAnsi"/>
          <w:color w:val="auto"/>
          <w:lang w:eastAsia="en-AU"/>
        </w:rPr>
        <w:t xml:space="preserve"> is therefore in a strong position to ensure coherence and effective linkages between these programmes and Pacific Women Lead). SPC works with me</w:t>
      </w:r>
      <w:r w:rsidRPr="00C64817">
        <w:rPr>
          <w:rFonts w:eastAsia="Times New Roman" w:cstheme="minorHAnsi"/>
          <w:color w:val="auto"/>
          <w:lang w:eastAsia="en-AU"/>
        </w:rPr>
        <w:t xml:space="preserve">mber governments, civil society organisations and the private sector.   </w:t>
      </w:r>
    </w:p>
    <w:p w14:paraId="6F48DF73" w14:textId="77777777" w:rsidR="00B22231" w:rsidRPr="00C64817" w:rsidRDefault="00B22231" w:rsidP="00B22231">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Perceived in the region as a Pacific organisation</w:t>
      </w:r>
    </w:p>
    <w:p w14:paraId="59B13935" w14:textId="77777777" w:rsidR="00B22231" w:rsidRPr="00C64817" w:rsidRDefault="00B22231" w:rsidP="00B22231">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SPC is accountable to its 26 members, including Australia and 22 Pacific Island Countries and Territories.</w:t>
      </w:r>
    </w:p>
    <w:p w14:paraId="7EEC9EF6" w14:textId="77777777" w:rsidR="00B22231" w:rsidRPr="00C64817" w:rsidRDefault="00B22231" w:rsidP="00B22231">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Works across the 20+ sectors, including fisheries, agriculture, geoscience, public health, placing it in a position to develop and implement an integrated, multi-sectoral approach to Pacific Women Lead.</w:t>
      </w:r>
    </w:p>
    <w:p w14:paraId="569B351B" w14:textId="77777777" w:rsidR="00B22231" w:rsidRPr="00C64817" w:rsidRDefault="00B22231" w:rsidP="00B22231">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lastRenderedPageBreak/>
        <w:t xml:space="preserve">Able to </w:t>
      </w:r>
      <w:proofErr w:type="gramStart"/>
      <w:r w:rsidRPr="00C64817">
        <w:rPr>
          <w:rFonts w:eastAsia="Times New Roman" w:cstheme="minorHAnsi"/>
          <w:color w:val="auto"/>
          <w:lang w:eastAsia="en-AU"/>
        </w:rPr>
        <w:t>provide:</w:t>
      </w:r>
      <w:proofErr w:type="gramEnd"/>
      <w:r w:rsidRPr="00C64817">
        <w:rPr>
          <w:rFonts w:eastAsia="Times New Roman" w:cstheme="minorHAnsi"/>
          <w:color w:val="auto"/>
          <w:lang w:eastAsia="en-AU"/>
        </w:rPr>
        <w:t xml:space="preserve"> programme and financial management including reporting; technical assistance; MEL; logistics and administrative support; human resources support; and strategic support through Strategy, Planning &amp; Learning Division.</w:t>
      </w:r>
    </w:p>
    <w:p w14:paraId="1B5142D3" w14:textId="77777777" w:rsidR="00B22231" w:rsidRPr="00C64817" w:rsidRDefault="00B22231" w:rsidP="00B22231">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Long term personnel (from across the region) means long term relationships with stakeholders</w:t>
      </w:r>
    </w:p>
    <w:p w14:paraId="177D4F5A" w14:textId="77777777" w:rsidR="00B22231" w:rsidRPr="00C64817" w:rsidRDefault="00B22231" w:rsidP="00B22231">
      <w:pPr>
        <w:pStyle w:val="ListParagraph"/>
        <w:numPr>
          <w:ilvl w:val="0"/>
          <w:numId w:val="13"/>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 xml:space="preserve">Footprint across the region – relevant division of SPC (HRSD) has personnel embedded in government ministries across 8 Pacific Island Countries plus headquartered in Suva. </w:t>
      </w:r>
    </w:p>
    <w:p w14:paraId="53FBDBE1" w14:textId="60CCCF81" w:rsidR="00BC5BAB" w:rsidRPr="00C64817" w:rsidRDefault="007B1BB1" w:rsidP="00C313F7">
      <w:pPr>
        <w:suppressAutoHyphens w:val="0"/>
        <w:spacing w:before="0" w:after="160" w:line="259" w:lineRule="auto"/>
        <w:jc w:val="both"/>
        <w:rPr>
          <w:rFonts w:cstheme="minorHAnsi"/>
        </w:rPr>
      </w:pPr>
      <w:r>
        <w:rPr>
          <w:rFonts w:eastAsia="Times New Roman" w:cstheme="minorHAnsi"/>
          <w:color w:val="auto"/>
          <w:lang w:eastAsia="en-AU"/>
        </w:rPr>
        <w:t>5.15</w:t>
      </w:r>
      <w:r>
        <w:rPr>
          <w:rFonts w:eastAsia="Times New Roman" w:cstheme="minorHAnsi"/>
          <w:color w:val="auto"/>
          <w:lang w:eastAsia="en-AU"/>
        </w:rPr>
        <w:tab/>
      </w:r>
      <w:r w:rsidR="00BD1574" w:rsidRPr="00C64817">
        <w:rPr>
          <w:rFonts w:eastAsia="Times New Roman" w:cstheme="minorHAnsi"/>
          <w:color w:val="auto"/>
          <w:lang w:eastAsia="en-AU"/>
        </w:rPr>
        <w:t xml:space="preserve">Within SPC, Pacific Women Lead will sit in the </w:t>
      </w:r>
      <w:r w:rsidR="00BC5BAB" w:rsidRPr="00C64817">
        <w:rPr>
          <w:rFonts w:cstheme="minorHAnsi"/>
          <w:b/>
          <w:color w:val="auto"/>
        </w:rPr>
        <w:t>Human Rights &amp; Social Development (HRSD) Division</w:t>
      </w:r>
      <w:r w:rsidR="00BD1574" w:rsidRPr="00C64817">
        <w:rPr>
          <w:rFonts w:cstheme="minorHAnsi"/>
          <w:color w:val="auto"/>
        </w:rPr>
        <w:t xml:space="preserve">. This Division </w:t>
      </w:r>
      <w:r w:rsidR="00BC5BAB" w:rsidRPr="00C64817">
        <w:rPr>
          <w:rFonts w:cstheme="minorHAnsi"/>
          <w:color w:val="auto"/>
        </w:rPr>
        <w:t>was established in September 202</w:t>
      </w:r>
      <w:r w:rsidR="00EA3414" w:rsidRPr="00C64817">
        <w:rPr>
          <w:rFonts w:cstheme="minorHAnsi"/>
          <w:color w:val="auto"/>
        </w:rPr>
        <w:t>0</w:t>
      </w:r>
      <w:r w:rsidR="00A2271D" w:rsidRPr="00C64817">
        <w:rPr>
          <w:rFonts w:cstheme="minorHAnsi"/>
          <w:color w:val="auto"/>
        </w:rPr>
        <w:t xml:space="preserve"> as </w:t>
      </w:r>
      <w:r w:rsidR="00BC5BAB" w:rsidRPr="00C64817">
        <w:rPr>
          <w:rFonts w:cstheme="minorHAnsi"/>
          <w:color w:val="auto"/>
        </w:rPr>
        <w:t xml:space="preserve">the result of a merger between the Regional Rights Resource Team (RRRT) </w:t>
      </w:r>
      <w:r w:rsidR="00A2271D" w:rsidRPr="00C64817">
        <w:rPr>
          <w:rFonts w:cstheme="minorHAnsi"/>
          <w:color w:val="auto"/>
        </w:rPr>
        <w:t xml:space="preserve">- </w:t>
      </w:r>
      <w:r w:rsidR="00BC5BAB" w:rsidRPr="00C64817">
        <w:rPr>
          <w:rFonts w:cstheme="minorHAnsi"/>
          <w:color w:val="auto"/>
        </w:rPr>
        <w:t xml:space="preserve">which was responsible for the human rights programme at SPC </w:t>
      </w:r>
      <w:r w:rsidR="00A2271D" w:rsidRPr="00C64817">
        <w:rPr>
          <w:rFonts w:cstheme="minorHAnsi"/>
          <w:color w:val="auto"/>
        </w:rPr>
        <w:t xml:space="preserve">- </w:t>
      </w:r>
      <w:r w:rsidR="00BC5BAB" w:rsidRPr="00C64817">
        <w:rPr>
          <w:rFonts w:cstheme="minorHAnsi"/>
          <w:color w:val="auto"/>
        </w:rPr>
        <w:t>and the Social Development Programme (SDP) which was responsible for the gender, youth and culture programme.</w:t>
      </w:r>
      <w:r w:rsidR="00A2271D" w:rsidRPr="00C64817">
        <w:rPr>
          <w:rFonts w:cstheme="minorHAnsi"/>
          <w:color w:val="auto"/>
        </w:rPr>
        <w:t xml:space="preserve"> </w:t>
      </w:r>
      <w:r w:rsidR="00BC5BAB" w:rsidRPr="00C64817">
        <w:rPr>
          <w:rFonts w:cstheme="minorHAnsi"/>
          <w:color w:val="auto"/>
        </w:rPr>
        <w:t xml:space="preserve">The merger brings the SPC gender programme under new leadership and combines the complimentary capabilities of RRRT and SDP.  It also strengthens </w:t>
      </w:r>
      <w:r w:rsidR="00BC5BAB" w:rsidRPr="00C64817">
        <w:rPr>
          <w:rFonts w:cstheme="minorHAnsi"/>
          <w:color w:val="auto"/>
          <w:lang w:val="en-NZ"/>
        </w:rPr>
        <w:t xml:space="preserve">the strategic positioning of the human rights and social development agenda within SPC and the Pacific.  As a result, </w:t>
      </w:r>
      <w:r w:rsidR="00BC5BAB" w:rsidRPr="00C64817">
        <w:rPr>
          <w:rFonts w:cstheme="minorHAnsi"/>
          <w:color w:val="auto"/>
        </w:rPr>
        <w:t xml:space="preserve">SPC is now well placed to </w:t>
      </w:r>
      <w:proofErr w:type="gramStart"/>
      <w:r w:rsidR="00BC5BAB" w:rsidRPr="00C64817">
        <w:rPr>
          <w:rFonts w:cstheme="minorHAnsi"/>
          <w:color w:val="auto"/>
        </w:rPr>
        <w:t>more effectively deliver its human rights, gender, youth and culture programme</w:t>
      </w:r>
      <w:proofErr w:type="gramEnd"/>
      <w:r w:rsidR="00BC5BAB" w:rsidRPr="00C64817">
        <w:rPr>
          <w:rFonts w:cstheme="minorHAnsi"/>
          <w:color w:val="auto"/>
        </w:rPr>
        <w:t>, in an integrated and mutually reinforcing way, for better development outcomes and greater impacts for the Pacific.</w:t>
      </w:r>
    </w:p>
    <w:p w14:paraId="7A5C0523" w14:textId="45C1735F" w:rsidR="00965B0C" w:rsidRPr="00C64817" w:rsidRDefault="004B6A04" w:rsidP="0018394C">
      <w:pPr>
        <w:suppressAutoHyphens w:val="0"/>
        <w:spacing w:before="0" w:after="160" w:line="259" w:lineRule="auto"/>
        <w:jc w:val="both"/>
        <w:rPr>
          <w:rFonts w:eastAsia="Times New Roman" w:cstheme="minorHAnsi"/>
          <w:b/>
          <w:bCs/>
          <w:color w:val="auto"/>
          <w:lang w:val="en-AU" w:eastAsia="en-AU"/>
        </w:rPr>
      </w:pPr>
      <w:r>
        <w:rPr>
          <w:rFonts w:eastAsia="Times New Roman" w:cstheme="minorHAnsi"/>
          <w:b/>
          <w:bCs/>
          <w:color w:val="auto"/>
          <w:lang w:val="en-AU" w:eastAsia="en-AU"/>
        </w:rPr>
        <w:t>D</w:t>
      </w:r>
      <w:r w:rsidR="00AB396B" w:rsidRPr="00C64817">
        <w:rPr>
          <w:rFonts w:eastAsia="Times New Roman" w:cstheme="minorHAnsi"/>
          <w:b/>
          <w:bCs/>
          <w:color w:val="auto"/>
          <w:lang w:val="en-AU" w:eastAsia="en-AU"/>
        </w:rPr>
        <w:t xml:space="preserve">elivery model – Hybrid </w:t>
      </w:r>
    </w:p>
    <w:p w14:paraId="24206BED" w14:textId="4A6542BC" w:rsidR="006D004D" w:rsidRPr="00C64817" w:rsidRDefault="004F449F" w:rsidP="005F25F0">
      <w:pPr>
        <w:suppressAutoHyphens w:val="0"/>
        <w:spacing w:before="0" w:after="160" w:line="259" w:lineRule="auto"/>
        <w:jc w:val="both"/>
        <w:rPr>
          <w:rFonts w:cstheme="minorHAnsi"/>
          <w:color w:val="auto"/>
        </w:rPr>
      </w:pPr>
      <w:r w:rsidRPr="00C64817">
        <w:rPr>
          <w:rFonts w:eastAsia="Times New Roman" w:cstheme="minorHAnsi"/>
          <w:color w:val="auto"/>
          <w:lang w:eastAsia="en-AU"/>
        </w:rPr>
        <w:t>5.1</w:t>
      </w:r>
      <w:r w:rsidR="007B1BB1">
        <w:rPr>
          <w:rFonts w:eastAsia="Times New Roman" w:cstheme="minorHAnsi"/>
          <w:color w:val="auto"/>
          <w:lang w:eastAsia="en-AU"/>
        </w:rPr>
        <w:t>6</w:t>
      </w:r>
      <w:r w:rsidRPr="00C64817">
        <w:rPr>
          <w:rFonts w:eastAsia="Times New Roman" w:cstheme="minorHAnsi"/>
          <w:color w:val="auto"/>
          <w:lang w:eastAsia="en-AU"/>
        </w:rPr>
        <w:tab/>
      </w:r>
      <w:r w:rsidR="00965B0C" w:rsidRPr="00C64817">
        <w:rPr>
          <w:rFonts w:eastAsia="Times New Roman" w:cstheme="minorHAnsi"/>
          <w:color w:val="auto"/>
          <w:lang w:eastAsia="en-AU"/>
        </w:rPr>
        <w:t>A hybrid model hosted by a Pacific regional organisation with</w:t>
      </w:r>
      <w:r w:rsidR="00CE7104">
        <w:rPr>
          <w:rFonts w:eastAsia="Times New Roman" w:cstheme="minorHAnsi"/>
          <w:color w:val="auto"/>
          <w:lang w:eastAsia="en-AU"/>
        </w:rPr>
        <w:t xml:space="preserve"> other</w:t>
      </w:r>
      <w:r w:rsidR="00965B0C" w:rsidRPr="00C64817">
        <w:rPr>
          <w:rFonts w:eastAsia="Times New Roman" w:cstheme="minorHAnsi"/>
          <w:color w:val="auto"/>
          <w:lang w:eastAsia="en-AU"/>
        </w:rPr>
        <w:t xml:space="preserve"> functions </w:t>
      </w:r>
      <w:r w:rsidR="00BA6799" w:rsidRPr="00C64817">
        <w:rPr>
          <w:rFonts w:eastAsia="Times New Roman" w:cstheme="minorHAnsi"/>
          <w:color w:val="auto"/>
          <w:lang w:eastAsia="en-AU"/>
        </w:rPr>
        <w:t xml:space="preserve">delivered </w:t>
      </w:r>
      <w:r w:rsidR="00965B0C" w:rsidRPr="00C64817">
        <w:rPr>
          <w:rFonts w:eastAsia="Times New Roman" w:cstheme="minorHAnsi"/>
          <w:color w:val="auto"/>
          <w:lang w:eastAsia="en-AU"/>
        </w:rPr>
        <w:t xml:space="preserve">by </w:t>
      </w:r>
      <w:r w:rsidR="00CE7104">
        <w:rPr>
          <w:rFonts w:eastAsia="Times New Roman" w:cstheme="minorHAnsi"/>
          <w:color w:val="auto"/>
          <w:lang w:eastAsia="en-AU"/>
        </w:rPr>
        <w:t xml:space="preserve">partners including </w:t>
      </w:r>
      <w:r w:rsidR="00BA6799" w:rsidRPr="00C64817">
        <w:rPr>
          <w:rFonts w:eastAsia="Times New Roman" w:cstheme="minorHAnsi"/>
          <w:color w:val="auto"/>
          <w:lang w:eastAsia="en-AU"/>
        </w:rPr>
        <w:t xml:space="preserve">civil society </w:t>
      </w:r>
      <w:r w:rsidR="00CE7104">
        <w:rPr>
          <w:rFonts w:eastAsia="Times New Roman" w:cstheme="minorHAnsi"/>
          <w:color w:val="auto"/>
          <w:lang w:eastAsia="en-AU"/>
        </w:rPr>
        <w:t xml:space="preserve">and a </w:t>
      </w:r>
      <w:r w:rsidR="00965B0C" w:rsidRPr="00C64817">
        <w:rPr>
          <w:rFonts w:eastAsia="Times New Roman" w:cstheme="minorHAnsi"/>
          <w:color w:val="auto"/>
          <w:lang w:eastAsia="en-AU"/>
        </w:rPr>
        <w:t>commercial contractor</w:t>
      </w:r>
      <w:r w:rsidR="00CE7104">
        <w:rPr>
          <w:rFonts w:eastAsia="Times New Roman" w:cstheme="minorHAnsi"/>
          <w:color w:val="auto"/>
          <w:lang w:eastAsia="en-AU"/>
        </w:rPr>
        <w:t xml:space="preserve">, </w:t>
      </w:r>
      <w:r w:rsidR="005F25F0" w:rsidRPr="00C64817">
        <w:rPr>
          <w:rFonts w:eastAsia="Times New Roman" w:cstheme="minorHAnsi"/>
          <w:color w:val="auto"/>
          <w:lang w:eastAsia="en-AU"/>
        </w:rPr>
        <w:t>as follows:</w:t>
      </w:r>
      <w:r w:rsidR="00BB193C" w:rsidRPr="00C64817">
        <w:rPr>
          <w:rFonts w:eastAsia="Times New Roman" w:cstheme="minorHAnsi"/>
          <w:color w:val="auto"/>
          <w:lang w:eastAsia="en-AU"/>
        </w:rPr>
        <w:t xml:space="preserve">  </w:t>
      </w:r>
    </w:p>
    <w:p w14:paraId="63663FE8" w14:textId="78B0950A" w:rsidR="006D004D" w:rsidRPr="00C64817" w:rsidRDefault="007A09BD" w:rsidP="008B3991">
      <w:pPr>
        <w:pStyle w:val="ListParagraph"/>
        <w:numPr>
          <w:ilvl w:val="0"/>
          <w:numId w:val="31"/>
        </w:numPr>
        <w:suppressAutoHyphens w:val="0"/>
        <w:spacing w:before="0" w:after="160" w:line="259" w:lineRule="auto"/>
        <w:jc w:val="both"/>
        <w:rPr>
          <w:rFonts w:eastAsia="Times New Roman" w:cstheme="minorHAnsi"/>
          <w:color w:val="auto"/>
          <w:lang w:val="en-AU" w:eastAsia="en-AU"/>
        </w:rPr>
      </w:pPr>
      <w:r w:rsidRPr="00C64817">
        <w:rPr>
          <w:rFonts w:cstheme="minorHAnsi"/>
          <w:b/>
          <w:bCs/>
          <w:color w:val="auto"/>
        </w:rPr>
        <w:t>Hosted by a Pacific regional organisation</w:t>
      </w:r>
      <w:r w:rsidR="006D004D" w:rsidRPr="00C64817">
        <w:rPr>
          <w:rFonts w:cstheme="minorHAnsi"/>
          <w:b/>
          <w:bCs/>
          <w:color w:val="auto"/>
        </w:rPr>
        <w:t>,</w:t>
      </w:r>
      <w:r w:rsidRPr="00C64817">
        <w:rPr>
          <w:rFonts w:eastAsia="Times New Roman" w:cstheme="minorHAnsi"/>
          <w:color w:val="auto"/>
          <w:lang w:val="en-US" w:eastAsia="en-AU"/>
        </w:rPr>
        <w:t xml:space="preserve"> </w:t>
      </w:r>
      <w:r w:rsidRPr="00C64817">
        <w:rPr>
          <w:rFonts w:eastAsia="Times New Roman" w:cstheme="minorHAnsi"/>
          <w:b/>
          <w:bCs/>
          <w:color w:val="auto"/>
          <w:lang w:val="en-US" w:eastAsia="en-AU"/>
        </w:rPr>
        <w:t>SPC</w:t>
      </w:r>
      <w:r w:rsidR="00CE7104">
        <w:rPr>
          <w:rFonts w:cstheme="minorHAnsi"/>
          <w:color w:val="auto"/>
        </w:rPr>
        <w:t xml:space="preserve">. </w:t>
      </w:r>
      <w:r w:rsidR="006D004D" w:rsidRPr="00C64817">
        <w:rPr>
          <w:rFonts w:eastAsia="Times New Roman" w:cstheme="minorHAnsi"/>
          <w:b/>
          <w:bCs/>
          <w:color w:val="auto"/>
          <w:lang w:val="en-US" w:eastAsia="en-AU"/>
        </w:rPr>
        <w:t xml:space="preserve"> </w:t>
      </w:r>
      <w:r w:rsidR="006D004D" w:rsidRPr="00C64817">
        <w:rPr>
          <w:rFonts w:eastAsia="Times New Roman" w:cstheme="minorHAnsi"/>
          <w:color w:val="auto"/>
          <w:lang w:val="en-US" w:eastAsia="en-AU"/>
        </w:rPr>
        <w:t>SPC would house and manage the bulk of the program, including technical advisory support to the region, some grant</w:t>
      </w:r>
      <w:r w:rsidR="006D004D" w:rsidRPr="00C64817">
        <w:rPr>
          <w:rFonts w:eastAsia="Times New Roman" w:cstheme="minorHAnsi"/>
          <w:color w:val="auto"/>
          <w:lang w:val="en-AU" w:eastAsia="en-AU"/>
        </w:rPr>
        <w:t xml:space="preserve"> delivery and management and administrative/logistical support across the program.  </w:t>
      </w:r>
      <w:r w:rsidR="006D004D" w:rsidRPr="00C64817">
        <w:rPr>
          <w:rFonts w:eastAsia="Times New Roman" w:cstheme="minorHAnsi"/>
          <w:color w:val="auto"/>
          <w:lang w:eastAsia="en-AU"/>
        </w:rPr>
        <w:t>SPC’s existing network of offices throughout the Pacific would provide the base for the program</w:t>
      </w:r>
      <w:r w:rsidR="00CE7104">
        <w:rPr>
          <w:rFonts w:eastAsia="Times New Roman" w:cstheme="minorHAnsi"/>
          <w:color w:val="auto"/>
          <w:lang w:eastAsia="en-AU"/>
        </w:rPr>
        <w:t xml:space="preserve">. </w:t>
      </w:r>
    </w:p>
    <w:p w14:paraId="4A9659C6" w14:textId="1F9D9F23" w:rsidR="00B0318B" w:rsidRPr="00C64817" w:rsidRDefault="007A09BD" w:rsidP="008B3991">
      <w:pPr>
        <w:numPr>
          <w:ilvl w:val="0"/>
          <w:numId w:val="31"/>
        </w:numPr>
        <w:suppressAutoHyphens w:val="0"/>
        <w:spacing w:before="0" w:after="160" w:line="259" w:lineRule="auto"/>
        <w:jc w:val="both"/>
        <w:rPr>
          <w:rFonts w:cstheme="minorHAnsi"/>
          <w:color w:val="auto"/>
        </w:rPr>
      </w:pPr>
      <w:r w:rsidRPr="00C64817">
        <w:rPr>
          <w:rFonts w:cstheme="minorHAnsi"/>
          <w:b/>
          <w:bCs/>
          <w:color w:val="auto"/>
        </w:rPr>
        <w:t>Civil Society</w:t>
      </w:r>
      <w:r w:rsidR="0015106E" w:rsidRPr="00C64817">
        <w:rPr>
          <w:rFonts w:cstheme="minorHAnsi"/>
          <w:b/>
          <w:bCs/>
          <w:color w:val="auto"/>
        </w:rPr>
        <w:t xml:space="preserve">. </w:t>
      </w:r>
      <w:r w:rsidR="006D004D" w:rsidRPr="00C64817">
        <w:rPr>
          <w:rFonts w:cstheme="minorHAnsi"/>
          <w:b/>
          <w:bCs/>
          <w:color w:val="auto"/>
        </w:rPr>
        <w:t xml:space="preserve"> </w:t>
      </w:r>
      <w:r w:rsidR="002F5C4C" w:rsidRPr="00C64817">
        <w:rPr>
          <w:rFonts w:cstheme="minorHAnsi"/>
          <w:color w:val="auto"/>
        </w:rPr>
        <w:t>Feminist Fund</w:t>
      </w:r>
      <w:r w:rsidR="00CE7104">
        <w:rPr>
          <w:rFonts w:cstheme="minorHAnsi"/>
          <w:color w:val="auto"/>
        </w:rPr>
        <w:t xml:space="preserve">s, </w:t>
      </w:r>
      <w:r w:rsidRPr="00C64817">
        <w:rPr>
          <w:rFonts w:cstheme="minorHAnsi"/>
          <w:color w:val="auto"/>
        </w:rPr>
        <w:t>coalitions/partnerships</w:t>
      </w:r>
      <w:r w:rsidR="00403425" w:rsidRPr="00C64817">
        <w:rPr>
          <w:rFonts w:cstheme="minorHAnsi"/>
          <w:color w:val="auto"/>
        </w:rPr>
        <w:t xml:space="preserve">, </w:t>
      </w:r>
      <w:r w:rsidR="00CE7104">
        <w:rPr>
          <w:rFonts w:cstheme="minorHAnsi"/>
          <w:color w:val="auto"/>
        </w:rPr>
        <w:t xml:space="preserve">and </w:t>
      </w:r>
      <w:r w:rsidR="00E2738F" w:rsidRPr="00C64817">
        <w:rPr>
          <w:rFonts w:cstheme="minorHAnsi"/>
          <w:color w:val="auto"/>
        </w:rPr>
        <w:t xml:space="preserve">women’s organisations </w:t>
      </w:r>
      <w:r w:rsidR="00CE7104">
        <w:rPr>
          <w:rFonts w:cstheme="minorHAnsi"/>
          <w:color w:val="auto"/>
        </w:rPr>
        <w:t>and</w:t>
      </w:r>
      <w:r w:rsidR="00154FDB" w:rsidRPr="00C64817">
        <w:rPr>
          <w:rFonts w:cstheme="minorHAnsi"/>
          <w:color w:val="auto"/>
        </w:rPr>
        <w:t xml:space="preserve"> crisis centres </w:t>
      </w:r>
      <w:r w:rsidR="00CE7104">
        <w:rPr>
          <w:rFonts w:cstheme="minorHAnsi"/>
          <w:color w:val="auto"/>
        </w:rPr>
        <w:t>are critical to enable Pacific women’s leadership and to deliver broad reaching support to</w:t>
      </w:r>
      <w:r w:rsidR="00BF1F22">
        <w:rPr>
          <w:rFonts w:cstheme="minorHAnsi"/>
          <w:color w:val="auto"/>
        </w:rPr>
        <w:t xml:space="preserve"> women and women’s organisations </w:t>
      </w:r>
      <w:r w:rsidR="00CE7104">
        <w:rPr>
          <w:rFonts w:cstheme="minorHAnsi"/>
          <w:color w:val="auto"/>
        </w:rPr>
        <w:t xml:space="preserve">across the region. </w:t>
      </w:r>
    </w:p>
    <w:p w14:paraId="407D187B" w14:textId="572DCE83" w:rsidR="006D004D" w:rsidRDefault="007A09BD" w:rsidP="00262E81">
      <w:pPr>
        <w:pStyle w:val="ListParagraph"/>
        <w:numPr>
          <w:ilvl w:val="0"/>
          <w:numId w:val="31"/>
        </w:numPr>
        <w:suppressAutoHyphens w:val="0"/>
        <w:spacing w:before="0" w:after="160" w:line="259" w:lineRule="auto"/>
        <w:jc w:val="both"/>
        <w:rPr>
          <w:rFonts w:cstheme="minorHAnsi"/>
          <w:color w:val="auto"/>
        </w:rPr>
      </w:pPr>
      <w:r w:rsidRPr="00C64817">
        <w:rPr>
          <w:rFonts w:cstheme="minorHAnsi"/>
          <w:b/>
          <w:bCs/>
          <w:color w:val="auto"/>
        </w:rPr>
        <w:t>DFAT</w:t>
      </w:r>
      <w:r w:rsidR="0015106E" w:rsidRPr="00C64817">
        <w:rPr>
          <w:rFonts w:cstheme="minorHAnsi"/>
          <w:b/>
          <w:bCs/>
          <w:color w:val="auto"/>
        </w:rPr>
        <w:t xml:space="preserve">. </w:t>
      </w:r>
      <w:r w:rsidRPr="00C64817">
        <w:rPr>
          <w:rFonts w:cstheme="minorHAnsi"/>
          <w:b/>
          <w:bCs/>
          <w:color w:val="auto"/>
        </w:rPr>
        <w:t xml:space="preserve"> </w:t>
      </w:r>
      <w:r w:rsidR="00CE7104">
        <w:rPr>
          <w:rFonts w:cstheme="minorHAnsi"/>
          <w:color w:val="auto"/>
        </w:rPr>
        <w:t xml:space="preserve">DFAT will continue to </w:t>
      </w:r>
      <w:r w:rsidRPr="00C64817">
        <w:rPr>
          <w:rFonts w:cstheme="minorHAnsi"/>
          <w:color w:val="auto"/>
        </w:rPr>
        <w:t>direct</w:t>
      </w:r>
      <w:r w:rsidR="00CE7104">
        <w:rPr>
          <w:rFonts w:cstheme="minorHAnsi"/>
          <w:color w:val="auto"/>
        </w:rPr>
        <w:t>ly</w:t>
      </w:r>
      <w:r w:rsidRPr="00C64817">
        <w:rPr>
          <w:rFonts w:cstheme="minorHAnsi"/>
          <w:color w:val="auto"/>
        </w:rPr>
        <w:t xml:space="preserve"> </w:t>
      </w:r>
      <w:r w:rsidR="00CE7104">
        <w:rPr>
          <w:rFonts w:cstheme="minorHAnsi"/>
          <w:color w:val="auto"/>
        </w:rPr>
        <w:t xml:space="preserve">partner with </w:t>
      </w:r>
      <w:r w:rsidR="00015D4D" w:rsidRPr="00C64817">
        <w:rPr>
          <w:rFonts w:cstheme="minorHAnsi"/>
          <w:color w:val="auto"/>
        </w:rPr>
        <w:t xml:space="preserve">UN </w:t>
      </w:r>
      <w:r w:rsidRPr="00C64817">
        <w:rPr>
          <w:rFonts w:cstheme="minorHAnsi"/>
          <w:color w:val="auto"/>
        </w:rPr>
        <w:t>partners</w:t>
      </w:r>
      <w:r w:rsidR="00CE7104">
        <w:rPr>
          <w:rFonts w:cstheme="minorHAnsi"/>
          <w:color w:val="auto"/>
        </w:rPr>
        <w:t xml:space="preserve"> </w:t>
      </w:r>
      <w:r w:rsidR="006D004D" w:rsidRPr="00C64817">
        <w:rPr>
          <w:rFonts w:cstheme="minorHAnsi"/>
          <w:color w:val="auto"/>
        </w:rPr>
        <w:t>to carry forward specific elements/project</w:t>
      </w:r>
      <w:r w:rsidR="00CE7104">
        <w:rPr>
          <w:rFonts w:cstheme="minorHAnsi"/>
          <w:color w:val="auto"/>
        </w:rPr>
        <w:t xml:space="preserve">s, in particular the Pacific Partnerships to End Violence Against Women and Markets for Change. </w:t>
      </w:r>
    </w:p>
    <w:p w14:paraId="135861FE" w14:textId="77777777" w:rsidR="00CE7104" w:rsidRPr="00C64817" w:rsidRDefault="00CE7104" w:rsidP="00CE7104">
      <w:pPr>
        <w:pStyle w:val="ListParagraph"/>
        <w:suppressAutoHyphens w:val="0"/>
        <w:spacing w:before="0" w:after="160" w:line="259" w:lineRule="auto"/>
        <w:ind w:left="1080"/>
        <w:jc w:val="both"/>
        <w:rPr>
          <w:rFonts w:cstheme="minorHAnsi"/>
          <w:color w:val="auto"/>
        </w:rPr>
      </w:pPr>
    </w:p>
    <w:p w14:paraId="6EC5AEC9" w14:textId="5F6509A6" w:rsidR="00366819" w:rsidRPr="00C64817" w:rsidRDefault="00647F4E" w:rsidP="00262E81">
      <w:pPr>
        <w:pStyle w:val="ListParagraph"/>
        <w:numPr>
          <w:ilvl w:val="0"/>
          <w:numId w:val="31"/>
        </w:numPr>
        <w:suppressAutoHyphens w:val="0"/>
        <w:spacing w:before="0" w:after="160" w:line="259" w:lineRule="auto"/>
        <w:jc w:val="both"/>
        <w:rPr>
          <w:rFonts w:cstheme="minorHAnsi"/>
          <w:color w:val="auto"/>
        </w:rPr>
      </w:pPr>
      <w:r w:rsidRPr="00C64817">
        <w:rPr>
          <w:rFonts w:cstheme="minorHAnsi"/>
          <w:b/>
          <w:bCs/>
          <w:color w:val="auto"/>
        </w:rPr>
        <w:t>Contractor(s)</w:t>
      </w:r>
      <w:r w:rsidR="005F25F0" w:rsidRPr="00C64817">
        <w:rPr>
          <w:rFonts w:cstheme="minorHAnsi"/>
          <w:b/>
          <w:bCs/>
          <w:color w:val="auto"/>
        </w:rPr>
        <w:t xml:space="preserve">. </w:t>
      </w:r>
      <w:r w:rsidR="007A09BD" w:rsidRPr="00C64817">
        <w:rPr>
          <w:rFonts w:cstheme="minorHAnsi"/>
          <w:b/>
          <w:bCs/>
          <w:color w:val="auto"/>
        </w:rPr>
        <w:t xml:space="preserve"> </w:t>
      </w:r>
      <w:r w:rsidR="000B6527" w:rsidRPr="00C64817">
        <w:rPr>
          <w:rFonts w:cstheme="minorHAnsi"/>
          <w:color w:val="auto"/>
        </w:rPr>
        <w:t xml:space="preserve">Some smaller specific portions of ongoing programming </w:t>
      </w:r>
      <w:r w:rsidR="004B6A04">
        <w:rPr>
          <w:rFonts w:cstheme="minorHAnsi"/>
          <w:color w:val="auto"/>
        </w:rPr>
        <w:t>will</w:t>
      </w:r>
      <w:r w:rsidR="004B6A04" w:rsidRPr="00C64817">
        <w:rPr>
          <w:rFonts w:cstheme="minorHAnsi"/>
          <w:color w:val="auto"/>
        </w:rPr>
        <w:t xml:space="preserve"> </w:t>
      </w:r>
      <w:r w:rsidR="000B6527" w:rsidRPr="00C64817">
        <w:rPr>
          <w:rFonts w:cstheme="minorHAnsi"/>
          <w:color w:val="auto"/>
        </w:rPr>
        <w:t>need to be put out to commercial tender for management</w:t>
      </w:r>
      <w:r w:rsidR="00992003">
        <w:rPr>
          <w:rFonts w:cstheme="minorHAnsi"/>
          <w:color w:val="auto"/>
        </w:rPr>
        <w:t xml:space="preserve"> to ensure transition risks are managed and gender equality services and advice are maintained</w:t>
      </w:r>
      <w:r w:rsidR="004B6A04">
        <w:rPr>
          <w:rFonts w:cstheme="minorHAnsi"/>
          <w:color w:val="auto"/>
        </w:rPr>
        <w:t xml:space="preserve">. </w:t>
      </w:r>
      <w:r w:rsidR="00BF1F22">
        <w:rPr>
          <w:rFonts w:cstheme="minorHAnsi"/>
          <w:color w:val="auto"/>
        </w:rPr>
        <w:t xml:space="preserve">This will include scope for a small Quality, Technical Advisory Group (QTAG). </w:t>
      </w:r>
      <w:r w:rsidR="00366819" w:rsidRPr="00C64817">
        <w:rPr>
          <w:rFonts w:cstheme="minorHAnsi"/>
          <w:color w:val="auto"/>
        </w:rPr>
        <w:t>DFAT’s Building Pacific Capacity (</w:t>
      </w:r>
      <w:proofErr w:type="spellStart"/>
      <w:r w:rsidR="00366819" w:rsidRPr="00C64817">
        <w:rPr>
          <w:rFonts w:cstheme="minorHAnsi"/>
          <w:color w:val="auto"/>
        </w:rPr>
        <w:t>BPaC</w:t>
      </w:r>
      <w:proofErr w:type="spellEnd"/>
      <w:r w:rsidR="00366819" w:rsidRPr="00C64817">
        <w:rPr>
          <w:rFonts w:cstheme="minorHAnsi"/>
          <w:color w:val="auto"/>
        </w:rPr>
        <w:t xml:space="preserve">) program, to be designed in 2021, will provide </w:t>
      </w:r>
      <w:r w:rsidR="00992003">
        <w:rPr>
          <w:rFonts w:cstheme="minorHAnsi"/>
          <w:color w:val="auto"/>
        </w:rPr>
        <w:t>mainstream gender</w:t>
      </w:r>
      <w:r w:rsidR="00992003" w:rsidRPr="00C64817">
        <w:rPr>
          <w:rFonts w:cstheme="minorHAnsi"/>
          <w:color w:val="auto"/>
        </w:rPr>
        <w:t xml:space="preserve"> </w:t>
      </w:r>
      <w:r w:rsidR="00366819" w:rsidRPr="00C64817">
        <w:rPr>
          <w:rFonts w:cstheme="minorHAnsi"/>
          <w:color w:val="auto"/>
        </w:rPr>
        <w:t xml:space="preserve">support to smaller Pacific countries (particularly Kiribati, Nauru, Tuvalu, and North Pacific countries). From 2022, and for the countries it covers, </w:t>
      </w:r>
      <w:proofErr w:type="spellStart"/>
      <w:r w:rsidR="00366819" w:rsidRPr="00C64817">
        <w:rPr>
          <w:rFonts w:cstheme="minorHAnsi"/>
          <w:color w:val="auto"/>
        </w:rPr>
        <w:t>BPaC</w:t>
      </w:r>
      <w:proofErr w:type="spellEnd"/>
      <w:r w:rsidR="00366819" w:rsidRPr="00C64817">
        <w:rPr>
          <w:rFonts w:cstheme="minorHAnsi"/>
          <w:color w:val="auto"/>
        </w:rPr>
        <w:t xml:space="preserve"> will offer a potential commercial entity mechanism to provide additional support to implement and monitor country-level activities. </w:t>
      </w:r>
    </w:p>
    <w:p w14:paraId="3D39DB3F" w14:textId="2952F4CA" w:rsidR="00647F4E" w:rsidRPr="00C64817" w:rsidRDefault="00FE4548" w:rsidP="00C64817">
      <w:pPr>
        <w:suppressAutoHyphens w:val="0"/>
        <w:spacing w:before="0" w:after="160" w:line="259" w:lineRule="auto"/>
        <w:jc w:val="both"/>
        <w:rPr>
          <w:rFonts w:cstheme="minorHAnsi"/>
          <w:b/>
          <w:bCs/>
          <w:color w:val="auto"/>
        </w:rPr>
      </w:pPr>
      <w:r w:rsidRPr="00C64817">
        <w:rPr>
          <w:rFonts w:cstheme="minorHAnsi"/>
          <w:b/>
          <w:bCs/>
          <w:color w:val="auto"/>
        </w:rPr>
        <w:t>Indicative division of management responsibility</w:t>
      </w:r>
      <w:r w:rsidRPr="00407D94">
        <w:rPr>
          <w:rFonts w:cstheme="minorHAnsi"/>
          <w:b/>
          <w:bCs/>
          <w:color w:val="auto"/>
        </w:rPr>
        <w:t xml:space="preserve"> across partners in the hybrid model</w:t>
      </w:r>
    </w:p>
    <w:p w14:paraId="1107B4CB" w14:textId="384CFC1A" w:rsidR="00141593" w:rsidRDefault="007A3CA0" w:rsidP="002722FA">
      <w:pPr>
        <w:suppressAutoHyphens w:val="0"/>
        <w:spacing w:before="0" w:after="160" w:line="259" w:lineRule="auto"/>
        <w:jc w:val="both"/>
        <w:rPr>
          <w:rFonts w:cstheme="minorHAnsi"/>
          <w:color w:val="auto"/>
        </w:rPr>
      </w:pPr>
      <w:r w:rsidRPr="00407D94">
        <w:rPr>
          <w:rFonts w:cstheme="minorHAnsi"/>
          <w:color w:val="auto"/>
        </w:rPr>
        <w:t>5.1</w:t>
      </w:r>
      <w:r w:rsidR="007B1BB1">
        <w:rPr>
          <w:rFonts w:cstheme="minorHAnsi"/>
          <w:color w:val="auto"/>
        </w:rPr>
        <w:t>7</w:t>
      </w:r>
      <w:r w:rsidRPr="00407D94">
        <w:rPr>
          <w:rFonts w:cstheme="minorHAnsi"/>
          <w:color w:val="auto"/>
        </w:rPr>
        <w:tab/>
      </w:r>
      <w:r w:rsidR="004F3D39" w:rsidRPr="00407D94">
        <w:rPr>
          <w:rFonts w:cstheme="minorHAnsi"/>
          <w:color w:val="auto"/>
        </w:rPr>
        <w:t xml:space="preserve">The table below provides a summary of </w:t>
      </w:r>
      <w:r w:rsidR="00D1405E">
        <w:rPr>
          <w:rFonts w:cstheme="minorHAnsi"/>
          <w:color w:val="auto"/>
        </w:rPr>
        <w:t>how</w:t>
      </w:r>
      <w:r w:rsidR="004F3D39" w:rsidRPr="00407D94">
        <w:rPr>
          <w:rFonts w:cstheme="minorHAnsi"/>
          <w:color w:val="auto"/>
        </w:rPr>
        <w:t xml:space="preserve"> </w:t>
      </w:r>
      <w:r w:rsidR="00260061" w:rsidRPr="00C64817">
        <w:rPr>
          <w:rFonts w:cstheme="minorHAnsi"/>
          <w:color w:val="auto"/>
        </w:rPr>
        <w:t>management</w:t>
      </w:r>
      <w:r w:rsidR="004F3D39" w:rsidRPr="00C64817">
        <w:rPr>
          <w:rFonts w:cstheme="minorHAnsi"/>
          <w:color w:val="auto"/>
        </w:rPr>
        <w:t xml:space="preserve"> and support functions will be </w:t>
      </w:r>
      <w:r w:rsidR="00D1405E">
        <w:rPr>
          <w:rFonts w:cstheme="minorHAnsi"/>
          <w:color w:val="auto"/>
        </w:rPr>
        <w:t>split across partners</w:t>
      </w:r>
      <w:r w:rsidR="00D1405E" w:rsidRPr="00C64817">
        <w:rPr>
          <w:rFonts w:cstheme="minorHAnsi"/>
          <w:color w:val="auto"/>
        </w:rPr>
        <w:t xml:space="preserve"> </w:t>
      </w:r>
      <w:r w:rsidR="004F3D39" w:rsidRPr="00C64817">
        <w:rPr>
          <w:rFonts w:cstheme="minorHAnsi"/>
          <w:color w:val="auto"/>
        </w:rPr>
        <w:t xml:space="preserve">for </w:t>
      </w:r>
      <w:r w:rsidR="004F3D39" w:rsidRPr="00C64817">
        <w:rPr>
          <w:rFonts w:cstheme="minorHAnsi"/>
          <w:i/>
          <w:iCs/>
          <w:color w:val="auto"/>
        </w:rPr>
        <w:t>Pacific Women Lead</w:t>
      </w:r>
      <w:r w:rsidR="004F3D39" w:rsidRPr="00407D94">
        <w:rPr>
          <w:rFonts w:cstheme="minorHAnsi"/>
          <w:color w:val="auto"/>
        </w:rPr>
        <w:t xml:space="preserve">. This will be subject to further </w:t>
      </w:r>
      <w:r w:rsidR="0015221F" w:rsidRPr="00407D94">
        <w:rPr>
          <w:rFonts w:cstheme="minorHAnsi"/>
          <w:color w:val="auto"/>
        </w:rPr>
        <w:t xml:space="preserve">discussion and negotiation during the transition phase – but the following gives a </w:t>
      </w:r>
      <w:r w:rsidR="00D612E7" w:rsidRPr="008A7462">
        <w:rPr>
          <w:rFonts w:cstheme="minorHAnsi"/>
          <w:color w:val="auto"/>
        </w:rPr>
        <w:t xml:space="preserve">reasonable estimate </w:t>
      </w:r>
      <w:r w:rsidR="002215B0" w:rsidRPr="008A7462">
        <w:rPr>
          <w:rFonts w:cstheme="minorHAnsi"/>
          <w:color w:val="auto"/>
        </w:rPr>
        <w:t>of the likely relativities at the program management and support level, with SPC clearly carrying most of the management and support load. While it is no</w:t>
      </w:r>
      <w:r w:rsidR="002215B0" w:rsidRPr="00F44628">
        <w:rPr>
          <w:rFonts w:cstheme="minorHAnsi"/>
          <w:color w:val="auto"/>
        </w:rPr>
        <w:t xml:space="preserve">t envisaged </w:t>
      </w:r>
      <w:r w:rsidR="002215B0" w:rsidRPr="00F44628">
        <w:rPr>
          <w:rFonts w:cstheme="minorHAnsi"/>
          <w:color w:val="auto"/>
        </w:rPr>
        <w:lastRenderedPageBreak/>
        <w:t xml:space="preserve">that a civil society entity will have an initial role in overall program management, </w:t>
      </w:r>
      <w:r w:rsidR="00D54BC8" w:rsidRPr="00C64817">
        <w:rPr>
          <w:rFonts w:cstheme="minorHAnsi"/>
          <w:color w:val="auto"/>
        </w:rPr>
        <w:t>civil society will be expected to take on an activity management load, along with the three other elements of the hybrid</w:t>
      </w:r>
      <w:r w:rsidR="00606658" w:rsidRPr="00C64817">
        <w:rPr>
          <w:rFonts w:cstheme="minorHAnsi"/>
          <w:color w:val="auto"/>
        </w:rPr>
        <w:t>.</w:t>
      </w:r>
      <w:r w:rsidR="00D1405E">
        <w:rPr>
          <w:rFonts w:cstheme="minorHAnsi"/>
          <w:color w:val="auto"/>
        </w:rPr>
        <w:t xml:space="preserve">  Activity management responsibilities across all the partners will be determined in accordance with principles and criteria outlined in the Design.</w:t>
      </w:r>
    </w:p>
    <w:tbl>
      <w:tblPr>
        <w:tblStyle w:val="TableGrid"/>
        <w:tblW w:w="9639" w:type="dxa"/>
        <w:tblInd w:w="-5" w:type="dxa"/>
        <w:tblLook w:val="04A0" w:firstRow="1" w:lastRow="0" w:firstColumn="1" w:lastColumn="0" w:noHBand="0" w:noVBand="1"/>
      </w:tblPr>
      <w:tblGrid>
        <w:gridCol w:w="2552"/>
        <w:gridCol w:w="2410"/>
        <w:gridCol w:w="2268"/>
        <w:gridCol w:w="2409"/>
      </w:tblGrid>
      <w:tr w:rsidR="002722FA" w:rsidRPr="00C64817" w14:paraId="79153A85" w14:textId="77777777" w:rsidTr="00F328DA">
        <w:trPr>
          <w:trHeight w:val="274"/>
        </w:trPr>
        <w:tc>
          <w:tcPr>
            <w:tcW w:w="2552" w:type="dxa"/>
          </w:tcPr>
          <w:p w14:paraId="3DF0CAFB" w14:textId="77777777" w:rsidR="002722FA" w:rsidRPr="007B1BB1" w:rsidRDefault="002722FA" w:rsidP="007B1BB1">
            <w:pPr>
              <w:jc w:val="center"/>
              <w:rPr>
                <w:rFonts w:cstheme="minorHAnsi"/>
                <w:b/>
                <w:bCs/>
                <w:color w:val="auto"/>
              </w:rPr>
            </w:pPr>
            <w:r w:rsidRPr="007B1BB1">
              <w:rPr>
                <w:rFonts w:cstheme="minorHAnsi"/>
                <w:b/>
                <w:bCs/>
                <w:color w:val="auto"/>
              </w:rPr>
              <w:t>SPC</w:t>
            </w:r>
          </w:p>
        </w:tc>
        <w:tc>
          <w:tcPr>
            <w:tcW w:w="2410" w:type="dxa"/>
          </w:tcPr>
          <w:p w14:paraId="59A7D3C7" w14:textId="77777777" w:rsidR="002722FA" w:rsidRPr="007B1BB1" w:rsidRDefault="002722FA" w:rsidP="007B1BB1">
            <w:pPr>
              <w:jc w:val="center"/>
              <w:rPr>
                <w:rFonts w:cstheme="minorHAnsi"/>
                <w:b/>
                <w:bCs/>
                <w:color w:val="auto"/>
              </w:rPr>
            </w:pPr>
            <w:r w:rsidRPr="007B1BB1">
              <w:rPr>
                <w:rFonts w:cstheme="minorHAnsi"/>
                <w:b/>
                <w:bCs/>
                <w:color w:val="auto"/>
              </w:rPr>
              <w:t>DFAT</w:t>
            </w:r>
          </w:p>
        </w:tc>
        <w:tc>
          <w:tcPr>
            <w:tcW w:w="2268" w:type="dxa"/>
          </w:tcPr>
          <w:p w14:paraId="167455E8" w14:textId="77777777" w:rsidR="002722FA" w:rsidRPr="007B1BB1" w:rsidRDefault="002722FA" w:rsidP="007B1BB1">
            <w:pPr>
              <w:jc w:val="center"/>
              <w:rPr>
                <w:rFonts w:cstheme="minorHAnsi"/>
                <w:b/>
                <w:bCs/>
                <w:color w:val="auto"/>
              </w:rPr>
            </w:pPr>
            <w:r w:rsidRPr="007B1BB1">
              <w:rPr>
                <w:rFonts w:cstheme="minorHAnsi"/>
                <w:b/>
                <w:bCs/>
                <w:color w:val="auto"/>
              </w:rPr>
              <w:t>Civil Society</w:t>
            </w:r>
          </w:p>
        </w:tc>
        <w:tc>
          <w:tcPr>
            <w:tcW w:w="2409" w:type="dxa"/>
          </w:tcPr>
          <w:p w14:paraId="08106C3E" w14:textId="77777777" w:rsidR="002722FA" w:rsidRPr="007B1BB1" w:rsidRDefault="002722FA" w:rsidP="007B1BB1">
            <w:pPr>
              <w:jc w:val="center"/>
              <w:rPr>
                <w:rFonts w:cstheme="minorHAnsi"/>
                <w:b/>
                <w:bCs/>
                <w:color w:val="auto"/>
              </w:rPr>
            </w:pPr>
            <w:r w:rsidRPr="007B1BB1">
              <w:rPr>
                <w:rFonts w:cstheme="minorHAnsi"/>
                <w:b/>
                <w:bCs/>
                <w:color w:val="auto"/>
              </w:rPr>
              <w:t>Contractor(s)</w:t>
            </w:r>
          </w:p>
        </w:tc>
      </w:tr>
      <w:tr w:rsidR="002722FA" w:rsidRPr="00C64817" w14:paraId="171DDD66" w14:textId="77777777" w:rsidTr="00F328DA">
        <w:trPr>
          <w:trHeight w:val="3798"/>
        </w:trPr>
        <w:tc>
          <w:tcPr>
            <w:tcW w:w="2552" w:type="dxa"/>
          </w:tcPr>
          <w:p w14:paraId="3E7302C4" w14:textId="77777777"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Grant disbursement and management</w:t>
            </w:r>
          </w:p>
          <w:p w14:paraId="5D3DFC2F" w14:textId="004A5C7B"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Monitoring, Evaluation and Learning – Lead Role</w:t>
            </w:r>
          </w:p>
          <w:p w14:paraId="2E006EE4" w14:textId="2A81DF98"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Convening of partners and stakeholders</w:t>
            </w:r>
          </w:p>
          <w:p w14:paraId="61AAF62B" w14:textId="77777777"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Policy and program advice to SPC-managed programs</w:t>
            </w:r>
          </w:p>
          <w:p w14:paraId="76B2CB8D" w14:textId="77777777"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Communications</w:t>
            </w:r>
          </w:p>
          <w:p w14:paraId="4437CAB2" w14:textId="77777777"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Secretariat support to the Board</w:t>
            </w:r>
          </w:p>
          <w:p w14:paraId="2B67ECDA" w14:textId="77777777"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Corporate functions (Finance; Human Resources; IT)</w:t>
            </w:r>
          </w:p>
          <w:p w14:paraId="4CF62709" w14:textId="77777777" w:rsidR="002722FA" w:rsidRPr="007B1BB1" w:rsidRDefault="002722FA" w:rsidP="007B1BB1">
            <w:pPr>
              <w:pStyle w:val="ListParagraph"/>
              <w:ind w:left="360"/>
              <w:jc w:val="center"/>
              <w:rPr>
                <w:rFonts w:cstheme="minorHAnsi"/>
                <w:color w:val="auto"/>
              </w:rPr>
            </w:pPr>
          </w:p>
        </w:tc>
        <w:tc>
          <w:tcPr>
            <w:tcW w:w="2410" w:type="dxa"/>
          </w:tcPr>
          <w:p w14:paraId="1A4454D2" w14:textId="77777777"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Australian Government due diligence requirements for partners</w:t>
            </w:r>
          </w:p>
          <w:p w14:paraId="2D9D8CB0" w14:textId="77777777" w:rsidR="00260061" w:rsidRPr="007B1BB1" w:rsidRDefault="00260061"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Australian Government contracting and grant agreement processes</w:t>
            </w:r>
          </w:p>
          <w:p w14:paraId="4A76B9E1" w14:textId="29D6337E"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Australian Government reporting requirements</w:t>
            </w:r>
          </w:p>
          <w:p w14:paraId="47C5D26A" w14:textId="77777777" w:rsidR="002722FA" w:rsidRPr="007B1BB1" w:rsidRDefault="002722FA" w:rsidP="007B1BB1">
            <w:pPr>
              <w:jc w:val="center"/>
              <w:rPr>
                <w:rFonts w:cstheme="minorHAnsi"/>
                <w:color w:val="auto"/>
                <w:lang w:eastAsia="en-AU"/>
              </w:rPr>
            </w:pPr>
          </w:p>
        </w:tc>
        <w:tc>
          <w:tcPr>
            <w:tcW w:w="2268" w:type="dxa"/>
          </w:tcPr>
          <w:p w14:paraId="0B261902" w14:textId="7EA61D1F" w:rsidR="002722FA" w:rsidRDefault="00BF1F22"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Pr>
                <w:rFonts w:eastAsia="Times New Roman" w:cstheme="minorHAnsi"/>
                <w:color w:val="auto"/>
                <w:lang w:eastAsia="en-AU"/>
              </w:rPr>
              <w:t xml:space="preserve">Feminist Funds – grants disbursement and management </w:t>
            </w:r>
          </w:p>
          <w:p w14:paraId="45B81969" w14:textId="2932001D" w:rsidR="00BF1F22" w:rsidRPr="007B1BB1" w:rsidRDefault="00BF1F22"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Pr>
                <w:rFonts w:eastAsia="Times New Roman" w:cstheme="minorHAnsi"/>
                <w:color w:val="auto"/>
                <w:lang w:eastAsia="en-AU"/>
              </w:rPr>
              <w:t xml:space="preserve">Incubation and capacity development to grow opportunities for women’s organisations </w:t>
            </w:r>
          </w:p>
          <w:p w14:paraId="4F9A15CD" w14:textId="77777777" w:rsidR="002722FA" w:rsidRPr="007B1BB1" w:rsidRDefault="002722FA" w:rsidP="007B1BB1">
            <w:pPr>
              <w:pStyle w:val="ListParagraph"/>
              <w:ind w:left="360"/>
              <w:jc w:val="center"/>
              <w:rPr>
                <w:rFonts w:cstheme="minorHAnsi"/>
                <w:color w:val="auto"/>
              </w:rPr>
            </w:pPr>
          </w:p>
        </w:tc>
        <w:tc>
          <w:tcPr>
            <w:tcW w:w="2409" w:type="dxa"/>
          </w:tcPr>
          <w:p w14:paraId="65433C87" w14:textId="77777777" w:rsidR="002722FA" w:rsidRPr="007B1BB1"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 xml:space="preserve">Policy, </w:t>
            </w:r>
            <w:proofErr w:type="gramStart"/>
            <w:r w:rsidRPr="007B1BB1">
              <w:rPr>
                <w:rFonts w:eastAsia="Times New Roman" w:cstheme="minorHAnsi"/>
                <w:color w:val="auto"/>
                <w:lang w:eastAsia="en-AU"/>
              </w:rPr>
              <w:t>program</w:t>
            </w:r>
            <w:proofErr w:type="gramEnd"/>
            <w:r w:rsidRPr="007B1BB1">
              <w:rPr>
                <w:rFonts w:eastAsia="Times New Roman" w:cstheme="minorHAnsi"/>
                <w:color w:val="auto"/>
                <w:lang w:eastAsia="en-AU"/>
              </w:rPr>
              <w:t xml:space="preserve"> and technical advice to DFAT programs</w:t>
            </w:r>
          </w:p>
          <w:p w14:paraId="7C7D4F60" w14:textId="77777777" w:rsidR="0023572F"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 xml:space="preserve">Monitoring, Evaluation and Learning </w:t>
            </w:r>
          </w:p>
          <w:p w14:paraId="5F75E5D3" w14:textId="3CB12E88" w:rsidR="002722FA" w:rsidRPr="007B1BB1" w:rsidRDefault="00686743"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QTAG/</w:t>
            </w:r>
            <w:r w:rsidR="002722FA" w:rsidRPr="007B1BB1">
              <w:rPr>
                <w:rFonts w:eastAsia="Times New Roman" w:cstheme="minorHAnsi"/>
                <w:color w:val="auto"/>
                <w:lang w:eastAsia="en-AU"/>
              </w:rPr>
              <w:t xml:space="preserve"> Independent advisory role</w:t>
            </w:r>
          </w:p>
          <w:p w14:paraId="48FEC73D" w14:textId="7E3B24E2" w:rsidR="002722FA" w:rsidRDefault="002722FA"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sidRPr="007B1BB1">
              <w:rPr>
                <w:rFonts w:eastAsia="Times New Roman" w:cstheme="minorHAnsi"/>
                <w:color w:val="auto"/>
                <w:lang w:eastAsia="en-AU"/>
              </w:rPr>
              <w:t>Partnership brokering and support</w:t>
            </w:r>
          </w:p>
          <w:p w14:paraId="3E02F5D3" w14:textId="6DEE8004" w:rsidR="00BF1F22" w:rsidRDefault="00BF1F22"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Pr>
                <w:rFonts w:eastAsia="Times New Roman" w:cstheme="minorHAnsi"/>
                <w:color w:val="auto"/>
                <w:lang w:eastAsia="en-AU"/>
              </w:rPr>
              <w:t xml:space="preserve">Support for Pacific bilateral programs, as required </w:t>
            </w:r>
          </w:p>
          <w:p w14:paraId="71B1F8D6" w14:textId="76070DC8" w:rsidR="00BF1F22" w:rsidRPr="007B1BB1" w:rsidRDefault="00BF1F22" w:rsidP="007B1BB1">
            <w:pPr>
              <w:pStyle w:val="ListParagraph"/>
              <w:numPr>
                <w:ilvl w:val="0"/>
                <w:numId w:val="38"/>
              </w:numPr>
              <w:suppressAutoHyphens w:val="0"/>
              <w:spacing w:before="0" w:after="160" w:line="259" w:lineRule="auto"/>
              <w:jc w:val="center"/>
              <w:rPr>
                <w:rFonts w:eastAsia="Times New Roman" w:cstheme="minorHAnsi"/>
                <w:color w:val="auto"/>
                <w:lang w:eastAsia="en-AU"/>
              </w:rPr>
            </w:pPr>
            <w:r>
              <w:rPr>
                <w:rFonts w:eastAsia="Times New Roman" w:cstheme="minorHAnsi"/>
                <w:color w:val="auto"/>
                <w:lang w:eastAsia="en-AU"/>
              </w:rPr>
              <w:t xml:space="preserve">Support SPC in early stages, as requested </w:t>
            </w:r>
          </w:p>
          <w:p w14:paraId="712E451A" w14:textId="77777777" w:rsidR="002722FA" w:rsidRPr="007B1BB1" w:rsidRDefault="002722FA" w:rsidP="007B1BB1">
            <w:pPr>
              <w:pStyle w:val="ListParagraph"/>
              <w:spacing w:after="160" w:line="259" w:lineRule="auto"/>
              <w:ind w:left="360"/>
              <w:jc w:val="center"/>
              <w:rPr>
                <w:rFonts w:cstheme="minorHAnsi"/>
                <w:color w:val="auto"/>
              </w:rPr>
            </w:pPr>
          </w:p>
        </w:tc>
      </w:tr>
    </w:tbl>
    <w:p w14:paraId="234B4F1B" w14:textId="77777777" w:rsidR="004B6A04" w:rsidRDefault="004B6A04" w:rsidP="008C74E8">
      <w:pPr>
        <w:suppressAutoHyphens w:val="0"/>
        <w:spacing w:before="0" w:after="160" w:line="259" w:lineRule="auto"/>
        <w:jc w:val="both"/>
        <w:rPr>
          <w:rFonts w:cstheme="minorHAnsi"/>
          <w:b/>
          <w:bCs/>
          <w:color w:val="auto"/>
        </w:rPr>
      </w:pPr>
    </w:p>
    <w:p w14:paraId="31449CE9" w14:textId="1D38B382" w:rsidR="006463B5" w:rsidRPr="00F328DA" w:rsidRDefault="006463B5" w:rsidP="00F328DA">
      <w:pPr>
        <w:pStyle w:val="Heading2"/>
        <w:rPr>
          <w:sz w:val="36"/>
          <w:szCs w:val="24"/>
        </w:rPr>
      </w:pPr>
      <w:bookmarkStart w:id="16" w:name="_Toc75535890"/>
      <w:r w:rsidRPr="00F328DA">
        <w:rPr>
          <w:sz w:val="36"/>
          <w:szCs w:val="24"/>
        </w:rPr>
        <w:t>Value for Money considerations</w:t>
      </w:r>
      <w:bookmarkEnd w:id="16"/>
    </w:p>
    <w:p w14:paraId="2CF243C8" w14:textId="0C9C6145" w:rsidR="00847FE2" w:rsidRDefault="009F6A50" w:rsidP="008C74E8">
      <w:pPr>
        <w:suppressAutoHyphens w:val="0"/>
        <w:spacing w:before="0" w:after="160" w:line="259" w:lineRule="auto"/>
        <w:jc w:val="both"/>
        <w:rPr>
          <w:rFonts w:cstheme="minorHAnsi"/>
          <w:color w:val="auto"/>
        </w:rPr>
      </w:pPr>
      <w:r w:rsidRPr="00407D94">
        <w:rPr>
          <w:rFonts w:cstheme="minorHAnsi"/>
          <w:color w:val="auto"/>
        </w:rPr>
        <w:t>5.1</w:t>
      </w:r>
      <w:r w:rsidR="007B1BB1">
        <w:rPr>
          <w:rFonts w:cstheme="minorHAnsi"/>
          <w:color w:val="auto"/>
        </w:rPr>
        <w:t>8</w:t>
      </w:r>
      <w:r w:rsidRPr="00407D94">
        <w:rPr>
          <w:rFonts w:cstheme="minorHAnsi"/>
          <w:color w:val="auto"/>
        </w:rPr>
        <w:tab/>
      </w:r>
      <w:r w:rsidR="00262CBA" w:rsidRPr="00C64817">
        <w:rPr>
          <w:rFonts w:cstheme="minorHAnsi"/>
          <w:color w:val="auto"/>
        </w:rPr>
        <w:t>T</w:t>
      </w:r>
      <w:r w:rsidR="00F661B9" w:rsidRPr="00C64817">
        <w:rPr>
          <w:rFonts w:cstheme="minorHAnsi"/>
          <w:color w:val="auto"/>
        </w:rPr>
        <w:t xml:space="preserve">his hybrid model </w:t>
      </w:r>
      <w:r w:rsidR="00991BE2" w:rsidRPr="00C64817">
        <w:rPr>
          <w:rFonts w:cstheme="minorHAnsi"/>
          <w:color w:val="auto"/>
        </w:rPr>
        <w:t xml:space="preserve">is proposed as </w:t>
      </w:r>
      <w:r w:rsidR="006463B5" w:rsidRPr="00C64817">
        <w:rPr>
          <w:rFonts w:cstheme="minorHAnsi"/>
          <w:color w:val="auto"/>
        </w:rPr>
        <w:t>the optimum approach when considering DFAT’s</w:t>
      </w:r>
      <w:r w:rsidR="00991BE2" w:rsidRPr="00C64817">
        <w:rPr>
          <w:rFonts w:cstheme="minorHAnsi"/>
          <w:color w:val="auto"/>
        </w:rPr>
        <w:t xml:space="preserve"> </w:t>
      </w:r>
      <w:r w:rsidR="00B52329" w:rsidRPr="00C64817">
        <w:rPr>
          <w:rFonts w:cstheme="minorHAnsi"/>
          <w:color w:val="auto"/>
        </w:rPr>
        <w:t xml:space="preserve">multifaceted </w:t>
      </w:r>
      <w:r w:rsidR="00991BE2" w:rsidRPr="00C64817">
        <w:rPr>
          <w:rFonts w:cstheme="minorHAnsi"/>
          <w:i/>
          <w:iCs/>
          <w:color w:val="auto"/>
        </w:rPr>
        <w:t>Value for Mone</w:t>
      </w:r>
      <w:r w:rsidR="00991BE2" w:rsidRPr="00407D94">
        <w:rPr>
          <w:rFonts w:cstheme="minorHAnsi"/>
          <w:color w:val="auto"/>
        </w:rPr>
        <w:t>y Principles</w:t>
      </w:r>
      <w:r w:rsidR="005905F5" w:rsidRPr="00407D94">
        <w:rPr>
          <w:rFonts w:cstheme="minorHAnsi"/>
          <w:color w:val="auto"/>
        </w:rPr>
        <w:t xml:space="preserve"> (below)</w:t>
      </w:r>
      <w:r w:rsidR="00201035" w:rsidRPr="008A7462">
        <w:rPr>
          <w:rFonts w:cstheme="minorHAnsi"/>
          <w:color w:val="auto"/>
        </w:rPr>
        <w:t>:</w:t>
      </w:r>
    </w:p>
    <w:tbl>
      <w:tblPr>
        <w:tblStyle w:val="TableGrid"/>
        <w:tblW w:w="0" w:type="auto"/>
        <w:tblLook w:val="04A0" w:firstRow="1" w:lastRow="0" w:firstColumn="1" w:lastColumn="0" w:noHBand="0" w:noVBand="1"/>
      </w:tblPr>
      <w:tblGrid>
        <w:gridCol w:w="2442"/>
        <w:gridCol w:w="2443"/>
        <w:gridCol w:w="2443"/>
        <w:gridCol w:w="2443"/>
      </w:tblGrid>
      <w:tr w:rsidR="00864CCD" w14:paraId="63E26BE5" w14:textId="77777777" w:rsidTr="00864CCD">
        <w:tc>
          <w:tcPr>
            <w:tcW w:w="2442" w:type="dxa"/>
          </w:tcPr>
          <w:p w14:paraId="1C15E192" w14:textId="765B7C3F" w:rsidR="00864CCD" w:rsidRDefault="00864CCD" w:rsidP="008C74E8">
            <w:pPr>
              <w:suppressAutoHyphens w:val="0"/>
              <w:spacing w:before="0" w:after="160" w:line="259" w:lineRule="auto"/>
              <w:jc w:val="both"/>
              <w:rPr>
                <w:rFonts w:cstheme="minorHAnsi"/>
                <w:color w:val="auto"/>
              </w:rPr>
            </w:pPr>
            <w:r>
              <w:rPr>
                <w:rFonts w:cstheme="minorHAnsi"/>
                <w:color w:val="auto"/>
              </w:rPr>
              <w:t>Economy</w:t>
            </w:r>
          </w:p>
        </w:tc>
        <w:tc>
          <w:tcPr>
            <w:tcW w:w="2443" w:type="dxa"/>
          </w:tcPr>
          <w:p w14:paraId="0E7B54BD" w14:textId="7EA8221C" w:rsidR="00864CCD" w:rsidRDefault="00864CCD" w:rsidP="008C74E8">
            <w:pPr>
              <w:suppressAutoHyphens w:val="0"/>
              <w:spacing w:before="0" w:after="160" w:line="259" w:lineRule="auto"/>
              <w:jc w:val="both"/>
              <w:rPr>
                <w:rFonts w:cstheme="minorHAnsi"/>
                <w:color w:val="auto"/>
              </w:rPr>
            </w:pPr>
            <w:r>
              <w:rPr>
                <w:rFonts w:cstheme="minorHAnsi"/>
                <w:color w:val="auto"/>
              </w:rPr>
              <w:t>Efficiency</w:t>
            </w:r>
          </w:p>
        </w:tc>
        <w:tc>
          <w:tcPr>
            <w:tcW w:w="2443" w:type="dxa"/>
          </w:tcPr>
          <w:p w14:paraId="2C6EA111" w14:textId="25541C8B" w:rsidR="00864CCD" w:rsidRDefault="00864CCD" w:rsidP="008C74E8">
            <w:pPr>
              <w:suppressAutoHyphens w:val="0"/>
              <w:spacing w:before="0" w:after="160" w:line="259" w:lineRule="auto"/>
              <w:jc w:val="both"/>
              <w:rPr>
                <w:rFonts w:cstheme="minorHAnsi"/>
                <w:color w:val="auto"/>
              </w:rPr>
            </w:pPr>
            <w:r>
              <w:rPr>
                <w:rFonts w:cstheme="minorHAnsi"/>
                <w:color w:val="auto"/>
              </w:rPr>
              <w:t>Effectiveness</w:t>
            </w:r>
          </w:p>
        </w:tc>
        <w:tc>
          <w:tcPr>
            <w:tcW w:w="2443" w:type="dxa"/>
          </w:tcPr>
          <w:p w14:paraId="2B25CAD1" w14:textId="3D58B969" w:rsidR="00864CCD" w:rsidRDefault="00864CCD" w:rsidP="008C74E8">
            <w:pPr>
              <w:suppressAutoHyphens w:val="0"/>
              <w:spacing w:before="0" w:after="160" w:line="259" w:lineRule="auto"/>
              <w:jc w:val="both"/>
              <w:rPr>
                <w:rFonts w:cstheme="minorHAnsi"/>
                <w:color w:val="auto"/>
              </w:rPr>
            </w:pPr>
            <w:r>
              <w:rPr>
                <w:rFonts w:cstheme="minorHAnsi"/>
                <w:color w:val="auto"/>
              </w:rPr>
              <w:t>Ethics</w:t>
            </w:r>
          </w:p>
        </w:tc>
      </w:tr>
      <w:tr w:rsidR="00864CCD" w14:paraId="0306E8FF" w14:textId="77777777" w:rsidTr="00864CCD">
        <w:tc>
          <w:tcPr>
            <w:tcW w:w="2442" w:type="dxa"/>
          </w:tcPr>
          <w:p w14:paraId="4D8E93EC" w14:textId="77777777" w:rsidR="00864CCD" w:rsidRDefault="00864CCD" w:rsidP="00C145DD">
            <w:pPr>
              <w:pStyle w:val="ListParagraph"/>
              <w:numPr>
                <w:ilvl w:val="0"/>
                <w:numId w:val="81"/>
              </w:numPr>
              <w:suppressAutoHyphens w:val="0"/>
              <w:spacing w:before="0" w:after="160" w:line="259" w:lineRule="auto"/>
              <w:ind w:left="306" w:hanging="284"/>
              <w:jc w:val="both"/>
              <w:rPr>
                <w:rFonts w:cstheme="minorHAnsi"/>
                <w:color w:val="auto"/>
              </w:rPr>
            </w:pPr>
            <w:r>
              <w:rPr>
                <w:rFonts w:cstheme="minorHAnsi"/>
                <w:color w:val="auto"/>
              </w:rPr>
              <w:t>Cost consciousness</w:t>
            </w:r>
          </w:p>
          <w:p w14:paraId="00522456" w14:textId="4F3482D6" w:rsidR="00864CCD" w:rsidRPr="00C145DD" w:rsidRDefault="00864CCD" w:rsidP="00C145DD">
            <w:pPr>
              <w:pStyle w:val="ListParagraph"/>
              <w:numPr>
                <w:ilvl w:val="0"/>
                <w:numId w:val="81"/>
              </w:numPr>
              <w:suppressAutoHyphens w:val="0"/>
              <w:spacing w:before="0" w:after="160" w:line="259" w:lineRule="auto"/>
              <w:ind w:left="306" w:hanging="284"/>
              <w:jc w:val="both"/>
              <w:rPr>
                <w:rFonts w:cstheme="minorHAnsi"/>
                <w:color w:val="auto"/>
              </w:rPr>
            </w:pPr>
            <w:r>
              <w:rPr>
                <w:rFonts w:cstheme="minorHAnsi"/>
                <w:color w:val="auto"/>
              </w:rPr>
              <w:t>Encouraging competition</w:t>
            </w:r>
          </w:p>
        </w:tc>
        <w:tc>
          <w:tcPr>
            <w:tcW w:w="2443" w:type="dxa"/>
          </w:tcPr>
          <w:p w14:paraId="22C69420" w14:textId="77777777" w:rsidR="00864CCD" w:rsidRDefault="00864CCD" w:rsidP="000A04F0">
            <w:pPr>
              <w:pStyle w:val="ListParagraph"/>
              <w:numPr>
                <w:ilvl w:val="0"/>
                <w:numId w:val="81"/>
              </w:numPr>
              <w:suppressAutoHyphens w:val="0"/>
              <w:spacing w:before="0" w:after="160" w:line="259" w:lineRule="auto"/>
              <w:ind w:left="306" w:hanging="284"/>
              <w:jc w:val="both"/>
              <w:rPr>
                <w:rFonts w:cstheme="minorHAnsi"/>
                <w:color w:val="auto"/>
              </w:rPr>
            </w:pPr>
            <w:r>
              <w:rPr>
                <w:rFonts w:cstheme="minorHAnsi"/>
                <w:color w:val="auto"/>
              </w:rPr>
              <w:t>Evidence based decision making</w:t>
            </w:r>
          </w:p>
          <w:p w14:paraId="6A48992F" w14:textId="6C4D658F" w:rsidR="00864CCD" w:rsidRPr="00C145DD" w:rsidRDefault="00864CCD" w:rsidP="00C145DD">
            <w:pPr>
              <w:pStyle w:val="ListParagraph"/>
              <w:numPr>
                <w:ilvl w:val="0"/>
                <w:numId w:val="81"/>
              </w:numPr>
              <w:suppressAutoHyphens w:val="0"/>
              <w:spacing w:before="0" w:after="160" w:line="259" w:lineRule="auto"/>
              <w:ind w:left="306" w:hanging="284"/>
              <w:jc w:val="both"/>
              <w:rPr>
                <w:rFonts w:cstheme="minorHAnsi"/>
                <w:color w:val="auto"/>
              </w:rPr>
            </w:pPr>
            <w:r>
              <w:rPr>
                <w:rFonts w:cstheme="minorHAnsi"/>
                <w:color w:val="auto"/>
              </w:rPr>
              <w:t>Proportionality</w:t>
            </w:r>
          </w:p>
        </w:tc>
        <w:tc>
          <w:tcPr>
            <w:tcW w:w="2443" w:type="dxa"/>
          </w:tcPr>
          <w:p w14:paraId="41E82255" w14:textId="77777777" w:rsidR="00864CCD" w:rsidRDefault="00864CCD" w:rsidP="00C145DD">
            <w:pPr>
              <w:pStyle w:val="ListParagraph"/>
              <w:numPr>
                <w:ilvl w:val="0"/>
                <w:numId w:val="81"/>
              </w:numPr>
              <w:suppressAutoHyphens w:val="0"/>
              <w:spacing w:before="0" w:after="160" w:line="259" w:lineRule="auto"/>
              <w:ind w:left="306" w:hanging="284"/>
              <w:jc w:val="both"/>
              <w:rPr>
                <w:rFonts w:cstheme="minorHAnsi"/>
                <w:color w:val="auto"/>
              </w:rPr>
            </w:pPr>
            <w:r>
              <w:rPr>
                <w:rFonts w:cstheme="minorHAnsi"/>
                <w:color w:val="auto"/>
              </w:rPr>
              <w:t>Performance and Risk Management</w:t>
            </w:r>
          </w:p>
          <w:p w14:paraId="3B8E1254" w14:textId="77777777" w:rsidR="00864CCD" w:rsidRDefault="00864CCD" w:rsidP="00C145DD">
            <w:pPr>
              <w:pStyle w:val="ListParagraph"/>
              <w:numPr>
                <w:ilvl w:val="0"/>
                <w:numId w:val="81"/>
              </w:numPr>
              <w:suppressAutoHyphens w:val="0"/>
              <w:spacing w:before="0" w:after="160" w:line="259" w:lineRule="auto"/>
              <w:ind w:left="306" w:hanging="284"/>
              <w:jc w:val="both"/>
              <w:rPr>
                <w:rFonts w:cstheme="minorHAnsi"/>
                <w:color w:val="auto"/>
              </w:rPr>
            </w:pPr>
            <w:r>
              <w:rPr>
                <w:rFonts w:cstheme="minorHAnsi"/>
                <w:color w:val="auto"/>
              </w:rPr>
              <w:t>Results Focus</w:t>
            </w:r>
          </w:p>
          <w:p w14:paraId="7E2984C7" w14:textId="52E0F8ED" w:rsidR="00864CCD" w:rsidRPr="00C145DD" w:rsidRDefault="00864CCD" w:rsidP="00C145DD">
            <w:pPr>
              <w:pStyle w:val="ListParagraph"/>
              <w:numPr>
                <w:ilvl w:val="0"/>
                <w:numId w:val="81"/>
              </w:numPr>
              <w:suppressAutoHyphens w:val="0"/>
              <w:spacing w:before="0" w:after="160" w:line="259" w:lineRule="auto"/>
              <w:ind w:left="306" w:hanging="284"/>
              <w:jc w:val="both"/>
              <w:rPr>
                <w:rFonts w:cstheme="minorHAnsi"/>
                <w:color w:val="auto"/>
              </w:rPr>
            </w:pPr>
            <w:r>
              <w:rPr>
                <w:rFonts w:cstheme="minorHAnsi"/>
                <w:color w:val="auto"/>
              </w:rPr>
              <w:t>Experimentation and innovation</w:t>
            </w:r>
          </w:p>
        </w:tc>
        <w:tc>
          <w:tcPr>
            <w:tcW w:w="2443" w:type="dxa"/>
          </w:tcPr>
          <w:p w14:paraId="19D7B351" w14:textId="2DF95A53" w:rsidR="00864CCD" w:rsidRPr="00C145DD" w:rsidRDefault="00C145DD" w:rsidP="00C145DD">
            <w:pPr>
              <w:pStyle w:val="ListParagraph"/>
              <w:numPr>
                <w:ilvl w:val="0"/>
                <w:numId w:val="81"/>
              </w:numPr>
              <w:suppressAutoHyphens w:val="0"/>
              <w:spacing w:before="0" w:after="160" w:line="259" w:lineRule="auto"/>
              <w:ind w:left="306" w:hanging="284"/>
              <w:jc w:val="both"/>
              <w:rPr>
                <w:rFonts w:cstheme="minorHAnsi"/>
                <w:color w:val="auto"/>
              </w:rPr>
            </w:pPr>
            <w:r>
              <w:rPr>
                <w:rFonts w:cstheme="minorHAnsi"/>
                <w:color w:val="auto"/>
              </w:rPr>
              <w:t>Accountability and transparency</w:t>
            </w:r>
          </w:p>
        </w:tc>
      </w:tr>
    </w:tbl>
    <w:p w14:paraId="67AF0F53" w14:textId="77777777" w:rsidR="00864CCD" w:rsidRPr="008A7462" w:rsidRDefault="00864CCD" w:rsidP="008C74E8">
      <w:pPr>
        <w:suppressAutoHyphens w:val="0"/>
        <w:spacing w:before="0" w:after="160" w:line="259" w:lineRule="auto"/>
        <w:jc w:val="both"/>
        <w:rPr>
          <w:rFonts w:cstheme="minorHAnsi"/>
          <w:color w:val="auto"/>
        </w:rPr>
      </w:pPr>
    </w:p>
    <w:p w14:paraId="70741D72" w14:textId="55D237EA" w:rsidR="00F73F6E" w:rsidRPr="007B1BB1" w:rsidRDefault="009F6A50" w:rsidP="008C74E8">
      <w:pPr>
        <w:suppressAutoHyphens w:val="0"/>
        <w:spacing w:before="0" w:after="160" w:line="259" w:lineRule="auto"/>
        <w:jc w:val="both"/>
        <w:rPr>
          <w:rFonts w:cstheme="minorHAnsi"/>
          <w:color w:val="auto"/>
        </w:rPr>
      </w:pPr>
      <w:r w:rsidRPr="007B1BB1">
        <w:rPr>
          <w:rFonts w:cstheme="minorHAnsi"/>
          <w:color w:val="auto"/>
        </w:rPr>
        <w:t>5.1</w:t>
      </w:r>
      <w:r w:rsidR="007B1BB1" w:rsidRPr="007B1BB1">
        <w:rPr>
          <w:rFonts w:cstheme="minorHAnsi"/>
          <w:color w:val="auto"/>
        </w:rPr>
        <w:t>9</w:t>
      </w:r>
      <w:r w:rsidRPr="007B1BB1">
        <w:rPr>
          <w:rFonts w:cstheme="minorHAnsi"/>
          <w:color w:val="auto"/>
        </w:rPr>
        <w:tab/>
      </w:r>
      <w:r w:rsidR="00B52329" w:rsidRPr="007B1BB1">
        <w:rPr>
          <w:rFonts w:cstheme="minorHAnsi"/>
          <w:color w:val="auto"/>
        </w:rPr>
        <w:t>Economy</w:t>
      </w:r>
      <w:r w:rsidRPr="007B1BB1">
        <w:rPr>
          <w:rFonts w:cstheme="minorHAnsi"/>
          <w:color w:val="auto"/>
        </w:rPr>
        <w:t>:</w:t>
      </w:r>
    </w:p>
    <w:p w14:paraId="78A69209" w14:textId="42F47B42" w:rsidR="00262CBA" w:rsidRPr="00C64817" w:rsidRDefault="00262CBA" w:rsidP="00C64817">
      <w:pPr>
        <w:pStyle w:val="ListParagraph"/>
        <w:numPr>
          <w:ilvl w:val="0"/>
          <w:numId w:val="73"/>
        </w:numPr>
        <w:suppressAutoHyphens w:val="0"/>
        <w:spacing w:before="0" w:after="160" w:line="259" w:lineRule="auto"/>
        <w:jc w:val="both"/>
        <w:rPr>
          <w:rFonts w:cstheme="minorHAnsi"/>
          <w:color w:val="auto"/>
        </w:rPr>
      </w:pPr>
      <w:r w:rsidRPr="00C64817">
        <w:rPr>
          <w:rFonts w:cstheme="minorHAnsi"/>
          <w:i/>
          <w:iCs/>
          <w:color w:val="auto"/>
        </w:rPr>
        <w:t>Cost consciousness</w:t>
      </w:r>
      <w:r w:rsidR="006524C7" w:rsidRPr="00C64817">
        <w:rPr>
          <w:rFonts w:cstheme="minorHAnsi"/>
          <w:color w:val="auto"/>
        </w:rPr>
        <w:t xml:space="preserve">: </w:t>
      </w:r>
      <w:r w:rsidR="005C51AD" w:rsidRPr="00407D94">
        <w:rPr>
          <w:rFonts w:cstheme="minorHAnsi"/>
          <w:color w:val="auto"/>
        </w:rPr>
        <w:t xml:space="preserve">in the early stages of Pacific Women Lead, it is not anticipated that this hybrid model will </w:t>
      </w:r>
      <w:r w:rsidR="00B65A47" w:rsidRPr="008A7462">
        <w:rPr>
          <w:rFonts w:cstheme="minorHAnsi"/>
          <w:color w:val="auto"/>
        </w:rPr>
        <w:t xml:space="preserve">rate highly on cost consciousness due to the need </w:t>
      </w:r>
      <w:r w:rsidR="004165B6" w:rsidRPr="008A7462">
        <w:rPr>
          <w:rFonts w:cstheme="minorHAnsi"/>
          <w:color w:val="auto"/>
        </w:rPr>
        <w:t xml:space="preserve">for </w:t>
      </w:r>
      <w:r w:rsidR="0072798D" w:rsidRPr="008A7462">
        <w:rPr>
          <w:rFonts w:cstheme="minorHAnsi"/>
          <w:color w:val="auto"/>
        </w:rPr>
        <w:t xml:space="preserve">multiple sets of </w:t>
      </w:r>
      <w:r w:rsidR="00287651" w:rsidRPr="00DB3C73">
        <w:rPr>
          <w:rFonts w:cstheme="minorHAnsi"/>
          <w:color w:val="auto"/>
        </w:rPr>
        <w:t xml:space="preserve">fixed costs </w:t>
      </w:r>
      <w:r w:rsidR="00B65A47" w:rsidRPr="00DB3C73">
        <w:rPr>
          <w:rFonts w:cstheme="minorHAnsi"/>
          <w:color w:val="auto"/>
        </w:rPr>
        <w:t>to set up multiple arrangements</w:t>
      </w:r>
      <w:r w:rsidR="006512DA" w:rsidRPr="000220F0">
        <w:rPr>
          <w:rFonts w:cstheme="minorHAnsi"/>
          <w:color w:val="auto"/>
        </w:rPr>
        <w:t>. However, over time this will improve</w:t>
      </w:r>
      <w:r w:rsidR="004165B6" w:rsidRPr="00F44628">
        <w:rPr>
          <w:rFonts w:cstheme="minorHAnsi"/>
          <w:color w:val="auto"/>
        </w:rPr>
        <w:t xml:space="preserve"> as economi</w:t>
      </w:r>
      <w:r w:rsidR="004165B6" w:rsidRPr="00C64817">
        <w:rPr>
          <w:rFonts w:cstheme="minorHAnsi"/>
          <w:color w:val="auto"/>
        </w:rPr>
        <w:t xml:space="preserve">es </w:t>
      </w:r>
      <w:r w:rsidR="00287651" w:rsidRPr="00C64817">
        <w:rPr>
          <w:rFonts w:cstheme="minorHAnsi"/>
          <w:color w:val="auto"/>
        </w:rPr>
        <w:t xml:space="preserve">of scale come into play </w:t>
      </w:r>
      <w:r w:rsidR="00C459AF" w:rsidRPr="00C64817">
        <w:rPr>
          <w:rFonts w:cstheme="minorHAnsi"/>
          <w:color w:val="auto"/>
        </w:rPr>
        <w:t>as some or all hybrid partners take on more activity management</w:t>
      </w:r>
      <w:r w:rsidR="00C82E72" w:rsidRPr="00C64817">
        <w:rPr>
          <w:rFonts w:cstheme="minorHAnsi"/>
          <w:color w:val="auto"/>
        </w:rPr>
        <w:t xml:space="preserve"> using the</w:t>
      </w:r>
      <w:r w:rsidR="0072798D" w:rsidRPr="00C64817">
        <w:rPr>
          <w:rFonts w:cstheme="minorHAnsi"/>
          <w:color w:val="auto"/>
        </w:rPr>
        <w:t>ir already established structure and systems</w:t>
      </w:r>
      <w:r w:rsidR="00C82E72" w:rsidRPr="00C64817">
        <w:rPr>
          <w:rFonts w:cstheme="minorHAnsi"/>
          <w:color w:val="auto"/>
        </w:rPr>
        <w:t>.</w:t>
      </w:r>
    </w:p>
    <w:p w14:paraId="302B5CB1" w14:textId="0366BDA3" w:rsidR="00262CBA" w:rsidRPr="00C64817" w:rsidRDefault="00562595" w:rsidP="00C64817">
      <w:pPr>
        <w:pStyle w:val="ListParagraph"/>
        <w:numPr>
          <w:ilvl w:val="0"/>
          <w:numId w:val="73"/>
        </w:numPr>
        <w:suppressAutoHyphens w:val="0"/>
        <w:spacing w:before="0" w:after="160" w:line="259" w:lineRule="auto"/>
        <w:jc w:val="both"/>
        <w:rPr>
          <w:rFonts w:cstheme="minorHAnsi"/>
          <w:color w:val="auto"/>
        </w:rPr>
      </w:pPr>
      <w:r w:rsidRPr="00C64817">
        <w:rPr>
          <w:rFonts w:cstheme="minorHAnsi"/>
          <w:i/>
          <w:iCs/>
          <w:color w:val="auto"/>
        </w:rPr>
        <w:lastRenderedPageBreak/>
        <w:t>Encouraging competition</w:t>
      </w:r>
      <w:r w:rsidR="00BE07C8" w:rsidRPr="00407D94">
        <w:rPr>
          <w:rFonts w:cstheme="minorHAnsi"/>
          <w:color w:val="auto"/>
        </w:rPr>
        <w:t xml:space="preserve">: while the nature of the hybrid is </w:t>
      </w:r>
      <w:r w:rsidR="003463D4" w:rsidRPr="00407D94">
        <w:rPr>
          <w:rFonts w:cstheme="minorHAnsi"/>
          <w:color w:val="auto"/>
        </w:rPr>
        <w:t xml:space="preserve">primarily </w:t>
      </w:r>
      <w:r w:rsidR="00BE07C8" w:rsidRPr="008A7462">
        <w:rPr>
          <w:rFonts w:cstheme="minorHAnsi"/>
          <w:color w:val="auto"/>
        </w:rPr>
        <w:t xml:space="preserve">collaborative not competitive, there </w:t>
      </w:r>
      <w:r w:rsidR="003B63E4" w:rsidRPr="00C64817">
        <w:rPr>
          <w:rFonts w:cstheme="minorHAnsi"/>
          <w:color w:val="auto"/>
        </w:rPr>
        <w:t xml:space="preserve">will be some </w:t>
      </w:r>
      <w:r w:rsidR="00CB79D8" w:rsidRPr="00C64817">
        <w:rPr>
          <w:rFonts w:cstheme="minorHAnsi"/>
          <w:color w:val="auto"/>
        </w:rPr>
        <w:t xml:space="preserve">positive benefits from elements of competition through: a) </w:t>
      </w:r>
      <w:r w:rsidR="00E6729D" w:rsidRPr="00C64817">
        <w:rPr>
          <w:rFonts w:cstheme="minorHAnsi"/>
          <w:color w:val="auto"/>
        </w:rPr>
        <w:t>having each party trusted with only certain elements and being motivated to demonstrate high value; b)</w:t>
      </w:r>
      <w:r w:rsidR="00C76555" w:rsidRPr="00C64817">
        <w:rPr>
          <w:rFonts w:cstheme="minorHAnsi"/>
          <w:color w:val="auto"/>
        </w:rPr>
        <w:t xml:space="preserve"> when new activities are developed throughout the program, </w:t>
      </w:r>
      <w:r w:rsidR="002E11EF" w:rsidRPr="00C64817">
        <w:rPr>
          <w:rFonts w:cstheme="minorHAnsi"/>
          <w:color w:val="auto"/>
        </w:rPr>
        <w:t xml:space="preserve">impact and effectiveness will be </w:t>
      </w:r>
      <w:r w:rsidR="00E3137E" w:rsidRPr="00C64817">
        <w:rPr>
          <w:rFonts w:cstheme="minorHAnsi"/>
          <w:color w:val="auto"/>
        </w:rPr>
        <w:t xml:space="preserve">one factor in selecting the </w:t>
      </w:r>
      <w:r w:rsidR="007859A2" w:rsidRPr="00C64817">
        <w:rPr>
          <w:rFonts w:cstheme="minorHAnsi"/>
          <w:color w:val="auto"/>
        </w:rPr>
        <w:t>hybrid partner to manage each new activity.</w:t>
      </w:r>
      <w:r w:rsidR="003B63E4" w:rsidRPr="00C64817">
        <w:rPr>
          <w:rFonts w:cstheme="minorHAnsi"/>
          <w:color w:val="auto"/>
        </w:rPr>
        <w:t xml:space="preserve"> </w:t>
      </w:r>
    </w:p>
    <w:p w14:paraId="42919023" w14:textId="440CB774" w:rsidR="00262CBA" w:rsidRPr="007B1BB1" w:rsidRDefault="009F6A50" w:rsidP="008C74E8">
      <w:pPr>
        <w:suppressAutoHyphens w:val="0"/>
        <w:spacing w:before="0" w:after="160" w:line="259" w:lineRule="auto"/>
        <w:jc w:val="both"/>
        <w:rPr>
          <w:rFonts w:cstheme="minorHAnsi"/>
          <w:color w:val="auto"/>
        </w:rPr>
      </w:pPr>
      <w:r w:rsidRPr="007B1BB1">
        <w:rPr>
          <w:rFonts w:cstheme="minorHAnsi"/>
          <w:color w:val="auto"/>
        </w:rPr>
        <w:t>5.</w:t>
      </w:r>
      <w:r w:rsidR="009C2424">
        <w:rPr>
          <w:rFonts w:cstheme="minorHAnsi"/>
          <w:color w:val="auto"/>
        </w:rPr>
        <w:t>20</w:t>
      </w:r>
      <w:r w:rsidRPr="007B1BB1">
        <w:rPr>
          <w:rFonts w:cstheme="minorHAnsi"/>
          <w:color w:val="auto"/>
        </w:rPr>
        <w:tab/>
      </w:r>
      <w:r w:rsidR="00262CBA" w:rsidRPr="007B1BB1">
        <w:rPr>
          <w:rFonts w:cstheme="minorHAnsi"/>
          <w:color w:val="auto"/>
        </w:rPr>
        <w:t>Efficiency</w:t>
      </w:r>
      <w:r w:rsidRPr="007B1BB1">
        <w:rPr>
          <w:rFonts w:cstheme="minorHAnsi"/>
          <w:color w:val="auto"/>
        </w:rPr>
        <w:t>:</w:t>
      </w:r>
    </w:p>
    <w:p w14:paraId="101ACF4F" w14:textId="6F586144" w:rsidR="00F73F6E" w:rsidRPr="00C64817" w:rsidRDefault="00562595" w:rsidP="00C64817">
      <w:pPr>
        <w:pStyle w:val="ListParagraph"/>
        <w:numPr>
          <w:ilvl w:val="0"/>
          <w:numId w:val="74"/>
        </w:numPr>
        <w:suppressAutoHyphens w:val="0"/>
        <w:spacing w:before="0" w:after="160" w:line="259" w:lineRule="auto"/>
        <w:jc w:val="both"/>
        <w:rPr>
          <w:rFonts w:cstheme="minorHAnsi"/>
          <w:color w:val="auto"/>
        </w:rPr>
      </w:pPr>
      <w:r w:rsidRPr="00C64817">
        <w:rPr>
          <w:rFonts w:cstheme="minorHAnsi"/>
          <w:i/>
          <w:iCs/>
          <w:color w:val="auto"/>
        </w:rPr>
        <w:t>Evidence based decision making</w:t>
      </w:r>
      <w:r w:rsidR="0045180A" w:rsidRPr="00C64817">
        <w:rPr>
          <w:rFonts w:cstheme="minorHAnsi"/>
          <w:i/>
          <w:iCs/>
          <w:color w:val="auto"/>
        </w:rPr>
        <w:t>:</w:t>
      </w:r>
      <w:r w:rsidR="0045180A" w:rsidRPr="00407D94">
        <w:rPr>
          <w:rFonts w:cstheme="minorHAnsi"/>
          <w:color w:val="auto"/>
        </w:rPr>
        <w:t xml:space="preserve"> the program is being designed with Pacific-led decision making at its heart</w:t>
      </w:r>
      <w:r w:rsidR="004C7845" w:rsidRPr="008A7462">
        <w:rPr>
          <w:rFonts w:cstheme="minorHAnsi"/>
          <w:color w:val="auto"/>
        </w:rPr>
        <w:t xml:space="preserve">, with the Governance Board empowered to set strategic directions and make resourcing decisions </w:t>
      </w:r>
      <w:r w:rsidR="005354E0" w:rsidRPr="008A7462">
        <w:rPr>
          <w:rFonts w:cstheme="minorHAnsi"/>
          <w:color w:val="auto"/>
        </w:rPr>
        <w:t xml:space="preserve">based </w:t>
      </w:r>
      <w:r w:rsidR="0023572F">
        <w:rPr>
          <w:rFonts w:cstheme="minorHAnsi"/>
          <w:color w:val="auto"/>
        </w:rPr>
        <w:t xml:space="preserve">on </w:t>
      </w:r>
      <w:r w:rsidR="005354E0" w:rsidRPr="008A7462">
        <w:rPr>
          <w:rFonts w:cstheme="minorHAnsi"/>
          <w:color w:val="auto"/>
        </w:rPr>
        <w:t>performance reporting and analysis.</w:t>
      </w:r>
    </w:p>
    <w:p w14:paraId="79700C79" w14:textId="3EA02108" w:rsidR="00F73F6E" w:rsidRPr="00C64817" w:rsidRDefault="00562595" w:rsidP="00C64817">
      <w:pPr>
        <w:pStyle w:val="ListParagraph"/>
        <w:numPr>
          <w:ilvl w:val="0"/>
          <w:numId w:val="74"/>
        </w:numPr>
        <w:suppressAutoHyphens w:val="0"/>
        <w:spacing w:before="0" w:after="160" w:line="259" w:lineRule="auto"/>
        <w:jc w:val="both"/>
        <w:rPr>
          <w:rFonts w:cstheme="minorHAnsi"/>
          <w:color w:val="auto"/>
        </w:rPr>
      </w:pPr>
      <w:r w:rsidRPr="00C64817">
        <w:rPr>
          <w:rFonts w:cstheme="minorHAnsi"/>
          <w:i/>
          <w:iCs/>
          <w:color w:val="auto"/>
        </w:rPr>
        <w:t>Proportionality</w:t>
      </w:r>
      <w:r w:rsidR="005354E0" w:rsidRPr="00407D94">
        <w:rPr>
          <w:rFonts w:cstheme="minorHAnsi"/>
          <w:color w:val="auto"/>
        </w:rPr>
        <w:t xml:space="preserve">: the principle of proportionality </w:t>
      </w:r>
      <w:r w:rsidR="00D670E0" w:rsidRPr="008A7462">
        <w:rPr>
          <w:rFonts w:cstheme="minorHAnsi"/>
          <w:color w:val="auto"/>
        </w:rPr>
        <w:t>is</w:t>
      </w:r>
      <w:r w:rsidR="007200CC" w:rsidRPr="008A7462">
        <w:rPr>
          <w:rFonts w:cstheme="minorHAnsi"/>
          <w:color w:val="auto"/>
        </w:rPr>
        <w:t xml:space="preserve"> well addressed in the way in which </w:t>
      </w:r>
      <w:r w:rsidR="00031F1B" w:rsidRPr="008A7462">
        <w:rPr>
          <w:rFonts w:cstheme="minorHAnsi"/>
          <w:color w:val="auto"/>
        </w:rPr>
        <w:t xml:space="preserve">hybrid partners will take on responsibility for different levels of management in accordance with the size and nature of their mandates and capacity. SPC as a large regional </w:t>
      </w:r>
      <w:r w:rsidR="007E787E" w:rsidRPr="00F44628">
        <w:rPr>
          <w:rFonts w:cstheme="minorHAnsi"/>
          <w:color w:val="auto"/>
        </w:rPr>
        <w:t>Pacific o</w:t>
      </w:r>
      <w:r w:rsidR="007E787E" w:rsidRPr="00C64817">
        <w:rPr>
          <w:rFonts w:cstheme="minorHAnsi"/>
          <w:color w:val="auto"/>
        </w:rPr>
        <w:t>rganisation will take on the large ‘hosting’ role and the bulk of the support functions</w:t>
      </w:r>
      <w:r w:rsidR="00510714" w:rsidRPr="00C64817">
        <w:rPr>
          <w:rFonts w:cstheme="minorHAnsi"/>
          <w:color w:val="auto"/>
        </w:rPr>
        <w:t xml:space="preserve">, and therefore will have the largest </w:t>
      </w:r>
      <w:r w:rsidR="00E15FB1" w:rsidRPr="00C64817">
        <w:rPr>
          <w:rFonts w:cstheme="minorHAnsi"/>
          <w:color w:val="auto"/>
        </w:rPr>
        <w:t xml:space="preserve">back office overheads. Other hybrid partners will have </w:t>
      </w:r>
      <w:r w:rsidR="00A31B89" w:rsidRPr="00C64817">
        <w:rPr>
          <w:rFonts w:cstheme="minorHAnsi"/>
          <w:color w:val="auto"/>
        </w:rPr>
        <w:t>overheads proportional to their management responsibilities.</w:t>
      </w:r>
    </w:p>
    <w:p w14:paraId="31C8E00D" w14:textId="4A1B02F8" w:rsidR="00562595" w:rsidRPr="007B1BB1" w:rsidRDefault="009F6A50" w:rsidP="008C74E8">
      <w:pPr>
        <w:suppressAutoHyphens w:val="0"/>
        <w:spacing w:before="0" w:after="160" w:line="259" w:lineRule="auto"/>
        <w:jc w:val="both"/>
        <w:rPr>
          <w:rFonts w:cstheme="minorHAnsi"/>
          <w:color w:val="auto"/>
        </w:rPr>
      </w:pPr>
      <w:r w:rsidRPr="007B1BB1">
        <w:rPr>
          <w:rFonts w:cstheme="minorHAnsi"/>
          <w:color w:val="auto"/>
        </w:rPr>
        <w:t>5.2</w:t>
      </w:r>
      <w:r w:rsidR="009C2424">
        <w:rPr>
          <w:rFonts w:cstheme="minorHAnsi"/>
          <w:color w:val="auto"/>
        </w:rPr>
        <w:t>1</w:t>
      </w:r>
      <w:r w:rsidRPr="007B1BB1">
        <w:rPr>
          <w:rFonts w:cstheme="minorHAnsi"/>
          <w:color w:val="auto"/>
        </w:rPr>
        <w:tab/>
      </w:r>
      <w:r w:rsidR="00562595" w:rsidRPr="007B1BB1">
        <w:rPr>
          <w:rFonts w:cstheme="minorHAnsi"/>
          <w:color w:val="auto"/>
        </w:rPr>
        <w:t>Eff</w:t>
      </w:r>
      <w:r w:rsidR="006524C7" w:rsidRPr="007B1BB1">
        <w:rPr>
          <w:rFonts w:cstheme="minorHAnsi"/>
          <w:color w:val="auto"/>
        </w:rPr>
        <w:t>ectiveness</w:t>
      </w:r>
      <w:r w:rsidRPr="007B1BB1">
        <w:rPr>
          <w:rFonts w:cstheme="minorHAnsi"/>
          <w:color w:val="auto"/>
        </w:rPr>
        <w:t>:</w:t>
      </w:r>
    </w:p>
    <w:p w14:paraId="5712CCE7" w14:textId="0A55BD44" w:rsidR="006524C7" w:rsidRPr="00C64817" w:rsidRDefault="006524C7" w:rsidP="00C64817">
      <w:pPr>
        <w:pStyle w:val="ListParagraph"/>
        <w:numPr>
          <w:ilvl w:val="0"/>
          <w:numId w:val="75"/>
        </w:numPr>
        <w:suppressAutoHyphens w:val="0"/>
        <w:spacing w:before="0" w:after="160" w:line="259" w:lineRule="auto"/>
        <w:jc w:val="both"/>
        <w:rPr>
          <w:rFonts w:cstheme="minorHAnsi"/>
          <w:color w:val="auto"/>
        </w:rPr>
      </w:pPr>
      <w:r w:rsidRPr="00C64817">
        <w:rPr>
          <w:rFonts w:cstheme="minorHAnsi"/>
          <w:i/>
          <w:iCs/>
          <w:color w:val="auto"/>
        </w:rPr>
        <w:t>Performance and risk management</w:t>
      </w:r>
      <w:r w:rsidR="00A31B89" w:rsidRPr="00407D94">
        <w:rPr>
          <w:rFonts w:cstheme="minorHAnsi"/>
          <w:color w:val="auto"/>
        </w:rPr>
        <w:t xml:space="preserve">: </w:t>
      </w:r>
      <w:r w:rsidR="000328A5" w:rsidRPr="008A7462">
        <w:rPr>
          <w:rFonts w:cstheme="minorHAnsi"/>
          <w:color w:val="auto"/>
        </w:rPr>
        <w:t>the hybrid model is designed with performance and risk management front of mind</w:t>
      </w:r>
      <w:r w:rsidR="00922058" w:rsidRPr="008A7462">
        <w:rPr>
          <w:rFonts w:cstheme="minorHAnsi"/>
          <w:color w:val="auto"/>
        </w:rPr>
        <w:t xml:space="preserve"> – and a single managing entity would </w:t>
      </w:r>
      <w:r w:rsidR="00174EEA" w:rsidRPr="00C64817">
        <w:rPr>
          <w:rFonts w:cstheme="minorHAnsi"/>
          <w:color w:val="auto"/>
        </w:rPr>
        <w:t>not be able to deliver</w:t>
      </w:r>
      <w:r w:rsidR="006023C8" w:rsidRPr="00C64817">
        <w:rPr>
          <w:rFonts w:cstheme="minorHAnsi"/>
          <w:color w:val="auto"/>
        </w:rPr>
        <w:t xml:space="preserve">. </w:t>
      </w:r>
      <w:r w:rsidR="00174EEA" w:rsidRPr="00C64817">
        <w:rPr>
          <w:rFonts w:cstheme="minorHAnsi"/>
          <w:color w:val="auto"/>
        </w:rPr>
        <w:t xml:space="preserve">The Principles and criteria outlined </w:t>
      </w:r>
      <w:r w:rsidR="001C453D" w:rsidRPr="00C64817">
        <w:rPr>
          <w:rFonts w:cstheme="minorHAnsi"/>
          <w:color w:val="auto"/>
        </w:rPr>
        <w:t xml:space="preserve">below are a </w:t>
      </w:r>
      <w:r w:rsidR="0023572F" w:rsidRPr="00C64817">
        <w:rPr>
          <w:rFonts w:cstheme="minorHAnsi"/>
          <w:color w:val="auto"/>
        </w:rPr>
        <w:t>demonstration</w:t>
      </w:r>
      <w:r w:rsidR="001C453D" w:rsidRPr="00C64817">
        <w:rPr>
          <w:rFonts w:cstheme="minorHAnsi"/>
          <w:color w:val="auto"/>
        </w:rPr>
        <w:t xml:space="preserve"> of how </w:t>
      </w:r>
      <w:r w:rsidR="005C0E20" w:rsidRPr="00C64817">
        <w:rPr>
          <w:rFonts w:cstheme="minorHAnsi"/>
          <w:color w:val="auto"/>
        </w:rPr>
        <w:t>responsibility will be given to the partner best placed to delive</w:t>
      </w:r>
      <w:r w:rsidR="00315713" w:rsidRPr="00C64817">
        <w:rPr>
          <w:rFonts w:cstheme="minorHAnsi"/>
          <w:color w:val="auto"/>
        </w:rPr>
        <w:t xml:space="preserve">r the best </w:t>
      </w:r>
      <w:r w:rsidR="00922058" w:rsidRPr="00C64817">
        <w:rPr>
          <w:rFonts w:cstheme="minorHAnsi"/>
          <w:color w:val="auto"/>
        </w:rPr>
        <w:t>performance</w:t>
      </w:r>
      <w:r w:rsidR="00315713" w:rsidRPr="00C64817">
        <w:rPr>
          <w:rFonts w:cstheme="minorHAnsi"/>
          <w:color w:val="auto"/>
        </w:rPr>
        <w:t>. Risk considerations have been key in the decision to go down the hybrid path</w:t>
      </w:r>
      <w:proofErr w:type="gramStart"/>
      <w:r w:rsidR="006A5C92" w:rsidRPr="00C64817">
        <w:rPr>
          <w:rFonts w:cstheme="minorHAnsi"/>
          <w:color w:val="auto"/>
        </w:rPr>
        <w:t>–</w:t>
      </w:r>
      <w:r w:rsidR="00922058" w:rsidRPr="00C64817">
        <w:rPr>
          <w:rFonts w:cstheme="minorHAnsi"/>
          <w:color w:val="auto"/>
        </w:rPr>
        <w:t xml:space="preserve"> </w:t>
      </w:r>
      <w:r w:rsidR="005C0E20" w:rsidRPr="00C64817">
        <w:rPr>
          <w:rFonts w:cstheme="minorHAnsi"/>
          <w:color w:val="auto"/>
        </w:rPr>
        <w:t xml:space="preserve"> </w:t>
      </w:r>
      <w:r w:rsidR="006A5C92" w:rsidRPr="00C64817">
        <w:rPr>
          <w:rFonts w:cstheme="minorHAnsi"/>
          <w:color w:val="auto"/>
        </w:rPr>
        <w:t>a</w:t>
      </w:r>
      <w:proofErr w:type="gramEnd"/>
      <w:r w:rsidR="006A5C92" w:rsidRPr="00C64817">
        <w:rPr>
          <w:rFonts w:cstheme="minorHAnsi"/>
          <w:color w:val="auto"/>
        </w:rPr>
        <w:t xml:space="preserve"> single managing entity would risk </w:t>
      </w:r>
      <w:r w:rsidR="0023572F">
        <w:rPr>
          <w:rFonts w:cstheme="minorHAnsi"/>
          <w:color w:val="auto"/>
        </w:rPr>
        <w:t xml:space="preserve">too narrow a focus that could not deliver the breadth and depth of activities required to achieve gender equality. </w:t>
      </w:r>
    </w:p>
    <w:p w14:paraId="7A238A1A" w14:textId="164A89E3" w:rsidR="006524C7" w:rsidRPr="00C64817" w:rsidRDefault="006524C7" w:rsidP="00C64817">
      <w:pPr>
        <w:pStyle w:val="ListParagraph"/>
        <w:numPr>
          <w:ilvl w:val="0"/>
          <w:numId w:val="75"/>
        </w:numPr>
        <w:suppressAutoHyphens w:val="0"/>
        <w:spacing w:before="0" w:after="160" w:line="259" w:lineRule="auto"/>
        <w:jc w:val="both"/>
        <w:rPr>
          <w:rFonts w:cstheme="minorHAnsi"/>
          <w:color w:val="auto"/>
        </w:rPr>
      </w:pPr>
      <w:r w:rsidRPr="00C64817">
        <w:rPr>
          <w:rFonts w:cstheme="minorHAnsi"/>
          <w:i/>
          <w:iCs/>
          <w:color w:val="auto"/>
        </w:rPr>
        <w:t>Results focus</w:t>
      </w:r>
      <w:r w:rsidR="007A06A1" w:rsidRPr="00407D94">
        <w:rPr>
          <w:rFonts w:cstheme="minorHAnsi"/>
          <w:color w:val="auto"/>
        </w:rPr>
        <w:t xml:space="preserve">: </w:t>
      </w:r>
      <w:r w:rsidR="00867D06" w:rsidRPr="00C64817">
        <w:rPr>
          <w:rFonts w:cstheme="minorHAnsi"/>
          <w:color w:val="auto"/>
        </w:rPr>
        <w:t xml:space="preserve">the hybrid mode will work to a single goal and </w:t>
      </w:r>
      <w:r w:rsidR="00030B6F" w:rsidRPr="00C64817">
        <w:rPr>
          <w:rFonts w:cstheme="minorHAnsi"/>
          <w:color w:val="auto"/>
        </w:rPr>
        <w:t>clear outcomes and will be assessed against the same overall Performance Assessment Framework</w:t>
      </w:r>
      <w:r w:rsidR="00140C17" w:rsidRPr="00C64817">
        <w:rPr>
          <w:rFonts w:cstheme="minorHAnsi"/>
          <w:color w:val="auto"/>
        </w:rPr>
        <w:t xml:space="preserve">, and each hybrid partner will be held </w:t>
      </w:r>
      <w:r w:rsidR="00C65918" w:rsidRPr="00C64817">
        <w:rPr>
          <w:rFonts w:cstheme="minorHAnsi"/>
          <w:color w:val="auto"/>
        </w:rPr>
        <w:t>accountable</w:t>
      </w:r>
      <w:r w:rsidR="00140C17" w:rsidRPr="00C64817">
        <w:rPr>
          <w:rFonts w:cstheme="minorHAnsi"/>
          <w:color w:val="auto"/>
        </w:rPr>
        <w:t xml:space="preserve"> for results in their sphere of </w:t>
      </w:r>
      <w:r w:rsidR="00C65918" w:rsidRPr="00C64817">
        <w:rPr>
          <w:rFonts w:cstheme="minorHAnsi"/>
          <w:color w:val="auto"/>
        </w:rPr>
        <w:t>responsibility</w:t>
      </w:r>
      <w:r w:rsidR="00D264DA" w:rsidRPr="00C64817">
        <w:rPr>
          <w:rFonts w:cstheme="minorHAnsi"/>
          <w:color w:val="auto"/>
        </w:rPr>
        <w:t>.</w:t>
      </w:r>
    </w:p>
    <w:p w14:paraId="4F2A4F41" w14:textId="6FE13837" w:rsidR="006524C7" w:rsidRPr="00C64817" w:rsidRDefault="006524C7" w:rsidP="00C64817">
      <w:pPr>
        <w:pStyle w:val="ListParagraph"/>
        <w:numPr>
          <w:ilvl w:val="0"/>
          <w:numId w:val="75"/>
        </w:numPr>
        <w:suppressAutoHyphens w:val="0"/>
        <w:spacing w:before="0" w:after="160" w:line="259" w:lineRule="auto"/>
        <w:jc w:val="both"/>
        <w:rPr>
          <w:rFonts w:cstheme="minorHAnsi"/>
          <w:color w:val="auto"/>
        </w:rPr>
      </w:pPr>
      <w:r w:rsidRPr="00C64817">
        <w:rPr>
          <w:rFonts w:cstheme="minorHAnsi"/>
          <w:i/>
          <w:iCs/>
          <w:color w:val="auto"/>
        </w:rPr>
        <w:t>Experimentation and innovation</w:t>
      </w:r>
      <w:r w:rsidR="00030B6F" w:rsidRPr="00407D94">
        <w:rPr>
          <w:rFonts w:cstheme="minorHAnsi"/>
          <w:color w:val="auto"/>
        </w:rPr>
        <w:t>: this model</w:t>
      </w:r>
      <w:r w:rsidR="00C80ACE" w:rsidRPr="008A7462">
        <w:rPr>
          <w:rFonts w:cstheme="minorHAnsi"/>
          <w:color w:val="auto"/>
        </w:rPr>
        <w:t xml:space="preserve"> by its very nature</w:t>
      </w:r>
      <w:r w:rsidR="00030B6F" w:rsidRPr="008A7462">
        <w:rPr>
          <w:rFonts w:cstheme="minorHAnsi"/>
          <w:color w:val="auto"/>
        </w:rPr>
        <w:t xml:space="preserve">, </w:t>
      </w:r>
      <w:r w:rsidR="00B205BF" w:rsidRPr="00C64817">
        <w:rPr>
          <w:rFonts w:cstheme="minorHAnsi"/>
          <w:color w:val="auto"/>
        </w:rPr>
        <w:t>as a combination of four different managing options</w:t>
      </w:r>
      <w:r w:rsidR="00C65918" w:rsidRPr="00C64817">
        <w:rPr>
          <w:rFonts w:cstheme="minorHAnsi"/>
          <w:color w:val="auto"/>
        </w:rPr>
        <w:t xml:space="preserve"> with Pacific-led governance and oversight</w:t>
      </w:r>
      <w:r w:rsidR="00030B6F" w:rsidRPr="00C64817">
        <w:rPr>
          <w:rFonts w:cstheme="minorHAnsi"/>
          <w:color w:val="auto"/>
        </w:rPr>
        <w:t xml:space="preserve">, is </w:t>
      </w:r>
      <w:r w:rsidR="00B205BF" w:rsidRPr="00C64817">
        <w:rPr>
          <w:rFonts w:cstheme="minorHAnsi"/>
          <w:color w:val="auto"/>
        </w:rPr>
        <w:t>innovative</w:t>
      </w:r>
      <w:r w:rsidR="00833947" w:rsidRPr="00C64817">
        <w:rPr>
          <w:rFonts w:cstheme="minorHAnsi"/>
          <w:color w:val="auto"/>
        </w:rPr>
        <w:t xml:space="preserve">. It has not been designed for administrative ease, but to be sophisticated in </w:t>
      </w:r>
      <w:r w:rsidR="00183D5D" w:rsidRPr="00C64817">
        <w:rPr>
          <w:rFonts w:cstheme="minorHAnsi"/>
          <w:color w:val="auto"/>
        </w:rPr>
        <w:t>dealing with the complexity of the agenda and relationships around gender equality in the Pacific.</w:t>
      </w:r>
      <w:r w:rsidR="0023572F">
        <w:rPr>
          <w:rFonts w:cstheme="minorHAnsi"/>
          <w:color w:val="auto"/>
        </w:rPr>
        <w:t xml:space="preserve"> It is designed as a portfolio of partnerships that are accountable to deliver results, and that together, leverage greater impact. </w:t>
      </w:r>
    </w:p>
    <w:p w14:paraId="0BE88F51" w14:textId="088A53D5" w:rsidR="00562595" w:rsidRPr="009C2424" w:rsidRDefault="009F6A50" w:rsidP="008C74E8">
      <w:pPr>
        <w:suppressAutoHyphens w:val="0"/>
        <w:spacing w:before="0" w:after="160" w:line="259" w:lineRule="auto"/>
        <w:jc w:val="both"/>
        <w:rPr>
          <w:rFonts w:cstheme="minorHAnsi"/>
          <w:color w:val="auto"/>
        </w:rPr>
      </w:pPr>
      <w:r w:rsidRPr="009C2424">
        <w:rPr>
          <w:rFonts w:cstheme="minorHAnsi"/>
          <w:color w:val="auto"/>
        </w:rPr>
        <w:t>5.2</w:t>
      </w:r>
      <w:r w:rsidR="009C2424">
        <w:rPr>
          <w:rFonts w:cstheme="minorHAnsi"/>
          <w:color w:val="auto"/>
        </w:rPr>
        <w:t>2</w:t>
      </w:r>
      <w:r w:rsidRPr="009C2424">
        <w:rPr>
          <w:rFonts w:cstheme="minorHAnsi"/>
          <w:color w:val="auto"/>
        </w:rPr>
        <w:tab/>
      </w:r>
      <w:r w:rsidR="006524C7" w:rsidRPr="009C2424">
        <w:rPr>
          <w:rFonts w:cstheme="minorHAnsi"/>
          <w:color w:val="auto"/>
        </w:rPr>
        <w:t>Ethics</w:t>
      </w:r>
      <w:r w:rsidR="009C2424">
        <w:rPr>
          <w:rFonts w:cstheme="minorHAnsi"/>
          <w:color w:val="auto"/>
        </w:rPr>
        <w:t>:</w:t>
      </w:r>
    </w:p>
    <w:p w14:paraId="0574DD70" w14:textId="781FFB30" w:rsidR="006524C7" w:rsidRPr="00C64817" w:rsidRDefault="006524C7" w:rsidP="00C64817">
      <w:pPr>
        <w:pStyle w:val="ListParagraph"/>
        <w:numPr>
          <w:ilvl w:val="0"/>
          <w:numId w:val="76"/>
        </w:numPr>
        <w:suppressAutoHyphens w:val="0"/>
        <w:spacing w:before="0" w:after="160" w:line="259" w:lineRule="auto"/>
        <w:jc w:val="both"/>
        <w:rPr>
          <w:rFonts w:cstheme="minorHAnsi"/>
          <w:color w:val="auto"/>
        </w:rPr>
      </w:pPr>
      <w:r w:rsidRPr="00C64817">
        <w:rPr>
          <w:rFonts w:cstheme="minorHAnsi"/>
          <w:i/>
          <w:iCs/>
          <w:color w:val="auto"/>
        </w:rPr>
        <w:t>Accountability and transparency</w:t>
      </w:r>
      <w:r w:rsidR="00C65918" w:rsidRPr="00407D94">
        <w:rPr>
          <w:rFonts w:cstheme="minorHAnsi"/>
          <w:color w:val="auto"/>
        </w:rPr>
        <w:t xml:space="preserve">; </w:t>
      </w:r>
      <w:r w:rsidR="000C57A9" w:rsidRPr="00C64817">
        <w:rPr>
          <w:rFonts w:cstheme="minorHAnsi"/>
          <w:color w:val="auto"/>
        </w:rPr>
        <w:t xml:space="preserve">The hybrid model </w:t>
      </w:r>
      <w:r w:rsidR="00B30B3B" w:rsidRPr="00C64817">
        <w:rPr>
          <w:rFonts w:cstheme="minorHAnsi"/>
          <w:color w:val="auto"/>
        </w:rPr>
        <w:t xml:space="preserve">will have multiple accountabilities – </w:t>
      </w:r>
      <w:r w:rsidR="00D0598D" w:rsidRPr="00C64817">
        <w:rPr>
          <w:rFonts w:cstheme="minorHAnsi"/>
          <w:color w:val="auto"/>
        </w:rPr>
        <w:t>to the</w:t>
      </w:r>
      <w:r w:rsidR="00DC5D81" w:rsidRPr="00C64817">
        <w:rPr>
          <w:rFonts w:cstheme="minorHAnsi"/>
          <w:color w:val="auto"/>
        </w:rPr>
        <w:t xml:space="preserve"> Governance Board, </w:t>
      </w:r>
      <w:r w:rsidR="003E0345" w:rsidRPr="00C64817">
        <w:rPr>
          <w:rFonts w:cstheme="minorHAnsi"/>
          <w:color w:val="auto"/>
        </w:rPr>
        <w:t xml:space="preserve">itself </w:t>
      </w:r>
      <w:r w:rsidR="00DC5D81" w:rsidRPr="00C64817">
        <w:rPr>
          <w:rFonts w:cstheme="minorHAnsi"/>
          <w:color w:val="auto"/>
        </w:rPr>
        <w:t>a new approach to accountability to a Pacific-led body</w:t>
      </w:r>
      <w:r w:rsidR="00D0598D" w:rsidRPr="00C64817">
        <w:rPr>
          <w:rFonts w:cstheme="minorHAnsi"/>
          <w:color w:val="auto"/>
        </w:rPr>
        <w:t xml:space="preserve">, to the Australian Government, to SPC and to the </w:t>
      </w:r>
      <w:r w:rsidR="003E0345" w:rsidRPr="00C64817">
        <w:rPr>
          <w:rFonts w:cstheme="minorHAnsi"/>
          <w:color w:val="auto"/>
        </w:rPr>
        <w:t>civil society across the region who have invested in the design of the program and will be watching its progress closely.</w:t>
      </w:r>
      <w:r w:rsidR="000B4261" w:rsidRPr="00C64817">
        <w:rPr>
          <w:rFonts w:cstheme="minorHAnsi"/>
          <w:color w:val="auto"/>
        </w:rPr>
        <w:t xml:space="preserve"> </w:t>
      </w:r>
      <w:r w:rsidR="00A23806" w:rsidRPr="00C64817">
        <w:rPr>
          <w:rFonts w:cstheme="minorHAnsi"/>
          <w:color w:val="auto"/>
        </w:rPr>
        <w:t xml:space="preserve"> </w:t>
      </w:r>
      <w:r w:rsidR="003E0345" w:rsidRPr="00C64817">
        <w:rPr>
          <w:rFonts w:cstheme="minorHAnsi"/>
          <w:color w:val="auto"/>
        </w:rPr>
        <w:t>Transparency will be provided through</w:t>
      </w:r>
      <w:r w:rsidR="00880D05" w:rsidRPr="00C64817">
        <w:rPr>
          <w:rFonts w:cstheme="minorHAnsi"/>
          <w:color w:val="auto"/>
        </w:rPr>
        <w:t xml:space="preserve"> reporting </w:t>
      </w:r>
      <w:proofErr w:type="gramStart"/>
      <w:r w:rsidR="00880D05" w:rsidRPr="00C64817">
        <w:rPr>
          <w:rFonts w:cstheme="minorHAnsi"/>
          <w:color w:val="auto"/>
        </w:rPr>
        <w:t xml:space="preserve">on </w:t>
      </w:r>
      <w:r w:rsidR="003E0345" w:rsidRPr="00C64817">
        <w:rPr>
          <w:rFonts w:cstheme="minorHAnsi"/>
          <w:color w:val="auto"/>
        </w:rPr>
        <w:t xml:space="preserve"> all</w:t>
      </w:r>
      <w:proofErr w:type="gramEnd"/>
      <w:r w:rsidR="003E0345" w:rsidRPr="00C64817">
        <w:rPr>
          <w:rFonts w:cstheme="minorHAnsi"/>
          <w:color w:val="auto"/>
        </w:rPr>
        <w:t xml:space="preserve"> elements of the hybrid </w:t>
      </w:r>
      <w:r w:rsidR="00880D05" w:rsidRPr="00C64817">
        <w:rPr>
          <w:rFonts w:cstheme="minorHAnsi"/>
          <w:color w:val="auto"/>
        </w:rPr>
        <w:t xml:space="preserve">being consolidated </w:t>
      </w:r>
      <w:r w:rsidR="00673874" w:rsidRPr="00C64817">
        <w:rPr>
          <w:rFonts w:cstheme="minorHAnsi"/>
          <w:color w:val="auto"/>
        </w:rPr>
        <w:t>and provided to the Governance Board.</w:t>
      </w:r>
    </w:p>
    <w:p w14:paraId="6ACCE04B" w14:textId="6025A3FE" w:rsidR="008C74E8" w:rsidRPr="00F328DA" w:rsidRDefault="009F6A50" w:rsidP="00F328DA">
      <w:pPr>
        <w:pStyle w:val="Heading2"/>
        <w:rPr>
          <w:sz w:val="36"/>
          <w:szCs w:val="24"/>
        </w:rPr>
      </w:pPr>
      <w:bookmarkStart w:id="17" w:name="_Toc75535891"/>
      <w:r w:rsidRPr="00F328DA">
        <w:rPr>
          <w:sz w:val="36"/>
          <w:szCs w:val="24"/>
        </w:rPr>
        <w:t>Specific e</w:t>
      </w:r>
      <w:r w:rsidR="00C34BD6" w:rsidRPr="00F328DA">
        <w:rPr>
          <w:sz w:val="36"/>
          <w:szCs w:val="24"/>
        </w:rPr>
        <w:t>xpectations of SPC as ‘host’</w:t>
      </w:r>
      <w:bookmarkEnd w:id="17"/>
    </w:p>
    <w:p w14:paraId="72053181" w14:textId="5C9EFE5F" w:rsidR="00C34BD6" w:rsidRPr="00C64817" w:rsidRDefault="009F6A50" w:rsidP="008C74E8">
      <w:pPr>
        <w:suppressAutoHyphens w:val="0"/>
        <w:spacing w:before="0" w:after="160" w:line="259" w:lineRule="auto"/>
        <w:jc w:val="both"/>
        <w:rPr>
          <w:rFonts w:cstheme="minorHAnsi"/>
          <w:color w:val="auto"/>
        </w:rPr>
      </w:pPr>
      <w:r w:rsidRPr="00407D94">
        <w:rPr>
          <w:rFonts w:cstheme="minorHAnsi"/>
          <w:color w:val="auto"/>
        </w:rPr>
        <w:t>5.2</w:t>
      </w:r>
      <w:r w:rsidR="009C2424">
        <w:rPr>
          <w:rFonts w:cstheme="minorHAnsi"/>
          <w:color w:val="auto"/>
        </w:rPr>
        <w:t>3</w:t>
      </w:r>
      <w:r w:rsidRPr="00407D94">
        <w:rPr>
          <w:rFonts w:cstheme="minorHAnsi"/>
          <w:color w:val="auto"/>
        </w:rPr>
        <w:tab/>
      </w:r>
      <w:r w:rsidR="005C2E3B" w:rsidRPr="008A7462">
        <w:rPr>
          <w:rFonts w:cstheme="minorHAnsi"/>
          <w:color w:val="auto"/>
        </w:rPr>
        <w:t xml:space="preserve">There are two key areas of expectation around </w:t>
      </w:r>
      <w:r w:rsidR="006944EE" w:rsidRPr="00C64817">
        <w:rPr>
          <w:rFonts w:cstheme="minorHAnsi"/>
          <w:color w:val="auto"/>
        </w:rPr>
        <w:t>SPC</w:t>
      </w:r>
      <w:r w:rsidR="005C2E3B" w:rsidRPr="00C64817">
        <w:rPr>
          <w:rFonts w:cstheme="minorHAnsi"/>
          <w:color w:val="auto"/>
        </w:rPr>
        <w:t>’s</w:t>
      </w:r>
      <w:r w:rsidR="006944EE" w:rsidRPr="00C64817">
        <w:rPr>
          <w:rFonts w:cstheme="minorHAnsi"/>
          <w:color w:val="auto"/>
        </w:rPr>
        <w:t xml:space="preserve"> key regional hosting role for Pacific Women Lead</w:t>
      </w:r>
      <w:r w:rsidR="005C2E3B" w:rsidRPr="00C64817">
        <w:rPr>
          <w:rFonts w:cstheme="minorHAnsi"/>
          <w:color w:val="auto"/>
        </w:rPr>
        <w:t>:</w:t>
      </w:r>
    </w:p>
    <w:p w14:paraId="2F1BC3E4" w14:textId="77BA2493" w:rsidR="005C2E3B" w:rsidRPr="00C64817" w:rsidRDefault="00291AF4" w:rsidP="005C2E3B">
      <w:pPr>
        <w:pStyle w:val="ListParagraph"/>
        <w:numPr>
          <w:ilvl w:val="0"/>
          <w:numId w:val="64"/>
        </w:numPr>
        <w:suppressAutoHyphens w:val="0"/>
        <w:spacing w:before="0" w:after="160" w:line="259" w:lineRule="auto"/>
        <w:jc w:val="both"/>
        <w:rPr>
          <w:rFonts w:cstheme="minorHAnsi"/>
          <w:color w:val="auto"/>
        </w:rPr>
      </w:pPr>
      <w:r w:rsidRPr="00C64817">
        <w:rPr>
          <w:rFonts w:cstheme="minorHAnsi"/>
          <w:b/>
          <w:bCs/>
          <w:color w:val="auto"/>
        </w:rPr>
        <w:t>Provide effective and efficient</w:t>
      </w:r>
      <w:r w:rsidR="00BB127E" w:rsidRPr="00407D94">
        <w:rPr>
          <w:rFonts w:cstheme="minorHAnsi"/>
          <w:b/>
          <w:bCs/>
          <w:color w:val="auto"/>
        </w:rPr>
        <w:t xml:space="preserve">, Pacific-driven </w:t>
      </w:r>
      <w:r w:rsidRPr="00C64817">
        <w:rPr>
          <w:rFonts w:cstheme="minorHAnsi"/>
          <w:b/>
          <w:bCs/>
          <w:color w:val="auto"/>
        </w:rPr>
        <w:t>m</w:t>
      </w:r>
      <w:r w:rsidR="00BA487E" w:rsidRPr="00C64817">
        <w:rPr>
          <w:rFonts w:cstheme="minorHAnsi"/>
          <w:b/>
          <w:bCs/>
          <w:color w:val="auto"/>
        </w:rPr>
        <w:t>anagement</w:t>
      </w:r>
      <w:r w:rsidR="0033146B" w:rsidRPr="00C64817">
        <w:rPr>
          <w:rFonts w:cstheme="minorHAnsi"/>
          <w:b/>
          <w:bCs/>
          <w:color w:val="auto"/>
        </w:rPr>
        <w:t xml:space="preserve"> for the life of Pacific Women Lead program</w:t>
      </w:r>
      <w:r w:rsidR="00340B91" w:rsidRPr="00C64817">
        <w:rPr>
          <w:rFonts w:cstheme="minorHAnsi"/>
          <w:color w:val="auto"/>
        </w:rPr>
        <w:t>: SPC</w:t>
      </w:r>
      <w:r w:rsidR="000579A7" w:rsidRPr="00C64817">
        <w:rPr>
          <w:rFonts w:cstheme="minorHAnsi"/>
          <w:color w:val="auto"/>
        </w:rPr>
        <w:t xml:space="preserve"> will be expected to </w:t>
      </w:r>
      <w:r w:rsidR="00592E89" w:rsidRPr="00C64817">
        <w:rPr>
          <w:rFonts w:cstheme="minorHAnsi"/>
          <w:color w:val="auto"/>
        </w:rPr>
        <w:t xml:space="preserve">provide </w:t>
      </w:r>
      <w:r w:rsidR="00967E7B" w:rsidRPr="00C64817">
        <w:rPr>
          <w:rFonts w:cstheme="minorHAnsi"/>
          <w:color w:val="auto"/>
        </w:rPr>
        <w:t>a quality management service for Pacific Women Lead</w:t>
      </w:r>
      <w:r w:rsidR="00D05F5E" w:rsidRPr="00C64817">
        <w:rPr>
          <w:rFonts w:cstheme="minorHAnsi"/>
          <w:color w:val="auto"/>
        </w:rPr>
        <w:t xml:space="preserve">, both at the overall program level and in relation to </w:t>
      </w:r>
      <w:r w:rsidR="00ED6A14" w:rsidRPr="00C64817">
        <w:rPr>
          <w:rFonts w:cstheme="minorHAnsi"/>
          <w:color w:val="auto"/>
        </w:rPr>
        <w:t>individual</w:t>
      </w:r>
      <w:r w:rsidR="002C1E3D" w:rsidRPr="00C64817">
        <w:rPr>
          <w:rFonts w:cstheme="minorHAnsi"/>
          <w:color w:val="auto"/>
        </w:rPr>
        <w:t xml:space="preserve"> activity delivery. </w:t>
      </w:r>
    </w:p>
    <w:p w14:paraId="40658678" w14:textId="2C92A9F3" w:rsidR="0078197C" w:rsidRPr="00C64817" w:rsidRDefault="00E97130" w:rsidP="00C313F7">
      <w:pPr>
        <w:pStyle w:val="ListParagraph"/>
        <w:numPr>
          <w:ilvl w:val="0"/>
          <w:numId w:val="64"/>
        </w:numPr>
        <w:suppressAutoHyphens w:val="0"/>
        <w:spacing w:before="0" w:after="160" w:line="259" w:lineRule="auto"/>
        <w:jc w:val="both"/>
        <w:rPr>
          <w:rFonts w:eastAsia="Times New Roman"/>
          <w:lang w:eastAsia="en-AU"/>
        </w:rPr>
      </w:pPr>
      <w:r w:rsidRPr="00C64817">
        <w:rPr>
          <w:rFonts w:cstheme="minorHAnsi"/>
          <w:b/>
          <w:bCs/>
          <w:color w:val="auto"/>
        </w:rPr>
        <w:lastRenderedPageBreak/>
        <w:t xml:space="preserve">Strengthen SPC’s </w:t>
      </w:r>
      <w:r w:rsidR="00291AF4" w:rsidRPr="00C64817">
        <w:rPr>
          <w:rFonts w:cstheme="minorHAnsi"/>
          <w:b/>
          <w:bCs/>
          <w:color w:val="auto"/>
        </w:rPr>
        <w:t>gender equality capacity</w:t>
      </w:r>
      <w:r w:rsidR="0033146B" w:rsidRPr="00C64817">
        <w:rPr>
          <w:rFonts w:cstheme="minorHAnsi"/>
          <w:b/>
          <w:bCs/>
          <w:color w:val="auto"/>
        </w:rPr>
        <w:t xml:space="preserve"> for the long term</w:t>
      </w:r>
      <w:r w:rsidR="0000060C" w:rsidRPr="00407D94">
        <w:rPr>
          <w:rFonts w:cstheme="minorHAnsi"/>
          <w:b/>
          <w:bCs/>
          <w:color w:val="auto"/>
        </w:rPr>
        <w:t xml:space="preserve"> benefit of the region</w:t>
      </w:r>
      <w:r w:rsidR="00291AF4" w:rsidRPr="008A7462">
        <w:rPr>
          <w:rFonts w:cstheme="minorHAnsi"/>
          <w:color w:val="auto"/>
        </w:rPr>
        <w:t xml:space="preserve">: </w:t>
      </w:r>
      <w:r w:rsidR="003D1687" w:rsidRPr="00C64817">
        <w:rPr>
          <w:rFonts w:cstheme="minorHAnsi"/>
          <w:color w:val="auto"/>
        </w:rPr>
        <w:t xml:space="preserve">by hosting Pacific Women Lead and </w:t>
      </w:r>
      <w:r w:rsidR="00562A17" w:rsidRPr="00C64817">
        <w:rPr>
          <w:rFonts w:cstheme="minorHAnsi"/>
          <w:color w:val="auto"/>
        </w:rPr>
        <w:t xml:space="preserve">increasing </w:t>
      </w:r>
      <w:r w:rsidR="00945E84" w:rsidRPr="00C64817">
        <w:rPr>
          <w:rFonts w:cstheme="minorHAnsi"/>
          <w:color w:val="auto"/>
        </w:rPr>
        <w:t xml:space="preserve">internal resources </w:t>
      </w:r>
      <w:r w:rsidR="00ED6C15" w:rsidRPr="00C64817">
        <w:rPr>
          <w:rFonts w:cstheme="minorHAnsi"/>
          <w:color w:val="auto"/>
        </w:rPr>
        <w:t xml:space="preserve">on gender equality, SPC has the opportunity to </w:t>
      </w:r>
      <w:r w:rsidR="008B01D6" w:rsidRPr="00C64817">
        <w:rPr>
          <w:rFonts w:cstheme="minorHAnsi"/>
          <w:color w:val="auto"/>
        </w:rPr>
        <w:t>deepen its own ex</w:t>
      </w:r>
      <w:r w:rsidR="00E67BE5" w:rsidRPr="00C64817">
        <w:rPr>
          <w:rFonts w:cstheme="minorHAnsi"/>
          <w:color w:val="auto"/>
        </w:rPr>
        <w:t xml:space="preserve">pertise </w:t>
      </w:r>
      <w:r w:rsidR="00A65D86" w:rsidRPr="00C64817">
        <w:rPr>
          <w:rFonts w:cstheme="minorHAnsi"/>
          <w:color w:val="auto"/>
        </w:rPr>
        <w:t xml:space="preserve">in this area and to </w:t>
      </w:r>
      <w:r w:rsidR="00626DE6" w:rsidRPr="00C64817">
        <w:rPr>
          <w:rFonts w:cstheme="minorHAnsi"/>
          <w:color w:val="auto"/>
        </w:rPr>
        <w:t xml:space="preserve">help the whole organisation to be </w:t>
      </w:r>
      <w:r w:rsidR="0031213A" w:rsidRPr="00C64817">
        <w:rPr>
          <w:rFonts w:cstheme="minorHAnsi"/>
          <w:color w:val="auto"/>
        </w:rPr>
        <w:t xml:space="preserve">more gender sensitive in all its </w:t>
      </w:r>
      <w:r w:rsidR="001B0EED" w:rsidRPr="00C64817">
        <w:rPr>
          <w:rFonts w:cstheme="minorHAnsi"/>
          <w:color w:val="auto"/>
        </w:rPr>
        <w:t xml:space="preserve">work. This </w:t>
      </w:r>
      <w:r w:rsidR="008C5EDB" w:rsidRPr="00C64817">
        <w:rPr>
          <w:rFonts w:cstheme="minorHAnsi"/>
          <w:color w:val="auto"/>
        </w:rPr>
        <w:t>will not only provide a benefit to this program but will have long term benefits for the region through</w:t>
      </w:r>
      <w:r w:rsidR="00CC7890" w:rsidRPr="00C64817">
        <w:rPr>
          <w:rFonts w:cstheme="minorHAnsi"/>
          <w:color w:val="auto"/>
        </w:rPr>
        <w:t xml:space="preserve"> </w:t>
      </w:r>
      <w:r w:rsidR="00555E03" w:rsidRPr="00C64817">
        <w:rPr>
          <w:rFonts w:cstheme="minorHAnsi"/>
          <w:color w:val="auto"/>
        </w:rPr>
        <w:t xml:space="preserve">the embedding of this </w:t>
      </w:r>
      <w:r w:rsidR="00F10309" w:rsidRPr="00C64817">
        <w:rPr>
          <w:rFonts w:cstheme="minorHAnsi"/>
          <w:color w:val="auto"/>
        </w:rPr>
        <w:t xml:space="preserve">enhanced capacity within SPC for the long term. </w:t>
      </w:r>
      <w:r w:rsidR="002E5644" w:rsidRPr="00C64817">
        <w:rPr>
          <w:rFonts w:cstheme="minorHAnsi"/>
          <w:color w:val="auto"/>
        </w:rPr>
        <w:t xml:space="preserve">This is a particular and unique benefit </w:t>
      </w:r>
      <w:r w:rsidR="00737D47" w:rsidRPr="00C64817">
        <w:rPr>
          <w:rFonts w:cstheme="minorHAnsi"/>
          <w:color w:val="auto"/>
        </w:rPr>
        <w:t xml:space="preserve">to the region that could only be achieved </w:t>
      </w:r>
      <w:r w:rsidR="0027308C" w:rsidRPr="00C64817">
        <w:rPr>
          <w:rFonts w:cstheme="minorHAnsi"/>
          <w:color w:val="auto"/>
        </w:rPr>
        <w:t xml:space="preserve">through a </w:t>
      </w:r>
      <w:proofErr w:type="gramStart"/>
      <w:r w:rsidR="006620FB" w:rsidRPr="00C64817">
        <w:rPr>
          <w:rFonts w:cstheme="minorHAnsi"/>
          <w:color w:val="auto"/>
        </w:rPr>
        <w:t>regionally-owned</w:t>
      </w:r>
      <w:proofErr w:type="gramEnd"/>
      <w:r w:rsidR="006620FB" w:rsidRPr="00C64817">
        <w:rPr>
          <w:rFonts w:cstheme="minorHAnsi"/>
          <w:color w:val="auto"/>
        </w:rPr>
        <w:t xml:space="preserve">, member-based </w:t>
      </w:r>
      <w:r w:rsidR="00DB3C73" w:rsidRPr="00C64817">
        <w:rPr>
          <w:rFonts w:cstheme="minorHAnsi"/>
          <w:color w:val="auto"/>
        </w:rPr>
        <w:t>organisation</w:t>
      </w:r>
      <w:r w:rsidR="006620FB" w:rsidRPr="00C64817">
        <w:rPr>
          <w:rFonts w:cstheme="minorHAnsi"/>
          <w:color w:val="auto"/>
        </w:rPr>
        <w:t xml:space="preserve"> that is </w:t>
      </w:r>
      <w:r w:rsidR="00ED6A14">
        <w:rPr>
          <w:rFonts w:cstheme="minorHAnsi"/>
          <w:color w:val="auto"/>
        </w:rPr>
        <w:t>embedded in the region</w:t>
      </w:r>
      <w:r w:rsidR="006620FB" w:rsidRPr="00C64817">
        <w:rPr>
          <w:rFonts w:cstheme="minorHAnsi"/>
          <w:color w:val="auto"/>
        </w:rPr>
        <w:t xml:space="preserve"> long</w:t>
      </w:r>
      <w:r w:rsidR="00ED6A14">
        <w:rPr>
          <w:rFonts w:cstheme="minorHAnsi"/>
          <w:color w:val="auto"/>
        </w:rPr>
        <w:t>-</w:t>
      </w:r>
      <w:r w:rsidR="006620FB" w:rsidRPr="00C64817">
        <w:rPr>
          <w:rFonts w:cstheme="minorHAnsi"/>
          <w:color w:val="auto"/>
        </w:rPr>
        <w:t>term.</w:t>
      </w:r>
    </w:p>
    <w:p w14:paraId="5FE7CDFA" w14:textId="401DE949" w:rsidR="00B73450" w:rsidRPr="00F328DA" w:rsidRDefault="00B73450" w:rsidP="00F328DA">
      <w:pPr>
        <w:pStyle w:val="Heading2"/>
        <w:rPr>
          <w:sz w:val="36"/>
          <w:szCs w:val="24"/>
          <w:lang w:eastAsia="en-AU"/>
        </w:rPr>
      </w:pPr>
      <w:bookmarkStart w:id="18" w:name="_Toc75535892"/>
      <w:r w:rsidRPr="00F328DA">
        <w:rPr>
          <w:sz w:val="36"/>
          <w:szCs w:val="24"/>
          <w:lang w:eastAsia="en-AU"/>
        </w:rPr>
        <w:t>Policy Dialogue</w:t>
      </w:r>
      <w:bookmarkEnd w:id="18"/>
    </w:p>
    <w:p w14:paraId="1A6CE79C" w14:textId="04152516" w:rsidR="003D438E" w:rsidRPr="00C64817" w:rsidRDefault="00FF1D99" w:rsidP="00907538">
      <w:pPr>
        <w:shd w:val="clear" w:color="auto" w:fill="FFFFFF" w:themeFill="background1"/>
        <w:suppressAutoHyphens w:val="0"/>
        <w:spacing w:before="0" w:after="160" w:line="259" w:lineRule="auto"/>
        <w:jc w:val="both"/>
        <w:rPr>
          <w:rFonts w:eastAsia="Times New Roman" w:cstheme="minorHAnsi"/>
          <w:color w:val="auto"/>
          <w:lang w:eastAsia="en-AU"/>
        </w:rPr>
      </w:pPr>
      <w:r w:rsidRPr="00DB3C73">
        <w:rPr>
          <w:rFonts w:eastAsia="Times New Roman" w:cstheme="minorHAnsi"/>
          <w:color w:val="auto"/>
          <w:lang w:eastAsia="en-AU"/>
        </w:rPr>
        <w:t>5.</w:t>
      </w:r>
      <w:r w:rsidR="006B2CD8" w:rsidRPr="00C64817">
        <w:rPr>
          <w:rFonts w:eastAsia="Times New Roman" w:cstheme="minorHAnsi"/>
          <w:color w:val="auto"/>
          <w:lang w:eastAsia="en-AU"/>
        </w:rPr>
        <w:t>3</w:t>
      </w:r>
      <w:r w:rsidR="009C2424">
        <w:rPr>
          <w:rFonts w:eastAsia="Times New Roman" w:cstheme="minorHAnsi"/>
          <w:color w:val="auto"/>
          <w:lang w:eastAsia="en-AU"/>
        </w:rPr>
        <w:t>5</w:t>
      </w:r>
      <w:r w:rsidR="00432052" w:rsidRPr="00C64817">
        <w:rPr>
          <w:rFonts w:eastAsia="Times New Roman" w:cstheme="minorHAnsi"/>
          <w:color w:val="auto"/>
          <w:lang w:eastAsia="en-AU"/>
        </w:rPr>
        <w:t xml:space="preserve"> </w:t>
      </w:r>
      <w:r w:rsidR="00432052" w:rsidRPr="00C64817">
        <w:rPr>
          <w:rFonts w:eastAsia="Times New Roman" w:cstheme="minorHAnsi"/>
          <w:color w:val="auto"/>
          <w:lang w:eastAsia="en-AU"/>
        </w:rPr>
        <w:tab/>
        <w:t xml:space="preserve"> </w:t>
      </w:r>
      <w:r w:rsidR="00432052" w:rsidRPr="00C64817">
        <w:rPr>
          <w:rFonts w:eastAsia="Times New Roman" w:cstheme="minorHAnsi"/>
          <w:b/>
          <w:color w:val="auto"/>
          <w:lang w:eastAsia="en-AU"/>
        </w:rPr>
        <w:t>R</w:t>
      </w:r>
      <w:r w:rsidR="00787E2F" w:rsidRPr="00C64817">
        <w:rPr>
          <w:rFonts w:eastAsia="Times New Roman" w:cstheme="minorHAnsi"/>
          <w:b/>
          <w:color w:val="auto"/>
          <w:lang w:eastAsia="en-AU"/>
        </w:rPr>
        <w:t>esponsibility for influencing policy rests with</w:t>
      </w:r>
      <w:r w:rsidR="004B6A04">
        <w:rPr>
          <w:rFonts w:eastAsia="Times New Roman" w:cstheme="minorHAnsi"/>
          <w:b/>
          <w:color w:val="auto"/>
          <w:lang w:eastAsia="en-AU"/>
        </w:rPr>
        <w:t xml:space="preserve"> </w:t>
      </w:r>
      <w:r w:rsidR="00F51500">
        <w:rPr>
          <w:rFonts w:eastAsia="Times New Roman" w:cstheme="minorHAnsi"/>
          <w:b/>
          <w:color w:val="auto"/>
          <w:lang w:eastAsia="en-AU"/>
        </w:rPr>
        <w:t>Office of the Pacific (OTP)</w:t>
      </w:r>
      <w:r w:rsidR="00EF47AB" w:rsidRPr="00C64817">
        <w:rPr>
          <w:rFonts w:eastAsia="Times New Roman" w:cstheme="minorHAnsi"/>
          <w:b/>
          <w:color w:val="auto"/>
          <w:lang w:eastAsia="en-AU"/>
        </w:rPr>
        <w:t>, Posts and SPC.</w:t>
      </w:r>
      <w:r w:rsidR="00787E2F" w:rsidRPr="00C64817">
        <w:rPr>
          <w:rFonts w:eastAsia="Times New Roman" w:cstheme="minorHAnsi"/>
          <w:color w:val="auto"/>
          <w:lang w:eastAsia="en-AU"/>
        </w:rPr>
        <w:t xml:space="preserve"> </w:t>
      </w:r>
      <w:r w:rsidR="00EF47AB" w:rsidRPr="00C64817">
        <w:rPr>
          <w:rFonts w:eastAsia="Times New Roman" w:cstheme="minorHAnsi"/>
          <w:color w:val="auto"/>
          <w:lang w:eastAsia="en-AU"/>
        </w:rPr>
        <w:t>These entities have</w:t>
      </w:r>
      <w:r w:rsidR="00787E2F" w:rsidRPr="00C64817">
        <w:rPr>
          <w:rFonts w:eastAsia="Times New Roman" w:cstheme="minorHAnsi"/>
          <w:color w:val="auto"/>
          <w:lang w:eastAsia="en-AU"/>
        </w:rPr>
        <w:t xml:space="preserve"> the relationships with </w:t>
      </w:r>
      <w:r w:rsidR="00A56A89" w:rsidRPr="00C64817">
        <w:rPr>
          <w:rFonts w:eastAsia="Times New Roman" w:cstheme="minorHAnsi"/>
          <w:color w:val="auto"/>
          <w:lang w:eastAsia="en-AU"/>
        </w:rPr>
        <w:t xml:space="preserve">relevant </w:t>
      </w:r>
      <w:r w:rsidR="00787E2F" w:rsidRPr="00C64817">
        <w:rPr>
          <w:rFonts w:eastAsia="Times New Roman" w:cstheme="minorHAnsi"/>
          <w:color w:val="auto"/>
          <w:lang w:eastAsia="en-AU"/>
        </w:rPr>
        <w:t xml:space="preserve">policy makers or will be able to build the necessary relationships across the life of the program. </w:t>
      </w:r>
      <w:r w:rsidR="00A4651D" w:rsidRPr="00C64817">
        <w:rPr>
          <w:rFonts w:eastAsia="Times New Roman" w:cstheme="minorHAnsi"/>
          <w:color w:val="auto"/>
          <w:lang w:eastAsia="en-AU"/>
        </w:rPr>
        <w:t>All three entities will have some form of</w:t>
      </w:r>
      <w:r w:rsidR="00787E2F" w:rsidRPr="00C64817">
        <w:rPr>
          <w:rFonts w:eastAsia="Times New Roman" w:cstheme="minorHAnsi"/>
          <w:color w:val="auto"/>
          <w:lang w:eastAsia="en-AU"/>
        </w:rPr>
        <w:t xml:space="preserve"> </w:t>
      </w:r>
      <w:r w:rsidR="00BD2E05" w:rsidRPr="00C64817">
        <w:rPr>
          <w:rFonts w:eastAsia="Times New Roman" w:cstheme="minorHAnsi"/>
          <w:color w:val="auto"/>
          <w:lang w:eastAsia="en-AU"/>
        </w:rPr>
        <w:t>responsibility</w:t>
      </w:r>
      <w:r w:rsidR="00787E2F" w:rsidRPr="00C64817">
        <w:rPr>
          <w:rFonts w:eastAsia="Times New Roman" w:cstheme="minorHAnsi"/>
          <w:color w:val="auto"/>
          <w:lang w:eastAsia="en-AU"/>
        </w:rPr>
        <w:t xml:space="preserve"> for the day-to-day management of the program and will have a significant role in providing supporting evidence to inform policy</w:t>
      </w:r>
      <w:r w:rsidR="00F51500">
        <w:rPr>
          <w:rFonts w:eastAsia="Times New Roman" w:cstheme="minorHAnsi"/>
          <w:color w:val="auto"/>
          <w:lang w:eastAsia="en-AU"/>
        </w:rPr>
        <w:t xml:space="preserve"> dialogue</w:t>
      </w:r>
      <w:r w:rsidR="00787E2F" w:rsidRPr="00C64817">
        <w:rPr>
          <w:rFonts w:eastAsia="Times New Roman" w:cstheme="minorHAnsi"/>
          <w:color w:val="auto"/>
          <w:lang w:eastAsia="en-AU"/>
        </w:rPr>
        <w:t xml:space="preserve">.  </w:t>
      </w:r>
      <w:r w:rsidR="00F51500">
        <w:rPr>
          <w:rFonts w:eastAsia="Times New Roman" w:cstheme="minorHAnsi"/>
          <w:color w:val="auto"/>
          <w:lang w:eastAsia="en-AU"/>
        </w:rPr>
        <w:t>SPC will continue its mandated role to work with and provide technical support to member country governments. OTP</w:t>
      </w:r>
      <w:r w:rsidR="00F51500" w:rsidRPr="00C64817">
        <w:rPr>
          <w:rFonts w:eastAsia="Times New Roman" w:cstheme="minorHAnsi"/>
          <w:color w:val="auto"/>
          <w:lang w:eastAsia="en-AU"/>
        </w:rPr>
        <w:t xml:space="preserve"> </w:t>
      </w:r>
      <w:r w:rsidR="00787E2F" w:rsidRPr="00C64817">
        <w:rPr>
          <w:rFonts w:eastAsia="Times New Roman" w:cstheme="minorHAnsi"/>
          <w:color w:val="auto"/>
          <w:lang w:eastAsia="en-AU"/>
        </w:rPr>
        <w:t xml:space="preserve">will </w:t>
      </w:r>
      <w:r w:rsidR="00F51500">
        <w:rPr>
          <w:rFonts w:eastAsia="Times New Roman" w:cstheme="minorHAnsi"/>
          <w:color w:val="auto"/>
          <w:lang w:eastAsia="en-AU"/>
        </w:rPr>
        <w:t>lead on</w:t>
      </w:r>
      <w:r w:rsidR="004B6A04">
        <w:rPr>
          <w:rFonts w:eastAsia="Times New Roman" w:cstheme="minorHAnsi"/>
          <w:color w:val="auto"/>
          <w:lang w:eastAsia="en-AU"/>
        </w:rPr>
        <w:t xml:space="preserve"> Australia’s</w:t>
      </w:r>
      <w:r w:rsidR="00F51500">
        <w:rPr>
          <w:rFonts w:eastAsia="Times New Roman" w:cstheme="minorHAnsi"/>
          <w:color w:val="auto"/>
          <w:lang w:eastAsia="en-AU"/>
        </w:rPr>
        <w:t xml:space="preserve"> regional policy dialogue.</w:t>
      </w:r>
      <w:r w:rsidR="004B6A04">
        <w:rPr>
          <w:rFonts w:eastAsia="Times New Roman" w:cstheme="minorHAnsi"/>
          <w:color w:val="auto"/>
          <w:lang w:eastAsia="en-AU"/>
        </w:rPr>
        <w:t xml:space="preserve"> </w:t>
      </w:r>
      <w:r w:rsidR="00F51500">
        <w:rPr>
          <w:rFonts w:eastAsia="Times New Roman" w:cstheme="minorHAnsi"/>
          <w:color w:val="auto"/>
          <w:lang w:eastAsia="en-AU"/>
        </w:rPr>
        <w:t>R</w:t>
      </w:r>
      <w:r w:rsidR="003A72F8" w:rsidRPr="00C64817">
        <w:rPr>
          <w:rFonts w:eastAsia="Times New Roman" w:cstheme="minorHAnsi"/>
          <w:color w:val="auto"/>
          <w:lang w:eastAsia="en-AU"/>
        </w:rPr>
        <w:t xml:space="preserve">elevant </w:t>
      </w:r>
      <w:r w:rsidR="00F51500">
        <w:rPr>
          <w:rFonts w:eastAsia="Times New Roman" w:cstheme="minorHAnsi"/>
          <w:color w:val="auto"/>
          <w:lang w:eastAsia="en-AU"/>
        </w:rPr>
        <w:t xml:space="preserve">Pacific </w:t>
      </w:r>
      <w:r w:rsidR="00787E2F" w:rsidRPr="00C64817">
        <w:rPr>
          <w:rFonts w:eastAsia="Times New Roman" w:cstheme="minorHAnsi"/>
          <w:color w:val="auto"/>
          <w:lang w:eastAsia="en-AU"/>
        </w:rPr>
        <w:t>Post</w:t>
      </w:r>
      <w:r w:rsidR="003A72F8" w:rsidRPr="00C64817">
        <w:rPr>
          <w:rFonts w:eastAsia="Times New Roman" w:cstheme="minorHAnsi"/>
          <w:color w:val="auto"/>
          <w:lang w:eastAsia="en-AU"/>
        </w:rPr>
        <w:t>s</w:t>
      </w:r>
      <w:r w:rsidR="00787E2F" w:rsidRPr="00C64817">
        <w:rPr>
          <w:rFonts w:eastAsia="Times New Roman" w:cstheme="minorHAnsi"/>
          <w:color w:val="auto"/>
          <w:lang w:eastAsia="en-AU"/>
        </w:rPr>
        <w:t xml:space="preserve"> </w:t>
      </w:r>
      <w:r w:rsidR="00F51500">
        <w:rPr>
          <w:rFonts w:eastAsia="Times New Roman" w:cstheme="minorHAnsi"/>
          <w:color w:val="auto"/>
          <w:lang w:eastAsia="en-AU"/>
        </w:rPr>
        <w:t xml:space="preserve">will lead on </w:t>
      </w:r>
      <w:r w:rsidR="004B6A04">
        <w:rPr>
          <w:rFonts w:eastAsia="Times New Roman" w:cstheme="minorHAnsi"/>
          <w:color w:val="auto"/>
          <w:lang w:eastAsia="en-AU"/>
        </w:rPr>
        <w:t xml:space="preserve">Australia’s </w:t>
      </w:r>
      <w:r w:rsidR="00F51500">
        <w:rPr>
          <w:rFonts w:eastAsia="Times New Roman" w:cstheme="minorHAnsi"/>
          <w:color w:val="auto"/>
          <w:lang w:eastAsia="en-AU"/>
        </w:rPr>
        <w:t xml:space="preserve">bilateral policy dialogue. </w:t>
      </w:r>
      <w:r w:rsidR="00D77D8E" w:rsidRPr="00C64817">
        <w:rPr>
          <w:rFonts w:eastAsia="Times New Roman" w:cstheme="minorHAnsi"/>
          <w:color w:val="auto"/>
          <w:lang w:eastAsia="en-AU"/>
        </w:rPr>
        <w:t xml:space="preserve"> (See Annex </w:t>
      </w:r>
      <w:r w:rsidR="00002603" w:rsidRPr="00C64817">
        <w:rPr>
          <w:rFonts w:eastAsia="Times New Roman" w:cstheme="minorHAnsi"/>
          <w:color w:val="auto"/>
          <w:lang w:eastAsia="en-AU"/>
        </w:rPr>
        <w:t>3</w:t>
      </w:r>
      <w:r w:rsidR="000B6DCF" w:rsidRPr="00C64817">
        <w:rPr>
          <w:rFonts w:eastAsia="Times New Roman" w:cstheme="minorHAnsi"/>
          <w:color w:val="auto"/>
          <w:lang w:eastAsia="en-AU"/>
        </w:rPr>
        <w:t>)</w:t>
      </w:r>
    </w:p>
    <w:p w14:paraId="2FE38637" w14:textId="351011D2" w:rsidR="00E64C5A" w:rsidRPr="00C64817" w:rsidRDefault="00423F6B" w:rsidP="00F328DA">
      <w:pPr>
        <w:pStyle w:val="Heading1"/>
      </w:pPr>
      <w:bookmarkStart w:id="19" w:name="_Toc75535893"/>
      <w:r>
        <w:t xml:space="preserve">6. </w:t>
      </w:r>
      <w:r w:rsidR="00E64C5A" w:rsidRPr="00C64817">
        <w:t>Monitoring and Evaluation</w:t>
      </w:r>
      <w:bookmarkEnd w:id="19"/>
      <w:r w:rsidR="00E64C5A" w:rsidRPr="00C64817">
        <w:t xml:space="preserve"> </w:t>
      </w:r>
    </w:p>
    <w:p w14:paraId="46A0B9D5" w14:textId="4352B85F" w:rsidR="00E64C5A" w:rsidRPr="00C64817" w:rsidRDefault="00D17C14" w:rsidP="00E64C5A">
      <w:pPr>
        <w:suppressAutoHyphens w:val="0"/>
        <w:spacing w:before="0" w:after="160" w:line="259" w:lineRule="auto"/>
        <w:jc w:val="both"/>
        <w:rPr>
          <w:rFonts w:eastAsia="Calibri Light" w:cstheme="minorHAnsi"/>
          <w:color w:val="auto"/>
          <w:lang w:val="en-AU"/>
        </w:rPr>
      </w:pPr>
      <w:r w:rsidRPr="00407D94">
        <w:rPr>
          <w:rFonts w:eastAsia="Calibri Light" w:cstheme="minorHAnsi"/>
          <w:color w:val="auto"/>
          <w:lang w:val="en-AU"/>
        </w:rPr>
        <w:t>6.1</w:t>
      </w:r>
      <w:r w:rsidRPr="00407D94">
        <w:rPr>
          <w:rFonts w:eastAsia="Calibri Light" w:cstheme="minorHAnsi"/>
          <w:color w:val="auto"/>
          <w:lang w:val="en-AU"/>
        </w:rPr>
        <w:tab/>
      </w:r>
      <w:r w:rsidR="00E64C5A" w:rsidRPr="00407D94">
        <w:rPr>
          <w:rFonts w:eastAsia="Calibri Light" w:cstheme="minorHAnsi"/>
          <w:color w:val="auto"/>
          <w:lang w:val="en-AU"/>
        </w:rPr>
        <w:t xml:space="preserve">Monitoring, Evaluation and Learning (MEL) is expected to </w:t>
      </w:r>
      <w:r w:rsidR="00F56B4A" w:rsidRPr="008A7462">
        <w:rPr>
          <w:rFonts w:eastAsia="Calibri Light" w:cstheme="minorHAnsi"/>
          <w:b/>
          <w:color w:val="auto"/>
          <w:lang w:val="en-AU"/>
        </w:rPr>
        <w:t>support</w:t>
      </w:r>
      <w:r w:rsidR="00F56B4A" w:rsidRPr="00DB3C73">
        <w:rPr>
          <w:rFonts w:eastAsia="Calibri Light" w:cstheme="minorHAnsi"/>
          <w:b/>
          <w:color w:val="auto"/>
          <w:lang w:val="en-AU"/>
        </w:rPr>
        <w:t xml:space="preserve"> </w:t>
      </w:r>
      <w:r w:rsidR="00E64C5A" w:rsidRPr="002D2AA8">
        <w:rPr>
          <w:rFonts w:eastAsia="Calibri Light" w:cstheme="minorHAnsi"/>
          <w:b/>
          <w:color w:val="auto"/>
          <w:lang w:val="en-AU"/>
        </w:rPr>
        <w:t>accountability and demonstrate the effectiveness of program delivery and results</w:t>
      </w:r>
      <w:r w:rsidR="00E64C5A" w:rsidRPr="00F44628">
        <w:rPr>
          <w:rFonts w:eastAsia="Calibri Light" w:cstheme="minorHAnsi"/>
          <w:color w:val="auto"/>
          <w:lang w:val="en-AU"/>
        </w:rPr>
        <w:t xml:space="preserve">. In particular, the MEL Framework (MELF) will address the </w:t>
      </w:r>
      <w:r w:rsidR="00E64C5A" w:rsidRPr="00C64817">
        <w:rPr>
          <w:rFonts w:eastAsia="Calibri Light" w:cstheme="minorHAnsi"/>
          <w:color w:val="auto"/>
          <w:lang w:val="en-AU"/>
        </w:rPr>
        <w:t>challenges of aggregating data across different countries to provide results for the region as a whole, achieve an appropriate balance between quantitative and qualitative data that does not overly burden program staff, and use information as evidence for ongoing program improvement. The program team and partner capacity to provide high-quality data will require ongoing and targeted support. A strong learning culture for the program should be established and reinforced through practical utilisation of MEL data.</w:t>
      </w:r>
    </w:p>
    <w:p w14:paraId="1F05EFA8" w14:textId="2F88153D" w:rsidR="00E64C5A" w:rsidRPr="00C64817" w:rsidRDefault="00706D88" w:rsidP="00E64C5A">
      <w:pPr>
        <w:suppressAutoHyphens w:val="0"/>
        <w:spacing w:before="0" w:after="160" w:line="259" w:lineRule="auto"/>
        <w:jc w:val="both"/>
        <w:rPr>
          <w:rFonts w:eastAsia="Calibri Light" w:cstheme="minorHAnsi"/>
          <w:color w:val="auto"/>
          <w:lang w:val="en-AU"/>
        </w:rPr>
      </w:pPr>
      <w:r w:rsidRPr="00C64817">
        <w:rPr>
          <w:rFonts w:eastAsia="Calibri Light" w:cstheme="minorHAnsi"/>
          <w:color w:val="auto"/>
          <w:lang w:val="en-AU"/>
        </w:rPr>
        <w:t>6.2</w:t>
      </w:r>
      <w:r w:rsidRPr="00C64817">
        <w:rPr>
          <w:rFonts w:eastAsia="Calibri Light" w:cstheme="minorHAnsi"/>
          <w:color w:val="auto"/>
          <w:lang w:val="en-AU"/>
        </w:rPr>
        <w:tab/>
      </w:r>
      <w:r w:rsidR="00E64C5A" w:rsidRPr="00C64817">
        <w:rPr>
          <w:rFonts w:eastAsia="Calibri Light" w:cstheme="minorHAnsi"/>
          <w:color w:val="auto"/>
          <w:lang w:val="en-AU"/>
        </w:rPr>
        <w:t xml:space="preserve">There are </w:t>
      </w:r>
      <w:r w:rsidR="00E64C5A" w:rsidRPr="00C64817">
        <w:rPr>
          <w:rFonts w:eastAsia="Calibri Light" w:cstheme="minorHAnsi"/>
          <w:b/>
          <w:color w:val="auto"/>
          <w:lang w:val="en-AU"/>
        </w:rPr>
        <w:t>three main objectives for the ‘Pacific Women Lead’ program MELF</w:t>
      </w:r>
      <w:r w:rsidR="00E64C5A" w:rsidRPr="00C64817">
        <w:rPr>
          <w:rFonts w:eastAsia="Calibri Light" w:cstheme="minorHAnsi"/>
          <w:color w:val="auto"/>
          <w:lang w:val="en-AU"/>
        </w:rPr>
        <w:t>:</w:t>
      </w:r>
    </w:p>
    <w:p w14:paraId="41C7BA40" w14:textId="77777777" w:rsidR="00E64C5A" w:rsidRPr="00C64817" w:rsidRDefault="00E64C5A" w:rsidP="003C0072">
      <w:pPr>
        <w:numPr>
          <w:ilvl w:val="0"/>
          <w:numId w:val="17"/>
        </w:numPr>
        <w:suppressAutoHyphens w:val="0"/>
        <w:spacing w:before="0" w:after="160" w:line="259" w:lineRule="auto"/>
        <w:contextualSpacing/>
        <w:jc w:val="both"/>
        <w:rPr>
          <w:rFonts w:eastAsia="Calibri Light" w:cstheme="minorHAnsi"/>
          <w:color w:val="auto"/>
          <w:lang w:val="en-AU"/>
        </w:rPr>
      </w:pPr>
      <w:r w:rsidRPr="00C64817">
        <w:rPr>
          <w:rFonts w:eastAsia="Calibri Light" w:cstheme="minorHAnsi"/>
          <w:color w:val="auto"/>
          <w:lang w:val="en-AU"/>
        </w:rPr>
        <w:t xml:space="preserve">To </w:t>
      </w:r>
      <w:r w:rsidRPr="00C64817">
        <w:rPr>
          <w:rFonts w:eastAsia="Calibri Light" w:cstheme="minorHAnsi"/>
          <w:i/>
          <w:color w:val="auto"/>
          <w:lang w:val="en-AU"/>
        </w:rPr>
        <w:t>support learning and decision making</w:t>
      </w:r>
      <w:r w:rsidRPr="00C64817">
        <w:rPr>
          <w:rFonts w:eastAsia="Calibri Light" w:cstheme="minorHAnsi"/>
          <w:color w:val="auto"/>
          <w:lang w:val="en-AU"/>
        </w:rPr>
        <w:t xml:space="preserve"> for the improvement of the program and strengthening overall impact.  </w:t>
      </w:r>
    </w:p>
    <w:p w14:paraId="26410843" w14:textId="439F53BE" w:rsidR="00E64C5A" w:rsidRPr="00C64817" w:rsidRDefault="00E64C5A" w:rsidP="003C0072">
      <w:pPr>
        <w:numPr>
          <w:ilvl w:val="0"/>
          <w:numId w:val="17"/>
        </w:numPr>
        <w:suppressAutoHyphens w:val="0"/>
        <w:spacing w:before="0" w:after="160" w:line="259" w:lineRule="auto"/>
        <w:contextualSpacing/>
        <w:jc w:val="both"/>
        <w:rPr>
          <w:rFonts w:eastAsia="Calibri Light" w:cstheme="minorHAnsi"/>
          <w:color w:val="auto"/>
          <w:lang w:val="en-AU"/>
        </w:rPr>
      </w:pPr>
      <w:r w:rsidRPr="00C64817">
        <w:rPr>
          <w:rFonts w:eastAsia="Calibri Light" w:cstheme="minorHAnsi"/>
          <w:color w:val="auto"/>
          <w:lang w:val="en-AU"/>
        </w:rPr>
        <w:t xml:space="preserve">To </w:t>
      </w:r>
      <w:r w:rsidRPr="00C64817">
        <w:rPr>
          <w:rFonts w:eastAsia="Calibri Light" w:cstheme="minorHAnsi"/>
          <w:i/>
          <w:color w:val="auto"/>
          <w:lang w:val="en-AU"/>
        </w:rPr>
        <w:t>generate evidence and information</w:t>
      </w:r>
      <w:r w:rsidRPr="00C64817">
        <w:rPr>
          <w:rFonts w:eastAsia="Calibri Light" w:cstheme="minorHAnsi"/>
          <w:color w:val="auto"/>
          <w:lang w:val="en-AU"/>
        </w:rPr>
        <w:t xml:space="preserve"> that supports the program theory of change and can be communicated to influence program </w:t>
      </w:r>
      <w:r w:rsidR="000220F0" w:rsidRPr="00C64817">
        <w:rPr>
          <w:rFonts w:eastAsia="Calibri Light" w:cstheme="minorHAnsi"/>
          <w:color w:val="auto"/>
          <w:lang w:val="en-AU"/>
        </w:rPr>
        <w:t>stakeholders.</w:t>
      </w:r>
    </w:p>
    <w:p w14:paraId="27E6B21B" w14:textId="77777777" w:rsidR="00E64C5A" w:rsidRPr="00C64817" w:rsidRDefault="00E64C5A" w:rsidP="003C0072">
      <w:pPr>
        <w:numPr>
          <w:ilvl w:val="0"/>
          <w:numId w:val="17"/>
        </w:numPr>
        <w:suppressAutoHyphens w:val="0"/>
        <w:spacing w:before="0" w:after="160" w:line="259" w:lineRule="auto"/>
        <w:contextualSpacing/>
        <w:jc w:val="both"/>
        <w:rPr>
          <w:rFonts w:eastAsia="Calibri Light" w:cstheme="minorHAnsi"/>
          <w:color w:val="auto"/>
          <w:lang w:val="en-AU"/>
        </w:rPr>
      </w:pPr>
      <w:r w:rsidRPr="00C64817">
        <w:rPr>
          <w:rFonts w:eastAsia="Calibri Light" w:cstheme="minorHAnsi"/>
          <w:color w:val="auto"/>
          <w:lang w:val="en-AU"/>
        </w:rPr>
        <w:t xml:space="preserve">To </w:t>
      </w:r>
      <w:r w:rsidRPr="00C64817">
        <w:rPr>
          <w:rFonts w:eastAsia="Calibri Light" w:cstheme="minorHAnsi"/>
          <w:i/>
          <w:color w:val="auto"/>
          <w:lang w:val="en-AU"/>
        </w:rPr>
        <w:t>ensure accountability</w:t>
      </w:r>
      <w:r w:rsidRPr="00C64817">
        <w:rPr>
          <w:rFonts w:eastAsia="Calibri Light" w:cstheme="minorHAnsi"/>
          <w:color w:val="auto"/>
          <w:lang w:val="en-AU"/>
        </w:rPr>
        <w:t xml:space="preserve"> of the program to all program partners and stakeholders, including Australian taxpayers and the people of the Pacific.</w:t>
      </w:r>
    </w:p>
    <w:p w14:paraId="584B7F63" w14:textId="77777777" w:rsidR="00E64C5A" w:rsidRPr="00C64817" w:rsidRDefault="00E64C5A" w:rsidP="00E64C5A">
      <w:pPr>
        <w:suppressAutoHyphens w:val="0"/>
        <w:spacing w:before="0" w:after="160" w:line="259" w:lineRule="auto"/>
        <w:ind w:left="720"/>
        <w:contextualSpacing/>
        <w:jc w:val="both"/>
        <w:rPr>
          <w:rFonts w:eastAsia="Calibri Light" w:cstheme="minorHAnsi"/>
          <w:color w:val="auto"/>
          <w:lang w:val="en-AU"/>
        </w:rPr>
      </w:pPr>
    </w:p>
    <w:p w14:paraId="6362E10A" w14:textId="3B583A3C" w:rsidR="00E64C5A" w:rsidRPr="00F44628" w:rsidRDefault="00706D88" w:rsidP="00E64C5A">
      <w:pPr>
        <w:suppressAutoHyphens w:val="0"/>
        <w:spacing w:before="0" w:after="160" w:line="259" w:lineRule="auto"/>
        <w:jc w:val="both"/>
        <w:rPr>
          <w:rFonts w:eastAsia="Calibri Light" w:cstheme="minorHAnsi"/>
          <w:color w:val="auto"/>
          <w:lang w:val="en-AU"/>
        </w:rPr>
      </w:pPr>
      <w:r w:rsidRPr="00C64817">
        <w:rPr>
          <w:rFonts w:eastAsia="Calibri Light" w:cstheme="minorHAnsi"/>
          <w:color w:val="auto"/>
          <w:lang w:val="en-AU"/>
        </w:rPr>
        <w:t>6.3</w:t>
      </w:r>
      <w:r w:rsidRPr="00C64817">
        <w:rPr>
          <w:rFonts w:eastAsia="Calibri Light" w:cstheme="minorHAnsi"/>
          <w:color w:val="auto"/>
          <w:lang w:val="en-AU"/>
        </w:rPr>
        <w:tab/>
      </w:r>
      <w:r w:rsidR="00E64C5A" w:rsidRPr="00C64817">
        <w:rPr>
          <w:rFonts w:eastAsia="Calibri Light" w:cstheme="minorHAnsi"/>
          <w:color w:val="auto"/>
          <w:lang w:val="en-AU"/>
        </w:rPr>
        <w:t xml:space="preserve">The primary users of the MEL information will be the SPC, DFAT </w:t>
      </w:r>
      <w:r w:rsidR="001B3C85">
        <w:rPr>
          <w:rFonts w:eastAsia="Calibri Light" w:cstheme="minorHAnsi"/>
          <w:color w:val="auto"/>
          <w:lang w:val="en-AU"/>
        </w:rPr>
        <w:t>and</w:t>
      </w:r>
      <w:r w:rsidR="00E64C5A" w:rsidRPr="00C64817">
        <w:rPr>
          <w:rFonts w:eastAsia="Calibri Light" w:cstheme="minorHAnsi"/>
          <w:color w:val="auto"/>
          <w:lang w:val="en-AU"/>
        </w:rPr>
        <w:t xml:space="preserve"> Pacific Island Countries</w:t>
      </w:r>
      <w:r w:rsidR="00F66C54">
        <w:rPr>
          <w:rFonts w:eastAsia="Calibri Light" w:cstheme="minorHAnsi"/>
          <w:color w:val="auto"/>
          <w:lang w:val="en-AU"/>
        </w:rPr>
        <w:t xml:space="preserve"> </w:t>
      </w:r>
      <w:r w:rsidR="001B3C85" w:rsidRPr="00C313F7">
        <w:rPr>
          <w:rFonts w:eastAsia="Calibri Light" w:cstheme="minorHAnsi"/>
          <w:color w:val="auto"/>
          <w:lang w:val="en-AU"/>
        </w:rPr>
        <w:t>and the Governance Board</w:t>
      </w:r>
      <w:r w:rsidR="00E64C5A" w:rsidRPr="00407D94">
        <w:rPr>
          <w:rFonts w:eastAsia="Calibri Light" w:cstheme="minorHAnsi"/>
          <w:color w:val="auto"/>
          <w:lang w:val="en-AU"/>
        </w:rPr>
        <w:t>. Other users include regional and national stakeholders engaged to implement specific aspects of program implementation. Secondary us</w:t>
      </w:r>
      <w:r w:rsidR="00E64C5A" w:rsidRPr="008A7462">
        <w:rPr>
          <w:rFonts w:eastAsia="Calibri Light" w:cstheme="minorHAnsi"/>
          <w:color w:val="auto"/>
          <w:lang w:val="en-AU"/>
        </w:rPr>
        <w:t>ers will be the national and subnational government stakeholders in the Pacific, relevant GEDSI professionals, and other DFAT staff who wish to be informed about progress and results.</w:t>
      </w:r>
    </w:p>
    <w:p w14:paraId="636021EF" w14:textId="3DB9879E" w:rsidR="00E64C5A" w:rsidRPr="00C64817" w:rsidRDefault="00706D88" w:rsidP="00E64C5A">
      <w:pPr>
        <w:suppressAutoHyphens w:val="0"/>
        <w:spacing w:before="0" w:after="160" w:line="259" w:lineRule="auto"/>
        <w:jc w:val="both"/>
        <w:rPr>
          <w:rFonts w:eastAsia="Calibri Light" w:cstheme="minorHAnsi"/>
          <w:color w:val="auto"/>
          <w:lang w:val="en-AU"/>
        </w:rPr>
      </w:pPr>
      <w:r w:rsidRPr="00C64817">
        <w:rPr>
          <w:rFonts w:eastAsia="Calibri Light" w:cstheme="minorHAnsi"/>
          <w:bCs/>
          <w:color w:val="auto"/>
          <w:lang w:val="en-AU"/>
        </w:rPr>
        <w:t>6.4</w:t>
      </w:r>
      <w:r w:rsidRPr="00C64817">
        <w:rPr>
          <w:rFonts w:eastAsia="Calibri Light" w:cstheme="minorHAnsi"/>
          <w:bCs/>
          <w:color w:val="auto"/>
          <w:lang w:val="en-AU"/>
        </w:rPr>
        <w:tab/>
      </w:r>
      <w:r w:rsidR="00E64C5A" w:rsidRPr="00C64817">
        <w:rPr>
          <w:rFonts w:eastAsia="Calibri Light" w:cstheme="minorHAnsi"/>
          <w:b/>
          <w:color w:val="auto"/>
          <w:lang w:val="en-AU"/>
        </w:rPr>
        <w:t xml:space="preserve">The MEL Framework for this project will measure progress towards the project outcomes by articulating the methods and timing for capturing relevant </w:t>
      </w:r>
      <w:proofErr w:type="gramStart"/>
      <w:r w:rsidR="00E64C5A" w:rsidRPr="00C64817">
        <w:rPr>
          <w:rFonts w:eastAsia="Calibri Light" w:cstheme="minorHAnsi"/>
          <w:b/>
          <w:color w:val="auto"/>
          <w:lang w:val="en-AU"/>
        </w:rPr>
        <w:t>data</w:t>
      </w:r>
      <w:r w:rsidR="00A653CE" w:rsidRPr="00C64817">
        <w:rPr>
          <w:rFonts w:eastAsia="Calibri Light" w:cstheme="minorHAnsi"/>
          <w:b/>
          <w:color w:val="auto"/>
          <w:lang w:val="en-AU"/>
        </w:rPr>
        <w:t>, and</w:t>
      </w:r>
      <w:proofErr w:type="gramEnd"/>
      <w:r w:rsidR="00A653CE" w:rsidRPr="00C64817">
        <w:rPr>
          <w:rFonts w:eastAsia="Calibri Light" w:cstheme="minorHAnsi"/>
          <w:b/>
          <w:color w:val="auto"/>
          <w:lang w:val="en-AU"/>
        </w:rPr>
        <w:t xml:space="preserve"> will be used to guide the </w:t>
      </w:r>
      <w:r w:rsidR="00501E27" w:rsidRPr="00C64817">
        <w:rPr>
          <w:rFonts w:eastAsia="Calibri Light" w:cstheme="minorHAnsi"/>
          <w:b/>
          <w:color w:val="auto"/>
          <w:lang w:val="en-AU"/>
        </w:rPr>
        <w:t>development</w:t>
      </w:r>
      <w:r w:rsidR="00A653CE" w:rsidRPr="00C64817">
        <w:rPr>
          <w:rFonts w:eastAsia="Calibri Light" w:cstheme="minorHAnsi"/>
          <w:b/>
          <w:color w:val="auto"/>
          <w:lang w:val="en-AU"/>
        </w:rPr>
        <w:t xml:space="preserve"> of a detailed MEL Plan </w:t>
      </w:r>
      <w:r w:rsidR="00501E27" w:rsidRPr="00C64817">
        <w:rPr>
          <w:rFonts w:eastAsia="Calibri Light" w:cstheme="minorHAnsi"/>
          <w:b/>
          <w:color w:val="auto"/>
          <w:lang w:val="en-AU"/>
        </w:rPr>
        <w:t>in the transition phase</w:t>
      </w:r>
      <w:r w:rsidR="00E64C5A" w:rsidRPr="00C64817">
        <w:rPr>
          <w:rFonts w:eastAsia="Calibri Light" w:cstheme="minorHAnsi"/>
          <w:color w:val="auto"/>
          <w:lang w:val="en-AU"/>
        </w:rPr>
        <w:t xml:space="preserve">. The MELF covers the five-year period of the program and will be updated annually to reflect any changes in the program approach. It has been designed to align with DFAT’s Monitoring and Evaluation Standards and incorporates lessons learned on monitoring and evaluation from the </w:t>
      </w:r>
      <w:r w:rsidR="00E64C5A" w:rsidRPr="00C64817">
        <w:rPr>
          <w:rFonts w:eastAsia="Calibri Light" w:cstheme="minorHAnsi"/>
          <w:i/>
          <w:iCs/>
          <w:color w:val="auto"/>
          <w:lang w:val="en-AU"/>
        </w:rPr>
        <w:t>Pacific Women Shaping Pacific Development</w:t>
      </w:r>
      <w:r w:rsidR="00E64C5A" w:rsidRPr="00C64817">
        <w:rPr>
          <w:rFonts w:eastAsia="Calibri Light" w:cstheme="minorHAnsi"/>
          <w:color w:val="auto"/>
          <w:lang w:val="en-AU"/>
        </w:rPr>
        <w:t xml:space="preserve"> program. </w:t>
      </w:r>
    </w:p>
    <w:p w14:paraId="7A02BDD7" w14:textId="1C0C3AF4" w:rsidR="00E64C5A" w:rsidRPr="00C64817" w:rsidRDefault="00706D88" w:rsidP="00E64C5A">
      <w:pPr>
        <w:suppressAutoHyphens w:val="0"/>
        <w:spacing w:before="0" w:after="160" w:line="259" w:lineRule="auto"/>
        <w:jc w:val="both"/>
        <w:rPr>
          <w:rFonts w:eastAsia="Calibri Light" w:cstheme="minorHAnsi"/>
          <w:color w:val="auto"/>
          <w:lang w:val="en-AU"/>
        </w:rPr>
      </w:pPr>
      <w:r w:rsidRPr="00C64817">
        <w:rPr>
          <w:rFonts w:eastAsia="Calibri Light" w:cstheme="minorHAnsi"/>
          <w:color w:val="auto"/>
          <w:lang w:val="en-AU"/>
        </w:rPr>
        <w:lastRenderedPageBreak/>
        <w:t>6.5</w:t>
      </w:r>
      <w:r w:rsidRPr="00C64817">
        <w:rPr>
          <w:rFonts w:eastAsia="Calibri Light" w:cstheme="minorHAnsi"/>
          <w:color w:val="auto"/>
          <w:lang w:val="en-AU"/>
        </w:rPr>
        <w:tab/>
      </w:r>
      <w:r w:rsidR="00E64C5A" w:rsidRPr="00C64817">
        <w:rPr>
          <w:rFonts w:eastAsia="Calibri Light" w:cstheme="minorHAnsi"/>
          <w:color w:val="auto"/>
          <w:lang w:val="en-AU"/>
        </w:rPr>
        <w:t>The MELF has been developed with the following characteristics in mind:</w:t>
      </w:r>
    </w:p>
    <w:p w14:paraId="5639D026" w14:textId="77777777" w:rsidR="00E64C5A" w:rsidRPr="00C64817" w:rsidRDefault="00E64C5A" w:rsidP="003C0072">
      <w:pPr>
        <w:numPr>
          <w:ilvl w:val="0"/>
          <w:numId w:val="18"/>
        </w:numPr>
        <w:suppressAutoHyphens w:val="0"/>
        <w:spacing w:before="0" w:after="160" w:line="259" w:lineRule="auto"/>
        <w:jc w:val="both"/>
        <w:rPr>
          <w:rFonts w:eastAsia="Calibri Light" w:cstheme="minorHAnsi"/>
          <w:color w:val="auto"/>
          <w:lang w:val="en-AU"/>
        </w:rPr>
      </w:pPr>
      <w:r w:rsidRPr="00C64817">
        <w:rPr>
          <w:rFonts w:eastAsia="Calibri Light" w:cstheme="minorHAnsi"/>
          <w:b/>
          <w:color w:val="auto"/>
          <w:lang w:val="en-AU"/>
        </w:rPr>
        <w:t>Flexible and adaptable:</w:t>
      </w:r>
      <w:r w:rsidRPr="00C64817">
        <w:rPr>
          <w:rFonts w:eastAsia="Calibri Light" w:cstheme="minorHAnsi"/>
          <w:color w:val="auto"/>
          <w:lang w:val="en-AU"/>
        </w:rPr>
        <w:t xml:space="preserve"> Monitoring and evaluation methods and tools will be flexible to respond to local contextual factors, particular in the early phase of implementation where remote or third-party MEL may be required. </w:t>
      </w:r>
    </w:p>
    <w:p w14:paraId="02F32324" w14:textId="77777777" w:rsidR="00E64C5A" w:rsidRPr="00C64817" w:rsidRDefault="00E64C5A" w:rsidP="003C0072">
      <w:pPr>
        <w:numPr>
          <w:ilvl w:val="0"/>
          <w:numId w:val="18"/>
        </w:numPr>
        <w:suppressAutoHyphens w:val="0"/>
        <w:spacing w:before="0" w:after="160" w:line="259" w:lineRule="auto"/>
        <w:jc w:val="both"/>
        <w:rPr>
          <w:rFonts w:eastAsia="Calibri Light" w:cstheme="minorHAnsi"/>
          <w:color w:val="auto"/>
          <w:lang w:val="en-AU"/>
        </w:rPr>
      </w:pPr>
      <w:r w:rsidRPr="00C64817">
        <w:rPr>
          <w:rFonts w:eastAsia="Calibri Light" w:cstheme="minorHAnsi"/>
          <w:b/>
          <w:color w:val="auto"/>
          <w:lang w:val="en-AU"/>
        </w:rPr>
        <w:t>Emphasis on learning:</w:t>
      </w:r>
      <w:r w:rsidRPr="00C64817">
        <w:rPr>
          <w:rFonts w:eastAsia="Calibri Light" w:cstheme="minorHAnsi"/>
          <w:color w:val="auto"/>
          <w:lang w:val="en-AU"/>
        </w:rPr>
        <w:t xml:space="preserve"> With the commitment by DFAT to ensure authentic Pacific ownership for Pacific Women Lead, there is likely to be significant learning moments during the program. The MELF prioritises the need to internalise and share those lessons learned above any judgement of performance to date. Given this program will begin implementation during a global pandemic, new ways of working will also be tested which require ongoing reflection and adjustment.</w:t>
      </w:r>
    </w:p>
    <w:p w14:paraId="4497CDAE" w14:textId="77777777" w:rsidR="00E64C5A" w:rsidRPr="00C64817" w:rsidRDefault="00E64C5A" w:rsidP="003C0072">
      <w:pPr>
        <w:numPr>
          <w:ilvl w:val="0"/>
          <w:numId w:val="18"/>
        </w:numPr>
        <w:suppressAutoHyphens w:val="0"/>
        <w:spacing w:before="0" w:after="160" w:line="259" w:lineRule="auto"/>
        <w:jc w:val="both"/>
        <w:rPr>
          <w:rFonts w:eastAsia="Calibri Light" w:cstheme="minorHAnsi"/>
          <w:color w:val="auto"/>
          <w:lang w:val="en-AU"/>
        </w:rPr>
      </w:pPr>
      <w:r w:rsidRPr="00C64817">
        <w:rPr>
          <w:rFonts w:eastAsia="Calibri Light" w:cstheme="minorHAnsi"/>
          <w:b/>
          <w:color w:val="auto"/>
          <w:lang w:val="en-AU"/>
        </w:rPr>
        <w:t>Mutual accountability:</w:t>
      </w:r>
      <w:r w:rsidRPr="00C64817">
        <w:rPr>
          <w:rFonts w:eastAsia="Calibri Light" w:cstheme="minorHAnsi"/>
          <w:color w:val="auto"/>
          <w:lang w:val="en-AU"/>
        </w:rPr>
        <w:t xml:space="preserve"> Ensuring there is mutual accountability between DFAT and implementing partners, as well as to Australian taxpayers and people in the Pacific, the MELF will capture information that demonstrates the quality of the investment and value for money.</w:t>
      </w:r>
    </w:p>
    <w:p w14:paraId="0EBA6F7F" w14:textId="77777777" w:rsidR="00E64C5A" w:rsidRPr="00C64817" w:rsidRDefault="00E64C5A" w:rsidP="003C0072">
      <w:pPr>
        <w:numPr>
          <w:ilvl w:val="0"/>
          <w:numId w:val="18"/>
        </w:numPr>
        <w:suppressAutoHyphens w:val="0"/>
        <w:spacing w:before="0" w:after="160" w:line="259" w:lineRule="auto"/>
        <w:jc w:val="both"/>
        <w:rPr>
          <w:rFonts w:eastAsia="Calibri Light" w:cstheme="minorHAnsi"/>
          <w:color w:val="auto"/>
          <w:lang w:val="en-AU"/>
        </w:rPr>
      </w:pPr>
      <w:r w:rsidRPr="00C64817">
        <w:rPr>
          <w:rFonts w:eastAsia="Calibri Light" w:cstheme="minorHAnsi"/>
          <w:b/>
          <w:color w:val="auto"/>
          <w:lang w:val="en-AU"/>
        </w:rPr>
        <w:t>Focus on outcomes over outputs:</w:t>
      </w:r>
      <w:r w:rsidRPr="00C64817">
        <w:rPr>
          <w:rFonts w:eastAsia="Calibri Light" w:cstheme="minorHAnsi"/>
          <w:color w:val="auto"/>
          <w:lang w:val="en-AU"/>
        </w:rPr>
        <w:t xml:space="preserve"> With regional investments it can be simple to focus on the outputs and overlook the outcomes and impact that is trying to be achieved on a broader scale. The MELF strengthens the focus on measuring and communicating outcomes of the program rather than outputs, recognising that data on both will need to be collected.</w:t>
      </w:r>
    </w:p>
    <w:p w14:paraId="2154191B" w14:textId="0A734E94" w:rsidR="00E64C5A" w:rsidRPr="00C64817" w:rsidRDefault="00E64C5A" w:rsidP="003C0072">
      <w:pPr>
        <w:numPr>
          <w:ilvl w:val="0"/>
          <w:numId w:val="18"/>
        </w:numPr>
        <w:suppressAutoHyphens w:val="0"/>
        <w:spacing w:before="0" w:after="160" w:line="259" w:lineRule="auto"/>
        <w:jc w:val="both"/>
        <w:rPr>
          <w:rFonts w:eastAsia="Calibri Light" w:cstheme="minorHAnsi"/>
          <w:color w:val="auto"/>
          <w:lang w:val="en-AU"/>
        </w:rPr>
      </w:pPr>
      <w:r w:rsidRPr="00C64817">
        <w:rPr>
          <w:rFonts w:eastAsia="Calibri Light" w:cstheme="minorHAnsi"/>
          <w:b/>
          <w:color w:val="auto"/>
          <w:lang w:val="en-AU"/>
        </w:rPr>
        <w:t>Promoting equality and inclusion:</w:t>
      </w:r>
      <w:r w:rsidRPr="00C64817">
        <w:rPr>
          <w:rFonts w:eastAsia="Calibri Light" w:cstheme="minorHAnsi"/>
          <w:color w:val="auto"/>
          <w:lang w:val="en-AU"/>
        </w:rPr>
        <w:t xml:space="preserve"> </w:t>
      </w:r>
      <w:r w:rsidR="00293DC1" w:rsidRPr="00C313F7">
        <w:rPr>
          <w:rFonts w:eastAsia="Calibri Light" w:cstheme="minorHAnsi"/>
          <w:color w:val="auto"/>
        </w:rPr>
        <w:t xml:space="preserve">The MELF will contribute to the program’s commitment on gender equality, and inclusion of a diversity of participants through delivering accessible, </w:t>
      </w:r>
      <w:proofErr w:type="gramStart"/>
      <w:r w:rsidR="00293DC1" w:rsidRPr="00C313F7">
        <w:rPr>
          <w:rFonts w:eastAsia="Calibri Light" w:cstheme="minorHAnsi"/>
          <w:color w:val="auto"/>
        </w:rPr>
        <w:t>inclusive</w:t>
      </w:r>
      <w:proofErr w:type="gramEnd"/>
      <w:r w:rsidR="00293DC1" w:rsidRPr="00C313F7">
        <w:rPr>
          <w:rFonts w:eastAsia="Calibri Light" w:cstheme="minorHAnsi"/>
          <w:color w:val="auto"/>
        </w:rPr>
        <w:t xml:space="preserve"> and culturally safe and sensitive processes, that further equality and inclusion.  </w:t>
      </w:r>
    </w:p>
    <w:p w14:paraId="3253DC9A" w14:textId="59E70CD8" w:rsidR="00E64C5A" w:rsidRPr="00F328DA" w:rsidRDefault="00E64C5A" w:rsidP="00F328DA">
      <w:pPr>
        <w:pStyle w:val="Heading2"/>
        <w:rPr>
          <w:sz w:val="36"/>
          <w:szCs w:val="24"/>
          <w:lang w:val="en-AU"/>
        </w:rPr>
      </w:pPr>
      <w:bookmarkStart w:id="20" w:name="_Toc75535894"/>
      <w:r w:rsidRPr="00F328DA">
        <w:rPr>
          <w:sz w:val="36"/>
          <w:szCs w:val="24"/>
          <w:lang w:val="en-AU"/>
        </w:rPr>
        <w:t>Key Evaluation Questions</w:t>
      </w:r>
      <w:bookmarkEnd w:id="20"/>
    </w:p>
    <w:p w14:paraId="5642D7D6" w14:textId="2120EB60" w:rsidR="00E64C5A" w:rsidRPr="00C12DD5" w:rsidRDefault="00D952A5" w:rsidP="00E64C5A">
      <w:pPr>
        <w:suppressAutoHyphens w:val="0"/>
        <w:spacing w:before="0" w:after="160" w:line="259" w:lineRule="auto"/>
        <w:jc w:val="both"/>
        <w:rPr>
          <w:rFonts w:eastAsia="Calibri Light" w:cstheme="minorHAnsi"/>
          <w:color w:val="auto"/>
          <w:lang w:val="en-AU"/>
        </w:rPr>
      </w:pPr>
      <w:r w:rsidRPr="00C64817">
        <w:rPr>
          <w:rFonts w:eastAsia="Calibri Light" w:cstheme="minorHAnsi"/>
          <w:bCs/>
          <w:color w:val="auto"/>
          <w:lang w:val="en-AU"/>
        </w:rPr>
        <w:t>6.6</w:t>
      </w:r>
      <w:r w:rsidRPr="00C64817">
        <w:rPr>
          <w:rFonts w:eastAsia="Calibri Light" w:cstheme="minorHAnsi"/>
          <w:bCs/>
          <w:color w:val="auto"/>
          <w:lang w:val="en-AU"/>
        </w:rPr>
        <w:tab/>
      </w:r>
      <w:r w:rsidR="00E64C5A" w:rsidRPr="00C64817">
        <w:rPr>
          <w:rFonts w:eastAsia="Calibri Light" w:cstheme="minorHAnsi"/>
          <w:b/>
          <w:color w:val="auto"/>
          <w:lang w:val="en-AU"/>
        </w:rPr>
        <w:t xml:space="preserve">A set of key evaluation questions have been developed for assessing the overall performance of the </w:t>
      </w:r>
      <w:r w:rsidR="00F465B3" w:rsidRPr="00C64817">
        <w:rPr>
          <w:rFonts w:eastAsia="Calibri Light" w:cstheme="minorHAnsi"/>
          <w:b/>
          <w:color w:val="auto"/>
          <w:lang w:val="en-AU"/>
        </w:rPr>
        <w:t>Pacific Women Lead</w:t>
      </w:r>
      <w:r w:rsidR="00E64C5A" w:rsidRPr="00C64817">
        <w:rPr>
          <w:rFonts w:eastAsia="Calibri Light" w:cstheme="minorHAnsi"/>
          <w:b/>
          <w:color w:val="auto"/>
          <w:lang w:val="en-AU"/>
        </w:rPr>
        <w:t xml:space="preserve"> program.</w:t>
      </w:r>
      <w:r w:rsidR="00E64C5A" w:rsidRPr="00C64817">
        <w:rPr>
          <w:rFonts w:eastAsia="Calibri Light" w:cstheme="minorHAnsi"/>
          <w:color w:val="auto"/>
          <w:lang w:val="en-AU"/>
        </w:rPr>
        <w:t xml:space="preserve"> </w:t>
      </w:r>
      <w:r w:rsidR="00E64C5A" w:rsidRPr="001B3C85">
        <w:rPr>
          <w:rFonts w:eastAsia="Calibri Light" w:cstheme="minorHAnsi"/>
          <w:color w:val="auto"/>
          <w:lang w:val="en-AU"/>
        </w:rPr>
        <w:t>These questions are based on the Organisation for Economic Co-operation and Development – Development Assistance Committee’s (OEC</w:t>
      </w:r>
      <w:r w:rsidR="00E64C5A" w:rsidRPr="00DD1B07">
        <w:rPr>
          <w:rFonts w:eastAsia="Calibri Light" w:cstheme="minorHAnsi"/>
          <w:color w:val="auto"/>
          <w:lang w:val="en-AU"/>
        </w:rPr>
        <w:t xml:space="preserve">D-DAC) criteria, to which DFAT and other bilateral donors subscribe, </w:t>
      </w:r>
      <w:r w:rsidR="00213405" w:rsidRPr="003F2735">
        <w:rPr>
          <w:rFonts w:eastAsia="Calibri Light" w:cstheme="minorHAnsi"/>
          <w:color w:val="auto"/>
          <w:lang w:val="en-AU"/>
        </w:rPr>
        <w:t>and</w:t>
      </w:r>
      <w:r w:rsidR="00E64C5A" w:rsidRPr="003F2735">
        <w:rPr>
          <w:rFonts w:eastAsia="Calibri Light" w:cstheme="minorHAnsi"/>
          <w:color w:val="auto"/>
          <w:lang w:val="en-AU"/>
        </w:rPr>
        <w:t xml:space="preserve"> align with DFAT’s investment performance criteria. </w:t>
      </w:r>
    </w:p>
    <w:p w14:paraId="5D5F090D" w14:textId="4CF61CE7" w:rsidR="00E64C5A" w:rsidRPr="00EB58B8" w:rsidRDefault="00D952A5" w:rsidP="00E64C5A">
      <w:pPr>
        <w:suppressAutoHyphens w:val="0"/>
        <w:spacing w:before="0" w:after="160" w:line="259" w:lineRule="auto"/>
        <w:jc w:val="both"/>
        <w:rPr>
          <w:rFonts w:eastAsia="Calibri Light" w:cstheme="minorHAnsi"/>
          <w:color w:val="auto"/>
          <w:lang w:val="en-AU"/>
        </w:rPr>
      </w:pPr>
      <w:r w:rsidRPr="00C12DD5">
        <w:rPr>
          <w:rFonts w:eastAsia="Calibri Light" w:cstheme="minorHAnsi"/>
          <w:color w:val="auto"/>
          <w:lang w:val="en-AU"/>
        </w:rPr>
        <w:t>6.7</w:t>
      </w:r>
      <w:r w:rsidRPr="00C12DD5">
        <w:rPr>
          <w:rFonts w:eastAsia="Calibri Light" w:cstheme="minorHAnsi"/>
          <w:color w:val="auto"/>
          <w:lang w:val="en-AU"/>
        </w:rPr>
        <w:tab/>
      </w:r>
      <w:r w:rsidR="00E64C5A" w:rsidRPr="001B40B1">
        <w:rPr>
          <w:rFonts w:eastAsia="Calibri Light" w:cstheme="minorHAnsi"/>
          <w:color w:val="auto"/>
          <w:lang w:val="en-AU"/>
        </w:rPr>
        <w:t xml:space="preserve">The criteria for MEL include relevance, efficiency, effectiveness, sustainability, management of risk, </w:t>
      </w:r>
      <w:proofErr w:type="gramStart"/>
      <w:r w:rsidR="00E64C5A" w:rsidRPr="00461F64">
        <w:rPr>
          <w:rFonts w:eastAsia="Calibri Light" w:cstheme="minorHAnsi"/>
          <w:color w:val="auto"/>
          <w:lang w:val="en-AU"/>
        </w:rPr>
        <w:t>innovation</w:t>
      </w:r>
      <w:proofErr w:type="gramEnd"/>
      <w:r w:rsidR="00E64C5A" w:rsidRPr="00461F64">
        <w:rPr>
          <w:rFonts w:eastAsia="Calibri Light" w:cstheme="minorHAnsi"/>
          <w:color w:val="auto"/>
          <w:lang w:val="en-AU"/>
        </w:rPr>
        <w:t xml:space="preserve"> and private s</w:t>
      </w:r>
      <w:r w:rsidR="00E64C5A" w:rsidRPr="009A3803">
        <w:rPr>
          <w:rFonts w:eastAsia="Calibri Light" w:cstheme="minorHAnsi"/>
          <w:color w:val="auto"/>
          <w:lang w:val="en-AU"/>
        </w:rPr>
        <w:t>ector engagement.</w:t>
      </w:r>
    </w:p>
    <w:p w14:paraId="21EB2F89" w14:textId="6232AB15" w:rsidR="00E64C5A" w:rsidRPr="001B3C85" w:rsidRDefault="00E64C5A" w:rsidP="003C0072">
      <w:pPr>
        <w:numPr>
          <w:ilvl w:val="0"/>
          <w:numId w:val="19"/>
        </w:numPr>
        <w:suppressAutoHyphens w:val="0"/>
        <w:spacing w:before="0" w:after="160" w:line="259" w:lineRule="auto"/>
        <w:contextualSpacing/>
        <w:jc w:val="both"/>
        <w:rPr>
          <w:rFonts w:eastAsia="Calibri Light" w:cstheme="minorHAnsi"/>
          <w:color w:val="auto"/>
          <w:lang w:val="en-AU"/>
        </w:rPr>
      </w:pPr>
      <w:r w:rsidRPr="001B3C85">
        <w:rPr>
          <w:rFonts w:eastAsia="Calibri Light" w:cstheme="minorHAnsi"/>
          <w:color w:val="auto"/>
          <w:lang w:val="en-AU"/>
        </w:rPr>
        <w:t>Has</w:t>
      </w:r>
      <w:r w:rsidR="00F05792" w:rsidRPr="001B3C85">
        <w:rPr>
          <w:rFonts w:eastAsia="Calibri Light" w:cstheme="minorHAnsi"/>
          <w:color w:val="auto"/>
          <w:lang w:val="en-AU"/>
        </w:rPr>
        <w:t xml:space="preserve"> Pacific Women Lead</w:t>
      </w:r>
      <w:r w:rsidRPr="001B3C85">
        <w:rPr>
          <w:rFonts w:eastAsia="Calibri Light" w:cstheme="minorHAnsi"/>
          <w:color w:val="auto"/>
          <w:lang w:val="en-AU"/>
        </w:rPr>
        <w:t xml:space="preserve"> maintained </w:t>
      </w:r>
      <w:r w:rsidRPr="001B3C85">
        <w:rPr>
          <w:rFonts w:eastAsia="Calibri Light" w:cstheme="minorHAnsi"/>
          <w:i/>
          <w:color w:val="auto"/>
          <w:lang w:val="en-AU"/>
        </w:rPr>
        <w:t>relevance</w:t>
      </w:r>
      <w:r w:rsidRPr="001B3C85">
        <w:rPr>
          <w:rFonts w:eastAsia="Calibri Light" w:cstheme="minorHAnsi"/>
          <w:color w:val="auto"/>
          <w:lang w:val="en-AU"/>
        </w:rPr>
        <w:t xml:space="preserve"> in aligning with Australia’s strategic goals in the region and the priorities of </w:t>
      </w:r>
      <w:r w:rsidR="002A261F" w:rsidRPr="001B3C85">
        <w:rPr>
          <w:rFonts w:eastAsia="Calibri Light" w:cstheme="minorHAnsi"/>
          <w:color w:val="auto"/>
          <w:lang w:val="en-AU"/>
        </w:rPr>
        <w:t>Pacific Island</w:t>
      </w:r>
      <w:r w:rsidRPr="001B3C85">
        <w:rPr>
          <w:rFonts w:eastAsia="Calibri Light" w:cstheme="minorHAnsi"/>
          <w:color w:val="auto"/>
          <w:lang w:val="en-AU"/>
        </w:rPr>
        <w:t xml:space="preserve"> government partners? </w:t>
      </w:r>
    </w:p>
    <w:p w14:paraId="568B5F41" w14:textId="7C01E63E" w:rsidR="00E64C5A" w:rsidRPr="001B3C85" w:rsidRDefault="00E64C5A" w:rsidP="003C0072">
      <w:pPr>
        <w:numPr>
          <w:ilvl w:val="0"/>
          <w:numId w:val="19"/>
        </w:numPr>
        <w:suppressAutoHyphens w:val="0"/>
        <w:spacing w:before="0" w:after="160" w:line="259" w:lineRule="auto"/>
        <w:contextualSpacing/>
        <w:jc w:val="both"/>
        <w:rPr>
          <w:rFonts w:eastAsia="Calibri Light" w:cstheme="minorHAnsi"/>
          <w:color w:val="auto"/>
          <w:lang w:val="en-AU"/>
        </w:rPr>
      </w:pPr>
      <w:r w:rsidRPr="001B3C85">
        <w:rPr>
          <w:rFonts w:eastAsia="Calibri Light" w:cstheme="minorHAnsi"/>
          <w:color w:val="auto"/>
          <w:lang w:val="en-AU"/>
        </w:rPr>
        <w:t xml:space="preserve">How </w:t>
      </w:r>
      <w:r w:rsidRPr="001B3C85">
        <w:rPr>
          <w:rFonts w:eastAsia="Calibri Light" w:cstheme="minorHAnsi"/>
          <w:i/>
          <w:color w:val="auto"/>
          <w:lang w:val="en-AU"/>
        </w:rPr>
        <w:t>effective</w:t>
      </w:r>
      <w:r w:rsidRPr="001B3C85">
        <w:rPr>
          <w:rFonts w:eastAsia="Calibri Light" w:cstheme="minorHAnsi"/>
          <w:color w:val="auto"/>
          <w:lang w:val="en-AU"/>
        </w:rPr>
        <w:t xml:space="preserve"> has </w:t>
      </w:r>
      <w:r w:rsidR="002A261F" w:rsidRPr="001B3C85">
        <w:rPr>
          <w:rFonts w:eastAsia="Calibri Light" w:cstheme="minorHAnsi"/>
          <w:color w:val="auto"/>
          <w:lang w:val="en-AU"/>
        </w:rPr>
        <w:t xml:space="preserve">Pacific Women Lead </w:t>
      </w:r>
      <w:r w:rsidRPr="001B3C85">
        <w:rPr>
          <w:rFonts w:eastAsia="Calibri Light" w:cstheme="minorHAnsi"/>
          <w:color w:val="auto"/>
          <w:lang w:val="en-AU"/>
        </w:rPr>
        <w:t>been in achieving the project outcomes and contributing to improved</w:t>
      </w:r>
      <w:r w:rsidR="002864FF" w:rsidRPr="001B3C85">
        <w:rPr>
          <w:rFonts w:eastAsia="Calibri Light" w:cstheme="minorHAnsi"/>
          <w:color w:val="auto"/>
          <w:lang w:val="en-AU"/>
        </w:rPr>
        <w:t xml:space="preserve"> gender equality and women’s empowerment across the region</w:t>
      </w:r>
      <w:r w:rsidRPr="001B3C85">
        <w:rPr>
          <w:rFonts w:eastAsia="Calibri Light" w:cstheme="minorHAnsi"/>
          <w:color w:val="auto"/>
          <w:lang w:val="en-AU"/>
        </w:rPr>
        <w:t>?</w:t>
      </w:r>
    </w:p>
    <w:p w14:paraId="00BBEFEC" w14:textId="77777777" w:rsidR="00561F9F" w:rsidRPr="00C313F7" w:rsidRDefault="00561F9F" w:rsidP="00561F9F">
      <w:pPr>
        <w:numPr>
          <w:ilvl w:val="0"/>
          <w:numId w:val="19"/>
        </w:numPr>
        <w:suppressAutoHyphens w:val="0"/>
        <w:spacing w:before="0" w:after="160" w:line="259" w:lineRule="auto"/>
        <w:contextualSpacing/>
        <w:jc w:val="both"/>
        <w:rPr>
          <w:rFonts w:eastAsia="Calibri Light" w:cstheme="minorHAnsi"/>
          <w:color w:val="auto"/>
        </w:rPr>
      </w:pPr>
      <w:r w:rsidRPr="00C313F7">
        <w:rPr>
          <w:rFonts w:eastAsia="Calibri Light" w:cstheme="minorHAnsi"/>
          <w:color w:val="auto"/>
        </w:rPr>
        <w:t xml:space="preserve">How </w:t>
      </w:r>
      <w:r w:rsidRPr="00C313F7">
        <w:rPr>
          <w:rFonts w:eastAsia="Calibri Light" w:cstheme="minorHAnsi"/>
          <w:i/>
          <w:iCs/>
          <w:color w:val="auto"/>
        </w:rPr>
        <w:t>effective</w:t>
      </w:r>
      <w:r w:rsidRPr="00C313F7">
        <w:rPr>
          <w:rFonts w:eastAsia="Calibri Light" w:cstheme="minorHAnsi"/>
          <w:color w:val="auto"/>
        </w:rPr>
        <w:t xml:space="preserve"> has Pacific Women Lead been in building partnerships to ensure coordinated, joint efforts to improve gender equality and women’s empowerment across the region?</w:t>
      </w:r>
    </w:p>
    <w:p w14:paraId="3BD21B34" w14:textId="5BB6C988" w:rsidR="00E64C5A" w:rsidRPr="003F2735" w:rsidRDefault="00E64C5A" w:rsidP="003C0072">
      <w:pPr>
        <w:numPr>
          <w:ilvl w:val="0"/>
          <w:numId w:val="19"/>
        </w:numPr>
        <w:suppressAutoHyphens w:val="0"/>
        <w:spacing w:before="0" w:after="160" w:line="259" w:lineRule="auto"/>
        <w:contextualSpacing/>
        <w:jc w:val="both"/>
        <w:rPr>
          <w:rFonts w:eastAsia="Calibri Light" w:cstheme="minorHAnsi"/>
          <w:color w:val="auto"/>
          <w:lang w:val="en-AU"/>
        </w:rPr>
      </w:pPr>
      <w:r w:rsidRPr="001B3C85">
        <w:rPr>
          <w:rFonts w:eastAsia="Calibri Light" w:cstheme="minorHAnsi"/>
          <w:color w:val="auto"/>
          <w:lang w:val="en-AU"/>
        </w:rPr>
        <w:t xml:space="preserve">How </w:t>
      </w:r>
      <w:r w:rsidRPr="001B3C85">
        <w:rPr>
          <w:rFonts w:eastAsia="Calibri Light" w:cstheme="minorHAnsi"/>
          <w:i/>
          <w:color w:val="auto"/>
          <w:lang w:val="en-AU"/>
        </w:rPr>
        <w:t>efficient</w:t>
      </w:r>
      <w:r w:rsidRPr="001B3C85">
        <w:rPr>
          <w:rFonts w:eastAsia="Calibri Light" w:cstheme="minorHAnsi"/>
          <w:color w:val="auto"/>
          <w:lang w:val="en-AU"/>
        </w:rPr>
        <w:t xml:space="preserve"> are the management and governance arrangements supporting the performance of </w:t>
      </w:r>
      <w:r w:rsidR="00B81325" w:rsidRPr="00DD1B07">
        <w:rPr>
          <w:rFonts w:eastAsia="Calibri Light" w:cstheme="minorHAnsi"/>
          <w:color w:val="auto"/>
          <w:lang w:val="en-AU"/>
        </w:rPr>
        <w:t xml:space="preserve">Pacific Women Lead </w:t>
      </w:r>
      <w:r w:rsidRPr="00DD1B07">
        <w:rPr>
          <w:rFonts w:eastAsia="Calibri Light" w:cstheme="minorHAnsi"/>
          <w:color w:val="auto"/>
          <w:lang w:val="en-AU"/>
        </w:rPr>
        <w:t>in the region?</w:t>
      </w:r>
    </w:p>
    <w:p w14:paraId="3A9F18DC" w14:textId="34880EE4" w:rsidR="00E64C5A" w:rsidRPr="009A3803" w:rsidRDefault="00E64C5A" w:rsidP="003C0072">
      <w:pPr>
        <w:numPr>
          <w:ilvl w:val="0"/>
          <w:numId w:val="19"/>
        </w:numPr>
        <w:suppressAutoHyphens w:val="0"/>
        <w:spacing w:before="0" w:after="160" w:line="259" w:lineRule="auto"/>
        <w:contextualSpacing/>
        <w:jc w:val="both"/>
        <w:rPr>
          <w:rFonts w:eastAsia="Calibri Light" w:cstheme="minorHAnsi"/>
          <w:color w:val="auto"/>
          <w:lang w:val="en-AU"/>
        </w:rPr>
      </w:pPr>
      <w:r w:rsidRPr="00C12DD5">
        <w:rPr>
          <w:rFonts w:eastAsia="Calibri Light" w:cstheme="minorHAnsi"/>
          <w:color w:val="auto"/>
          <w:lang w:val="en-AU"/>
        </w:rPr>
        <w:t xml:space="preserve">What is the likely legacy of </w:t>
      </w:r>
      <w:r w:rsidR="00636466" w:rsidRPr="00C12DD5">
        <w:rPr>
          <w:rFonts w:eastAsia="Calibri Light" w:cstheme="minorHAnsi"/>
          <w:color w:val="auto"/>
          <w:lang w:val="en-AU"/>
        </w:rPr>
        <w:t xml:space="preserve">Pacific Women Lead </w:t>
      </w:r>
      <w:r w:rsidRPr="00C12DD5">
        <w:rPr>
          <w:rFonts w:eastAsia="Calibri Light" w:cstheme="minorHAnsi"/>
          <w:color w:val="auto"/>
          <w:lang w:val="en-AU"/>
        </w:rPr>
        <w:t xml:space="preserve">and </w:t>
      </w:r>
      <w:r w:rsidRPr="001B40B1">
        <w:rPr>
          <w:rFonts w:eastAsia="Calibri Light" w:cstheme="minorHAnsi"/>
          <w:i/>
          <w:color w:val="auto"/>
          <w:lang w:val="en-AU"/>
        </w:rPr>
        <w:t>sustainability</w:t>
      </w:r>
      <w:r w:rsidRPr="00461F64">
        <w:rPr>
          <w:rFonts w:eastAsia="Calibri Light" w:cstheme="minorHAnsi"/>
          <w:color w:val="auto"/>
          <w:lang w:val="en-AU"/>
        </w:rPr>
        <w:t xml:space="preserve"> of the benefits? </w:t>
      </w:r>
    </w:p>
    <w:p w14:paraId="048981E6" w14:textId="75540D1D" w:rsidR="00E64C5A" w:rsidRPr="00C64817" w:rsidRDefault="00E64C5A" w:rsidP="003C0072">
      <w:pPr>
        <w:numPr>
          <w:ilvl w:val="0"/>
          <w:numId w:val="19"/>
        </w:numPr>
        <w:suppressAutoHyphens w:val="0"/>
        <w:spacing w:before="0" w:after="160" w:line="259" w:lineRule="auto"/>
        <w:contextualSpacing/>
        <w:jc w:val="both"/>
        <w:rPr>
          <w:rFonts w:eastAsia="Calibri Light" w:cstheme="minorHAnsi"/>
          <w:color w:val="auto"/>
          <w:lang w:val="en-AU"/>
        </w:rPr>
      </w:pPr>
      <w:r w:rsidRPr="00C64817">
        <w:rPr>
          <w:rFonts w:eastAsia="Calibri Light" w:cstheme="minorHAnsi"/>
          <w:color w:val="auto"/>
          <w:lang w:val="en-AU"/>
        </w:rPr>
        <w:t xml:space="preserve">How successful has </w:t>
      </w:r>
      <w:r w:rsidR="00636466" w:rsidRPr="00C64817">
        <w:rPr>
          <w:rFonts w:eastAsia="Calibri Light" w:cstheme="minorHAnsi"/>
          <w:color w:val="auto"/>
          <w:lang w:val="en-AU"/>
        </w:rPr>
        <w:t xml:space="preserve">Pacific Women Lead </w:t>
      </w:r>
      <w:r w:rsidRPr="00C64817">
        <w:rPr>
          <w:rFonts w:eastAsia="Calibri Light" w:cstheme="minorHAnsi"/>
          <w:color w:val="auto"/>
          <w:lang w:val="en-AU"/>
        </w:rPr>
        <w:t xml:space="preserve">been in promoting </w:t>
      </w:r>
      <w:r w:rsidRPr="00C64817">
        <w:rPr>
          <w:rFonts w:eastAsia="Calibri Light" w:cstheme="minorHAnsi"/>
          <w:i/>
          <w:color w:val="auto"/>
          <w:lang w:val="en-AU"/>
        </w:rPr>
        <w:t>gender equality, disability and social inclusion</w:t>
      </w:r>
      <w:r w:rsidRPr="00C64817">
        <w:rPr>
          <w:rFonts w:eastAsia="Calibri Light" w:cstheme="minorHAnsi"/>
          <w:color w:val="auto"/>
          <w:lang w:val="en-AU"/>
        </w:rPr>
        <w:t xml:space="preserve"> in policy and practice?</w:t>
      </w:r>
    </w:p>
    <w:p w14:paraId="2A48FD18" w14:textId="6D97C398" w:rsidR="00E64C5A" w:rsidRPr="00C64817" w:rsidRDefault="00E64C5A" w:rsidP="003C0072">
      <w:pPr>
        <w:numPr>
          <w:ilvl w:val="0"/>
          <w:numId w:val="19"/>
        </w:numPr>
        <w:suppressAutoHyphens w:val="0"/>
        <w:spacing w:before="0" w:after="160" w:line="259" w:lineRule="auto"/>
        <w:contextualSpacing/>
        <w:jc w:val="both"/>
        <w:rPr>
          <w:rFonts w:eastAsia="Calibri Light" w:cstheme="minorHAnsi"/>
          <w:color w:val="auto"/>
          <w:lang w:val="en-AU"/>
        </w:rPr>
      </w:pPr>
      <w:r w:rsidRPr="00C64817">
        <w:rPr>
          <w:rFonts w:eastAsia="Calibri Light" w:cstheme="minorHAnsi"/>
          <w:color w:val="auto"/>
          <w:lang w:val="en-AU"/>
        </w:rPr>
        <w:t xml:space="preserve">How well did </w:t>
      </w:r>
      <w:r w:rsidR="00473470" w:rsidRPr="00C64817">
        <w:rPr>
          <w:rFonts w:eastAsia="Calibri Light" w:cstheme="minorHAnsi"/>
          <w:color w:val="auto"/>
          <w:lang w:val="en-AU"/>
        </w:rPr>
        <w:t xml:space="preserve">Pacific Women Lead </w:t>
      </w:r>
      <w:r w:rsidRPr="00C64817">
        <w:rPr>
          <w:rFonts w:eastAsia="Calibri Light" w:cstheme="minorHAnsi"/>
          <w:color w:val="auto"/>
          <w:lang w:val="en-AU"/>
        </w:rPr>
        <w:t xml:space="preserve">identify and manage </w:t>
      </w:r>
      <w:r w:rsidRPr="00C64817">
        <w:rPr>
          <w:rFonts w:eastAsia="Calibri Light" w:cstheme="minorHAnsi"/>
          <w:i/>
          <w:color w:val="auto"/>
          <w:lang w:val="en-AU"/>
        </w:rPr>
        <w:t>risk</w:t>
      </w:r>
      <w:r w:rsidRPr="00C64817">
        <w:rPr>
          <w:rFonts w:eastAsia="Calibri Light" w:cstheme="minorHAnsi"/>
          <w:color w:val="auto"/>
          <w:lang w:val="en-AU"/>
        </w:rPr>
        <w:t xml:space="preserve"> and protect </w:t>
      </w:r>
      <w:r w:rsidRPr="00C64817">
        <w:rPr>
          <w:rFonts w:eastAsia="Calibri Light" w:cstheme="minorHAnsi"/>
          <w:i/>
          <w:color w:val="auto"/>
          <w:lang w:val="en-AU"/>
        </w:rPr>
        <w:t>safeguards</w:t>
      </w:r>
      <w:r w:rsidRPr="00C64817">
        <w:rPr>
          <w:rFonts w:eastAsia="Calibri Light" w:cstheme="minorHAnsi"/>
          <w:color w:val="auto"/>
          <w:lang w:val="en-AU"/>
        </w:rPr>
        <w:t>?</w:t>
      </w:r>
    </w:p>
    <w:p w14:paraId="4D223F76" w14:textId="77777777" w:rsidR="00E64C5A" w:rsidRPr="00C64817" w:rsidRDefault="00E64C5A" w:rsidP="003C0072">
      <w:pPr>
        <w:numPr>
          <w:ilvl w:val="0"/>
          <w:numId w:val="19"/>
        </w:numPr>
        <w:suppressAutoHyphens w:val="0"/>
        <w:spacing w:before="0" w:after="160" w:line="259" w:lineRule="auto"/>
        <w:contextualSpacing/>
        <w:jc w:val="both"/>
        <w:rPr>
          <w:rFonts w:eastAsia="Calibri Light" w:cstheme="minorHAnsi"/>
          <w:color w:val="auto"/>
          <w:lang w:val="en-AU"/>
        </w:rPr>
      </w:pPr>
      <w:r w:rsidRPr="00C64817">
        <w:rPr>
          <w:rFonts w:eastAsia="Calibri Light" w:cstheme="minorHAnsi"/>
          <w:color w:val="auto"/>
          <w:lang w:val="en-AU"/>
        </w:rPr>
        <w:t xml:space="preserve">To what extent did the program employ </w:t>
      </w:r>
      <w:r w:rsidRPr="00C64817">
        <w:rPr>
          <w:rFonts w:eastAsia="Calibri Light" w:cstheme="minorHAnsi"/>
          <w:i/>
          <w:color w:val="auto"/>
          <w:lang w:val="en-AU"/>
        </w:rPr>
        <w:t>innovative</w:t>
      </w:r>
      <w:r w:rsidRPr="00C64817">
        <w:rPr>
          <w:rFonts w:eastAsia="Calibri Light" w:cstheme="minorHAnsi"/>
          <w:color w:val="auto"/>
          <w:lang w:val="en-AU"/>
        </w:rPr>
        <w:t xml:space="preserve"> approaches and involve the </w:t>
      </w:r>
      <w:r w:rsidRPr="00C64817">
        <w:rPr>
          <w:rFonts w:eastAsia="Calibri Light" w:cstheme="minorHAnsi"/>
          <w:i/>
          <w:color w:val="auto"/>
          <w:lang w:val="en-AU"/>
        </w:rPr>
        <w:t>private sector</w:t>
      </w:r>
      <w:r w:rsidRPr="00C64817">
        <w:rPr>
          <w:rFonts w:eastAsia="Calibri Light" w:cstheme="minorHAnsi"/>
          <w:color w:val="auto"/>
          <w:lang w:val="en-AU"/>
        </w:rPr>
        <w:t>?</w:t>
      </w:r>
    </w:p>
    <w:p w14:paraId="35E95F1F" w14:textId="77777777" w:rsidR="00E64C5A" w:rsidRPr="00C64817" w:rsidRDefault="00E64C5A" w:rsidP="00E64C5A">
      <w:pPr>
        <w:suppressAutoHyphens w:val="0"/>
        <w:spacing w:before="0" w:after="160" w:line="259" w:lineRule="auto"/>
        <w:contextualSpacing/>
        <w:jc w:val="both"/>
        <w:rPr>
          <w:rFonts w:eastAsia="Calibri Light" w:cstheme="minorHAnsi"/>
          <w:color w:val="auto"/>
          <w:lang w:val="en-AU"/>
        </w:rPr>
      </w:pPr>
    </w:p>
    <w:p w14:paraId="05278279" w14:textId="37CF984F" w:rsidR="000C64FF" w:rsidRPr="00C64817" w:rsidRDefault="00D952A5" w:rsidP="000C64FF">
      <w:pPr>
        <w:spacing w:line="233" w:lineRule="atLeast"/>
        <w:jc w:val="both"/>
        <w:rPr>
          <w:rFonts w:eastAsia="Times New Roman" w:cstheme="minorHAnsi"/>
          <w:color w:val="000000"/>
          <w:lang w:eastAsia="en-GB"/>
        </w:rPr>
      </w:pPr>
      <w:r w:rsidRPr="00C64817">
        <w:rPr>
          <w:rFonts w:eastAsia="Calibri Light" w:cstheme="minorHAnsi"/>
          <w:color w:val="auto"/>
          <w:lang w:val="en-AU"/>
        </w:rPr>
        <w:lastRenderedPageBreak/>
        <w:t>6.8</w:t>
      </w:r>
      <w:r w:rsidRPr="00C64817">
        <w:rPr>
          <w:rFonts w:eastAsia="Calibri Light" w:cstheme="minorHAnsi"/>
          <w:color w:val="auto"/>
          <w:lang w:val="en-AU"/>
        </w:rPr>
        <w:tab/>
      </w:r>
      <w:r w:rsidR="00E64C5A" w:rsidRPr="00C64817">
        <w:rPr>
          <w:rFonts w:eastAsia="Calibri Light" w:cstheme="minorHAnsi"/>
          <w:color w:val="auto"/>
          <w:lang w:val="en-AU"/>
        </w:rPr>
        <w:t xml:space="preserve">A performance assessment framework (see Annex 1) is </w:t>
      </w:r>
      <w:r w:rsidR="00E64C5A" w:rsidRPr="00C64817">
        <w:rPr>
          <w:rFonts w:eastAsia="Calibri Light" w:cstheme="minorHAnsi"/>
          <w:b/>
          <w:color w:val="auto"/>
          <w:lang w:val="en-AU"/>
        </w:rPr>
        <w:t>designed to capture data to assess the program logic</w:t>
      </w:r>
      <w:r w:rsidR="00E64C5A" w:rsidRPr="00C64817">
        <w:rPr>
          <w:rFonts w:eastAsia="Calibri Light" w:cstheme="minorHAnsi"/>
          <w:color w:val="auto"/>
          <w:lang w:val="en-AU"/>
        </w:rPr>
        <w:t xml:space="preserve"> and report against the key evaluation question 2 on </w:t>
      </w:r>
      <w:r w:rsidR="00E64C5A" w:rsidRPr="00C64817">
        <w:rPr>
          <w:rFonts w:eastAsia="Calibri Light" w:cstheme="minorHAnsi"/>
          <w:i/>
          <w:color w:val="auto"/>
          <w:lang w:val="en-AU"/>
        </w:rPr>
        <w:t>effectiveness</w:t>
      </w:r>
      <w:r w:rsidR="00E64C5A" w:rsidRPr="00C64817">
        <w:rPr>
          <w:rFonts w:eastAsia="Calibri Light" w:cstheme="minorHAnsi"/>
          <w:color w:val="auto"/>
          <w:lang w:val="en-AU"/>
        </w:rPr>
        <w:t>. It will measure indicators of change linked to the two outcome levels</w:t>
      </w:r>
      <w:r w:rsidR="00321541" w:rsidRPr="00C64817">
        <w:rPr>
          <w:rFonts w:eastAsia="Calibri Light" w:cstheme="minorHAnsi"/>
          <w:color w:val="auto"/>
          <w:lang w:val="en-AU"/>
        </w:rPr>
        <w:t xml:space="preserve"> and assess progress</w:t>
      </w:r>
      <w:r w:rsidR="000C64FF" w:rsidRPr="00C64817">
        <w:rPr>
          <w:rFonts w:eastAsia="Calibri Light" w:cstheme="minorHAnsi"/>
          <w:color w:val="auto"/>
          <w:lang w:val="en-AU"/>
        </w:rPr>
        <w:t xml:space="preserve"> </w:t>
      </w:r>
      <w:r w:rsidR="000C64FF" w:rsidRPr="00C64817">
        <w:rPr>
          <w:rFonts w:eastAsia="Times New Roman" w:cstheme="minorHAnsi"/>
          <w:color w:val="000000"/>
          <w:lang w:eastAsia="en-GB"/>
        </w:rPr>
        <w:t>against sex-disaggregated baseline information.</w:t>
      </w:r>
    </w:p>
    <w:p w14:paraId="12A7185B" w14:textId="58ACB7C3" w:rsidR="00DA0FD1" w:rsidRPr="00F328DA" w:rsidRDefault="00E64C5A" w:rsidP="00F328DA">
      <w:pPr>
        <w:pStyle w:val="Heading2"/>
        <w:rPr>
          <w:sz w:val="36"/>
          <w:szCs w:val="24"/>
          <w:lang w:val="en-AU"/>
        </w:rPr>
      </w:pPr>
      <w:bookmarkStart w:id="21" w:name="_Toc75535895"/>
      <w:r w:rsidRPr="00F328DA">
        <w:rPr>
          <w:sz w:val="36"/>
          <w:szCs w:val="24"/>
          <w:lang w:val="en-AU"/>
        </w:rPr>
        <w:t>MEL Responsibility</w:t>
      </w:r>
      <w:bookmarkEnd w:id="21"/>
    </w:p>
    <w:p w14:paraId="45D9CB8A" w14:textId="049A403D" w:rsidR="00362021" w:rsidRPr="00C64817" w:rsidRDefault="005479C3" w:rsidP="00362021">
      <w:pPr>
        <w:suppressAutoHyphens w:val="0"/>
        <w:spacing w:before="0" w:after="160" w:line="259" w:lineRule="auto"/>
        <w:jc w:val="both"/>
        <w:rPr>
          <w:rFonts w:eastAsia="Calibri Light" w:cstheme="minorHAnsi"/>
          <w:color w:val="auto"/>
          <w:lang w:val="en-AU"/>
        </w:rPr>
      </w:pPr>
      <w:r w:rsidRPr="00C64817">
        <w:rPr>
          <w:rFonts w:eastAsia="Calibri Light" w:cstheme="minorHAnsi"/>
          <w:color w:val="auto"/>
          <w:lang w:val="en-AU"/>
        </w:rPr>
        <w:t>6.9</w:t>
      </w:r>
      <w:r w:rsidRPr="00C64817">
        <w:rPr>
          <w:rFonts w:eastAsia="Calibri Light" w:cstheme="minorHAnsi"/>
          <w:color w:val="auto"/>
          <w:lang w:val="en-AU"/>
        </w:rPr>
        <w:tab/>
      </w:r>
      <w:r w:rsidR="00362021" w:rsidRPr="00C64817">
        <w:rPr>
          <w:rFonts w:eastAsia="Calibri Light" w:cstheme="minorHAnsi"/>
          <w:color w:val="auto"/>
          <w:lang w:val="en-AU"/>
        </w:rPr>
        <w:t xml:space="preserve">Monitoring and evaluation for Pacific Women Lead will be </w:t>
      </w:r>
      <w:r w:rsidR="000220F0" w:rsidRPr="00C64817">
        <w:rPr>
          <w:rFonts w:eastAsia="Calibri Light" w:cstheme="minorHAnsi"/>
          <w:color w:val="auto"/>
          <w:lang w:val="en-AU"/>
        </w:rPr>
        <w:t>Pacific led</w:t>
      </w:r>
      <w:r w:rsidR="00362021" w:rsidRPr="00C64817">
        <w:rPr>
          <w:rFonts w:eastAsia="Calibri Light" w:cstheme="minorHAnsi"/>
          <w:color w:val="auto"/>
          <w:lang w:val="en-AU"/>
        </w:rPr>
        <w:t>:</w:t>
      </w:r>
    </w:p>
    <w:p w14:paraId="71655E2F" w14:textId="183E4B69" w:rsidR="00362021" w:rsidRPr="00C64817" w:rsidRDefault="00362021" w:rsidP="003C0072">
      <w:pPr>
        <w:pStyle w:val="ListParagraph"/>
        <w:numPr>
          <w:ilvl w:val="0"/>
          <w:numId w:val="24"/>
        </w:numPr>
        <w:suppressAutoHyphens w:val="0"/>
        <w:spacing w:before="0" w:after="160" w:line="259" w:lineRule="auto"/>
        <w:jc w:val="both"/>
        <w:rPr>
          <w:rFonts w:eastAsia="Calibri Light" w:cstheme="minorHAnsi"/>
          <w:color w:val="auto"/>
          <w:lang w:val="en-AU"/>
        </w:rPr>
      </w:pPr>
      <w:r w:rsidRPr="00C64817">
        <w:rPr>
          <w:rFonts w:eastAsia="Calibri Light" w:cstheme="minorHAnsi"/>
          <w:b/>
          <w:bCs/>
          <w:color w:val="auto"/>
          <w:lang w:val="en-AU"/>
        </w:rPr>
        <w:t xml:space="preserve">Strategic oversight of the performance of </w:t>
      </w:r>
      <w:r w:rsidRPr="00C64817">
        <w:rPr>
          <w:rFonts w:eastAsia="Calibri Light" w:cstheme="minorHAnsi"/>
          <w:b/>
          <w:bCs/>
          <w:i/>
          <w:iCs/>
          <w:color w:val="auto"/>
          <w:lang w:val="en-AU"/>
        </w:rPr>
        <w:t>Pacific Women Lead</w:t>
      </w:r>
      <w:r w:rsidRPr="00C64817">
        <w:rPr>
          <w:rFonts w:eastAsia="Calibri Light" w:cstheme="minorHAnsi"/>
          <w:b/>
          <w:bCs/>
          <w:color w:val="auto"/>
          <w:lang w:val="en-AU"/>
        </w:rPr>
        <w:t xml:space="preserve"> </w:t>
      </w:r>
      <w:r w:rsidRPr="00C64817">
        <w:rPr>
          <w:rFonts w:eastAsia="Calibri Light" w:cstheme="minorHAnsi"/>
          <w:color w:val="auto"/>
          <w:lang w:val="en-AU"/>
        </w:rPr>
        <w:t xml:space="preserve">will </w:t>
      </w:r>
      <w:r w:rsidR="00E33A35" w:rsidRPr="00C64817">
        <w:rPr>
          <w:rFonts w:eastAsia="Calibri Light" w:cstheme="minorHAnsi"/>
          <w:color w:val="auto"/>
          <w:lang w:val="en-AU"/>
        </w:rPr>
        <w:t xml:space="preserve">the responsibility of </w:t>
      </w:r>
      <w:r w:rsidRPr="00C64817">
        <w:rPr>
          <w:rFonts w:eastAsia="Calibri Light" w:cstheme="minorHAnsi"/>
          <w:color w:val="auto"/>
          <w:lang w:val="en-AU"/>
        </w:rPr>
        <w:t xml:space="preserve">the </w:t>
      </w:r>
      <w:r w:rsidR="00463863" w:rsidRPr="00C64817">
        <w:rPr>
          <w:rFonts w:eastAsia="Calibri Light" w:cstheme="minorHAnsi"/>
          <w:color w:val="auto"/>
          <w:lang w:val="en-AU"/>
        </w:rPr>
        <w:t>Board</w:t>
      </w:r>
    </w:p>
    <w:p w14:paraId="24C27F10" w14:textId="27CDAA66" w:rsidR="006219A9" w:rsidRPr="00C64817" w:rsidRDefault="00A81376" w:rsidP="003C0072">
      <w:pPr>
        <w:pStyle w:val="ListParagraph"/>
        <w:numPr>
          <w:ilvl w:val="0"/>
          <w:numId w:val="24"/>
        </w:numPr>
        <w:suppressAutoHyphens w:val="0"/>
        <w:spacing w:before="0" w:after="160" w:line="259" w:lineRule="auto"/>
        <w:jc w:val="both"/>
        <w:rPr>
          <w:rFonts w:eastAsia="Calibri Light" w:cstheme="minorHAnsi"/>
          <w:color w:val="auto"/>
          <w:lang w:val="en-AU"/>
        </w:rPr>
      </w:pPr>
      <w:r>
        <w:rPr>
          <w:rFonts w:eastAsia="Calibri Light" w:cstheme="minorHAnsi"/>
          <w:color w:val="auto"/>
          <w:lang w:val="en-AU"/>
        </w:rPr>
        <w:t xml:space="preserve">SPC’s Human Rights and Social Development (HRSD) will provide MEL functions for the programs they directly manage. Overarching MEL will be led by a contractor, which will include regional and bilateral gender results, building on the results from Pacific Women Shaping Pacific Development. </w:t>
      </w:r>
    </w:p>
    <w:p w14:paraId="58DB24C3" w14:textId="2FCE32A2" w:rsidR="00362021" w:rsidRPr="00C64817" w:rsidRDefault="00362021" w:rsidP="003C0072">
      <w:pPr>
        <w:pStyle w:val="ListParagraph"/>
        <w:numPr>
          <w:ilvl w:val="0"/>
          <w:numId w:val="24"/>
        </w:numPr>
        <w:suppressAutoHyphens w:val="0"/>
        <w:spacing w:before="0" w:after="160" w:line="259" w:lineRule="auto"/>
        <w:jc w:val="both"/>
        <w:rPr>
          <w:rFonts w:eastAsia="Calibri Light" w:cstheme="minorHAnsi"/>
          <w:color w:val="auto"/>
          <w:lang w:val="en-AU"/>
        </w:rPr>
      </w:pPr>
      <w:r w:rsidRPr="00C64817">
        <w:rPr>
          <w:rFonts w:eastAsia="Calibri Light" w:cstheme="minorHAnsi"/>
          <w:color w:val="auto"/>
          <w:lang w:val="en-AU"/>
        </w:rPr>
        <w:t xml:space="preserve">A </w:t>
      </w:r>
      <w:r w:rsidRPr="00C64817">
        <w:rPr>
          <w:rFonts w:eastAsia="Calibri Light" w:cstheme="minorHAnsi"/>
          <w:b/>
          <w:bCs/>
          <w:color w:val="auto"/>
          <w:lang w:val="en-AU"/>
        </w:rPr>
        <w:t>Pacific</w:t>
      </w:r>
      <w:r w:rsidR="00E33A35" w:rsidRPr="00C64817">
        <w:rPr>
          <w:rFonts w:eastAsia="Calibri Light" w:cstheme="minorHAnsi"/>
          <w:b/>
          <w:bCs/>
          <w:color w:val="auto"/>
          <w:lang w:val="en-AU"/>
        </w:rPr>
        <w:t>-</w:t>
      </w:r>
      <w:r w:rsidRPr="00C64817">
        <w:rPr>
          <w:rFonts w:eastAsia="Calibri Light" w:cstheme="minorHAnsi"/>
          <w:b/>
          <w:bCs/>
          <w:color w:val="auto"/>
          <w:lang w:val="en-AU"/>
        </w:rPr>
        <w:t>led Quality and Technical Advisory Group (QTAG</w:t>
      </w:r>
      <w:r w:rsidRPr="00C64817">
        <w:rPr>
          <w:rFonts w:eastAsia="Calibri Light" w:cstheme="minorHAnsi"/>
          <w:color w:val="auto"/>
          <w:lang w:val="en-AU"/>
        </w:rPr>
        <w:t>)</w:t>
      </w:r>
      <w:r w:rsidR="00E132A2" w:rsidRPr="00C64817">
        <w:rPr>
          <w:rFonts w:eastAsia="Calibri Light" w:cstheme="minorHAnsi"/>
          <w:color w:val="auto"/>
          <w:lang w:val="en-AU"/>
        </w:rPr>
        <w:t xml:space="preserve"> </w:t>
      </w:r>
      <w:r w:rsidRPr="00C64817">
        <w:rPr>
          <w:rFonts w:eastAsia="Calibri Light" w:cstheme="minorHAnsi"/>
          <w:color w:val="auto"/>
          <w:lang w:val="en-AU"/>
        </w:rPr>
        <w:t xml:space="preserve">will </w:t>
      </w:r>
      <w:r w:rsidR="009E2647" w:rsidRPr="00C64817">
        <w:rPr>
          <w:rFonts w:eastAsia="Calibri Light" w:cstheme="minorHAnsi"/>
          <w:color w:val="auto"/>
          <w:lang w:val="en-AU"/>
        </w:rPr>
        <w:t xml:space="preserve">be contracted and will </w:t>
      </w:r>
      <w:r w:rsidR="003369AE" w:rsidRPr="00C64817">
        <w:rPr>
          <w:rFonts w:eastAsia="Calibri Light" w:cstheme="minorHAnsi"/>
          <w:color w:val="auto"/>
          <w:lang w:val="en-AU"/>
        </w:rPr>
        <w:t>complement</w:t>
      </w:r>
      <w:r w:rsidR="00FC5E52" w:rsidRPr="00C64817">
        <w:rPr>
          <w:rFonts w:eastAsia="Calibri Light" w:cstheme="minorHAnsi"/>
          <w:color w:val="auto"/>
          <w:lang w:val="en-AU"/>
        </w:rPr>
        <w:t xml:space="preserve"> SPC</w:t>
      </w:r>
      <w:r w:rsidR="004E2E81" w:rsidRPr="00C64817">
        <w:rPr>
          <w:rFonts w:eastAsia="Calibri Light" w:cstheme="minorHAnsi"/>
          <w:color w:val="auto"/>
          <w:lang w:val="en-AU"/>
        </w:rPr>
        <w:t>’s capacity</w:t>
      </w:r>
      <w:r w:rsidR="00FC5E52" w:rsidRPr="00C64817">
        <w:rPr>
          <w:rFonts w:eastAsia="Calibri Light" w:cstheme="minorHAnsi"/>
          <w:color w:val="auto"/>
          <w:lang w:val="en-AU"/>
        </w:rPr>
        <w:t xml:space="preserve"> by </w:t>
      </w:r>
      <w:r w:rsidR="0059444E" w:rsidRPr="00C64817">
        <w:rPr>
          <w:rFonts w:eastAsia="Calibri Light" w:cstheme="minorHAnsi"/>
          <w:color w:val="auto"/>
          <w:lang w:val="en-AU"/>
        </w:rPr>
        <w:t>providing</w:t>
      </w:r>
      <w:r w:rsidR="002B6BA5">
        <w:rPr>
          <w:rFonts w:eastAsia="Calibri Light" w:cstheme="minorHAnsi"/>
          <w:color w:val="auto"/>
          <w:lang w:val="en-AU"/>
        </w:rPr>
        <w:t xml:space="preserve"> independent</w:t>
      </w:r>
      <w:r w:rsidR="0059444E" w:rsidRPr="002B6BA5">
        <w:rPr>
          <w:rFonts w:eastAsia="Calibri Light" w:cstheme="minorHAnsi"/>
          <w:color w:val="auto"/>
          <w:lang w:val="en-AU"/>
        </w:rPr>
        <w:t xml:space="preserve"> </w:t>
      </w:r>
      <w:r w:rsidR="0059444E" w:rsidRPr="00C64817">
        <w:rPr>
          <w:rFonts w:eastAsia="Calibri Light" w:cstheme="minorHAnsi"/>
          <w:color w:val="auto"/>
          <w:lang w:val="en-AU"/>
        </w:rPr>
        <w:t xml:space="preserve">technical advice and </w:t>
      </w:r>
      <w:r w:rsidR="00DE6FA5" w:rsidRPr="00C64817">
        <w:rPr>
          <w:rFonts w:eastAsia="Calibri Light" w:cstheme="minorHAnsi"/>
          <w:color w:val="auto"/>
          <w:lang w:val="en-AU"/>
        </w:rPr>
        <w:t xml:space="preserve">undertaking </w:t>
      </w:r>
      <w:r w:rsidRPr="00C64817">
        <w:rPr>
          <w:rFonts w:eastAsia="Calibri Light" w:cstheme="minorHAnsi"/>
          <w:color w:val="auto"/>
          <w:lang w:val="en-AU"/>
        </w:rPr>
        <w:t xml:space="preserve">regular </w:t>
      </w:r>
      <w:r w:rsidR="00DE6FA5" w:rsidRPr="00C64817">
        <w:rPr>
          <w:rFonts w:eastAsia="Calibri Light" w:cstheme="minorHAnsi"/>
          <w:color w:val="auto"/>
          <w:lang w:val="en-AU"/>
        </w:rPr>
        <w:t xml:space="preserve">independent </w:t>
      </w:r>
      <w:r w:rsidR="00FB15B3" w:rsidRPr="00C64817">
        <w:rPr>
          <w:rFonts w:eastAsia="Calibri Light" w:cstheme="minorHAnsi"/>
          <w:color w:val="auto"/>
          <w:lang w:val="en-AU"/>
        </w:rPr>
        <w:t>monitoring</w:t>
      </w:r>
      <w:r w:rsidR="000B7E22" w:rsidRPr="00C64817">
        <w:rPr>
          <w:rFonts w:eastAsia="Calibri Light" w:cstheme="minorHAnsi"/>
          <w:color w:val="auto"/>
          <w:lang w:val="en-AU"/>
        </w:rPr>
        <w:t>. The QTAG will focus on the</w:t>
      </w:r>
      <w:r w:rsidR="00204A6D" w:rsidRPr="00C64817">
        <w:rPr>
          <w:rFonts w:eastAsia="Calibri Light" w:cstheme="minorHAnsi"/>
          <w:color w:val="auto"/>
          <w:lang w:val="en-AU"/>
        </w:rPr>
        <w:t xml:space="preserve"> regional</w:t>
      </w:r>
      <w:r w:rsidR="000B7E22" w:rsidRPr="00C64817">
        <w:rPr>
          <w:rFonts w:eastAsia="Calibri Light" w:cstheme="minorHAnsi"/>
          <w:color w:val="auto"/>
          <w:lang w:val="en-AU"/>
        </w:rPr>
        <w:t xml:space="preserve"> SPC and DFAT streams of </w:t>
      </w:r>
      <w:r w:rsidR="00D44528" w:rsidRPr="00C64817">
        <w:rPr>
          <w:rFonts w:eastAsia="Calibri Light" w:cstheme="minorHAnsi"/>
          <w:color w:val="auto"/>
          <w:lang w:val="en-AU"/>
        </w:rPr>
        <w:t>Pacific Women Lead</w:t>
      </w:r>
      <w:r w:rsidR="009E2647" w:rsidRPr="00C64817">
        <w:rPr>
          <w:rFonts w:eastAsia="Calibri Light" w:cstheme="minorHAnsi"/>
          <w:color w:val="auto"/>
          <w:lang w:val="en-AU"/>
        </w:rPr>
        <w:t xml:space="preserve"> initially – </w:t>
      </w:r>
      <w:r w:rsidR="008741F1" w:rsidRPr="00C64817">
        <w:rPr>
          <w:rFonts w:eastAsia="Calibri Light" w:cstheme="minorHAnsi"/>
          <w:color w:val="auto"/>
          <w:lang w:val="en-AU"/>
        </w:rPr>
        <w:t xml:space="preserve">in the future, </w:t>
      </w:r>
      <w:r w:rsidR="009E2647" w:rsidRPr="00C64817">
        <w:rPr>
          <w:rFonts w:eastAsia="Calibri Light" w:cstheme="minorHAnsi"/>
          <w:color w:val="auto"/>
          <w:lang w:val="en-AU"/>
        </w:rPr>
        <w:t xml:space="preserve">it could be expanded to </w:t>
      </w:r>
      <w:r w:rsidR="008741F1" w:rsidRPr="00C64817">
        <w:rPr>
          <w:rFonts w:eastAsia="Calibri Light" w:cstheme="minorHAnsi"/>
          <w:color w:val="auto"/>
          <w:lang w:val="en-AU"/>
        </w:rPr>
        <w:t>support other activities.</w:t>
      </w:r>
    </w:p>
    <w:p w14:paraId="17BE820C" w14:textId="0D02F4FD" w:rsidR="00FB15B3" w:rsidRPr="00C64817" w:rsidRDefault="00FB15B3" w:rsidP="003C0072">
      <w:pPr>
        <w:pStyle w:val="ListParagraph"/>
        <w:numPr>
          <w:ilvl w:val="0"/>
          <w:numId w:val="24"/>
        </w:numPr>
        <w:suppressAutoHyphens w:val="0"/>
        <w:spacing w:before="0" w:after="160" w:line="259" w:lineRule="auto"/>
        <w:jc w:val="both"/>
        <w:rPr>
          <w:rFonts w:eastAsia="Calibri Light" w:cstheme="minorHAnsi"/>
          <w:bCs/>
          <w:color w:val="auto"/>
          <w:lang w:val="en-AU"/>
        </w:rPr>
      </w:pPr>
      <w:r w:rsidRPr="00C64817">
        <w:rPr>
          <w:rFonts w:eastAsia="Calibri Light" w:cstheme="minorHAnsi"/>
          <w:bCs/>
          <w:color w:val="auto"/>
          <w:lang w:val="en-AU"/>
        </w:rPr>
        <w:t>DFAT</w:t>
      </w:r>
      <w:r w:rsidR="00E33A35" w:rsidRPr="00C64817">
        <w:rPr>
          <w:rFonts w:eastAsia="Calibri Light" w:cstheme="minorHAnsi"/>
          <w:bCs/>
          <w:color w:val="auto"/>
          <w:lang w:val="en-AU"/>
        </w:rPr>
        <w:t>’s</w:t>
      </w:r>
      <w:r w:rsidRPr="00C64817">
        <w:rPr>
          <w:rFonts w:eastAsia="Calibri Light" w:cstheme="minorHAnsi"/>
          <w:bCs/>
          <w:color w:val="auto"/>
          <w:lang w:val="en-AU"/>
        </w:rPr>
        <w:t xml:space="preserve"> Office of the Pacific – Pacific Gender and Regional Development section</w:t>
      </w:r>
      <w:r w:rsidR="00624825" w:rsidRPr="00C64817">
        <w:rPr>
          <w:rFonts w:eastAsia="Calibri Light" w:cstheme="minorHAnsi"/>
          <w:bCs/>
          <w:color w:val="auto"/>
          <w:lang w:val="en-AU"/>
        </w:rPr>
        <w:t xml:space="preserve"> will ensure compliance with DFAT monitoring and evaluation standards.  </w:t>
      </w:r>
      <w:r w:rsidRPr="00C64817">
        <w:rPr>
          <w:rFonts w:eastAsia="Calibri Light" w:cstheme="minorHAnsi"/>
          <w:bCs/>
          <w:color w:val="auto"/>
          <w:lang w:val="en-AU"/>
        </w:rPr>
        <w:t>DFAT staff at Post</w:t>
      </w:r>
      <w:r w:rsidR="00624825" w:rsidRPr="00C64817">
        <w:rPr>
          <w:rFonts w:eastAsia="Calibri Light" w:cstheme="minorHAnsi"/>
          <w:bCs/>
          <w:color w:val="auto"/>
          <w:lang w:val="en-AU"/>
        </w:rPr>
        <w:t>s</w:t>
      </w:r>
      <w:r w:rsidRPr="00C64817">
        <w:rPr>
          <w:rFonts w:eastAsia="Calibri Light" w:cstheme="minorHAnsi"/>
          <w:bCs/>
          <w:color w:val="auto"/>
          <w:lang w:val="en-AU"/>
        </w:rPr>
        <w:t xml:space="preserve"> will have a role in supporting data collection and analysis that can support performance decision making and learning, drawing on local MEL support as required.</w:t>
      </w:r>
      <w:r w:rsidR="00646FDF" w:rsidRPr="00C64817">
        <w:rPr>
          <w:rFonts w:eastAsia="Calibri Light" w:cstheme="minorHAnsi"/>
          <w:bCs/>
          <w:color w:val="auto"/>
          <w:lang w:val="en-AU"/>
        </w:rPr>
        <w:t xml:space="preserve"> </w:t>
      </w:r>
      <w:r w:rsidR="007E0792" w:rsidRPr="00C64817">
        <w:rPr>
          <w:rFonts w:eastAsia="Calibri Light" w:cstheme="minorHAnsi"/>
          <w:bCs/>
          <w:color w:val="auto"/>
          <w:lang w:val="en-AU"/>
        </w:rPr>
        <w:t xml:space="preserve">Note that </w:t>
      </w:r>
      <w:r w:rsidR="008B5799" w:rsidRPr="00C64817">
        <w:rPr>
          <w:rFonts w:eastAsia="Calibri Light" w:cstheme="minorHAnsi"/>
          <w:bCs/>
          <w:color w:val="auto"/>
          <w:lang w:val="en-AU"/>
        </w:rPr>
        <w:t>i</w:t>
      </w:r>
      <w:r w:rsidR="00646FDF" w:rsidRPr="00C64817">
        <w:rPr>
          <w:rFonts w:eastAsia="Calibri Light" w:cstheme="minorHAnsi"/>
          <w:bCs/>
          <w:color w:val="auto"/>
          <w:lang w:val="en-AU"/>
        </w:rPr>
        <w:t>t is expected that DFAT bilateral programs with their own MEL resources will</w:t>
      </w:r>
      <w:r w:rsidR="00C22ADC" w:rsidRPr="00C64817">
        <w:rPr>
          <w:rFonts w:eastAsia="Calibri Light" w:cstheme="minorHAnsi"/>
          <w:bCs/>
          <w:color w:val="auto"/>
          <w:lang w:val="en-AU"/>
        </w:rPr>
        <w:t xml:space="preserve"> continue to have their own MELF and </w:t>
      </w:r>
      <w:proofErr w:type="gramStart"/>
      <w:r w:rsidR="00C22ADC" w:rsidRPr="00C64817">
        <w:rPr>
          <w:rFonts w:eastAsia="Calibri Light" w:cstheme="minorHAnsi"/>
          <w:bCs/>
          <w:color w:val="auto"/>
          <w:lang w:val="en-AU"/>
        </w:rPr>
        <w:t xml:space="preserve">monitoring, </w:t>
      </w:r>
      <w:r w:rsidR="007E0792" w:rsidRPr="00C64817">
        <w:rPr>
          <w:rFonts w:eastAsia="Calibri Light" w:cstheme="minorHAnsi"/>
          <w:bCs/>
          <w:color w:val="auto"/>
          <w:lang w:val="en-AU"/>
        </w:rPr>
        <w:t>and</w:t>
      </w:r>
      <w:proofErr w:type="gramEnd"/>
      <w:r w:rsidR="007E0792" w:rsidRPr="00C64817">
        <w:rPr>
          <w:rFonts w:eastAsia="Calibri Light" w:cstheme="minorHAnsi"/>
          <w:bCs/>
          <w:color w:val="auto"/>
          <w:lang w:val="en-AU"/>
        </w:rPr>
        <w:t xml:space="preserve"> will draw on the overarching Pacific Women Lead MELF and feed into regional level learning and data collection.</w:t>
      </w:r>
      <w:r w:rsidR="00C22ADC" w:rsidRPr="00C64817">
        <w:rPr>
          <w:rFonts w:eastAsia="Calibri Light" w:cstheme="minorHAnsi"/>
          <w:bCs/>
          <w:color w:val="auto"/>
          <w:lang w:val="en-AU"/>
        </w:rPr>
        <w:t xml:space="preserve"> </w:t>
      </w:r>
    </w:p>
    <w:p w14:paraId="0D412895" w14:textId="77777777" w:rsidR="00FB15B3" w:rsidRPr="00C64817" w:rsidRDefault="00FB15B3" w:rsidP="00E132A2">
      <w:pPr>
        <w:pStyle w:val="ListParagraph"/>
        <w:suppressAutoHyphens w:val="0"/>
        <w:spacing w:before="0" w:after="160" w:line="259" w:lineRule="auto"/>
        <w:jc w:val="both"/>
        <w:rPr>
          <w:rFonts w:eastAsia="Calibri Light" w:cstheme="minorHAnsi"/>
          <w:color w:val="auto"/>
          <w:lang w:val="en-AU"/>
        </w:rPr>
      </w:pPr>
    </w:p>
    <w:p w14:paraId="7DCDBA79" w14:textId="714EF0A6" w:rsidR="00E64C5A" w:rsidRPr="00C64817" w:rsidRDefault="005479C3" w:rsidP="00E64C5A">
      <w:pPr>
        <w:suppressAutoHyphens w:val="0"/>
        <w:spacing w:before="0" w:after="160" w:line="259" w:lineRule="auto"/>
        <w:jc w:val="both"/>
        <w:rPr>
          <w:rFonts w:eastAsia="Calibri Light" w:cstheme="minorHAnsi"/>
          <w:color w:val="auto"/>
          <w:lang w:val="en-AU"/>
        </w:rPr>
      </w:pPr>
      <w:r w:rsidRPr="00C64817">
        <w:rPr>
          <w:rFonts w:eastAsia="Calibri Light" w:cstheme="minorHAnsi"/>
          <w:color w:val="auto"/>
          <w:lang w:val="en-AU"/>
        </w:rPr>
        <w:t>6.10</w:t>
      </w:r>
      <w:r w:rsidR="00430DFE" w:rsidRPr="00C64817">
        <w:rPr>
          <w:rFonts w:eastAsia="Calibri Light" w:cstheme="minorHAnsi"/>
          <w:color w:val="auto"/>
          <w:lang w:val="en-AU"/>
        </w:rPr>
        <w:tab/>
      </w:r>
      <w:r w:rsidR="00E64C5A" w:rsidRPr="00C64817">
        <w:rPr>
          <w:rFonts w:eastAsia="Calibri Light" w:cstheme="minorHAnsi"/>
          <w:color w:val="auto"/>
          <w:lang w:val="en-AU"/>
        </w:rPr>
        <w:t xml:space="preserve">An overarching MEL plan will be developed in the inception phase of the program that will focus on approaches to monitoring at two levels: </w:t>
      </w:r>
    </w:p>
    <w:p w14:paraId="5877AF4A" w14:textId="77777777" w:rsidR="00E64C5A" w:rsidRPr="00C64817" w:rsidRDefault="00E64C5A" w:rsidP="003C0072">
      <w:pPr>
        <w:numPr>
          <w:ilvl w:val="0"/>
          <w:numId w:val="20"/>
        </w:numPr>
        <w:suppressAutoHyphens w:val="0"/>
        <w:spacing w:before="0" w:after="160" w:line="259" w:lineRule="auto"/>
        <w:contextualSpacing/>
        <w:jc w:val="both"/>
        <w:rPr>
          <w:rFonts w:eastAsia="Calibri Light" w:cstheme="minorHAnsi"/>
          <w:color w:val="auto"/>
          <w:lang w:val="en-AU"/>
        </w:rPr>
      </w:pPr>
      <w:r w:rsidRPr="00C64817">
        <w:rPr>
          <w:rFonts w:eastAsia="Calibri Light" w:cstheme="minorHAnsi"/>
          <w:i/>
          <w:color w:val="auto"/>
          <w:lang w:val="en-AU"/>
        </w:rPr>
        <w:t>Whole-of-program change monitoring</w:t>
      </w:r>
      <w:r w:rsidRPr="00C64817">
        <w:rPr>
          <w:rFonts w:eastAsia="Calibri Light" w:cstheme="minorHAnsi"/>
          <w:color w:val="auto"/>
          <w:lang w:val="en-AU"/>
        </w:rPr>
        <w:t xml:space="preserve">: this level will focus on and test the effectiveness of the program logic, including whether assumptions are holding true. It will also track the relevance of the program and aggregate information from the country level to tell a whole-of-program story of change. </w:t>
      </w:r>
    </w:p>
    <w:p w14:paraId="028C8320" w14:textId="77777777" w:rsidR="00E64C5A" w:rsidRPr="00C64817" w:rsidRDefault="00E64C5A" w:rsidP="003C0072">
      <w:pPr>
        <w:numPr>
          <w:ilvl w:val="0"/>
          <w:numId w:val="20"/>
        </w:numPr>
        <w:suppressAutoHyphens w:val="0"/>
        <w:spacing w:before="0" w:after="160" w:line="259" w:lineRule="auto"/>
        <w:contextualSpacing/>
        <w:jc w:val="both"/>
        <w:rPr>
          <w:rFonts w:eastAsia="Calibri Light" w:cstheme="minorHAnsi"/>
          <w:color w:val="auto"/>
          <w:lang w:val="en-AU"/>
        </w:rPr>
      </w:pPr>
      <w:r w:rsidRPr="00C64817">
        <w:rPr>
          <w:rFonts w:eastAsia="Calibri Light" w:cstheme="minorHAnsi"/>
          <w:i/>
          <w:color w:val="auto"/>
          <w:lang w:val="en-AU"/>
        </w:rPr>
        <w:t>Program delivery</w:t>
      </w:r>
      <w:r w:rsidRPr="00C64817">
        <w:rPr>
          <w:rFonts w:eastAsia="Calibri Light" w:cstheme="minorHAnsi"/>
          <w:color w:val="auto"/>
          <w:lang w:val="en-AU"/>
        </w:rPr>
        <w:t xml:space="preserve"> </w:t>
      </w:r>
      <w:r w:rsidRPr="00C64817">
        <w:rPr>
          <w:rFonts w:eastAsia="Calibri Light" w:cstheme="minorHAnsi"/>
          <w:i/>
          <w:color w:val="auto"/>
          <w:lang w:val="en-AU"/>
        </w:rPr>
        <w:t>monitoring</w:t>
      </w:r>
      <w:r w:rsidRPr="00C64817">
        <w:rPr>
          <w:rFonts w:eastAsia="Calibri Light" w:cstheme="minorHAnsi"/>
          <w:color w:val="auto"/>
          <w:lang w:val="en-AU"/>
        </w:rPr>
        <w:t>: this level will focus on the delivery and enabling functions of the program, through monitoring the quality of inputs, and the efficiency of activities identified and implemented under the annual work plans.</w:t>
      </w:r>
    </w:p>
    <w:p w14:paraId="4E358153" w14:textId="77777777" w:rsidR="00FE1E71" w:rsidRPr="001B3C85" w:rsidRDefault="00FE1E71" w:rsidP="00E64C5A">
      <w:pPr>
        <w:suppressAutoHyphens w:val="0"/>
        <w:spacing w:before="0" w:after="160" w:line="259" w:lineRule="auto"/>
        <w:jc w:val="both"/>
        <w:rPr>
          <w:rFonts w:eastAsia="Calibri Light" w:cstheme="minorHAnsi"/>
          <w:color w:val="auto"/>
          <w:lang w:val="en-AU"/>
        </w:rPr>
      </w:pPr>
    </w:p>
    <w:p w14:paraId="4CECEB98" w14:textId="457D3A7E" w:rsidR="00E64C5A" w:rsidRPr="003F2735" w:rsidRDefault="00430DFE" w:rsidP="00E64C5A">
      <w:pPr>
        <w:suppressAutoHyphens w:val="0"/>
        <w:spacing w:before="0" w:after="160" w:line="259" w:lineRule="auto"/>
        <w:jc w:val="both"/>
        <w:rPr>
          <w:rFonts w:cstheme="minorHAnsi"/>
          <w:bCs/>
          <w:color w:val="auto"/>
          <w:lang w:val="en-AU"/>
        </w:rPr>
      </w:pPr>
      <w:r w:rsidRPr="00DD1B07">
        <w:rPr>
          <w:rFonts w:eastAsia="Calibri Light" w:cstheme="minorHAnsi"/>
          <w:color w:val="auto"/>
          <w:lang w:val="en-AU"/>
        </w:rPr>
        <w:t>6.11</w:t>
      </w:r>
      <w:r w:rsidRPr="00DD1B07">
        <w:rPr>
          <w:rFonts w:eastAsia="Calibri Light" w:cstheme="minorHAnsi"/>
          <w:color w:val="auto"/>
          <w:lang w:val="en-AU"/>
        </w:rPr>
        <w:tab/>
      </w:r>
      <w:r w:rsidR="00E64C5A" w:rsidRPr="003F2735">
        <w:rPr>
          <w:rFonts w:eastAsia="Calibri Light" w:cstheme="minorHAnsi"/>
          <w:color w:val="auto"/>
          <w:lang w:val="en-AU"/>
        </w:rPr>
        <w:t xml:space="preserve">The </w:t>
      </w:r>
      <w:r w:rsidR="00E64C5A" w:rsidRPr="003F2735">
        <w:rPr>
          <w:rFonts w:eastAsia="Calibri Light" w:cstheme="minorHAnsi"/>
          <w:b/>
          <w:color w:val="auto"/>
          <w:lang w:val="en-AU"/>
        </w:rPr>
        <w:t>collection of data and information for MEL will require a variety of tools and methods</w:t>
      </w:r>
      <w:r w:rsidR="00E64C5A" w:rsidRPr="00C12DD5">
        <w:rPr>
          <w:rFonts w:eastAsia="Calibri Light" w:cstheme="minorHAnsi"/>
          <w:color w:val="auto"/>
          <w:lang w:val="en-AU"/>
        </w:rPr>
        <w:t xml:space="preserve"> that suit the information needs of each activity</w:t>
      </w:r>
      <w:r w:rsidR="00784147" w:rsidRPr="00C12DD5">
        <w:rPr>
          <w:rFonts w:eastAsia="Calibri Light" w:cstheme="minorHAnsi"/>
          <w:color w:val="auto"/>
          <w:lang w:val="en-AU"/>
        </w:rPr>
        <w:t xml:space="preserve"> </w:t>
      </w:r>
      <w:r w:rsidR="00784147" w:rsidRPr="00C313F7">
        <w:rPr>
          <w:rFonts w:eastAsia="Calibri Light" w:cstheme="minorHAnsi"/>
          <w:color w:val="auto"/>
        </w:rPr>
        <w:t xml:space="preserve">and support safe, </w:t>
      </w:r>
      <w:proofErr w:type="gramStart"/>
      <w:r w:rsidR="00784147" w:rsidRPr="00C313F7">
        <w:rPr>
          <w:rFonts w:eastAsia="Calibri Light" w:cstheme="minorHAnsi"/>
          <w:color w:val="auto"/>
        </w:rPr>
        <w:t>accessible</w:t>
      </w:r>
      <w:proofErr w:type="gramEnd"/>
      <w:r w:rsidR="00784147" w:rsidRPr="00C313F7">
        <w:rPr>
          <w:rFonts w:eastAsia="Calibri Light" w:cstheme="minorHAnsi"/>
          <w:color w:val="auto"/>
        </w:rPr>
        <w:t xml:space="preserve"> and inclusive practice</w:t>
      </w:r>
      <w:r w:rsidR="00E64C5A" w:rsidRPr="001B3C85">
        <w:rPr>
          <w:rFonts w:eastAsia="Calibri Light" w:cstheme="minorHAnsi"/>
          <w:color w:val="auto"/>
          <w:lang w:val="en-AU"/>
        </w:rPr>
        <w:t xml:space="preserve">. </w:t>
      </w:r>
      <w:r w:rsidR="00E64C5A" w:rsidRPr="001B3C85">
        <w:rPr>
          <w:rFonts w:cstheme="minorHAnsi"/>
          <w:bCs/>
          <w:color w:val="auto"/>
          <w:lang w:val="en-AU"/>
        </w:rPr>
        <w:t xml:space="preserve">Key features of the </w:t>
      </w:r>
      <w:r w:rsidR="00784147" w:rsidRPr="00DD1B07">
        <w:rPr>
          <w:rFonts w:cstheme="minorHAnsi"/>
          <w:bCs/>
          <w:color w:val="auto"/>
          <w:lang w:val="en-AU"/>
        </w:rPr>
        <w:t>approach to MEL</w:t>
      </w:r>
      <w:r w:rsidR="00E64C5A" w:rsidRPr="003F2735">
        <w:rPr>
          <w:rFonts w:cstheme="minorHAnsi"/>
          <w:bCs/>
          <w:color w:val="auto"/>
          <w:lang w:val="en-AU"/>
        </w:rPr>
        <w:t xml:space="preserve"> include:</w:t>
      </w:r>
    </w:p>
    <w:p w14:paraId="38170514" w14:textId="2DA13117" w:rsidR="00E64C5A" w:rsidRPr="001B3C85" w:rsidRDefault="00E64C5A" w:rsidP="003C0072">
      <w:pPr>
        <w:pStyle w:val="BodyText"/>
        <w:numPr>
          <w:ilvl w:val="0"/>
          <w:numId w:val="21"/>
        </w:numPr>
        <w:suppressAutoHyphens w:val="0"/>
        <w:spacing w:before="0" w:after="120" w:line="240" w:lineRule="auto"/>
        <w:jc w:val="both"/>
        <w:rPr>
          <w:rFonts w:cstheme="minorHAnsi"/>
          <w:bCs/>
          <w:color w:val="auto"/>
          <w:lang w:val="en-AU"/>
        </w:rPr>
      </w:pPr>
      <w:r w:rsidRPr="00C12DD5">
        <w:rPr>
          <w:rFonts w:cstheme="minorHAnsi"/>
          <w:bCs/>
          <w:color w:val="auto"/>
          <w:lang w:val="en-AU"/>
        </w:rPr>
        <w:t xml:space="preserve">Activities in </w:t>
      </w:r>
      <w:r w:rsidR="006A5351" w:rsidRPr="00C12DD5">
        <w:rPr>
          <w:rFonts w:cstheme="minorHAnsi"/>
          <w:bCs/>
          <w:color w:val="auto"/>
          <w:lang w:val="en-AU"/>
        </w:rPr>
        <w:t>Pacific Islands Countries</w:t>
      </w:r>
      <w:r w:rsidRPr="001B40B1">
        <w:rPr>
          <w:rFonts w:cstheme="minorHAnsi"/>
          <w:bCs/>
          <w:color w:val="auto"/>
          <w:lang w:val="en-AU"/>
        </w:rPr>
        <w:t xml:space="preserve"> will be supported by </w:t>
      </w:r>
      <w:r w:rsidR="0027117F" w:rsidRPr="00461F64">
        <w:rPr>
          <w:rFonts w:cstheme="minorHAnsi"/>
          <w:bCs/>
          <w:color w:val="auto"/>
          <w:lang w:val="en-AU"/>
        </w:rPr>
        <w:t>partners’ own</w:t>
      </w:r>
      <w:r w:rsidRPr="009A3803">
        <w:rPr>
          <w:rFonts w:cstheme="minorHAnsi"/>
          <w:bCs/>
          <w:color w:val="auto"/>
          <w:lang w:val="en-AU"/>
        </w:rPr>
        <w:t xml:space="preserve"> MEL </w:t>
      </w:r>
      <w:r w:rsidR="0027117F" w:rsidRPr="00EB58B8">
        <w:rPr>
          <w:rFonts w:cstheme="minorHAnsi"/>
          <w:bCs/>
          <w:color w:val="auto"/>
          <w:lang w:val="en-AU"/>
        </w:rPr>
        <w:t>capacity</w:t>
      </w:r>
      <w:r w:rsidRPr="00C40FC1">
        <w:rPr>
          <w:rFonts w:cstheme="minorHAnsi"/>
          <w:bCs/>
          <w:color w:val="auto"/>
          <w:lang w:val="en-AU"/>
        </w:rPr>
        <w:t xml:space="preserve"> in each country. This approach allows ongoing reflection, co-</w:t>
      </w:r>
      <w:proofErr w:type="gramStart"/>
      <w:r w:rsidRPr="00C40FC1">
        <w:rPr>
          <w:rFonts w:cstheme="minorHAnsi"/>
          <w:bCs/>
          <w:color w:val="auto"/>
          <w:lang w:val="en-AU"/>
        </w:rPr>
        <w:t>creation</w:t>
      </w:r>
      <w:proofErr w:type="gramEnd"/>
      <w:r w:rsidRPr="00C40FC1">
        <w:rPr>
          <w:rFonts w:cstheme="minorHAnsi"/>
          <w:bCs/>
          <w:color w:val="auto"/>
          <w:lang w:val="en-AU"/>
        </w:rPr>
        <w:t xml:space="preserve"> and adaptation with key partners in country, </w:t>
      </w:r>
      <w:r w:rsidR="00E907FA" w:rsidRPr="001B3C85">
        <w:rPr>
          <w:rFonts w:cstheme="minorHAnsi"/>
          <w:bCs/>
          <w:color w:val="auto"/>
          <w:lang w:val="en-AU"/>
        </w:rPr>
        <w:t>with support from</w:t>
      </w:r>
      <w:r w:rsidRPr="001B3C85">
        <w:rPr>
          <w:rFonts w:cstheme="minorHAnsi"/>
          <w:bCs/>
          <w:color w:val="auto"/>
          <w:lang w:val="en-AU"/>
        </w:rPr>
        <w:t xml:space="preserve"> </w:t>
      </w:r>
      <w:r w:rsidR="00E907FA" w:rsidRPr="001B3C85">
        <w:rPr>
          <w:rFonts w:cstheme="minorHAnsi"/>
          <w:bCs/>
          <w:color w:val="auto"/>
          <w:lang w:val="en-AU"/>
        </w:rPr>
        <w:t>relevant</w:t>
      </w:r>
      <w:r w:rsidRPr="001B3C85">
        <w:rPr>
          <w:rFonts w:cstheme="minorHAnsi"/>
          <w:bCs/>
          <w:color w:val="auto"/>
          <w:lang w:val="en-AU"/>
        </w:rPr>
        <w:t xml:space="preserve"> of DFAT staff at each country Post.</w:t>
      </w:r>
    </w:p>
    <w:p w14:paraId="662AA874" w14:textId="14792D52" w:rsidR="00E64C5A" w:rsidRPr="00C64817" w:rsidRDefault="001B3C85" w:rsidP="003C0072">
      <w:pPr>
        <w:pStyle w:val="BodyText"/>
        <w:numPr>
          <w:ilvl w:val="0"/>
          <w:numId w:val="21"/>
        </w:numPr>
        <w:suppressAutoHyphens w:val="0"/>
        <w:spacing w:before="0" w:after="120" w:line="240" w:lineRule="auto"/>
        <w:jc w:val="both"/>
        <w:rPr>
          <w:rFonts w:cstheme="minorHAnsi"/>
          <w:bCs/>
          <w:color w:val="auto"/>
          <w:lang w:val="en-AU"/>
        </w:rPr>
      </w:pPr>
      <w:r>
        <w:rPr>
          <w:rFonts w:cstheme="minorHAnsi"/>
          <w:bCs/>
          <w:color w:val="auto"/>
          <w:lang w:val="en-AU"/>
        </w:rPr>
        <w:t>Six-monthly</w:t>
      </w:r>
      <w:r w:rsidRPr="00C64817">
        <w:rPr>
          <w:rFonts w:cstheme="minorHAnsi"/>
          <w:bCs/>
          <w:color w:val="auto"/>
          <w:lang w:val="en-AU"/>
        </w:rPr>
        <w:t xml:space="preserve"> </w:t>
      </w:r>
      <w:r w:rsidR="00E64C5A" w:rsidRPr="00C64817">
        <w:rPr>
          <w:rFonts w:cstheme="minorHAnsi"/>
          <w:bCs/>
          <w:color w:val="auto"/>
          <w:lang w:val="en-AU"/>
        </w:rPr>
        <w:t xml:space="preserve">reflection meetings for DFAT staff and key implementing partners to assess MELF adequacy for the program (including refining program logic, developing common MEL tools, methods) and </w:t>
      </w:r>
      <w:proofErr w:type="gramStart"/>
      <w:r w:rsidR="00E64C5A" w:rsidRPr="00C64817">
        <w:rPr>
          <w:rFonts w:cstheme="minorHAnsi"/>
          <w:bCs/>
          <w:color w:val="auto"/>
          <w:lang w:val="en-AU"/>
        </w:rPr>
        <w:t>make adjustments</w:t>
      </w:r>
      <w:proofErr w:type="gramEnd"/>
      <w:r w:rsidR="00E64C5A" w:rsidRPr="00C64817">
        <w:rPr>
          <w:rFonts w:cstheme="minorHAnsi"/>
          <w:bCs/>
          <w:color w:val="auto"/>
          <w:lang w:val="en-AU"/>
        </w:rPr>
        <w:t xml:space="preserve"> as required (ideally facilitated by a MEL advisor).</w:t>
      </w:r>
    </w:p>
    <w:p w14:paraId="523B16ED" w14:textId="7039D088" w:rsidR="00C56A6B" w:rsidRPr="00C64817" w:rsidRDefault="00C56A6B" w:rsidP="00C56A6B">
      <w:pPr>
        <w:pStyle w:val="BodyText"/>
        <w:numPr>
          <w:ilvl w:val="0"/>
          <w:numId w:val="21"/>
        </w:numPr>
        <w:suppressAutoHyphens w:val="0"/>
        <w:spacing w:before="0" w:after="120" w:line="240" w:lineRule="auto"/>
        <w:jc w:val="both"/>
        <w:rPr>
          <w:rFonts w:cstheme="minorHAnsi"/>
          <w:bCs/>
          <w:color w:val="auto"/>
          <w:lang w:val="en-AU"/>
        </w:rPr>
      </w:pPr>
      <w:r w:rsidRPr="00C64817">
        <w:rPr>
          <w:rFonts w:cstheme="minorHAnsi"/>
          <w:bCs/>
          <w:color w:val="auto"/>
          <w:lang w:val="en-AU"/>
        </w:rPr>
        <w:t xml:space="preserve">Finalisation of the MELF, ensuring that it has both a bilateral and regional focus, including ensuring all indicators in the PAF are measurable, means of verification have been identified, and roles and responsibilities for MEL activities are </w:t>
      </w:r>
      <w:r w:rsidR="005A50E8" w:rsidRPr="005A50E8">
        <w:rPr>
          <w:rFonts w:cstheme="minorHAnsi"/>
          <w:bCs/>
          <w:color w:val="auto"/>
          <w:lang w:val="en-AU"/>
        </w:rPr>
        <w:t>clarified.</w:t>
      </w:r>
    </w:p>
    <w:p w14:paraId="0D8D6254" w14:textId="07CC6CAC" w:rsidR="00E64C5A" w:rsidRPr="00407D94" w:rsidRDefault="00E64C5A" w:rsidP="003C0072">
      <w:pPr>
        <w:pStyle w:val="BodyText"/>
        <w:numPr>
          <w:ilvl w:val="0"/>
          <w:numId w:val="21"/>
        </w:numPr>
        <w:suppressAutoHyphens w:val="0"/>
        <w:spacing w:before="0" w:after="120" w:line="240" w:lineRule="auto"/>
        <w:jc w:val="both"/>
        <w:rPr>
          <w:rFonts w:cstheme="minorHAnsi"/>
          <w:bCs/>
          <w:color w:val="auto"/>
          <w:lang w:val="en-AU"/>
        </w:rPr>
      </w:pPr>
      <w:r w:rsidRPr="00407D94">
        <w:rPr>
          <w:rFonts w:cstheme="minorHAnsi"/>
          <w:bCs/>
          <w:color w:val="auto"/>
          <w:lang w:val="en-AU"/>
        </w:rPr>
        <w:lastRenderedPageBreak/>
        <w:t xml:space="preserve">Collection of baseline data in </w:t>
      </w:r>
      <w:r w:rsidR="002166BB" w:rsidRPr="008A7462">
        <w:rPr>
          <w:rFonts w:cstheme="minorHAnsi"/>
          <w:bCs/>
          <w:color w:val="auto"/>
          <w:lang w:val="en-AU"/>
        </w:rPr>
        <w:t>selected PIC</w:t>
      </w:r>
      <w:r w:rsidR="00321541" w:rsidRPr="00DB3C73">
        <w:rPr>
          <w:rFonts w:cstheme="minorHAnsi"/>
          <w:bCs/>
          <w:color w:val="auto"/>
          <w:lang w:val="en-AU"/>
        </w:rPr>
        <w:t>s</w:t>
      </w:r>
      <w:r w:rsidRPr="002B6BA5">
        <w:rPr>
          <w:rFonts w:cstheme="minorHAnsi"/>
          <w:bCs/>
          <w:color w:val="auto"/>
          <w:lang w:val="en-AU"/>
        </w:rPr>
        <w:t xml:space="preserve"> early in program implementation with support from MEL advisors</w:t>
      </w:r>
      <w:r w:rsidR="009861ED" w:rsidRPr="002B6BA5">
        <w:rPr>
          <w:rFonts w:cstheme="minorHAnsi"/>
          <w:bCs/>
          <w:color w:val="auto"/>
          <w:lang w:val="en-AU"/>
        </w:rPr>
        <w:t xml:space="preserve"> </w:t>
      </w:r>
      <w:r w:rsidR="009861ED" w:rsidRPr="00C64817">
        <w:rPr>
          <w:rFonts w:cstheme="minorHAnsi"/>
          <w:bCs/>
          <w:color w:val="auto"/>
          <w:lang w:val="en-AU"/>
        </w:rPr>
        <w:t>(including drawing on relevant existing regional and national data sets).</w:t>
      </w:r>
    </w:p>
    <w:p w14:paraId="35FA1F20" w14:textId="4871B9B5" w:rsidR="00240FCB" w:rsidRPr="00C64817" w:rsidRDefault="00240FCB" w:rsidP="00240FCB">
      <w:pPr>
        <w:pStyle w:val="BodyText"/>
        <w:numPr>
          <w:ilvl w:val="0"/>
          <w:numId w:val="21"/>
        </w:numPr>
        <w:suppressAutoHyphens w:val="0"/>
        <w:spacing w:before="0" w:after="120" w:line="240" w:lineRule="auto"/>
        <w:jc w:val="both"/>
        <w:rPr>
          <w:rFonts w:cstheme="minorHAnsi"/>
          <w:bCs/>
          <w:color w:val="auto"/>
          <w:lang w:val="en-AU"/>
        </w:rPr>
      </w:pPr>
      <w:r w:rsidRPr="00C64817">
        <w:rPr>
          <w:rFonts w:cstheme="minorHAnsi"/>
          <w:bCs/>
          <w:color w:val="auto"/>
          <w:lang w:val="en-AU"/>
        </w:rPr>
        <w:t xml:space="preserve">Disaggregated data collection and analysis that reports results and impact for the diverse range of participants, including people with </w:t>
      </w:r>
      <w:r w:rsidR="005A50E8" w:rsidRPr="005A50E8">
        <w:rPr>
          <w:rFonts w:cstheme="minorHAnsi"/>
          <w:bCs/>
          <w:color w:val="auto"/>
          <w:lang w:val="en-AU"/>
        </w:rPr>
        <w:t>disabilities.</w:t>
      </w:r>
    </w:p>
    <w:p w14:paraId="176578D1" w14:textId="77777777" w:rsidR="00140452" w:rsidRPr="00C64817" w:rsidRDefault="00140452" w:rsidP="00140452">
      <w:pPr>
        <w:pStyle w:val="BodyText"/>
        <w:numPr>
          <w:ilvl w:val="0"/>
          <w:numId w:val="21"/>
        </w:numPr>
        <w:suppressAutoHyphens w:val="0"/>
        <w:spacing w:before="0" w:after="120" w:line="240" w:lineRule="auto"/>
        <w:jc w:val="both"/>
        <w:rPr>
          <w:rFonts w:cstheme="minorHAnsi"/>
          <w:bCs/>
          <w:color w:val="auto"/>
          <w:lang w:val="en-AU"/>
        </w:rPr>
      </w:pPr>
      <w:r w:rsidRPr="00C64817">
        <w:rPr>
          <w:rFonts w:cstheme="minorHAnsi"/>
          <w:bCs/>
          <w:color w:val="auto"/>
          <w:lang w:val="en-AU"/>
        </w:rPr>
        <w:t>Regular assessment of the efficacy of relationship building, ongoing coordination between partners, and creation of partnerships (e.g. through annual Partnership Reviews/ Health checks)</w:t>
      </w:r>
    </w:p>
    <w:p w14:paraId="0401F17C" w14:textId="17DBCDAF" w:rsidR="00E64C5A" w:rsidRPr="00DB3C73" w:rsidRDefault="00E64C5A" w:rsidP="003C0072">
      <w:pPr>
        <w:pStyle w:val="BodyText"/>
        <w:numPr>
          <w:ilvl w:val="0"/>
          <w:numId w:val="21"/>
        </w:numPr>
        <w:suppressAutoHyphens w:val="0"/>
        <w:spacing w:before="0" w:after="120" w:line="240" w:lineRule="auto"/>
        <w:jc w:val="both"/>
        <w:rPr>
          <w:rFonts w:cstheme="minorHAnsi"/>
          <w:bCs/>
          <w:color w:val="auto"/>
          <w:lang w:val="en-AU"/>
        </w:rPr>
      </w:pPr>
      <w:r w:rsidRPr="00407D94">
        <w:rPr>
          <w:rFonts w:cstheme="minorHAnsi"/>
          <w:bCs/>
          <w:color w:val="auto"/>
          <w:lang w:val="en-AU"/>
        </w:rPr>
        <w:t xml:space="preserve">Semi-annual progress reports from partners where specific project activities are being undertaken that respond to program outcomes and indicators (consider using a </w:t>
      </w:r>
      <w:r w:rsidRPr="008A7462">
        <w:rPr>
          <w:rFonts w:cstheme="minorHAnsi"/>
          <w:bCs/>
          <w:color w:val="auto"/>
          <w:lang w:val="en-AU"/>
        </w:rPr>
        <w:t>template to streamline reporting)</w:t>
      </w:r>
    </w:p>
    <w:p w14:paraId="5999C1AA" w14:textId="44BDB78E" w:rsidR="00E64C5A" w:rsidRPr="00C64817" w:rsidRDefault="00E64C5A" w:rsidP="003C0072">
      <w:pPr>
        <w:pStyle w:val="BodyText"/>
        <w:numPr>
          <w:ilvl w:val="0"/>
          <w:numId w:val="21"/>
        </w:numPr>
        <w:suppressAutoHyphens w:val="0"/>
        <w:spacing w:before="0" w:after="120" w:line="240" w:lineRule="auto"/>
        <w:jc w:val="both"/>
        <w:rPr>
          <w:rFonts w:cstheme="minorHAnsi"/>
          <w:bCs/>
          <w:color w:val="auto"/>
          <w:lang w:val="en-AU"/>
        </w:rPr>
      </w:pPr>
      <w:r w:rsidRPr="00F44628">
        <w:rPr>
          <w:rFonts w:cstheme="minorHAnsi"/>
          <w:bCs/>
          <w:color w:val="auto"/>
          <w:lang w:val="en-AU"/>
        </w:rPr>
        <w:t>Regular field monitoring visits (</w:t>
      </w:r>
      <w:r w:rsidR="001B3C85">
        <w:rPr>
          <w:rFonts w:cstheme="minorHAnsi"/>
          <w:bCs/>
          <w:color w:val="auto"/>
          <w:lang w:val="en-AU"/>
        </w:rPr>
        <w:t>twice a year</w:t>
      </w:r>
      <w:r w:rsidRPr="00F44628">
        <w:rPr>
          <w:rFonts w:cstheme="minorHAnsi"/>
          <w:bCs/>
          <w:color w:val="auto"/>
          <w:lang w:val="en-AU"/>
        </w:rPr>
        <w:t>) in each location that includes direct engagement with communities where possible</w:t>
      </w:r>
      <w:r w:rsidR="004762BC" w:rsidRPr="00C64817">
        <w:rPr>
          <w:rFonts w:cstheme="minorHAnsi"/>
          <w:bCs/>
          <w:color w:val="auto"/>
          <w:lang w:val="en-AU"/>
        </w:rPr>
        <w:t xml:space="preserve"> and covers</w:t>
      </w:r>
      <w:r w:rsidR="004762BC" w:rsidRPr="00C64817">
        <w:rPr>
          <w:rFonts w:cstheme="minorHAnsi"/>
          <w:color w:val="000000"/>
          <w:shd w:val="clear" w:color="auto" w:fill="FFFFFF"/>
        </w:rPr>
        <w:t xml:space="preserve"> </w:t>
      </w:r>
      <w:r w:rsidR="000832F4" w:rsidRPr="00C64817">
        <w:rPr>
          <w:rFonts w:cstheme="minorHAnsi"/>
          <w:color w:val="000000"/>
          <w:shd w:val="clear" w:color="auto" w:fill="FFFFFF"/>
        </w:rPr>
        <w:t>c</w:t>
      </w:r>
      <w:r w:rsidR="004762BC" w:rsidRPr="00C64817">
        <w:rPr>
          <w:rFonts w:cstheme="minorHAnsi"/>
          <w:color w:val="000000"/>
          <w:shd w:val="clear" w:color="auto" w:fill="FFFFFF"/>
        </w:rPr>
        <w:t xml:space="preserve">hild </w:t>
      </w:r>
      <w:r w:rsidR="000832F4" w:rsidRPr="00C64817">
        <w:rPr>
          <w:rFonts w:cstheme="minorHAnsi"/>
          <w:color w:val="000000"/>
          <w:shd w:val="clear" w:color="auto" w:fill="FFFFFF"/>
        </w:rPr>
        <w:t>p</w:t>
      </w:r>
      <w:r w:rsidR="004762BC" w:rsidRPr="00C64817">
        <w:rPr>
          <w:rFonts w:cstheme="minorHAnsi"/>
          <w:color w:val="000000"/>
          <w:shd w:val="clear" w:color="auto" w:fill="FFFFFF"/>
        </w:rPr>
        <w:t>rotection and PSEAH</w:t>
      </w:r>
      <w:r w:rsidRPr="00407D94">
        <w:rPr>
          <w:rFonts w:cstheme="minorHAnsi"/>
          <w:bCs/>
          <w:color w:val="auto"/>
          <w:lang w:val="en-AU"/>
        </w:rPr>
        <w:t>.</w:t>
      </w:r>
      <w:r w:rsidR="00A3405C" w:rsidRPr="00407D94">
        <w:rPr>
          <w:rFonts w:cstheme="minorHAnsi"/>
          <w:bCs/>
          <w:color w:val="auto"/>
          <w:lang w:val="en-AU"/>
        </w:rPr>
        <w:t xml:space="preserve"> </w:t>
      </w:r>
      <w:r w:rsidR="00A3405C" w:rsidRPr="008A7462">
        <w:rPr>
          <w:rFonts w:cstheme="minorHAnsi"/>
          <w:bCs/>
          <w:color w:val="auto"/>
          <w:lang w:val="en-AU"/>
        </w:rPr>
        <w:t xml:space="preserve">These monitoring visits would be </w:t>
      </w:r>
      <w:r w:rsidR="002375DF" w:rsidRPr="00C64817">
        <w:rPr>
          <w:rFonts w:cstheme="minorHAnsi"/>
          <w:bCs/>
          <w:color w:val="auto"/>
          <w:lang w:val="en-AU"/>
        </w:rPr>
        <w:t>led by</w:t>
      </w:r>
      <w:r w:rsidR="00A87716" w:rsidRPr="00C64817">
        <w:rPr>
          <w:rFonts w:cstheme="minorHAnsi"/>
          <w:bCs/>
          <w:color w:val="auto"/>
          <w:lang w:val="en-AU"/>
        </w:rPr>
        <w:t xml:space="preserve"> the </w:t>
      </w:r>
      <w:r w:rsidR="00A64A0A" w:rsidRPr="00C64817">
        <w:rPr>
          <w:rFonts w:cstheme="minorHAnsi"/>
          <w:bCs/>
          <w:color w:val="auto"/>
          <w:lang w:val="en-AU"/>
        </w:rPr>
        <w:t>QTAG</w:t>
      </w:r>
      <w:r w:rsidR="005C3FED" w:rsidRPr="00C64817">
        <w:rPr>
          <w:rFonts w:cstheme="minorHAnsi"/>
          <w:bCs/>
          <w:color w:val="auto"/>
          <w:lang w:val="en-AU"/>
        </w:rPr>
        <w:t xml:space="preserve"> with SPC</w:t>
      </w:r>
      <w:r w:rsidR="002375DF" w:rsidRPr="00C64817">
        <w:rPr>
          <w:rFonts w:cstheme="minorHAnsi"/>
          <w:bCs/>
          <w:color w:val="auto"/>
          <w:lang w:val="en-AU"/>
        </w:rPr>
        <w:t xml:space="preserve"> also participating</w:t>
      </w:r>
      <w:r w:rsidR="00A173B4" w:rsidRPr="00C64817">
        <w:rPr>
          <w:rFonts w:cstheme="minorHAnsi"/>
          <w:bCs/>
          <w:color w:val="auto"/>
          <w:lang w:val="en-AU"/>
        </w:rPr>
        <w:t xml:space="preserve">, and DFAT Post staff having the opportunity to join </w:t>
      </w:r>
      <w:r w:rsidR="00B04CE6" w:rsidRPr="00C64817">
        <w:rPr>
          <w:rFonts w:cstheme="minorHAnsi"/>
          <w:bCs/>
          <w:color w:val="auto"/>
          <w:lang w:val="en-AU"/>
        </w:rPr>
        <w:t>monitoring</w:t>
      </w:r>
      <w:r w:rsidR="00A173B4" w:rsidRPr="00C64817">
        <w:rPr>
          <w:rFonts w:cstheme="minorHAnsi"/>
          <w:bCs/>
          <w:color w:val="auto"/>
          <w:lang w:val="en-AU"/>
        </w:rPr>
        <w:t xml:space="preserve"> visits </w:t>
      </w:r>
      <w:r w:rsidR="00EE3213" w:rsidRPr="00C64817">
        <w:rPr>
          <w:rFonts w:cstheme="minorHAnsi"/>
          <w:bCs/>
          <w:color w:val="auto"/>
          <w:lang w:val="en-AU"/>
        </w:rPr>
        <w:t>should they wish.</w:t>
      </w:r>
      <w:r w:rsidR="00A173B4" w:rsidRPr="00C64817">
        <w:rPr>
          <w:rFonts w:cstheme="minorHAnsi"/>
          <w:bCs/>
          <w:color w:val="auto"/>
          <w:lang w:val="en-AU"/>
        </w:rPr>
        <w:t xml:space="preserve"> </w:t>
      </w:r>
      <w:r w:rsidR="005C3FED" w:rsidRPr="00C64817">
        <w:rPr>
          <w:rFonts w:cstheme="minorHAnsi"/>
          <w:bCs/>
          <w:color w:val="auto"/>
          <w:lang w:val="en-AU"/>
        </w:rPr>
        <w:t xml:space="preserve"> </w:t>
      </w:r>
    </w:p>
    <w:p w14:paraId="7AA7899F" w14:textId="18CB79F1" w:rsidR="00E64C5A" w:rsidRPr="00C64817" w:rsidRDefault="00E64C5A" w:rsidP="003C0072">
      <w:pPr>
        <w:pStyle w:val="BodyText"/>
        <w:numPr>
          <w:ilvl w:val="0"/>
          <w:numId w:val="21"/>
        </w:numPr>
        <w:suppressAutoHyphens w:val="0"/>
        <w:spacing w:before="0" w:after="120" w:line="240" w:lineRule="auto"/>
        <w:jc w:val="both"/>
        <w:rPr>
          <w:rFonts w:cstheme="minorHAnsi"/>
          <w:bCs/>
          <w:color w:val="auto"/>
          <w:lang w:val="en-AU"/>
        </w:rPr>
      </w:pPr>
      <w:r w:rsidRPr="00C64817">
        <w:rPr>
          <w:rFonts w:cstheme="minorHAnsi"/>
          <w:bCs/>
          <w:color w:val="auto"/>
          <w:lang w:val="en-AU"/>
        </w:rPr>
        <w:t xml:space="preserve">Semi-annual government dialogues at both national and city level to support relationships and learning that will secure sustainable outcomes for the </w:t>
      </w:r>
      <w:r w:rsidR="005A50E8" w:rsidRPr="00C64817">
        <w:rPr>
          <w:rFonts w:cstheme="minorHAnsi"/>
          <w:bCs/>
          <w:color w:val="auto"/>
          <w:lang w:val="en-AU"/>
        </w:rPr>
        <w:t>program.</w:t>
      </w:r>
    </w:p>
    <w:p w14:paraId="08578410" w14:textId="60D40AA9" w:rsidR="00E64C5A" w:rsidRPr="00C64817" w:rsidRDefault="002375DF" w:rsidP="003C0072">
      <w:pPr>
        <w:pStyle w:val="BodyText"/>
        <w:numPr>
          <w:ilvl w:val="0"/>
          <w:numId w:val="21"/>
        </w:numPr>
        <w:suppressAutoHyphens w:val="0"/>
        <w:spacing w:before="0" w:after="120" w:line="240" w:lineRule="auto"/>
        <w:jc w:val="both"/>
        <w:rPr>
          <w:rFonts w:cstheme="minorHAnsi"/>
          <w:bCs/>
          <w:color w:val="auto"/>
          <w:lang w:val="en-AU"/>
        </w:rPr>
      </w:pPr>
      <w:r w:rsidRPr="00C64817">
        <w:rPr>
          <w:rFonts w:cstheme="minorHAnsi"/>
          <w:bCs/>
          <w:color w:val="auto"/>
          <w:lang w:val="en-AU"/>
        </w:rPr>
        <w:t>Regular m</w:t>
      </w:r>
      <w:r w:rsidR="00E64C5A" w:rsidRPr="00C64817">
        <w:rPr>
          <w:rFonts w:cstheme="minorHAnsi"/>
          <w:bCs/>
          <w:color w:val="auto"/>
          <w:lang w:val="en-AU"/>
        </w:rPr>
        <w:t xml:space="preserve">eetings with other donors and </w:t>
      </w:r>
      <w:r w:rsidRPr="00C64817">
        <w:rPr>
          <w:rFonts w:cstheme="minorHAnsi"/>
          <w:bCs/>
          <w:color w:val="auto"/>
          <w:lang w:val="en-AU"/>
        </w:rPr>
        <w:t xml:space="preserve">the </w:t>
      </w:r>
      <w:r w:rsidR="00E64C5A" w:rsidRPr="00C64817">
        <w:rPr>
          <w:rFonts w:cstheme="minorHAnsi"/>
          <w:bCs/>
          <w:color w:val="auto"/>
          <w:lang w:val="en-AU"/>
        </w:rPr>
        <w:t xml:space="preserve">private sector </w:t>
      </w:r>
      <w:r w:rsidR="00720EB6" w:rsidRPr="00C64817">
        <w:rPr>
          <w:rFonts w:cstheme="minorHAnsi"/>
          <w:bCs/>
          <w:color w:val="auto"/>
          <w:lang w:val="en-AU"/>
        </w:rPr>
        <w:t>will be scheduled by SPC – and involving other partners as appropri</w:t>
      </w:r>
      <w:r w:rsidRPr="00C64817">
        <w:rPr>
          <w:rFonts w:cstheme="minorHAnsi"/>
          <w:bCs/>
          <w:color w:val="auto"/>
          <w:lang w:val="en-AU"/>
        </w:rPr>
        <w:t xml:space="preserve">ate - </w:t>
      </w:r>
      <w:r w:rsidR="00E64C5A" w:rsidRPr="00C64817">
        <w:rPr>
          <w:rFonts w:cstheme="minorHAnsi"/>
          <w:bCs/>
          <w:color w:val="auto"/>
          <w:lang w:val="en-AU"/>
        </w:rPr>
        <w:t xml:space="preserve">to maximise sectoral coordination and </w:t>
      </w:r>
      <w:r w:rsidR="005A50E8" w:rsidRPr="00C64817">
        <w:rPr>
          <w:rFonts w:cstheme="minorHAnsi"/>
          <w:bCs/>
          <w:color w:val="auto"/>
          <w:lang w:val="en-AU"/>
        </w:rPr>
        <w:t>collaboration.</w:t>
      </w:r>
    </w:p>
    <w:p w14:paraId="2072117D" w14:textId="77777777" w:rsidR="00E64C5A" w:rsidRPr="00C64817" w:rsidRDefault="00E64C5A" w:rsidP="003C0072">
      <w:pPr>
        <w:pStyle w:val="BodyText"/>
        <w:numPr>
          <w:ilvl w:val="0"/>
          <w:numId w:val="21"/>
        </w:numPr>
        <w:suppressAutoHyphens w:val="0"/>
        <w:spacing w:before="0" w:after="120" w:line="240" w:lineRule="auto"/>
        <w:jc w:val="both"/>
        <w:rPr>
          <w:rFonts w:cstheme="minorHAnsi"/>
          <w:b/>
          <w:color w:val="auto"/>
          <w:lang w:val="en-AU"/>
        </w:rPr>
      </w:pPr>
      <w:r w:rsidRPr="00C64817">
        <w:rPr>
          <w:rFonts w:cstheme="minorHAnsi"/>
          <w:bCs/>
          <w:color w:val="auto"/>
          <w:lang w:val="en-AU"/>
        </w:rPr>
        <w:t>Annual investment performance checks, according to DFAT’s Monitoring and Evaluation Standards</w:t>
      </w:r>
    </w:p>
    <w:p w14:paraId="53159A50" w14:textId="1039E7DC" w:rsidR="00E64C5A" w:rsidRPr="00C64817" w:rsidRDefault="00E64C5A" w:rsidP="003C0072">
      <w:pPr>
        <w:pStyle w:val="BodyText"/>
        <w:numPr>
          <w:ilvl w:val="0"/>
          <w:numId w:val="21"/>
        </w:numPr>
        <w:suppressAutoHyphens w:val="0"/>
        <w:spacing w:before="0" w:after="120" w:line="240" w:lineRule="auto"/>
        <w:jc w:val="both"/>
        <w:rPr>
          <w:rFonts w:cstheme="minorHAnsi"/>
          <w:bCs/>
          <w:color w:val="auto"/>
          <w:lang w:val="en-AU"/>
        </w:rPr>
      </w:pPr>
      <w:r w:rsidRPr="00C64817">
        <w:rPr>
          <w:rFonts w:cstheme="minorHAnsi"/>
          <w:bCs/>
          <w:color w:val="auto"/>
          <w:lang w:val="en-AU"/>
        </w:rPr>
        <w:t>Mid-term partnership workshop with implementation partners to reflect on progress and forward plan, facilitated by an independent expert</w:t>
      </w:r>
      <w:r w:rsidR="005833DD" w:rsidRPr="00C64817">
        <w:rPr>
          <w:rFonts w:eastAsia="Times New Roman" w:cstheme="minorHAnsi"/>
          <w:lang w:eastAsia="en-GB"/>
        </w:rPr>
        <w:t xml:space="preserve"> </w:t>
      </w:r>
      <w:r w:rsidR="005833DD" w:rsidRPr="00C64817">
        <w:rPr>
          <w:rFonts w:eastAsia="Times New Roman" w:cstheme="minorHAnsi"/>
          <w:color w:val="auto"/>
          <w:lang w:eastAsia="en-GB"/>
        </w:rPr>
        <w:t xml:space="preserve">or a </w:t>
      </w:r>
      <w:r w:rsidR="005833DD" w:rsidRPr="00C64817">
        <w:rPr>
          <w:rFonts w:cstheme="minorHAnsi"/>
          <w:color w:val="auto"/>
        </w:rPr>
        <w:t>mid-term review of the program. This review will take stock of progress and help inform decision making regarding future programming for the investment</w:t>
      </w:r>
      <w:r w:rsidR="00140452" w:rsidRPr="00C64817">
        <w:rPr>
          <w:rFonts w:cstheme="minorHAnsi"/>
          <w:color w:val="auto"/>
        </w:rPr>
        <w:t>. Indicative timing – mid 2023.</w:t>
      </w:r>
    </w:p>
    <w:p w14:paraId="7ECDC7D9" w14:textId="6BB40919" w:rsidR="00E64C5A" w:rsidRPr="00C64817" w:rsidRDefault="00E64C5A" w:rsidP="003C0072">
      <w:pPr>
        <w:pStyle w:val="BodyText"/>
        <w:numPr>
          <w:ilvl w:val="0"/>
          <w:numId w:val="21"/>
        </w:numPr>
        <w:suppressAutoHyphens w:val="0"/>
        <w:spacing w:before="0" w:after="120" w:line="240" w:lineRule="auto"/>
        <w:jc w:val="both"/>
        <w:rPr>
          <w:rFonts w:cstheme="minorHAnsi"/>
          <w:bCs/>
          <w:color w:val="auto"/>
          <w:lang w:val="en-AU"/>
        </w:rPr>
      </w:pPr>
      <w:r w:rsidRPr="00C64817">
        <w:rPr>
          <w:rFonts w:cstheme="minorHAnsi"/>
          <w:bCs/>
          <w:color w:val="auto"/>
          <w:lang w:val="en-AU"/>
        </w:rPr>
        <w:t>Independent end-of-program evaluation to capture program learning, stories of success, and guide future planning and investment</w:t>
      </w:r>
      <w:r w:rsidR="00C40073" w:rsidRPr="00C64817">
        <w:rPr>
          <w:rFonts w:cstheme="minorHAnsi"/>
          <w:bCs/>
          <w:color w:val="auto"/>
          <w:lang w:val="en-AU"/>
        </w:rPr>
        <w:t>.</w:t>
      </w:r>
      <w:r w:rsidRPr="00C64817">
        <w:rPr>
          <w:rFonts w:cstheme="minorHAnsi"/>
          <w:bCs/>
          <w:color w:val="auto"/>
          <w:lang w:val="en-AU"/>
        </w:rPr>
        <w:t xml:space="preserve"> </w:t>
      </w:r>
      <w:r w:rsidR="00BB5D05" w:rsidRPr="00C64817">
        <w:rPr>
          <w:rFonts w:cstheme="minorHAnsi"/>
          <w:bCs/>
          <w:color w:val="auto"/>
          <w:lang w:val="en-AU"/>
        </w:rPr>
        <w:t>Indicative timing – mid 2026.</w:t>
      </w:r>
    </w:p>
    <w:p w14:paraId="5E5DD465" w14:textId="24D3BF5F" w:rsidR="002D4DE7" w:rsidRPr="00C64817" w:rsidRDefault="002D4DE7" w:rsidP="00C13494">
      <w:pPr>
        <w:tabs>
          <w:tab w:val="left" w:pos="284"/>
        </w:tabs>
        <w:suppressAutoHyphens w:val="0"/>
        <w:spacing w:before="0" w:line="280" w:lineRule="exact"/>
        <w:jc w:val="both"/>
        <w:rPr>
          <w:rFonts w:cstheme="minorHAnsi"/>
        </w:rPr>
      </w:pPr>
    </w:p>
    <w:p w14:paraId="50AA0BB2" w14:textId="38C6985F" w:rsidR="006F116F" w:rsidRPr="00C64817" w:rsidRDefault="00423F6B" w:rsidP="00F328DA">
      <w:pPr>
        <w:pStyle w:val="Heading1"/>
      </w:pPr>
      <w:bookmarkStart w:id="22" w:name="_Toc75535896"/>
      <w:r>
        <w:t xml:space="preserve">7. </w:t>
      </w:r>
      <w:r w:rsidR="006F116F" w:rsidRPr="00C64817">
        <w:t>Gender, Disability and Other Cross Cutting Issues</w:t>
      </w:r>
      <w:bookmarkEnd w:id="22"/>
      <w:r w:rsidR="003B1A32" w:rsidRPr="00C64817">
        <w:t xml:space="preserve"> </w:t>
      </w:r>
    </w:p>
    <w:p w14:paraId="3FCA15C4" w14:textId="77777777" w:rsidR="006669EC" w:rsidRPr="00F328DA" w:rsidRDefault="006669EC" w:rsidP="00F328DA">
      <w:pPr>
        <w:pStyle w:val="Heading2"/>
        <w:rPr>
          <w:sz w:val="36"/>
          <w:szCs w:val="24"/>
          <w:lang w:val="en-AU"/>
        </w:rPr>
      </w:pPr>
      <w:bookmarkStart w:id="23" w:name="_Toc75535897"/>
      <w:r w:rsidRPr="00F328DA">
        <w:rPr>
          <w:sz w:val="36"/>
          <w:szCs w:val="24"/>
          <w:lang w:val="en-AU"/>
        </w:rPr>
        <w:t>Gender Equality</w:t>
      </w:r>
      <w:bookmarkEnd w:id="23"/>
    </w:p>
    <w:p w14:paraId="2F1254A9" w14:textId="41877994" w:rsidR="006669EC" w:rsidRPr="00C64817" w:rsidRDefault="00430DFE" w:rsidP="0018394C">
      <w:pPr>
        <w:jc w:val="both"/>
        <w:rPr>
          <w:rFonts w:eastAsia="Calibri Light" w:cstheme="minorHAnsi"/>
          <w:color w:val="auto"/>
          <w:lang w:val="en-AU"/>
        </w:rPr>
      </w:pPr>
      <w:r w:rsidRPr="008A7462">
        <w:rPr>
          <w:rFonts w:eastAsia="Calibri Light" w:cstheme="minorHAnsi"/>
          <w:bCs/>
          <w:color w:val="auto"/>
          <w:lang w:val="en-AU"/>
        </w:rPr>
        <w:t>7.1</w:t>
      </w:r>
      <w:r w:rsidRPr="008A7462">
        <w:rPr>
          <w:rFonts w:eastAsia="Calibri Light" w:cstheme="minorHAnsi"/>
          <w:bCs/>
          <w:color w:val="auto"/>
          <w:lang w:val="en-AU"/>
        </w:rPr>
        <w:tab/>
      </w:r>
      <w:r w:rsidR="006669EC" w:rsidRPr="00DB3C73">
        <w:rPr>
          <w:rFonts w:eastAsia="Calibri Light" w:cstheme="minorHAnsi"/>
          <w:b/>
          <w:color w:val="auto"/>
          <w:lang w:val="en-AU"/>
        </w:rPr>
        <w:t>Gender equality is the main objective for this investment</w:t>
      </w:r>
      <w:r w:rsidR="006669EC" w:rsidRPr="002B6BA5">
        <w:rPr>
          <w:rFonts w:eastAsia="Calibri Light" w:cstheme="minorHAnsi"/>
          <w:color w:val="auto"/>
          <w:lang w:val="en-AU"/>
        </w:rPr>
        <w:t xml:space="preserve"> as the </w:t>
      </w:r>
      <w:r w:rsidR="0051698D" w:rsidRPr="002B6BA5">
        <w:rPr>
          <w:rFonts w:eastAsia="Calibri Light" w:cstheme="minorHAnsi"/>
          <w:color w:val="auto"/>
          <w:lang w:val="en-AU"/>
        </w:rPr>
        <w:t>Pacific</w:t>
      </w:r>
      <w:r w:rsidR="006669EC" w:rsidRPr="000220F0">
        <w:rPr>
          <w:rFonts w:eastAsia="Calibri Light" w:cstheme="minorHAnsi"/>
          <w:color w:val="auto"/>
          <w:lang w:val="en-AU"/>
        </w:rPr>
        <w:t xml:space="preserve"> region includes countries that have </w:t>
      </w:r>
      <w:r w:rsidR="00F8495A" w:rsidRPr="00F44628">
        <w:rPr>
          <w:rFonts w:eastAsia="Calibri Light" w:cstheme="minorHAnsi"/>
          <w:color w:val="auto"/>
          <w:lang w:val="en-AU"/>
        </w:rPr>
        <w:t>the largest</w:t>
      </w:r>
      <w:r w:rsidR="006669EC" w:rsidRPr="00C64817">
        <w:rPr>
          <w:rFonts w:eastAsia="Calibri Light" w:cstheme="minorHAnsi"/>
          <w:color w:val="auto"/>
          <w:lang w:val="en-AU"/>
        </w:rPr>
        <w:t xml:space="preserve"> gender gaps in education, economic participation, and health outcomes</w:t>
      </w:r>
      <w:r w:rsidR="00F8495A" w:rsidRPr="00C64817">
        <w:rPr>
          <w:rFonts w:eastAsia="Calibri Light" w:cstheme="minorHAnsi"/>
          <w:color w:val="auto"/>
          <w:lang w:val="en-AU"/>
        </w:rPr>
        <w:t xml:space="preserve"> in the world</w:t>
      </w:r>
      <w:r w:rsidR="00F07401" w:rsidRPr="00C64817">
        <w:rPr>
          <w:rFonts w:eastAsia="Calibri Light" w:cstheme="minorHAnsi"/>
          <w:color w:val="auto"/>
          <w:lang w:val="en-AU"/>
        </w:rPr>
        <w:t xml:space="preserve"> as well as some of the highest rates of </w:t>
      </w:r>
      <w:r w:rsidR="00A17F24" w:rsidRPr="00C64817">
        <w:rPr>
          <w:rFonts w:eastAsia="Calibri Light" w:cstheme="minorHAnsi"/>
          <w:color w:val="auto"/>
          <w:lang w:val="en-AU"/>
        </w:rPr>
        <w:t>gender</w:t>
      </w:r>
      <w:r w:rsidR="00D62A8F" w:rsidRPr="00C64817">
        <w:rPr>
          <w:rFonts w:eastAsia="Calibri Light" w:cstheme="minorHAnsi"/>
          <w:color w:val="auto"/>
          <w:lang w:val="en-AU"/>
        </w:rPr>
        <w:t>-</w:t>
      </w:r>
      <w:r w:rsidR="00A17F24" w:rsidRPr="00C64817">
        <w:rPr>
          <w:rFonts w:eastAsia="Calibri Light" w:cstheme="minorHAnsi"/>
          <w:color w:val="auto"/>
          <w:lang w:val="en-AU"/>
        </w:rPr>
        <w:t>based violence</w:t>
      </w:r>
      <w:r w:rsidR="006669EC" w:rsidRPr="00C64817">
        <w:rPr>
          <w:rFonts w:eastAsia="Calibri Light" w:cstheme="minorHAnsi"/>
          <w:color w:val="auto"/>
          <w:lang w:val="en-AU"/>
        </w:rPr>
        <w:t xml:space="preserve">. DFAT’s Gender Equality and Women’s Empowerment Strategy 2016 identifies “enhancing women’s voice in decision-making, leadership and peace-building” as one of three priorities. This investment will use the gender mainstreaming approach to identify opportunities for activities that will promote women’s participation and leadership in </w:t>
      </w:r>
      <w:r w:rsidR="00416693" w:rsidRPr="00C64817">
        <w:rPr>
          <w:rFonts w:eastAsia="Calibri Light" w:cstheme="minorHAnsi"/>
          <w:color w:val="auto"/>
          <w:lang w:val="en-AU"/>
        </w:rPr>
        <w:t>enhancing gender equality</w:t>
      </w:r>
      <w:r w:rsidR="006669EC" w:rsidRPr="00C64817">
        <w:rPr>
          <w:rFonts w:eastAsia="Calibri Light" w:cstheme="minorHAnsi"/>
          <w:color w:val="auto"/>
          <w:lang w:val="en-AU"/>
        </w:rPr>
        <w:t xml:space="preserve"> in </w:t>
      </w:r>
      <w:r w:rsidR="00416693" w:rsidRPr="00C64817">
        <w:rPr>
          <w:rFonts w:eastAsia="Calibri Light" w:cstheme="minorHAnsi"/>
          <w:color w:val="auto"/>
          <w:lang w:val="en-AU"/>
        </w:rPr>
        <w:t>the Pacific</w:t>
      </w:r>
      <w:r w:rsidR="006669EC" w:rsidRPr="00C64817">
        <w:rPr>
          <w:rFonts w:eastAsia="Calibri Light" w:cstheme="minorHAnsi"/>
          <w:color w:val="auto"/>
          <w:lang w:val="en-AU"/>
        </w:rPr>
        <w:t xml:space="preserve">. A gender-responsive lens will be applied to all activities that ensures gender-differentiated systems address barriers and </w:t>
      </w:r>
      <w:r w:rsidR="00D3731D" w:rsidRPr="00C64817">
        <w:rPr>
          <w:rFonts w:eastAsia="Calibri Light" w:cstheme="minorHAnsi"/>
          <w:color w:val="auto"/>
          <w:lang w:val="en-AU"/>
        </w:rPr>
        <w:t xml:space="preserve">identify </w:t>
      </w:r>
      <w:r w:rsidR="006669EC" w:rsidRPr="00C64817">
        <w:rPr>
          <w:rFonts w:eastAsia="Calibri Light" w:cstheme="minorHAnsi"/>
          <w:color w:val="auto"/>
          <w:lang w:val="en-AU"/>
        </w:rPr>
        <w:t xml:space="preserve">opportunities </w:t>
      </w:r>
      <w:r w:rsidR="00D3731D" w:rsidRPr="00C64817">
        <w:rPr>
          <w:rFonts w:eastAsia="Calibri Light" w:cstheme="minorHAnsi"/>
          <w:color w:val="auto"/>
          <w:lang w:val="en-AU"/>
        </w:rPr>
        <w:t xml:space="preserve">for enhancing </w:t>
      </w:r>
      <w:r w:rsidR="00973E78" w:rsidRPr="00C64817">
        <w:rPr>
          <w:rFonts w:eastAsia="Calibri Light" w:cstheme="minorHAnsi"/>
          <w:color w:val="auto"/>
          <w:lang w:val="en-AU"/>
        </w:rPr>
        <w:t>women’s health, women’s economic empowerment and women’s safety</w:t>
      </w:r>
      <w:r w:rsidR="006669EC" w:rsidRPr="00C64817">
        <w:rPr>
          <w:rFonts w:eastAsia="Calibri Light" w:cstheme="minorHAnsi"/>
          <w:color w:val="auto"/>
          <w:lang w:val="en-AU"/>
        </w:rPr>
        <w:t xml:space="preserve">. It will also ensure a “do no harm” approach is taken to engaging women in program activities and appropriate mechanisms in place to protect women who may be at risk (see also Risk Management and Safeguards section). </w:t>
      </w:r>
    </w:p>
    <w:p w14:paraId="6D46B5CD" w14:textId="12119328" w:rsidR="006669EC" w:rsidRPr="00F328DA" w:rsidRDefault="006669EC" w:rsidP="00F328DA">
      <w:pPr>
        <w:pStyle w:val="Heading2"/>
        <w:rPr>
          <w:sz w:val="36"/>
          <w:szCs w:val="24"/>
          <w:lang w:val="en-AU"/>
        </w:rPr>
      </w:pPr>
      <w:bookmarkStart w:id="24" w:name="_Toc75535898"/>
      <w:r w:rsidRPr="00F328DA">
        <w:rPr>
          <w:sz w:val="36"/>
          <w:szCs w:val="24"/>
          <w:lang w:val="en-AU"/>
        </w:rPr>
        <w:t>Disability and social inclusion</w:t>
      </w:r>
      <w:bookmarkEnd w:id="24"/>
    </w:p>
    <w:p w14:paraId="2A535261" w14:textId="6A8ECEA9" w:rsidR="000B597B" w:rsidRPr="00C64817" w:rsidRDefault="00430DFE" w:rsidP="000B597B">
      <w:pPr>
        <w:spacing w:after="120"/>
        <w:jc w:val="both"/>
        <w:textAlignment w:val="baseline"/>
        <w:rPr>
          <w:rFonts w:eastAsiaTheme="majorEastAsia" w:cstheme="minorHAnsi"/>
          <w:lang w:eastAsia="en-AU"/>
        </w:rPr>
      </w:pPr>
      <w:r w:rsidRPr="00C64817">
        <w:rPr>
          <w:rFonts w:eastAsiaTheme="majorEastAsia" w:cstheme="minorHAnsi"/>
          <w:color w:val="auto"/>
          <w:lang w:eastAsia="en-AU"/>
        </w:rPr>
        <w:t>7.2</w:t>
      </w:r>
      <w:r w:rsidRPr="00C64817">
        <w:rPr>
          <w:rFonts w:eastAsiaTheme="majorEastAsia" w:cstheme="minorHAnsi"/>
          <w:color w:val="auto"/>
          <w:lang w:eastAsia="en-AU"/>
        </w:rPr>
        <w:tab/>
      </w:r>
      <w:r w:rsidR="0065544D" w:rsidRPr="001B3C85">
        <w:rPr>
          <w:rFonts w:eastAsiaTheme="majorEastAsia" w:cstheme="minorHAnsi"/>
          <w:color w:val="auto"/>
          <w:lang w:eastAsia="en-AU"/>
        </w:rPr>
        <w:t>T</w:t>
      </w:r>
      <w:r w:rsidR="00B91B95" w:rsidRPr="001B3C85">
        <w:rPr>
          <w:rFonts w:eastAsiaTheme="majorEastAsia" w:cstheme="minorHAnsi"/>
          <w:color w:val="auto"/>
          <w:lang w:eastAsia="en-AU"/>
        </w:rPr>
        <w:t>he six-year evaluation</w:t>
      </w:r>
      <w:r w:rsidR="0065544D" w:rsidRPr="001B3C85">
        <w:rPr>
          <w:rFonts w:eastAsiaTheme="majorEastAsia" w:cstheme="minorHAnsi"/>
          <w:color w:val="auto"/>
          <w:lang w:eastAsia="en-AU"/>
        </w:rPr>
        <w:t>’s</w:t>
      </w:r>
      <w:r w:rsidR="00B91B95" w:rsidRPr="001B3C85">
        <w:rPr>
          <w:rFonts w:eastAsiaTheme="majorEastAsia" w:cstheme="minorHAnsi"/>
          <w:color w:val="auto"/>
          <w:lang w:eastAsia="en-AU"/>
        </w:rPr>
        <w:t xml:space="preserve"> recommend</w:t>
      </w:r>
      <w:r w:rsidR="00CD21AB" w:rsidRPr="00DD1B07">
        <w:rPr>
          <w:rFonts w:eastAsiaTheme="majorEastAsia" w:cstheme="minorHAnsi"/>
          <w:color w:val="auto"/>
          <w:lang w:eastAsia="en-AU"/>
        </w:rPr>
        <w:t>ation that the new gender equality program “</w:t>
      </w:r>
      <w:r w:rsidR="00B91B95" w:rsidRPr="003F2735">
        <w:rPr>
          <w:rFonts w:cstheme="minorHAnsi"/>
          <w:color w:val="auto"/>
        </w:rPr>
        <w:t>ramp up efforts to address disability issues</w:t>
      </w:r>
      <w:r w:rsidR="00CD21AB" w:rsidRPr="00C12DD5">
        <w:rPr>
          <w:rFonts w:cstheme="minorHAnsi"/>
          <w:color w:val="auto"/>
        </w:rPr>
        <w:t>”</w:t>
      </w:r>
      <w:r w:rsidR="0065544D" w:rsidRPr="00C12DD5">
        <w:rPr>
          <w:rFonts w:cstheme="minorHAnsi"/>
          <w:color w:val="auto"/>
        </w:rPr>
        <w:t xml:space="preserve"> has been taken to heart throughout this whole design.</w:t>
      </w:r>
      <w:r w:rsidR="00B91B95" w:rsidRPr="001B40B1">
        <w:rPr>
          <w:rFonts w:cstheme="minorHAnsi"/>
          <w:color w:val="auto"/>
        </w:rPr>
        <w:t xml:space="preserve"> </w:t>
      </w:r>
      <w:r w:rsidR="00E438E0" w:rsidRPr="00461F64">
        <w:rPr>
          <w:rFonts w:eastAsiaTheme="majorEastAsia" w:cstheme="minorHAnsi"/>
          <w:color w:val="auto"/>
          <w:lang w:eastAsia="en-AU"/>
        </w:rPr>
        <w:t xml:space="preserve">In line with Australia’s policy </w:t>
      </w:r>
      <w:r w:rsidR="00E438E0" w:rsidRPr="00461F64">
        <w:rPr>
          <w:rFonts w:eastAsiaTheme="majorEastAsia" w:cstheme="minorHAnsi"/>
          <w:color w:val="auto"/>
          <w:lang w:eastAsia="en-AU"/>
        </w:rPr>
        <w:lastRenderedPageBreak/>
        <w:t>commitment on disability inclusion</w:t>
      </w:r>
      <w:r w:rsidR="00C10B8A" w:rsidRPr="009A3803">
        <w:rPr>
          <w:rFonts w:eastAsiaTheme="majorEastAsia" w:cstheme="minorHAnsi"/>
          <w:color w:val="auto"/>
          <w:lang w:eastAsia="en-AU"/>
        </w:rPr>
        <w:t xml:space="preserve"> - through</w:t>
      </w:r>
      <w:r w:rsidR="00E438E0" w:rsidRPr="00EB58B8">
        <w:rPr>
          <w:rFonts w:eastAsiaTheme="majorEastAsia" w:cstheme="minorHAnsi"/>
          <w:color w:val="auto"/>
          <w:lang w:eastAsia="en-AU"/>
        </w:rPr>
        <w:t xml:space="preserve"> </w:t>
      </w:r>
      <w:r w:rsidR="00C10B8A" w:rsidRPr="00C313F7">
        <w:rPr>
          <w:rFonts w:eastAsia="Times New Roman" w:cstheme="minorHAnsi"/>
          <w:color w:val="auto"/>
        </w:rPr>
        <w:t>DFAT’s Development for All 2015-2020: Strategy for strengthening disability-inclusive development in Australia’s aid program (extended to 2021) -</w:t>
      </w:r>
      <w:r w:rsidR="00E438E0" w:rsidRPr="001B3C85">
        <w:rPr>
          <w:rFonts w:eastAsiaTheme="majorEastAsia" w:cstheme="minorHAnsi"/>
          <w:color w:val="auto"/>
          <w:lang w:eastAsia="en-AU"/>
        </w:rPr>
        <w:t xml:space="preserve"> people with disabilities will be prioritised in this investment</w:t>
      </w:r>
      <w:r w:rsidR="00B91B95" w:rsidRPr="001B3C85">
        <w:rPr>
          <w:rFonts w:eastAsiaTheme="majorEastAsia" w:cstheme="minorHAnsi"/>
          <w:color w:val="auto"/>
          <w:lang w:eastAsia="en-AU"/>
        </w:rPr>
        <w:t>.</w:t>
      </w:r>
      <w:r w:rsidR="008477DA" w:rsidRPr="00C313F7">
        <w:rPr>
          <w:rFonts w:eastAsia="Times New Roman" w:cstheme="minorHAnsi"/>
          <w:color w:val="auto"/>
        </w:rPr>
        <w:t xml:space="preserve"> </w:t>
      </w:r>
      <w:r w:rsidR="00E438E0" w:rsidRPr="001B3C85">
        <w:rPr>
          <w:rFonts w:eastAsiaTheme="majorEastAsia" w:cstheme="minorHAnsi"/>
          <w:color w:val="auto"/>
          <w:lang w:eastAsia="en-AU"/>
        </w:rPr>
        <w:t>Throughout the Pacific region, in both urban and rural communities, women and girls with disabilities face multiple and compounding forms of discrimination because of th</w:t>
      </w:r>
      <w:r w:rsidR="00E438E0" w:rsidRPr="00DD1B07">
        <w:rPr>
          <w:rFonts w:eastAsiaTheme="majorEastAsia" w:cstheme="minorHAnsi"/>
          <w:color w:val="auto"/>
          <w:lang w:eastAsia="en-AU"/>
        </w:rPr>
        <w:t>eir disability and thei</w:t>
      </w:r>
      <w:r w:rsidR="00E438E0" w:rsidRPr="003F2735">
        <w:rPr>
          <w:rFonts w:eastAsiaTheme="majorEastAsia" w:cstheme="minorHAnsi"/>
          <w:color w:val="auto"/>
          <w:lang w:eastAsia="en-AU"/>
        </w:rPr>
        <w:t>r gender</w:t>
      </w:r>
      <w:r w:rsidR="0029408D" w:rsidRPr="001B3C85">
        <w:rPr>
          <w:rStyle w:val="FootnoteReference"/>
          <w:rFonts w:eastAsiaTheme="majorEastAsia" w:cstheme="minorHAnsi"/>
          <w:color w:val="auto"/>
          <w:lang w:eastAsia="en-AU"/>
        </w:rPr>
        <w:footnoteReference w:id="11"/>
      </w:r>
      <w:r w:rsidR="00E438E0" w:rsidRPr="001B3C85">
        <w:rPr>
          <w:rFonts w:eastAsiaTheme="majorEastAsia" w:cstheme="minorHAnsi"/>
          <w:color w:val="auto"/>
          <w:lang w:eastAsia="en-AU"/>
        </w:rPr>
        <w:t xml:space="preserve">. Women and girls with disabilities are two to three times more likely to </w:t>
      </w:r>
      <w:r w:rsidR="00F13E60" w:rsidRPr="001B3C85">
        <w:rPr>
          <w:rFonts w:eastAsiaTheme="majorEastAsia" w:cstheme="minorHAnsi"/>
          <w:color w:val="auto"/>
          <w:lang w:eastAsia="en-AU"/>
        </w:rPr>
        <w:t>experience</w:t>
      </w:r>
      <w:r w:rsidR="00E438E0" w:rsidRPr="001B3C85">
        <w:rPr>
          <w:rFonts w:eastAsiaTheme="majorEastAsia" w:cstheme="minorHAnsi"/>
          <w:color w:val="auto"/>
          <w:lang w:eastAsia="en-AU"/>
        </w:rPr>
        <w:t xml:space="preserve"> physical and sexual abuse than those without disabilities. This abuse can happen in the family, the community or in institutions.</w:t>
      </w:r>
      <w:r w:rsidR="008B0752" w:rsidRPr="001B3C85">
        <w:rPr>
          <w:rStyle w:val="FootnoteReference"/>
          <w:rFonts w:eastAsiaTheme="majorEastAsia" w:cstheme="minorHAnsi"/>
          <w:color w:val="auto"/>
          <w:lang w:eastAsia="en-AU"/>
        </w:rPr>
        <w:footnoteReference w:id="12"/>
      </w:r>
      <w:r w:rsidR="00E438E0" w:rsidRPr="001B3C85">
        <w:rPr>
          <w:rFonts w:eastAsiaTheme="majorEastAsia" w:cstheme="minorHAnsi"/>
          <w:color w:val="auto"/>
          <w:lang w:eastAsia="en-AU"/>
        </w:rPr>
        <w:t xml:space="preserve"> (UNFPA 2013). The Pacific Frame</w:t>
      </w:r>
      <w:r w:rsidR="00E438E0" w:rsidRPr="00DD1B07">
        <w:rPr>
          <w:rFonts w:eastAsiaTheme="majorEastAsia" w:cstheme="minorHAnsi"/>
          <w:color w:val="auto"/>
          <w:lang w:eastAsia="en-AU"/>
        </w:rPr>
        <w:t>work for the Rights of Persons with Disabilities 2016 – 2025, supports Pacific governments t</w:t>
      </w:r>
      <w:r w:rsidR="00E438E0" w:rsidRPr="003F2735">
        <w:rPr>
          <w:rFonts w:eastAsiaTheme="majorEastAsia" w:cstheme="minorHAnsi"/>
          <w:color w:val="auto"/>
          <w:lang w:eastAsia="en-AU"/>
        </w:rPr>
        <w:t>o prom</w:t>
      </w:r>
      <w:r w:rsidR="00E438E0" w:rsidRPr="00C447AF">
        <w:rPr>
          <w:rFonts w:eastAsiaTheme="majorEastAsia" w:cstheme="minorHAnsi"/>
          <w:color w:val="auto"/>
          <w:lang w:eastAsia="en-AU"/>
        </w:rPr>
        <w:t>ote and protect the rights of persons with disabilities as outlined in the UN Convention on the Rights of Persons with Disabilities, and provides a regional m</w:t>
      </w:r>
      <w:r w:rsidR="00E438E0" w:rsidRPr="00C12DD5">
        <w:rPr>
          <w:rFonts w:eastAsiaTheme="majorEastAsia" w:cstheme="minorHAnsi"/>
          <w:color w:val="auto"/>
          <w:lang w:eastAsia="en-AU"/>
        </w:rPr>
        <w:t>odality to strengthen coordination and collaboration in support of national initiatives. The Gover</w:t>
      </w:r>
      <w:r w:rsidR="00E438E0" w:rsidRPr="001B40B1">
        <w:rPr>
          <w:rFonts w:eastAsiaTheme="majorEastAsia" w:cstheme="minorHAnsi"/>
          <w:color w:val="auto"/>
          <w:lang w:eastAsia="en-AU"/>
        </w:rPr>
        <w:t>nment of Australia and most Pacific Island Countries have ratified the UN Convention on the Rights of Persons with Disabilities and have made commitment to th</w:t>
      </w:r>
      <w:r w:rsidR="00E438E0" w:rsidRPr="00461F64">
        <w:rPr>
          <w:rFonts w:eastAsiaTheme="majorEastAsia" w:cstheme="minorHAnsi"/>
          <w:color w:val="auto"/>
          <w:lang w:eastAsia="en-AU"/>
        </w:rPr>
        <w:t>e 2030 Agenda for Sustainable Development, “leave no one behind”. The Pacific Disability For</w:t>
      </w:r>
      <w:r w:rsidR="00E438E0" w:rsidRPr="00EB58B8">
        <w:rPr>
          <w:rFonts w:eastAsiaTheme="majorEastAsia" w:cstheme="minorHAnsi"/>
          <w:color w:val="auto"/>
          <w:lang w:eastAsia="en-AU"/>
        </w:rPr>
        <w:t>um</w:t>
      </w:r>
      <w:r w:rsidR="00C85A52" w:rsidRPr="00EB58B8">
        <w:rPr>
          <w:rFonts w:eastAsiaTheme="majorEastAsia" w:cstheme="minorHAnsi"/>
          <w:color w:val="auto"/>
          <w:lang w:eastAsia="en-AU"/>
        </w:rPr>
        <w:t xml:space="preserve"> (PD</w:t>
      </w:r>
      <w:r w:rsidR="00C85A52" w:rsidRPr="00C40FC1">
        <w:rPr>
          <w:rFonts w:eastAsiaTheme="majorEastAsia" w:cstheme="minorHAnsi"/>
          <w:color w:val="auto"/>
          <w:lang w:eastAsia="en-AU"/>
        </w:rPr>
        <w:t>F)</w:t>
      </w:r>
      <w:r w:rsidR="00E438E0" w:rsidRPr="001B3C85">
        <w:rPr>
          <w:rFonts w:eastAsiaTheme="majorEastAsia" w:cstheme="minorHAnsi"/>
          <w:color w:val="auto"/>
          <w:lang w:eastAsia="en-AU"/>
        </w:rPr>
        <w:t xml:space="preserve"> as established in 2004 and is a regional peak body that works in partnership with Disabled Persons Organisations throughout the Pacific region. Since 2007, the Pacific Disability Forum's Women’s Committee has provided a regional voice for women with disabilities.  The committee oversees disaster risk reduction and disaster risk management women’s development programme and ensures that women and girls are included in the Pacific Disability Forum’s policies and projects. </w:t>
      </w:r>
      <w:r w:rsidR="00710935" w:rsidRPr="001B3C85">
        <w:rPr>
          <w:rFonts w:eastAsiaTheme="majorEastAsia" w:cstheme="minorHAnsi"/>
          <w:color w:val="auto"/>
          <w:lang w:eastAsia="en-AU"/>
        </w:rPr>
        <w:t>As Pacific Women Lead is a regional program, t</w:t>
      </w:r>
      <w:r w:rsidR="000B597B" w:rsidRPr="00C313F7">
        <w:rPr>
          <w:rFonts w:eastAsiaTheme="majorEastAsia" w:cstheme="minorHAnsi"/>
          <w:color w:val="auto"/>
          <w:lang w:eastAsia="en-AU"/>
        </w:rPr>
        <w:t>he Pacific Disability Forum will be a key stakeholder throughout the life of the program to ensure women with disabilities are thoroughly represented at all levels from governance to management to activity delivery.</w:t>
      </w:r>
      <w:r w:rsidR="000B597B" w:rsidRPr="00C313F7">
        <w:rPr>
          <w:rFonts w:cstheme="minorHAnsi"/>
          <w:color w:val="auto"/>
        </w:rPr>
        <w:t xml:space="preserve"> The program will also work with PDF to ensure appropriate engagement of national DPOs, ensuring the investment aligns with their own strategic priorities and addressing any challenges related to capacity and resources is encouraged. The program may also provide an important opportunity to strengthen attention to gender equality within PDF’s own programming work.</w:t>
      </w:r>
      <w:r w:rsidR="00710935" w:rsidRPr="00C313F7">
        <w:rPr>
          <w:rFonts w:cstheme="minorHAnsi"/>
          <w:color w:val="auto"/>
        </w:rPr>
        <w:t xml:space="preserve"> The program will</w:t>
      </w:r>
      <w:r w:rsidR="000F6AFB" w:rsidRPr="00C313F7">
        <w:rPr>
          <w:rFonts w:cstheme="minorHAnsi"/>
          <w:color w:val="auto"/>
        </w:rPr>
        <w:t>, as appropriate, also work with disabled people’s organisations (DPOs) an</w:t>
      </w:r>
      <w:r w:rsidR="006C39DE" w:rsidRPr="00C313F7">
        <w:rPr>
          <w:rFonts w:cstheme="minorHAnsi"/>
          <w:color w:val="auto"/>
        </w:rPr>
        <w:t xml:space="preserve">d other service delivery bodies at the national level in support </w:t>
      </w:r>
      <w:r w:rsidR="00D67227" w:rsidRPr="00C313F7">
        <w:rPr>
          <w:rFonts w:cstheme="minorHAnsi"/>
          <w:color w:val="auto"/>
        </w:rPr>
        <w:t>of the program goal and outcomes</w:t>
      </w:r>
      <w:r w:rsidR="006C39DE" w:rsidRPr="00C313F7">
        <w:rPr>
          <w:rFonts w:cstheme="minorHAnsi"/>
          <w:color w:val="auto"/>
        </w:rPr>
        <w:t>.</w:t>
      </w:r>
    </w:p>
    <w:p w14:paraId="650B9220" w14:textId="4C019522" w:rsidR="006669EC" w:rsidRPr="00F328DA" w:rsidRDefault="006669EC" w:rsidP="00F328DA">
      <w:pPr>
        <w:pStyle w:val="Heading2"/>
        <w:rPr>
          <w:sz w:val="36"/>
          <w:szCs w:val="24"/>
          <w:lang w:val="en-AU"/>
        </w:rPr>
      </w:pPr>
      <w:bookmarkStart w:id="25" w:name="_Toc75535899"/>
      <w:r w:rsidRPr="00F328DA">
        <w:rPr>
          <w:sz w:val="36"/>
          <w:szCs w:val="24"/>
          <w:lang w:val="en-AU"/>
        </w:rPr>
        <w:t>Climate Change</w:t>
      </w:r>
      <w:r w:rsidR="00570AF6" w:rsidRPr="00F328DA">
        <w:rPr>
          <w:sz w:val="36"/>
          <w:szCs w:val="24"/>
          <w:lang w:val="en-AU"/>
        </w:rPr>
        <w:t xml:space="preserve"> and disaster resilience</w:t>
      </w:r>
      <w:bookmarkEnd w:id="25"/>
    </w:p>
    <w:p w14:paraId="617FF063" w14:textId="39F9458F" w:rsidR="006669EC" w:rsidRPr="00C64817" w:rsidRDefault="00430DFE">
      <w:pPr>
        <w:spacing w:line="280" w:lineRule="exact"/>
        <w:jc w:val="both"/>
        <w:rPr>
          <w:rFonts w:eastAsiaTheme="majorEastAsia" w:cstheme="minorHAnsi"/>
          <w:color w:val="000000" w:themeColor="text1"/>
          <w:lang w:val="en-AU"/>
        </w:rPr>
      </w:pPr>
      <w:r w:rsidRPr="00C64817">
        <w:rPr>
          <w:rFonts w:eastAsiaTheme="majorEastAsia" w:cstheme="minorHAnsi"/>
          <w:color w:val="000000" w:themeColor="text1"/>
          <w:lang w:val="en-AU"/>
        </w:rPr>
        <w:t>7.3</w:t>
      </w:r>
      <w:r w:rsidRPr="00C64817">
        <w:rPr>
          <w:rFonts w:eastAsiaTheme="majorEastAsia" w:cstheme="minorHAnsi"/>
          <w:color w:val="000000" w:themeColor="text1"/>
          <w:lang w:val="en-AU"/>
        </w:rPr>
        <w:tab/>
      </w:r>
      <w:r w:rsidR="006669EC" w:rsidRPr="00C64817">
        <w:rPr>
          <w:rFonts w:eastAsiaTheme="majorEastAsia" w:cstheme="minorHAnsi"/>
          <w:color w:val="000000" w:themeColor="text1"/>
          <w:lang w:val="en-AU"/>
        </w:rPr>
        <w:t xml:space="preserve">Climate-related disasters in the </w:t>
      </w:r>
      <w:r w:rsidR="007E7A51" w:rsidRPr="00C64817">
        <w:rPr>
          <w:rFonts w:eastAsiaTheme="majorEastAsia" w:cstheme="minorHAnsi"/>
          <w:color w:val="000000" w:themeColor="text1"/>
          <w:lang w:val="en-AU"/>
        </w:rPr>
        <w:t>Pacific</w:t>
      </w:r>
      <w:r w:rsidR="006669EC" w:rsidRPr="00C64817">
        <w:rPr>
          <w:rFonts w:eastAsiaTheme="majorEastAsia" w:cstheme="minorHAnsi"/>
          <w:color w:val="000000" w:themeColor="text1"/>
          <w:lang w:val="en-AU"/>
        </w:rPr>
        <w:t xml:space="preserve"> region are becoming more frequent, destructive, and costlier in terms of both economic and social impacts. The impacts of these disasters are often felt most acutely amongst the most vulnerable and marginalised people, </w:t>
      </w:r>
      <w:r w:rsidR="00316110" w:rsidRPr="00C64817">
        <w:rPr>
          <w:rFonts w:eastAsiaTheme="majorEastAsia" w:cstheme="minorHAnsi"/>
          <w:color w:val="000000" w:themeColor="text1"/>
          <w:lang w:val="en-AU"/>
        </w:rPr>
        <w:t xml:space="preserve">who may include </w:t>
      </w:r>
      <w:r w:rsidR="006669EC" w:rsidRPr="00C64817">
        <w:rPr>
          <w:rFonts w:eastAsiaTheme="majorEastAsia" w:cstheme="minorHAnsi"/>
          <w:color w:val="000000" w:themeColor="text1"/>
          <w:lang w:val="en-AU"/>
        </w:rPr>
        <w:t xml:space="preserve">women, people with disabilities, </w:t>
      </w:r>
      <w:proofErr w:type="gramStart"/>
      <w:r w:rsidR="006669EC" w:rsidRPr="00C64817">
        <w:rPr>
          <w:rFonts w:eastAsiaTheme="majorEastAsia" w:cstheme="minorHAnsi"/>
          <w:color w:val="000000" w:themeColor="text1"/>
          <w:lang w:val="en-AU"/>
        </w:rPr>
        <w:t>children</w:t>
      </w:r>
      <w:proofErr w:type="gramEnd"/>
      <w:r w:rsidR="006669EC" w:rsidRPr="00C64817">
        <w:rPr>
          <w:rFonts w:eastAsiaTheme="majorEastAsia" w:cstheme="minorHAnsi"/>
          <w:color w:val="000000" w:themeColor="text1"/>
          <w:lang w:val="en-AU"/>
        </w:rPr>
        <w:t xml:space="preserve"> and older people</w:t>
      </w:r>
      <w:r w:rsidR="001C5999" w:rsidRPr="00C64817">
        <w:rPr>
          <w:rFonts w:eastAsiaTheme="majorEastAsia" w:cstheme="minorHAnsi"/>
          <w:color w:val="000000" w:themeColor="text1"/>
          <w:lang w:val="en-AU"/>
        </w:rPr>
        <w:t xml:space="preserve"> due to context</w:t>
      </w:r>
      <w:r w:rsidR="006669EC" w:rsidRPr="00C64817">
        <w:rPr>
          <w:rFonts w:eastAsiaTheme="majorEastAsia" w:cstheme="minorHAnsi"/>
          <w:color w:val="000000" w:themeColor="text1"/>
          <w:lang w:val="en-AU"/>
        </w:rPr>
        <w:t xml:space="preserve">. Urban informal settlements are often areas of most risk as people lack the essential resources and services needed to secure their most basic needs before, during and after a disaster. </w:t>
      </w:r>
      <w:r w:rsidR="00FD071A" w:rsidRPr="00C64817">
        <w:rPr>
          <w:rFonts w:eastAsiaTheme="majorEastAsia" w:cstheme="minorHAnsi"/>
          <w:color w:val="000000" w:themeColor="text1"/>
          <w:lang w:val="en-AU"/>
        </w:rPr>
        <w:t xml:space="preserve">The slow onset impacts of climate change such as sea level rise, ocean acidification and changes to rainfall patterns resulting in impacts on food and water security, health, secure housing and migration, </w:t>
      </w:r>
      <w:r w:rsidR="00FD071A" w:rsidRPr="00C64817">
        <w:rPr>
          <w:rStyle w:val="A1"/>
          <w:rFonts w:cstheme="minorHAnsi"/>
        </w:rPr>
        <w:t xml:space="preserve">exacerbate existing gender </w:t>
      </w:r>
      <w:r w:rsidR="00FD071A" w:rsidRPr="00C64817">
        <w:rPr>
          <w:rFonts w:eastAsiaTheme="majorEastAsia" w:cstheme="minorHAnsi"/>
          <w:color w:val="000000" w:themeColor="text1"/>
          <w:lang w:val="en-AU"/>
        </w:rPr>
        <w:t>inequalities, often resulting in more negative impacts for women.  Improving gender equality can increase</w:t>
      </w:r>
      <w:r w:rsidR="00FD071A" w:rsidRPr="00C64817">
        <w:rPr>
          <w:rStyle w:val="A1"/>
          <w:rFonts w:cstheme="minorHAnsi"/>
        </w:rPr>
        <w:t xml:space="preserve"> the resilience and adaptive capacity of the whole community to the impacts of climate change and disasters.</w:t>
      </w:r>
    </w:p>
    <w:p w14:paraId="72FB8285" w14:textId="48FFD4D2" w:rsidR="00413FAC" w:rsidRPr="00C64817" w:rsidRDefault="00430DFE" w:rsidP="00413FAC">
      <w:pPr>
        <w:spacing w:line="280" w:lineRule="exact"/>
        <w:jc w:val="both"/>
        <w:rPr>
          <w:rFonts w:eastAsiaTheme="majorEastAsia" w:cstheme="minorHAnsi"/>
          <w:lang w:val="en-AU"/>
        </w:rPr>
      </w:pPr>
      <w:r w:rsidRPr="00C64817">
        <w:rPr>
          <w:rFonts w:eastAsiaTheme="majorEastAsia" w:cstheme="minorHAnsi"/>
          <w:color w:val="000000" w:themeColor="text1"/>
          <w:lang w:val="en-AU"/>
        </w:rPr>
        <w:t>7.4</w:t>
      </w:r>
      <w:r w:rsidRPr="00C64817">
        <w:rPr>
          <w:rFonts w:eastAsiaTheme="majorEastAsia" w:cstheme="minorHAnsi"/>
          <w:color w:val="000000" w:themeColor="text1"/>
          <w:lang w:val="en-AU"/>
        </w:rPr>
        <w:tab/>
      </w:r>
      <w:r w:rsidR="006669EC" w:rsidRPr="00C64817">
        <w:rPr>
          <w:rFonts w:eastAsiaTheme="majorEastAsia" w:cstheme="minorHAnsi"/>
          <w:color w:val="000000" w:themeColor="text1"/>
          <w:lang w:val="en-AU"/>
        </w:rPr>
        <w:t xml:space="preserve">This program will </w:t>
      </w:r>
      <w:r w:rsidR="006669EC" w:rsidRPr="00C64817">
        <w:rPr>
          <w:rFonts w:eastAsiaTheme="majorEastAsia" w:cstheme="minorHAnsi"/>
          <w:b/>
          <w:bCs/>
          <w:color w:val="000000" w:themeColor="text1"/>
          <w:lang w:val="en-AU"/>
        </w:rPr>
        <w:t xml:space="preserve">incorporate climate change and disaster risk assessments </w:t>
      </w:r>
      <w:r w:rsidR="006669EC" w:rsidRPr="00C64817">
        <w:rPr>
          <w:rFonts w:eastAsiaTheme="majorEastAsia" w:cstheme="minorHAnsi"/>
          <w:color w:val="000000" w:themeColor="text1"/>
          <w:lang w:val="en-AU"/>
        </w:rPr>
        <w:t>in the development of partner activities where necessary. All assessments will be required to incorporate consideration of gender equality, and disability and social inclusion in assessing the potential impacts on communities. Where significant risks or impacts are identified, the partner will be required to incorporate these risks into their risk mitigation plan</w:t>
      </w:r>
      <w:r w:rsidR="00413FAC" w:rsidRPr="00C64817">
        <w:rPr>
          <w:rFonts w:eastAsiaTheme="majorEastAsia" w:cstheme="minorHAnsi"/>
          <w:color w:val="000000" w:themeColor="text1"/>
          <w:lang w:val="en-AU"/>
        </w:rPr>
        <w:t>. The program will integrate opportunities to build climate and disaster resilience within communities into activities</w:t>
      </w:r>
      <w:r w:rsidR="00702C4D" w:rsidRPr="00C64817">
        <w:rPr>
          <w:rFonts w:eastAsiaTheme="majorEastAsia" w:cstheme="minorHAnsi"/>
          <w:color w:val="000000" w:themeColor="text1"/>
          <w:lang w:val="en-AU"/>
        </w:rPr>
        <w:t xml:space="preserve"> and</w:t>
      </w:r>
      <w:r w:rsidR="00413FAC" w:rsidRPr="00C64817">
        <w:rPr>
          <w:rFonts w:eastAsiaTheme="majorEastAsia" w:cstheme="minorHAnsi"/>
          <w:color w:val="000000" w:themeColor="text1"/>
          <w:lang w:val="en-AU"/>
        </w:rPr>
        <w:t xml:space="preserve"> implementation plans. </w:t>
      </w:r>
    </w:p>
    <w:p w14:paraId="33111C3A" w14:textId="77777777" w:rsidR="00423F6B" w:rsidRDefault="00423F6B" w:rsidP="00646F77">
      <w:pPr>
        <w:pStyle w:val="Heading1"/>
      </w:pPr>
    </w:p>
    <w:p w14:paraId="5CB18EB7" w14:textId="0529E3B4" w:rsidR="004608A2" w:rsidRPr="00C64817" w:rsidRDefault="00423F6B" w:rsidP="00F328DA">
      <w:pPr>
        <w:pStyle w:val="Heading1"/>
      </w:pPr>
      <w:bookmarkStart w:id="26" w:name="_Toc75535900"/>
      <w:r>
        <w:t xml:space="preserve">8. </w:t>
      </w:r>
      <w:r w:rsidR="004608A2" w:rsidRPr="00C64817">
        <w:t>Budget and Resourcing</w:t>
      </w:r>
      <w:bookmarkEnd w:id="26"/>
      <w:r w:rsidR="003B1A32" w:rsidRPr="00C64817">
        <w:t xml:space="preserve"> </w:t>
      </w:r>
    </w:p>
    <w:p w14:paraId="55CAD43E" w14:textId="70A50125" w:rsidR="002924E0" w:rsidRPr="002924E0" w:rsidRDefault="00423F6B" w:rsidP="002924E0">
      <w:pPr>
        <w:rPr>
          <w:rFonts w:eastAsiaTheme="majorEastAsia" w:cstheme="minorHAnsi"/>
          <w:color w:val="000000" w:themeColor="text1"/>
          <w:lang w:val="en-AU"/>
        </w:rPr>
      </w:pPr>
      <w:r>
        <w:rPr>
          <w:rFonts w:eastAsiaTheme="majorEastAsia" w:cstheme="minorHAnsi"/>
          <w:color w:val="000000" w:themeColor="text1"/>
          <w:lang w:val="en-AU"/>
        </w:rPr>
        <w:t>8.</w:t>
      </w:r>
      <w:r>
        <w:rPr>
          <w:rFonts w:eastAsiaTheme="majorEastAsia" w:cstheme="minorHAnsi"/>
          <w:color w:val="000000" w:themeColor="text1"/>
          <w:lang w:val="en-AU"/>
        </w:rPr>
        <w:tab/>
      </w:r>
      <w:r w:rsidR="002924E0" w:rsidRPr="002924E0">
        <w:rPr>
          <w:rFonts w:eastAsiaTheme="majorEastAsia" w:cstheme="minorHAnsi"/>
          <w:color w:val="000000" w:themeColor="text1"/>
          <w:lang w:val="en-AU"/>
        </w:rPr>
        <w:t xml:space="preserve">Pacific Women Lead has an indicative budget of $170 million over its five-year timeframe. </w:t>
      </w:r>
    </w:p>
    <w:p w14:paraId="3E0EE5EB" w14:textId="28086C66" w:rsidR="00FD41D2" w:rsidRPr="00C64817" w:rsidRDefault="00430DFE" w:rsidP="00482792">
      <w:pPr>
        <w:rPr>
          <w:rFonts w:cstheme="minorHAnsi"/>
          <w:color w:val="auto"/>
          <w:lang w:val="en-AU"/>
        </w:rPr>
      </w:pPr>
      <w:r w:rsidRPr="00C64817">
        <w:rPr>
          <w:rFonts w:eastAsiaTheme="majorEastAsia" w:cstheme="minorHAnsi"/>
          <w:color w:val="000000" w:themeColor="text1"/>
          <w:lang w:val="en-AU"/>
        </w:rPr>
        <w:tab/>
      </w:r>
    </w:p>
    <w:p w14:paraId="44842CCC" w14:textId="260DF12F" w:rsidR="002D4DE7" w:rsidRPr="00C64817" w:rsidRDefault="00423F6B" w:rsidP="00F328DA">
      <w:pPr>
        <w:pStyle w:val="Heading1"/>
      </w:pPr>
      <w:bookmarkStart w:id="27" w:name="_Toc75535901"/>
      <w:r>
        <w:t xml:space="preserve">9. </w:t>
      </w:r>
      <w:r w:rsidR="002D4DE7" w:rsidRPr="00C64817">
        <w:t>Risk Management and Safeguards</w:t>
      </w:r>
      <w:bookmarkEnd w:id="27"/>
      <w:r w:rsidR="002D4DE7" w:rsidRPr="00C64817">
        <w:t xml:space="preserve"> </w:t>
      </w:r>
    </w:p>
    <w:p w14:paraId="67FFF8B7" w14:textId="180ED90F" w:rsidR="00B82F8C" w:rsidRPr="00C64817" w:rsidRDefault="00430DFE" w:rsidP="00B82F8C">
      <w:pPr>
        <w:pStyle w:val="BodyText"/>
        <w:spacing w:after="160" w:line="280" w:lineRule="exact"/>
        <w:jc w:val="both"/>
        <w:rPr>
          <w:rFonts w:cstheme="minorHAnsi"/>
          <w:color w:val="auto"/>
          <w:lang w:val="en-AU"/>
        </w:rPr>
      </w:pPr>
      <w:r w:rsidRPr="00407D94">
        <w:rPr>
          <w:rFonts w:cstheme="minorHAnsi"/>
          <w:color w:val="auto"/>
          <w:lang w:val="en-AU"/>
        </w:rPr>
        <w:t>9.1</w:t>
      </w:r>
      <w:r w:rsidRPr="00407D94">
        <w:rPr>
          <w:rFonts w:cstheme="minorHAnsi"/>
          <w:color w:val="auto"/>
          <w:lang w:val="en-AU"/>
        </w:rPr>
        <w:tab/>
      </w:r>
      <w:r w:rsidR="00B82F8C" w:rsidRPr="00407D94">
        <w:rPr>
          <w:rFonts w:cstheme="minorHAnsi"/>
          <w:color w:val="auto"/>
          <w:lang w:val="en-AU"/>
        </w:rPr>
        <w:t xml:space="preserve">The Risks and Safeguards tool has been completed for this program and is included in Annex </w:t>
      </w:r>
      <w:r w:rsidR="00D362E2" w:rsidRPr="008A7462">
        <w:rPr>
          <w:rFonts w:cstheme="minorHAnsi"/>
          <w:color w:val="auto"/>
          <w:lang w:val="en-AU"/>
        </w:rPr>
        <w:t>2</w:t>
      </w:r>
      <w:r w:rsidR="00B82F8C" w:rsidRPr="00DB3C73">
        <w:rPr>
          <w:rFonts w:cstheme="minorHAnsi"/>
          <w:color w:val="auto"/>
          <w:lang w:val="en-AU"/>
        </w:rPr>
        <w:t>.</w:t>
      </w:r>
      <w:r w:rsidR="00B82F8C" w:rsidRPr="002B6BA5">
        <w:rPr>
          <w:rFonts w:cstheme="minorHAnsi"/>
          <w:b/>
          <w:bCs/>
          <w:color w:val="auto"/>
          <w:lang w:val="en-AU"/>
        </w:rPr>
        <w:t xml:space="preserve"> Overall, the </w:t>
      </w:r>
      <w:r w:rsidR="007244C5" w:rsidRPr="00F44628">
        <w:rPr>
          <w:rFonts w:cstheme="minorHAnsi"/>
          <w:b/>
          <w:bCs/>
          <w:color w:val="auto"/>
          <w:lang w:val="en-AU"/>
        </w:rPr>
        <w:t xml:space="preserve">residual </w:t>
      </w:r>
      <w:r w:rsidR="00B82F8C" w:rsidRPr="00C64817">
        <w:rPr>
          <w:rFonts w:cstheme="minorHAnsi"/>
          <w:b/>
          <w:bCs/>
          <w:color w:val="auto"/>
          <w:lang w:val="en-AU"/>
        </w:rPr>
        <w:t xml:space="preserve">risk rating when controls are considered </w:t>
      </w:r>
      <w:r w:rsidR="007244C5" w:rsidRPr="00C64817">
        <w:rPr>
          <w:rFonts w:cstheme="minorHAnsi"/>
          <w:b/>
          <w:bCs/>
          <w:color w:val="auto"/>
          <w:lang w:val="en-AU"/>
        </w:rPr>
        <w:t>is medium</w:t>
      </w:r>
      <w:r w:rsidR="00B82F8C" w:rsidRPr="00C64817">
        <w:rPr>
          <w:rFonts w:cstheme="minorHAnsi"/>
          <w:b/>
          <w:bCs/>
          <w:color w:val="auto"/>
          <w:lang w:val="en-AU"/>
        </w:rPr>
        <w:t>.</w:t>
      </w:r>
      <w:r w:rsidR="00B82F8C" w:rsidRPr="00C64817">
        <w:rPr>
          <w:rFonts w:cstheme="minorHAnsi"/>
          <w:color w:val="auto"/>
          <w:lang w:val="en-AU"/>
        </w:rPr>
        <w:t xml:space="preserve"> </w:t>
      </w:r>
    </w:p>
    <w:p w14:paraId="61F584FB" w14:textId="75E0EC78" w:rsidR="00B82F8C" w:rsidRPr="00C64817" w:rsidRDefault="00430DFE" w:rsidP="00B82F8C">
      <w:pPr>
        <w:pStyle w:val="BodyText"/>
        <w:spacing w:after="160" w:line="280" w:lineRule="exact"/>
        <w:jc w:val="both"/>
        <w:rPr>
          <w:rFonts w:cstheme="minorHAnsi"/>
          <w:color w:val="auto"/>
          <w:lang w:val="en-AU"/>
        </w:rPr>
      </w:pPr>
      <w:r w:rsidRPr="00C64817">
        <w:rPr>
          <w:rFonts w:cstheme="minorHAnsi"/>
          <w:color w:val="auto"/>
          <w:lang w:val="en-AU"/>
        </w:rPr>
        <w:t>9.2</w:t>
      </w:r>
      <w:r w:rsidRPr="00C64817">
        <w:rPr>
          <w:rFonts w:cstheme="minorHAnsi"/>
          <w:color w:val="auto"/>
          <w:lang w:val="en-AU"/>
        </w:rPr>
        <w:tab/>
      </w:r>
      <w:r w:rsidR="00B82F8C" w:rsidRPr="00C64817">
        <w:rPr>
          <w:rFonts w:cstheme="minorHAnsi"/>
          <w:color w:val="auto"/>
          <w:lang w:val="en-AU"/>
        </w:rPr>
        <w:t xml:space="preserve">The </w:t>
      </w:r>
      <w:r w:rsidR="00B82F8C" w:rsidRPr="00C64817">
        <w:rPr>
          <w:rFonts w:cstheme="minorHAnsi"/>
          <w:b/>
          <w:bCs/>
          <w:color w:val="auto"/>
          <w:lang w:val="en-AU"/>
        </w:rPr>
        <w:t>COVID-19 pandemic</w:t>
      </w:r>
      <w:r w:rsidR="00B82F8C" w:rsidRPr="00C64817">
        <w:rPr>
          <w:rFonts w:cstheme="minorHAnsi"/>
          <w:color w:val="auto"/>
          <w:lang w:val="en-AU"/>
        </w:rPr>
        <w:t xml:space="preserve"> is likely to have an ongoing and uncertain impact on the program throughout its early implementatio</w:t>
      </w:r>
      <w:r w:rsidR="00D23EA7" w:rsidRPr="00C64817">
        <w:rPr>
          <w:rFonts w:cstheme="minorHAnsi"/>
          <w:color w:val="auto"/>
          <w:lang w:val="en-AU"/>
        </w:rPr>
        <w:t>n, including</w:t>
      </w:r>
      <w:r w:rsidR="00D23EA7" w:rsidRPr="00C64817">
        <w:rPr>
          <w:rFonts w:cstheme="minorHAnsi"/>
          <w:color w:val="000000"/>
          <w:shd w:val="clear" w:color="auto" w:fill="FFFFFF"/>
        </w:rPr>
        <w:t xml:space="preserve"> health, social, and economic impacts and </w:t>
      </w:r>
      <w:r w:rsidR="000A77D6" w:rsidRPr="00C64817">
        <w:rPr>
          <w:rFonts w:cstheme="minorHAnsi"/>
          <w:color w:val="000000"/>
          <w:shd w:val="clear" w:color="auto" w:fill="FFFFFF"/>
        </w:rPr>
        <w:t>limits</w:t>
      </w:r>
      <w:r w:rsidR="00D23EA7" w:rsidRPr="00C64817">
        <w:rPr>
          <w:rFonts w:cstheme="minorHAnsi"/>
          <w:color w:val="000000"/>
          <w:shd w:val="clear" w:color="auto" w:fill="FFFFFF"/>
        </w:rPr>
        <w:t xml:space="preserve"> to movement and personal engagement within nations and </w:t>
      </w:r>
      <w:r w:rsidR="000F487F" w:rsidRPr="00C64817">
        <w:rPr>
          <w:rFonts w:cstheme="minorHAnsi"/>
          <w:color w:val="000000"/>
          <w:shd w:val="clear" w:color="auto" w:fill="FFFFFF"/>
        </w:rPr>
        <w:t xml:space="preserve">across </w:t>
      </w:r>
      <w:r w:rsidR="00D23EA7" w:rsidRPr="00C64817">
        <w:rPr>
          <w:rFonts w:cstheme="minorHAnsi"/>
          <w:color w:val="000000"/>
          <w:shd w:val="clear" w:color="auto" w:fill="FFFFFF"/>
        </w:rPr>
        <w:t>the region</w:t>
      </w:r>
      <w:r w:rsidR="00B82F8C" w:rsidRPr="00407D94">
        <w:rPr>
          <w:rFonts w:cstheme="minorHAnsi"/>
          <w:color w:val="auto"/>
          <w:lang w:val="en-AU"/>
        </w:rPr>
        <w:t xml:space="preserve">. Responses to COVID-19 globally continue to shift within a dynamic context. DFAT’s </w:t>
      </w:r>
      <w:r w:rsidR="00B82F8C" w:rsidRPr="008A7462">
        <w:rPr>
          <w:rFonts w:cstheme="minorHAnsi"/>
          <w:i/>
          <w:color w:val="auto"/>
          <w:lang w:val="en-AU"/>
        </w:rPr>
        <w:t>Partnerships for Recovery</w:t>
      </w:r>
      <w:r w:rsidR="00B82F8C" w:rsidRPr="00DB3C73">
        <w:rPr>
          <w:rFonts w:cstheme="minorHAnsi"/>
          <w:i/>
          <w:iCs/>
          <w:color w:val="auto"/>
          <w:lang w:val="en-AU"/>
        </w:rPr>
        <w:t>: Australia’s COVID-19 Development Response</w:t>
      </w:r>
      <w:r w:rsidR="00B82F8C" w:rsidRPr="002B6BA5">
        <w:rPr>
          <w:rFonts w:cstheme="minorHAnsi"/>
          <w:color w:val="auto"/>
          <w:lang w:val="en-AU"/>
        </w:rPr>
        <w:t xml:space="preserve"> will continue to provide the strategic and performance monitoring frameworks for responding to the pandemic, and more specific</w:t>
      </w:r>
      <w:r w:rsidR="00B82F8C" w:rsidRPr="00F44628">
        <w:rPr>
          <w:rFonts w:cstheme="minorHAnsi"/>
          <w:color w:val="auto"/>
          <w:lang w:val="en-AU"/>
        </w:rPr>
        <w:t xml:space="preserve">ally the </w:t>
      </w:r>
      <w:r w:rsidR="009C6B84" w:rsidRPr="00C64817">
        <w:rPr>
          <w:rFonts w:cstheme="minorHAnsi"/>
          <w:color w:val="auto"/>
          <w:lang w:val="en-AU"/>
        </w:rPr>
        <w:t>Pacific</w:t>
      </w:r>
      <w:r w:rsidR="00B82F8C" w:rsidRPr="00C64817">
        <w:rPr>
          <w:rFonts w:cstheme="minorHAnsi"/>
          <w:color w:val="auto"/>
          <w:lang w:val="en-AU"/>
        </w:rPr>
        <w:t xml:space="preserve"> Regional COVID-19 Development Response Plan will guide the adaptive management of risks related to COVID-19 in the region.</w:t>
      </w:r>
    </w:p>
    <w:p w14:paraId="2D0FCBD5" w14:textId="50829FFA" w:rsidR="00B82F8C" w:rsidRPr="00C64817" w:rsidRDefault="00D51204" w:rsidP="00B82F8C">
      <w:pPr>
        <w:pStyle w:val="BodyText"/>
        <w:spacing w:after="160" w:line="280" w:lineRule="exact"/>
        <w:jc w:val="both"/>
        <w:rPr>
          <w:rFonts w:cstheme="minorHAnsi"/>
          <w:color w:val="auto"/>
          <w:lang w:val="en-AU"/>
        </w:rPr>
      </w:pPr>
      <w:r w:rsidRPr="00C64817">
        <w:rPr>
          <w:rFonts w:cstheme="minorHAnsi"/>
          <w:color w:val="auto"/>
          <w:lang w:val="en-AU"/>
        </w:rPr>
        <w:t>9.3</w:t>
      </w:r>
      <w:r w:rsidRPr="00C64817">
        <w:rPr>
          <w:rFonts w:cstheme="minorHAnsi"/>
          <w:b/>
          <w:bCs/>
          <w:color w:val="auto"/>
          <w:lang w:val="en-AU"/>
        </w:rPr>
        <w:tab/>
      </w:r>
      <w:r w:rsidR="00B82F8C" w:rsidRPr="00C64817">
        <w:rPr>
          <w:rFonts w:cstheme="minorHAnsi"/>
          <w:b/>
          <w:bCs/>
          <w:color w:val="auto"/>
          <w:lang w:val="en-AU"/>
        </w:rPr>
        <w:t>Controls that have been incorporated in the design of this program</w:t>
      </w:r>
      <w:r w:rsidR="00B82F8C" w:rsidRPr="00C64817">
        <w:rPr>
          <w:rFonts w:cstheme="minorHAnsi"/>
          <w:color w:val="auto"/>
          <w:lang w:val="en-AU"/>
        </w:rPr>
        <w:t xml:space="preserve"> for DFAT to mitigate the inherently high-medium risks include:</w:t>
      </w:r>
    </w:p>
    <w:p w14:paraId="520B680B" w14:textId="77777777" w:rsidR="00B82F8C" w:rsidRPr="00C64817" w:rsidRDefault="00B82F8C" w:rsidP="003C0072">
      <w:pPr>
        <w:pStyle w:val="BodyText"/>
        <w:numPr>
          <w:ilvl w:val="0"/>
          <w:numId w:val="22"/>
        </w:numPr>
        <w:suppressAutoHyphens w:val="0"/>
        <w:spacing w:before="0" w:after="160" w:line="280" w:lineRule="exact"/>
        <w:jc w:val="both"/>
        <w:rPr>
          <w:rFonts w:eastAsia="Helvetica" w:cstheme="minorHAnsi"/>
          <w:color w:val="auto"/>
          <w:lang w:val="en-AU"/>
        </w:rPr>
      </w:pPr>
      <w:r w:rsidRPr="00C64817">
        <w:rPr>
          <w:rFonts w:eastAsia="Helvetica" w:cstheme="minorHAnsi"/>
          <w:color w:val="auto"/>
          <w:lang w:val="en-AU"/>
        </w:rPr>
        <w:t xml:space="preserve">Complete </w:t>
      </w:r>
      <w:r w:rsidRPr="00C64817">
        <w:rPr>
          <w:rFonts w:eastAsia="Helvetica" w:cstheme="minorHAnsi"/>
          <w:b/>
          <w:color w:val="auto"/>
          <w:lang w:val="en-AU"/>
        </w:rPr>
        <w:t>due diligence and contracting processes with all new partners</w:t>
      </w:r>
      <w:r w:rsidRPr="00C64817">
        <w:rPr>
          <w:rFonts w:eastAsia="Helvetica" w:cstheme="minorHAnsi"/>
          <w:color w:val="auto"/>
          <w:lang w:val="en-AU"/>
        </w:rPr>
        <w:t xml:space="preserve"> to ensure they meet the requirements set out in Commonwealth legislation and DFAT’s policies and guidelines on financial management, PSEAH, Child Protection and Environmental and Social Safeguards.</w:t>
      </w:r>
    </w:p>
    <w:p w14:paraId="07D92DF5" w14:textId="2AAA0C55" w:rsidR="00B82F8C" w:rsidRPr="00C64817" w:rsidRDefault="00B82F8C" w:rsidP="003C0072">
      <w:pPr>
        <w:pStyle w:val="BodyText"/>
        <w:numPr>
          <w:ilvl w:val="0"/>
          <w:numId w:val="22"/>
        </w:numPr>
        <w:suppressAutoHyphens w:val="0"/>
        <w:spacing w:before="0" w:after="160" w:line="280" w:lineRule="exact"/>
        <w:jc w:val="both"/>
        <w:rPr>
          <w:rFonts w:eastAsia="Helvetica" w:cstheme="minorHAnsi"/>
          <w:color w:val="auto"/>
          <w:lang w:val="en-AU"/>
        </w:rPr>
      </w:pPr>
      <w:r w:rsidRPr="00C64817">
        <w:rPr>
          <w:rFonts w:eastAsia="Helvetica" w:cstheme="minorHAnsi"/>
          <w:color w:val="auto"/>
          <w:lang w:val="en-AU"/>
        </w:rPr>
        <w:t xml:space="preserve">Monitor effective </w:t>
      </w:r>
      <w:r w:rsidRPr="00C64817">
        <w:rPr>
          <w:rFonts w:eastAsia="Helvetica" w:cstheme="minorHAnsi"/>
          <w:b/>
          <w:color w:val="auto"/>
          <w:lang w:val="en-AU"/>
        </w:rPr>
        <w:t>implementation of mitigation and identify emerging risks</w:t>
      </w:r>
      <w:r w:rsidRPr="00C64817">
        <w:rPr>
          <w:rFonts w:eastAsia="Helvetica" w:cstheme="minorHAnsi"/>
          <w:color w:val="auto"/>
          <w:lang w:val="en-AU"/>
        </w:rPr>
        <w:t xml:space="preserve"> through the MEL framework and reporting system</w:t>
      </w:r>
      <w:r w:rsidR="0049248E" w:rsidRPr="00C64817">
        <w:rPr>
          <w:rFonts w:eastAsia="Helvetica" w:cstheme="minorHAnsi"/>
          <w:color w:val="auto"/>
          <w:lang w:val="en-AU"/>
        </w:rPr>
        <w:t>.</w:t>
      </w:r>
    </w:p>
    <w:p w14:paraId="64B175AC" w14:textId="4EC3632B" w:rsidR="00B82F8C" w:rsidRPr="00C64817" w:rsidRDefault="00B82F8C" w:rsidP="003C0072">
      <w:pPr>
        <w:pStyle w:val="BodyText"/>
        <w:numPr>
          <w:ilvl w:val="0"/>
          <w:numId w:val="22"/>
        </w:numPr>
        <w:suppressAutoHyphens w:val="0"/>
        <w:spacing w:before="0" w:after="160" w:line="280" w:lineRule="exact"/>
        <w:jc w:val="both"/>
        <w:rPr>
          <w:rFonts w:eastAsia="Helvetica" w:cstheme="minorHAnsi"/>
          <w:color w:val="auto"/>
          <w:lang w:val="en-AU"/>
        </w:rPr>
      </w:pPr>
      <w:r w:rsidRPr="00C64817">
        <w:rPr>
          <w:rFonts w:eastAsia="Helvetica" w:cstheme="minorHAnsi"/>
          <w:color w:val="auto"/>
          <w:lang w:val="en-AU"/>
        </w:rPr>
        <w:t xml:space="preserve">Strengthen </w:t>
      </w:r>
      <w:r w:rsidRPr="00C64817">
        <w:rPr>
          <w:rFonts w:eastAsia="Helvetica" w:cstheme="minorHAnsi"/>
          <w:b/>
          <w:color w:val="auto"/>
          <w:lang w:val="en-AU"/>
        </w:rPr>
        <w:t xml:space="preserve">partner awareness of </w:t>
      </w:r>
      <w:r w:rsidR="00A406DE" w:rsidRPr="00C64817">
        <w:rPr>
          <w:rFonts w:eastAsia="Helvetica" w:cstheme="minorHAnsi"/>
          <w:b/>
          <w:color w:val="auto"/>
          <w:lang w:val="en-AU"/>
        </w:rPr>
        <w:t xml:space="preserve">conflict of interest </w:t>
      </w:r>
      <w:r w:rsidR="00A406DE" w:rsidRPr="00C64817">
        <w:rPr>
          <w:rFonts w:eastAsia="Helvetica" w:cstheme="minorHAnsi"/>
          <w:bCs/>
          <w:color w:val="auto"/>
          <w:lang w:val="en-AU"/>
        </w:rPr>
        <w:t>and branding issues that may arise.</w:t>
      </w:r>
    </w:p>
    <w:p w14:paraId="06FC3808" w14:textId="77777777" w:rsidR="00B82F8C" w:rsidRPr="00C64817" w:rsidRDefault="00B82F8C" w:rsidP="003C0072">
      <w:pPr>
        <w:pStyle w:val="BodyText"/>
        <w:numPr>
          <w:ilvl w:val="0"/>
          <w:numId w:val="22"/>
        </w:numPr>
        <w:suppressAutoHyphens w:val="0"/>
        <w:spacing w:before="0" w:after="160" w:line="280" w:lineRule="exact"/>
        <w:jc w:val="both"/>
        <w:rPr>
          <w:rFonts w:eastAsia="Helvetica" w:cstheme="minorHAnsi"/>
          <w:color w:val="auto"/>
          <w:lang w:val="en-AU"/>
        </w:rPr>
      </w:pPr>
      <w:r w:rsidRPr="00C64817">
        <w:rPr>
          <w:rFonts w:eastAsia="Helvetica" w:cstheme="minorHAnsi"/>
          <w:color w:val="auto"/>
          <w:lang w:val="en-AU"/>
        </w:rPr>
        <w:t xml:space="preserve">Continue </w:t>
      </w:r>
      <w:r w:rsidRPr="00C64817">
        <w:rPr>
          <w:rFonts w:eastAsia="Helvetica" w:cstheme="minorHAnsi"/>
          <w:b/>
          <w:color w:val="auto"/>
          <w:lang w:val="en-AU"/>
        </w:rPr>
        <w:t>regular dialogue with national government partners</w:t>
      </w:r>
      <w:r w:rsidRPr="00C64817">
        <w:rPr>
          <w:rFonts w:eastAsia="Helvetica" w:cstheme="minorHAnsi"/>
          <w:color w:val="auto"/>
          <w:lang w:val="en-AU"/>
        </w:rPr>
        <w:t xml:space="preserve"> and invest in building strong relationships at the subnational level, potentially through formal arrangements as required.</w:t>
      </w:r>
    </w:p>
    <w:p w14:paraId="14FE37A4" w14:textId="184988DF" w:rsidR="00B82F8C" w:rsidRPr="00C64817" w:rsidRDefault="00B82F8C" w:rsidP="003C0072">
      <w:pPr>
        <w:pStyle w:val="BodyText"/>
        <w:numPr>
          <w:ilvl w:val="0"/>
          <w:numId w:val="22"/>
        </w:numPr>
        <w:suppressAutoHyphens w:val="0"/>
        <w:spacing w:before="0" w:after="160" w:line="280" w:lineRule="exact"/>
        <w:jc w:val="both"/>
        <w:rPr>
          <w:rFonts w:eastAsia="Helvetica" w:cstheme="minorHAnsi"/>
          <w:color w:val="auto"/>
          <w:lang w:val="en-AU"/>
        </w:rPr>
      </w:pPr>
      <w:r w:rsidRPr="00C64817">
        <w:rPr>
          <w:rFonts w:eastAsia="Helvetica" w:cstheme="minorHAnsi"/>
          <w:color w:val="auto"/>
          <w:lang w:val="en-AU"/>
        </w:rPr>
        <w:t xml:space="preserve">Strengthen the </w:t>
      </w:r>
      <w:r w:rsidRPr="00C64817">
        <w:rPr>
          <w:rFonts w:eastAsia="Helvetica" w:cstheme="minorHAnsi"/>
          <w:b/>
          <w:color w:val="auto"/>
          <w:lang w:val="en-AU"/>
        </w:rPr>
        <w:t>skills and knowledge of DFAT staff at Post</w:t>
      </w:r>
      <w:r w:rsidR="00743AB4" w:rsidRPr="00C64817">
        <w:rPr>
          <w:rFonts w:eastAsia="Helvetica" w:cstheme="minorHAnsi"/>
          <w:b/>
          <w:color w:val="auto"/>
          <w:lang w:val="en-AU"/>
        </w:rPr>
        <w:t>, to SPC and to other delivery partners</w:t>
      </w:r>
      <w:r w:rsidRPr="00C64817">
        <w:rPr>
          <w:rFonts w:eastAsia="Helvetica" w:cstheme="minorHAnsi"/>
          <w:color w:val="auto"/>
          <w:lang w:val="en-AU"/>
        </w:rPr>
        <w:t xml:space="preserve"> through access to training and resources to ensure they are equipped to monitor and manage any incidents that may occur.</w:t>
      </w:r>
    </w:p>
    <w:p w14:paraId="35DEA7A9" w14:textId="0BE615DB" w:rsidR="00B82F8C" w:rsidRPr="00C64817" w:rsidRDefault="00D51204" w:rsidP="00B82F8C">
      <w:pPr>
        <w:jc w:val="both"/>
        <w:rPr>
          <w:rFonts w:cstheme="minorHAnsi"/>
          <w:color w:val="auto"/>
          <w:lang w:val="en-AU"/>
        </w:rPr>
      </w:pPr>
      <w:r w:rsidRPr="00C64817">
        <w:rPr>
          <w:rFonts w:cstheme="minorHAnsi"/>
          <w:color w:val="auto"/>
          <w:lang w:val="en-AU"/>
        </w:rPr>
        <w:t>9.4</w:t>
      </w:r>
      <w:r w:rsidRPr="00C64817">
        <w:rPr>
          <w:rFonts w:cstheme="minorHAnsi"/>
          <w:color w:val="auto"/>
          <w:lang w:val="en-AU"/>
        </w:rPr>
        <w:tab/>
      </w:r>
      <w:r w:rsidR="00B82F8C" w:rsidRPr="00C64817">
        <w:rPr>
          <w:rFonts w:cstheme="minorHAnsi"/>
          <w:b/>
          <w:bCs/>
          <w:color w:val="auto"/>
          <w:lang w:val="en-AU"/>
        </w:rPr>
        <w:t xml:space="preserve">Program risks will be actively managed </w:t>
      </w:r>
      <w:r w:rsidR="00B82F8C" w:rsidRPr="00C64817">
        <w:rPr>
          <w:rFonts w:cstheme="minorHAnsi"/>
          <w:color w:val="auto"/>
          <w:lang w:val="en-AU"/>
        </w:rPr>
        <w:t xml:space="preserve">through a regular, quarterly discussion of risks by program </w:t>
      </w:r>
      <w:r w:rsidR="00BA6799" w:rsidRPr="00C64817">
        <w:rPr>
          <w:rFonts w:cstheme="minorHAnsi"/>
          <w:color w:val="auto"/>
          <w:lang w:val="en-AU"/>
        </w:rPr>
        <w:t xml:space="preserve">delivery </w:t>
      </w:r>
      <w:r w:rsidR="00B82F8C" w:rsidRPr="00C64817">
        <w:rPr>
          <w:rFonts w:cstheme="minorHAnsi"/>
          <w:color w:val="auto"/>
          <w:lang w:val="en-AU"/>
        </w:rPr>
        <w:t>partners</w:t>
      </w:r>
      <w:r w:rsidR="00F93ABE" w:rsidRPr="00C64817">
        <w:rPr>
          <w:rFonts w:cstheme="minorHAnsi"/>
          <w:color w:val="auto"/>
          <w:lang w:val="en-AU"/>
        </w:rPr>
        <w:t>, convened by SPC</w:t>
      </w:r>
      <w:r w:rsidR="00B82F8C" w:rsidRPr="00C64817">
        <w:rPr>
          <w:rFonts w:cstheme="minorHAnsi"/>
          <w:color w:val="auto"/>
          <w:lang w:val="en-AU"/>
        </w:rPr>
        <w:t>. Consequently, the program risk register will be updated quarterly to reflect any changes in the risk profile of the program. This includes ensuring that the individual named as the Risk Owner remains the most appropriate.</w:t>
      </w:r>
      <w:r w:rsidR="00F93ABE" w:rsidRPr="00C64817">
        <w:rPr>
          <w:rFonts w:cstheme="minorHAnsi"/>
          <w:color w:val="auto"/>
          <w:lang w:val="en-AU"/>
        </w:rPr>
        <w:t xml:space="preserve"> </w:t>
      </w:r>
      <w:r w:rsidR="005A0DB0" w:rsidRPr="00C64817">
        <w:rPr>
          <w:rFonts w:cstheme="minorHAnsi"/>
          <w:color w:val="auto"/>
          <w:lang w:val="en-AU"/>
        </w:rPr>
        <w:t xml:space="preserve">This quarterly discussion among program partners will feed into </w:t>
      </w:r>
      <w:r w:rsidR="00F93ABE" w:rsidRPr="00C64817">
        <w:rPr>
          <w:rFonts w:cstheme="minorHAnsi"/>
          <w:color w:val="auto"/>
          <w:lang w:val="en-AU"/>
        </w:rPr>
        <w:t xml:space="preserve">SPC </w:t>
      </w:r>
      <w:r w:rsidR="005A0DB0" w:rsidRPr="00C64817">
        <w:rPr>
          <w:rFonts w:cstheme="minorHAnsi"/>
          <w:color w:val="auto"/>
          <w:lang w:val="en-AU"/>
        </w:rPr>
        <w:t>reporting to each Board meeting about risk</w:t>
      </w:r>
      <w:r w:rsidR="00BD2258" w:rsidRPr="00C64817">
        <w:rPr>
          <w:rFonts w:cstheme="minorHAnsi"/>
          <w:color w:val="auto"/>
          <w:lang w:val="en-AU"/>
        </w:rPr>
        <w:t>.</w:t>
      </w:r>
      <w:r w:rsidR="00B82F8C" w:rsidRPr="00C64817">
        <w:rPr>
          <w:rFonts w:cstheme="minorHAnsi"/>
          <w:color w:val="auto"/>
          <w:lang w:val="en-AU"/>
        </w:rPr>
        <w:t xml:space="preserve"> Where required, issues of poor risk management </w:t>
      </w:r>
      <w:r w:rsidR="006B78D6" w:rsidRPr="00C64817">
        <w:rPr>
          <w:rFonts w:cstheme="minorHAnsi"/>
          <w:color w:val="auto"/>
          <w:lang w:val="en-AU"/>
        </w:rPr>
        <w:t xml:space="preserve">at the activity </w:t>
      </w:r>
      <w:r w:rsidR="005A0DB0" w:rsidRPr="00C64817">
        <w:rPr>
          <w:rFonts w:cstheme="minorHAnsi"/>
          <w:color w:val="auto"/>
          <w:lang w:val="en-AU"/>
        </w:rPr>
        <w:t xml:space="preserve">level </w:t>
      </w:r>
      <w:r w:rsidR="00B82F8C" w:rsidRPr="00C64817">
        <w:rPr>
          <w:rFonts w:cstheme="minorHAnsi"/>
          <w:color w:val="auto"/>
          <w:lang w:val="en-AU"/>
        </w:rPr>
        <w:t xml:space="preserve">will initially be discussed with the relevant </w:t>
      </w:r>
      <w:r w:rsidR="00F93ABE" w:rsidRPr="00C64817">
        <w:rPr>
          <w:rFonts w:cstheme="minorHAnsi"/>
          <w:color w:val="auto"/>
          <w:lang w:val="en-AU"/>
        </w:rPr>
        <w:t>program delivery partner</w:t>
      </w:r>
      <w:r w:rsidR="00BA6799" w:rsidRPr="00C64817">
        <w:rPr>
          <w:rFonts w:cstheme="minorHAnsi"/>
          <w:color w:val="auto"/>
          <w:lang w:val="en-AU"/>
        </w:rPr>
        <w:t xml:space="preserve"> </w:t>
      </w:r>
      <w:r w:rsidR="00987413" w:rsidRPr="00C64817">
        <w:rPr>
          <w:rFonts w:cstheme="minorHAnsi"/>
          <w:color w:val="auto"/>
          <w:lang w:val="en-AU"/>
        </w:rPr>
        <w:t xml:space="preserve">in a timely manner (not waiting for the 3 monthly meeting) </w:t>
      </w:r>
      <w:r w:rsidR="00BA6799" w:rsidRPr="00C64817">
        <w:rPr>
          <w:rFonts w:cstheme="minorHAnsi"/>
          <w:color w:val="auto"/>
          <w:lang w:val="en-AU"/>
        </w:rPr>
        <w:t>and</w:t>
      </w:r>
      <w:r w:rsidR="00B82F8C" w:rsidRPr="00C64817">
        <w:rPr>
          <w:rFonts w:cstheme="minorHAnsi"/>
          <w:color w:val="auto"/>
          <w:lang w:val="en-AU"/>
        </w:rPr>
        <w:t xml:space="preserve"> </w:t>
      </w:r>
      <w:r w:rsidR="00465A8C" w:rsidRPr="00C64817">
        <w:rPr>
          <w:rFonts w:cstheme="minorHAnsi"/>
          <w:color w:val="auto"/>
          <w:lang w:val="en-AU"/>
        </w:rPr>
        <w:t>will be escalated</w:t>
      </w:r>
      <w:r w:rsidR="00B82F8C" w:rsidRPr="00C64817">
        <w:rPr>
          <w:rFonts w:cstheme="minorHAnsi"/>
          <w:color w:val="auto"/>
          <w:lang w:val="en-AU"/>
        </w:rPr>
        <w:t xml:space="preserve"> </w:t>
      </w:r>
      <w:r w:rsidR="00027B11" w:rsidRPr="00C64817">
        <w:rPr>
          <w:rFonts w:cstheme="minorHAnsi"/>
          <w:color w:val="auto"/>
          <w:lang w:val="en-AU"/>
        </w:rPr>
        <w:t>to the Board</w:t>
      </w:r>
      <w:r w:rsidR="00D40902" w:rsidRPr="00C64817">
        <w:rPr>
          <w:rFonts w:cstheme="minorHAnsi"/>
          <w:color w:val="auto"/>
          <w:lang w:val="en-AU"/>
        </w:rPr>
        <w:t>,</w:t>
      </w:r>
      <w:r w:rsidR="00B82F8C" w:rsidRPr="00C64817">
        <w:rPr>
          <w:rFonts w:cstheme="minorHAnsi"/>
          <w:color w:val="auto"/>
          <w:lang w:val="en-AU"/>
        </w:rPr>
        <w:t xml:space="preserve"> if required</w:t>
      </w:r>
      <w:r w:rsidR="00987413" w:rsidRPr="00C64817">
        <w:rPr>
          <w:rFonts w:cstheme="minorHAnsi"/>
          <w:color w:val="auto"/>
          <w:lang w:val="en-AU"/>
        </w:rPr>
        <w:t>, as part of SPC risk reporting</w:t>
      </w:r>
      <w:r w:rsidR="00B82F8C" w:rsidRPr="00C64817">
        <w:rPr>
          <w:rFonts w:cstheme="minorHAnsi"/>
          <w:color w:val="auto"/>
          <w:lang w:val="en-AU"/>
        </w:rPr>
        <w:t xml:space="preserve">. </w:t>
      </w:r>
    </w:p>
    <w:p w14:paraId="05BFFBA2" w14:textId="3C282F83" w:rsidR="007244C5" w:rsidRPr="00C64817" w:rsidRDefault="002D4DE7" w:rsidP="00C13494">
      <w:pPr>
        <w:tabs>
          <w:tab w:val="left" w:pos="284"/>
        </w:tabs>
        <w:suppressAutoHyphens w:val="0"/>
        <w:spacing w:before="0" w:line="280" w:lineRule="exact"/>
        <w:jc w:val="both"/>
        <w:rPr>
          <w:rFonts w:cstheme="minorHAnsi"/>
          <w:i/>
          <w:u w:val="single"/>
        </w:rPr>
      </w:pPr>
      <w:r w:rsidRPr="00C64817">
        <w:rPr>
          <w:rFonts w:cstheme="minorHAnsi"/>
          <w:i/>
          <w:u w:val="single"/>
        </w:rPr>
        <w:t xml:space="preserve"> </w:t>
      </w:r>
    </w:p>
    <w:p w14:paraId="2B7ED1A2" w14:textId="3CA5BDE0" w:rsidR="002D4DE7" w:rsidRPr="00C64817" w:rsidRDefault="00423F6B" w:rsidP="00F328DA">
      <w:pPr>
        <w:pStyle w:val="Heading1"/>
      </w:pPr>
      <w:bookmarkStart w:id="28" w:name="_Toc75535902"/>
      <w:r>
        <w:t xml:space="preserve">10. </w:t>
      </w:r>
      <w:r w:rsidR="002D4DE7" w:rsidRPr="00C64817">
        <w:t>Quality assurance</w:t>
      </w:r>
      <w:bookmarkEnd w:id="28"/>
      <w:r w:rsidR="002D4DE7" w:rsidRPr="00C64817">
        <w:t xml:space="preserve"> </w:t>
      </w:r>
    </w:p>
    <w:p w14:paraId="4382235D" w14:textId="61300D00" w:rsidR="00B648B5" w:rsidRPr="00C64817" w:rsidRDefault="00423F6B" w:rsidP="00C13494">
      <w:pPr>
        <w:tabs>
          <w:tab w:val="left" w:pos="284"/>
        </w:tabs>
        <w:suppressAutoHyphens w:val="0"/>
        <w:spacing w:before="0" w:line="280" w:lineRule="exact"/>
        <w:jc w:val="both"/>
        <w:rPr>
          <w:rFonts w:cstheme="minorHAnsi"/>
          <w:color w:val="auto"/>
        </w:rPr>
      </w:pPr>
      <w:r>
        <w:rPr>
          <w:rFonts w:cstheme="minorHAnsi"/>
          <w:color w:val="auto"/>
        </w:rPr>
        <w:t xml:space="preserve">10. </w:t>
      </w:r>
      <w:r>
        <w:rPr>
          <w:rFonts w:cstheme="minorHAnsi"/>
          <w:color w:val="auto"/>
        </w:rPr>
        <w:tab/>
      </w:r>
      <w:r w:rsidR="00FA4B65" w:rsidRPr="00C64817">
        <w:rPr>
          <w:rFonts w:cstheme="minorHAnsi"/>
          <w:color w:val="auto"/>
        </w:rPr>
        <w:t xml:space="preserve">The Design </w:t>
      </w:r>
      <w:r w:rsidR="00A54991" w:rsidRPr="00C64817">
        <w:rPr>
          <w:rFonts w:cstheme="minorHAnsi"/>
          <w:color w:val="auto"/>
        </w:rPr>
        <w:t xml:space="preserve">was considered by a </w:t>
      </w:r>
      <w:r w:rsidR="007B480E" w:rsidRPr="00C64817">
        <w:rPr>
          <w:rFonts w:cstheme="minorHAnsi"/>
          <w:color w:val="auto"/>
        </w:rPr>
        <w:t>Peer Review</w:t>
      </w:r>
      <w:r w:rsidR="00A54991" w:rsidRPr="00C64817">
        <w:rPr>
          <w:rFonts w:cstheme="minorHAnsi"/>
          <w:color w:val="auto"/>
        </w:rPr>
        <w:t xml:space="preserve"> on 25 February 2021. </w:t>
      </w:r>
      <w:r w:rsidR="00BF7A6F" w:rsidRPr="00C64817">
        <w:rPr>
          <w:rFonts w:cstheme="minorHAnsi"/>
          <w:color w:val="auto"/>
        </w:rPr>
        <w:t>Written appraisals were undertaken by t</w:t>
      </w:r>
      <w:r w:rsidR="009E7EA7" w:rsidRPr="00C64817">
        <w:rPr>
          <w:rFonts w:cstheme="minorHAnsi"/>
          <w:color w:val="auto"/>
        </w:rPr>
        <w:t xml:space="preserve">wo independent appraisers and two </w:t>
      </w:r>
      <w:r w:rsidR="00CB0201" w:rsidRPr="00C64817">
        <w:rPr>
          <w:rFonts w:cstheme="minorHAnsi"/>
          <w:color w:val="auto"/>
        </w:rPr>
        <w:t>DFAT appraisers</w:t>
      </w:r>
      <w:r w:rsidR="00BF7A6F" w:rsidRPr="00C64817">
        <w:rPr>
          <w:rFonts w:cstheme="minorHAnsi"/>
          <w:color w:val="auto"/>
        </w:rPr>
        <w:t xml:space="preserve">. </w:t>
      </w:r>
    </w:p>
    <w:p w14:paraId="1D86E526" w14:textId="77777777" w:rsidR="00B648B5" w:rsidRPr="00C64817" w:rsidRDefault="00B648B5" w:rsidP="00C13494">
      <w:pPr>
        <w:tabs>
          <w:tab w:val="left" w:pos="284"/>
        </w:tabs>
        <w:suppressAutoHyphens w:val="0"/>
        <w:spacing w:before="0" w:line="280" w:lineRule="exact"/>
        <w:jc w:val="both"/>
        <w:rPr>
          <w:rFonts w:cstheme="minorHAnsi"/>
          <w:color w:val="auto"/>
        </w:rPr>
      </w:pPr>
    </w:p>
    <w:p w14:paraId="4FDF0C95" w14:textId="77777777" w:rsidR="00C26F0A" w:rsidRDefault="00C26F0A" w:rsidP="00D362E2">
      <w:pPr>
        <w:tabs>
          <w:tab w:val="left" w:pos="284"/>
        </w:tabs>
        <w:suppressAutoHyphens w:val="0"/>
        <w:spacing w:before="0" w:line="280" w:lineRule="exact"/>
        <w:jc w:val="both"/>
        <w:rPr>
          <w:rFonts w:eastAsia="Times New Roman" w:cstheme="minorHAnsi"/>
          <w:color w:val="auto"/>
          <w:lang w:val="en-AU" w:eastAsia="en-AU"/>
        </w:rPr>
      </w:pPr>
    </w:p>
    <w:p w14:paraId="738DA43A" w14:textId="77777777" w:rsidR="00C26F0A" w:rsidRPr="00F328DA" w:rsidRDefault="00C26F0A" w:rsidP="00D362E2">
      <w:pPr>
        <w:tabs>
          <w:tab w:val="left" w:pos="284"/>
        </w:tabs>
        <w:suppressAutoHyphens w:val="0"/>
        <w:spacing w:before="0" w:line="280" w:lineRule="exact"/>
        <w:jc w:val="both"/>
        <w:rPr>
          <w:rFonts w:eastAsia="Times New Roman" w:cstheme="minorHAnsi"/>
          <w:b/>
          <w:bCs/>
          <w:color w:val="auto"/>
          <w:lang w:val="en-AU" w:eastAsia="en-AU"/>
        </w:rPr>
      </w:pPr>
      <w:r w:rsidRPr="00F328DA">
        <w:rPr>
          <w:rFonts w:eastAsia="Times New Roman" w:cstheme="minorHAnsi"/>
          <w:b/>
          <w:bCs/>
          <w:color w:val="auto"/>
          <w:lang w:val="en-AU" w:eastAsia="en-AU"/>
        </w:rPr>
        <w:lastRenderedPageBreak/>
        <w:t>Annexes</w:t>
      </w:r>
    </w:p>
    <w:p w14:paraId="3E57F00C" w14:textId="10F3C9B3" w:rsidR="00D51204" w:rsidRDefault="00522CA2" w:rsidP="00D362E2">
      <w:pPr>
        <w:tabs>
          <w:tab w:val="left" w:pos="284"/>
        </w:tabs>
        <w:suppressAutoHyphens w:val="0"/>
        <w:spacing w:before="0" w:line="280" w:lineRule="exact"/>
        <w:jc w:val="both"/>
        <w:rPr>
          <w:rFonts w:eastAsia="Times New Roman" w:cstheme="minorHAnsi"/>
          <w:iCs/>
          <w:color w:val="auto"/>
          <w:lang w:val="en-AU" w:eastAsia="en-AU"/>
        </w:rPr>
      </w:pPr>
      <w:r w:rsidRPr="00C64817">
        <w:rPr>
          <w:rFonts w:eastAsia="Times New Roman" w:cstheme="minorHAnsi"/>
          <w:color w:val="auto"/>
          <w:lang w:val="en-AU" w:eastAsia="en-AU"/>
        </w:rPr>
        <w:t xml:space="preserve">Annex </w:t>
      </w:r>
      <w:r w:rsidR="00D362E2" w:rsidRPr="00C64817">
        <w:rPr>
          <w:rFonts w:eastAsia="Times New Roman" w:cstheme="minorHAnsi"/>
          <w:iCs/>
          <w:color w:val="auto"/>
          <w:lang w:val="en-AU" w:eastAsia="en-AU"/>
        </w:rPr>
        <w:t xml:space="preserve">1 </w:t>
      </w:r>
      <w:r w:rsidR="00D362E2" w:rsidRPr="00C64817">
        <w:rPr>
          <w:rFonts w:eastAsia="Times New Roman" w:cstheme="minorHAnsi"/>
          <w:iCs/>
          <w:color w:val="auto"/>
          <w:lang w:val="en-AU" w:eastAsia="en-AU"/>
        </w:rPr>
        <w:tab/>
      </w:r>
      <w:r w:rsidR="00D362E2" w:rsidRPr="00C64817">
        <w:rPr>
          <w:rFonts w:eastAsia="Times New Roman" w:cstheme="minorHAnsi"/>
          <w:iCs/>
          <w:color w:val="auto"/>
          <w:lang w:val="en-AU" w:eastAsia="en-AU"/>
        </w:rPr>
        <w:tab/>
      </w:r>
      <w:r w:rsidR="00BE720F" w:rsidRPr="00C64817">
        <w:rPr>
          <w:rFonts w:eastAsia="Times New Roman" w:cstheme="minorHAnsi"/>
          <w:iCs/>
          <w:color w:val="auto"/>
          <w:lang w:val="en-AU" w:eastAsia="en-AU"/>
        </w:rPr>
        <w:t xml:space="preserve">Monitoring </w:t>
      </w:r>
      <w:r w:rsidR="00FF554B" w:rsidRPr="00C64817">
        <w:rPr>
          <w:rFonts w:eastAsia="Times New Roman" w:cstheme="minorHAnsi"/>
          <w:iCs/>
          <w:color w:val="auto"/>
          <w:lang w:val="en-AU" w:eastAsia="en-AU"/>
        </w:rPr>
        <w:t xml:space="preserve">&amp; Evaluation Framework </w:t>
      </w:r>
      <w:r w:rsidR="000A713D" w:rsidRPr="00C64817">
        <w:rPr>
          <w:rFonts w:eastAsia="Times New Roman" w:cstheme="minorHAnsi"/>
          <w:iCs/>
          <w:color w:val="auto"/>
          <w:lang w:val="en-AU" w:eastAsia="en-AU"/>
        </w:rPr>
        <w:t xml:space="preserve">(with </w:t>
      </w:r>
      <w:r w:rsidR="00D362E2" w:rsidRPr="00C64817">
        <w:rPr>
          <w:rFonts w:eastAsia="Times New Roman" w:cstheme="minorHAnsi"/>
          <w:iCs/>
          <w:color w:val="auto"/>
          <w:lang w:val="en-AU" w:eastAsia="en-AU"/>
        </w:rPr>
        <w:t>Performance Assessment Framework</w:t>
      </w:r>
      <w:r w:rsidR="00A81376">
        <w:rPr>
          <w:rFonts w:eastAsia="Times New Roman" w:cstheme="minorHAnsi"/>
          <w:iCs/>
          <w:color w:val="auto"/>
          <w:lang w:val="en-AU" w:eastAsia="en-AU"/>
        </w:rPr>
        <w:t>)</w:t>
      </w:r>
      <w:r w:rsidR="00D362E2" w:rsidRPr="00C64817">
        <w:rPr>
          <w:rFonts w:eastAsia="Times New Roman" w:cstheme="minorHAnsi"/>
          <w:iCs/>
          <w:color w:val="auto"/>
          <w:lang w:val="en-AU" w:eastAsia="en-AU"/>
        </w:rPr>
        <w:t xml:space="preserve"> </w:t>
      </w:r>
    </w:p>
    <w:p w14:paraId="6F9F4A24" w14:textId="64527856" w:rsidR="00FC55FB" w:rsidRDefault="00FC55FB" w:rsidP="00D362E2">
      <w:pPr>
        <w:tabs>
          <w:tab w:val="left" w:pos="284"/>
        </w:tabs>
        <w:suppressAutoHyphens w:val="0"/>
        <w:spacing w:before="0" w:line="280" w:lineRule="exact"/>
        <w:jc w:val="both"/>
        <w:rPr>
          <w:rFonts w:eastAsia="Times New Roman" w:cstheme="minorHAnsi"/>
          <w:iCs/>
          <w:color w:val="auto"/>
          <w:lang w:val="en-AU" w:eastAsia="en-AU"/>
        </w:rPr>
      </w:pPr>
      <w:r>
        <w:rPr>
          <w:rFonts w:eastAsia="Times New Roman" w:cstheme="minorHAnsi"/>
          <w:iCs/>
          <w:color w:val="auto"/>
          <w:lang w:val="en-AU" w:eastAsia="en-AU"/>
        </w:rPr>
        <w:t xml:space="preserve">Annex </w:t>
      </w:r>
      <w:r w:rsidR="00A81376">
        <w:rPr>
          <w:rFonts w:eastAsia="Times New Roman" w:cstheme="minorHAnsi"/>
          <w:iCs/>
          <w:color w:val="auto"/>
          <w:lang w:val="en-AU" w:eastAsia="en-AU"/>
        </w:rPr>
        <w:t>2</w:t>
      </w:r>
      <w:r>
        <w:rPr>
          <w:rFonts w:eastAsia="Times New Roman" w:cstheme="minorHAnsi"/>
          <w:iCs/>
          <w:color w:val="auto"/>
          <w:lang w:val="en-AU" w:eastAsia="en-AU"/>
        </w:rPr>
        <w:t xml:space="preserve"> </w:t>
      </w:r>
      <w:r>
        <w:rPr>
          <w:rFonts w:eastAsia="Times New Roman" w:cstheme="minorHAnsi"/>
          <w:iCs/>
          <w:color w:val="auto"/>
          <w:lang w:val="en-AU" w:eastAsia="en-AU"/>
        </w:rPr>
        <w:tab/>
      </w:r>
      <w:r>
        <w:rPr>
          <w:rFonts w:eastAsia="Times New Roman" w:cstheme="minorHAnsi"/>
          <w:iCs/>
          <w:color w:val="auto"/>
          <w:lang w:val="en-AU" w:eastAsia="en-AU"/>
        </w:rPr>
        <w:tab/>
        <w:t xml:space="preserve">Six-Year Evaluation Recommendations </w:t>
      </w:r>
    </w:p>
    <w:p w14:paraId="39FD8958" w14:textId="7900080F" w:rsidR="00FC55FB" w:rsidRPr="00C64817" w:rsidRDefault="00FC55FB" w:rsidP="00D362E2">
      <w:pPr>
        <w:tabs>
          <w:tab w:val="left" w:pos="284"/>
        </w:tabs>
        <w:suppressAutoHyphens w:val="0"/>
        <w:spacing w:before="0" w:line="280" w:lineRule="exact"/>
        <w:jc w:val="both"/>
        <w:rPr>
          <w:rFonts w:eastAsia="Times New Roman" w:cstheme="minorHAnsi"/>
          <w:iCs/>
          <w:color w:val="auto"/>
          <w:lang w:val="en-AU" w:eastAsia="en-AU"/>
        </w:rPr>
      </w:pPr>
      <w:r>
        <w:rPr>
          <w:rFonts w:eastAsia="Times New Roman" w:cstheme="minorHAnsi"/>
          <w:iCs/>
          <w:color w:val="auto"/>
          <w:lang w:val="en-AU" w:eastAsia="en-AU"/>
        </w:rPr>
        <w:t xml:space="preserve">Annex </w:t>
      </w:r>
      <w:r w:rsidR="00A81376">
        <w:rPr>
          <w:rFonts w:eastAsia="Times New Roman" w:cstheme="minorHAnsi"/>
          <w:iCs/>
          <w:color w:val="auto"/>
          <w:lang w:val="en-AU" w:eastAsia="en-AU"/>
        </w:rPr>
        <w:t>3</w:t>
      </w:r>
      <w:r>
        <w:rPr>
          <w:rFonts w:eastAsia="Times New Roman" w:cstheme="minorHAnsi"/>
          <w:iCs/>
          <w:color w:val="auto"/>
          <w:lang w:val="en-AU" w:eastAsia="en-AU"/>
        </w:rPr>
        <w:tab/>
      </w:r>
      <w:r>
        <w:rPr>
          <w:rFonts w:eastAsia="Times New Roman" w:cstheme="minorHAnsi"/>
          <w:iCs/>
          <w:color w:val="auto"/>
          <w:lang w:val="en-AU" w:eastAsia="en-AU"/>
        </w:rPr>
        <w:tab/>
      </w:r>
      <w:r>
        <w:rPr>
          <w:rFonts w:eastAsia="Times New Roman" w:cstheme="minorHAnsi"/>
          <w:iCs/>
          <w:color w:val="auto"/>
          <w:lang w:val="en-AU" w:eastAsia="en-AU"/>
        </w:rPr>
        <w:tab/>
        <w:t xml:space="preserve">Transition </w:t>
      </w:r>
    </w:p>
    <w:p w14:paraId="3D973A09" w14:textId="13CB2E72" w:rsidR="003524E7" w:rsidRDefault="003524E7">
      <w:pPr>
        <w:suppressAutoHyphens w:val="0"/>
        <w:spacing w:before="0" w:after="120" w:line="440" w:lineRule="atLeast"/>
        <w:rPr>
          <w:rFonts w:eastAsia="Times New Roman" w:cstheme="minorHAnsi"/>
          <w:color w:val="auto"/>
          <w:lang w:val="en-AU" w:eastAsia="en-AU"/>
        </w:rPr>
      </w:pPr>
      <w:r>
        <w:rPr>
          <w:rFonts w:eastAsia="Times New Roman" w:cstheme="minorHAnsi"/>
          <w:color w:val="auto"/>
          <w:lang w:val="en-AU" w:eastAsia="en-AU"/>
        </w:rPr>
        <w:br w:type="page"/>
      </w:r>
    </w:p>
    <w:p w14:paraId="728EA719" w14:textId="053B1366" w:rsidR="005B6304" w:rsidRDefault="00143AC2" w:rsidP="00C26F0A">
      <w:pPr>
        <w:pStyle w:val="Heading1"/>
        <w:rPr>
          <w:b w:val="0"/>
          <w:bCs w:val="0"/>
          <w:sz w:val="36"/>
          <w:szCs w:val="24"/>
          <w:lang w:val="en-AU"/>
        </w:rPr>
      </w:pPr>
      <w:bookmarkStart w:id="29" w:name="_Toc75535903"/>
      <w:r w:rsidRPr="00C26F0A">
        <w:lastRenderedPageBreak/>
        <w:t>A</w:t>
      </w:r>
      <w:r w:rsidR="0019719E" w:rsidRPr="00C26F0A">
        <w:t>NNEX</w:t>
      </w:r>
      <w:r w:rsidRPr="00C26F0A">
        <w:t xml:space="preserve"> 1</w:t>
      </w:r>
      <w:r w:rsidR="000A04F0">
        <w:t xml:space="preserve"> – Pacific Women Lead Monitoring and Evaluation Framework</w:t>
      </w:r>
      <w:bookmarkStart w:id="30" w:name="_Hlk63937503"/>
      <w:bookmarkEnd w:id="29"/>
    </w:p>
    <w:p w14:paraId="4096B924" w14:textId="54D10A8D" w:rsidR="00ED3BA0" w:rsidRPr="00F328DA" w:rsidRDefault="00ED3BA0" w:rsidP="00F328DA">
      <w:pPr>
        <w:pStyle w:val="Heading2"/>
        <w:rPr>
          <w:sz w:val="36"/>
          <w:szCs w:val="24"/>
          <w:lang w:val="en-AU"/>
        </w:rPr>
      </w:pPr>
      <w:bookmarkStart w:id="31" w:name="_Toc75535904"/>
      <w:r w:rsidRPr="00F328DA">
        <w:rPr>
          <w:sz w:val="36"/>
          <w:szCs w:val="24"/>
          <w:lang w:val="en-AU"/>
        </w:rPr>
        <w:t>Introduction</w:t>
      </w:r>
      <w:bookmarkEnd w:id="31"/>
    </w:p>
    <w:p w14:paraId="71496A2C" w14:textId="77777777" w:rsidR="00ED3BA0" w:rsidRPr="000E1B41" w:rsidRDefault="00ED3BA0" w:rsidP="00ED3BA0">
      <w:pPr>
        <w:jc w:val="both"/>
        <w:rPr>
          <w:rFonts w:asciiTheme="majorHAnsi" w:hAnsiTheme="majorHAnsi" w:cstheme="majorHAnsi"/>
          <w:color w:val="auto"/>
        </w:rPr>
      </w:pPr>
      <w:r w:rsidRPr="000E1B41">
        <w:rPr>
          <w:rFonts w:asciiTheme="majorHAnsi" w:hAnsiTheme="majorHAnsi" w:cstheme="majorHAnsi"/>
          <w:color w:val="auto"/>
        </w:rPr>
        <w:t>Pacific Women Lead will be implemented in a rapidly changing environment. Timely M&amp;E will be critical to help the program to adjust and adapt as necessary, to demonstrate and understand where there have been successes, and to move away from areas that are underperforming.</w:t>
      </w:r>
    </w:p>
    <w:p w14:paraId="16A8499A" w14:textId="77777777" w:rsidR="00ED3BA0" w:rsidRPr="000E1B41" w:rsidRDefault="00ED3BA0" w:rsidP="00ED3BA0">
      <w:pPr>
        <w:jc w:val="both"/>
        <w:rPr>
          <w:rFonts w:asciiTheme="majorHAnsi" w:hAnsiTheme="majorHAnsi" w:cstheme="majorHAnsi"/>
          <w:color w:val="auto"/>
        </w:rPr>
      </w:pPr>
      <w:r w:rsidRPr="000E1B41">
        <w:rPr>
          <w:rFonts w:asciiTheme="majorHAnsi" w:hAnsiTheme="majorHAnsi" w:cstheme="majorHAnsi"/>
          <w:color w:val="auto"/>
        </w:rPr>
        <w:t>MEL is expected to deliver accountability and demonstrate the effectiveness of program delivery and results. In particular, the MEL Framework (MELF) will address the challenges of aggregating data across different countries to provide results for the region as a whole, achieve an appropriate balance between quantitative and qualitative data that does not overly burden program staff, and use information as evidence for ongoing program improvement.</w:t>
      </w:r>
    </w:p>
    <w:p w14:paraId="48222095" w14:textId="77777777" w:rsidR="00ED3BA0" w:rsidRPr="000E1B41" w:rsidRDefault="00ED3BA0" w:rsidP="00ED3BA0">
      <w:pPr>
        <w:spacing w:after="160" w:line="233" w:lineRule="atLeast"/>
        <w:jc w:val="both"/>
        <w:rPr>
          <w:rFonts w:ascii="Calibri" w:eastAsia="Times New Roman" w:hAnsi="Calibri" w:cs="Calibri"/>
          <w:color w:val="auto"/>
          <w:lang w:eastAsia="en-GB"/>
        </w:rPr>
      </w:pPr>
      <w:r w:rsidRPr="000E1B41">
        <w:rPr>
          <w:rFonts w:asciiTheme="majorHAnsi" w:hAnsiTheme="majorHAnsi" w:cstheme="majorHAnsi"/>
          <w:color w:val="auto"/>
        </w:rPr>
        <w:t xml:space="preserve">As specified in the main design document, the </w:t>
      </w:r>
      <w:r w:rsidRPr="000E1B41">
        <w:rPr>
          <w:rFonts w:ascii="Calibri" w:eastAsia="Times New Roman" w:hAnsi="Calibri" w:cs="Calibri"/>
          <w:b/>
          <w:bCs/>
          <w:color w:val="auto"/>
          <w:lang w:eastAsia="en-GB"/>
        </w:rPr>
        <w:t>three main objectives for the ‘Pacific Women Lead’ program MELF are to</w:t>
      </w:r>
      <w:r w:rsidRPr="000E1B41">
        <w:rPr>
          <w:rFonts w:ascii="Calibri" w:eastAsia="Times New Roman" w:hAnsi="Calibri" w:cs="Calibri"/>
          <w:color w:val="auto"/>
          <w:lang w:eastAsia="en-GB"/>
        </w:rPr>
        <w:t>:</w:t>
      </w:r>
    </w:p>
    <w:p w14:paraId="6048DFB9" w14:textId="77777777" w:rsidR="00ED3BA0" w:rsidRPr="000E1B41" w:rsidRDefault="00ED3BA0" w:rsidP="008B3991">
      <w:pPr>
        <w:numPr>
          <w:ilvl w:val="0"/>
          <w:numId w:val="50"/>
        </w:numPr>
        <w:suppressAutoHyphens w:val="0"/>
        <w:spacing w:before="0" w:after="0" w:line="233" w:lineRule="atLeast"/>
        <w:jc w:val="both"/>
        <w:rPr>
          <w:rFonts w:ascii="Calibri" w:eastAsia="Times New Roman" w:hAnsi="Calibri" w:cs="Calibri"/>
          <w:color w:val="auto"/>
          <w:lang w:eastAsia="en-GB"/>
        </w:rPr>
      </w:pPr>
      <w:r w:rsidRPr="000E1B41">
        <w:rPr>
          <w:rFonts w:ascii="Calibri" w:eastAsia="Times New Roman" w:hAnsi="Calibri" w:cs="Calibri"/>
          <w:color w:val="auto"/>
          <w:lang w:eastAsia="en-GB"/>
        </w:rPr>
        <w:t>S</w:t>
      </w:r>
      <w:r w:rsidRPr="000E1B41">
        <w:rPr>
          <w:rFonts w:ascii="Calibri" w:eastAsia="Times New Roman" w:hAnsi="Calibri" w:cs="Calibri"/>
          <w:i/>
          <w:iCs/>
          <w:color w:val="auto"/>
          <w:lang w:eastAsia="en-GB"/>
        </w:rPr>
        <w:t>upport learning and decision making</w:t>
      </w:r>
      <w:r w:rsidRPr="000E1B41">
        <w:rPr>
          <w:rFonts w:ascii="Calibri" w:eastAsia="Times New Roman" w:hAnsi="Calibri" w:cs="Calibri"/>
          <w:color w:val="auto"/>
          <w:lang w:eastAsia="en-GB"/>
        </w:rPr>
        <w:t xml:space="preserve"> for the improvement of the program and strengthening overall </w:t>
      </w:r>
      <w:proofErr w:type="gramStart"/>
      <w:r w:rsidRPr="000E1B41">
        <w:rPr>
          <w:rFonts w:ascii="Calibri" w:eastAsia="Times New Roman" w:hAnsi="Calibri" w:cs="Calibri"/>
          <w:color w:val="auto"/>
          <w:lang w:eastAsia="en-GB"/>
        </w:rPr>
        <w:t>impact;</w:t>
      </w:r>
      <w:proofErr w:type="gramEnd"/>
    </w:p>
    <w:p w14:paraId="66BBB61D" w14:textId="77777777" w:rsidR="00ED3BA0" w:rsidRPr="000E1B41" w:rsidRDefault="00ED3BA0" w:rsidP="008B3991">
      <w:pPr>
        <w:numPr>
          <w:ilvl w:val="0"/>
          <w:numId w:val="50"/>
        </w:numPr>
        <w:suppressAutoHyphens w:val="0"/>
        <w:spacing w:before="0" w:after="0" w:line="233" w:lineRule="atLeast"/>
        <w:jc w:val="both"/>
        <w:rPr>
          <w:rFonts w:ascii="Calibri" w:eastAsia="Times New Roman" w:hAnsi="Calibri" w:cs="Calibri"/>
          <w:color w:val="auto"/>
          <w:lang w:eastAsia="en-GB"/>
        </w:rPr>
      </w:pPr>
      <w:r w:rsidRPr="000E1B41">
        <w:rPr>
          <w:rFonts w:ascii="Calibri" w:eastAsia="Times New Roman" w:hAnsi="Calibri" w:cs="Calibri"/>
          <w:color w:val="auto"/>
          <w:lang w:eastAsia="en-GB"/>
        </w:rPr>
        <w:t>G</w:t>
      </w:r>
      <w:r w:rsidRPr="000E1B41">
        <w:rPr>
          <w:rFonts w:ascii="Calibri" w:eastAsia="Times New Roman" w:hAnsi="Calibri" w:cs="Calibri"/>
          <w:i/>
          <w:iCs/>
          <w:color w:val="auto"/>
          <w:lang w:eastAsia="en-GB"/>
        </w:rPr>
        <w:t>enerate evidence and information</w:t>
      </w:r>
      <w:r w:rsidRPr="000E1B41">
        <w:rPr>
          <w:rFonts w:ascii="Calibri" w:eastAsia="Times New Roman" w:hAnsi="Calibri" w:cs="Calibri"/>
          <w:color w:val="auto"/>
          <w:lang w:eastAsia="en-GB"/>
        </w:rPr>
        <w:t> that supports the program theory of change and can be communicated to influence program stakeholders; and</w:t>
      </w:r>
    </w:p>
    <w:p w14:paraId="4A4664AE" w14:textId="77777777" w:rsidR="00ED3BA0" w:rsidRPr="000E1B41" w:rsidRDefault="00ED3BA0" w:rsidP="008B3991">
      <w:pPr>
        <w:numPr>
          <w:ilvl w:val="0"/>
          <w:numId w:val="50"/>
        </w:numPr>
        <w:suppressAutoHyphens w:val="0"/>
        <w:spacing w:before="0" w:after="0" w:line="233" w:lineRule="atLeast"/>
        <w:jc w:val="both"/>
        <w:rPr>
          <w:rFonts w:ascii="Calibri" w:eastAsia="Times New Roman" w:hAnsi="Calibri" w:cs="Calibri"/>
          <w:color w:val="auto"/>
          <w:lang w:eastAsia="en-GB"/>
        </w:rPr>
      </w:pPr>
      <w:r w:rsidRPr="000E1B41">
        <w:rPr>
          <w:rFonts w:ascii="Calibri" w:eastAsia="Times New Roman" w:hAnsi="Calibri" w:cs="Calibri"/>
          <w:color w:val="auto"/>
          <w:lang w:eastAsia="en-GB"/>
        </w:rPr>
        <w:t>To </w:t>
      </w:r>
      <w:r w:rsidRPr="000E1B41">
        <w:rPr>
          <w:rFonts w:ascii="Calibri" w:eastAsia="Times New Roman" w:hAnsi="Calibri" w:cs="Calibri"/>
          <w:i/>
          <w:iCs/>
          <w:color w:val="auto"/>
          <w:lang w:eastAsia="en-GB"/>
        </w:rPr>
        <w:t>ensure accountability</w:t>
      </w:r>
      <w:r w:rsidRPr="000E1B41">
        <w:rPr>
          <w:rFonts w:ascii="Calibri" w:eastAsia="Times New Roman" w:hAnsi="Calibri" w:cs="Calibri"/>
          <w:color w:val="auto"/>
          <w:lang w:eastAsia="en-GB"/>
        </w:rPr>
        <w:t> of the program to all program partners and stakeholders, including Australian taxpayers and the people of the Pacific.</w:t>
      </w:r>
    </w:p>
    <w:p w14:paraId="248AA09F" w14:textId="77777777" w:rsidR="00ED3BA0" w:rsidRPr="000E1B41" w:rsidRDefault="00ED3BA0" w:rsidP="00ED3BA0">
      <w:pPr>
        <w:rPr>
          <w:rFonts w:ascii="Calibri" w:eastAsia="Times New Roman" w:hAnsi="Calibri" w:cs="Calibri"/>
          <w:color w:val="auto"/>
          <w:lang w:eastAsia="en-GB"/>
        </w:rPr>
      </w:pPr>
      <w:r w:rsidRPr="000E1B41">
        <w:rPr>
          <w:rFonts w:eastAsia="Times New Roman" w:cs="Times New Roman"/>
          <w:color w:val="auto"/>
          <w:sz w:val="21"/>
          <w:lang w:val="en-AU"/>
        </w:rPr>
        <w:t xml:space="preserve">The main audience for the MELF, and users of information generated by the MELF, will include </w:t>
      </w:r>
      <w:r w:rsidRPr="000E1B41">
        <w:rPr>
          <w:rFonts w:ascii="Calibri" w:eastAsia="Times New Roman" w:hAnsi="Calibri" w:cs="Calibri"/>
          <w:color w:val="auto"/>
          <w:lang w:eastAsia="en-GB"/>
        </w:rPr>
        <w:t>the SPC, DFAT in Canberra and at Posts in the Pacific Island Countries involved with Pacific Women Lead. Other users include regional and national stakeholders engaged to implement specific aspects of program implementation.</w:t>
      </w:r>
    </w:p>
    <w:p w14:paraId="4E568A12" w14:textId="77777777" w:rsidR="00ED3BA0" w:rsidRPr="00F328DA" w:rsidRDefault="00ED3BA0" w:rsidP="00F328DA">
      <w:pPr>
        <w:pStyle w:val="Heading2"/>
        <w:rPr>
          <w:sz w:val="36"/>
          <w:szCs w:val="24"/>
          <w:lang w:val="en-AU"/>
        </w:rPr>
      </w:pPr>
      <w:bookmarkStart w:id="32" w:name="_Toc75535905"/>
      <w:r w:rsidRPr="00F328DA">
        <w:rPr>
          <w:sz w:val="36"/>
          <w:szCs w:val="24"/>
          <w:lang w:val="en-AU"/>
        </w:rPr>
        <w:t>Guiding Principles</w:t>
      </w:r>
      <w:bookmarkEnd w:id="32"/>
    </w:p>
    <w:p w14:paraId="68FBB1AC" w14:textId="77777777" w:rsidR="00ED3BA0" w:rsidRPr="000E1B41" w:rsidRDefault="00ED3BA0" w:rsidP="00ED3BA0">
      <w:pPr>
        <w:rPr>
          <w:rFonts w:ascii="Times New Roman" w:eastAsia="Times New Roman" w:hAnsi="Times New Roman" w:cs="Times New Roman"/>
          <w:color w:val="auto"/>
          <w:lang w:eastAsia="en-GB"/>
        </w:rPr>
      </w:pPr>
      <w:r w:rsidRPr="000E1B41">
        <w:rPr>
          <w:rFonts w:eastAsia="Times New Roman" w:cs="Times New Roman"/>
          <w:color w:val="auto"/>
          <w:sz w:val="21"/>
          <w:lang w:val="en-AU"/>
        </w:rPr>
        <w:t xml:space="preserve">The MELF for this program </w:t>
      </w:r>
      <w:r w:rsidRPr="000E1B41">
        <w:rPr>
          <w:rFonts w:ascii="Calibri" w:eastAsia="Times New Roman" w:hAnsi="Calibri" w:cs="Calibri"/>
          <w:b/>
          <w:bCs/>
          <w:color w:val="auto"/>
          <w:lang w:eastAsia="en-GB"/>
        </w:rPr>
        <w:t>will measure progress towards the project outcomes by articulating the methods and timing for capturing relevant data</w:t>
      </w:r>
      <w:r w:rsidRPr="000E1B41">
        <w:rPr>
          <w:rFonts w:ascii="Calibri" w:eastAsia="Times New Roman" w:hAnsi="Calibri" w:cs="Calibri"/>
          <w:color w:val="auto"/>
          <w:lang w:eastAsia="en-GB"/>
        </w:rPr>
        <w:t>. The MELF covers the five-year period of the program and will be updated annually to reflect any changes in the program approach. It has been designed to align with DFAT’s Monitoring and Evaluation Standards and incorporates lessons learned on monitoring and evaluation from the </w:t>
      </w:r>
      <w:r w:rsidRPr="000E1B41">
        <w:rPr>
          <w:rFonts w:ascii="Calibri" w:eastAsia="Times New Roman" w:hAnsi="Calibri" w:cs="Calibri"/>
          <w:i/>
          <w:iCs/>
          <w:color w:val="auto"/>
          <w:lang w:eastAsia="en-GB"/>
        </w:rPr>
        <w:t>Pacific Women Shaping Pacific Development</w:t>
      </w:r>
      <w:r w:rsidRPr="000E1B41">
        <w:rPr>
          <w:rFonts w:ascii="Calibri" w:eastAsia="Times New Roman" w:hAnsi="Calibri" w:cs="Calibri"/>
          <w:color w:val="auto"/>
          <w:lang w:eastAsia="en-GB"/>
        </w:rPr>
        <w:t> program.</w:t>
      </w:r>
    </w:p>
    <w:p w14:paraId="06A7473A" w14:textId="77777777" w:rsidR="00ED3BA0" w:rsidRPr="000E1B41" w:rsidRDefault="00ED3BA0" w:rsidP="00ED3BA0">
      <w:pPr>
        <w:rPr>
          <w:rFonts w:eastAsia="Times New Roman" w:cs="Times New Roman"/>
          <w:color w:val="auto"/>
          <w:sz w:val="21"/>
          <w:lang w:val="en-AU"/>
        </w:rPr>
      </w:pPr>
      <w:r w:rsidRPr="000E1B41">
        <w:rPr>
          <w:rFonts w:eastAsia="Times New Roman" w:cs="Times New Roman"/>
          <w:color w:val="auto"/>
          <w:sz w:val="21"/>
          <w:lang w:val="en-AU"/>
        </w:rPr>
        <w:t xml:space="preserve">The following principles will guide M&amp;E across the program, and will inform the </w:t>
      </w:r>
      <w:proofErr w:type="gramStart"/>
      <w:r w:rsidRPr="000E1B41">
        <w:rPr>
          <w:rFonts w:eastAsia="Times New Roman" w:cs="Times New Roman"/>
          <w:color w:val="auto"/>
          <w:sz w:val="21"/>
          <w:lang w:val="en-AU"/>
        </w:rPr>
        <w:t>manner in which</w:t>
      </w:r>
      <w:proofErr w:type="gramEnd"/>
      <w:r w:rsidRPr="000E1B41">
        <w:rPr>
          <w:rFonts w:eastAsia="Times New Roman" w:cs="Times New Roman"/>
          <w:color w:val="auto"/>
          <w:sz w:val="21"/>
          <w:lang w:val="en-AU"/>
        </w:rPr>
        <w:t xml:space="preserve"> the MELF should be planned and delivered (as already noted in the main design document):</w:t>
      </w:r>
    </w:p>
    <w:p w14:paraId="4A5BA95F" w14:textId="77777777" w:rsidR="00426F89" w:rsidRPr="00FD030E" w:rsidRDefault="00ED3BA0" w:rsidP="00426F89">
      <w:pPr>
        <w:numPr>
          <w:ilvl w:val="0"/>
          <w:numId w:val="51"/>
        </w:numPr>
        <w:suppressAutoHyphens w:val="0"/>
        <w:spacing w:before="0" w:after="160" w:line="233" w:lineRule="atLeast"/>
        <w:jc w:val="both"/>
        <w:rPr>
          <w:rFonts w:ascii="Times New Roman" w:hAnsi="Times New Roman" w:cs="Times New Roman"/>
          <w:color w:val="000000"/>
        </w:rPr>
      </w:pPr>
      <w:r w:rsidRPr="00711CB1">
        <w:rPr>
          <w:rFonts w:ascii="Calibri" w:eastAsia="Times New Roman" w:hAnsi="Calibri" w:cs="Calibri"/>
          <w:b/>
          <w:bCs/>
          <w:color w:val="000000"/>
          <w:lang w:eastAsia="en-GB"/>
        </w:rPr>
        <w:t>Flexible and adaptable:</w:t>
      </w:r>
      <w:r w:rsidRPr="00711CB1">
        <w:rPr>
          <w:rFonts w:ascii="Calibri" w:eastAsia="Times New Roman" w:hAnsi="Calibri" w:cs="Calibri"/>
          <w:color w:val="000000"/>
          <w:lang w:eastAsia="en-GB"/>
        </w:rPr>
        <w:t> Monitoring and evaluation methods and tools will be flexible to respond to local contextual factors, particular in the early phase of implementation where remote or third-party MEL may be required</w:t>
      </w:r>
      <w:proofErr w:type="gramStart"/>
      <w:r w:rsidRPr="00711CB1">
        <w:rPr>
          <w:rFonts w:ascii="Calibri" w:eastAsia="Times New Roman" w:hAnsi="Calibri" w:cs="Calibri"/>
          <w:color w:val="000000"/>
          <w:lang w:eastAsia="en-GB"/>
        </w:rPr>
        <w:t>.</w:t>
      </w:r>
      <w:r w:rsidR="00426F89">
        <w:rPr>
          <w:rFonts w:ascii="Calibri" w:eastAsia="Times New Roman" w:hAnsi="Calibri" w:cs="Calibri"/>
          <w:color w:val="000000"/>
          <w:lang w:eastAsia="en-GB"/>
        </w:rPr>
        <w:t xml:space="preserve"> </w:t>
      </w:r>
      <w:r w:rsidR="00426F89" w:rsidRPr="00FD030E">
        <w:rPr>
          <w:rFonts w:ascii="Times New Roman" w:hAnsi="Times New Roman" w:cs="Times New Roman"/>
          <w:color w:val="000000"/>
        </w:rPr>
        <w:t>.</w:t>
      </w:r>
      <w:proofErr w:type="gramEnd"/>
      <w:r w:rsidR="00426F89" w:rsidRPr="00FD030E">
        <w:rPr>
          <w:rFonts w:ascii="Times New Roman" w:hAnsi="Times New Roman" w:cs="Times New Roman"/>
          <w:color w:val="000000"/>
        </w:rPr>
        <w:t xml:space="preserve"> The methods, processes and tools used will be adapted to accommodate and ensure inclusion of the diversity of stakeholders that includes culture, traditional beliefs, gender and sex identity and different forms of disability.</w:t>
      </w:r>
    </w:p>
    <w:p w14:paraId="7AED20AF" w14:textId="77777777" w:rsidR="00ED3BA0" w:rsidRPr="00711CB1" w:rsidRDefault="00ED3BA0" w:rsidP="008B3991">
      <w:pPr>
        <w:numPr>
          <w:ilvl w:val="0"/>
          <w:numId w:val="51"/>
        </w:numPr>
        <w:suppressAutoHyphens w:val="0"/>
        <w:spacing w:before="0" w:after="160" w:line="233" w:lineRule="atLeast"/>
        <w:jc w:val="both"/>
        <w:rPr>
          <w:rFonts w:ascii="Calibri" w:eastAsia="Times New Roman" w:hAnsi="Calibri" w:cs="Calibri"/>
          <w:color w:val="000000"/>
          <w:lang w:eastAsia="en-GB"/>
        </w:rPr>
      </w:pPr>
      <w:r w:rsidRPr="00711CB1">
        <w:rPr>
          <w:rFonts w:ascii="Calibri" w:eastAsia="Times New Roman" w:hAnsi="Calibri" w:cs="Calibri"/>
          <w:b/>
          <w:bCs/>
          <w:color w:val="000000"/>
          <w:lang w:eastAsia="en-GB"/>
        </w:rPr>
        <w:t>Emphasis on learning:</w:t>
      </w:r>
      <w:r w:rsidRPr="00711CB1">
        <w:rPr>
          <w:rFonts w:ascii="Calibri" w:eastAsia="Times New Roman" w:hAnsi="Calibri" w:cs="Calibri"/>
          <w:color w:val="000000"/>
          <w:lang w:eastAsia="en-GB"/>
        </w:rPr>
        <w:t> With the commitment by DFAT to ensure authentic Pacific ownership for Pacific Women Lead, there is likely to be significant learning moments during the program. The MELF prioritises the need to internalise and share those lessons learned above any judgement of performance to date. Given this program will begin implementation during a global pandemic, new ways of working will also be tested which require ongoing reflection and adjustment.</w:t>
      </w:r>
    </w:p>
    <w:p w14:paraId="760BE683" w14:textId="77777777" w:rsidR="00ED3BA0" w:rsidRPr="00711CB1" w:rsidRDefault="00ED3BA0" w:rsidP="008B3991">
      <w:pPr>
        <w:numPr>
          <w:ilvl w:val="0"/>
          <w:numId w:val="51"/>
        </w:numPr>
        <w:suppressAutoHyphens w:val="0"/>
        <w:spacing w:before="0" w:after="160" w:line="233" w:lineRule="atLeast"/>
        <w:jc w:val="both"/>
        <w:rPr>
          <w:rFonts w:ascii="Calibri" w:eastAsia="Times New Roman" w:hAnsi="Calibri" w:cs="Calibri"/>
          <w:color w:val="000000"/>
          <w:lang w:eastAsia="en-GB"/>
        </w:rPr>
      </w:pPr>
      <w:r w:rsidRPr="00711CB1">
        <w:rPr>
          <w:rFonts w:ascii="Calibri" w:eastAsia="Times New Roman" w:hAnsi="Calibri" w:cs="Calibri"/>
          <w:b/>
          <w:bCs/>
          <w:color w:val="000000"/>
          <w:lang w:eastAsia="en-GB"/>
        </w:rPr>
        <w:lastRenderedPageBreak/>
        <w:t>Mutual accountability:</w:t>
      </w:r>
      <w:r w:rsidRPr="00711CB1">
        <w:rPr>
          <w:rFonts w:ascii="Calibri" w:eastAsia="Times New Roman" w:hAnsi="Calibri" w:cs="Calibri"/>
          <w:color w:val="000000"/>
          <w:lang w:eastAsia="en-GB"/>
        </w:rPr>
        <w:t> Ensuring there is mutual accountability between DFAT and implementing partners, as well as to Australian taxpayers and people in the Pacific, the MELF will capture information that demonstrates the quality of the investment and value for money.</w:t>
      </w:r>
    </w:p>
    <w:p w14:paraId="4197230E" w14:textId="77777777" w:rsidR="00ED3BA0" w:rsidRPr="00711CB1" w:rsidRDefault="00ED3BA0" w:rsidP="008B3991">
      <w:pPr>
        <w:numPr>
          <w:ilvl w:val="0"/>
          <w:numId w:val="51"/>
        </w:numPr>
        <w:suppressAutoHyphens w:val="0"/>
        <w:spacing w:before="0" w:after="160" w:line="233" w:lineRule="atLeast"/>
        <w:jc w:val="both"/>
        <w:rPr>
          <w:rFonts w:ascii="Calibri" w:eastAsia="Times New Roman" w:hAnsi="Calibri" w:cs="Calibri"/>
          <w:color w:val="000000"/>
          <w:lang w:eastAsia="en-GB"/>
        </w:rPr>
      </w:pPr>
      <w:r w:rsidRPr="00711CB1">
        <w:rPr>
          <w:rFonts w:ascii="Calibri" w:eastAsia="Times New Roman" w:hAnsi="Calibri" w:cs="Calibri"/>
          <w:b/>
          <w:bCs/>
          <w:color w:val="000000"/>
          <w:lang w:eastAsia="en-GB"/>
        </w:rPr>
        <w:t>Focus on outcomes over outputs:</w:t>
      </w:r>
      <w:r w:rsidRPr="00711CB1">
        <w:rPr>
          <w:rFonts w:ascii="Calibri" w:eastAsia="Times New Roman" w:hAnsi="Calibri" w:cs="Calibri"/>
          <w:color w:val="000000"/>
          <w:lang w:eastAsia="en-GB"/>
        </w:rPr>
        <w:t> With regional investments it can be simple to focus on the outputs and overlook the outcomes and impact that is trying to be achieved on a broader scale. The MELF strengthens the focus on measuring and communicating outcomes of the program rather than outputs, recognising that data on both will need to be collected.</w:t>
      </w:r>
    </w:p>
    <w:p w14:paraId="35B413DC" w14:textId="6E1248D9" w:rsidR="00E32D92" w:rsidRPr="00140452" w:rsidRDefault="00ED3BA0" w:rsidP="00E32D92">
      <w:pPr>
        <w:numPr>
          <w:ilvl w:val="0"/>
          <w:numId w:val="51"/>
        </w:numPr>
        <w:suppressAutoHyphens w:val="0"/>
        <w:spacing w:before="0" w:after="160" w:line="233" w:lineRule="atLeast"/>
        <w:jc w:val="both"/>
        <w:rPr>
          <w:rFonts w:ascii="Times New Roman" w:hAnsi="Times New Roman" w:cs="Times New Roman"/>
          <w:color w:val="000000"/>
        </w:rPr>
      </w:pPr>
      <w:r w:rsidRPr="00E32D92">
        <w:rPr>
          <w:rFonts w:ascii="Calibri" w:eastAsia="Times New Roman" w:hAnsi="Calibri" w:cs="Calibri"/>
          <w:b/>
          <w:bCs/>
          <w:color w:val="000000"/>
          <w:lang w:eastAsia="en-GB"/>
        </w:rPr>
        <w:t>Promoting equality and inclusion:</w:t>
      </w:r>
      <w:r w:rsidRPr="00E32D92">
        <w:rPr>
          <w:rFonts w:ascii="Calibri" w:eastAsia="Times New Roman" w:hAnsi="Calibri" w:cs="Calibri"/>
          <w:color w:val="000000"/>
          <w:lang w:eastAsia="en-GB"/>
        </w:rPr>
        <w:t> </w:t>
      </w:r>
      <w:r w:rsidR="00E32D92" w:rsidRPr="00E32D92">
        <w:rPr>
          <w:rFonts w:ascii="Times New Roman" w:hAnsi="Times New Roman" w:cs="Times New Roman"/>
          <w:color w:val="000000"/>
        </w:rPr>
        <w:t xml:space="preserve">With a particular focus on gender equality, disability inclusion </w:t>
      </w:r>
      <w:r w:rsidR="00E32D92" w:rsidRPr="00AF112F">
        <w:rPr>
          <w:rFonts w:ascii="Times New Roman" w:hAnsi="Times New Roman" w:cs="Times New Roman"/>
          <w:color w:val="000000"/>
        </w:rPr>
        <w:t xml:space="preserve">and the inclusion of people from diverse backgrounds </w:t>
      </w:r>
      <w:r w:rsidR="00E32D92" w:rsidRPr="003507C3">
        <w:rPr>
          <w:rFonts w:ascii="Times New Roman" w:hAnsi="Times New Roman" w:cs="Times New Roman"/>
          <w:color w:val="000000"/>
        </w:rPr>
        <w:t>with consideration of gender, sex, rural and remote locations, and their intersection</w:t>
      </w:r>
      <w:r w:rsidR="003F603E" w:rsidRPr="00F328DA">
        <w:rPr>
          <w:rFonts w:ascii="Times New Roman" w:hAnsi="Times New Roman" w:cs="Times New Roman"/>
          <w:color w:val="000000"/>
        </w:rPr>
        <w:t>s</w:t>
      </w:r>
      <w:r w:rsidR="00E32D92" w:rsidRPr="00EA1E53">
        <w:rPr>
          <w:rFonts w:ascii="Times New Roman" w:hAnsi="Times New Roman" w:cs="Times New Roman"/>
          <w:color w:val="000000"/>
        </w:rPr>
        <w:t>. The program’s contribution to equality and inclusion will be mainstreamed throughout the MELF</w:t>
      </w:r>
      <w:r w:rsidR="00E32D92" w:rsidRPr="00561F9F">
        <w:rPr>
          <w:rFonts w:ascii="Times New Roman" w:hAnsi="Times New Roman" w:cs="Times New Roman"/>
          <w:color w:val="000000"/>
        </w:rPr>
        <w:t xml:space="preserve"> through the scope of disaggregated data collected, inclusive and diversity sensitive methodology an</w:t>
      </w:r>
      <w:r w:rsidR="00E32D92" w:rsidRPr="00C56A6B">
        <w:rPr>
          <w:rFonts w:ascii="Times New Roman" w:hAnsi="Times New Roman" w:cs="Times New Roman"/>
          <w:color w:val="000000"/>
        </w:rPr>
        <w:t xml:space="preserve">d tools, and accessible processes and communication formats. </w:t>
      </w:r>
    </w:p>
    <w:p w14:paraId="588780B8" w14:textId="77777777" w:rsidR="00ED3BA0" w:rsidRPr="00F328DA" w:rsidRDefault="00ED3BA0" w:rsidP="00F328DA">
      <w:pPr>
        <w:pStyle w:val="Heading2"/>
        <w:rPr>
          <w:sz w:val="36"/>
          <w:szCs w:val="24"/>
          <w:lang w:val="en-AU"/>
        </w:rPr>
      </w:pPr>
      <w:bookmarkStart w:id="33" w:name="_Toc75535906"/>
      <w:r w:rsidRPr="00F328DA">
        <w:rPr>
          <w:sz w:val="36"/>
          <w:szCs w:val="24"/>
          <w:lang w:val="en-AU"/>
        </w:rPr>
        <w:t>Responsibility</w:t>
      </w:r>
      <w:bookmarkEnd w:id="33"/>
    </w:p>
    <w:p w14:paraId="6161E9FC" w14:textId="7C2DB2FE" w:rsidR="00ED3BA0" w:rsidRPr="009B7661" w:rsidRDefault="00ED3BA0" w:rsidP="00687B44">
      <w:pPr>
        <w:spacing w:after="160" w:line="233" w:lineRule="atLeast"/>
        <w:jc w:val="both"/>
        <w:rPr>
          <w:rFonts w:ascii="Calibri" w:eastAsia="Times New Roman" w:hAnsi="Calibri" w:cs="Calibri"/>
          <w:color w:val="auto"/>
          <w:lang w:eastAsia="en-GB"/>
        </w:rPr>
      </w:pPr>
      <w:r w:rsidRPr="009B7661">
        <w:rPr>
          <w:rFonts w:ascii="Calibri" w:eastAsia="Times New Roman" w:hAnsi="Calibri" w:cs="Calibri"/>
          <w:color w:val="auto"/>
          <w:lang w:eastAsia="en-GB"/>
        </w:rPr>
        <w:t xml:space="preserve">The </w:t>
      </w:r>
      <w:r w:rsidR="00463863">
        <w:rPr>
          <w:rFonts w:ascii="Calibri" w:eastAsia="Times New Roman" w:hAnsi="Calibri" w:cs="Calibri"/>
          <w:b/>
          <w:bCs/>
          <w:color w:val="auto"/>
          <w:lang w:eastAsia="en-GB"/>
        </w:rPr>
        <w:t>Board</w:t>
      </w:r>
      <w:r w:rsidRPr="009B7661">
        <w:rPr>
          <w:rFonts w:ascii="Calibri" w:eastAsia="Times New Roman" w:hAnsi="Calibri" w:cs="Calibri"/>
          <w:color w:val="auto"/>
          <w:lang w:eastAsia="en-GB"/>
        </w:rPr>
        <w:t xml:space="preserve"> will have overall responsibility for both the design and implementation of the MELF. As previously noted</w:t>
      </w:r>
      <w:r w:rsidR="0085379D">
        <w:rPr>
          <w:rFonts w:ascii="Calibri" w:eastAsia="Times New Roman" w:hAnsi="Calibri" w:cs="Calibri"/>
          <w:color w:val="auto"/>
          <w:lang w:eastAsia="en-GB"/>
        </w:rPr>
        <w:t>,</w:t>
      </w:r>
      <w:r w:rsidRPr="009B7661">
        <w:rPr>
          <w:rFonts w:ascii="Calibri" w:eastAsia="Times New Roman" w:hAnsi="Calibri" w:cs="Calibri"/>
          <w:color w:val="auto"/>
          <w:lang w:eastAsia="en-GB"/>
        </w:rPr>
        <w:t xml:space="preserve"> the </w:t>
      </w:r>
      <w:r w:rsidRPr="009B7661">
        <w:rPr>
          <w:rFonts w:ascii="Calibri" w:eastAsia="Times New Roman" w:hAnsi="Calibri" w:cs="Calibri"/>
          <w:b/>
          <w:bCs/>
          <w:color w:val="auto"/>
          <w:lang w:eastAsia="en-GB"/>
        </w:rPr>
        <w:t>Quality and Technical Advisory Group (QTAG</w:t>
      </w:r>
      <w:r w:rsidRPr="009B7661">
        <w:rPr>
          <w:rFonts w:ascii="Calibri" w:eastAsia="Times New Roman" w:hAnsi="Calibri" w:cs="Calibri"/>
          <w:color w:val="auto"/>
          <w:lang w:eastAsia="en-GB"/>
        </w:rPr>
        <w:t xml:space="preserve">) will undertake regular monitoring and provide reports on progress to the </w:t>
      </w:r>
      <w:r w:rsidR="00463863">
        <w:rPr>
          <w:rFonts w:ascii="Calibri" w:eastAsia="Times New Roman" w:hAnsi="Calibri" w:cs="Calibri"/>
          <w:color w:val="auto"/>
          <w:lang w:eastAsia="en-GB"/>
        </w:rPr>
        <w:t>Board</w:t>
      </w:r>
      <w:r w:rsidRPr="009B7661">
        <w:rPr>
          <w:rFonts w:ascii="Calibri" w:eastAsia="Times New Roman" w:hAnsi="Calibri" w:cs="Calibri"/>
          <w:color w:val="auto"/>
          <w:lang w:eastAsia="en-GB"/>
        </w:rPr>
        <w:t>, with logistical and secretarial support provided by SPC as the ‘host’.</w:t>
      </w:r>
    </w:p>
    <w:p w14:paraId="045A4BE8" w14:textId="77777777" w:rsidR="00ED3BA0" w:rsidRPr="009B7661" w:rsidRDefault="00ED3BA0" w:rsidP="00687B44">
      <w:pPr>
        <w:spacing w:after="160" w:line="233" w:lineRule="atLeast"/>
        <w:jc w:val="both"/>
        <w:rPr>
          <w:rFonts w:ascii="Calibri" w:eastAsia="Times New Roman" w:hAnsi="Calibri" w:cs="Calibri"/>
          <w:color w:val="auto"/>
          <w:lang w:eastAsia="en-GB"/>
        </w:rPr>
      </w:pPr>
      <w:r w:rsidRPr="009B7661">
        <w:rPr>
          <w:rFonts w:ascii="Calibri" w:eastAsia="Times New Roman" w:hAnsi="Calibri" w:cs="Calibri"/>
          <w:color w:val="auto"/>
          <w:lang w:eastAsia="en-GB"/>
        </w:rPr>
        <w:t xml:space="preserve">Where applicable QTAG will contract a MEL advisor to help in the design and implementation of the MELF, in addition to drawing on existing MEL expertise within </w:t>
      </w:r>
      <w:r w:rsidRPr="009B7661">
        <w:rPr>
          <w:rFonts w:asciiTheme="majorHAnsi" w:hAnsiTheme="majorHAnsi" w:cstheme="majorHAnsi"/>
          <w:color w:val="auto"/>
        </w:rPr>
        <w:t>DFAT’s Office of the Pacific – Pacific Gender and Regional Development section</w:t>
      </w:r>
      <w:r w:rsidRPr="009B7661">
        <w:rPr>
          <w:rFonts w:ascii="Calibri" w:eastAsia="Times New Roman" w:hAnsi="Calibri" w:cs="Calibri"/>
          <w:color w:val="auto"/>
          <w:lang w:eastAsia="en-GB"/>
        </w:rPr>
        <w:t>.</w:t>
      </w:r>
    </w:p>
    <w:p w14:paraId="171EB137" w14:textId="664E94F3" w:rsidR="00ED3BA0" w:rsidRPr="00F328DA" w:rsidRDefault="00ED3BA0" w:rsidP="00F328DA">
      <w:pPr>
        <w:pStyle w:val="Heading2"/>
        <w:rPr>
          <w:sz w:val="36"/>
          <w:szCs w:val="24"/>
        </w:rPr>
      </w:pPr>
      <w:bookmarkStart w:id="34" w:name="_Toc75535907"/>
      <w:r w:rsidRPr="00F328DA">
        <w:rPr>
          <w:sz w:val="36"/>
          <w:szCs w:val="24"/>
          <w:lang w:val="en-AU"/>
        </w:rPr>
        <w:t>Implementation</w:t>
      </w:r>
      <w:bookmarkEnd w:id="34"/>
    </w:p>
    <w:p w14:paraId="6E42A948" w14:textId="77777777" w:rsidR="00ED3BA0" w:rsidRPr="009B7661" w:rsidRDefault="00ED3BA0" w:rsidP="00687B44">
      <w:pPr>
        <w:jc w:val="both"/>
        <w:rPr>
          <w:rFonts w:asciiTheme="majorHAnsi" w:hAnsiTheme="majorHAnsi" w:cstheme="majorHAnsi"/>
          <w:color w:val="auto"/>
        </w:rPr>
      </w:pPr>
      <w:r w:rsidRPr="009B7661">
        <w:rPr>
          <w:rFonts w:asciiTheme="majorHAnsi" w:hAnsiTheme="majorHAnsi" w:cstheme="majorHAnsi"/>
          <w:color w:val="auto"/>
        </w:rPr>
        <w:t>Due to the nature of the implementation model the MELF, and its operating, system will need to operate at three different levels to measure performance and support decision makers, which will need to clarified during the transition period when the MELF is fully designed:</w:t>
      </w:r>
    </w:p>
    <w:p w14:paraId="0E652E63" w14:textId="24E802AB" w:rsidR="00ED3BA0" w:rsidRPr="009B7661" w:rsidRDefault="00ED3BA0" w:rsidP="008B3991">
      <w:pPr>
        <w:pStyle w:val="ListParagraph"/>
        <w:numPr>
          <w:ilvl w:val="0"/>
          <w:numId w:val="48"/>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b/>
          <w:bCs/>
          <w:color w:val="auto"/>
        </w:rPr>
        <w:t>Programmatic level</w:t>
      </w:r>
      <w:r w:rsidRPr="009B7661">
        <w:rPr>
          <w:rFonts w:asciiTheme="majorHAnsi" w:hAnsiTheme="majorHAnsi" w:cstheme="majorHAnsi"/>
          <w:color w:val="auto"/>
        </w:rPr>
        <w:t>: This requires an analysis of progress towards intended end of program outcomes (EOPOs) based on aggregated and cumulative performance data across all activities supported by Pacific Women Lead. This function supports both (1) strategic decision making in terms of whether the activities are having a catalytic effect and working in synergy with other related interventions to achieve EOPOs, and (2) management decisions on whether the model represents the most efficient and effective mechanism to deliver results. Accountability and value for money is demonstrated through the most efficient and effective use of resources across the program of activities. Analysis and reporting on programmatic level MEL will be the responsibility of SPC working with implementing partners.</w:t>
      </w:r>
    </w:p>
    <w:p w14:paraId="5AB14FEC" w14:textId="73BB1F80" w:rsidR="00ED3BA0" w:rsidRPr="009B7661" w:rsidRDefault="00ED3BA0" w:rsidP="008B3991">
      <w:pPr>
        <w:pStyle w:val="ListParagraph"/>
        <w:numPr>
          <w:ilvl w:val="0"/>
          <w:numId w:val="48"/>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b/>
          <w:bCs/>
          <w:color w:val="auto"/>
        </w:rPr>
        <w:t>National/bilateral level</w:t>
      </w:r>
      <w:r w:rsidRPr="009B7661">
        <w:rPr>
          <w:rFonts w:asciiTheme="majorHAnsi" w:hAnsiTheme="majorHAnsi" w:cstheme="majorHAnsi"/>
          <w:color w:val="auto"/>
        </w:rPr>
        <w:t>: This requires an analysis of the effectiveness and health of bilateral relationships/partnerships across all sectors being supported by Pacific Women Lead. A key outcome of the program will be the extent to which program implementation can deepen and strengthen both regional and national partnerships to sustain the benefits. The MEL system will include key performance indicators (to be determined) to track the strength of partnerships associated with promoting the regional agenda for gender equality.</w:t>
      </w:r>
    </w:p>
    <w:p w14:paraId="5F540745" w14:textId="6CB47958" w:rsidR="00ED3BA0" w:rsidRPr="009B7661" w:rsidRDefault="00ED3BA0" w:rsidP="008B3991">
      <w:pPr>
        <w:pStyle w:val="ListParagraph"/>
        <w:numPr>
          <w:ilvl w:val="0"/>
          <w:numId w:val="48"/>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b/>
          <w:bCs/>
          <w:color w:val="auto"/>
        </w:rPr>
        <w:t>Activity level</w:t>
      </w:r>
      <w:r w:rsidRPr="009B7661">
        <w:rPr>
          <w:rFonts w:asciiTheme="majorHAnsi" w:hAnsiTheme="majorHAnsi" w:cstheme="majorHAnsi"/>
          <w:color w:val="auto"/>
        </w:rPr>
        <w:t xml:space="preserve">: All activities supported by the will be monitored and evaluated for quality of outputs, value for money, and contributions towards program outcomes according to each of the key focal areas. Each funded activity will include requirements in their terms of reference for a monitoring and evaluation component to report on performance. KPIs will be stipulated for each activity to allow for aggregation of results at the programmatic level. </w:t>
      </w:r>
    </w:p>
    <w:p w14:paraId="35A7C98B" w14:textId="77777777" w:rsidR="00ED3BA0" w:rsidRPr="009B7661" w:rsidRDefault="00ED3BA0" w:rsidP="00687B44">
      <w:pPr>
        <w:pStyle w:val="ListParagraph"/>
        <w:jc w:val="both"/>
        <w:rPr>
          <w:rFonts w:asciiTheme="majorHAnsi" w:hAnsiTheme="majorHAnsi" w:cstheme="majorHAnsi"/>
          <w:color w:val="auto"/>
        </w:rPr>
      </w:pPr>
    </w:p>
    <w:p w14:paraId="00EBAD6C" w14:textId="0038C725" w:rsidR="00ED3BA0" w:rsidRPr="009B7661" w:rsidRDefault="00ED3BA0" w:rsidP="00687B44">
      <w:pPr>
        <w:jc w:val="both"/>
        <w:rPr>
          <w:rFonts w:asciiTheme="majorHAnsi" w:hAnsiTheme="majorHAnsi" w:cstheme="majorHAnsi"/>
          <w:color w:val="auto"/>
        </w:rPr>
      </w:pPr>
      <w:r w:rsidRPr="009B7661">
        <w:rPr>
          <w:rFonts w:asciiTheme="majorHAnsi" w:hAnsiTheme="majorHAnsi" w:cstheme="majorHAnsi"/>
          <w:color w:val="auto"/>
        </w:rPr>
        <w:lastRenderedPageBreak/>
        <w:t>For this reason</w:t>
      </w:r>
      <w:r w:rsidR="0085379D">
        <w:rPr>
          <w:rFonts w:asciiTheme="majorHAnsi" w:hAnsiTheme="majorHAnsi" w:cstheme="majorHAnsi"/>
          <w:color w:val="auto"/>
        </w:rPr>
        <w:t>,</w:t>
      </w:r>
      <w:r w:rsidRPr="009B7661">
        <w:rPr>
          <w:rFonts w:asciiTheme="majorHAnsi" w:hAnsiTheme="majorHAnsi" w:cstheme="majorHAnsi"/>
          <w:color w:val="auto"/>
        </w:rPr>
        <w:t xml:space="preserve"> SPC will need to ensure it:</w:t>
      </w:r>
    </w:p>
    <w:p w14:paraId="05BA2C0A" w14:textId="77777777" w:rsidR="00ED3BA0" w:rsidRPr="009B7661" w:rsidRDefault="00ED3BA0" w:rsidP="008B3991">
      <w:pPr>
        <w:pStyle w:val="ListParagraph"/>
        <w:numPr>
          <w:ilvl w:val="0"/>
          <w:numId w:val="49"/>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Has dedicated M&amp;E personnel to meet the wide-ranging M&amp;E requirements (including tracking progress against the objectives spelt out in the PAF both regionally and at the national level</w:t>
      </w:r>
      <w:proofErr w:type="gramStart"/>
      <w:r w:rsidRPr="009B7661">
        <w:rPr>
          <w:rFonts w:asciiTheme="majorHAnsi" w:hAnsiTheme="majorHAnsi" w:cstheme="majorHAnsi"/>
          <w:color w:val="auto"/>
        </w:rPr>
        <w:t>);</w:t>
      </w:r>
      <w:proofErr w:type="gramEnd"/>
      <w:r w:rsidRPr="009B7661">
        <w:rPr>
          <w:rFonts w:asciiTheme="majorHAnsi" w:hAnsiTheme="majorHAnsi" w:cstheme="majorHAnsi"/>
          <w:color w:val="auto"/>
        </w:rPr>
        <w:t xml:space="preserve"> </w:t>
      </w:r>
    </w:p>
    <w:p w14:paraId="523837CD" w14:textId="63D1877D" w:rsidR="00ED3BA0" w:rsidRPr="009B7661" w:rsidRDefault="00ED3BA0" w:rsidP="008B3991">
      <w:pPr>
        <w:pStyle w:val="ListParagraph"/>
        <w:numPr>
          <w:ilvl w:val="0"/>
          <w:numId w:val="49"/>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Has access to MEL specialists to provide high quality MEL,</w:t>
      </w:r>
      <w:r w:rsidR="00B647C7">
        <w:rPr>
          <w:rFonts w:asciiTheme="majorHAnsi" w:hAnsiTheme="majorHAnsi" w:cstheme="majorHAnsi"/>
          <w:color w:val="auto"/>
        </w:rPr>
        <w:t xml:space="preserve"> </w:t>
      </w:r>
      <w:r w:rsidRPr="009B7661">
        <w:rPr>
          <w:rFonts w:asciiTheme="majorHAnsi" w:hAnsiTheme="majorHAnsi" w:cstheme="majorHAnsi"/>
          <w:color w:val="auto"/>
        </w:rPr>
        <w:t xml:space="preserve">reviews and evaluation to track, for example, efforts to enhance women’s economic empowerment, access to resources, shifts in social norms and attitudes, and the impact of more responsive policies and legislation; and </w:t>
      </w:r>
    </w:p>
    <w:p w14:paraId="51C187D7" w14:textId="62A00AF2" w:rsidR="00ED3BA0" w:rsidRPr="009B7661" w:rsidRDefault="00ED3BA0" w:rsidP="008B3991">
      <w:pPr>
        <w:pStyle w:val="ListParagraph"/>
        <w:numPr>
          <w:ilvl w:val="0"/>
          <w:numId w:val="49"/>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Has expertise that is familiar with existing data sources (such as already collected by other relevant development programs, data collected by respective PICs, and so on), and can access relevant data from other relevant development programs and data collected and collated by the respective PICs.</w:t>
      </w:r>
    </w:p>
    <w:p w14:paraId="78BC5EAA" w14:textId="105D0746" w:rsidR="00ED3BA0" w:rsidRPr="009B7661" w:rsidRDefault="00ED3BA0" w:rsidP="00687B44">
      <w:pPr>
        <w:jc w:val="both"/>
        <w:rPr>
          <w:rFonts w:asciiTheme="majorHAnsi" w:hAnsiTheme="majorHAnsi" w:cstheme="majorHAnsi"/>
          <w:color w:val="auto"/>
        </w:rPr>
      </w:pPr>
      <w:r w:rsidRPr="009B7661">
        <w:rPr>
          <w:rFonts w:asciiTheme="majorHAnsi" w:hAnsiTheme="majorHAnsi" w:cstheme="majorHAnsi"/>
          <w:color w:val="auto"/>
        </w:rPr>
        <w:t>As previously noted, the MEL technical experts within SPC and support from MEL Advisors within DFAT’s Office of the Pacific – Pacific Gender and Regional Development section will be expected to design the MELF. The MELF will be guided by the Theory of Change (</w:t>
      </w:r>
      <w:proofErr w:type="spellStart"/>
      <w:r w:rsidRPr="009B7661">
        <w:rPr>
          <w:rFonts w:asciiTheme="majorHAnsi" w:hAnsiTheme="majorHAnsi" w:cstheme="majorHAnsi"/>
          <w:color w:val="auto"/>
        </w:rPr>
        <w:t>ToC</w:t>
      </w:r>
      <w:proofErr w:type="spellEnd"/>
      <w:r w:rsidRPr="009B7661">
        <w:rPr>
          <w:rFonts w:asciiTheme="majorHAnsi" w:hAnsiTheme="majorHAnsi" w:cstheme="majorHAnsi"/>
          <w:color w:val="auto"/>
        </w:rPr>
        <w:t xml:space="preserve">) </w:t>
      </w:r>
      <w:r w:rsidR="008D16D5">
        <w:rPr>
          <w:rFonts w:asciiTheme="majorHAnsi" w:hAnsiTheme="majorHAnsi" w:cstheme="majorHAnsi"/>
          <w:color w:val="auto"/>
        </w:rPr>
        <w:t xml:space="preserve">commenced </w:t>
      </w:r>
      <w:r w:rsidRPr="009B7661">
        <w:rPr>
          <w:rFonts w:asciiTheme="majorHAnsi" w:hAnsiTheme="majorHAnsi" w:cstheme="majorHAnsi"/>
          <w:color w:val="auto"/>
        </w:rPr>
        <w:t>during the design phase</w:t>
      </w:r>
      <w:r w:rsidR="008D16D5">
        <w:rPr>
          <w:rFonts w:asciiTheme="majorHAnsi" w:hAnsiTheme="majorHAnsi" w:cstheme="majorHAnsi"/>
          <w:color w:val="auto"/>
        </w:rPr>
        <w:t xml:space="preserve"> and to be further developed during the transition phase</w:t>
      </w:r>
      <w:r w:rsidRPr="009B7661">
        <w:rPr>
          <w:rFonts w:asciiTheme="majorHAnsi" w:hAnsiTheme="majorHAnsi" w:cstheme="majorHAnsi"/>
          <w:color w:val="auto"/>
        </w:rPr>
        <w:t xml:space="preserve">. The </w:t>
      </w:r>
      <w:proofErr w:type="spellStart"/>
      <w:r w:rsidRPr="009B7661">
        <w:rPr>
          <w:rFonts w:asciiTheme="majorHAnsi" w:hAnsiTheme="majorHAnsi" w:cstheme="majorHAnsi"/>
          <w:color w:val="auto"/>
        </w:rPr>
        <w:t>ToC</w:t>
      </w:r>
      <w:proofErr w:type="spellEnd"/>
      <w:r w:rsidRPr="009B7661">
        <w:rPr>
          <w:rFonts w:asciiTheme="majorHAnsi" w:hAnsiTheme="majorHAnsi" w:cstheme="majorHAnsi"/>
          <w:color w:val="auto"/>
        </w:rPr>
        <w:t xml:space="preserve"> and the narrative describing the </w:t>
      </w:r>
      <w:proofErr w:type="spellStart"/>
      <w:r w:rsidRPr="009B7661">
        <w:rPr>
          <w:rFonts w:asciiTheme="majorHAnsi" w:hAnsiTheme="majorHAnsi" w:cstheme="majorHAnsi"/>
          <w:color w:val="auto"/>
        </w:rPr>
        <w:t>ToC</w:t>
      </w:r>
      <w:proofErr w:type="spellEnd"/>
      <w:r w:rsidRPr="009B7661">
        <w:rPr>
          <w:rFonts w:asciiTheme="majorHAnsi" w:hAnsiTheme="majorHAnsi" w:cstheme="majorHAnsi"/>
          <w:color w:val="auto"/>
        </w:rPr>
        <w:t xml:space="preserve"> is provided in the body of this design document. The </w:t>
      </w:r>
      <w:proofErr w:type="spellStart"/>
      <w:r w:rsidRPr="009B7661">
        <w:rPr>
          <w:rFonts w:asciiTheme="majorHAnsi" w:hAnsiTheme="majorHAnsi" w:cstheme="majorHAnsi"/>
          <w:color w:val="auto"/>
        </w:rPr>
        <w:t>ToC</w:t>
      </w:r>
      <w:proofErr w:type="spellEnd"/>
      <w:r w:rsidRPr="009B7661">
        <w:rPr>
          <w:rFonts w:asciiTheme="majorHAnsi" w:hAnsiTheme="majorHAnsi" w:cstheme="majorHAnsi"/>
          <w:color w:val="auto"/>
        </w:rPr>
        <w:t xml:space="preserve"> offers a high-level illustration of the causal pathways required to meet the expected objectives of the program. It will be up to SPC to map out the specifics of these pathways, and to ensure the MELF reflects an appropriate level of detail. Such a framework should include:</w:t>
      </w:r>
    </w:p>
    <w:p w14:paraId="2D567326" w14:textId="77777777" w:rsidR="00ED3BA0" w:rsidRPr="009B7661" w:rsidRDefault="00ED3BA0" w:rsidP="008B3991">
      <w:pPr>
        <w:pStyle w:val="ListParagraph"/>
        <w:numPr>
          <w:ilvl w:val="0"/>
          <w:numId w:val="45"/>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 xml:space="preserve">Appropriate and feasible Indicators (based on baseline data), with relevant targets for Pacific Women </w:t>
      </w:r>
      <w:proofErr w:type="gramStart"/>
      <w:r w:rsidRPr="009B7661">
        <w:rPr>
          <w:rFonts w:asciiTheme="majorHAnsi" w:hAnsiTheme="majorHAnsi" w:cstheme="majorHAnsi"/>
          <w:color w:val="auto"/>
        </w:rPr>
        <w:t>Lead;</w:t>
      </w:r>
      <w:proofErr w:type="gramEnd"/>
    </w:p>
    <w:p w14:paraId="688C53D7" w14:textId="77777777" w:rsidR="00ED3BA0" w:rsidRPr="009B7661" w:rsidRDefault="00ED3BA0" w:rsidP="008B3991">
      <w:pPr>
        <w:pStyle w:val="ListParagraph"/>
        <w:numPr>
          <w:ilvl w:val="0"/>
          <w:numId w:val="45"/>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 xml:space="preserve">Reliable and valid sources of verification for the data collection, including the identification of roles and responsibilities for data collection and </w:t>
      </w:r>
      <w:proofErr w:type="gramStart"/>
      <w:r w:rsidRPr="009B7661">
        <w:rPr>
          <w:rFonts w:asciiTheme="majorHAnsi" w:hAnsiTheme="majorHAnsi" w:cstheme="majorHAnsi"/>
          <w:color w:val="auto"/>
        </w:rPr>
        <w:t>analysis;</w:t>
      </w:r>
      <w:proofErr w:type="gramEnd"/>
    </w:p>
    <w:p w14:paraId="6A79538B" w14:textId="77777777" w:rsidR="00ED3BA0" w:rsidRPr="009B7661" w:rsidRDefault="00ED3BA0" w:rsidP="008B3991">
      <w:pPr>
        <w:pStyle w:val="ListParagraph"/>
        <w:numPr>
          <w:ilvl w:val="0"/>
          <w:numId w:val="45"/>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 xml:space="preserve">The approach to be used to analyse the different types of </w:t>
      </w:r>
      <w:proofErr w:type="gramStart"/>
      <w:r w:rsidRPr="009B7661">
        <w:rPr>
          <w:rFonts w:asciiTheme="majorHAnsi" w:hAnsiTheme="majorHAnsi" w:cstheme="majorHAnsi"/>
          <w:color w:val="auto"/>
        </w:rPr>
        <w:t>data;</w:t>
      </w:r>
      <w:proofErr w:type="gramEnd"/>
    </w:p>
    <w:p w14:paraId="4B86DFAD" w14:textId="77777777" w:rsidR="00ED3BA0" w:rsidRPr="009B7661" w:rsidRDefault="00ED3BA0" w:rsidP="008B3991">
      <w:pPr>
        <w:pStyle w:val="ListParagraph"/>
        <w:numPr>
          <w:ilvl w:val="0"/>
          <w:numId w:val="45"/>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A reporting framework (outlining what will be collected by whom, and to who it will be reported)</w:t>
      </w:r>
    </w:p>
    <w:p w14:paraId="103FC412" w14:textId="77777777" w:rsidR="00ED3BA0" w:rsidRPr="009B7661" w:rsidRDefault="00ED3BA0" w:rsidP="008B3991">
      <w:pPr>
        <w:pStyle w:val="ListParagraph"/>
        <w:numPr>
          <w:ilvl w:val="0"/>
          <w:numId w:val="45"/>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A dynamic repository of all relevant data for the purposes of further research, knowledge management, and responding to information requests from stakeholders</w:t>
      </w:r>
    </w:p>
    <w:p w14:paraId="4B7FD243" w14:textId="77777777" w:rsidR="00ED3BA0" w:rsidRPr="009B7661" w:rsidRDefault="00ED3BA0" w:rsidP="00687B44">
      <w:pPr>
        <w:jc w:val="both"/>
        <w:rPr>
          <w:rFonts w:asciiTheme="majorHAnsi" w:hAnsiTheme="majorHAnsi" w:cstheme="majorHAnsi"/>
          <w:color w:val="auto"/>
          <w:lang w:val="en-AU"/>
        </w:rPr>
      </w:pPr>
      <w:r w:rsidRPr="009B7661">
        <w:rPr>
          <w:rFonts w:asciiTheme="majorHAnsi" w:hAnsiTheme="majorHAnsi" w:cstheme="majorHAnsi"/>
          <w:color w:val="auto"/>
          <w:lang w:val="en-AU"/>
        </w:rPr>
        <w:t>In operationalising the performance assessment framework, partners will require agreement on the definitions of concepts such as ‘women’s leadership’, ‘women’s voices’, ‘social norms and attitudes’, ‘women’s economic empowerment’, ‘value for money’ and so on. For many of these concepts, there will be no immediately apparent baseline information. Target setting may require the development of performance guidelines which set out a shared understanding of what ‘success’ would look like with respect to these different concepts. From these, markers of progress at various stages of program implementation could be identified and agreed to establish key baselines and realistic targets for the Performance Assessment Framework (see below).</w:t>
      </w:r>
    </w:p>
    <w:p w14:paraId="2B746E74" w14:textId="77777777" w:rsidR="00ED3BA0" w:rsidRPr="00F328DA" w:rsidRDefault="00ED3BA0" w:rsidP="00F328DA">
      <w:pPr>
        <w:pStyle w:val="Heading2"/>
        <w:rPr>
          <w:sz w:val="36"/>
          <w:szCs w:val="24"/>
          <w:lang w:val="en-AU"/>
        </w:rPr>
      </w:pPr>
      <w:bookmarkStart w:id="35" w:name="_Toc75535908"/>
      <w:r w:rsidRPr="00F328DA">
        <w:rPr>
          <w:sz w:val="36"/>
          <w:szCs w:val="24"/>
          <w:lang w:val="en-AU"/>
        </w:rPr>
        <w:t>Data collection</w:t>
      </w:r>
      <w:bookmarkEnd w:id="35"/>
    </w:p>
    <w:p w14:paraId="1A353303" w14:textId="77777777" w:rsidR="0068632D" w:rsidRPr="0068632D" w:rsidRDefault="0068632D" w:rsidP="0068632D">
      <w:pPr>
        <w:jc w:val="both"/>
        <w:rPr>
          <w:rFonts w:asciiTheme="majorHAnsi" w:hAnsiTheme="majorHAnsi" w:cstheme="majorHAnsi"/>
          <w:color w:val="auto"/>
          <w:lang w:val="en-AU"/>
        </w:rPr>
      </w:pPr>
      <w:r w:rsidRPr="0068632D">
        <w:rPr>
          <w:rFonts w:asciiTheme="majorHAnsi" w:hAnsiTheme="majorHAnsi" w:cstheme="majorHAnsi"/>
          <w:color w:val="auto"/>
          <w:lang w:val="en-AU"/>
        </w:rPr>
        <w:t xml:space="preserve">A key feature of the MELF will be its description of the approach to be used to collect data, with the emphasis on utility and cost effectiveness. The MELF will need to identify the different types of tools required to ensure reliable and valid data is collected. The complexities of the data needs of Pacific Women Lead are significant and range from standard monitoring of the actions that fall under the different </w:t>
      </w:r>
      <w:proofErr w:type="spellStart"/>
      <w:r w:rsidRPr="0068632D">
        <w:rPr>
          <w:rFonts w:asciiTheme="majorHAnsi" w:hAnsiTheme="majorHAnsi" w:cstheme="majorHAnsi"/>
          <w:color w:val="auto"/>
          <w:lang w:val="en-AU"/>
        </w:rPr>
        <w:t>EoPs</w:t>
      </w:r>
      <w:proofErr w:type="spellEnd"/>
      <w:r w:rsidRPr="0068632D">
        <w:rPr>
          <w:rFonts w:asciiTheme="majorHAnsi" w:hAnsiTheme="majorHAnsi" w:cstheme="majorHAnsi"/>
          <w:color w:val="auto"/>
          <w:lang w:val="en-AU"/>
        </w:rPr>
        <w:t xml:space="preserve"> to complex studies to assess the social and economic impacts of the program, especially in terms of assessing progress towards its long term goal. It is critical that the MELF is explicit in describing the data collection methods and tools, in addition to ensuring that all data collected can be disaggregated by gender and can be used to illustrate the extent to which the program is meeting its commitments with regards to equity and inclusiveness    </w:t>
      </w:r>
    </w:p>
    <w:p w14:paraId="1178EB70" w14:textId="6C95D4F8" w:rsidR="00AF112F" w:rsidRPr="00FD030E" w:rsidRDefault="00ED3BA0" w:rsidP="00AF112F">
      <w:pPr>
        <w:jc w:val="both"/>
        <w:rPr>
          <w:rFonts w:ascii="Times New Roman" w:eastAsia="Calibri Light" w:hAnsi="Times New Roman" w:cs="Times New Roman"/>
        </w:rPr>
      </w:pPr>
      <w:r w:rsidRPr="0068632D">
        <w:rPr>
          <w:rFonts w:asciiTheme="majorHAnsi" w:eastAsia="Calibri Light" w:hAnsiTheme="majorHAnsi" w:cstheme="majorHAnsi"/>
          <w:color w:val="auto"/>
          <w:lang w:val="en-AU"/>
        </w:rPr>
        <w:t xml:space="preserve">Relevant MEL tools that will be used to the gather data in order to measure progress against the indicators in Performance Assessment Framework below include stakeholder surveys, participant surveys/interviews, most significant change stories, independent reviews, minutes from meetings, and a wide range of socio-economic data already being collected by the respective PICs. All monitoring methods should ensure that they are inclusive and accessible to all, with appropriate adjustments made to </w:t>
      </w:r>
      <w:r w:rsidR="00AF112F" w:rsidRPr="00FD030E">
        <w:rPr>
          <w:rFonts w:ascii="Times New Roman" w:eastAsia="Calibri Light" w:hAnsi="Times New Roman" w:cs="Times New Roman"/>
        </w:rPr>
        <w:t>the range of needs of people with disabilities and of vulnerable or marginalised groups.</w:t>
      </w:r>
    </w:p>
    <w:p w14:paraId="04DD1698" w14:textId="0FF13E24" w:rsidR="00ED3BA0" w:rsidRPr="00F328DA" w:rsidRDefault="00ED3BA0" w:rsidP="00F328DA">
      <w:pPr>
        <w:pStyle w:val="Heading2"/>
        <w:rPr>
          <w:sz w:val="36"/>
          <w:szCs w:val="24"/>
          <w:lang w:val="en-AU"/>
        </w:rPr>
      </w:pPr>
      <w:bookmarkStart w:id="36" w:name="_Toc75535909"/>
      <w:r w:rsidRPr="00F328DA">
        <w:rPr>
          <w:sz w:val="36"/>
          <w:szCs w:val="24"/>
          <w:lang w:val="en-AU"/>
        </w:rPr>
        <w:lastRenderedPageBreak/>
        <w:t>Reporting, Learning and Communication</w:t>
      </w:r>
      <w:bookmarkEnd w:id="36"/>
    </w:p>
    <w:p w14:paraId="30B88090" w14:textId="27454CB4" w:rsidR="00ED3BA0" w:rsidRPr="009B7661" w:rsidRDefault="00ED3BA0" w:rsidP="00687B44">
      <w:pPr>
        <w:jc w:val="both"/>
        <w:rPr>
          <w:rFonts w:asciiTheme="majorHAnsi" w:hAnsiTheme="majorHAnsi" w:cstheme="majorHAnsi"/>
          <w:color w:val="auto"/>
        </w:rPr>
      </w:pPr>
      <w:r w:rsidRPr="009B7661">
        <w:rPr>
          <w:rFonts w:asciiTheme="majorHAnsi" w:hAnsiTheme="majorHAnsi" w:cstheme="majorHAnsi"/>
          <w:color w:val="auto"/>
        </w:rPr>
        <w:t xml:space="preserve">In addition, the MEL system must ensure that data collected satisfies the reporting and learning requirements specified in the MELF. </w:t>
      </w:r>
      <w:proofErr w:type="gramStart"/>
      <w:r w:rsidRPr="009B7661">
        <w:rPr>
          <w:rFonts w:asciiTheme="majorHAnsi" w:hAnsiTheme="majorHAnsi" w:cstheme="majorHAnsi"/>
          <w:color w:val="auto"/>
        </w:rPr>
        <w:t>Thus</w:t>
      </w:r>
      <w:proofErr w:type="gramEnd"/>
      <w:r w:rsidRPr="009B7661">
        <w:rPr>
          <w:rFonts w:asciiTheme="majorHAnsi" w:hAnsiTheme="majorHAnsi" w:cstheme="majorHAnsi"/>
          <w:color w:val="auto"/>
        </w:rPr>
        <w:t xml:space="preserve"> reporting will need to focus on providing information that meets accountability needs, informs continuous improvement, and signals investment achievements. At a minimum, </w:t>
      </w:r>
      <w:r w:rsidR="006403D7" w:rsidRPr="009B7661">
        <w:rPr>
          <w:rFonts w:asciiTheme="majorHAnsi" w:hAnsiTheme="majorHAnsi" w:cstheme="majorHAnsi"/>
          <w:color w:val="auto"/>
        </w:rPr>
        <w:t>evidence-</w:t>
      </w:r>
      <w:r w:rsidRPr="009B7661">
        <w:rPr>
          <w:rFonts w:asciiTheme="majorHAnsi" w:hAnsiTheme="majorHAnsi" w:cstheme="majorHAnsi"/>
          <w:color w:val="auto"/>
        </w:rPr>
        <w:t>based reporting would include:</w:t>
      </w:r>
    </w:p>
    <w:p w14:paraId="09762928" w14:textId="754A11D8" w:rsidR="00ED3BA0" w:rsidRPr="009B7661" w:rsidRDefault="00ED3BA0" w:rsidP="008B3991">
      <w:pPr>
        <w:pStyle w:val="ListParagraph"/>
        <w:numPr>
          <w:ilvl w:val="0"/>
          <w:numId w:val="46"/>
        </w:numPr>
        <w:suppressAutoHyphens w:val="0"/>
        <w:spacing w:before="0" w:after="0" w:line="240" w:lineRule="auto"/>
        <w:jc w:val="both"/>
        <w:rPr>
          <w:rFonts w:asciiTheme="majorHAnsi" w:hAnsiTheme="majorHAnsi" w:cstheme="majorHAnsi"/>
          <w:color w:val="auto"/>
        </w:rPr>
      </w:pPr>
      <w:r w:rsidRPr="00D752B7">
        <w:rPr>
          <w:rFonts w:asciiTheme="majorHAnsi" w:hAnsiTheme="majorHAnsi" w:cstheme="majorHAnsi"/>
          <w:color w:val="auto"/>
        </w:rPr>
        <w:t xml:space="preserve">Monthly reports – produced primarily for management purposes. These will track expenditure as well as progress and quality of activities, outputs, and </w:t>
      </w:r>
      <w:proofErr w:type="gramStart"/>
      <w:r w:rsidRPr="00D752B7">
        <w:rPr>
          <w:rFonts w:asciiTheme="majorHAnsi" w:hAnsiTheme="majorHAnsi" w:cstheme="majorHAnsi"/>
          <w:color w:val="auto"/>
        </w:rPr>
        <w:t>risks</w:t>
      </w:r>
      <w:r w:rsidRPr="009B7661">
        <w:rPr>
          <w:rFonts w:asciiTheme="majorHAnsi" w:hAnsiTheme="majorHAnsi" w:cstheme="majorHAnsi"/>
          <w:color w:val="auto"/>
        </w:rPr>
        <w:t>;</w:t>
      </w:r>
      <w:proofErr w:type="gramEnd"/>
    </w:p>
    <w:p w14:paraId="15158C5F" w14:textId="77777777" w:rsidR="00ED3BA0" w:rsidRPr="009B7661" w:rsidRDefault="00ED3BA0" w:rsidP="008B3991">
      <w:pPr>
        <w:pStyle w:val="ListParagraph"/>
        <w:numPr>
          <w:ilvl w:val="0"/>
          <w:numId w:val="46"/>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 xml:space="preserve">Six-monthly progress reports – which fill focus on monitoring the progress of different components of the program, deliverables completed in relation to the workplan and budget, relevant activity related data, as well as any relevant information pertaining to achievements and risk mitigation. </w:t>
      </w:r>
    </w:p>
    <w:p w14:paraId="76B6CBC2" w14:textId="7F8D1861" w:rsidR="00ED3BA0" w:rsidRPr="009B7661" w:rsidRDefault="00ED3BA0" w:rsidP="008B3991">
      <w:pPr>
        <w:pStyle w:val="ListParagraph"/>
        <w:numPr>
          <w:ilvl w:val="0"/>
          <w:numId w:val="46"/>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Annual reports – will primarily report on aggregated development results and against DFAT’s Aid Quality Checklist, where appropriate, it will also reflect on the Key Evaluation Questions</w:t>
      </w:r>
    </w:p>
    <w:p w14:paraId="5DB3DAF8" w14:textId="77777777" w:rsidR="00ED3BA0" w:rsidRPr="009B7661" w:rsidRDefault="00ED3BA0" w:rsidP="00687B44">
      <w:pPr>
        <w:jc w:val="both"/>
        <w:rPr>
          <w:rFonts w:asciiTheme="majorHAnsi" w:hAnsiTheme="majorHAnsi" w:cstheme="majorHAnsi"/>
          <w:color w:val="auto"/>
        </w:rPr>
      </w:pPr>
    </w:p>
    <w:p w14:paraId="57E441EC" w14:textId="77777777" w:rsidR="00ED3BA0" w:rsidRPr="009B7661" w:rsidRDefault="00ED3BA0" w:rsidP="00687B44">
      <w:pPr>
        <w:jc w:val="both"/>
        <w:rPr>
          <w:rFonts w:asciiTheme="majorHAnsi" w:hAnsiTheme="majorHAnsi" w:cstheme="majorHAnsi"/>
          <w:color w:val="auto"/>
        </w:rPr>
      </w:pPr>
      <w:r w:rsidRPr="009B7661">
        <w:rPr>
          <w:rFonts w:asciiTheme="majorHAnsi" w:hAnsiTheme="majorHAnsi" w:cstheme="majorHAnsi"/>
          <w:color w:val="auto"/>
        </w:rPr>
        <w:t xml:space="preserve">During the transition stage the Pacific Women Lead will need to develop a communication strategy for the program, which in turn should support communication of evidence gathered through the MELF. SPC must also ensure, in discussion with DFAT and other key stakeholders, that suitable communication products are regularly produced by the program </w:t>
      </w:r>
      <w:proofErr w:type="gramStart"/>
      <w:r w:rsidRPr="009B7661">
        <w:rPr>
          <w:rFonts w:asciiTheme="majorHAnsi" w:hAnsiTheme="majorHAnsi" w:cstheme="majorHAnsi"/>
          <w:color w:val="auto"/>
        </w:rPr>
        <w:t>in order to</w:t>
      </w:r>
      <w:proofErr w:type="gramEnd"/>
      <w:r w:rsidRPr="009B7661">
        <w:rPr>
          <w:rFonts w:asciiTheme="majorHAnsi" w:hAnsiTheme="majorHAnsi" w:cstheme="majorHAnsi"/>
          <w:color w:val="auto"/>
        </w:rPr>
        <w:t>:</w:t>
      </w:r>
    </w:p>
    <w:p w14:paraId="28278709" w14:textId="77777777" w:rsidR="00ED3BA0" w:rsidRPr="009B7661" w:rsidRDefault="00ED3BA0" w:rsidP="008B3991">
      <w:pPr>
        <w:pStyle w:val="ListParagraph"/>
        <w:numPr>
          <w:ilvl w:val="0"/>
          <w:numId w:val="47"/>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 xml:space="preserve">Communicate learning and good practice examples to PICs, DFAT posts, other relevant partners including Pacific feminist civil </w:t>
      </w:r>
      <w:proofErr w:type="gramStart"/>
      <w:r w:rsidRPr="009B7661">
        <w:rPr>
          <w:rFonts w:asciiTheme="majorHAnsi" w:hAnsiTheme="majorHAnsi" w:cstheme="majorHAnsi"/>
          <w:color w:val="auto"/>
        </w:rPr>
        <w:t>society;</w:t>
      </w:r>
      <w:proofErr w:type="gramEnd"/>
    </w:p>
    <w:p w14:paraId="0F7421B7" w14:textId="0B32B5BC" w:rsidR="00ED3BA0" w:rsidRPr="009B7661" w:rsidRDefault="00ED3BA0" w:rsidP="008B3991">
      <w:pPr>
        <w:pStyle w:val="ListParagraph"/>
        <w:numPr>
          <w:ilvl w:val="0"/>
          <w:numId w:val="47"/>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Share relevant technical information pertinent to partners as appropriate (which could, for instance, be based on targeted research related to women’s economic empowerment, access to resources, and so on); and</w:t>
      </w:r>
    </w:p>
    <w:p w14:paraId="753E1ADB" w14:textId="77777777" w:rsidR="00ED3BA0" w:rsidRPr="009B7661" w:rsidRDefault="00ED3BA0" w:rsidP="008B3991">
      <w:pPr>
        <w:pStyle w:val="ListParagraph"/>
        <w:numPr>
          <w:ilvl w:val="0"/>
          <w:numId w:val="47"/>
        </w:numPr>
        <w:suppressAutoHyphens w:val="0"/>
        <w:spacing w:before="0" w:after="0" w:line="240" w:lineRule="auto"/>
        <w:jc w:val="both"/>
        <w:rPr>
          <w:rFonts w:asciiTheme="majorHAnsi" w:hAnsiTheme="majorHAnsi" w:cstheme="majorHAnsi"/>
          <w:color w:val="auto"/>
        </w:rPr>
      </w:pPr>
      <w:r w:rsidRPr="009B7661">
        <w:rPr>
          <w:rFonts w:asciiTheme="majorHAnsi" w:hAnsiTheme="majorHAnsi" w:cstheme="majorHAnsi"/>
          <w:color w:val="auto"/>
        </w:rPr>
        <w:t xml:space="preserve">As required, provide evidence-based input to briefs, </w:t>
      </w:r>
      <w:proofErr w:type="gramStart"/>
      <w:r w:rsidRPr="009B7661">
        <w:rPr>
          <w:rFonts w:asciiTheme="majorHAnsi" w:hAnsiTheme="majorHAnsi" w:cstheme="majorHAnsi"/>
          <w:color w:val="auto"/>
        </w:rPr>
        <w:t>speeches</w:t>
      </w:r>
      <w:proofErr w:type="gramEnd"/>
      <w:r w:rsidRPr="009B7661">
        <w:rPr>
          <w:rFonts w:asciiTheme="majorHAnsi" w:hAnsiTheme="majorHAnsi" w:cstheme="majorHAnsi"/>
          <w:color w:val="auto"/>
        </w:rPr>
        <w:t xml:space="preserve"> and reports</w:t>
      </w:r>
    </w:p>
    <w:p w14:paraId="13119574" w14:textId="77777777" w:rsidR="00ED3BA0" w:rsidRPr="00F328DA" w:rsidRDefault="00ED3BA0" w:rsidP="00F328DA">
      <w:pPr>
        <w:pStyle w:val="Heading2"/>
        <w:rPr>
          <w:sz w:val="36"/>
          <w:szCs w:val="24"/>
          <w:lang w:val="en-AU"/>
        </w:rPr>
      </w:pPr>
      <w:bookmarkStart w:id="37" w:name="_Toc75535910"/>
      <w:r w:rsidRPr="00F328DA">
        <w:rPr>
          <w:sz w:val="36"/>
          <w:szCs w:val="24"/>
          <w:lang w:val="en-AU"/>
        </w:rPr>
        <w:t>Resources</w:t>
      </w:r>
      <w:bookmarkEnd w:id="37"/>
    </w:p>
    <w:p w14:paraId="249F2E74" w14:textId="77777777" w:rsidR="00ED3BA0" w:rsidRPr="009B7661" w:rsidRDefault="00ED3BA0" w:rsidP="00687B44">
      <w:pPr>
        <w:jc w:val="both"/>
        <w:rPr>
          <w:rFonts w:asciiTheme="majorHAnsi" w:eastAsia="Calibri Light" w:hAnsiTheme="majorHAnsi" w:cstheme="majorHAnsi"/>
          <w:color w:val="auto"/>
          <w:lang w:val="en-AU"/>
        </w:rPr>
      </w:pPr>
      <w:r w:rsidRPr="009B7661">
        <w:rPr>
          <w:rFonts w:asciiTheme="majorHAnsi" w:eastAsia="Calibri Light" w:hAnsiTheme="majorHAnsi" w:cstheme="majorHAnsi"/>
          <w:color w:val="auto"/>
          <w:lang w:val="en-AU"/>
        </w:rPr>
        <w:t xml:space="preserve">SPC must ensure that the M&amp;E component of the program is appropriately resourced. DFAT guidelines suggest that M&amp;E resources should amount to between 4 – 7% of the total investment. Resource allocation for M&amp;E should </w:t>
      </w:r>
      <w:proofErr w:type="gramStart"/>
      <w:r w:rsidRPr="009B7661">
        <w:rPr>
          <w:rFonts w:asciiTheme="majorHAnsi" w:eastAsia="Calibri Light" w:hAnsiTheme="majorHAnsi" w:cstheme="majorHAnsi"/>
          <w:color w:val="auto"/>
          <w:lang w:val="en-AU"/>
        </w:rPr>
        <w:t>take into account</w:t>
      </w:r>
      <w:proofErr w:type="gramEnd"/>
      <w:r w:rsidRPr="009B7661">
        <w:rPr>
          <w:rFonts w:asciiTheme="majorHAnsi" w:eastAsia="Calibri Light" w:hAnsiTheme="majorHAnsi" w:cstheme="majorHAnsi"/>
          <w:color w:val="auto"/>
          <w:lang w:val="en-AU"/>
        </w:rPr>
        <w:t xml:space="preserve"> appropriate levels of human resources, the data collection methods to be employed, IT solutions related to data collation, analysis and distribution, and other research needs related to gathering evidence.</w:t>
      </w:r>
    </w:p>
    <w:p w14:paraId="040FFEDA" w14:textId="20E8894E" w:rsidR="00ED3BA0" w:rsidRPr="009B7661" w:rsidRDefault="00ED3BA0" w:rsidP="00687B44">
      <w:pPr>
        <w:jc w:val="both"/>
        <w:rPr>
          <w:rFonts w:asciiTheme="majorHAnsi" w:eastAsia="Calibri Light" w:hAnsiTheme="majorHAnsi" w:cstheme="majorHAnsi"/>
          <w:color w:val="auto"/>
          <w:lang w:val="en-AU"/>
        </w:rPr>
      </w:pPr>
      <w:r w:rsidRPr="009B7661">
        <w:rPr>
          <w:rFonts w:asciiTheme="majorHAnsi" w:eastAsia="Calibri Light" w:hAnsiTheme="majorHAnsi" w:cstheme="majorHAnsi"/>
          <w:color w:val="auto"/>
          <w:lang w:val="en-AU"/>
        </w:rPr>
        <w:t xml:space="preserve">It is expected that the mid-term and final evaluation of the program will be undertaken through separate contracts managed by </w:t>
      </w:r>
      <w:proofErr w:type="gramStart"/>
      <w:r w:rsidRPr="009B7661">
        <w:rPr>
          <w:rFonts w:asciiTheme="majorHAnsi" w:eastAsia="Calibri Light" w:hAnsiTheme="majorHAnsi" w:cstheme="majorHAnsi"/>
          <w:color w:val="auto"/>
          <w:lang w:val="en-AU"/>
        </w:rPr>
        <w:t>DFAT, and</w:t>
      </w:r>
      <w:proofErr w:type="gramEnd"/>
      <w:r w:rsidRPr="009B7661">
        <w:rPr>
          <w:rFonts w:asciiTheme="majorHAnsi" w:eastAsia="Calibri Light" w:hAnsiTheme="majorHAnsi" w:cstheme="majorHAnsi"/>
          <w:color w:val="auto"/>
          <w:lang w:val="en-AU"/>
        </w:rPr>
        <w:t xml:space="preserve"> funded outside the core budget of the program. Nevertheless, the results and reports of all studies conducted under the auspices of the MELF will need to be of a rigorous standard in order to not only meet DFAT’s quality assurance standards, but also so that they are of use to inform the mid-term and final evaluations</w:t>
      </w:r>
      <w:r w:rsidR="006403D7">
        <w:rPr>
          <w:rFonts w:asciiTheme="majorHAnsi" w:eastAsia="Calibri Light" w:hAnsiTheme="majorHAnsi" w:cstheme="majorHAnsi"/>
          <w:color w:val="auto"/>
          <w:lang w:val="en-AU"/>
        </w:rPr>
        <w:t>.</w:t>
      </w:r>
    </w:p>
    <w:p w14:paraId="358DC478" w14:textId="77777777" w:rsidR="00ED3BA0" w:rsidRPr="00F328DA" w:rsidRDefault="00ED3BA0" w:rsidP="00F328DA">
      <w:pPr>
        <w:pStyle w:val="Heading2"/>
        <w:rPr>
          <w:sz w:val="36"/>
          <w:szCs w:val="24"/>
          <w:lang w:val="en-AU"/>
        </w:rPr>
      </w:pPr>
      <w:bookmarkStart w:id="38" w:name="_Toc75535911"/>
      <w:r w:rsidRPr="00F328DA">
        <w:rPr>
          <w:sz w:val="36"/>
          <w:szCs w:val="24"/>
          <w:lang w:val="en-AU"/>
        </w:rPr>
        <w:t>Mid-Term Review</w:t>
      </w:r>
      <w:bookmarkEnd w:id="38"/>
    </w:p>
    <w:p w14:paraId="1AB710A1" w14:textId="77777777" w:rsidR="00ED3BA0" w:rsidRPr="009B7661" w:rsidRDefault="00ED3BA0" w:rsidP="00687B44">
      <w:pPr>
        <w:jc w:val="both"/>
        <w:rPr>
          <w:rFonts w:asciiTheme="majorHAnsi" w:eastAsia="Calibri Light" w:hAnsiTheme="majorHAnsi" w:cstheme="majorHAnsi"/>
          <w:color w:val="auto"/>
          <w:lang w:val="en-AU"/>
        </w:rPr>
      </w:pPr>
      <w:r w:rsidRPr="009B7661">
        <w:rPr>
          <w:rFonts w:asciiTheme="majorHAnsi" w:eastAsia="Calibri Light" w:hAnsiTheme="majorHAnsi" w:cstheme="majorHAnsi"/>
          <w:color w:val="auto"/>
          <w:lang w:val="en-AU"/>
        </w:rPr>
        <w:t>An independent mid-term review (MTR) will be commissioned in 2023 to undertake a formative evaluation.  This MTR will focus on the extent to which Pacific Women Lead is being implemented efficiently and effectively to deliver intended outcomes.</w:t>
      </w:r>
    </w:p>
    <w:p w14:paraId="00BA9D89" w14:textId="77777777" w:rsidR="00ED3BA0" w:rsidRPr="00F328DA" w:rsidRDefault="00ED3BA0" w:rsidP="00F328DA">
      <w:pPr>
        <w:pStyle w:val="Heading2"/>
        <w:rPr>
          <w:sz w:val="36"/>
          <w:szCs w:val="24"/>
          <w:lang w:val="en-AU"/>
        </w:rPr>
      </w:pPr>
      <w:bookmarkStart w:id="39" w:name="_Toc75535912"/>
      <w:r w:rsidRPr="00F328DA">
        <w:rPr>
          <w:sz w:val="36"/>
          <w:szCs w:val="24"/>
          <w:lang w:val="en-AU"/>
        </w:rPr>
        <w:lastRenderedPageBreak/>
        <w:t>Independent End-of-Program Evaluation</w:t>
      </w:r>
      <w:bookmarkEnd w:id="39"/>
    </w:p>
    <w:p w14:paraId="123A3650" w14:textId="77777777" w:rsidR="00ED3BA0" w:rsidRPr="009B7661" w:rsidRDefault="00ED3BA0" w:rsidP="00687B44">
      <w:pPr>
        <w:jc w:val="both"/>
        <w:rPr>
          <w:rFonts w:asciiTheme="majorHAnsi" w:eastAsia="Calibri Light" w:hAnsiTheme="majorHAnsi" w:cstheme="majorHAnsi"/>
          <w:color w:val="auto"/>
          <w:lang w:val="en-AU"/>
        </w:rPr>
      </w:pPr>
      <w:r w:rsidRPr="009B7661">
        <w:rPr>
          <w:rFonts w:asciiTheme="majorHAnsi" w:eastAsia="Calibri Light" w:hAnsiTheme="majorHAnsi" w:cstheme="majorHAnsi"/>
          <w:color w:val="auto"/>
          <w:lang w:val="en-AU"/>
        </w:rPr>
        <w:t xml:space="preserve">In addition to the routine monitoring and reporting, the program will be subject to an evaluation of the program prior to its finalisation, conducted by a suitably qualified independent evaluator. </w:t>
      </w:r>
    </w:p>
    <w:p w14:paraId="30CEC12E" w14:textId="77777777" w:rsidR="00ED3BA0" w:rsidRPr="009B7661" w:rsidRDefault="00ED3BA0" w:rsidP="00687B44">
      <w:pPr>
        <w:jc w:val="both"/>
        <w:rPr>
          <w:rFonts w:asciiTheme="majorHAnsi" w:hAnsiTheme="majorHAnsi" w:cstheme="majorHAnsi"/>
          <w:color w:val="auto"/>
          <w:lang w:val="en-AU"/>
        </w:rPr>
      </w:pPr>
      <w:r w:rsidRPr="009B7661">
        <w:rPr>
          <w:rFonts w:asciiTheme="majorHAnsi" w:eastAsia="Calibri Light" w:hAnsiTheme="majorHAnsi" w:cstheme="majorHAnsi"/>
          <w:color w:val="auto"/>
          <w:lang w:val="en-AU"/>
        </w:rPr>
        <w:t>An Independent End-of-Program Evaluation will take place in year 4 of the program to examine the overall performance of the investment. The evaluation will provide a robust assessment of the program’s progress and strong recommendations on improvements and future directions. It will utilise the Key Evaluation Questions outlined in the MELF as the basis for review. Evaluation implementation and quality must adhere to DFAT’s Monitoring and Evaluation Standards (standards 4,5 and 6)</w:t>
      </w:r>
    </w:p>
    <w:bookmarkEnd w:id="30"/>
    <w:p w14:paraId="7176DBBC" w14:textId="77777777" w:rsidR="009105CA" w:rsidRDefault="009105CA" w:rsidP="00A16CEA">
      <w:pPr>
        <w:jc w:val="center"/>
        <w:rPr>
          <w:b/>
          <w:bCs/>
          <w:sz w:val="28"/>
          <w:szCs w:val="28"/>
        </w:rPr>
        <w:sectPr w:rsidR="009105CA" w:rsidSect="002E1D26">
          <w:headerReference w:type="default" r:id="rId11"/>
          <w:footerReference w:type="default" r:id="rId12"/>
          <w:headerReference w:type="first" r:id="rId13"/>
          <w:footerReference w:type="first" r:id="rId14"/>
          <w:pgSz w:w="11906" w:h="16838" w:code="9"/>
          <w:pgMar w:top="1560" w:right="991" w:bottom="1418" w:left="1134" w:header="425" w:footer="493" w:gutter="0"/>
          <w:cols w:space="397"/>
          <w:titlePg/>
          <w:docGrid w:linePitch="360"/>
        </w:sectPr>
      </w:pPr>
    </w:p>
    <w:p w14:paraId="5F350D59" w14:textId="77777777" w:rsidR="005B6304" w:rsidRDefault="005B6304" w:rsidP="005B6304">
      <w:pPr>
        <w:pStyle w:val="Heading2"/>
        <w:jc w:val="center"/>
      </w:pPr>
    </w:p>
    <w:p w14:paraId="76475F86" w14:textId="77777777" w:rsidR="005B6304" w:rsidRDefault="005B6304" w:rsidP="005B6304">
      <w:pPr>
        <w:pStyle w:val="Heading2"/>
        <w:jc w:val="center"/>
      </w:pPr>
    </w:p>
    <w:p w14:paraId="4F962719" w14:textId="034F2FD9" w:rsidR="00C711E9" w:rsidRPr="00F328DA" w:rsidRDefault="00F957B3" w:rsidP="00F328DA">
      <w:pPr>
        <w:pStyle w:val="Heading2"/>
        <w:rPr>
          <w:b/>
          <w:bCs/>
        </w:rPr>
      </w:pPr>
      <w:bookmarkStart w:id="40" w:name="_Toc75535913"/>
      <w:r>
        <w:t>P</w:t>
      </w:r>
      <w:r w:rsidR="00367DF3">
        <w:t xml:space="preserve">erformance </w:t>
      </w:r>
      <w:r w:rsidR="00310E3A">
        <w:t>A</w:t>
      </w:r>
      <w:r w:rsidR="00367DF3">
        <w:t xml:space="preserve">ssessment </w:t>
      </w:r>
      <w:r w:rsidR="00310E3A">
        <w:t>F</w:t>
      </w:r>
      <w:r w:rsidR="00367DF3">
        <w:t>ramework</w:t>
      </w:r>
      <w:bookmarkEnd w:id="40"/>
    </w:p>
    <w:p w14:paraId="5914085A" w14:textId="77777777" w:rsidR="00C93FB3" w:rsidRPr="00AD6ADB" w:rsidRDefault="00C93FB3" w:rsidP="00C93FB3">
      <w:pPr>
        <w:rPr>
          <w:b/>
          <w:bCs/>
        </w:rPr>
      </w:pPr>
      <w:r w:rsidRPr="00FB580A">
        <w:t xml:space="preserve">This represents </w:t>
      </w:r>
      <w:r w:rsidRPr="00FB580A">
        <w:rPr>
          <w:b/>
        </w:rPr>
        <w:t xml:space="preserve">an indicative high-level </w:t>
      </w:r>
      <w:r w:rsidRPr="007C311C">
        <w:rPr>
          <w:b/>
        </w:rPr>
        <w:t xml:space="preserve">PAF for Pacific Women Lead </w:t>
      </w:r>
      <w:r w:rsidRPr="007C311C">
        <w:t>based on the initial priority activities, goal and i</w:t>
      </w:r>
      <w:r w:rsidRPr="00AD6ADB">
        <w:t>ntended</w:t>
      </w:r>
      <w:r w:rsidRPr="00143D6A">
        <w:t xml:space="preserve"> outcomes. This framework will need to be finalised during the transition stage</w:t>
      </w:r>
      <w:r>
        <w:t xml:space="preserve">, making sure it speaks to both the bilateral and regional focus of the program, </w:t>
      </w:r>
      <w:proofErr w:type="gramStart"/>
      <w:r>
        <w:t>and also</w:t>
      </w:r>
      <w:proofErr w:type="gramEnd"/>
      <w:r>
        <w:t xml:space="preserve"> ensuring it aligns with a finalised Theory of Change for the program. The PAF will however, </w:t>
      </w:r>
      <w:r w:rsidRPr="00143D6A">
        <w:t xml:space="preserve">continue to expand and become more specific as each annual plan is developed and approved. </w:t>
      </w:r>
      <w:r>
        <w:t xml:space="preserve">A </w:t>
      </w:r>
      <w:r w:rsidRPr="00143D6A">
        <w:t xml:space="preserve">key </w:t>
      </w:r>
      <w:r w:rsidRPr="00AD6ADB">
        <w:t>task of finalising the</w:t>
      </w:r>
      <w:r>
        <w:t xml:space="preserve"> PAF will be to agree on a set of</w:t>
      </w:r>
      <w:r w:rsidRPr="00AD6ADB">
        <w:t xml:space="preserve"> indicators</w:t>
      </w:r>
      <w:r>
        <w:t xml:space="preserve">, define each indicator, and </w:t>
      </w:r>
      <w:r w:rsidRPr="00AD6ADB">
        <w:t>identify</w:t>
      </w:r>
      <w:r>
        <w:t xml:space="preserve"> the</w:t>
      </w:r>
      <w:r w:rsidRPr="00AD6ADB">
        <w:t xml:space="preserve"> sources of verification for each indicator</w:t>
      </w:r>
      <w:r>
        <w:t xml:space="preserve"> (including drawing on existing regional and national data sets</w:t>
      </w:r>
      <w:r w:rsidRPr="00AD6ADB">
        <w:t xml:space="preserve">). In addition, </w:t>
      </w:r>
      <w:r>
        <w:t>a</w:t>
      </w:r>
      <w:r w:rsidRPr="00AD6ADB">
        <w:t xml:space="preserve"> </w:t>
      </w:r>
      <w:r w:rsidRPr="00AD6ADB">
        <w:rPr>
          <w:b/>
        </w:rPr>
        <w:t>baseline study</w:t>
      </w:r>
      <w:r w:rsidRPr="00AD6ADB">
        <w:t xml:space="preserve"> will be undertaken during the outset of Pacific Women Lead to seek agreement on the baseline situation for each outcome area and to identify critical and achievable targets.</w:t>
      </w:r>
      <w:r>
        <w:t xml:space="preserve"> Where applicable the finalised MELF should map to Tier 2 indicators of DFAT’s </w:t>
      </w:r>
      <w:r w:rsidRPr="00C73D23">
        <w:rPr>
          <w:i/>
          <w:iCs/>
        </w:rPr>
        <w:t>Partnership for Recovery</w:t>
      </w:r>
      <w:r>
        <w:t xml:space="preserve"> PAF</w:t>
      </w:r>
      <w:r>
        <w:rPr>
          <w:rStyle w:val="FootnoteReference"/>
        </w:rPr>
        <w:footnoteReference w:id="13"/>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11789"/>
      </w:tblGrid>
      <w:tr w:rsidR="006520A5" w:rsidRPr="007D469F" w14:paraId="6079FB75" w14:textId="77777777" w:rsidTr="00F43F65">
        <w:trPr>
          <w:trHeight w:val="672"/>
        </w:trPr>
        <w:tc>
          <w:tcPr>
            <w:tcW w:w="2230" w:type="dxa"/>
          </w:tcPr>
          <w:p w14:paraId="7FA73D0E" w14:textId="77777777" w:rsidR="00A16CEA" w:rsidRPr="00C34650" w:rsidRDefault="00A16CEA" w:rsidP="00F43F65">
            <w:pPr>
              <w:pStyle w:val="Default"/>
              <w:rPr>
                <w:rFonts w:asciiTheme="minorHAnsi" w:hAnsiTheme="minorHAnsi" w:cstheme="minorHAnsi"/>
                <w:b/>
                <w:bCs/>
                <w:sz w:val="20"/>
                <w:szCs w:val="20"/>
              </w:rPr>
            </w:pPr>
            <w:r w:rsidRPr="00C34650">
              <w:rPr>
                <w:rFonts w:asciiTheme="minorHAnsi" w:hAnsiTheme="minorHAnsi" w:cstheme="minorHAnsi"/>
                <w:b/>
                <w:bCs/>
                <w:sz w:val="20"/>
                <w:szCs w:val="20"/>
              </w:rPr>
              <w:t>GOAL</w:t>
            </w:r>
          </w:p>
        </w:tc>
        <w:tc>
          <w:tcPr>
            <w:tcW w:w="11789" w:type="dxa"/>
          </w:tcPr>
          <w:p w14:paraId="70BFC8C2" w14:textId="77777777" w:rsidR="00FB03DB" w:rsidRPr="00FB03DB" w:rsidRDefault="00FB03DB" w:rsidP="00FB03DB">
            <w:pPr>
              <w:spacing w:line="280" w:lineRule="exact"/>
              <w:rPr>
                <w:rFonts w:ascii="Calibri Light" w:hAnsi="Calibri Light" w:cs="Calibri Light"/>
                <w:b/>
                <w:bCs/>
                <w:color w:val="auto"/>
                <w:lang w:val="en-AU" w:eastAsia="en-AU"/>
              </w:rPr>
            </w:pPr>
            <w:r w:rsidRPr="00FB03DB">
              <w:rPr>
                <w:rFonts w:ascii="Calibri Light" w:hAnsi="Calibri Light" w:cs="Calibri Light"/>
                <w:b/>
                <w:bCs/>
                <w:color w:val="auto"/>
                <w:lang w:eastAsia="en-AU"/>
              </w:rPr>
              <w:t>“Pacific women and girls, in all their diversity, are safe and equitably share in resources, opportunities and decision-making, with men and boys.”</w:t>
            </w:r>
          </w:p>
          <w:p w14:paraId="4DDE33E7" w14:textId="5938BD37" w:rsidR="00A16CEA" w:rsidRPr="007D469F" w:rsidRDefault="00A16CEA" w:rsidP="00F43F65">
            <w:pPr>
              <w:pStyle w:val="Default"/>
              <w:rPr>
                <w:rFonts w:asciiTheme="minorHAnsi" w:hAnsiTheme="minorHAnsi" w:cstheme="minorHAnsi"/>
                <w:b/>
                <w:bCs/>
                <w:color w:val="auto"/>
                <w:sz w:val="20"/>
                <w:szCs w:val="20"/>
                <w:lang w:eastAsia="en-AU"/>
              </w:rPr>
            </w:pPr>
          </w:p>
        </w:tc>
      </w:tr>
    </w:tbl>
    <w:p w14:paraId="42B0AFD7" w14:textId="77777777" w:rsidR="00A16CEA" w:rsidRDefault="00A16CEA" w:rsidP="00A16CEA">
      <w:pPr>
        <w:jc w:val="center"/>
        <w:rPr>
          <w:b/>
          <w:bCs/>
          <w:sz w:val="28"/>
          <w:szCs w:val="28"/>
        </w:rPr>
      </w:pPr>
    </w:p>
    <w:tbl>
      <w:tblPr>
        <w:tblpPr w:leftFromText="180" w:rightFromText="180" w:vertAnchor="text" w:tblpX="-147"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2085"/>
        <w:gridCol w:w="2085"/>
        <w:gridCol w:w="1908"/>
        <w:gridCol w:w="1976"/>
        <w:gridCol w:w="1687"/>
        <w:gridCol w:w="1128"/>
        <w:gridCol w:w="940"/>
      </w:tblGrid>
      <w:tr w:rsidR="00E35E2A" w:rsidRPr="007D469F" w14:paraId="61EE9862" w14:textId="77777777" w:rsidTr="00017106">
        <w:trPr>
          <w:trHeight w:val="1419"/>
          <w:tblHeader/>
        </w:trPr>
        <w:tc>
          <w:tcPr>
            <w:tcW w:w="792" w:type="pct"/>
            <w:shd w:val="clear" w:color="auto" w:fill="F2F2F2" w:themeFill="background1" w:themeFillShade="F2"/>
          </w:tcPr>
          <w:p w14:paraId="0F569A02" w14:textId="77777777" w:rsidR="00A16CEA" w:rsidRPr="007D469F" w:rsidRDefault="00A16CEA" w:rsidP="00017106">
            <w:pPr>
              <w:pStyle w:val="Default"/>
              <w:rPr>
                <w:rFonts w:asciiTheme="minorHAnsi" w:hAnsiTheme="minorHAnsi" w:cstheme="minorHAnsi"/>
                <w:b/>
                <w:bCs/>
                <w:sz w:val="20"/>
                <w:szCs w:val="20"/>
              </w:rPr>
            </w:pPr>
            <w:r w:rsidRPr="007D469F">
              <w:rPr>
                <w:rFonts w:asciiTheme="minorHAnsi" w:hAnsiTheme="minorHAnsi" w:cstheme="minorHAnsi"/>
                <w:b/>
                <w:bCs/>
                <w:sz w:val="20"/>
                <w:szCs w:val="20"/>
              </w:rPr>
              <w:t>OUTCOMES</w:t>
            </w:r>
          </w:p>
          <w:p w14:paraId="085EFC79" w14:textId="77777777" w:rsidR="00A16CEA" w:rsidRPr="007D469F" w:rsidRDefault="00A16CEA" w:rsidP="00017106">
            <w:pPr>
              <w:pStyle w:val="Default"/>
              <w:rPr>
                <w:rFonts w:asciiTheme="minorHAnsi" w:hAnsiTheme="minorHAnsi" w:cstheme="minorHAnsi"/>
                <w:b/>
                <w:bCs/>
                <w:sz w:val="20"/>
                <w:szCs w:val="20"/>
              </w:rPr>
            </w:pPr>
          </w:p>
          <w:p w14:paraId="3F0854D8" w14:textId="77777777" w:rsidR="00A16CEA" w:rsidRPr="007D469F" w:rsidRDefault="00A16CEA" w:rsidP="00017106">
            <w:pPr>
              <w:pStyle w:val="Default"/>
              <w:rPr>
                <w:rFonts w:asciiTheme="minorHAnsi" w:hAnsiTheme="minorHAnsi" w:cstheme="minorHAnsi"/>
                <w:sz w:val="20"/>
                <w:szCs w:val="20"/>
              </w:rPr>
            </w:pPr>
          </w:p>
        </w:tc>
        <w:tc>
          <w:tcPr>
            <w:tcW w:w="743" w:type="pct"/>
            <w:shd w:val="clear" w:color="auto" w:fill="F2F2F2" w:themeFill="background1" w:themeFillShade="F2"/>
          </w:tcPr>
          <w:p w14:paraId="3DABC6B9" w14:textId="77777777" w:rsidR="00A16CEA" w:rsidRPr="00C34650" w:rsidRDefault="00A16CEA" w:rsidP="00017106">
            <w:pPr>
              <w:pStyle w:val="Default"/>
              <w:jc w:val="center"/>
              <w:rPr>
                <w:rFonts w:asciiTheme="minorHAnsi" w:hAnsiTheme="minorHAnsi" w:cstheme="minorHAnsi"/>
                <w:b/>
                <w:bCs/>
                <w:sz w:val="20"/>
                <w:szCs w:val="20"/>
              </w:rPr>
            </w:pPr>
            <w:r w:rsidRPr="00C34650">
              <w:rPr>
                <w:rFonts w:asciiTheme="minorHAnsi" w:hAnsiTheme="minorHAnsi" w:cstheme="minorHAnsi"/>
                <w:b/>
                <w:bCs/>
                <w:sz w:val="20"/>
                <w:szCs w:val="20"/>
              </w:rPr>
              <w:t xml:space="preserve">Women’s and men’s individual, beliefs, </w:t>
            </w:r>
            <w:proofErr w:type="gramStart"/>
            <w:r w:rsidRPr="00C34650">
              <w:rPr>
                <w:rFonts w:asciiTheme="minorHAnsi" w:hAnsiTheme="minorHAnsi" w:cstheme="minorHAnsi"/>
                <w:b/>
                <w:bCs/>
                <w:sz w:val="20"/>
                <w:szCs w:val="20"/>
              </w:rPr>
              <w:t>abilities</w:t>
            </w:r>
            <w:proofErr w:type="gramEnd"/>
            <w:r w:rsidRPr="00C34650">
              <w:rPr>
                <w:rFonts w:asciiTheme="minorHAnsi" w:hAnsiTheme="minorHAnsi" w:cstheme="minorHAnsi"/>
                <w:b/>
                <w:bCs/>
                <w:sz w:val="20"/>
                <w:szCs w:val="20"/>
              </w:rPr>
              <w:t xml:space="preserve"> and opportunities</w:t>
            </w:r>
          </w:p>
          <w:p w14:paraId="01F38266" w14:textId="77777777" w:rsidR="00A16CEA" w:rsidRPr="007D469F" w:rsidRDefault="00A16CEA" w:rsidP="00017106">
            <w:pPr>
              <w:pStyle w:val="Default"/>
              <w:jc w:val="center"/>
              <w:rPr>
                <w:rFonts w:asciiTheme="minorHAnsi" w:hAnsiTheme="minorHAnsi" w:cstheme="minorHAnsi"/>
                <w:sz w:val="20"/>
                <w:szCs w:val="20"/>
              </w:rPr>
            </w:pPr>
            <w:r>
              <w:rPr>
                <w:rFonts w:asciiTheme="minorHAnsi" w:hAnsiTheme="minorHAnsi" w:cstheme="minorHAnsi"/>
                <w:sz w:val="20"/>
                <w:szCs w:val="20"/>
              </w:rPr>
              <w:t>(</w:t>
            </w:r>
            <w:r w:rsidRPr="007D469F">
              <w:rPr>
                <w:rFonts w:asciiTheme="minorHAnsi" w:hAnsiTheme="minorHAnsi" w:cstheme="minorHAnsi"/>
                <w:i/>
                <w:iCs/>
                <w:sz w:val="20"/>
                <w:szCs w:val="20"/>
              </w:rPr>
              <w:t>basket of measures / indicators of progress</w:t>
            </w:r>
            <w:r>
              <w:rPr>
                <w:rFonts w:asciiTheme="minorHAnsi" w:hAnsiTheme="minorHAnsi" w:cstheme="minorHAnsi"/>
                <w:sz w:val="20"/>
                <w:szCs w:val="20"/>
              </w:rPr>
              <w:t>)</w:t>
            </w:r>
          </w:p>
        </w:tc>
        <w:tc>
          <w:tcPr>
            <w:tcW w:w="743" w:type="pct"/>
            <w:shd w:val="clear" w:color="auto" w:fill="F2F2F2" w:themeFill="background1" w:themeFillShade="F2"/>
          </w:tcPr>
          <w:p w14:paraId="75DE38B3" w14:textId="77777777" w:rsidR="00A16CEA" w:rsidRPr="00C34650" w:rsidRDefault="00A16CEA" w:rsidP="00017106">
            <w:pPr>
              <w:pStyle w:val="Default"/>
              <w:jc w:val="center"/>
              <w:rPr>
                <w:rFonts w:asciiTheme="minorHAnsi" w:hAnsiTheme="minorHAnsi" w:cstheme="minorHAnsi"/>
                <w:b/>
                <w:bCs/>
                <w:sz w:val="20"/>
                <w:szCs w:val="20"/>
              </w:rPr>
            </w:pPr>
            <w:r w:rsidRPr="00C34650">
              <w:rPr>
                <w:rFonts w:asciiTheme="minorHAnsi" w:hAnsiTheme="minorHAnsi" w:cstheme="minorHAnsi"/>
                <w:b/>
                <w:bCs/>
                <w:sz w:val="20"/>
                <w:szCs w:val="20"/>
              </w:rPr>
              <w:t xml:space="preserve">Access to resources such as land, income, </w:t>
            </w:r>
            <w:proofErr w:type="gramStart"/>
            <w:r w:rsidRPr="00C34650">
              <w:rPr>
                <w:rFonts w:asciiTheme="minorHAnsi" w:hAnsiTheme="minorHAnsi" w:cstheme="minorHAnsi"/>
                <w:b/>
                <w:bCs/>
                <w:sz w:val="20"/>
                <w:szCs w:val="20"/>
              </w:rPr>
              <w:t>education</w:t>
            </w:r>
            <w:proofErr w:type="gramEnd"/>
            <w:r w:rsidRPr="00C34650">
              <w:rPr>
                <w:rFonts w:asciiTheme="minorHAnsi" w:hAnsiTheme="minorHAnsi" w:cstheme="minorHAnsi"/>
                <w:b/>
                <w:bCs/>
                <w:sz w:val="20"/>
                <w:szCs w:val="20"/>
              </w:rPr>
              <w:t xml:space="preserve"> and health</w:t>
            </w:r>
          </w:p>
          <w:p w14:paraId="69322D54" w14:textId="77777777" w:rsidR="00A16CEA" w:rsidRPr="007D469F" w:rsidRDefault="00A16CEA" w:rsidP="00017106">
            <w:pPr>
              <w:pStyle w:val="Default"/>
              <w:jc w:val="center"/>
              <w:rPr>
                <w:rFonts w:asciiTheme="minorHAnsi" w:hAnsiTheme="minorHAnsi" w:cstheme="minorHAnsi"/>
                <w:sz w:val="20"/>
                <w:szCs w:val="20"/>
              </w:rPr>
            </w:pPr>
            <w:r>
              <w:rPr>
                <w:rFonts w:asciiTheme="minorHAnsi" w:hAnsiTheme="minorHAnsi" w:cstheme="minorHAnsi"/>
                <w:i/>
                <w:iCs/>
                <w:sz w:val="20"/>
                <w:szCs w:val="20"/>
              </w:rPr>
              <w:t>(</w:t>
            </w:r>
            <w:r w:rsidRPr="007D469F">
              <w:rPr>
                <w:rFonts w:asciiTheme="minorHAnsi" w:hAnsiTheme="minorHAnsi" w:cstheme="minorHAnsi"/>
                <w:i/>
                <w:iCs/>
                <w:sz w:val="20"/>
                <w:szCs w:val="20"/>
              </w:rPr>
              <w:t>basket of measures / indicators of progress</w:t>
            </w:r>
            <w:r>
              <w:rPr>
                <w:rFonts w:asciiTheme="minorHAnsi" w:hAnsiTheme="minorHAnsi" w:cstheme="minorHAnsi"/>
                <w:i/>
                <w:iCs/>
                <w:sz w:val="20"/>
                <w:szCs w:val="20"/>
              </w:rPr>
              <w:t>)</w:t>
            </w:r>
          </w:p>
        </w:tc>
        <w:tc>
          <w:tcPr>
            <w:tcW w:w="680" w:type="pct"/>
            <w:shd w:val="clear" w:color="auto" w:fill="F2F2F2" w:themeFill="background1" w:themeFillShade="F2"/>
          </w:tcPr>
          <w:p w14:paraId="4501DB7D" w14:textId="77777777" w:rsidR="00A16CEA" w:rsidRPr="00C34650" w:rsidRDefault="00A16CEA" w:rsidP="00017106">
            <w:pPr>
              <w:pStyle w:val="Default"/>
              <w:jc w:val="center"/>
              <w:rPr>
                <w:rFonts w:asciiTheme="minorHAnsi" w:hAnsiTheme="minorHAnsi" w:cstheme="minorHAnsi"/>
                <w:b/>
                <w:bCs/>
                <w:sz w:val="20"/>
                <w:szCs w:val="20"/>
              </w:rPr>
            </w:pPr>
            <w:r w:rsidRPr="00C34650">
              <w:rPr>
                <w:rFonts w:asciiTheme="minorHAnsi" w:hAnsiTheme="minorHAnsi" w:cstheme="minorHAnsi"/>
                <w:b/>
                <w:bCs/>
                <w:sz w:val="20"/>
                <w:szCs w:val="20"/>
              </w:rPr>
              <w:t>Social norms and attitudes</w:t>
            </w:r>
          </w:p>
          <w:p w14:paraId="734E1A6E" w14:textId="77777777" w:rsidR="00A16CEA" w:rsidRDefault="00A16CEA" w:rsidP="00017106">
            <w:pPr>
              <w:pStyle w:val="Default"/>
              <w:jc w:val="center"/>
              <w:rPr>
                <w:rFonts w:asciiTheme="minorHAnsi" w:hAnsiTheme="minorHAnsi" w:cstheme="minorHAnsi"/>
                <w:i/>
                <w:iCs/>
                <w:sz w:val="20"/>
                <w:szCs w:val="20"/>
              </w:rPr>
            </w:pPr>
          </w:p>
          <w:p w14:paraId="1658EDDE" w14:textId="77777777" w:rsidR="00A16CEA" w:rsidRPr="007D469F" w:rsidRDefault="00A16CEA" w:rsidP="00017106">
            <w:pPr>
              <w:pStyle w:val="Default"/>
              <w:jc w:val="center"/>
              <w:rPr>
                <w:rFonts w:asciiTheme="minorHAnsi" w:hAnsiTheme="minorHAnsi" w:cstheme="minorHAnsi"/>
                <w:sz w:val="20"/>
                <w:szCs w:val="20"/>
              </w:rPr>
            </w:pPr>
            <w:r>
              <w:rPr>
                <w:rFonts w:asciiTheme="minorHAnsi" w:hAnsiTheme="minorHAnsi" w:cstheme="minorHAnsi"/>
                <w:i/>
                <w:iCs/>
                <w:sz w:val="20"/>
                <w:szCs w:val="20"/>
              </w:rPr>
              <w:t>(</w:t>
            </w:r>
            <w:r w:rsidRPr="007D469F">
              <w:rPr>
                <w:rFonts w:asciiTheme="minorHAnsi" w:hAnsiTheme="minorHAnsi" w:cstheme="minorHAnsi"/>
                <w:i/>
                <w:iCs/>
                <w:sz w:val="20"/>
                <w:szCs w:val="20"/>
              </w:rPr>
              <w:t>basket of measures / indicators of progress</w:t>
            </w:r>
            <w:r>
              <w:rPr>
                <w:rFonts w:asciiTheme="minorHAnsi" w:hAnsiTheme="minorHAnsi" w:cstheme="minorHAnsi"/>
                <w:i/>
                <w:iCs/>
                <w:sz w:val="20"/>
                <w:szCs w:val="20"/>
              </w:rPr>
              <w:t>)</w:t>
            </w:r>
          </w:p>
        </w:tc>
        <w:tc>
          <w:tcPr>
            <w:tcW w:w="703" w:type="pct"/>
            <w:shd w:val="clear" w:color="auto" w:fill="F2F2F2" w:themeFill="background1" w:themeFillShade="F2"/>
          </w:tcPr>
          <w:p w14:paraId="6CAA1385" w14:textId="77777777" w:rsidR="00A16CEA" w:rsidRPr="00C34650" w:rsidRDefault="00A16CEA" w:rsidP="00017106">
            <w:pPr>
              <w:pStyle w:val="Default"/>
              <w:jc w:val="center"/>
              <w:rPr>
                <w:rFonts w:asciiTheme="minorHAnsi" w:hAnsiTheme="minorHAnsi" w:cstheme="minorHAnsi"/>
                <w:b/>
                <w:bCs/>
                <w:sz w:val="20"/>
                <w:szCs w:val="20"/>
              </w:rPr>
            </w:pPr>
            <w:r w:rsidRPr="00C34650">
              <w:rPr>
                <w:rFonts w:asciiTheme="minorHAnsi" w:hAnsiTheme="minorHAnsi" w:cstheme="minorHAnsi"/>
                <w:b/>
                <w:bCs/>
                <w:sz w:val="20"/>
                <w:szCs w:val="20"/>
              </w:rPr>
              <w:t>Policies and laws</w:t>
            </w:r>
          </w:p>
          <w:p w14:paraId="53BBC628" w14:textId="77777777" w:rsidR="00A16CEA" w:rsidRPr="00C34650" w:rsidRDefault="00A16CEA" w:rsidP="00017106">
            <w:pPr>
              <w:pStyle w:val="Default"/>
              <w:jc w:val="center"/>
              <w:rPr>
                <w:rFonts w:asciiTheme="minorHAnsi" w:hAnsiTheme="minorHAnsi" w:cstheme="minorHAnsi"/>
                <w:sz w:val="20"/>
                <w:szCs w:val="20"/>
              </w:rPr>
            </w:pPr>
          </w:p>
          <w:p w14:paraId="65ADDBA6" w14:textId="77777777" w:rsidR="00A16CEA" w:rsidRPr="00C34650" w:rsidRDefault="00A16CEA" w:rsidP="00017106">
            <w:pPr>
              <w:pStyle w:val="Default"/>
              <w:jc w:val="center"/>
              <w:rPr>
                <w:rFonts w:asciiTheme="minorHAnsi" w:hAnsiTheme="minorHAnsi" w:cstheme="minorHAnsi"/>
                <w:sz w:val="20"/>
                <w:szCs w:val="20"/>
              </w:rPr>
            </w:pPr>
          </w:p>
          <w:p w14:paraId="59D05774" w14:textId="77777777" w:rsidR="00A16CEA" w:rsidRPr="00C34650" w:rsidRDefault="00A16CEA" w:rsidP="00017106">
            <w:pPr>
              <w:pStyle w:val="Default"/>
              <w:jc w:val="center"/>
              <w:rPr>
                <w:rFonts w:asciiTheme="minorHAnsi" w:hAnsiTheme="minorHAnsi" w:cstheme="minorHAnsi"/>
                <w:sz w:val="20"/>
                <w:szCs w:val="20"/>
              </w:rPr>
            </w:pPr>
            <w:r w:rsidRPr="00C34650">
              <w:rPr>
                <w:rFonts w:asciiTheme="minorHAnsi" w:hAnsiTheme="minorHAnsi" w:cstheme="minorHAnsi"/>
                <w:sz w:val="20"/>
                <w:szCs w:val="20"/>
              </w:rPr>
              <w:t>(</w:t>
            </w:r>
            <w:r w:rsidRPr="00137D20">
              <w:rPr>
                <w:rFonts w:asciiTheme="minorHAnsi" w:hAnsiTheme="minorHAnsi" w:cstheme="minorHAnsi"/>
                <w:i/>
                <w:iCs/>
                <w:sz w:val="20"/>
                <w:szCs w:val="20"/>
              </w:rPr>
              <w:t>basket of measures / indicators of progress</w:t>
            </w:r>
            <w:r w:rsidRPr="00C34650">
              <w:rPr>
                <w:rFonts w:asciiTheme="minorHAnsi" w:hAnsiTheme="minorHAnsi" w:cstheme="minorHAnsi"/>
                <w:sz w:val="20"/>
                <w:szCs w:val="20"/>
              </w:rPr>
              <w:t>)</w:t>
            </w:r>
          </w:p>
        </w:tc>
        <w:tc>
          <w:tcPr>
            <w:tcW w:w="601" w:type="pct"/>
            <w:shd w:val="clear" w:color="auto" w:fill="F2F2F2" w:themeFill="background1" w:themeFillShade="F2"/>
          </w:tcPr>
          <w:p w14:paraId="28B7E96A" w14:textId="77777777" w:rsidR="00A16CEA" w:rsidRPr="00C34650" w:rsidRDefault="00A16CEA" w:rsidP="00017106">
            <w:pPr>
              <w:pStyle w:val="Default"/>
              <w:jc w:val="center"/>
              <w:rPr>
                <w:rFonts w:asciiTheme="minorHAnsi" w:hAnsiTheme="minorHAnsi" w:cstheme="minorHAnsi"/>
                <w:b/>
                <w:bCs/>
                <w:sz w:val="20"/>
                <w:szCs w:val="20"/>
              </w:rPr>
            </w:pPr>
            <w:r w:rsidRPr="00A7516C">
              <w:rPr>
                <w:rFonts w:asciiTheme="minorHAnsi" w:hAnsiTheme="minorHAnsi" w:cstheme="minorHAnsi"/>
                <w:b/>
                <w:bCs/>
                <w:sz w:val="20"/>
                <w:szCs w:val="20"/>
              </w:rPr>
              <w:t>Data collection method &amp; frequency</w:t>
            </w:r>
          </w:p>
        </w:tc>
        <w:tc>
          <w:tcPr>
            <w:tcW w:w="402" w:type="pct"/>
            <w:shd w:val="clear" w:color="auto" w:fill="F2F2F2" w:themeFill="background1" w:themeFillShade="F2"/>
          </w:tcPr>
          <w:p w14:paraId="32824D0B" w14:textId="77777777" w:rsidR="00A16CEA" w:rsidRPr="00C34650" w:rsidRDefault="00A16CEA" w:rsidP="00017106">
            <w:pPr>
              <w:pStyle w:val="Default"/>
              <w:jc w:val="center"/>
              <w:rPr>
                <w:rFonts w:asciiTheme="minorHAnsi" w:hAnsiTheme="minorHAnsi" w:cstheme="minorHAnsi"/>
                <w:b/>
                <w:bCs/>
                <w:sz w:val="20"/>
                <w:szCs w:val="20"/>
              </w:rPr>
            </w:pPr>
            <w:r>
              <w:rPr>
                <w:rFonts w:asciiTheme="minorHAnsi" w:hAnsiTheme="minorHAnsi" w:cstheme="minorHAnsi"/>
                <w:b/>
                <w:bCs/>
                <w:sz w:val="20"/>
                <w:szCs w:val="20"/>
              </w:rPr>
              <w:t>Baseline</w:t>
            </w:r>
          </w:p>
        </w:tc>
        <w:tc>
          <w:tcPr>
            <w:tcW w:w="335" w:type="pct"/>
            <w:shd w:val="clear" w:color="auto" w:fill="F2F2F2" w:themeFill="background1" w:themeFillShade="F2"/>
          </w:tcPr>
          <w:p w14:paraId="4BD2680D" w14:textId="77777777" w:rsidR="00A16CEA" w:rsidRPr="00C34650" w:rsidRDefault="00A16CEA" w:rsidP="00017106">
            <w:pPr>
              <w:pStyle w:val="Default"/>
              <w:jc w:val="center"/>
              <w:rPr>
                <w:rFonts w:asciiTheme="minorHAnsi" w:hAnsiTheme="minorHAnsi" w:cstheme="minorHAnsi"/>
                <w:b/>
                <w:bCs/>
                <w:sz w:val="20"/>
                <w:szCs w:val="20"/>
              </w:rPr>
            </w:pPr>
            <w:r>
              <w:rPr>
                <w:rFonts w:asciiTheme="minorHAnsi" w:hAnsiTheme="minorHAnsi" w:cstheme="minorHAnsi"/>
                <w:b/>
                <w:bCs/>
                <w:sz w:val="20"/>
                <w:szCs w:val="20"/>
              </w:rPr>
              <w:t>Target</w:t>
            </w:r>
          </w:p>
        </w:tc>
      </w:tr>
      <w:tr w:rsidR="006520A5" w:rsidRPr="007D469F" w14:paraId="7D4C9A5B" w14:textId="77777777" w:rsidTr="00017106">
        <w:trPr>
          <w:trHeight w:val="413"/>
        </w:trPr>
        <w:tc>
          <w:tcPr>
            <w:tcW w:w="5000" w:type="pct"/>
            <w:gridSpan w:val="8"/>
          </w:tcPr>
          <w:p w14:paraId="1958C364" w14:textId="77777777" w:rsidR="00A16CEA" w:rsidRPr="00BE1966" w:rsidRDefault="00A16CEA" w:rsidP="00017106">
            <w:pPr>
              <w:pStyle w:val="Default"/>
              <w:rPr>
                <w:rFonts w:asciiTheme="minorHAnsi" w:hAnsiTheme="minorHAnsi" w:cstheme="minorHAnsi"/>
                <w:b/>
                <w:sz w:val="28"/>
                <w:szCs w:val="28"/>
              </w:rPr>
            </w:pPr>
            <w:r w:rsidRPr="00BE1966">
              <w:rPr>
                <w:rFonts w:asciiTheme="minorHAnsi" w:hAnsiTheme="minorHAnsi" w:cstheme="minorHAnsi"/>
                <w:b/>
                <w:sz w:val="28"/>
                <w:szCs w:val="28"/>
              </w:rPr>
              <w:t>1. Women’s leadership promoted</w:t>
            </w:r>
          </w:p>
        </w:tc>
      </w:tr>
      <w:tr w:rsidR="00EE0BA3" w:rsidRPr="007D469F" w14:paraId="01BE6909" w14:textId="77777777" w:rsidTr="00017106">
        <w:trPr>
          <w:trHeight w:val="699"/>
        </w:trPr>
        <w:tc>
          <w:tcPr>
            <w:tcW w:w="792" w:type="pct"/>
          </w:tcPr>
          <w:p w14:paraId="7ECA9CC0" w14:textId="15824864" w:rsidR="00A16CEA" w:rsidRPr="007D469F" w:rsidRDefault="00A16CEA" w:rsidP="00017106">
            <w:pPr>
              <w:pStyle w:val="Default"/>
              <w:rPr>
                <w:rFonts w:asciiTheme="minorHAnsi" w:hAnsiTheme="minorHAnsi" w:cstheme="minorHAnsi"/>
                <w:sz w:val="20"/>
                <w:szCs w:val="20"/>
              </w:rPr>
            </w:pPr>
            <w:r>
              <w:rPr>
                <w:rFonts w:asciiTheme="minorHAnsi" w:hAnsiTheme="minorHAnsi" w:cstheme="minorHAnsi"/>
                <w:sz w:val="20"/>
                <w:szCs w:val="20"/>
              </w:rPr>
              <w:t xml:space="preserve">a. </w:t>
            </w:r>
            <w:r w:rsidRPr="00AF1F05">
              <w:rPr>
                <w:rFonts w:asciiTheme="minorHAnsi" w:hAnsiTheme="minorHAnsi" w:cstheme="minorHAnsi"/>
                <w:sz w:val="20"/>
                <w:szCs w:val="20"/>
              </w:rPr>
              <w:t xml:space="preserve">Increased women's voices in decision making spaces, from household, community, </w:t>
            </w:r>
            <w:proofErr w:type="gramStart"/>
            <w:r w:rsidRPr="00AF1F05">
              <w:rPr>
                <w:rFonts w:asciiTheme="minorHAnsi" w:hAnsiTheme="minorHAnsi" w:cstheme="minorHAnsi"/>
                <w:sz w:val="20"/>
                <w:szCs w:val="20"/>
              </w:rPr>
              <w:t>business</w:t>
            </w:r>
            <w:proofErr w:type="gramEnd"/>
            <w:r w:rsidRPr="00AF1F05">
              <w:rPr>
                <w:rFonts w:asciiTheme="minorHAnsi" w:hAnsiTheme="minorHAnsi" w:cstheme="minorHAnsi"/>
                <w:sz w:val="20"/>
                <w:szCs w:val="20"/>
              </w:rPr>
              <w:t xml:space="preserve"> and local level leadership through to </w:t>
            </w:r>
            <w:r w:rsidRPr="00AF1F05">
              <w:rPr>
                <w:rFonts w:asciiTheme="minorHAnsi" w:hAnsiTheme="minorHAnsi" w:cstheme="minorHAnsi"/>
                <w:sz w:val="20"/>
                <w:szCs w:val="20"/>
              </w:rPr>
              <w:lastRenderedPageBreak/>
              <w:t>national</w:t>
            </w:r>
            <w:r w:rsidR="00C93FB3">
              <w:rPr>
                <w:rFonts w:asciiTheme="minorHAnsi" w:hAnsiTheme="minorHAnsi" w:cstheme="minorHAnsi"/>
                <w:sz w:val="20"/>
                <w:szCs w:val="20"/>
              </w:rPr>
              <w:t xml:space="preserve">, </w:t>
            </w:r>
            <w:r w:rsidRPr="00AF1F05">
              <w:rPr>
                <w:rFonts w:asciiTheme="minorHAnsi" w:hAnsiTheme="minorHAnsi" w:cstheme="minorHAnsi"/>
                <w:sz w:val="20"/>
                <w:szCs w:val="20"/>
              </w:rPr>
              <w:t xml:space="preserve">regional </w:t>
            </w:r>
            <w:r w:rsidR="00C93FB3">
              <w:rPr>
                <w:rFonts w:asciiTheme="minorHAnsi" w:hAnsiTheme="minorHAnsi" w:cstheme="minorHAnsi"/>
                <w:sz w:val="20"/>
                <w:szCs w:val="20"/>
              </w:rPr>
              <w:t xml:space="preserve">and global </w:t>
            </w:r>
            <w:r w:rsidRPr="00AF1F05">
              <w:rPr>
                <w:rFonts w:asciiTheme="minorHAnsi" w:hAnsiTheme="minorHAnsi" w:cstheme="minorHAnsi"/>
                <w:sz w:val="20"/>
                <w:szCs w:val="20"/>
              </w:rPr>
              <w:t>political spheres.</w:t>
            </w:r>
          </w:p>
        </w:tc>
        <w:tc>
          <w:tcPr>
            <w:tcW w:w="743" w:type="pct"/>
            <w:shd w:val="clear" w:color="auto" w:fill="auto"/>
          </w:tcPr>
          <w:p w14:paraId="3DEC7028" w14:textId="6B1D94CD"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lastRenderedPageBreak/>
              <w:t xml:space="preserve">Perceived changes in the way decisions are made a local, </w:t>
            </w:r>
            <w:proofErr w:type="gramStart"/>
            <w:r w:rsidRPr="00017106">
              <w:rPr>
                <w:rFonts w:asciiTheme="minorHAnsi" w:hAnsiTheme="minorHAnsi" w:cstheme="minorHAnsi"/>
                <w:sz w:val="20"/>
                <w:szCs w:val="20"/>
              </w:rPr>
              <w:t>national</w:t>
            </w:r>
            <w:proofErr w:type="gramEnd"/>
            <w:r w:rsidRPr="00017106">
              <w:rPr>
                <w:rFonts w:asciiTheme="minorHAnsi" w:hAnsiTheme="minorHAnsi" w:cstheme="minorHAnsi"/>
                <w:sz w:val="20"/>
                <w:szCs w:val="20"/>
              </w:rPr>
              <w:t xml:space="preserve"> and regional levels</w:t>
            </w:r>
          </w:p>
          <w:p w14:paraId="3297727E" w14:textId="77777777"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lastRenderedPageBreak/>
              <w:t xml:space="preserve">Ratio of men to women in local decision-making bodies </w:t>
            </w:r>
          </w:p>
          <w:p w14:paraId="77101BF2" w14:textId="77777777"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xml:space="preserve">Extent of female participation in community-level decision making processes </w:t>
            </w:r>
          </w:p>
          <w:p w14:paraId="400CFA64" w14:textId="77777777" w:rsidR="00A16CEA" w:rsidRPr="00017106" w:rsidRDefault="00A16CEA" w:rsidP="00017106">
            <w:pPr>
              <w:pStyle w:val="Default"/>
              <w:ind w:left="360"/>
              <w:rPr>
                <w:rFonts w:asciiTheme="minorHAnsi" w:hAnsiTheme="minorHAnsi" w:cstheme="minorHAnsi"/>
                <w:sz w:val="20"/>
                <w:szCs w:val="20"/>
              </w:rPr>
            </w:pPr>
          </w:p>
        </w:tc>
        <w:tc>
          <w:tcPr>
            <w:tcW w:w="743" w:type="pct"/>
            <w:shd w:val="clear" w:color="auto" w:fill="auto"/>
          </w:tcPr>
          <w:p w14:paraId="4CEEA253" w14:textId="77777777"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lastRenderedPageBreak/>
              <w:t>Changes in sex ratios on resource management committees</w:t>
            </w:r>
          </w:p>
          <w:p w14:paraId="0319863F" w14:textId="77777777" w:rsidR="00701A73" w:rsidRPr="00017106" w:rsidRDefault="00701A73"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xml:space="preserve">Changes in sex ratios on climate change and </w:t>
            </w:r>
            <w:r w:rsidRPr="00017106">
              <w:rPr>
                <w:rFonts w:asciiTheme="minorHAnsi" w:hAnsiTheme="minorHAnsi" w:cstheme="minorHAnsi"/>
                <w:sz w:val="20"/>
                <w:szCs w:val="20"/>
              </w:rPr>
              <w:lastRenderedPageBreak/>
              <w:t>disaster committees</w:t>
            </w:r>
          </w:p>
          <w:p w14:paraId="79D61561" w14:textId="77777777"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xml:space="preserve">Levels of men and women’s inputs into community resource issues </w:t>
            </w:r>
          </w:p>
          <w:p w14:paraId="0A006123" w14:textId="77777777" w:rsidR="007E5A23" w:rsidRPr="00017106" w:rsidRDefault="007E5A23"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xml:space="preserve">Levels of men and women’s inputs into climate change and disaster risk issues </w:t>
            </w:r>
          </w:p>
          <w:p w14:paraId="24FF122A" w14:textId="45118550"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increase in women’s access and control over natural and economic assets</w:t>
            </w:r>
          </w:p>
        </w:tc>
        <w:tc>
          <w:tcPr>
            <w:tcW w:w="680" w:type="pct"/>
            <w:shd w:val="clear" w:color="auto" w:fill="auto"/>
          </w:tcPr>
          <w:p w14:paraId="6868ACB2" w14:textId="4FBF79AB" w:rsidR="00A16CEA" w:rsidRPr="00017106" w:rsidRDefault="00A16CEA" w:rsidP="00017106">
            <w:pPr>
              <w:pStyle w:val="Default"/>
              <w:numPr>
                <w:ilvl w:val="0"/>
                <w:numId w:val="53"/>
              </w:numPr>
              <w:rPr>
                <w:rFonts w:asciiTheme="minorHAnsi" w:hAnsiTheme="minorHAnsi" w:cstheme="minorHAnsi"/>
                <w:i/>
                <w:iCs/>
                <w:sz w:val="20"/>
                <w:szCs w:val="20"/>
              </w:rPr>
            </w:pPr>
            <w:r w:rsidRPr="00017106">
              <w:rPr>
                <w:rFonts w:asciiTheme="minorHAnsi" w:hAnsiTheme="minorHAnsi" w:cstheme="minorHAnsi"/>
                <w:sz w:val="20"/>
                <w:szCs w:val="20"/>
              </w:rPr>
              <w:lastRenderedPageBreak/>
              <w:t xml:space="preserve">Evidence of decision-making spaces to consult with women, and respond to </w:t>
            </w:r>
            <w:r w:rsidRPr="00017106">
              <w:rPr>
                <w:rFonts w:asciiTheme="minorHAnsi" w:hAnsiTheme="minorHAnsi" w:cstheme="minorHAnsi"/>
                <w:sz w:val="20"/>
                <w:szCs w:val="20"/>
              </w:rPr>
              <w:lastRenderedPageBreak/>
              <w:t>women’s needs and priorities</w:t>
            </w:r>
          </w:p>
          <w:p w14:paraId="12B627E5" w14:textId="0EBD5769" w:rsidR="00A16CEA" w:rsidRPr="00017106" w:rsidRDefault="00A16CEA" w:rsidP="00017106">
            <w:pPr>
              <w:pStyle w:val="Default"/>
              <w:numPr>
                <w:ilvl w:val="0"/>
                <w:numId w:val="53"/>
              </w:numPr>
              <w:rPr>
                <w:rFonts w:asciiTheme="minorHAnsi" w:hAnsiTheme="minorHAnsi" w:cstheme="minorHAnsi"/>
                <w:i/>
                <w:iCs/>
                <w:sz w:val="20"/>
                <w:szCs w:val="20"/>
              </w:rPr>
            </w:pPr>
            <w:r w:rsidRPr="00017106">
              <w:rPr>
                <w:rFonts w:asciiTheme="minorHAnsi" w:hAnsiTheme="minorHAnsi" w:cstheme="minorHAnsi"/>
                <w:sz w:val="20"/>
                <w:szCs w:val="20"/>
              </w:rPr>
              <w:t xml:space="preserve">Changes in social norms pertaining to women’s </w:t>
            </w:r>
            <w:r w:rsidR="006E75C4" w:rsidRPr="00017106">
              <w:rPr>
                <w:rFonts w:asciiTheme="minorHAnsi" w:hAnsiTheme="minorHAnsi" w:cstheme="minorHAnsi"/>
                <w:sz w:val="20"/>
                <w:szCs w:val="20"/>
              </w:rPr>
              <w:t>participation in</w:t>
            </w:r>
            <w:r w:rsidRPr="00017106">
              <w:rPr>
                <w:rFonts w:asciiTheme="minorHAnsi" w:hAnsiTheme="minorHAnsi" w:cstheme="minorHAnsi"/>
                <w:sz w:val="20"/>
                <w:szCs w:val="20"/>
              </w:rPr>
              <w:t xml:space="preserve"> decision-making spaces</w:t>
            </w:r>
          </w:p>
          <w:p w14:paraId="71254000" w14:textId="77777777" w:rsidR="00A16CEA" w:rsidRPr="00017106" w:rsidRDefault="00A16CEA" w:rsidP="00017106">
            <w:pPr>
              <w:pStyle w:val="Default"/>
              <w:numPr>
                <w:ilvl w:val="0"/>
                <w:numId w:val="53"/>
              </w:numPr>
              <w:rPr>
                <w:rFonts w:asciiTheme="minorHAnsi" w:hAnsiTheme="minorHAnsi" w:cstheme="minorHAnsi"/>
                <w:i/>
                <w:iCs/>
                <w:sz w:val="20"/>
                <w:szCs w:val="20"/>
              </w:rPr>
            </w:pPr>
            <w:r w:rsidRPr="00017106">
              <w:rPr>
                <w:rFonts w:asciiTheme="minorHAnsi" w:hAnsiTheme="minorHAnsi" w:cstheme="minorHAnsi"/>
                <w:sz w:val="20"/>
                <w:szCs w:val="20"/>
              </w:rPr>
              <w:t>Increased community support for women’s and children’s human and legal rights</w:t>
            </w:r>
          </w:p>
        </w:tc>
        <w:tc>
          <w:tcPr>
            <w:tcW w:w="703" w:type="pct"/>
          </w:tcPr>
          <w:p w14:paraId="3D15289A" w14:textId="7FAB795F"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lastRenderedPageBreak/>
              <w:t>Existence</w:t>
            </w:r>
            <w:r>
              <w:rPr>
                <w:rFonts w:asciiTheme="minorHAnsi" w:hAnsiTheme="minorHAnsi" w:cstheme="minorHAnsi"/>
                <w:sz w:val="20"/>
                <w:szCs w:val="20"/>
              </w:rPr>
              <w:t xml:space="preserve"> and application</w:t>
            </w:r>
            <w:r w:rsidRPr="007D469F">
              <w:rPr>
                <w:rFonts w:asciiTheme="minorHAnsi" w:hAnsiTheme="minorHAnsi" w:cstheme="minorHAnsi"/>
                <w:sz w:val="20"/>
                <w:szCs w:val="20"/>
              </w:rPr>
              <w:t xml:space="preserve"> of local policies on gender equality, including commitments to equal </w:t>
            </w:r>
            <w:r w:rsidRPr="007D469F">
              <w:rPr>
                <w:rFonts w:asciiTheme="minorHAnsi" w:hAnsiTheme="minorHAnsi" w:cstheme="minorHAnsi"/>
                <w:sz w:val="20"/>
                <w:szCs w:val="20"/>
              </w:rPr>
              <w:lastRenderedPageBreak/>
              <w:t>representation and participation</w:t>
            </w:r>
          </w:p>
          <w:p w14:paraId="6FC3654C"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 xml:space="preserve">Changes in local land- ownership laws </w:t>
            </w:r>
          </w:p>
          <w:p w14:paraId="36120E25" w14:textId="77777777" w:rsidR="00A16CEA"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 xml:space="preserve"> Changes in political participation by women at </w:t>
            </w:r>
            <w:r>
              <w:rPr>
                <w:rFonts w:asciiTheme="minorHAnsi" w:hAnsiTheme="minorHAnsi" w:cstheme="minorHAnsi"/>
                <w:sz w:val="20"/>
                <w:szCs w:val="20"/>
              </w:rPr>
              <w:t>local, national, and regional level</w:t>
            </w:r>
          </w:p>
          <w:p w14:paraId="6DB56CE4" w14:textId="77777777" w:rsidR="00A16CEA" w:rsidRPr="007D469F" w:rsidRDefault="00A16CEA" w:rsidP="00017106">
            <w:pPr>
              <w:pStyle w:val="Default"/>
              <w:numPr>
                <w:ilvl w:val="0"/>
                <w:numId w:val="53"/>
              </w:numPr>
              <w:rPr>
                <w:rFonts w:asciiTheme="minorHAnsi" w:hAnsiTheme="minorHAnsi" w:cstheme="minorHAnsi"/>
                <w:sz w:val="20"/>
                <w:szCs w:val="20"/>
              </w:rPr>
            </w:pPr>
            <w:r>
              <w:rPr>
                <w:rFonts w:asciiTheme="minorHAnsi" w:hAnsiTheme="minorHAnsi" w:cstheme="minorHAnsi"/>
                <w:sz w:val="20"/>
                <w:szCs w:val="20"/>
              </w:rPr>
              <w:t>Changes in public sector leadership and in senior management in the private sector</w:t>
            </w:r>
          </w:p>
          <w:p w14:paraId="641F63A8" w14:textId="77777777" w:rsidR="00A16CEA" w:rsidRPr="007D469F" w:rsidRDefault="00A16CEA" w:rsidP="00017106">
            <w:pPr>
              <w:pStyle w:val="Default"/>
              <w:rPr>
                <w:rFonts w:asciiTheme="minorHAnsi" w:hAnsiTheme="minorHAnsi" w:cstheme="minorHAnsi"/>
                <w:i/>
                <w:iCs/>
                <w:sz w:val="20"/>
                <w:szCs w:val="20"/>
              </w:rPr>
            </w:pPr>
          </w:p>
        </w:tc>
        <w:tc>
          <w:tcPr>
            <w:tcW w:w="601" w:type="pct"/>
          </w:tcPr>
          <w:p w14:paraId="233F158D"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402" w:type="pct"/>
            <w:shd w:val="clear" w:color="auto" w:fill="F2F2F2" w:themeFill="background1" w:themeFillShade="F2"/>
          </w:tcPr>
          <w:p w14:paraId="462A7CD1"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335" w:type="pct"/>
            <w:shd w:val="clear" w:color="auto" w:fill="F2F2F2" w:themeFill="background1" w:themeFillShade="F2"/>
          </w:tcPr>
          <w:p w14:paraId="67033969" w14:textId="77777777" w:rsidR="00A16CEA" w:rsidRPr="007D469F" w:rsidRDefault="00A16CEA" w:rsidP="00017106">
            <w:pPr>
              <w:pStyle w:val="Default"/>
              <w:numPr>
                <w:ilvl w:val="0"/>
                <w:numId w:val="53"/>
              </w:numPr>
              <w:rPr>
                <w:rFonts w:asciiTheme="minorHAnsi" w:hAnsiTheme="minorHAnsi" w:cstheme="minorHAnsi"/>
                <w:sz w:val="20"/>
                <w:szCs w:val="20"/>
              </w:rPr>
            </w:pPr>
          </w:p>
        </w:tc>
      </w:tr>
      <w:tr w:rsidR="00EE0BA3" w:rsidRPr="007D469F" w14:paraId="0F6CCB50" w14:textId="77777777" w:rsidTr="00017106">
        <w:trPr>
          <w:trHeight w:val="564"/>
        </w:trPr>
        <w:tc>
          <w:tcPr>
            <w:tcW w:w="792" w:type="pct"/>
          </w:tcPr>
          <w:p w14:paraId="00D0235D" w14:textId="77777777" w:rsidR="00A16CEA" w:rsidRPr="007D469F" w:rsidRDefault="00A16CEA" w:rsidP="00017106">
            <w:pPr>
              <w:pStyle w:val="Default"/>
              <w:rPr>
                <w:rFonts w:asciiTheme="minorHAnsi" w:hAnsiTheme="minorHAnsi" w:cstheme="minorHAnsi"/>
                <w:sz w:val="20"/>
                <w:szCs w:val="20"/>
              </w:rPr>
            </w:pPr>
            <w:r w:rsidRPr="007D469F">
              <w:rPr>
                <w:rFonts w:asciiTheme="minorHAnsi" w:hAnsiTheme="minorHAnsi" w:cstheme="minorHAnsi"/>
                <w:sz w:val="20"/>
                <w:szCs w:val="20"/>
              </w:rPr>
              <w:t>b. Recognition and amplification of the leadership of Pacific feminist civil society</w:t>
            </w:r>
          </w:p>
        </w:tc>
        <w:tc>
          <w:tcPr>
            <w:tcW w:w="743" w:type="pct"/>
          </w:tcPr>
          <w:p w14:paraId="4BE956E4"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Increase in the number of Pacific women empowered to exercise their capacity for leadership</w:t>
            </w:r>
          </w:p>
          <w:p w14:paraId="51B74AD4" w14:textId="77777777" w:rsidR="00A16CEA" w:rsidRPr="007D469F" w:rsidRDefault="00A16CEA" w:rsidP="00017106">
            <w:pPr>
              <w:pStyle w:val="Default"/>
              <w:numPr>
                <w:ilvl w:val="0"/>
                <w:numId w:val="53"/>
              </w:numPr>
              <w:rPr>
                <w:rFonts w:asciiTheme="minorHAnsi" w:hAnsiTheme="minorHAnsi" w:cstheme="minorHAnsi"/>
                <w:color w:val="auto"/>
                <w:sz w:val="20"/>
                <w:szCs w:val="20"/>
              </w:rPr>
            </w:pPr>
            <w:r w:rsidRPr="007D469F">
              <w:rPr>
                <w:rFonts w:asciiTheme="minorHAnsi" w:hAnsiTheme="minorHAnsi" w:cstheme="minorHAnsi"/>
                <w:sz w:val="20"/>
                <w:szCs w:val="20"/>
              </w:rPr>
              <w:t xml:space="preserve">Strengthened capacity of leadership- female government officials, in CSOs, local organizations and local government </w:t>
            </w:r>
          </w:p>
        </w:tc>
        <w:tc>
          <w:tcPr>
            <w:tcW w:w="743" w:type="pct"/>
          </w:tcPr>
          <w:p w14:paraId="7FBE8439"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 xml:space="preserve">Perception of increased levels engagement between women and men on community resource issues </w:t>
            </w:r>
          </w:p>
          <w:p w14:paraId="4AE37D69" w14:textId="77777777" w:rsidR="00A16CEA" w:rsidRPr="007D469F" w:rsidRDefault="00A16CEA" w:rsidP="00017106">
            <w:pPr>
              <w:pStyle w:val="Default"/>
              <w:numPr>
                <w:ilvl w:val="0"/>
                <w:numId w:val="53"/>
              </w:numPr>
              <w:rPr>
                <w:rFonts w:asciiTheme="minorHAnsi" w:hAnsiTheme="minorHAnsi" w:cstheme="minorHAnsi"/>
                <w:i/>
                <w:iCs/>
                <w:sz w:val="20"/>
                <w:szCs w:val="20"/>
              </w:rPr>
            </w:pPr>
            <w:r w:rsidRPr="007D469F">
              <w:rPr>
                <w:rFonts w:asciiTheme="minorHAnsi" w:hAnsiTheme="minorHAnsi" w:cstheme="minorHAnsi"/>
                <w:sz w:val="20"/>
                <w:szCs w:val="20"/>
              </w:rPr>
              <w:t>Strengthened Pacific feminist civil society to advocate effectively for equitable access to resources for women</w:t>
            </w:r>
          </w:p>
        </w:tc>
        <w:tc>
          <w:tcPr>
            <w:tcW w:w="680" w:type="pct"/>
          </w:tcPr>
          <w:p w14:paraId="144F04FB" w14:textId="77777777" w:rsidR="00A16CEA" w:rsidRPr="00D03EC6" w:rsidRDefault="00A16CEA" w:rsidP="00017106">
            <w:pPr>
              <w:pStyle w:val="Default"/>
              <w:numPr>
                <w:ilvl w:val="0"/>
                <w:numId w:val="53"/>
              </w:numPr>
              <w:rPr>
                <w:rFonts w:asciiTheme="minorHAnsi" w:hAnsiTheme="minorHAnsi" w:cstheme="minorHAnsi"/>
                <w:i/>
                <w:iCs/>
                <w:sz w:val="20"/>
                <w:szCs w:val="20"/>
              </w:rPr>
            </w:pPr>
            <w:r w:rsidRPr="007D469F">
              <w:rPr>
                <w:rFonts w:asciiTheme="minorHAnsi" w:hAnsiTheme="minorHAnsi" w:cstheme="minorHAnsi"/>
                <w:sz w:val="20"/>
                <w:szCs w:val="20"/>
              </w:rPr>
              <w:t xml:space="preserve">Increase in women’s self-esteem and self-confidence to influence social processes </w:t>
            </w:r>
          </w:p>
          <w:p w14:paraId="367ED0E0" w14:textId="77777777" w:rsidR="00A16CEA" w:rsidRPr="00316110" w:rsidRDefault="00A16CEA" w:rsidP="00017106">
            <w:pPr>
              <w:pStyle w:val="Default"/>
              <w:numPr>
                <w:ilvl w:val="0"/>
                <w:numId w:val="53"/>
              </w:numPr>
              <w:rPr>
                <w:rFonts w:cstheme="minorHAnsi"/>
              </w:rPr>
            </w:pPr>
            <w:r w:rsidRPr="00C64817">
              <w:rPr>
                <w:rFonts w:asciiTheme="minorHAnsi" w:hAnsiTheme="minorHAnsi" w:cstheme="minorHAnsi"/>
                <w:sz w:val="20"/>
                <w:szCs w:val="20"/>
              </w:rPr>
              <w:t>Evidence of diverse women participation and increased agency</w:t>
            </w:r>
          </w:p>
          <w:p w14:paraId="3A1FE3FD" w14:textId="77777777" w:rsidR="00A16CEA" w:rsidRPr="007D469F" w:rsidRDefault="00A16CEA" w:rsidP="00017106">
            <w:pPr>
              <w:pStyle w:val="Default"/>
              <w:numPr>
                <w:ilvl w:val="0"/>
                <w:numId w:val="53"/>
              </w:numPr>
              <w:rPr>
                <w:rFonts w:asciiTheme="minorHAnsi" w:hAnsiTheme="minorHAnsi" w:cstheme="minorHAnsi"/>
                <w:i/>
                <w:iCs/>
                <w:sz w:val="20"/>
                <w:szCs w:val="20"/>
              </w:rPr>
            </w:pPr>
          </w:p>
          <w:p w14:paraId="747A26BE" w14:textId="77777777" w:rsidR="00A16CEA" w:rsidRPr="007D469F" w:rsidRDefault="00A16CEA" w:rsidP="00017106">
            <w:pPr>
              <w:pStyle w:val="Default"/>
              <w:ind w:left="360"/>
              <w:rPr>
                <w:rFonts w:asciiTheme="minorHAnsi" w:hAnsiTheme="minorHAnsi" w:cstheme="minorHAnsi"/>
                <w:i/>
                <w:iCs/>
                <w:sz w:val="20"/>
                <w:szCs w:val="20"/>
              </w:rPr>
            </w:pPr>
          </w:p>
        </w:tc>
        <w:tc>
          <w:tcPr>
            <w:tcW w:w="703" w:type="pct"/>
          </w:tcPr>
          <w:p w14:paraId="0D2D2BF5" w14:textId="705C330F" w:rsidR="00A16CEA" w:rsidRPr="00320B10" w:rsidRDefault="00A16CEA" w:rsidP="00017106">
            <w:pPr>
              <w:pStyle w:val="Default"/>
              <w:numPr>
                <w:ilvl w:val="0"/>
                <w:numId w:val="53"/>
              </w:numPr>
              <w:rPr>
                <w:rFonts w:asciiTheme="minorHAnsi" w:hAnsiTheme="minorHAnsi" w:cstheme="minorHAnsi"/>
                <w:sz w:val="20"/>
                <w:szCs w:val="20"/>
              </w:rPr>
            </w:pPr>
            <w:r w:rsidRPr="00320B10">
              <w:rPr>
                <w:rFonts w:asciiTheme="minorHAnsi" w:hAnsiTheme="minorHAnsi" w:cstheme="minorHAnsi"/>
                <w:sz w:val="20"/>
                <w:szCs w:val="20"/>
              </w:rPr>
              <w:t>Extent to which governmental institutions/structures across the Pacific have afforded Pacific feminist civil society greater recognition</w:t>
            </w:r>
          </w:p>
          <w:p w14:paraId="18FBFCE5" w14:textId="77777777" w:rsidR="00A16CEA" w:rsidRDefault="00A16CEA" w:rsidP="00017106">
            <w:pPr>
              <w:pStyle w:val="Default"/>
              <w:numPr>
                <w:ilvl w:val="0"/>
                <w:numId w:val="53"/>
              </w:numPr>
              <w:rPr>
                <w:rFonts w:asciiTheme="minorHAnsi" w:hAnsiTheme="minorHAnsi" w:cstheme="minorHAnsi"/>
                <w:sz w:val="20"/>
                <w:szCs w:val="20"/>
              </w:rPr>
            </w:pPr>
            <w:r w:rsidRPr="00D03EC6">
              <w:rPr>
                <w:rFonts w:asciiTheme="minorHAnsi" w:hAnsiTheme="minorHAnsi" w:cstheme="minorHAnsi"/>
                <w:sz w:val="20"/>
                <w:szCs w:val="20"/>
              </w:rPr>
              <w:t>Extent of gender responsive and feminist laws, policies, programs, budgets</w:t>
            </w:r>
          </w:p>
          <w:p w14:paraId="16219B16" w14:textId="77777777" w:rsidR="00A16CEA" w:rsidRPr="00D03EC6" w:rsidRDefault="00A16CEA" w:rsidP="00017106">
            <w:pPr>
              <w:pStyle w:val="Default"/>
              <w:numPr>
                <w:ilvl w:val="0"/>
                <w:numId w:val="53"/>
              </w:numPr>
              <w:rPr>
                <w:rFonts w:cstheme="minorHAnsi"/>
              </w:rPr>
            </w:pPr>
            <w:r w:rsidRPr="00D03EC6">
              <w:rPr>
                <w:rFonts w:asciiTheme="minorHAnsi" w:hAnsiTheme="minorHAnsi" w:cstheme="minorHAnsi"/>
                <w:sz w:val="20"/>
                <w:szCs w:val="20"/>
              </w:rPr>
              <w:t xml:space="preserve">Evidence of gender sensitive </w:t>
            </w:r>
            <w:r w:rsidRPr="00D03EC6">
              <w:rPr>
                <w:rFonts w:asciiTheme="minorHAnsi" w:hAnsiTheme="minorHAnsi" w:cstheme="minorHAnsi"/>
                <w:sz w:val="20"/>
                <w:szCs w:val="20"/>
              </w:rPr>
              <w:lastRenderedPageBreak/>
              <w:t xml:space="preserve">and feminist policy and legislation </w:t>
            </w:r>
          </w:p>
          <w:p w14:paraId="22474FD2" w14:textId="77777777" w:rsidR="00A16CEA" w:rsidRPr="00BE45DB" w:rsidRDefault="00A16CEA" w:rsidP="00017106">
            <w:pPr>
              <w:pStyle w:val="Default"/>
              <w:numPr>
                <w:ilvl w:val="0"/>
                <w:numId w:val="53"/>
              </w:numPr>
              <w:rPr>
                <w:rFonts w:asciiTheme="minorHAnsi" w:hAnsiTheme="minorHAnsi" w:cstheme="minorHAnsi"/>
                <w:i/>
                <w:iCs/>
                <w:sz w:val="20"/>
                <w:szCs w:val="20"/>
              </w:rPr>
            </w:pPr>
            <w:r w:rsidRPr="00D03EC6">
              <w:rPr>
                <w:rFonts w:asciiTheme="minorHAnsi" w:hAnsiTheme="minorHAnsi" w:cstheme="minorHAnsi"/>
                <w:sz w:val="20"/>
                <w:szCs w:val="20"/>
              </w:rPr>
              <w:t xml:space="preserve"> Evidence of duty bearers influenced</w:t>
            </w:r>
          </w:p>
        </w:tc>
        <w:tc>
          <w:tcPr>
            <w:tcW w:w="601" w:type="pct"/>
          </w:tcPr>
          <w:p w14:paraId="24CDE0F1"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402" w:type="pct"/>
            <w:shd w:val="clear" w:color="auto" w:fill="F2F2F2" w:themeFill="background1" w:themeFillShade="F2"/>
          </w:tcPr>
          <w:p w14:paraId="093B3321"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335" w:type="pct"/>
            <w:shd w:val="clear" w:color="auto" w:fill="F2F2F2" w:themeFill="background1" w:themeFillShade="F2"/>
          </w:tcPr>
          <w:p w14:paraId="3F252798" w14:textId="77777777" w:rsidR="00A16CEA" w:rsidRPr="007D469F" w:rsidRDefault="00A16CEA" w:rsidP="00017106">
            <w:pPr>
              <w:pStyle w:val="Default"/>
              <w:numPr>
                <w:ilvl w:val="0"/>
                <w:numId w:val="53"/>
              </w:numPr>
              <w:rPr>
                <w:rFonts w:asciiTheme="minorHAnsi" w:hAnsiTheme="minorHAnsi" w:cstheme="minorHAnsi"/>
                <w:sz w:val="20"/>
                <w:szCs w:val="20"/>
              </w:rPr>
            </w:pPr>
          </w:p>
        </w:tc>
      </w:tr>
      <w:tr w:rsidR="006520A5" w:rsidRPr="007D469F" w14:paraId="0058B4C0" w14:textId="77777777" w:rsidTr="00017106">
        <w:trPr>
          <w:trHeight w:val="403"/>
        </w:trPr>
        <w:tc>
          <w:tcPr>
            <w:tcW w:w="5000" w:type="pct"/>
            <w:gridSpan w:val="8"/>
          </w:tcPr>
          <w:p w14:paraId="5BC06E6A" w14:textId="77777777" w:rsidR="00A16CEA" w:rsidRPr="00BE1966" w:rsidRDefault="00A16CEA" w:rsidP="00017106">
            <w:pPr>
              <w:pStyle w:val="Default"/>
              <w:rPr>
                <w:rFonts w:asciiTheme="minorHAnsi" w:hAnsiTheme="minorHAnsi" w:cstheme="minorHAnsi"/>
                <w:b/>
                <w:sz w:val="28"/>
                <w:szCs w:val="28"/>
              </w:rPr>
            </w:pPr>
            <w:r w:rsidRPr="00BE1966">
              <w:rPr>
                <w:rFonts w:asciiTheme="minorHAnsi" w:hAnsiTheme="minorHAnsi" w:cstheme="minorHAnsi"/>
                <w:b/>
                <w:sz w:val="28"/>
                <w:szCs w:val="28"/>
              </w:rPr>
              <w:t xml:space="preserve">2. Women’s rights realised </w:t>
            </w:r>
          </w:p>
        </w:tc>
      </w:tr>
      <w:tr w:rsidR="00EE0BA3" w:rsidRPr="007D469F" w14:paraId="7F8FEC7C" w14:textId="77777777" w:rsidTr="00017106">
        <w:trPr>
          <w:trHeight w:val="848"/>
        </w:trPr>
        <w:tc>
          <w:tcPr>
            <w:tcW w:w="792" w:type="pct"/>
          </w:tcPr>
          <w:p w14:paraId="06EE86BF" w14:textId="19A2F3E8" w:rsidR="00E3473A" w:rsidRPr="00EE21F5" w:rsidRDefault="00A16CEA" w:rsidP="00017106">
            <w:pPr>
              <w:spacing w:line="252" w:lineRule="auto"/>
              <w:contextualSpacing/>
              <w:jc w:val="both"/>
              <w:rPr>
                <w:rFonts w:cstheme="minorHAnsi"/>
                <w:color w:val="auto"/>
                <w:sz w:val="20"/>
                <w:szCs w:val="20"/>
                <w:lang w:val="en-AU"/>
              </w:rPr>
            </w:pPr>
            <w:r w:rsidRPr="00BE1966">
              <w:rPr>
                <w:rFonts w:cstheme="minorHAnsi"/>
                <w:b/>
                <w:color w:val="auto"/>
                <w:sz w:val="20"/>
                <w:szCs w:val="20"/>
              </w:rPr>
              <w:t>a.</w:t>
            </w:r>
            <w:r w:rsidR="00EE21F5" w:rsidRPr="00BE1966">
              <w:rPr>
                <w:rFonts w:cstheme="minorHAnsi"/>
                <w:b/>
                <w:color w:val="auto"/>
                <w:sz w:val="20"/>
                <w:szCs w:val="20"/>
              </w:rPr>
              <w:t xml:space="preserve"> </w:t>
            </w:r>
            <w:r w:rsidRPr="00BE1966">
              <w:rPr>
                <w:rFonts w:cstheme="minorHAnsi"/>
                <w:b/>
                <w:color w:val="auto"/>
                <w:sz w:val="20"/>
                <w:szCs w:val="20"/>
                <w:lang w:val="en-AU"/>
              </w:rPr>
              <w:t>Women’s</w:t>
            </w:r>
            <w:r w:rsidRPr="00EE21F5">
              <w:rPr>
                <w:rFonts w:cstheme="minorHAnsi"/>
                <w:b/>
                <w:bCs/>
                <w:color w:val="auto"/>
                <w:sz w:val="20"/>
                <w:szCs w:val="20"/>
                <w:lang w:val="en-AU"/>
              </w:rPr>
              <w:t xml:space="preserve"> health</w:t>
            </w:r>
            <w:r w:rsidRPr="00EE21F5">
              <w:rPr>
                <w:rFonts w:cstheme="minorHAnsi"/>
                <w:color w:val="auto"/>
                <w:sz w:val="20"/>
                <w:szCs w:val="20"/>
                <w:lang w:val="en-AU"/>
              </w:rPr>
              <w:t xml:space="preserve"> – </w:t>
            </w:r>
            <w:r w:rsidR="00E3473A" w:rsidRPr="00EE21F5">
              <w:rPr>
                <w:rFonts w:cstheme="minorHAnsi"/>
                <w:color w:val="auto"/>
                <w:sz w:val="20"/>
                <w:szCs w:val="20"/>
                <w:lang w:val="en-AU"/>
              </w:rPr>
              <w:t>Women and girls have improved access to quality health care services, including sexual and reproductive health, through addressing gender inequality that underpins poor health outcomes.</w:t>
            </w:r>
          </w:p>
          <w:p w14:paraId="661ACDDD" w14:textId="277F5399" w:rsidR="00A16CEA" w:rsidRPr="00EE21F5" w:rsidRDefault="00A16CEA" w:rsidP="00017106">
            <w:pPr>
              <w:pStyle w:val="Default"/>
              <w:rPr>
                <w:rFonts w:asciiTheme="minorHAnsi" w:hAnsiTheme="minorHAnsi" w:cstheme="minorHAnsi"/>
                <w:color w:val="auto"/>
                <w:sz w:val="20"/>
                <w:szCs w:val="20"/>
              </w:rPr>
            </w:pPr>
          </w:p>
        </w:tc>
        <w:tc>
          <w:tcPr>
            <w:tcW w:w="743" w:type="pct"/>
          </w:tcPr>
          <w:p w14:paraId="2D588642" w14:textId="77777777" w:rsidR="00A16CEA" w:rsidRPr="007D469F" w:rsidRDefault="00A16CEA" w:rsidP="00017106">
            <w:pPr>
              <w:pStyle w:val="Default"/>
              <w:numPr>
                <w:ilvl w:val="0"/>
                <w:numId w:val="54"/>
              </w:numPr>
              <w:rPr>
                <w:rFonts w:asciiTheme="minorHAnsi" w:hAnsiTheme="minorHAnsi" w:cstheme="minorHAnsi"/>
                <w:color w:val="auto"/>
                <w:sz w:val="20"/>
                <w:szCs w:val="20"/>
              </w:rPr>
            </w:pPr>
            <w:r w:rsidRPr="007D469F">
              <w:rPr>
                <w:rFonts w:asciiTheme="minorHAnsi" w:hAnsiTheme="minorHAnsi" w:cstheme="minorHAnsi"/>
                <w:color w:val="auto"/>
                <w:sz w:val="20"/>
                <w:szCs w:val="20"/>
              </w:rPr>
              <w:t>% improvement in female life expectancy at birth</w:t>
            </w:r>
          </w:p>
          <w:p w14:paraId="38235437" w14:textId="77777777" w:rsidR="00A16CEA" w:rsidRPr="007D469F" w:rsidRDefault="00A16CEA" w:rsidP="00017106">
            <w:pPr>
              <w:pStyle w:val="Default"/>
              <w:numPr>
                <w:ilvl w:val="0"/>
                <w:numId w:val="54"/>
              </w:numPr>
              <w:rPr>
                <w:rFonts w:asciiTheme="minorHAnsi" w:hAnsiTheme="minorHAnsi" w:cstheme="minorHAnsi"/>
                <w:color w:val="auto"/>
                <w:sz w:val="20"/>
                <w:szCs w:val="20"/>
              </w:rPr>
            </w:pPr>
            <w:r w:rsidRPr="007D469F">
              <w:rPr>
                <w:rFonts w:asciiTheme="minorHAnsi" w:hAnsiTheme="minorHAnsi" w:cstheme="minorHAnsi"/>
                <w:color w:val="auto"/>
                <w:sz w:val="20"/>
                <w:szCs w:val="20"/>
              </w:rPr>
              <w:t>Proportion of women who have their needs for family planning satisfied</w:t>
            </w:r>
          </w:p>
          <w:p w14:paraId="3E628B56" w14:textId="1C1FC8E7" w:rsidR="00A16CEA" w:rsidRPr="007D469F" w:rsidRDefault="00A16CEA" w:rsidP="00017106">
            <w:pPr>
              <w:pStyle w:val="Default"/>
              <w:numPr>
                <w:ilvl w:val="0"/>
                <w:numId w:val="54"/>
              </w:numPr>
              <w:rPr>
                <w:rFonts w:asciiTheme="minorHAnsi" w:hAnsiTheme="minorHAnsi" w:cstheme="minorHAnsi"/>
                <w:color w:val="auto"/>
                <w:sz w:val="20"/>
                <w:szCs w:val="20"/>
              </w:rPr>
            </w:pPr>
            <w:r w:rsidRPr="007D469F">
              <w:rPr>
                <w:rFonts w:asciiTheme="minorHAnsi" w:hAnsiTheme="minorHAnsi" w:cstheme="minorHAnsi"/>
                <w:color w:val="auto"/>
                <w:sz w:val="20"/>
                <w:szCs w:val="20"/>
              </w:rPr>
              <w:t>Proportion of births attended by a skilled health personnel</w:t>
            </w:r>
          </w:p>
        </w:tc>
        <w:tc>
          <w:tcPr>
            <w:tcW w:w="743" w:type="pct"/>
          </w:tcPr>
          <w:p w14:paraId="65883569" w14:textId="77777777" w:rsidR="00A16CEA" w:rsidRPr="007D469F" w:rsidRDefault="00A16CEA" w:rsidP="00017106">
            <w:pPr>
              <w:pStyle w:val="Default"/>
              <w:numPr>
                <w:ilvl w:val="0"/>
                <w:numId w:val="53"/>
              </w:numPr>
              <w:rPr>
                <w:rFonts w:asciiTheme="minorHAnsi" w:hAnsiTheme="minorHAnsi" w:cstheme="minorHAnsi"/>
                <w:i/>
                <w:iCs/>
                <w:sz w:val="20"/>
                <w:szCs w:val="20"/>
              </w:rPr>
            </w:pPr>
            <w:r w:rsidRPr="007D469F">
              <w:rPr>
                <w:rFonts w:asciiTheme="minorHAnsi" w:hAnsiTheme="minorHAnsi" w:cstheme="minorHAnsi"/>
                <w:sz w:val="20"/>
                <w:szCs w:val="20"/>
              </w:rPr>
              <w:t>Improvement in the extent to which health expenditure and programmes address the needs and priorities of Pacific women</w:t>
            </w:r>
          </w:p>
          <w:p w14:paraId="3575EED0" w14:textId="77777777" w:rsidR="00A16CEA" w:rsidRPr="007D469F" w:rsidRDefault="00A16CEA" w:rsidP="00017106">
            <w:pPr>
              <w:pStyle w:val="Default"/>
              <w:numPr>
                <w:ilvl w:val="0"/>
                <w:numId w:val="53"/>
              </w:numPr>
              <w:rPr>
                <w:rFonts w:asciiTheme="minorHAnsi" w:hAnsiTheme="minorHAnsi" w:cstheme="minorHAnsi"/>
                <w:i/>
                <w:iCs/>
                <w:sz w:val="20"/>
                <w:szCs w:val="20"/>
              </w:rPr>
            </w:pPr>
            <w:r w:rsidRPr="007D469F">
              <w:rPr>
                <w:rFonts w:asciiTheme="minorHAnsi" w:hAnsiTheme="minorHAnsi" w:cstheme="minorHAnsi"/>
                <w:sz w:val="20"/>
                <w:szCs w:val="20"/>
              </w:rPr>
              <w:t>Increase accessibility and utilisation of health services for women and girls</w:t>
            </w:r>
          </w:p>
        </w:tc>
        <w:tc>
          <w:tcPr>
            <w:tcW w:w="680" w:type="pct"/>
          </w:tcPr>
          <w:p w14:paraId="08576A19" w14:textId="77777777" w:rsidR="00A16CEA" w:rsidRPr="007D469F" w:rsidRDefault="00A16CEA" w:rsidP="00017106">
            <w:pPr>
              <w:pStyle w:val="Default"/>
              <w:numPr>
                <w:ilvl w:val="0"/>
                <w:numId w:val="53"/>
              </w:numPr>
              <w:rPr>
                <w:rFonts w:asciiTheme="minorHAnsi" w:hAnsiTheme="minorHAnsi" w:cstheme="minorHAnsi"/>
                <w:i/>
                <w:iCs/>
                <w:sz w:val="20"/>
                <w:szCs w:val="20"/>
              </w:rPr>
            </w:pPr>
            <w:r w:rsidRPr="007D469F">
              <w:rPr>
                <w:rFonts w:asciiTheme="minorHAnsi" w:hAnsiTheme="minorHAnsi" w:cstheme="minorHAnsi"/>
                <w:sz w:val="20"/>
                <w:szCs w:val="20"/>
              </w:rPr>
              <w:t>Extent to which women are empowered to make informed choices to protect their health and rights</w:t>
            </w:r>
          </w:p>
          <w:p w14:paraId="1C8DEDF7" w14:textId="77777777" w:rsidR="00A16CEA" w:rsidRPr="007D469F" w:rsidRDefault="00A16CEA" w:rsidP="00017106">
            <w:pPr>
              <w:pStyle w:val="Default"/>
              <w:numPr>
                <w:ilvl w:val="0"/>
                <w:numId w:val="53"/>
              </w:numPr>
              <w:rPr>
                <w:rFonts w:asciiTheme="minorHAnsi" w:hAnsiTheme="minorHAnsi" w:cstheme="minorHAnsi"/>
                <w:i/>
                <w:iCs/>
                <w:sz w:val="20"/>
                <w:szCs w:val="20"/>
              </w:rPr>
            </w:pPr>
            <w:r w:rsidRPr="007D469F">
              <w:rPr>
                <w:rFonts w:asciiTheme="minorHAnsi" w:hAnsiTheme="minorHAnsi" w:cstheme="minorHAnsi"/>
                <w:sz w:val="20"/>
                <w:szCs w:val="20"/>
              </w:rPr>
              <w:t>Increased understanding by men of women’s health needs and rights</w:t>
            </w:r>
          </w:p>
        </w:tc>
        <w:tc>
          <w:tcPr>
            <w:tcW w:w="703" w:type="pct"/>
          </w:tcPr>
          <w:p w14:paraId="0BEEEF01"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Changes in health legislation/ policy frameworks affecting gender equality</w:t>
            </w:r>
          </w:p>
          <w:p w14:paraId="6853BDC5"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Evidence of the removal of legal and regulatory barriers that prevent women from accessing sexual and reproductive health services</w:t>
            </w:r>
          </w:p>
        </w:tc>
        <w:tc>
          <w:tcPr>
            <w:tcW w:w="601" w:type="pct"/>
          </w:tcPr>
          <w:p w14:paraId="6FA4288C"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402" w:type="pct"/>
            <w:shd w:val="clear" w:color="auto" w:fill="F2F2F2" w:themeFill="background1" w:themeFillShade="F2"/>
          </w:tcPr>
          <w:p w14:paraId="07B477FA"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335" w:type="pct"/>
            <w:shd w:val="clear" w:color="auto" w:fill="F2F2F2" w:themeFill="background1" w:themeFillShade="F2"/>
          </w:tcPr>
          <w:p w14:paraId="316B61B3" w14:textId="77777777" w:rsidR="00A16CEA" w:rsidRPr="007D469F" w:rsidRDefault="00A16CEA" w:rsidP="00017106">
            <w:pPr>
              <w:pStyle w:val="Default"/>
              <w:numPr>
                <w:ilvl w:val="0"/>
                <w:numId w:val="53"/>
              </w:numPr>
              <w:rPr>
                <w:rFonts w:asciiTheme="minorHAnsi" w:hAnsiTheme="minorHAnsi" w:cstheme="minorHAnsi"/>
                <w:sz w:val="20"/>
                <w:szCs w:val="20"/>
              </w:rPr>
            </w:pPr>
          </w:p>
        </w:tc>
      </w:tr>
      <w:tr w:rsidR="00EE0BA3" w:rsidRPr="007D469F" w14:paraId="5A21371A" w14:textId="77777777" w:rsidTr="00017106">
        <w:trPr>
          <w:trHeight w:val="553"/>
        </w:trPr>
        <w:tc>
          <w:tcPr>
            <w:tcW w:w="792" w:type="pct"/>
          </w:tcPr>
          <w:p w14:paraId="646E2608" w14:textId="15BDE6E3" w:rsidR="00556A9F" w:rsidRDefault="00A16CEA" w:rsidP="00017106">
            <w:pPr>
              <w:spacing w:line="252" w:lineRule="auto"/>
              <w:contextualSpacing/>
              <w:jc w:val="both"/>
            </w:pPr>
            <w:r w:rsidRPr="00BE1966">
              <w:rPr>
                <w:rFonts w:cstheme="minorHAnsi"/>
                <w:b/>
                <w:color w:val="000000"/>
                <w:sz w:val="20"/>
                <w:szCs w:val="20"/>
              </w:rPr>
              <w:t>b. Women’s</w:t>
            </w:r>
            <w:r w:rsidRPr="003F25CD">
              <w:rPr>
                <w:rFonts w:cstheme="minorHAnsi"/>
                <w:b/>
                <w:bCs/>
                <w:color w:val="000000"/>
                <w:sz w:val="20"/>
                <w:szCs w:val="20"/>
              </w:rPr>
              <w:t xml:space="preserve"> safety</w:t>
            </w:r>
            <w:r w:rsidRPr="00B25A7C">
              <w:rPr>
                <w:rFonts w:cstheme="minorHAnsi"/>
                <w:color w:val="000000"/>
                <w:sz w:val="20"/>
                <w:szCs w:val="20"/>
              </w:rPr>
              <w:t xml:space="preserve"> – </w:t>
            </w:r>
            <w:r w:rsidR="00556A9F" w:rsidRPr="00556A9F">
              <w:rPr>
                <w:rFonts w:cstheme="minorHAnsi"/>
                <w:color w:val="000000"/>
                <w:sz w:val="20"/>
                <w:szCs w:val="20"/>
              </w:rPr>
              <w:t>Survivors of gender-based</w:t>
            </w:r>
            <w:r w:rsidR="00556A9F">
              <w:t xml:space="preserve"> </w:t>
            </w:r>
            <w:r w:rsidR="00556A9F" w:rsidRPr="00556A9F">
              <w:rPr>
                <w:rFonts w:cstheme="minorHAnsi"/>
                <w:color w:val="000000"/>
                <w:sz w:val="20"/>
                <w:szCs w:val="20"/>
              </w:rPr>
              <w:t xml:space="preserve">violence have access to quality support services </w:t>
            </w:r>
            <w:r w:rsidR="00CB0EBA">
              <w:rPr>
                <w:rFonts w:cstheme="minorHAnsi"/>
                <w:color w:val="000000"/>
                <w:sz w:val="20"/>
                <w:szCs w:val="20"/>
              </w:rPr>
              <w:t xml:space="preserve">including in times of disaster </w:t>
            </w:r>
            <w:r w:rsidR="00556A9F" w:rsidRPr="00556A9F">
              <w:rPr>
                <w:rFonts w:cstheme="minorHAnsi"/>
                <w:color w:val="000000"/>
                <w:sz w:val="20"/>
                <w:szCs w:val="20"/>
              </w:rPr>
              <w:t>and Pacific governments and communities work together to address and prevent violence through tackling harmful social and cultural norms.</w:t>
            </w:r>
          </w:p>
          <w:p w14:paraId="23BE8C6E" w14:textId="77777777" w:rsidR="00A16CEA" w:rsidRPr="007D469F" w:rsidRDefault="00A16CEA" w:rsidP="00017106">
            <w:pPr>
              <w:tabs>
                <w:tab w:val="left" w:pos="284"/>
              </w:tabs>
              <w:spacing w:line="280" w:lineRule="exact"/>
              <w:jc w:val="both"/>
              <w:rPr>
                <w:rFonts w:cstheme="minorHAnsi"/>
                <w:sz w:val="20"/>
                <w:szCs w:val="20"/>
              </w:rPr>
            </w:pPr>
          </w:p>
        </w:tc>
        <w:tc>
          <w:tcPr>
            <w:tcW w:w="743" w:type="pct"/>
          </w:tcPr>
          <w:p w14:paraId="601E13E7" w14:textId="77777777" w:rsidR="00A16CEA" w:rsidRDefault="00A16CEA" w:rsidP="00017106">
            <w:pPr>
              <w:pStyle w:val="Default"/>
              <w:numPr>
                <w:ilvl w:val="0"/>
                <w:numId w:val="53"/>
              </w:numPr>
              <w:rPr>
                <w:rFonts w:asciiTheme="minorHAnsi" w:hAnsiTheme="minorHAnsi" w:cstheme="minorHAnsi"/>
                <w:sz w:val="20"/>
                <w:szCs w:val="20"/>
              </w:rPr>
            </w:pPr>
            <w:r>
              <w:rPr>
                <w:rFonts w:asciiTheme="minorHAnsi" w:hAnsiTheme="minorHAnsi" w:cstheme="minorHAnsi"/>
                <w:sz w:val="20"/>
                <w:szCs w:val="20"/>
              </w:rPr>
              <w:lastRenderedPageBreak/>
              <w:t>R</w:t>
            </w:r>
            <w:r w:rsidRPr="00D03EC6">
              <w:rPr>
                <w:rFonts w:asciiTheme="minorHAnsi" w:hAnsiTheme="minorHAnsi" w:cstheme="minorHAnsi"/>
                <w:sz w:val="20"/>
                <w:szCs w:val="20"/>
              </w:rPr>
              <w:t>educed tolerance of violence</w:t>
            </w:r>
          </w:p>
          <w:p w14:paraId="7CEE6ABE" w14:textId="0A6B028A"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Proportion of women and girls subjected to violence in the previous 12 months, by form of violence</w:t>
            </w:r>
          </w:p>
        </w:tc>
        <w:tc>
          <w:tcPr>
            <w:tcW w:w="743" w:type="pct"/>
          </w:tcPr>
          <w:p w14:paraId="6181F574" w14:textId="77777777" w:rsidR="00A16CEA" w:rsidRPr="00017106"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 xml:space="preserve">% improvement in services for </w:t>
            </w:r>
            <w:r w:rsidRPr="00017106">
              <w:rPr>
                <w:rFonts w:asciiTheme="minorHAnsi" w:hAnsiTheme="minorHAnsi" w:cstheme="minorHAnsi"/>
                <w:sz w:val="20"/>
                <w:szCs w:val="20"/>
              </w:rPr>
              <w:t>survivors</w:t>
            </w:r>
          </w:p>
          <w:p w14:paraId="69C784C9" w14:textId="77777777" w:rsidR="00EA139F" w:rsidRPr="00017106" w:rsidRDefault="00EA139F"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improvement in gender and protection services during disasters</w:t>
            </w:r>
          </w:p>
          <w:p w14:paraId="51B25BD9"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Economic costs of violence against women are recognised</w:t>
            </w:r>
          </w:p>
        </w:tc>
        <w:tc>
          <w:tcPr>
            <w:tcW w:w="680" w:type="pct"/>
          </w:tcPr>
          <w:p w14:paraId="427A8593"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 improvement in gender stereotypes and discriminatory attitudes towards women</w:t>
            </w:r>
            <w:r>
              <w:rPr>
                <w:rFonts w:asciiTheme="minorHAnsi" w:hAnsiTheme="minorHAnsi" w:cstheme="minorHAnsi"/>
                <w:sz w:val="20"/>
                <w:szCs w:val="20"/>
              </w:rPr>
              <w:t xml:space="preserve"> amongst the community and the justice system</w:t>
            </w:r>
          </w:p>
          <w:p w14:paraId="716327E6" w14:textId="28A65E23"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 xml:space="preserve">Increase in safer and more secure </w:t>
            </w:r>
            <w:r w:rsidRPr="007D469F">
              <w:rPr>
                <w:rFonts w:asciiTheme="minorHAnsi" w:hAnsiTheme="minorHAnsi" w:cstheme="minorHAnsi"/>
                <w:sz w:val="20"/>
                <w:szCs w:val="20"/>
              </w:rPr>
              <w:lastRenderedPageBreak/>
              <w:t>communities for women and girls</w:t>
            </w:r>
            <w:r w:rsidR="00CA5031">
              <w:rPr>
                <w:rFonts w:asciiTheme="minorHAnsi" w:hAnsiTheme="minorHAnsi" w:cstheme="minorHAnsi"/>
                <w:sz w:val="20"/>
                <w:szCs w:val="20"/>
              </w:rPr>
              <w:t>, including during times of disaster</w:t>
            </w:r>
          </w:p>
        </w:tc>
        <w:tc>
          <w:tcPr>
            <w:tcW w:w="703" w:type="pct"/>
          </w:tcPr>
          <w:p w14:paraId="03FE980C"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lastRenderedPageBreak/>
              <w:t>Changes in legislation/ policy frameworks that strengthen women’s safety</w:t>
            </w:r>
          </w:p>
          <w:p w14:paraId="591BB0A4"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Equitable access to justice by women</w:t>
            </w:r>
          </w:p>
          <w:p w14:paraId="16546AD5"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 xml:space="preserve">Traditional and customary dispute resolution </w:t>
            </w:r>
            <w:r w:rsidRPr="007D469F">
              <w:rPr>
                <w:rFonts w:asciiTheme="minorHAnsi" w:hAnsiTheme="minorHAnsi" w:cstheme="minorHAnsi"/>
                <w:sz w:val="20"/>
                <w:szCs w:val="20"/>
              </w:rPr>
              <w:lastRenderedPageBreak/>
              <w:t>processes protect the rights of women</w:t>
            </w:r>
          </w:p>
        </w:tc>
        <w:tc>
          <w:tcPr>
            <w:tcW w:w="601" w:type="pct"/>
          </w:tcPr>
          <w:p w14:paraId="3F932C65"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402" w:type="pct"/>
            <w:shd w:val="clear" w:color="auto" w:fill="F2F2F2" w:themeFill="background1" w:themeFillShade="F2"/>
          </w:tcPr>
          <w:p w14:paraId="0C1AEF51"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335" w:type="pct"/>
            <w:shd w:val="clear" w:color="auto" w:fill="F2F2F2" w:themeFill="background1" w:themeFillShade="F2"/>
          </w:tcPr>
          <w:p w14:paraId="005BBAFD" w14:textId="77777777" w:rsidR="00A16CEA" w:rsidRPr="007D469F" w:rsidRDefault="00A16CEA" w:rsidP="00017106">
            <w:pPr>
              <w:pStyle w:val="Default"/>
              <w:numPr>
                <w:ilvl w:val="0"/>
                <w:numId w:val="53"/>
              </w:numPr>
              <w:rPr>
                <w:rFonts w:asciiTheme="minorHAnsi" w:hAnsiTheme="minorHAnsi" w:cstheme="minorHAnsi"/>
                <w:sz w:val="20"/>
                <w:szCs w:val="20"/>
              </w:rPr>
            </w:pPr>
          </w:p>
        </w:tc>
      </w:tr>
      <w:tr w:rsidR="00EE0BA3" w:rsidRPr="007D469F" w14:paraId="3FBB9198" w14:textId="77777777" w:rsidTr="00017106">
        <w:trPr>
          <w:trHeight w:val="553"/>
        </w:trPr>
        <w:tc>
          <w:tcPr>
            <w:tcW w:w="792" w:type="pct"/>
          </w:tcPr>
          <w:p w14:paraId="2ED67670" w14:textId="73E54668" w:rsidR="003F25CD" w:rsidRPr="003F25CD" w:rsidRDefault="00A16CEA" w:rsidP="00017106">
            <w:pPr>
              <w:rPr>
                <w:rFonts w:cstheme="minorHAnsi"/>
                <w:color w:val="000000"/>
                <w:sz w:val="20"/>
                <w:szCs w:val="20"/>
              </w:rPr>
            </w:pPr>
            <w:r w:rsidRPr="003F25CD">
              <w:rPr>
                <w:rFonts w:cstheme="minorHAnsi"/>
                <w:b/>
                <w:bCs/>
                <w:color w:val="000000"/>
                <w:sz w:val="20"/>
                <w:szCs w:val="20"/>
              </w:rPr>
              <w:t>c. Women’s economic empowerment</w:t>
            </w:r>
            <w:r w:rsidRPr="003F25CD">
              <w:rPr>
                <w:rFonts w:cstheme="minorHAnsi"/>
                <w:color w:val="000000"/>
                <w:sz w:val="20"/>
                <w:szCs w:val="20"/>
              </w:rPr>
              <w:t xml:space="preserve"> – </w:t>
            </w:r>
            <w:r w:rsidR="003F25CD" w:rsidRPr="003F25CD">
              <w:rPr>
                <w:rFonts w:cstheme="minorHAnsi"/>
                <w:color w:val="000000"/>
                <w:sz w:val="20"/>
                <w:szCs w:val="20"/>
              </w:rPr>
              <w:t xml:space="preserve">Women have more equitable access to </w:t>
            </w:r>
            <w:r w:rsidR="00592CF9">
              <w:rPr>
                <w:rFonts w:cstheme="minorHAnsi"/>
                <w:color w:val="000000"/>
                <w:sz w:val="20"/>
                <w:szCs w:val="20"/>
              </w:rPr>
              <w:t xml:space="preserve">resilient </w:t>
            </w:r>
            <w:r w:rsidR="003F25CD" w:rsidRPr="003F25CD">
              <w:rPr>
                <w:rFonts w:cstheme="minorHAnsi"/>
                <w:color w:val="000000"/>
                <w:sz w:val="20"/>
                <w:szCs w:val="20"/>
              </w:rPr>
              <w:t>economic opportunities and increased voice in economic decision-making.</w:t>
            </w:r>
          </w:p>
          <w:p w14:paraId="474BCD51" w14:textId="748A6254" w:rsidR="00A16CEA" w:rsidRPr="00445671" w:rsidRDefault="00A16CEA" w:rsidP="00017106">
            <w:pPr>
              <w:pStyle w:val="Default"/>
              <w:rPr>
                <w:rFonts w:asciiTheme="minorHAnsi" w:hAnsiTheme="minorHAnsi" w:cstheme="minorHAnsi"/>
                <w:sz w:val="20"/>
                <w:szCs w:val="20"/>
              </w:rPr>
            </w:pPr>
            <w:r w:rsidRPr="00445671">
              <w:rPr>
                <w:rFonts w:asciiTheme="minorHAnsi" w:hAnsiTheme="minorHAnsi" w:cstheme="minorHAnsi"/>
                <w:sz w:val="20"/>
                <w:szCs w:val="20"/>
              </w:rPr>
              <w:t>.</w:t>
            </w:r>
          </w:p>
        </w:tc>
        <w:tc>
          <w:tcPr>
            <w:tcW w:w="743" w:type="pct"/>
          </w:tcPr>
          <w:p w14:paraId="421081BB"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 xml:space="preserve">% of female beneficiaries who have </w:t>
            </w:r>
            <w:r>
              <w:rPr>
                <w:rFonts w:asciiTheme="minorHAnsi" w:hAnsiTheme="minorHAnsi" w:cstheme="minorHAnsi"/>
                <w:sz w:val="20"/>
                <w:szCs w:val="20"/>
              </w:rPr>
              <w:t xml:space="preserve">a </w:t>
            </w:r>
            <w:r w:rsidRPr="007D469F">
              <w:rPr>
                <w:rFonts w:asciiTheme="minorHAnsi" w:hAnsiTheme="minorHAnsi" w:cstheme="minorHAnsi"/>
                <w:sz w:val="20"/>
                <w:szCs w:val="20"/>
              </w:rPr>
              <w:t xml:space="preserve">viable source of income </w:t>
            </w:r>
          </w:p>
          <w:p w14:paraId="0E4DAC97" w14:textId="77777777" w:rsidR="00A16CEA" w:rsidRPr="007D469F" w:rsidRDefault="00A16CEA" w:rsidP="00017106">
            <w:pPr>
              <w:pStyle w:val="Default"/>
              <w:numPr>
                <w:ilvl w:val="0"/>
                <w:numId w:val="53"/>
              </w:numPr>
              <w:rPr>
                <w:rFonts w:asciiTheme="minorHAnsi" w:hAnsiTheme="minorHAnsi" w:cstheme="minorHAnsi"/>
                <w:color w:val="auto"/>
                <w:sz w:val="20"/>
                <w:szCs w:val="20"/>
              </w:rPr>
            </w:pPr>
            <w:r w:rsidRPr="007D469F">
              <w:rPr>
                <w:rFonts w:asciiTheme="minorHAnsi" w:hAnsiTheme="minorHAnsi" w:cstheme="minorHAnsi"/>
                <w:color w:val="auto"/>
                <w:sz w:val="20"/>
                <w:szCs w:val="20"/>
              </w:rPr>
              <w:t>Gender gap in wages by occupation</w:t>
            </w:r>
          </w:p>
        </w:tc>
        <w:tc>
          <w:tcPr>
            <w:tcW w:w="743" w:type="pct"/>
          </w:tcPr>
          <w:p w14:paraId="54E2E589" w14:textId="77777777"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of property owned or controlled by male beneficiaries and by female beneficiaries</w:t>
            </w:r>
          </w:p>
          <w:p w14:paraId="1F8C99F4" w14:textId="77777777"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difference in income levels between female and male headed households</w:t>
            </w:r>
          </w:p>
          <w:p w14:paraId="7FC2DC4E" w14:textId="77777777"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xml:space="preserve">% of women who have control or joint control over family income and farm products </w:t>
            </w:r>
          </w:p>
          <w:p w14:paraId="02C0CCC2" w14:textId="77777777" w:rsidR="00376465" w:rsidRPr="00017106" w:rsidRDefault="00376465"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 of women in leadership roles for disaster planning and climate adaptation.</w:t>
            </w:r>
          </w:p>
          <w:p w14:paraId="6FFAEFAB" w14:textId="397BDF7B" w:rsidR="00376465" w:rsidRPr="00017106" w:rsidRDefault="00376465" w:rsidP="00017106">
            <w:pPr>
              <w:pStyle w:val="Default"/>
              <w:numPr>
                <w:ilvl w:val="0"/>
                <w:numId w:val="53"/>
              </w:numPr>
              <w:rPr>
                <w:rFonts w:asciiTheme="minorHAnsi" w:hAnsiTheme="minorHAnsi" w:cstheme="minorHAnsi"/>
                <w:sz w:val="20"/>
                <w:szCs w:val="20"/>
              </w:rPr>
            </w:pPr>
            <w:r w:rsidRPr="00017106">
              <w:rPr>
                <w:rFonts w:cstheme="minorHAnsi"/>
                <w:sz w:val="20"/>
                <w:szCs w:val="20"/>
              </w:rPr>
              <w:t>% of women accessing agriculture and fisheries support services</w:t>
            </w:r>
          </w:p>
        </w:tc>
        <w:tc>
          <w:tcPr>
            <w:tcW w:w="680" w:type="pct"/>
          </w:tcPr>
          <w:p w14:paraId="08C95EA6" w14:textId="77777777" w:rsidR="00A16CEA" w:rsidRPr="00017106" w:rsidRDefault="00A16CEA" w:rsidP="00017106">
            <w:pPr>
              <w:pStyle w:val="Default"/>
              <w:numPr>
                <w:ilvl w:val="0"/>
                <w:numId w:val="53"/>
              </w:numPr>
              <w:rPr>
                <w:rFonts w:asciiTheme="minorHAnsi" w:hAnsiTheme="minorHAnsi" w:cstheme="minorHAnsi"/>
                <w:sz w:val="20"/>
                <w:szCs w:val="20"/>
              </w:rPr>
            </w:pPr>
            <w:r w:rsidRPr="00017106">
              <w:rPr>
                <w:rFonts w:asciiTheme="minorHAnsi" w:hAnsiTheme="minorHAnsi" w:cstheme="minorHAnsi"/>
                <w:sz w:val="20"/>
                <w:szCs w:val="20"/>
              </w:rPr>
              <w:t>evidence of equitable sharing of household work between women and men</w:t>
            </w:r>
          </w:p>
          <w:p w14:paraId="3040AC98" w14:textId="018888E7" w:rsidR="00A16CEA" w:rsidRPr="00017106" w:rsidRDefault="00A16CEA" w:rsidP="00017106">
            <w:pPr>
              <w:pStyle w:val="Default"/>
              <w:numPr>
                <w:ilvl w:val="0"/>
                <w:numId w:val="53"/>
              </w:numPr>
              <w:rPr>
                <w:rFonts w:asciiTheme="minorHAnsi" w:hAnsiTheme="minorHAnsi" w:cstheme="minorHAnsi"/>
                <w:i/>
                <w:iCs/>
                <w:sz w:val="20"/>
                <w:szCs w:val="20"/>
              </w:rPr>
            </w:pPr>
            <w:r w:rsidRPr="00017106">
              <w:rPr>
                <w:rFonts w:asciiTheme="minorHAnsi" w:hAnsiTheme="minorHAnsi" w:cstheme="minorHAnsi"/>
                <w:sz w:val="20"/>
                <w:szCs w:val="20"/>
              </w:rPr>
              <w:t>Increased awareness amongst men of the importance of economically empowered women in their community</w:t>
            </w:r>
            <w:r w:rsidR="00E854E9" w:rsidRPr="00017106">
              <w:rPr>
                <w:rFonts w:asciiTheme="minorHAnsi" w:hAnsiTheme="minorHAnsi" w:cstheme="minorHAnsi"/>
                <w:sz w:val="20"/>
                <w:szCs w:val="20"/>
              </w:rPr>
              <w:t xml:space="preserve"> </w:t>
            </w:r>
            <w:r w:rsidR="00E854E9" w:rsidRPr="00017106">
              <w:rPr>
                <w:rFonts w:cstheme="minorHAnsi"/>
                <w:sz w:val="20"/>
                <w:szCs w:val="20"/>
              </w:rPr>
              <w:t>and their role in resilience building</w:t>
            </w:r>
          </w:p>
        </w:tc>
        <w:tc>
          <w:tcPr>
            <w:tcW w:w="703" w:type="pct"/>
          </w:tcPr>
          <w:p w14:paraId="3C2A1617" w14:textId="77777777" w:rsidR="00A16CEA"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t>Changes in legislation/ policy that promotes women’s economic empowerment</w:t>
            </w:r>
          </w:p>
          <w:p w14:paraId="359E4626" w14:textId="77777777" w:rsidR="00A16CEA" w:rsidRPr="007D469F" w:rsidRDefault="00A16CEA" w:rsidP="00017106">
            <w:pPr>
              <w:pStyle w:val="Default"/>
              <w:ind w:left="360"/>
              <w:rPr>
                <w:rFonts w:asciiTheme="minorHAnsi" w:hAnsiTheme="minorHAnsi" w:cstheme="minorHAnsi"/>
                <w:sz w:val="20"/>
                <w:szCs w:val="20"/>
              </w:rPr>
            </w:pPr>
          </w:p>
        </w:tc>
        <w:tc>
          <w:tcPr>
            <w:tcW w:w="601" w:type="pct"/>
          </w:tcPr>
          <w:p w14:paraId="13F5F8D3"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402" w:type="pct"/>
            <w:shd w:val="clear" w:color="auto" w:fill="F2F2F2" w:themeFill="background1" w:themeFillShade="F2"/>
          </w:tcPr>
          <w:p w14:paraId="5E576209"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335" w:type="pct"/>
            <w:shd w:val="clear" w:color="auto" w:fill="F2F2F2" w:themeFill="background1" w:themeFillShade="F2"/>
          </w:tcPr>
          <w:p w14:paraId="5958D3A0" w14:textId="77777777" w:rsidR="00A16CEA" w:rsidRPr="007D469F" w:rsidRDefault="00A16CEA" w:rsidP="00017106">
            <w:pPr>
              <w:pStyle w:val="Default"/>
              <w:numPr>
                <w:ilvl w:val="0"/>
                <w:numId w:val="53"/>
              </w:numPr>
              <w:rPr>
                <w:rFonts w:asciiTheme="minorHAnsi" w:hAnsiTheme="minorHAnsi" w:cstheme="minorHAnsi"/>
                <w:sz w:val="20"/>
                <w:szCs w:val="20"/>
              </w:rPr>
            </w:pPr>
          </w:p>
        </w:tc>
      </w:tr>
      <w:tr w:rsidR="006520A5" w:rsidRPr="007D469F" w14:paraId="722A5EC9" w14:textId="77777777" w:rsidTr="00017106">
        <w:trPr>
          <w:trHeight w:val="414"/>
        </w:trPr>
        <w:tc>
          <w:tcPr>
            <w:tcW w:w="5000" w:type="pct"/>
            <w:gridSpan w:val="8"/>
          </w:tcPr>
          <w:p w14:paraId="19CD4059" w14:textId="0AED34DC" w:rsidR="00A16CEA" w:rsidRPr="00BE1966" w:rsidRDefault="00A16CEA" w:rsidP="00017106">
            <w:pPr>
              <w:pStyle w:val="Default"/>
              <w:rPr>
                <w:rFonts w:asciiTheme="minorHAnsi" w:hAnsiTheme="minorHAnsi" w:cstheme="minorHAnsi"/>
                <w:b/>
                <w:sz w:val="28"/>
                <w:szCs w:val="28"/>
              </w:rPr>
            </w:pPr>
            <w:r w:rsidRPr="00BE1966">
              <w:rPr>
                <w:rFonts w:asciiTheme="minorHAnsi" w:hAnsiTheme="minorHAnsi" w:cstheme="minorHAnsi"/>
                <w:b/>
                <w:sz w:val="28"/>
                <w:szCs w:val="28"/>
              </w:rPr>
              <w:t xml:space="preserve">3. </w:t>
            </w:r>
            <w:r w:rsidR="009F530B" w:rsidRPr="00BE1966">
              <w:rPr>
                <w:rFonts w:asciiTheme="minorHAnsi" w:hAnsiTheme="minorHAnsi" w:cstheme="minorHAnsi"/>
                <w:b/>
                <w:sz w:val="28"/>
                <w:szCs w:val="28"/>
              </w:rPr>
              <w:t>Regional partners supported to increase Pacific ownership and effectiveness of regional gender equality efforts</w:t>
            </w:r>
          </w:p>
        </w:tc>
      </w:tr>
      <w:tr w:rsidR="00EE0BA3" w:rsidRPr="007D469F" w14:paraId="37B3AC65" w14:textId="77777777" w:rsidTr="00017106">
        <w:trPr>
          <w:trHeight w:val="553"/>
        </w:trPr>
        <w:tc>
          <w:tcPr>
            <w:tcW w:w="792" w:type="pct"/>
          </w:tcPr>
          <w:p w14:paraId="5E8337A9" w14:textId="77777777" w:rsidR="00A16CEA" w:rsidRPr="00BE1966" w:rsidRDefault="00A16CEA" w:rsidP="00017106">
            <w:pPr>
              <w:tabs>
                <w:tab w:val="left" w:pos="284"/>
              </w:tabs>
              <w:spacing w:line="280" w:lineRule="exact"/>
              <w:rPr>
                <w:rFonts w:cstheme="minorHAnsi"/>
                <w:color w:val="000000"/>
                <w:sz w:val="20"/>
                <w:szCs w:val="20"/>
              </w:rPr>
            </w:pPr>
            <w:r w:rsidRPr="00BE1966">
              <w:rPr>
                <w:rFonts w:cstheme="minorHAnsi"/>
                <w:color w:val="000000"/>
                <w:sz w:val="20"/>
                <w:szCs w:val="20"/>
              </w:rPr>
              <w:t xml:space="preserve">a. Opportunities for Civil Society, government and </w:t>
            </w:r>
            <w:r w:rsidRPr="00BE1966">
              <w:rPr>
                <w:rFonts w:cstheme="minorHAnsi"/>
                <w:color w:val="000000"/>
                <w:sz w:val="20"/>
                <w:szCs w:val="20"/>
              </w:rPr>
              <w:lastRenderedPageBreak/>
              <w:t>intergovernmental collaboration are facilitated.</w:t>
            </w:r>
          </w:p>
          <w:p w14:paraId="6AFB24EF" w14:textId="77777777" w:rsidR="00A16CEA" w:rsidRPr="00BE1966" w:rsidRDefault="00A16CEA" w:rsidP="00017106">
            <w:pPr>
              <w:pStyle w:val="Default"/>
              <w:rPr>
                <w:rFonts w:asciiTheme="minorHAnsi" w:hAnsiTheme="minorHAnsi" w:cstheme="minorHAnsi"/>
                <w:sz w:val="20"/>
                <w:szCs w:val="20"/>
                <w:highlight w:val="yellow"/>
              </w:rPr>
            </w:pPr>
          </w:p>
        </w:tc>
        <w:tc>
          <w:tcPr>
            <w:tcW w:w="743" w:type="pct"/>
          </w:tcPr>
          <w:p w14:paraId="3FC4DD29"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lastRenderedPageBreak/>
              <w:t xml:space="preserve">Strengthened capacity of civil </w:t>
            </w:r>
            <w:r w:rsidRPr="007D469F">
              <w:rPr>
                <w:rFonts w:asciiTheme="minorHAnsi" w:hAnsiTheme="minorHAnsi" w:cstheme="minorHAnsi"/>
                <w:sz w:val="20"/>
                <w:szCs w:val="20"/>
              </w:rPr>
              <w:lastRenderedPageBreak/>
              <w:t xml:space="preserve">society, </w:t>
            </w:r>
            <w:proofErr w:type="gramStart"/>
            <w:r w:rsidRPr="007D469F">
              <w:rPr>
                <w:rFonts w:asciiTheme="minorHAnsi" w:hAnsiTheme="minorHAnsi" w:cstheme="minorHAnsi"/>
                <w:sz w:val="20"/>
                <w:szCs w:val="20"/>
              </w:rPr>
              <w:t>government</w:t>
            </w:r>
            <w:proofErr w:type="gramEnd"/>
            <w:r w:rsidRPr="007D469F">
              <w:rPr>
                <w:rFonts w:asciiTheme="minorHAnsi" w:hAnsiTheme="minorHAnsi" w:cstheme="minorHAnsi"/>
                <w:sz w:val="20"/>
                <w:szCs w:val="20"/>
              </w:rPr>
              <w:t xml:space="preserve"> and intergovernmental agencies to collaborate and respond to regional gender equity needs and priorities</w:t>
            </w:r>
          </w:p>
        </w:tc>
        <w:tc>
          <w:tcPr>
            <w:tcW w:w="743" w:type="pct"/>
          </w:tcPr>
          <w:p w14:paraId="7E653CF1"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lastRenderedPageBreak/>
              <w:t xml:space="preserve">Enhanced collaboration </w:t>
            </w:r>
            <w:r w:rsidRPr="007D469F">
              <w:rPr>
                <w:rFonts w:asciiTheme="minorHAnsi" w:hAnsiTheme="minorHAnsi" w:cstheme="minorHAnsi"/>
                <w:sz w:val="20"/>
                <w:szCs w:val="20"/>
              </w:rPr>
              <w:lastRenderedPageBreak/>
              <w:t xml:space="preserve">between civil society, </w:t>
            </w:r>
            <w:proofErr w:type="gramStart"/>
            <w:r w:rsidRPr="007D469F">
              <w:rPr>
                <w:rFonts w:asciiTheme="minorHAnsi" w:hAnsiTheme="minorHAnsi" w:cstheme="minorHAnsi"/>
                <w:sz w:val="20"/>
                <w:szCs w:val="20"/>
              </w:rPr>
              <w:t>government</w:t>
            </w:r>
            <w:proofErr w:type="gramEnd"/>
            <w:r w:rsidRPr="007D469F">
              <w:rPr>
                <w:rFonts w:asciiTheme="minorHAnsi" w:hAnsiTheme="minorHAnsi" w:cstheme="minorHAnsi"/>
                <w:sz w:val="20"/>
                <w:szCs w:val="20"/>
              </w:rPr>
              <w:t xml:space="preserve"> and intergovernmental agencies to facilitate women</w:t>
            </w:r>
            <w:r>
              <w:rPr>
                <w:rFonts w:asciiTheme="minorHAnsi" w:hAnsiTheme="minorHAnsi" w:cstheme="minorHAnsi"/>
                <w:sz w:val="20"/>
                <w:szCs w:val="20"/>
              </w:rPr>
              <w:t xml:space="preserve">’s </w:t>
            </w:r>
            <w:r w:rsidRPr="007D469F">
              <w:rPr>
                <w:rFonts w:asciiTheme="minorHAnsi" w:hAnsiTheme="minorHAnsi" w:cstheme="minorHAnsi"/>
                <w:sz w:val="20"/>
                <w:szCs w:val="20"/>
              </w:rPr>
              <w:t>equitable access to resources and assets</w:t>
            </w:r>
          </w:p>
        </w:tc>
        <w:tc>
          <w:tcPr>
            <w:tcW w:w="680" w:type="pct"/>
          </w:tcPr>
          <w:p w14:paraId="0CDFDB98"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lastRenderedPageBreak/>
              <w:t xml:space="preserve">Enhanced collaboration </w:t>
            </w:r>
            <w:r w:rsidRPr="007D469F">
              <w:rPr>
                <w:rFonts w:asciiTheme="minorHAnsi" w:hAnsiTheme="minorHAnsi" w:cstheme="minorHAnsi"/>
                <w:sz w:val="20"/>
                <w:szCs w:val="20"/>
              </w:rPr>
              <w:lastRenderedPageBreak/>
              <w:t xml:space="preserve">between civil society, </w:t>
            </w:r>
            <w:proofErr w:type="gramStart"/>
            <w:r w:rsidRPr="007D469F">
              <w:rPr>
                <w:rFonts w:asciiTheme="minorHAnsi" w:hAnsiTheme="minorHAnsi" w:cstheme="minorHAnsi"/>
                <w:sz w:val="20"/>
                <w:szCs w:val="20"/>
              </w:rPr>
              <w:t>government</w:t>
            </w:r>
            <w:proofErr w:type="gramEnd"/>
            <w:r w:rsidRPr="007D469F">
              <w:rPr>
                <w:rFonts w:asciiTheme="minorHAnsi" w:hAnsiTheme="minorHAnsi" w:cstheme="minorHAnsi"/>
                <w:sz w:val="20"/>
                <w:szCs w:val="20"/>
              </w:rPr>
              <w:t xml:space="preserve"> and intergovernmental agencies to change attitudes and social norms</w:t>
            </w:r>
          </w:p>
        </w:tc>
        <w:tc>
          <w:tcPr>
            <w:tcW w:w="703" w:type="pct"/>
          </w:tcPr>
          <w:p w14:paraId="02F81B62" w14:textId="77777777" w:rsidR="00A16CEA" w:rsidRPr="007D469F" w:rsidRDefault="00A16CEA" w:rsidP="00017106">
            <w:pPr>
              <w:pStyle w:val="Default"/>
              <w:numPr>
                <w:ilvl w:val="0"/>
                <w:numId w:val="53"/>
              </w:numPr>
              <w:rPr>
                <w:rFonts w:asciiTheme="minorHAnsi" w:hAnsiTheme="minorHAnsi" w:cstheme="minorHAnsi"/>
                <w:sz w:val="20"/>
                <w:szCs w:val="20"/>
              </w:rPr>
            </w:pPr>
            <w:r w:rsidRPr="007D469F">
              <w:rPr>
                <w:rFonts w:asciiTheme="minorHAnsi" w:hAnsiTheme="minorHAnsi" w:cstheme="minorHAnsi"/>
                <w:sz w:val="20"/>
                <w:szCs w:val="20"/>
              </w:rPr>
              <w:lastRenderedPageBreak/>
              <w:t xml:space="preserve">Enhanced collaboration </w:t>
            </w:r>
            <w:r w:rsidRPr="007D469F">
              <w:rPr>
                <w:rFonts w:asciiTheme="minorHAnsi" w:hAnsiTheme="minorHAnsi" w:cstheme="minorHAnsi"/>
                <w:sz w:val="20"/>
                <w:szCs w:val="20"/>
              </w:rPr>
              <w:lastRenderedPageBreak/>
              <w:t xml:space="preserve">between civil society, </w:t>
            </w:r>
            <w:proofErr w:type="gramStart"/>
            <w:r w:rsidRPr="007D469F">
              <w:rPr>
                <w:rFonts w:asciiTheme="minorHAnsi" w:hAnsiTheme="minorHAnsi" w:cstheme="minorHAnsi"/>
                <w:sz w:val="20"/>
                <w:szCs w:val="20"/>
              </w:rPr>
              <w:t>government</w:t>
            </w:r>
            <w:proofErr w:type="gramEnd"/>
            <w:r w:rsidRPr="007D469F">
              <w:rPr>
                <w:rFonts w:asciiTheme="minorHAnsi" w:hAnsiTheme="minorHAnsi" w:cstheme="minorHAnsi"/>
                <w:sz w:val="20"/>
                <w:szCs w:val="20"/>
              </w:rPr>
              <w:t xml:space="preserve"> and intergovernmental agencies to promote women’s rights and enhance equal opportunity</w:t>
            </w:r>
          </w:p>
        </w:tc>
        <w:tc>
          <w:tcPr>
            <w:tcW w:w="601" w:type="pct"/>
          </w:tcPr>
          <w:p w14:paraId="033F24D2"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402" w:type="pct"/>
            <w:shd w:val="clear" w:color="auto" w:fill="F2F2F2" w:themeFill="background1" w:themeFillShade="F2"/>
          </w:tcPr>
          <w:p w14:paraId="287431D5" w14:textId="77777777" w:rsidR="00A16CEA" w:rsidRPr="007D469F" w:rsidRDefault="00A16CEA" w:rsidP="00017106">
            <w:pPr>
              <w:pStyle w:val="Default"/>
              <w:numPr>
                <w:ilvl w:val="0"/>
                <w:numId w:val="53"/>
              </w:numPr>
              <w:rPr>
                <w:rFonts w:asciiTheme="minorHAnsi" w:hAnsiTheme="minorHAnsi" w:cstheme="minorHAnsi"/>
                <w:sz w:val="20"/>
                <w:szCs w:val="20"/>
              </w:rPr>
            </w:pPr>
          </w:p>
        </w:tc>
        <w:tc>
          <w:tcPr>
            <w:tcW w:w="335" w:type="pct"/>
            <w:shd w:val="clear" w:color="auto" w:fill="F2F2F2" w:themeFill="background1" w:themeFillShade="F2"/>
          </w:tcPr>
          <w:p w14:paraId="0CA882EE" w14:textId="77777777" w:rsidR="00A16CEA" w:rsidRPr="007D469F" w:rsidRDefault="00A16CEA" w:rsidP="00017106">
            <w:pPr>
              <w:pStyle w:val="Default"/>
              <w:numPr>
                <w:ilvl w:val="0"/>
                <w:numId w:val="53"/>
              </w:numPr>
              <w:rPr>
                <w:rFonts w:asciiTheme="minorHAnsi" w:hAnsiTheme="minorHAnsi" w:cstheme="minorHAnsi"/>
                <w:sz w:val="20"/>
                <w:szCs w:val="20"/>
              </w:rPr>
            </w:pPr>
          </w:p>
        </w:tc>
      </w:tr>
      <w:tr w:rsidR="00EE0BA3" w:rsidRPr="007D469F" w14:paraId="5CA9C65E" w14:textId="77777777" w:rsidTr="00017106">
        <w:trPr>
          <w:trHeight w:val="553"/>
        </w:trPr>
        <w:tc>
          <w:tcPr>
            <w:tcW w:w="792" w:type="pct"/>
          </w:tcPr>
          <w:p w14:paraId="02E9608F" w14:textId="10CF0933" w:rsidR="00A16CEA" w:rsidRPr="00BE1966" w:rsidRDefault="00C711E9" w:rsidP="00017106">
            <w:pPr>
              <w:tabs>
                <w:tab w:val="left" w:pos="284"/>
              </w:tabs>
              <w:spacing w:line="280" w:lineRule="exact"/>
              <w:rPr>
                <w:rFonts w:cstheme="minorHAnsi"/>
                <w:color w:val="000000"/>
                <w:sz w:val="20"/>
                <w:szCs w:val="20"/>
              </w:rPr>
            </w:pPr>
            <w:r>
              <w:rPr>
                <w:rFonts w:cstheme="minorHAnsi"/>
                <w:color w:val="000000"/>
                <w:sz w:val="20"/>
                <w:szCs w:val="20"/>
              </w:rPr>
              <w:t>b</w:t>
            </w:r>
            <w:r w:rsidR="00A16CEA" w:rsidRPr="00BE1966">
              <w:rPr>
                <w:rFonts w:cstheme="minorHAnsi"/>
                <w:color w:val="000000"/>
                <w:sz w:val="20"/>
                <w:szCs w:val="20"/>
              </w:rPr>
              <w:t>. Mainstreaming of gender equality through other development programs in all sectors across the Pacific is supported.</w:t>
            </w:r>
          </w:p>
          <w:p w14:paraId="4E29F476" w14:textId="77777777" w:rsidR="00A16CEA" w:rsidRPr="00BE1966" w:rsidRDefault="00A16CEA" w:rsidP="00017106">
            <w:pPr>
              <w:pStyle w:val="Default"/>
              <w:rPr>
                <w:rFonts w:asciiTheme="minorHAnsi" w:hAnsiTheme="minorHAnsi" w:cstheme="minorHAnsi"/>
                <w:sz w:val="20"/>
                <w:szCs w:val="20"/>
                <w:highlight w:val="yellow"/>
              </w:rPr>
            </w:pPr>
          </w:p>
        </w:tc>
        <w:tc>
          <w:tcPr>
            <w:tcW w:w="743" w:type="pct"/>
          </w:tcPr>
          <w:p w14:paraId="3A943AA5" w14:textId="16DB64D7" w:rsidR="00A16CEA" w:rsidRPr="007D469F" w:rsidRDefault="00A16CEA" w:rsidP="00017106">
            <w:pPr>
              <w:pStyle w:val="Default"/>
              <w:numPr>
                <w:ilvl w:val="0"/>
                <w:numId w:val="56"/>
              </w:numPr>
              <w:rPr>
                <w:rFonts w:asciiTheme="minorHAnsi" w:hAnsiTheme="minorHAnsi" w:cstheme="minorHAnsi"/>
                <w:color w:val="auto"/>
                <w:sz w:val="20"/>
                <w:szCs w:val="20"/>
              </w:rPr>
            </w:pPr>
            <w:r w:rsidRPr="007D469F">
              <w:rPr>
                <w:rFonts w:asciiTheme="minorHAnsi" w:hAnsiTheme="minorHAnsi" w:cstheme="minorHAnsi"/>
                <w:color w:val="auto"/>
                <w:sz w:val="20"/>
                <w:szCs w:val="20"/>
              </w:rPr>
              <w:t>Evidence that other development programs include activities to address barriers to gender equality</w:t>
            </w:r>
          </w:p>
        </w:tc>
        <w:tc>
          <w:tcPr>
            <w:tcW w:w="743" w:type="pct"/>
          </w:tcPr>
          <w:p w14:paraId="639AAC5F" w14:textId="77777777" w:rsidR="00A16CEA" w:rsidRPr="007D469F" w:rsidRDefault="00A16CEA" w:rsidP="00017106">
            <w:pPr>
              <w:pStyle w:val="Default"/>
              <w:numPr>
                <w:ilvl w:val="0"/>
                <w:numId w:val="56"/>
              </w:numPr>
              <w:rPr>
                <w:rFonts w:asciiTheme="minorHAnsi" w:hAnsiTheme="minorHAnsi" w:cstheme="minorHAnsi"/>
                <w:i/>
                <w:iCs/>
                <w:sz w:val="20"/>
                <w:szCs w:val="20"/>
              </w:rPr>
            </w:pPr>
            <w:r w:rsidRPr="007D469F">
              <w:rPr>
                <w:rFonts w:asciiTheme="minorHAnsi" w:hAnsiTheme="minorHAnsi" w:cstheme="minorHAnsi"/>
                <w:color w:val="auto"/>
                <w:sz w:val="20"/>
                <w:szCs w:val="20"/>
              </w:rPr>
              <w:t>Evidence that other development programs are promoting women’s access to resources and assets</w:t>
            </w:r>
          </w:p>
        </w:tc>
        <w:tc>
          <w:tcPr>
            <w:tcW w:w="680" w:type="pct"/>
          </w:tcPr>
          <w:p w14:paraId="3FD3AFF3" w14:textId="77777777" w:rsidR="00A16CEA" w:rsidRPr="007D469F" w:rsidRDefault="00A16CEA" w:rsidP="00017106">
            <w:pPr>
              <w:pStyle w:val="Default"/>
              <w:numPr>
                <w:ilvl w:val="0"/>
                <w:numId w:val="56"/>
              </w:numPr>
              <w:rPr>
                <w:rFonts w:asciiTheme="minorHAnsi" w:hAnsiTheme="minorHAnsi" w:cstheme="minorHAnsi"/>
                <w:i/>
                <w:iCs/>
                <w:sz w:val="20"/>
                <w:szCs w:val="20"/>
              </w:rPr>
            </w:pPr>
            <w:r w:rsidRPr="007D469F">
              <w:rPr>
                <w:rFonts w:asciiTheme="minorHAnsi" w:hAnsiTheme="minorHAnsi" w:cstheme="minorHAnsi"/>
                <w:color w:val="auto"/>
                <w:sz w:val="20"/>
                <w:szCs w:val="20"/>
              </w:rPr>
              <w:t>Evidence that other development programs are promoting initiatives to shift social norms and attitudes with respect to gender equality</w:t>
            </w:r>
          </w:p>
        </w:tc>
        <w:tc>
          <w:tcPr>
            <w:tcW w:w="703" w:type="pct"/>
          </w:tcPr>
          <w:p w14:paraId="3711C549" w14:textId="77777777" w:rsidR="00A16CEA" w:rsidRPr="007D469F" w:rsidRDefault="00A16CEA" w:rsidP="00017106">
            <w:pPr>
              <w:pStyle w:val="Default"/>
              <w:numPr>
                <w:ilvl w:val="0"/>
                <w:numId w:val="55"/>
              </w:numPr>
              <w:rPr>
                <w:rFonts w:asciiTheme="minorHAnsi" w:hAnsiTheme="minorHAnsi" w:cstheme="minorHAnsi"/>
                <w:i/>
                <w:iCs/>
                <w:sz w:val="20"/>
                <w:szCs w:val="20"/>
              </w:rPr>
            </w:pPr>
            <w:r w:rsidRPr="007D469F">
              <w:rPr>
                <w:rFonts w:asciiTheme="minorHAnsi" w:hAnsiTheme="minorHAnsi" w:cstheme="minorHAnsi"/>
                <w:color w:val="auto"/>
                <w:sz w:val="20"/>
                <w:szCs w:val="20"/>
              </w:rPr>
              <w:t>Evidence that other development programs are promoting the rights of women and girls</w:t>
            </w:r>
          </w:p>
        </w:tc>
        <w:tc>
          <w:tcPr>
            <w:tcW w:w="601" w:type="pct"/>
          </w:tcPr>
          <w:p w14:paraId="3FCA4A5A" w14:textId="77777777" w:rsidR="00A16CEA" w:rsidRPr="007D469F" w:rsidRDefault="00A16CEA" w:rsidP="00017106">
            <w:pPr>
              <w:pStyle w:val="Default"/>
              <w:numPr>
                <w:ilvl w:val="0"/>
                <w:numId w:val="55"/>
              </w:numPr>
              <w:rPr>
                <w:rFonts w:asciiTheme="minorHAnsi" w:hAnsiTheme="minorHAnsi" w:cstheme="minorHAnsi"/>
                <w:color w:val="auto"/>
                <w:sz w:val="20"/>
                <w:szCs w:val="20"/>
              </w:rPr>
            </w:pPr>
          </w:p>
        </w:tc>
        <w:tc>
          <w:tcPr>
            <w:tcW w:w="402" w:type="pct"/>
            <w:shd w:val="clear" w:color="auto" w:fill="F2F2F2" w:themeFill="background1" w:themeFillShade="F2"/>
          </w:tcPr>
          <w:p w14:paraId="4E932773" w14:textId="77777777" w:rsidR="00A16CEA" w:rsidRPr="007D469F" w:rsidRDefault="00A16CEA" w:rsidP="00017106">
            <w:pPr>
              <w:pStyle w:val="Default"/>
              <w:numPr>
                <w:ilvl w:val="0"/>
                <w:numId w:val="55"/>
              </w:numPr>
              <w:rPr>
                <w:rFonts w:asciiTheme="minorHAnsi" w:hAnsiTheme="minorHAnsi" w:cstheme="minorHAnsi"/>
                <w:color w:val="auto"/>
                <w:sz w:val="20"/>
                <w:szCs w:val="20"/>
              </w:rPr>
            </w:pPr>
          </w:p>
        </w:tc>
        <w:tc>
          <w:tcPr>
            <w:tcW w:w="335" w:type="pct"/>
            <w:shd w:val="clear" w:color="auto" w:fill="F2F2F2" w:themeFill="background1" w:themeFillShade="F2"/>
          </w:tcPr>
          <w:p w14:paraId="7E5D4EED" w14:textId="77777777" w:rsidR="00A16CEA" w:rsidRPr="007D469F" w:rsidRDefault="00A16CEA" w:rsidP="00017106">
            <w:pPr>
              <w:pStyle w:val="Default"/>
              <w:numPr>
                <w:ilvl w:val="0"/>
                <w:numId w:val="55"/>
              </w:numPr>
              <w:rPr>
                <w:rFonts w:asciiTheme="minorHAnsi" w:hAnsiTheme="minorHAnsi" w:cstheme="minorHAnsi"/>
                <w:color w:val="auto"/>
                <w:sz w:val="20"/>
                <w:szCs w:val="20"/>
              </w:rPr>
            </w:pPr>
          </w:p>
        </w:tc>
      </w:tr>
      <w:tr w:rsidR="00E35E2A" w:rsidRPr="007D469F" w14:paraId="5687EB55" w14:textId="77777777" w:rsidTr="00017106">
        <w:trPr>
          <w:trHeight w:val="409"/>
        </w:trPr>
        <w:tc>
          <w:tcPr>
            <w:tcW w:w="792" w:type="pct"/>
          </w:tcPr>
          <w:p w14:paraId="782BF01E" w14:textId="79B83B4F" w:rsidR="00A16CEA" w:rsidRPr="007D469F" w:rsidRDefault="00A16CEA" w:rsidP="00017106">
            <w:pPr>
              <w:pStyle w:val="Default"/>
              <w:rPr>
                <w:rFonts w:asciiTheme="minorHAnsi" w:hAnsiTheme="minorHAnsi" w:cstheme="minorHAnsi"/>
                <w:sz w:val="20"/>
                <w:szCs w:val="20"/>
              </w:rPr>
            </w:pPr>
            <w:r w:rsidRPr="007D469F">
              <w:rPr>
                <w:rFonts w:asciiTheme="minorHAnsi" w:hAnsiTheme="minorHAnsi" w:cstheme="minorHAnsi"/>
                <w:sz w:val="20"/>
                <w:szCs w:val="20"/>
              </w:rPr>
              <w:t>VALUE FOR MONEY</w:t>
            </w:r>
          </w:p>
          <w:p w14:paraId="48A7A549" w14:textId="77777777" w:rsidR="00A16CEA" w:rsidRPr="007D469F" w:rsidRDefault="00A16CEA" w:rsidP="00017106">
            <w:pPr>
              <w:pStyle w:val="Default"/>
              <w:rPr>
                <w:rFonts w:asciiTheme="minorHAnsi" w:hAnsiTheme="minorHAnsi" w:cstheme="minorHAnsi"/>
                <w:sz w:val="20"/>
                <w:szCs w:val="20"/>
              </w:rPr>
            </w:pPr>
          </w:p>
        </w:tc>
        <w:tc>
          <w:tcPr>
            <w:tcW w:w="2870" w:type="pct"/>
            <w:gridSpan w:val="4"/>
          </w:tcPr>
          <w:p w14:paraId="627CBB0F" w14:textId="14E58A55" w:rsidR="00A16CEA" w:rsidRPr="007D469F" w:rsidRDefault="00A16CEA" w:rsidP="00017106">
            <w:pPr>
              <w:pStyle w:val="Default"/>
              <w:rPr>
                <w:rFonts w:asciiTheme="minorHAnsi" w:hAnsiTheme="minorHAnsi" w:cstheme="minorHAnsi"/>
                <w:i/>
                <w:iCs/>
                <w:sz w:val="20"/>
                <w:szCs w:val="20"/>
              </w:rPr>
            </w:pPr>
            <w:r>
              <w:rPr>
                <w:rFonts w:asciiTheme="minorHAnsi" w:hAnsiTheme="minorHAnsi" w:cstheme="minorHAnsi"/>
                <w:color w:val="auto"/>
                <w:sz w:val="20"/>
                <w:szCs w:val="20"/>
              </w:rPr>
              <w:t xml:space="preserve">A Value for Money rubric will need to be developed </w:t>
            </w:r>
            <w:r w:rsidR="008F57EE">
              <w:rPr>
                <w:rFonts w:asciiTheme="minorHAnsi" w:hAnsiTheme="minorHAnsi" w:cstheme="minorHAnsi"/>
                <w:color w:val="auto"/>
                <w:sz w:val="20"/>
                <w:szCs w:val="20"/>
              </w:rPr>
              <w:t>for the whole</w:t>
            </w:r>
            <w:r>
              <w:rPr>
                <w:rFonts w:asciiTheme="minorHAnsi" w:hAnsiTheme="minorHAnsi" w:cstheme="minorHAnsi"/>
                <w:color w:val="auto"/>
                <w:sz w:val="20"/>
                <w:szCs w:val="20"/>
              </w:rPr>
              <w:t xml:space="preserve"> program during the transition phase, drawing on DFAT’s </w:t>
            </w:r>
            <w:r w:rsidRPr="00D03EC6">
              <w:rPr>
                <w:rFonts w:cstheme="minorHAnsi"/>
                <w:i/>
                <w:iCs/>
                <w:sz w:val="20"/>
                <w:szCs w:val="20"/>
              </w:rPr>
              <w:t>Value for Money Principles</w:t>
            </w:r>
            <w:r>
              <w:rPr>
                <w:rFonts w:asciiTheme="minorHAnsi" w:hAnsiTheme="minorHAnsi" w:cstheme="minorHAnsi"/>
                <w:color w:val="auto"/>
                <w:sz w:val="20"/>
                <w:szCs w:val="20"/>
              </w:rPr>
              <w:t xml:space="preserve"> (</w:t>
            </w:r>
            <w:hyperlink r:id="rId15" w:history="1">
              <w:r w:rsidRPr="00B1369C">
                <w:rPr>
                  <w:rStyle w:val="Hyperlink"/>
                  <w:rFonts w:cstheme="minorHAnsi"/>
                  <w:sz w:val="20"/>
                  <w:szCs w:val="20"/>
                </w:rPr>
                <w:t>https://www.dfat.gov.au/aid/who-we-work-with/value-for-money-principles/Pages/value-for-money-principles</w:t>
              </w:r>
            </w:hyperlink>
            <w:r>
              <w:rPr>
                <w:rFonts w:asciiTheme="minorHAnsi" w:hAnsiTheme="minorHAnsi" w:cstheme="minorHAnsi"/>
                <w:color w:val="auto"/>
                <w:sz w:val="20"/>
                <w:szCs w:val="20"/>
              </w:rPr>
              <w:t xml:space="preserve"> )</w:t>
            </w:r>
          </w:p>
        </w:tc>
        <w:tc>
          <w:tcPr>
            <w:tcW w:w="601" w:type="pct"/>
          </w:tcPr>
          <w:p w14:paraId="66210A9C" w14:textId="77777777" w:rsidR="00A16CEA" w:rsidRPr="007D469F" w:rsidRDefault="00A16CEA" w:rsidP="00017106">
            <w:pPr>
              <w:pStyle w:val="Default"/>
              <w:rPr>
                <w:rFonts w:asciiTheme="minorHAnsi" w:hAnsiTheme="minorHAnsi" w:cstheme="minorHAnsi"/>
                <w:i/>
                <w:iCs/>
                <w:sz w:val="20"/>
                <w:szCs w:val="20"/>
              </w:rPr>
            </w:pPr>
          </w:p>
        </w:tc>
        <w:tc>
          <w:tcPr>
            <w:tcW w:w="402" w:type="pct"/>
            <w:shd w:val="clear" w:color="auto" w:fill="F2F2F2" w:themeFill="background1" w:themeFillShade="F2"/>
          </w:tcPr>
          <w:p w14:paraId="1CA0EC8C" w14:textId="77777777" w:rsidR="00A16CEA" w:rsidRPr="007D469F" w:rsidRDefault="00A16CEA" w:rsidP="00017106">
            <w:pPr>
              <w:pStyle w:val="Default"/>
              <w:rPr>
                <w:rFonts w:asciiTheme="minorHAnsi" w:hAnsiTheme="minorHAnsi" w:cstheme="minorHAnsi"/>
                <w:i/>
                <w:iCs/>
                <w:sz w:val="20"/>
                <w:szCs w:val="20"/>
              </w:rPr>
            </w:pPr>
          </w:p>
        </w:tc>
        <w:tc>
          <w:tcPr>
            <w:tcW w:w="335" w:type="pct"/>
            <w:shd w:val="clear" w:color="auto" w:fill="F2F2F2" w:themeFill="background1" w:themeFillShade="F2"/>
          </w:tcPr>
          <w:p w14:paraId="649F8396" w14:textId="77777777" w:rsidR="00A16CEA" w:rsidRPr="007D469F" w:rsidRDefault="00A16CEA" w:rsidP="00017106">
            <w:pPr>
              <w:pStyle w:val="Default"/>
              <w:rPr>
                <w:rFonts w:asciiTheme="minorHAnsi" w:hAnsiTheme="minorHAnsi" w:cstheme="minorHAnsi"/>
                <w:i/>
                <w:iCs/>
                <w:sz w:val="20"/>
                <w:szCs w:val="20"/>
              </w:rPr>
            </w:pPr>
          </w:p>
        </w:tc>
      </w:tr>
    </w:tbl>
    <w:p w14:paraId="375BED8D" w14:textId="408A376F" w:rsidR="00A16CEA" w:rsidRDefault="00017106" w:rsidP="00A16CEA">
      <w:r>
        <w:br w:type="textWrapping" w:clear="all"/>
      </w:r>
    </w:p>
    <w:p w14:paraId="009AE762" w14:textId="77777777" w:rsidR="009105CA" w:rsidRDefault="009105CA" w:rsidP="00A16CEA">
      <w:pPr>
        <w:sectPr w:rsidR="009105CA" w:rsidSect="00BE1966">
          <w:pgSz w:w="16838" w:h="11906" w:orient="landscape" w:code="9"/>
          <w:pgMar w:top="1134" w:right="1560" w:bottom="991" w:left="1418" w:header="425" w:footer="493" w:gutter="0"/>
          <w:cols w:space="397"/>
          <w:titlePg/>
          <w:docGrid w:linePitch="360"/>
        </w:sectPr>
      </w:pPr>
    </w:p>
    <w:p w14:paraId="5CB5139C" w14:textId="02228026" w:rsidR="00A16CEA" w:rsidRDefault="00A16CEA" w:rsidP="00A16CEA"/>
    <w:p w14:paraId="40073D96" w14:textId="77777777" w:rsidR="001C1975" w:rsidRDefault="001C1975" w:rsidP="001C1975">
      <w:pPr>
        <w:spacing w:after="0"/>
        <w:ind w:left="2160" w:right="-1134" w:firstLine="1440"/>
        <w:jc w:val="right"/>
      </w:pPr>
    </w:p>
    <w:p w14:paraId="00CDAC72" w14:textId="6C2B2E86" w:rsidR="000110F6" w:rsidRPr="00F328DA" w:rsidRDefault="00DA2784" w:rsidP="00F328DA">
      <w:pPr>
        <w:pStyle w:val="Heading1"/>
      </w:pPr>
      <w:bookmarkStart w:id="41" w:name="_Toc75535914"/>
      <w:r w:rsidRPr="00F328DA">
        <w:rPr>
          <w:b w:val="0"/>
          <w:bCs w:val="0"/>
        </w:rPr>
        <w:t>ANNEX</w:t>
      </w:r>
      <w:r w:rsidR="00665262">
        <w:t xml:space="preserve"> 2 – six-year evaluation of pacific women shaping pacific development</w:t>
      </w:r>
      <w:bookmarkEnd w:id="41"/>
    </w:p>
    <w:p w14:paraId="2FAB86F7" w14:textId="59537B6A" w:rsidR="000110F6" w:rsidRPr="00C64817" w:rsidRDefault="000110F6" w:rsidP="000110F6">
      <w:pPr>
        <w:pStyle w:val="CommentText"/>
        <w:jc w:val="both"/>
        <w:rPr>
          <w:rFonts w:cstheme="minorHAnsi"/>
          <w:color w:val="auto"/>
          <w:sz w:val="22"/>
          <w:szCs w:val="22"/>
        </w:rPr>
      </w:pPr>
      <w:r w:rsidRPr="00C64817">
        <w:rPr>
          <w:rFonts w:cstheme="minorHAnsi"/>
          <w:color w:val="auto"/>
          <w:sz w:val="22"/>
          <w:szCs w:val="22"/>
        </w:rPr>
        <w:t xml:space="preserve">The Evaluation made 10 recommendations. In its management response, DFAT </w:t>
      </w:r>
      <w:r w:rsidRPr="00C64817">
        <w:rPr>
          <w:rFonts w:eastAsia="MS Mincho" w:cstheme="minorHAnsi"/>
          <w:color w:val="auto"/>
          <w:sz w:val="22"/>
          <w:szCs w:val="22"/>
        </w:rPr>
        <w:t>agreed in full to seven out of 10 recommendations and agreed in part to the remaining three. With one recommendation already completed, the remain 9 recommendations were agreed by DFAT to be pursued through the design process.</w:t>
      </w:r>
      <w:r w:rsidRPr="00C64817">
        <w:rPr>
          <w:rStyle w:val="CommentReference"/>
          <w:rFonts w:cstheme="minorHAnsi"/>
          <w:color w:val="auto"/>
          <w:sz w:val="22"/>
          <w:szCs w:val="22"/>
        </w:rPr>
        <w:t xml:space="preserve"> </w:t>
      </w:r>
    </w:p>
    <w:p w14:paraId="626582CD" w14:textId="77777777" w:rsidR="000110F6" w:rsidRPr="00C64817" w:rsidRDefault="000110F6" w:rsidP="000110F6">
      <w:pPr>
        <w:pStyle w:val="BodyText"/>
        <w:ind w:left="720"/>
        <w:rPr>
          <w:rFonts w:cstheme="minorHAnsi"/>
          <w:i/>
          <w:color w:val="auto"/>
        </w:rPr>
      </w:pPr>
      <w:r w:rsidRPr="00C64817">
        <w:rPr>
          <w:rFonts w:cstheme="minorHAnsi"/>
          <w:b/>
          <w:color w:val="auto"/>
        </w:rPr>
        <w:t>Recommendation I:</w:t>
      </w:r>
      <w:r w:rsidRPr="00C64817">
        <w:rPr>
          <w:rFonts w:cstheme="minorHAnsi"/>
          <w:i/>
          <w:color w:val="auto"/>
        </w:rPr>
        <w:t xml:space="preserve"> (agreed in part)</w:t>
      </w:r>
      <w:r w:rsidRPr="00C64817">
        <w:rPr>
          <w:rFonts w:cstheme="minorHAnsi"/>
          <w:i/>
          <w:color w:val="auto"/>
        </w:rPr>
        <w:br/>
        <w:t xml:space="preserve">The Australian support for women’s empowerment and gender equality, particularly those activities implemented through Pacific organisations, should be maintained. </w:t>
      </w:r>
    </w:p>
    <w:p w14:paraId="6B57E0D7" w14:textId="77777777" w:rsidR="000110F6" w:rsidRPr="00C64817" w:rsidRDefault="000110F6" w:rsidP="000110F6">
      <w:pPr>
        <w:pStyle w:val="BodyText"/>
        <w:ind w:left="720"/>
        <w:jc w:val="both"/>
        <w:rPr>
          <w:rFonts w:cstheme="minorHAnsi"/>
          <w:color w:val="auto"/>
        </w:rPr>
      </w:pPr>
      <w:r w:rsidRPr="00C64817">
        <w:rPr>
          <w:rFonts w:cstheme="minorHAnsi"/>
          <w:i/>
          <w:iCs/>
          <w:color w:val="auto"/>
          <w:u w:val="single"/>
        </w:rPr>
        <w:t>Explanation for ‘partial agreement’ in DFAT management response</w:t>
      </w:r>
      <w:r w:rsidRPr="00C64817">
        <w:rPr>
          <w:rFonts w:cstheme="minorHAnsi"/>
          <w:i/>
          <w:iCs/>
          <w:color w:val="auto"/>
        </w:rPr>
        <w:t xml:space="preserve">: </w:t>
      </w:r>
      <w:r w:rsidRPr="00C64817">
        <w:rPr>
          <w:rFonts w:cstheme="minorHAnsi"/>
          <w:color w:val="auto"/>
        </w:rPr>
        <w:t xml:space="preserve">“Agree that Australia’s support for women’s empowerment and gender equality should be maintained, and where possible this will include activities implemented through Pacific organisations.  The intent of the new design is to continue delivery of essential services for women and girls. However, the design will also need to examine whether existing activities remain relevant to the changed regional context, and how Australian support will be delivered through global, </w:t>
      </w:r>
      <w:proofErr w:type="gramStart"/>
      <w:r w:rsidRPr="00C64817">
        <w:rPr>
          <w:rFonts w:cstheme="minorHAnsi"/>
          <w:color w:val="auto"/>
        </w:rPr>
        <w:t>regional</w:t>
      </w:r>
      <w:proofErr w:type="gramEnd"/>
      <w:r w:rsidRPr="00C64817">
        <w:rPr>
          <w:rFonts w:cstheme="minorHAnsi"/>
          <w:color w:val="auto"/>
        </w:rPr>
        <w:t xml:space="preserve"> and bilateral programs”.</w:t>
      </w:r>
    </w:p>
    <w:p w14:paraId="2559874D" w14:textId="77777777" w:rsidR="000110F6" w:rsidRPr="00C64817" w:rsidRDefault="000110F6" w:rsidP="000110F6">
      <w:pPr>
        <w:pStyle w:val="PacificWomenstyle-body"/>
        <w:ind w:firstLine="720"/>
      </w:pPr>
      <w:r w:rsidRPr="00C64817">
        <w:rPr>
          <w:b/>
        </w:rPr>
        <w:t>Recommendation II:</w:t>
      </w:r>
      <w:r w:rsidRPr="00C64817">
        <w:t xml:space="preserve"> (agreed in full)</w:t>
      </w:r>
    </w:p>
    <w:p w14:paraId="76A85DBA" w14:textId="77777777" w:rsidR="000110F6" w:rsidRPr="00C64817" w:rsidRDefault="000110F6" w:rsidP="000110F6">
      <w:pPr>
        <w:pStyle w:val="PacificWomenstyle-body"/>
        <w:ind w:left="720"/>
      </w:pPr>
      <w:r w:rsidRPr="00C64817">
        <w:t>Redesign Australia’s support for women’s empowerment and gender equality in the Pacific, making use of a co-design process that identifies and addresses the interests and objectives of the Australian Government and National governments and women’s organisations in the Pacific.</w:t>
      </w:r>
    </w:p>
    <w:p w14:paraId="342090B9" w14:textId="77777777" w:rsidR="000110F6" w:rsidRPr="00C64817" w:rsidRDefault="000110F6" w:rsidP="000110F6">
      <w:pPr>
        <w:pStyle w:val="PacificWomenstyle-body"/>
        <w:ind w:left="720"/>
      </w:pPr>
      <w:r w:rsidRPr="00C64817">
        <w:rPr>
          <w:b/>
        </w:rPr>
        <w:t>Recommendation III:</w:t>
      </w:r>
      <w:r w:rsidRPr="00C64817">
        <w:t xml:space="preserve"> (agreed in full)</w:t>
      </w:r>
    </w:p>
    <w:p w14:paraId="605CCF43" w14:textId="77777777" w:rsidR="000110F6" w:rsidRPr="00C64817" w:rsidRDefault="000110F6" w:rsidP="000110F6">
      <w:pPr>
        <w:pStyle w:val="PacificWomenstyle-body"/>
        <w:ind w:left="720"/>
      </w:pPr>
      <w:r w:rsidRPr="00C64817">
        <w:t>Australia’s future support to gender equality and women’s empowerment in the Pacific should continue to include a comprehensive approach including women’s leadership, economic empowerment, ending violence against women and increasing agency as outcomes.</w:t>
      </w:r>
    </w:p>
    <w:p w14:paraId="6388372C" w14:textId="77777777" w:rsidR="000110F6" w:rsidRPr="00C64817" w:rsidRDefault="000110F6" w:rsidP="000110F6">
      <w:pPr>
        <w:pStyle w:val="BodyText"/>
        <w:ind w:left="720"/>
        <w:rPr>
          <w:rFonts w:cstheme="minorHAnsi"/>
          <w:color w:val="auto"/>
        </w:rPr>
      </w:pPr>
      <w:r w:rsidRPr="00C64817">
        <w:rPr>
          <w:rFonts w:cstheme="minorHAnsi"/>
          <w:b/>
          <w:color w:val="auto"/>
        </w:rPr>
        <w:t>Recommendation IV</w:t>
      </w:r>
      <w:r w:rsidRPr="00C64817">
        <w:rPr>
          <w:rFonts w:cstheme="minorHAnsi"/>
          <w:color w:val="auto"/>
        </w:rPr>
        <w:t>: (agreed in full)</w:t>
      </w:r>
      <w:r w:rsidRPr="00C64817">
        <w:rPr>
          <w:rFonts w:cstheme="minorHAnsi"/>
          <w:color w:val="auto"/>
        </w:rPr>
        <w:tab/>
      </w:r>
    </w:p>
    <w:p w14:paraId="7BB97A28" w14:textId="77777777" w:rsidR="000110F6" w:rsidRPr="00C64817" w:rsidRDefault="000110F6" w:rsidP="000110F6">
      <w:pPr>
        <w:pStyle w:val="BodyText"/>
        <w:ind w:left="720"/>
        <w:jc w:val="both"/>
        <w:rPr>
          <w:rFonts w:cstheme="minorHAnsi"/>
          <w:color w:val="auto"/>
        </w:rPr>
      </w:pPr>
      <w:r w:rsidRPr="00C64817">
        <w:rPr>
          <w:rFonts w:cstheme="minorHAnsi"/>
          <w:color w:val="auto"/>
        </w:rPr>
        <w:t xml:space="preserve">The ongoing program of support should continue to support local organisations providing holistic care for survivors of violence; ramp up efforts to address disability issues and maintain attention to violence prevention. </w:t>
      </w:r>
    </w:p>
    <w:p w14:paraId="1590554F" w14:textId="77777777" w:rsidR="000110F6" w:rsidRPr="00C64817" w:rsidRDefault="000110F6" w:rsidP="000110F6">
      <w:pPr>
        <w:pStyle w:val="BodyText"/>
        <w:ind w:left="720"/>
        <w:rPr>
          <w:rFonts w:cstheme="minorHAnsi"/>
          <w:color w:val="auto"/>
        </w:rPr>
      </w:pPr>
      <w:r w:rsidRPr="00C64817">
        <w:rPr>
          <w:rFonts w:cstheme="minorHAnsi"/>
          <w:b/>
          <w:color w:val="auto"/>
        </w:rPr>
        <w:t>Recommendation V:</w:t>
      </w:r>
      <w:r w:rsidRPr="00C64817">
        <w:rPr>
          <w:rFonts w:cstheme="minorHAnsi"/>
          <w:color w:val="auto"/>
        </w:rPr>
        <w:t xml:space="preserve"> (agreed in full)</w:t>
      </w:r>
    </w:p>
    <w:p w14:paraId="5D256614" w14:textId="77777777" w:rsidR="000110F6" w:rsidRPr="00C64817" w:rsidRDefault="000110F6" w:rsidP="000110F6">
      <w:pPr>
        <w:pStyle w:val="BodyText"/>
        <w:ind w:left="720"/>
        <w:jc w:val="both"/>
        <w:rPr>
          <w:rFonts w:cstheme="minorHAnsi"/>
          <w:color w:val="auto"/>
        </w:rPr>
      </w:pPr>
      <w:r w:rsidRPr="00C64817">
        <w:rPr>
          <w:rFonts w:cstheme="minorHAnsi"/>
          <w:color w:val="auto"/>
        </w:rPr>
        <w:t>The ongoing program of support should build on the evidence base of promising practices in women’s economic empowerment and leadership, through sharing of evidence and further development of these approaches.</w:t>
      </w:r>
    </w:p>
    <w:p w14:paraId="7EC9F7CF" w14:textId="77777777" w:rsidR="000110F6" w:rsidRPr="00C64817" w:rsidRDefault="000110F6" w:rsidP="000110F6">
      <w:pPr>
        <w:pStyle w:val="BodyText"/>
        <w:ind w:left="720"/>
        <w:jc w:val="both"/>
        <w:rPr>
          <w:rFonts w:cstheme="minorHAnsi"/>
          <w:b/>
          <w:color w:val="auto"/>
        </w:rPr>
      </w:pPr>
      <w:r w:rsidRPr="00C64817">
        <w:rPr>
          <w:rFonts w:cstheme="minorHAnsi"/>
          <w:b/>
          <w:color w:val="auto"/>
        </w:rPr>
        <w:t xml:space="preserve">Recommendation VI: </w:t>
      </w:r>
      <w:r w:rsidRPr="00C64817">
        <w:rPr>
          <w:rFonts w:cstheme="minorHAnsi"/>
          <w:color w:val="auto"/>
        </w:rPr>
        <w:t>(agreed in full)</w:t>
      </w:r>
    </w:p>
    <w:p w14:paraId="2534CBA5" w14:textId="77777777" w:rsidR="000110F6" w:rsidRPr="00C64817" w:rsidRDefault="000110F6" w:rsidP="000110F6">
      <w:pPr>
        <w:pStyle w:val="BodyText"/>
        <w:ind w:left="720"/>
        <w:jc w:val="both"/>
        <w:rPr>
          <w:rFonts w:cstheme="minorHAnsi"/>
          <w:color w:val="auto"/>
        </w:rPr>
      </w:pPr>
      <w:r w:rsidRPr="00C64817">
        <w:rPr>
          <w:rFonts w:cstheme="minorHAnsi"/>
          <w:color w:val="auto"/>
        </w:rPr>
        <w:t xml:space="preserve">Pacific Women’s convening role in countries with national governments, donors, civil society organisation and donor programs should be developed further. Work should be undertaken to ensure that core program lessons are integrated into DFAT Pacific bilateral programs and are positioned to influence the work of other donors in-country. </w:t>
      </w:r>
    </w:p>
    <w:p w14:paraId="75752DC3" w14:textId="77777777" w:rsidR="000110F6" w:rsidRPr="00C64817" w:rsidRDefault="000110F6" w:rsidP="000110F6">
      <w:pPr>
        <w:pStyle w:val="BodyText"/>
        <w:ind w:left="720"/>
        <w:rPr>
          <w:rFonts w:cstheme="minorHAnsi"/>
          <w:color w:val="auto"/>
        </w:rPr>
      </w:pPr>
      <w:r w:rsidRPr="00C64817">
        <w:rPr>
          <w:rFonts w:cstheme="minorHAnsi"/>
          <w:b/>
          <w:color w:val="auto"/>
        </w:rPr>
        <w:t>Recommendation VII:</w:t>
      </w:r>
      <w:r w:rsidRPr="00C64817">
        <w:rPr>
          <w:rFonts w:cstheme="minorHAnsi"/>
          <w:color w:val="auto"/>
        </w:rPr>
        <w:t xml:space="preserve"> (agreed in full)</w:t>
      </w:r>
    </w:p>
    <w:p w14:paraId="2B699437" w14:textId="77777777" w:rsidR="000110F6" w:rsidRPr="00C64817" w:rsidRDefault="000110F6" w:rsidP="000110F6">
      <w:pPr>
        <w:pStyle w:val="BodyText"/>
        <w:ind w:left="720"/>
        <w:jc w:val="both"/>
        <w:rPr>
          <w:rFonts w:cstheme="minorHAnsi"/>
          <w:color w:val="auto"/>
        </w:rPr>
      </w:pPr>
      <w:r w:rsidRPr="00C64817">
        <w:rPr>
          <w:rFonts w:cstheme="minorHAnsi"/>
          <w:color w:val="auto"/>
        </w:rPr>
        <w:t xml:space="preserve">The redevelopment of the modality for future support should give explicit attention to the mutual and different interests and objectives of Australia and other stakeholders. The systems and procedures underpinning any future support should be transparent and well communicated to all stakeholders. </w:t>
      </w:r>
    </w:p>
    <w:p w14:paraId="0C67DDEC" w14:textId="77777777" w:rsidR="000110F6" w:rsidRPr="00C64817" w:rsidRDefault="000110F6" w:rsidP="000110F6">
      <w:pPr>
        <w:pStyle w:val="PacificWomenstyle-body"/>
        <w:ind w:left="720"/>
      </w:pPr>
      <w:r w:rsidRPr="00C64817">
        <w:rPr>
          <w:b/>
        </w:rPr>
        <w:t xml:space="preserve">Recommendation IX: </w:t>
      </w:r>
      <w:r w:rsidRPr="00C64817">
        <w:t>(agreed in part)</w:t>
      </w:r>
    </w:p>
    <w:p w14:paraId="07B95558" w14:textId="77777777" w:rsidR="000110F6" w:rsidRPr="00C64817" w:rsidRDefault="000110F6" w:rsidP="000110F6">
      <w:pPr>
        <w:pStyle w:val="PacificWomenstyle-body"/>
        <w:ind w:left="720"/>
      </w:pPr>
      <w:r w:rsidRPr="00C64817">
        <w:lastRenderedPageBreak/>
        <w:t xml:space="preserve">Capacity building work should be strengthened and extended during the last phase of the program and in any future program support, with a view to better enabling DFAT Posts, Pacific Women partners, and government departments to both understand and address the challenges for gender equality and women’s empowerment in the Pacific. </w:t>
      </w:r>
      <w:r w:rsidRPr="00C64817">
        <w:rPr>
          <w:color w:val="auto"/>
        </w:rPr>
        <w:t xml:space="preserve">Explanation for ‘partial agreement’ in DFAT management response: “This recommendation is being examined through the design </w:t>
      </w:r>
      <w:proofErr w:type="gramStart"/>
      <w:r w:rsidRPr="00C64817">
        <w:rPr>
          <w:color w:val="auto"/>
        </w:rPr>
        <w:t>process, and</w:t>
      </w:r>
      <w:proofErr w:type="gramEnd"/>
      <w:r w:rsidRPr="00C64817">
        <w:rPr>
          <w:color w:val="auto"/>
        </w:rPr>
        <w:t xml:space="preserve"> may be applied differently to bilateral and regional elements of Australia’s support”.</w:t>
      </w:r>
    </w:p>
    <w:p w14:paraId="6C0BC3B1" w14:textId="77777777" w:rsidR="000110F6" w:rsidRPr="00C64817" w:rsidRDefault="000110F6" w:rsidP="000110F6">
      <w:pPr>
        <w:pStyle w:val="BodyText"/>
        <w:spacing w:before="0"/>
        <w:ind w:left="720"/>
        <w:rPr>
          <w:rFonts w:cstheme="minorHAnsi"/>
          <w:color w:val="auto"/>
        </w:rPr>
      </w:pPr>
      <w:r w:rsidRPr="00C64817">
        <w:rPr>
          <w:rFonts w:cstheme="minorHAnsi"/>
          <w:b/>
          <w:color w:val="auto"/>
        </w:rPr>
        <w:t>Recommendation X:</w:t>
      </w:r>
      <w:r w:rsidRPr="00C64817">
        <w:rPr>
          <w:rFonts w:cstheme="minorHAnsi"/>
          <w:color w:val="auto"/>
        </w:rPr>
        <w:t xml:space="preserve"> (agreed in part)</w:t>
      </w:r>
    </w:p>
    <w:p w14:paraId="1A5F5C62" w14:textId="77777777" w:rsidR="000110F6" w:rsidRPr="00C64817" w:rsidRDefault="000110F6" w:rsidP="000110F6">
      <w:pPr>
        <w:pStyle w:val="BodyText"/>
        <w:spacing w:before="0"/>
        <w:ind w:left="720"/>
        <w:jc w:val="both"/>
        <w:rPr>
          <w:rFonts w:cstheme="minorHAnsi"/>
          <w:color w:val="auto"/>
        </w:rPr>
      </w:pPr>
      <w:r w:rsidRPr="00C64817">
        <w:rPr>
          <w:rFonts w:cstheme="minorHAnsi"/>
          <w:color w:val="auto"/>
        </w:rPr>
        <w:t xml:space="preserve">The Pacific Women Advisory Board and leaders of Pacific women’s organisations including faith-based organisations, should provide strategic oversight for the proposed redesign process. The roles for these leaders within any future program of support should be explicitly identified in the new design. In line with further development of the current capacity building strategy, future programming should continue to focus on building the capacity of Pacific women leaders at multiple levels, in government, community and the private sector. </w:t>
      </w:r>
      <w:r w:rsidRPr="00C64817">
        <w:rPr>
          <w:rFonts w:cstheme="minorHAnsi"/>
          <w:i/>
          <w:iCs/>
          <w:color w:val="auto"/>
          <w:u w:val="single"/>
        </w:rPr>
        <w:t>Explanation for ‘partial agreement’ in DFAT management response:</w:t>
      </w:r>
      <w:r w:rsidRPr="00C64817">
        <w:rPr>
          <w:rFonts w:cstheme="minorHAnsi"/>
          <w:color w:val="auto"/>
        </w:rPr>
        <w:t xml:space="preserve"> “Agree that the role for an Advisory Board and Pacific leaders should be identified in the new design.  The Pacific Women Advisory Board is providing strategic advice throughout the design.  Programming to build the capacity of Pacific women leaders will be considered through the design process.”</w:t>
      </w:r>
    </w:p>
    <w:p w14:paraId="1CF3CCB6" w14:textId="500124E1" w:rsidR="000110F6" w:rsidRDefault="000110F6" w:rsidP="00C313F7">
      <w:pPr>
        <w:suppressAutoHyphens w:val="0"/>
        <w:spacing w:before="0" w:after="120" w:line="440" w:lineRule="atLeast"/>
        <w:rPr>
          <w:rFonts w:eastAsia="Times New Roman" w:cs="Arial"/>
          <w:b/>
          <w:bCs/>
          <w:color w:val="auto"/>
          <w:sz w:val="28"/>
          <w:szCs w:val="28"/>
          <w:lang w:val="en-AU" w:eastAsia="en-AU"/>
        </w:rPr>
      </w:pPr>
    </w:p>
    <w:p w14:paraId="56F09F82" w14:textId="68241AE9" w:rsidR="000110F6" w:rsidRDefault="000110F6" w:rsidP="00BE1966">
      <w:pPr>
        <w:suppressAutoHyphens w:val="0"/>
        <w:spacing w:before="0" w:after="120" w:line="440" w:lineRule="atLeast"/>
        <w:ind w:left="7920"/>
        <w:rPr>
          <w:rFonts w:eastAsia="Times New Roman" w:cs="Arial"/>
          <w:b/>
          <w:bCs/>
          <w:color w:val="auto"/>
          <w:sz w:val="28"/>
          <w:szCs w:val="28"/>
          <w:lang w:val="en-AU" w:eastAsia="en-AU"/>
        </w:rPr>
      </w:pPr>
    </w:p>
    <w:p w14:paraId="4C2950EF" w14:textId="6812B711" w:rsidR="000110F6" w:rsidRDefault="000110F6" w:rsidP="00BE1966">
      <w:pPr>
        <w:suppressAutoHyphens w:val="0"/>
        <w:spacing w:before="0" w:after="120" w:line="440" w:lineRule="atLeast"/>
        <w:ind w:left="7920"/>
        <w:rPr>
          <w:rFonts w:eastAsia="Times New Roman" w:cs="Arial"/>
          <w:b/>
          <w:bCs/>
          <w:color w:val="auto"/>
          <w:sz w:val="28"/>
          <w:szCs w:val="28"/>
          <w:lang w:val="en-AU" w:eastAsia="en-AU"/>
        </w:rPr>
      </w:pPr>
    </w:p>
    <w:p w14:paraId="3105E3A3" w14:textId="49FAC399" w:rsidR="000110F6" w:rsidRDefault="000110F6" w:rsidP="00BE1966">
      <w:pPr>
        <w:suppressAutoHyphens w:val="0"/>
        <w:spacing w:before="0" w:after="120" w:line="440" w:lineRule="atLeast"/>
        <w:ind w:left="7920"/>
        <w:rPr>
          <w:rFonts w:eastAsia="Times New Roman" w:cs="Arial"/>
          <w:b/>
          <w:bCs/>
          <w:color w:val="auto"/>
          <w:sz w:val="28"/>
          <w:szCs w:val="28"/>
          <w:lang w:val="en-AU" w:eastAsia="en-AU"/>
        </w:rPr>
      </w:pPr>
    </w:p>
    <w:p w14:paraId="342EA730" w14:textId="2A70495A" w:rsidR="000110F6" w:rsidRDefault="000110F6" w:rsidP="00BE1966">
      <w:pPr>
        <w:suppressAutoHyphens w:val="0"/>
        <w:spacing w:before="0" w:after="120" w:line="440" w:lineRule="atLeast"/>
        <w:ind w:left="7920"/>
        <w:rPr>
          <w:rFonts w:eastAsia="Times New Roman" w:cs="Arial"/>
          <w:b/>
          <w:bCs/>
          <w:color w:val="auto"/>
          <w:sz w:val="28"/>
          <w:szCs w:val="28"/>
          <w:lang w:val="en-AU" w:eastAsia="en-AU"/>
        </w:rPr>
      </w:pPr>
    </w:p>
    <w:p w14:paraId="30BABF96" w14:textId="0754B8AF" w:rsidR="000110F6" w:rsidRDefault="000110F6" w:rsidP="00BE1966">
      <w:pPr>
        <w:suppressAutoHyphens w:val="0"/>
        <w:spacing w:before="0" w:after="120" w:line="440" w:lineRule="atLeast"/>
        <w:ind w:left="7920"/>
        <w:rPr>
          <w:rFonts w:eastAsia="Times New Roman" w:cs="Arial"/>
          <w:b/>
          <w:bCs/>
          <w:color w:val="auto"/>
          <w:sz w:val="28"/>
          <w:szCs w:val="28"/>
          <w:lang w:val="en-AU" w:eastAsia="en-AU"/>
        </w:rPr>
      </w:pPr>
    </w:p>
    <w:p w14:paraId="583DC739" w14:textId="5510B1A5" w:rsidR="000110F6" w:rsidRDefault="000110F6" w:rsidP="00BE1966">
      <w:pPr>
        <w:suppressAutoHyphens w:val="0"/>
        <w:spacing w:before="0" w:after="120" w:line="440" w:lineRule="atLeast"/>
        <w:ind w:left="7920"/>
        <w:rPr>
          <w:rFonts w:eastAsia="Times New Roman" w:cs="Arial"/>
          <w:b/>
          <w:bCs/>
          <w:color w:val="auto"/>
          <w:sz w:val="28"/>
          <w:szCs w:val="28"/>
          <w:lang w:val="en-AU" w:eastAsia="en-AU"/>
        </w:rPr>
      </w:pPr>
    </w:p>
    <w:p w14:paraId="7C7BDBE8" w14:textId="36B052BC" w:rsidR="000110F6" w:rsidRDefault="000110F6" w:rsidP="00BE1966">
      <w:pPr>
        <w:suppressAutoHyphens w:val="0"/>
        <w:spacing w:before="0" w:after="120" w:line="440" w:lineRule="atLeast"/>
        <w:ind w:left="7920"/>
        <w:rPr>
          <w:rFonts w:eastAsia="Times New Roman" w:cs="Arial"/>
          <w:b/>
          <w:bCs/>
          <w:color w:val="auto"/>
          <w:sz w:val="28"/>
          <w:szCs w:val="28"/>
          <w:lang w:val="en-AU" w:eastAsia="en-AU"/>
        </w:rPr>
      </w:pPr>
    </w:p>
    <w:p w14:paraId="2562CF17" w14:textId="5AAF6232" w:rsidR="000110F6" w:rsidRDefault="000110F6" w:rsidP="00BE1966">
      <w:pPr>
        <w:suppressAutoHyphens w:val="0"/>
        <w:spacing w:before="0" w:after="120" w:line="440" w:lineRule="atLeast"/>
        <w:ind w:left="7920"/>
        <w:rPr>
          <w:rFonts w:eastAsia="Times New Roman" w:cs="Arial"/>
          <w:b/>
          <w:bCs/>
          <w:color w:val="auto"/>
          <w:sz w:val="28"/>
          <w:szCs w:val="28"/>
          <w:lang w:val="en-AU" w:eastAsia="en-AU"/>
        </w:rPr>
      </w:pPr>
    </w:p>
    <w:p w14:paraId="110D6416" w14:textId="77777777" w:rsidR="00FC55FB" w:rsidRDefault="00FC55FB" w:rsidP="00BE1966">
      <w:pPr>
        <w:suppressAutoHyphens w:val="0"/>
        <w:spacing w:before="0" w:after="120" w:line="440" w:lineRule="atLeast"/>
        <w:ind w:left="7920"/>
        <w:rPr>
          <w:rFonts w:eastAsia="Times New Roman" w:cs="Arial"/>
          <w:b/>
          <w:bCs/>
          <w:color w:val="auto"/>
          <w:sz w:val="28"/>
          <w:szCs w:val="28"/>
          <w:lang w:val="en-AU" w:eastAsia="en-AU"/>
        </w:rPr>
      </w:pPr>
    </w:p>
    <w:p w14:paraId="3516D220" w14:textId="77777777" w:rsidR="00FC55FB" w:rsidRDefault="00FC55FB" w:rsidP="00BE1966">
      <w:pPr>
        <w:suppressAutoHyphens w:val="0"/>
        <w:spacing w:before="0" w:after="120" w:line="440" w:lineRule="atLeast"/>
        <w:ind w:left="7920"/>
        <w:rPr>
          <w:rFonts w:eastAsia="Times New Roman" w:cs="Arial"/>
          <w:b/>
          <w:bCs/>
          <w:color w:val="auto"/>
          <w:sz w:val="28"/>
          <w:szCs w:val="28"/>
          <w:lang w:val="en-AU" w:eastAsia="en-AU"/>
        </w:rPr>
      </w:pPr>
    </w:p>
    <w:p w14:paraId="42D85279" w14:textId="77777777" w:rsidR="00FC55FB" w:rsidRDefault="00FC55FB" w:rsidP="00BE1966">
      <w:pPr>
        <w:suppressAutoHyphens w:val="0"/>
        <w:spacing w:before="0" w:after="120" w:line="440" w:lineRule="atLeast"/>
        <w:ind w:left="7920"/>
        <w:rPr>
          <w:rFonts w:eastAsia="Times New Roman" w:cs="Arial"/>
          <w:b/>
          <w:bCs/>
          <w:color w:val="auto"/>
          <w:sz w:val="28"/>
          <w:szCs w:val="28"/>
          <w:lang w:val="en-AU" w:eastAsia="en-AU"/>
        </w:rPr>
      </w:pPr>
    </w:p>
    <w:p w14:paraId="6F5B5A65" w14:textId="77777777" w:rsidR="00FC55FB" w:rsidRDefault="00FC55FB" w:rsidP="00BE1966">
      <w:pPr>
        <w:suppressAutoHyphens w:val="0"/>
        <w:spacing w:before="0" w:after="120" w:line="440" w:lineRule="atLeast"/>
        <w:ind w:left="7920"/>
        <w:rPr>
          <w:rFonts w:eastAsia="Times New Roman" w:cs="Arial"/>
          <w:b/>
          <w:bCs/>
          <w:color w:val="auto"/>
          <w:sz w:val="28"/>
          <w:szCs w:val="28"/>
          <w:lang w:val="en-AU" w:eastAsia="en-AU"/>
        </w:rPr>
      </w:pPr>
    </w:p>
    <w:p w14:paraId="281221C4" w14:textId="77777777" w:rsidR="00FC55FB" w:rsidRDefault="00FC55FB" w:rsidP="00BE1966">
      <w:pPr>
        <w:suppressAutoHyphens w:val="0"/>
        <w:spacing w:before="0" w:after="120" w:line="440" w:lineRule="atLeast"/>
        <w:ind w:left="7920"/>
        <w:rPr>
          <w:rFonts w:eastAsia="Times New Roman" w:cs="Arial"/>
          <w:b/>
          <w:bCs/>
          <w:color w:val="auto"/>
          <w:sz w:val="28"/>
          <w:szCs w:val="28"/>
          <w:lang w:val="en-AU" w:eastAsia="en-AU"/>
        </w:rPr>
      </w:pPr>
    </w:p>
    <w:p w14:paraId="2AA48B55" w14:textId="678EA407" w:rsidR="00FC55FB" w:rsidRPr="00F328DA" w:rsidRDefault="00FC55FB" w:rsidP="00F328DA">
      <w:pPr>
        <w:pStyle w:val="Heading1"/>
      </w:pPr>
      <w:bookmarkStart w:id="42" w:name="_Toc75535915"/>
      <w:r w:rsidRPr="00F328DA">
        <w:rPr>
          <w:b w:val="0"/>
          <w:bCs w:val="0"/>
        </w:rPr>
        <w:lastRenderedPageBreak/>
        <w:t xml:space="preserve">ANNEX </w:t>
      </w:r>
      <w:r w:rsidR="00247B48">
        <w:t>3 – Transition from Pacific women shaping pacific development to pacific women lead</w:t>
      </w:r>
      <w:bookmarkEnd w:id="42"/>
    </w:p>
    <w:p w14:paraId="0581FC79" w14:textId="77777777" w:rsidR="00FC55FB" w:rsidRPr="00C64817" w:rsidRDefault="00FC55FB" w:rsidP="00FC55FB">
      <w:pPr>
        <w:jc w:val="both"/>
        <w:rPr>
          <w:rFonts w:cstheme="minorHAnsi"/>
          <w:color w:val="auto"/>
        </w:rPr>
      </w:pPr>
      <w:r w:rsidRPr="00F44628">
        <w:rPr>
          <w:rFonts w:cstheme="minorHAnsi"/>
          <w:color w:val="auto"/>
        </w:rPr>
        <w:t>5.</w:t>
      </w:r>
      <w:r w:rsidRPr="00C64817">
        <w:rPr>
          <w:rFonts w:cstheme="minorHAnsi"/>
          <w:color w:val="auto"/>
        </w:rPr>
        <w:t>2</w:t>
      </w:r>
      <w:r>
        <w:rPr>
          <w:rFonts w:cstheme="minorHAnsi"/>
          <w:color w:val="auto"/>
        </w:rPr>
        <w:t>4</w:t>
      </w:r>
      <w:r w:rsidRPr="00C64817">
        <w:rPr>
          <w:rFonts w:cstheme="minorHAnsi"/>
          <w:color w:val="auto"/>
        </w:rPr>
        <w:tab/>
        <w:t xml:space="preserve">The current </w:t>
      </w:r>
      <w:r w:rsidRPr="00C64817">
        <w:rPr>
          <w:rFonts w:cstheme="minorHAnsi"/>
          <w:i/>
          <w:iCs/>
          <w:color w:val="auto"/>
        </w:rPr>
        <w:t>Pacific Women Shaping Pacific Development</w:t>
      </w:r>
      <w:r w:rsidRPr="00C64817">
        <w:rPr>
          <w:rFonts w:cstheme="minorHAnsi"/>
          <w:color w:val="auto"/>
        </w:rPr>
        <w:t xml:space="preserve"> program is scheduled to be completed by the end of 2021. The program currently includes a very large number of separate activities requiring consideration </w:t>
      </w:r>
      <w:proofErr w:type="gramStart"/>
      <w:r w:rsidRPr="00C64817">
        <w:rPr>
          <w:rFonts w:cstheme="minorHAnsi"/>
          <w:color w:val="auto"/>
        </w:rPr>
        <w:t>of:</w:t>
      </w:r>
      <w:proofErr w:type="gramEnd"/>
      <w:r w:rsidRPr="00C64817">
        <w:rPr>
          <w:rFonts w:cstheme="minorHAnsi"/>
          <w:color w:val="auto"/>
        </w:rPr>
        <w:t xml:space="preserve"> a) their continuation or discontinuation under </w:t>
      </w:r>
      <w:r w:rsidRPr="00C64817">
        <w:rPr>
          <w:rFonts w:cstheme="minorHAnsi"/>
          <w:i/>
          <w:iCs/>
          <w:color w:val="auto"/>
        </w:rPr>
        <w:t>Pacific Women Lead</w:t>
      </w:r>
      <w:r w:rsidRPr="00C64817">
        <w:rPr>
          <w:rFonts w:cstheme="minorHAnsi"/>
          <w:color w:val="auto"/>
        </w:rPr>
        <w:t>; and b) the appropriate management arrangements for those activities that will continue. This design sets out principles and criteria to guide these decisions, with the detailed assessment and sequencing considerations to be set out in the Transition Plan being developed.  A summary of the Transition process and sequencing of decision-making is outlined below:</w:t>
      </w:r>
    </w:p>
    <w:p w14:paraId="66BF5119" w14:textId="77777777" w:rsidR="00FC55FB" w:rsidRPr="00F328DA" w:rsidRDefault="00FC55FB" w:rsidP="00F328DA">
      <w:pPr>
        <w:pStyle w:val="Heading2"/>
        <w:rPr>
          <w:sz w:val="36"/>
          <w:szCs w:val="24"/>
        </w:rPr>
      </w:pPr>
      <w:bookmarkStart w:id="43" w:name="_Toc75535916"/>
      <w:r w:rsidRPr="00F328DA">
        <w:rPr>
          <w:sz w:val="36"/>
          <w:szCs w:val="24"/>
        </w:rPr>
        <w:t>Decisions on continuation of individual Pacific Women Shaping Pacific Development activities</w:t>
      </w:r>
      <w:bookmarkEnd w:id="43"/>
    </w:p>
    <w:p w14:paraId="54970D30" w14:textId="77777777" w:rsidR="00FC55FB" w:rsidRPr="008A7462" w:rsidRDefault="00FC55FB" w:rsidP="00FC55FB">
      <w:pPr>
        <w:rPr>
          <w:rFonts w:cstheme="minorHAnsi"/>
          <w:color w:val="auto"/>
        </w:rPr>
      </w:pPr>
      <w:r w:rsidRPr="00407D94">
        <w:rPr>
          <w:rFonts w:cstheme="minorHAnsi"/>
          <w:color w:val="auto"/>
        </w:rPr>
        <w:t>5.2</w:t>
      </w:r>
      <w:r>
        <w:rPr>
          <w:rFonts w:cstheme="minorHAnsi"/>
          <w:color w:val="auto"/>
        </w:rPr>
        <w:t>5</w:t>
      </w:r>
      <w:r w:rsidRPr="00407D94">
        <w:rPr>
          <w:rFonts w:cstheme="minorHAnsi"/>
          <w:color w:val="auto"/>
        </w:rPr>
        <w:tab/>
        <w:t>S</w:t>
      </w:r>
      <w:r w:rsidRPr="008A7462">
        <w:rPr>
          <w:rFonts w:cstheme="minorHAnsi"/>
          <w:color w:val="auto"/>
        </w:rPr>
        <w:t>eparate to this Design process, DFAT will make decisions on:</w:t>
      </w:r>
    </w:p>
    <w:p w14:paraId="41E1D3DD" w14:textId="77777777" w:rsidR="00FC55FB" w:rsidRPr="00C64817" w:rsidRDefault="00FC55FB" w:rsidP="00FC55FB">
      <w:pPr>
        <w:pStyle w:val="ListParagraph"/>
        <w:numPr>
          <w:ilvl w:val="0"/>
          <w:numId w:val="16"/>
        </w:numPr>
        <w:jc w:val="both"/>
        <w:rPr>
          <w:rFonts w:cstheme="minorHAnsi"/>
          <w:color w:val="auto"/>
        </w:rPr>
      </w:pPr>
      <w:r w:rsidRPr="00F44628">
        <w:rPr>
          <w:rFonts w:cstheme="minorHAnsi"/>
          <w:color w:val="auto"/>
        </w:rPr>
        <w:t xml:space="preserve">Activities that will have current timeframes that will seem them finish prior to the commencement of </w:t>
      </w:r>
      <w:r w:rsidRPr="00C64817">
        <w:rPr>
          <w:rFonts w:cstheme="minorHAnsi"/>
          <w:i/>
          <w:iCs/>
          <w:color w:val="auto"/>
        </w:rPr>
        <w:t>Pacific Women Lead</w:t>
      </w:r>
    </w:p>
    <w:p w14:paraId="0F898E91" w14:textId="77777777" w:rsidR="00FC55FB" w:rsidRPr="00C64817" w:rsidRDefault="00FC55FB" w:rsidP="00FC55FB">
      <w:pPr>
        <w:pStyle w:val="ListParagraph"/>
        <w:numPr>
          <w:ilvl w:val="0"/>
          <w:numId w:val="16"/>
        </w:numPr>
        <w:jc w:val="both"/>
        <w:rPr>
          <w:rFonts w:cstheme="minorHAnsi"/>
          <w:color w:val="auto"/>
        </w:rPr>
      </w:pPr>
      <w:r w:rsidRPr="00C64817">
        <w:rPr>
          <w:rFonts w:cstheme="minorHAnsi"/>
          <w:color w:val="auto"/>
        </w:rPr>
        <w:t xml:space="preserve">Activities that are not effective and therefore should not be considered for continuation </w:t>
      </w:r>
    </w:p>
    <w:p w14:paraId="2B2F1CE1" w14:textId="77777777" w:rsidR="00FC55FB" w:rsidRPr="00C64817" w:rsidRDefault="00FC55FB" w:rsidP="00FC55FB">
      <w:pPr>
        <w:jc w:val="both"/>
        <w:rPr>
          <w:rFonts w:cstheme="minorHAnsi"/>
          <w:color w:val="auto"/>
        </w:rPr>
      </w:pPr>
      <w:r w:rsidRPr="00C64817">
        <w:rPr>
          <w:rFonts w:cstheme="minorHAnsi"/>
          <w:color w:val="auto"/>
        </w:rPr>
        <w:t xml:space="preserve">In the case of all other activities that are deemed effective and have timeframes beyond the start of </w:t>
      </w:r>
      <w:r w:rsidRPr="00C64817">
        <w:rPr>
          <w:rFonts w:cstheme="minorHAnsi"/>
          <w:i/>
          <w:iCs/>
          <w:color w:val="auto"/>
        </w:rPr>
        <w:t>Pacific Women Lead</w:t>
      </w:r>
      <w:r w:rsidRPr="00C64817">
        <w:rPr>
          <w:rFonts w:cstheme="minorHAnsi"/>
          <w:color w:val="auto"/>
        </w:rPr>
        <w:t xml:space="preserve">, decisions on whether such activities should continue or not will be based on their </w:t>
      </w:r>
      <w:r w:rsidRPr="00C64817">
        <w:rPr>
          <w:rFonts w:cstheme="minorHAnsi"/>
          <w:b/>
          <w:color w:val="auto"/>
        </w:rPr>
        <w:t xml:space="preserve">alignment with the Goal and Outcomes </w:t>
      </w:r>
      <w:r w:rsidRPr="00C64817">
        <w:rPr>
          <w:rFonts w:cstheme="minorHAnsi"/>
          <w:color w:val="auto"/>
        </w:rPr>
        <w:t xml:space="preserve">for </w:t>
      </w:r>
      <w:r w:rsidRPr="00C64817">
        <w:rPr>
          <w:rFonts w:cstheme="minorHAnsi"/>
          <w:i/>
          <w:iCs/>
          <w:color w:val="auto"/>
        </w:rPr>
        <w:t>Pacific Women Lead</w:t>
      </w:r>
      <w:r w:rsidRPr="00C64817">
        <w:rPr>
          <w:rFonts w:cstheme="minorHAnsi"/>
          <w:color w:val="auto"/>
        </w:rPr>
        <w:t>.</w:t>
      </w:r>
    </w:p>
    <w:p w14:paraId="4973B329" w14:textId="77777777" w:rsidR="00FC55FB" w:rsidRPr="00F328DA" w:rsidRDefault="00FC55FB" w:rsidP="00F328DA">
      <w:pPr>
        <w:pStyle w:val="Heading2"/>
        <w:rPr>
          <w:sz w:val="36"/>
          <w:szCs w:val="24"/>
        </w:rPr>
      </w:pPr>
      <w:bookmarkStart w:id="44" w:name="_Toc75535917"/>
      <w:r w:rsidRPr="00F328DA">
        <w:rPr>
          <w:iCs/>
          <w:sz w:val="36"/>
          <w:szCs w:val="24"/>
        </w:rPr>
        <w:t>Decisions on</w:t>
      </w:r>
      <w:r w:rsidRPr="00F328DA">
        <w:rPr>
          <w:sz w:val="36"/>
          <w:szCs w:val="24"/>
        </w:rPr>
        <w:t xml:space="preserve"> management of individual activities.</w:t>
      </w:r>
      <w:bookmarkEnd w:id="44"/>
    </w:p>
    <w:p w14:paraId="76AD1A69" w14:textId="77777777" w:rsidR="00FC55FB" w:rsidRPr="00F44628" w:rsidRDefault="00FC55FB" w:rsidP="00FC55FB">
      <w:pPr>
        <w:ind w:firstLine="6"/>
        <w:jc w:val="both"/>
        <w:rPr>
          <w:rFonts w:cstheme="minorHAnsi"/>
          <w:color w:val="auto"/>
        </w:rPr>
      </w:pPr>
      <w:r w:rsidRPr="00407D94">
        <w:rPr>
          <w:rFonts w:cstheme="minorHAnsi"/>
          <w:color w:val="auto"/>
        </w:rPr>
        <w:t>5.2</w:t>
      </w:r>
      <w:r>
        <w:rPr>
          <w:rFonts w:cstheme="minorHAnsi"/>
          <w:color w:val="auto"/>
        </w:rPr>
        <w:t>6</w:t>
      </w:r>
      <w:r w:rsidRPr="00407D94">
        <w:rPr>
          <w:rFonts w:cstheme="minorHAnsi"/>
          <w:color w:val="auto"/>
        </w:rPr>
        <w:tab/>
        <w:t xml:space="preserve">For activities that warrant continuation under Pacific Women Lead, </w:t>
      </w:r>
      <w:r w:rsidRPr="008A7462">
        <w:rPr>
          <w:rFonts w:cstheme="minorHAnsi"/>
          <w:color w:val="auto"/>
        </w:rPr>
        <w:t>they will need to be allocated to one of the four options under the Hybrid model:</w:t>
      </w:r>
    </w:p>
    <w:p w14:paraId="69DB2B46" w14:textId="77777777" w:rsidR="00FC55FB" w:rsidRPr="00C64817" w:rsidRDefault="00FC55FB" w:rsidP="00FC55FB">
      <w:pPr>
        <w:numPr>
          <w:ilvl w:val="0"/>
          <w:numId w:val="25"/>
        </w:numPr>
        <w:suppressAutoHyphens w:val="0"/>
        <w:spacing w:before="0" w:after="0" w:line="259" w:lineRule="auto"/>
        <w:ind w:left="714" w:hanging="357"/>
        <w:jc w:val="both"/>
        <w:rPr>
          <w:rFonts w:cstheme="minorHAnsi"/>
          <w:color w:val="auto"/>
        </w:rPr>
      </w:pPr>
      <w:r w:rsidRPr="00C64817">
        <w:rPr>
          <w:rFonts w:cstheme="minorHAnsi"/>
          <w:color w:val="auto"/>
        </w:rPr>
        <w:t>SPC (host)</w:t>
      </w:r>
    </w:p>
    <w:p w14:paraId="18180375" w14:textId="77777777" w:rsidR="00FC55FB" w:rsidRPr="00C64817" w:rsidRDefault="00FC55FB" w:rsidP="00FC55FB">
      <w:pPr>
        <w:numPr>
          <w:ilvl w:val="0"/>
          <w:numId w:val="25"/>
        </w:numPr>
        <w:suppressAutoHyphens w:val="0"/>
        <w:spacing w:before="0" w:after="0" w:line="259" w:lineRule="auto"/>
        <w:ind w:left="714" w:hanging="357"/>
        <w:jc w:val="both"/>
        <w:rPr>
          <w:rFonts w:cstheme="minorHAnsi"/>
          <w:color w:val="auto"/>
        </w:rPr>
      </w:pPr>
      <w:r w:rsidRPr="00C64817">
        <w:rPr>
          <w:rFonts w:cstheme="minorHAnsi"/>
          <w:color w:val="auto"/>
        </w:rPr>
        <w:t>Civil Society entity</w:t>
      </w:r>
    </w:p>
    <w:p w14:paraId="6C496FF9" w14:textId="77777777" w:rsidR="00FC55FB" w:rsidRPr="00C64817" w:rsidRDefault="00FC55FB" w:rsidP="00FC55FB">
      <w:pPr>
        <w:numPr>
          <w:ilvl w:val="0"/>
          <w:numId w:val="25"/>
        </w:numPr>
        <w:suppressAutoHyphens w:val="0"/>
        <w:spacing w:before="0" w:after="0" w:line="259" w:lineRule="auto"/>
        <w:ind w:left="714" w:hanging="357"/>
        <w:jc w:val="both"/>
        <w:rPr>
          <w:rFonts w:cstheme="minorHAnsi"/>
          <w:color w:val="auto"/>
        </w:rPr>
      </w:pPr>
      <w:r w:rsidRPr="00C64817">
        <w:rPr>
          <w:rFonts w:cstheme="minorHAnsi"/>
          <w:color w:val="auto"/>
        </w:rPr>
        <w:t>DFAT</w:t>
      </w:r>
    </w:p>
    <w:p w14:paraId="5859A6CE" w14:textId="77777777" w:rsidR="00FC55FB" w:rsidRPr="00C64817" w:rsidRDefault="00FC55FB" w:rsidP="00FC55FB">
      <w:pPr>
        <w:numPr>
          <w:ilvl w:val="0"/>
          <w:numId w:val="25"/>
        </w:numPr>
        <w:suppressAutoHyphens w:val="0"/>
        <w:spacing w:before="0" w:after="0" w:line="259" w:lineRule="auto"/>
        <w:ind w:left="714" w:hanging="357"/>
        <w:jc w:val="both"/>
        <w:rPr>
          <w:rFonts w:cstheme="minorHAnsi"/>
          <w:color w:val="auto"/>
        </w:rPr>
      </w:pPr>
      <w:r w:rsidRPr="00C64817">
        <w:rPr>
          <w:rFonts w:cstheme="minorHAnsi"/>
          <w:color w:val="auto"/>
        </w:rPr>
        <w:t>Commercial entity (for country-level activities, this could include delivery through an existing bilateral mechanism)</w:t>
      </w:r>
    </w:p>
    <w:p w14:paraId="61B110D8" w14:textId="77777777" w:rsidR="00FC55FB" w:rsidRPr="00F328DA" w:rsidRDefault="00FC55FB" w:rsidP="00F328DA">
      <w:pPr>
        <w:pStyle w:val="Heading2"/>
        <w:rPr>
          <w:sz w:val="36"/>
          <w:szCs w:val="24"/>
        </w:rPr>
      </w:pPr>
      <w:bookmarkStart w:id="45" w:name="_Toc75535918"/>
      <w:r w:rsidRPr="00F328DA">
        <w:rPr>
          <w:sz w:val="36"/>
          <w:szCs w:val="24"/>
        </w:rPr>
        <w:t>Guiding principles</w:t>
      </w:r>
      <w:bookmarkEnd w:id="45"/>
    </w:p>
    <w:p w14:paraId="60E0084F" w14:textId="77777777" w:rsidR="00FC55FB" w:rsidRPr="00F44628" w:rsidRDefault="00FC55FB" w:rsidP="00FC55FB">
      <w:pPr>
        <w:jc w:val="both"/>
        <w:rPr>
          <w:rFonts w:cstheme="minorHAnsi"/>
          <w:color w:val="auto"/>
        </w:rPr>
      </w:pPr>
      <w:r w:rsidRPr="00407D94">
        <w:rPr>
          <w:rFonts w:cstheme="minorHAnsi"/>
          <w:color w:val="auto"/>
        </w:rPr>
        <w:t>5.2</w:t>
      </w:r>
      <w:r>
        <w:rPr>
          <w:rFonts w:cstheme="minorHAnsi"/>
          <w:color w:val="auto"/>
        </w:rPr>
        <w:t>7</w:t>
      </w:r>
      <w:r w:rsidRPr="00407D94">
        <w:rPr>
          <w:rFonts w:cstheme="minorHAnsi"/>
          <w:color w:val="auto"/>
        </w:rPr>
        <w:tab/>
        <w:t>O</w:t>
      </w:r>
      <w:r w:rsidRPr="008A7462">
        <w:rPr>
          <w:rFonts w:cstheme="minorHAnsi"/>
          <w:color w:val="auto"/>
        </w:rPr>
        <w:t xml:space="preserve">verall, the following </w:t>
      </w:r>
      <w:r w:rsidRPr="00DB3C73">
        <w:rPr>
          <w:rFonts w:cstheme="minorHAnsi"/>
          <w:color w:val="auto"/>
        </w:rPr>
        <w:t>high-level principles will guide</w:t>
      </w:r>
      <w:r w:rsidRPr="002B6BA5">
        <w:rPr>
          <w:rFonts w:cstheme="minorHAnsi"/>
          <w:color w:val="auto"/>
        </w:rPr>
        <w:t xml:space="preserve"> decision-making on management of activities</w:t>
      </w:r>
    </w:p>
    <w:p w14:paraId="0DABA761" w14:textId="77777777" w:rsidR="00FC55FB" w:rsidRPr="00C64817" w:rsidRDefault="00FC55FB" w:rsidP="00FC55FB">
      <w:pPr>
        <w:pStyle w:val="ListParagraph"/>
        <w:numPr>
          <w:ilvl w:val="0"/>
          <w:numId w:val="26"/>
        </w:numPr>
        <w:suppressAutoHyphens w:val="0"/>
        <w:spacing w:before="0" w:after="160" w:line="259" w:lineRule="auto"/>
        <w:jc w:val="both"/>
        <w:rPr>
          <w:rFonts w:cstheme="minorHAnsi"/>
          <w:color w:val="auto"/>
        </w:rPr>
      </w:pPr>
      <w:r w:rsidRPr="00C64817">
        <w:rPr>
          <w:rFonts w:cstheme="minorHAnsi"/>
          <w:color w:val="auto"/>
        </w:rPr>
        <w:t>Pacific ownership – this is the first principle that will be considered given the commitment to a Pacific driven approach to deliver this program.  Where at all feasible, one of the two Pacific-based options (SPC or a civil society entity) will be preferred</w:t>
      </w:r>
    </w:p>
    <w:p w14:paraId="0D40DE34" w14:textId="77777777" w:rsidR="00FC55FB" w:rsidRPr="00ED6A14" w:rsidRDefault="00FC55FB" w:rsidP="00FC55FB">
      <w:pPr>
        <w:pStyle w:val="ListParagraph"/>
        <w:numPr>
          <w:ilvl w:val="0"/>
          <w:numId w:val="26"/>
        </w:numPr>
        <w:suppressAutoHyphens w:val="0"/>
        <w:spacing w:before="0" w:after="160" w:line="259" w:lineRule="auto"/>
        <w:jc w:val="both"/>
        <w:rPr>
          <w:rFonts w:cstheme="minorHAnsi"/>
          <w:color w:val="auto"/>
        </w:rPr>
      </w:pPr>
      <w:r w:rsidRPr="00ED6A14">
        <w:rPr>
          <w:rFonts w:cstheme="minorHAnsi"/>
          <w:color w:val="auto"/>
        </w:rPr>
        <w:t>Effectiveness – with an eye to achieving the Program Outcomes and Goal</w:t>
      </w:r>
    </w:p>
    <w:p w14:paraId="0C991995" w14:textId="77777777" w:rsidR="00FC55FB" w:rsidRPr="00ED6A14" w:rsidRDefault="00FC55FB" w:rsidP="00FC55FB">
      <w:pPr>
        <w:pStyle w:val="ListParagraph"/>
        <w:numPr>
          <w:ilvl w:val="0"/>
          <w:numId w:val="26"/>
        </w:numPr>
        <w:suppressAutoHyphens w:val="0"/>
        <w:spacing w:before="0" w:after="160" w:line="259" w:lineRule="auto"/>
        <w:jc w:val="both"/>
        <w:rPr>
          <w:rFonts w:cstheme="minorHAnsi"/>
          <w:color w:val="auto"/>
        </w:rPr>
      </w:pPr>
      <w:r w:rsidRPr="0046546C">
        <w:rPr>
          <w:rFonts w:cstheme="minorHAnsi"/>
          <w:color w:val="auto"/>
        </w:rPr>
        <w:t>Inclusion – engaging and benefiting diversity of women</w:t>
      </w:r>
    </w:p>
    <w:p w14:paraId="68770E71" w14:textId="77777777" w:rsidR="00FC55FB" w:rsidRPr="00C64817" w:rsidRDefault="00FC55FB" w:rsidP="00FC55FB">
      <w:pPr>
        <w:pStyle w:val="ListParagraph"/>
        <w:numPr>
          <w:ilvl w:val="0"/>
          <w:numId w:val="26"/>
        </w:numPr>
        <w:suppressAutoHyphens w:val="0"/>
        <w:spacing w:before="0" w:after="160" w:line="259" w:lineRule="auto"/>
        <w:jc w:val="both"/>
        <w:rPr>
          <w:rFonts w:cstheme="minorHAnsi"/>
          <w:color w:val="auto"/>
        </w:rPr>
      </w:pPr>
      <w:r w:rsidRPr="00C64817">
        <w:rPr>
          <w:rFonts w:cstheme="minorHAnsi"/>
          <w:color w:val="auto"/>
        </w:rPr>
        <w:t>Value for money – with an eye to demonstrating efficient and cost-conscious use of funds</w:t>
      </w:r>
    </w:p>
    <w:p w14:paraId="3A71F06C" w14:textId="77777777" w:rsidR="00FC55FB" w:rsidRPr="00C64817" w:rsidRDefault="00FC55FB" w:rsidP="00FC55FB">
      <w:pPr>
        <w:pStyle w:val="ListParagraph"/>
        <w:numPr>
          <w:ilvl w:val="0"/>
          <w:numId w:val="26"/>
        </w:numPr>
        <w:suppressAutoHyphens w:val="0"/>
        <w:spacing w:before="0" w:after="0" w:line="240" w:lineRule="auto"/>
        <w:contextualSpacing w:val="0"/>
        <w:rPr>
          <w:rFonts w:cstheme="minorHAnsi"/>
          <w:color w:val="auto"/>
        </w:rPr>
      </w:pPr>
      <w:r w:rsidRPr="00C64817">
        <w:rPr>
          <w:rFonts w:cstheme="minorHAnsi"/>
          <w:color w:val="auto"/>
        </w:rPr>
        <w:t>Continuity of critical services (</w:t>
      </w:r>
      <w:proofErr w:type="spellStart"/>
      <w:r w:rsidRPr="00C64817">
        <w:rPr>
          <w:rFonts w:cstheme="minorHAnsi"/>
          <w:color w:val="auto"/>
        </w:rPr>
        <w:t>eg.</w:t>
      </w:r>
      <w:proofErr w:type="spellEnd"/>
      <w:r w:rsidRPr="00C64817">
        <w:rPr>
          <w:rFonts w:cstheme="minorHAnsi"/>
          <w:color w:val="auto"/>
        </w:rPr>
        <w:t xml:space="preserve"> for survivors of violence).  A smooth transition from current arrangements is essential to ensure services and technical support are not interrupted.</w:t>
      </w:r>
    </w:p>
    <w:p w14:paraId="4021443D" w14:textId="77777777" w:rsidR="00FC55FB" w:rsidRPr="00C64817" w:rsidRDefault="00FC55FB" w:rsidP="00FC55FB">
      <w:pPr>
        <w:suppressAutoHyphens w:val="0"/>
        <w:spacing w:before="0" w:after="160" w:line="259" w:lineRule="auto"/>
        <w:jc w:val="both"/>
        <w:rPr>
          <w:rFonts w:cstheme="minorHAnsi"/>
          <w:color w:val="auto"/>
        </w:rPr>
      </w:pPr>
    </w:p>
    <w:p w14:paraId="5743AC4E" w14:textId="77777777" w:rsidR="00FC55FB" w:rsidRPr="00C64817" w:rsidRDefault="00FC55FB" w:rsidP="00FC55FB">
      <w:pPr>
        <w:jc w:val="both"/>
        <w:rPr>
          <w:rFonts w:cstheme="minorHAnsi"/>
          <w:i/>
          <w:color w:val="auto"/>
          <w:u w:val="single"/>
        </w:rPr>
      </w:pPr>
      <w:r w:rsidRPr="00C64817">
        <w:rPr>
          <w:rFonts w:cstheme="minorHAnsi"/>
          <w:i/>
          <w:color w:val="auto"/>
          <w:u w:val="single"/>
        </w:rPr>
        <w:t>Specific criteria for selecting partner to manage each activity</w:t>
      </w:r>
    </w:p>
    <w:p w14:paraId="5A360580" w14:textId="77777777" w:rsidR="00FC55FB" w:rsidRPr="00DB3C73" w:rsidRDefault="00FC55FB" w:rsidP="00FC55FB">
      <w:pPr>
        <w:suppressAutoHyphens w:val="0"/>
        <w:spacing w:before="0" w:after="160" w:line="259" w:lineRule="auto"/>
        <w:jc w:val="both"/>
        <w:rPr>
          <w:rFonts w:cstheme="minorHAnsi"/>
          <w:color w:val="auto"/>
        </w:rPr>
      </w:pPr>
      <w:r w:rsidRPr="00407D94">
        <w:rPr>
          <w:rFonts w:cstheme="minorHAnsi"/>
          <w:color w:val="auto"/>
        </w:rPr>
        <w:t>5.2</w:t>
      </w:r>
      <w:r>
        <w:rPr>
          <w:rFonts w:cstheme="minorHAnsi"/>
          <w:color w:val="auto"/>
        </w:rPr>
        <w:t>8</w:t>
      </w:r>
      <w:r w:rsidRPr="00407D94">
        <w:rPr>
          <w:rFonts w:cstheme="minorHAnsi"/>
          <w:color w:val="auto"/>
        </w:rPr>
        <w:tab/>
        <w:t>D</w:t>
      </w:r>
      <w:r w:rsidRPr="008A7462">
        <w:rPr>
          <w:rFonts w:cstheme="minorHAnsi"/>
          <w:color w:val="auto"/>
        </w:rPr>
        <w:t xml:space="preserve">ecisions on the delivery partner for </w:t>
      </w:r>
      <w:r w:rsidRPr="00DB3C73">
        <w:rPr>
          <w:rFonts w:cstheme="minorHAnsi"/>
          <w:color w:val="auto"/>
        </w:rPr>
        <w:t>each specific activity will be made against the following criteria:</w:t>
      </w:r>
    </w:p>
    <w:p w14:paraId="657DDF2E" w14:textId="77777777" w:rsidR="00FC55FB" w:rsidRPr="00C64817" w:rsidRDefault="00FC55FB" w:rsidP="00FC55FB">
      <w:pPr>
        <w:pStyle w:val="ListParagraph"/>
        <w:numPr>
          <w:ilvl w:val="0"/>
          <w:numId w:val="26"/>
        </w:numPr>
        <w:suppressAutoHyphens w:val="0"/>
        <w:spacing w:before="0" w:after="160" w:line="259" w:lineRule="auto"/>
        <w:jc w:val="both"/>
        <w:rPr>
          <w:rFonts w:cstheme="minorHAnsi"/>
          <w:color w:val="auto"/>
        </w:rPr>
      </w:pPr>
      <w:r w:rsidRPr="00F44628">
        <w:rPr>
          <w:rFonts w:cstheme="minorHAnsi"/>
          <w:color w:val="auto"/>
        </w:rPr>
        <w:lastRenderedPageBreak/>
        <w:t>Capacity of partner to deliver</w:t>
      </w:r>
    </w:p>
    <w:p w14:paraId="28E7E631" w14:textId="77777777" w:rsidR="00FC55FB" w:rsidRPr="00C64817" w:rsidRDefault="00FC55FB" w:rsidP="00FC55FB">
      <w:pPr>
        <w:pStyle w:val="ListParagraph"/>
        <w:numPr>
          <w:ilvl w:val="0"/>
          <w:numId w:val="26"/>
        </w:numPr>
        <w:suppressAutoHyphens w:val="0"/>
        <w:spacing w:before="0" w:after="160" w:line="259" w:lineRule="auto"/>
        <w:jc w:val="both"/>
        <w:rPr>
          <w:rFonts w:cstheme="minorHAnsi"/>
          <w:color w:val="auto"/>
        </w:rPr>
      </w:pPr>
      <w:r w:rsidRPr="00C64817">
        <w:rPr>
          <w:rFonts w:cstheme="minorHAnsi"/>
          <w:color w:val="auto"/>
        </w:rPr>
        <w:t>Alignment with partner’s agenda</w:t>
      </w:r>
    </w:p>
    <w:p w14:paraId="6376B0A7" w14:textId="77777777" w:rsidR="00FC55FB" w:rsidRPr="00C64817" w:rsidRDefault="00FC55FB" w:rsidP="00FC55FB">
      <w:pPr>
        <w:pStyle w:val="ListParagraph"/>
        <w:numPr>
          <w:ilvl w:val="0"/>
          <w:numId w:val="26"/>
        </w:numPr>
        <w:suppressAutoHyphens w:val="0"/>
        <w:spacing w:before="0" w:after="160" w:line="259" w:lineRule="auto"/>
        <w:jc w:val="both"/>
        <w:rPr>
          <w:rFonts w:cstheme="minorHAnsi"/>
          <w:color w:val="auto"/>
        </w:rPr>
      </w:pPr>
      <w:r w:rsidRPr="00C64817">
        <w:rPr>
          <w:rFonts w:cstheme="minorHAnsi"/>
          <w:color w:val="auto"/>
        </w:rPr>
        <w:t>Preference of partner</w:t>
      </w:r>
    </w:p>
    <w:p w14:paraId="5B63E21D" w14:textId="77777777" w:rsidR="00FC55FB" w:rsidRPr="00C64817" w:rsidRDefault="00FC55FB" w:rsidP="00FC55FB">
      <w:pPr>
        <w:pStyle w:val="ListParagraph"/>
        <w:numPr>
          <w:ilvl w:val="0"/>
          <w:numId w:val="26"/>
        </w:numPr>
        <w:suppressAutoHyphens w:val="0"/>
        <w:spacing w:before="0" w:after="160" w:line="259" w:lineRule="auto"/>
        <w:jc w:val="both"/>
        <w:rPr>
          <w:rFonts w:cstheme="minorHAnsi"/>
          <w:color w:val="auto"/>
        </w:rPr>
      </w:pPr>
      <w:r w:rsidRPr="00C64817">
        <w:rPr>
          <w:rFonts w:cstheme="minorHAnsi"/>
          <w:color w:val="auto"/>
        </w:rPr>
        <w:t>Acceptability to other stakeholders</w:t>
      </w:r>
    </w:p>
    <w:p w14:paraId="21E65E82" w14:textId="77777777" w:rsidR="00FC55FB" w:rsidRPr="00F328DA" w:rsidRDefault="00FC55FB" w:rsidP="00F328DA">
      <w:pPr>
        <w:pStyle w:val="Heading2"/>
        <w:rPr>
          <w:sz w:val="36"/>
          <w:szCs w:val="24"/>
        </w:rPr>
      </w:pPr>
      <w:bookmarkStart w:id="46" w:name="_Toc75535919"/>
      <w:r w:rsidRPr="00F328DA">
        <w:rPr>
          <w:sz w:val="36"/>
          <w:szCs w:val="24"/>
        </w:rPr>
        <w:t>Rationale for each delivery option – SPC, Civil Society, DFAT or commercial entity</w:t>
      </w:r>
      <w:bookmarkEnd w:id="46"/>
    </w:p>
    <w:p w14:paraId="1DC47141" w14:textId="77777777" w:rsidR="00FC55FB" w:rsidRPr="000220F0" w:rsidRDefault="00FC55FB" w:rsidP="00FC55FB">
      <w:pPr>
        <w:jc w:val="both"/>
        <w:rPr>
          <w:rFonts w:cstheme="minorHAnsi"/>
          <w:color w:val="auto"/>
        </w:rPr>
      </w:pPr>
      <w:r w:rsidRPr="00407D94">
        <w:rPr>
          <w:rFonts w:cstheme="minorHAnsi"/>
          <w:color w:val="auto"/>
        </w:rPr>
        <w:t>5.2</w:t>
      </w:r>
      <w:r>
        <w:rPr>
          <w:rFonts w:cstheme="minorHAnsi"/>
          <w:color w:val="auto"/>
        </w:rPr>
        <w:t>9</w:t>
      </w:r>
      <w:r w:rsidRPr="00407D94">
        <w:rPr>
          <w:rFonts w:cstheme="minorHAnsi"/>
          <w:color w:val="auto"/>
        </w:rPr>
        <w:tab/>
      </w:r>
      <w:r w:rsidRPr="008A7462">
        <w:rPr>
          <w:rFonts w:cstheme="minorHAnsi"/>
          <w:color w:val="auto"/>
        </w:rPr>
        <w:t>S</w:t>
      </w:r>
      <w:r w:rsidRPr="00DB3C73">
        <w:rPr>
          <w:rFonts w:cstheme="minorHAnsi"/>
          <w:color w:val="auto"/>
        </w:rPr>
        <w:t xml:space="preserve">PC would be the </w:t>
      </w:r>
      <w:r w:rsidRPr="00B43027">
        <w:rPr>
          <w:rFonts w:cstheme="minorHAnsi"/>
          <w:color w:val="auto"/>
        </w:rPr>
        <w:t>preferred option for activities that:</w:t>
      </w:r>
    </w:p>
    <w:p w14:paraId="14397DCB" w14:textId="77777777" w:rsidR="00FC55FB" w:rsidRPr="00C64817" w:rsidRDefault="00FC55FB" w:rsidP="00FC55FB">
      <w:pPr>
        <w:pStyle w:val="ListParagraph"/>
        <w:numPr>
          <w:ilvl w:val="0"/>
          <w:numId w:val="27"/>
        </w:numPr>
        <w:suppressAutoHyphens w:val="0"/>
        <w:spacing w:before="0" w:after="160" w:line="259" w:lineRule="auto"/>
        <w:jc w:val="both"/>
        <w:rPr>
          <w:rFonts w:cstheme="minorHAnsi"/>
          <w:color w:val="auto"/>
        </w:rPr>
      </w:pPr>
      <w:r w:rsidRPr="00F44628">
        <w:rPr>
          <w:rFonts w:cstheme="minorHAnsi"/>
          <w:color w:val="auto"/>
        </w:rPr>
        <w:t xml:space="preserve">Fit within SPC’s regional mandate </w:t>
      </w:r>
      <w:r w:rsidRPr="00C64817">
        <w:rPr>
          <w:rFonts w:cstheme="minorHAnsi"/>
          <w:color w:val="auto"/>
        </w:rPr>
        <w:t xml:space="preserve">from its members to promote human rights and gender equality </w:t>
      </w:r>
    </w:p>
    <w:p w14:paraId="7C9B8A8B" w14:textId="77777777" w:rsidR="00FC55FB" w:rsidRPr="00C64817" w:rsidRDefault="00FC55FB" w:rsidP="00FC55FB">
      <w:pPr>
        <w:pStyle w:val="ListParagraph"/>
        <w:numPr>
          <w:ilvl w:val="0"/>
          <w:numId w:val="27"/>
        </w:numPr>
        <w:suppressAutoHyphens w:val="0"/>
        <w:spacing w:before="0" w:after="160" w:line="259" w:lineRule="auto"/>
        <w:jc w:val="both"/>
        <w:rPr>
          <w:rFonts w:cstheme="minorHAnsi"/>
          <w:color w:val="auto"/>
        </w:rPr>
      </w:pPr>
      <w:r w:rsidRPr="00C64817">
        <w:rPr>
          <w:rFonts w:cstheme="minorHAnsi"/>
          <w:color w:val="auto"/>
        </w:rPr>
        <w:t>Require technical assistance / capacity building provided by SPC as a development agency</w:t>
      </w:r>
    </w:p>
    <w:p w14:paraId="761EE05E" w14:textId="77777777" w:rsidR="00FC55FB" w:rsidRPr="00C64817" w:rsidRDefault="00FC55FB" w:rsidP="00FC55FB">
      <w:pPr>
        <w:pStyle w:val="ListParagraph"/>
        <w:numPr>
          <w:ilvl w:val="0"/>
          <w:numId w:val="27"/>
        </w:numPr>
        <w:suppressAutoHyphens w:val="0"/>
        <w:spacing w:before="0" w:after="160" w:line="259" w:lineRule="auto"/>
        <w:jc w:val="both"/>
        <w:rPr>
          <w:rFonts w:cstheme="minorHAnsi"/>
          <w:color w:val="auto"/>
        </w:rPr>
      </w:pPr>
      <w:r w:rsidRPr="00C64817">
        <w:rPr>
          <w:rFonts w:cstheme="minorHAnsi"/>
          <w:color w:val="auto"/>
        </w:rPr>
        <w:t xml:space="preserve">Would benefit from links to SPC’s wider sectoral work, including fisheries, agriculture, education, geoscience, public health. </w:t>
      </w:r>
    </w:p>
    <w:p w14:paraId="19926951" w14:textId="77777777" w:rsidR="00FC55FB" w:rsidRPr="00C64817" w:rsidRDefault="00FC55FB" w:rsidP="00FC55FB">
      <w:pPr>
        <w:pStyle w:val="ListParagraph"/>
        <w:numPr>
          <w:ilvl w:val="0"/>
          <w:numId w:val="27"/>
        </w:numPr>
        <w:suppressAutoHyphens w:val="0"/>
        <w:spacing w:before="0" w:after="160" w:line="259" w:lineRule="auto"/>
        <w:jc w:val="both"/>
        <w:rPr>
          <w:rFonts w:cstheme="minorHAnsi"/>
          <w:color w:val="auto"/>
        </w:rPr>
      </w:pPr>
      <w:r w:rsidRPr="00C64817">
        <w:rPr>
          <w:rFonts w:cstheme="minorHAnsi"/>
          <w:color w:val="auto"/>
        </w:rPr>
        <w:t>Can leverage off SPC’s long term relationships with stakeholders across the Pacific</w:t>
      </w:r>
    </w:p>
    <w:p w14:paraId="20DF02F2" w14:textId="77777777" w:rsidR="00FC55FB" w:rsidRPr="00C64817" w:rsidRDefault="00FC55FB" w:rsidP="00FC55FB">
      <w:pPr>
        <w:pStyle w:val="ListParagraph"/>
        <w:numPr>
          <w:ilvl w:val="0"/>
          <w:numId w:val="27"/>
        </w:numPr>
        <w:suppressAutoHyphens w:val="0"/>
        <w:spacing w:before="0" w:after="160" w:line="259" w:lineRule="auto"/>
        <w:jc w:val="both"/>
        <w:rPr>
          <w:rFonts w:cstheme="minorHAnsi"/>
          <w:color w:val="auto"/>
        </w:rPr>
      </w:pPr>
      <w:r w:rsidRPr="00C64817">
        <w:rPr>
          <w:rFonts w:cstheme="minorHAnsi"/>
          <w:color w:val="auto"/>
        </w:rPr>
        <w:t xml:space="preserve">Work regionally with governments, civil society and/or the private sector, and would benefit from SPC’s footprint across the region </w:t>
      </w:r>
    </w:p>
    <w:p w14:paraId="2680D26F" w14:textId="77777777" w:rsidR="00FC55FB" w:rsidRPr="00C64817" w:rsidRDefault="00FC55FB" w:rsidP="00FC55FB">
      <w:pPr>
        <w:jc w:val="both"/>
        <w:rPr>
          <w:rFonts w:cstheme="minorHAnsi"/>
          <w:color w:val="auto"/>
        </w:rPr>
      </w:pPr>
      <w:r w:rsidRPr="00C64817">
        <w:rPr>
          <w:rFonts w:cstheme="minorHAnsi"/>
          <w:color w:val="auto"/>
        </w:rPr>
        <w:t>5.</w:t>
      </w:r>
      <w:r>
        <w:rPr>
          <w:rFonts w:cstheme="minorHAnsi"/>
          <w:color w:val="auto"/>
        </w:rPr>
        <w:t>30</w:t>
      </w:r>
      <w:r w:rsidRPr="00C64817">
        <w:rPr>
          <w:rFonts w:cstheme="minorHAnsi"/>
          <w:color w:val="auto"/>
        </w:rPr>
        <w:tab/>
        <w:t>A civil society entity would be the preferred option for activities that:</w:t>
      </w:r>
    </w:p>
    <w:p w14:paraId="3715C1F8" w14:textId="77777777" w:rsidR="00FC55FB" w:rsidRPr="00C64817" w:rsidRDefault="00FC55FB" w:rsidP="00FC55FB">
      <w:pPr>
        <w:pStyle w:val="ListParagraph"/>
        <w:numPr>
          <w:ilvl w:val="0"/>
          <w:numId w:val="27"/>
        </w:numPr>
        <w:suppressAutoHyphens w:val="0"/>
        <w:spacing w:before="0" w:after="160" w:line="259" w:lineRule="auto"/>
        <w:jc w:val="both"/>
        <w:rPr>
          <w:rFonts w:cstheme="minorHAnsi"/>
          <w:color w:val="auto"/>
        </w:rPr>
      </w:pPr>
      <w:r w:rsidRPr="00C64817">
        <w:rPr>
          <w:rFonts w:cstheme="minorHAnsi"/>
          <w:color w:val="auto"/>
        </w:rPr>
        <w:t>Involve Feminist organising and advocacy to governments</w:t>
      </w:r>
    </w:p>
    <w:p w14:paraId="58BF122C" w14:textId="77777777" w:rsidR="00FC55FB" w:rsidRPr="00C64817" w:rsidRDefault="00FC55FB" w:rsidP="00FC55FB">
      <w:pPr>
        <w:pStyle w:val="ListParagraph"/>
        <w:numPr>
          <w:ilvl w:val="0"/>
          <w:numId w:val="27"/>
        </w:numPr>
        <w:suppressAutoHyphens w:val="0"/>
        <w:spacing w:before="0" w:after="160" w:line="259" w:lineRule="auto"/>
        <w:jc w:val="both"/>
        <w:rPr>
          <w:rFonts w:cstheme="minorHAnsi"/>
          <w:color w:val="auto"/>
        </w:rPr>
      </w:pPr>
      <w:r w:rsidRPr="00C64817">
        <w:rPr>
          <w:rFonts w:cstheme="minorHAnsi"/>
          <w:color w:val="auto"/>
        </w:rPr>
        <w:t>Address sensitive issues around human rights advocacy</w:t>
      </w:r>
      <w:r>
        <w:rPr>
          <w:rFonts w:cstheme="minorHAnsi"/>
          <w:color w:val="auto"/>
        </w:rPr>
        <w:t>, ending violence against women and girls and/or</w:t>
      </w:r>
      <w:r w:rsidRPr="00C64817">
        <w:rPr>
          <w:rFonts w:cstheme="minorHAnsi"/>
          <w:color w:val="auto"/>
        </w:rPr>
        <w:t xml:space="preserve"> sexual/reproductive health</w:t>
      </w:r>
    </w:p>
    <w:p w14:paraId="3528FBF9" w14:textId="77777777" w:rsidR="00FC55FB" w:rsidRPr="00C64817" w:rsidRDefault="00FC55FB" w:rsidP="00FC55FB">
      <w:pPr>
        <w:pStyle w:val="ListParagraph"/>
        <w:numPr>
          <w:ilvl w:val="0"/>
          <w:numId w:val="27"/>
        </w:numPr>
        <w:suppressAutoHyphens w:val="0"/>
        <w:spacing w:before="0" w:after="160" w:line="259" w:lineRule="auto"/>
        <w:jc w:val="both"/>
        <w:rPr>
          <w:rFonts w:cstheme="minorHAnsi"/>
          <w:color w:val="auto"/>
        </w:rPr>
      </w:pPr>
      <w:r w:rsidRPr="00C64817">
        <w:rPr>
          <w:rFonts w:cstheme="minorHAnsi"/>
          <w:color w:val="auto"/>
        </w:rPr>
        <w:t>Require independence from government</w:t>
      </w:r>
    </w:p>
    <w:p w14:paraId="00575F12" w14:textId="77777777" w:rsidR="00FC55FB" w:rsidRPr="00C64817" w:rsidRDefault="00FC55FB" w:rsidP="00FC55FB">
      <w:pPr>
        <w:jc w:val="both"/>
        <w:rPr>
          <w:rFonts w:cstheme="minorHAnsi"/>
          <w:color w:val="auto"/>
        </w:rPr>
      </w:pPr>
      <w:r w:rsidRPr="00C64817">
        <w:rPr>
          <w:rFonts w:cstheme="minorHAnsi"/>
          <w:color w:val="auto"/>
        </w:rPr>
        <w:t>5.3</w:t>
      </w:r>
      <w:r>
        <w:rPr>
          <w:rFonts w:cstheme="minorHAnsi"/>
          <w:color w:val="auto"/>
        </w:rPr>
        <w:t>1</w:t>
      </w:r>
      <w:r w:rsidRPr="00C64817">
        <w:rPr>
          <w:rFonts w:cstheme="minorHAnsi"/>
          <w:color w:val="auto"/>
        </w:rPr>
        <w:tab/>
        <w:t>DFAT would be the preferred option for activities that:</w:t>
      </w:r>
    </w:p>
    <w:p w14:paraId="32E6E053" w14:textId="77777777" w:rsidR="00FC55FB" w:rsidRPr="00C64817" w:rsidRDefault="00FC55FB" w:rsidP="00FC55FB">
      <w:pPr>
        <w:pStyle w:val="ListParagraph"/>
        <w:numPr>
          <w:ilvl w:val="0"/>
          <w:numId w:val="28"/>
        </w:numPr>
        <w:jc w:val="both"/>
        <w:rPr>
          <w:rFonts w:cstheme="minorHAnsi"/>
          <w:color w:val="auto"/>
        </w:rPr>
      </w:pPr>
      <w:r w:rsidRPr="00C64817">
        <w:rPr>
          <w:rFonts w:cstheme="minorHAnsi"/>
          <w:color w:val="auto"/>
        </w:rPr>
        <w:t>Involve funding to Australia’s intergovernmental partners</w:t>
      </w:r>
    </w:p>
    <w:p w14:paraId="5E389F20" w14:textId="77777777" w:rsidR="00FC55FB" w:rsidRPr="00C64817" w:rsidRDefault="00FC55FB" w:rsidP="00FC55FB">
      <w:pPr>
        <w:pStyle w:val="ListParagraph"/>
        <w:numPr>
          <w:ilvl w:val="0"/>
          <w:numId w:val="28"/>
        </w:numPr>
        <w:jc w:val="both"/>
        <w:rPr>
          <w:rFonts w:cstheme="minorHAnsi"/>
          <w:color w:val="auto"/>
        </w:rPr>
      </w:pPr>
      <w:r w:rsidRPr="00C64817">
        <w:rPr>
          <w:rFonts w:cstheme="minorHAnsi"/>
          <w:color w:val="auto"/>
        </w:rPr>
        <w:t>Require Australian Government relationship management</w:t>
      </w:r>
    </w:p>
    <w:p w14:paraId="3D3D8816" w14:textId="77777777" w:rsidR="00FC55FB" w:rsidRPr="00C64817" w:rsidRDefault="00FC55FB" w:rsidP="00FC55FB">
      <w:pPr>
        <w:jc w:val="both"/>
        <w:rPr>
          <w:rFonts w:cstheme="minorHAnsi"/>
          <w:color w:val="auto"/>
        </w:rPr>
      </w:pPr>
      <w:r w:rsidRPr="00C64817">
        <w:rPr>
          <w:rFonts w:cstheme="minorHAnsi"/>
          <w:color w:val="auto"/>
        </w:rPr>
        <w:t>5.3</w:t>
      </w:r>
      <w:r>
        <w:rPr>
          <w:rFonts w:cstheme="minorHAnsi"/>
          <w:color w:val="auto"/>
        </w:rPr>
        <w:t>2</w:t>
      </w:r>
      <w:r w:rsidRPr="00C64817">
        <w:rPr>
          <w:rFonts w:cstheme="minorHAnsi"/>
          <w:color w:val="auto"/>
        </w:rPr>
        <w:tab/>
        <w:t>A commercial entity would be the preferred option for activities that:</w:t>
      </w:r>
    </w:p>
    <w:p w14:paraId="7C9A7853" w14:textId="77777777" w:rsidR="00FC55FB" w:rsidRPr="00C64817" w:rsidRDefault="00FC55FB" w:rsidP="00FC55FB">
      <w:pPr>
        <w:pStyle w:val="ListParagraph"/>
        <w:numPr>
          <w:ilvl w:val="0"/>
          <w:numId w:val="28"/>
        </w:numPr>
        <w:jc w:val="both"/>
        <w:rPr>
          <w:rFonts w:cstheme="minorHAnsi"/>
          <w:color w:val="auto"/>
        </w:rPr>
      </w:pPr>
      <w:r w:rsidRPr="00C64817">
        <w:rPr>
          <w:rFonts w:cstheme="minorHAnsi"/>
          <w:color w:val="auto"/>
        </w:rPr>
        <w:t>Do not naturally fit with one of the other three options</w:t>
      </w:r>
    </w:p>
    <w:p w14:paraId="4D06FB2B" w14:textId="77777777" w:rsidR="00FC55FB" w:rsidRPr="00C64817" w:rsidRDefault="00FC55FB" w:rsidP="00FC55FB">
      <w:pPr>
        <w:pStyle w:val="ListParagraph"/>
        <w:numPr>
          <w:ilvl w:val="0"/>
          <w:numId w:val="28"/>
        </w:numPr>
        <w:jc w:val="both"/>
        <w:rPr>
          <w:rFonts w:cstheme="minorHAnsi"/>
          <w:color w:val="auto"/>
        </w:rPr>
      </w:pPr>
      <w:r w:rsidRPr="00C64817">
        <w:rPr>
          <w:rFonts w:cstheme="minorHAnsi"/>
          <w:color w:val="auto"/>
        </w:rPr>
        <w:t xml:space="preserve">Require additional resources and expertise to be mobilised for a specific </w:t>
      </w:r>
      <w:proofErr w:type="gramStart"/>
      <w:r w:rsidRPr="00C64817">
        <w:rPr>
          <w:rFonts w:cstheme="minorHAnsi"/>
          <w:color w:val="auto"/>
        </w:rPr>
        <w:t>time period</w:t>
      </w:r>
      <w:proofErr w:type="gramEnd"/>
    </w:p>
    <w:p w14:paraId="34045E70" w14:textId="77777777" w:rsidR="00FC55FB" w:rsidRPr="00F328DA" w:rsidRDefault="00FC55FB" w:rsidP="00F328DA">
      <w:pPr>
        <w:pStyle w:val="Heading2"/>
        <w:rPr>
          <w:sz w:val="36"/>
          <w:szCs w:val="24"/>
        </w:rPr>
      </w:pPr>
      <w:bookmarkStart w:id="47" w:name="_Toc75535920"/>
      <w:r w:rsidRPr="00F328DA">
        <w:rPr>
          <w:sz w:val="36"/>
          <w:szCs w:val="24"/>
        </w:rPr>
        <w:t>Responsibility for decision-making on activity management</w:t>
      </w:r>
      <w:bookmarkEnd w:id="47"/>
    </w:p>
    <w:p w14:paraId="26A7C395" w14:textId="77777777" w:rsidR="00FC55FB" w:rsidRPr="00DB3C73" w:rsidRDefault="00FC55FB" w:rsidP="00FC55FB">
      <w:pPr>
        <w:suppressAutoHyphens w:val="0"/>
        <w:spacing w:before="0" w:after="160" w:line="259" w:lineRule="auto"/>
        <w:jc w:val="both"/>
        <w:rPr>
          <w:rFonts w:eastAsia="Times New Roman" w:cstheme="minorHAnsi"/>
          <w:color w:val="auto"/>
          <w:lang w:eastAsia="en-AU"/>
        </w:rPr>
      </w:pPr>
      <w:r w:rsidRPr="00407D94">
        <w:rPr>
          <w:rFonts w:eastAsia="Times New Roman" w:cstheme="minorHAnsi"/>
          <w:color w:val="auto"/>
          <w:lang w:eastAsia="en-AU"/>
        </w:rPr>
        <w:t>5.3</w:t>
      </w:r>
      <w:r>
        <w:rPr>
          <w:rFonts w:eastAsia="Times New Roman" w:cstheme="minorHAnsi"/>
          <w:color w:val="auto"/>
          <w:lang w:eastAsia="en-AU"/>
        </w:rPr>
        <w:t>3</w:t>
      </w:r>
      <w:r w:rsidRPr="00407D94">
        <w:rPr>
          <w:rFonts w:eastAsia="Times New Roman" w:cstheme="minorHAnsi"/>
          <w:color w:val="auto"/>
          <w:lang w:eastAsia="en-AU"/>
        </w:rPr>
        <w:tab/>
        <w:t>D</w:t>
      </w:r>
      <w:r w:rsidRPr="008A7462">
        <w:rPr>
          <w:rFonts w:eastAsia="Times New Roman" w:cstheme="minorHAnsi"/>
          <w:color w:val="auto"/>
          <w:lang w:eastAsia="en-AU"/>
        </w:rPr>
        <w:t xml:space="preserve">ecisions on activity management responsibility </w:t>
      </w:r>
      <w:r w:rsidRPr="00DB3C73">
        <w:rPr>
          <w:rFonts w:eastAsia="Times New Roman" w:cstheme="minorHAnsi"/>
          <w:color w:val="auto"/>
          <w:lang w:eastAsia="en-AU"/>
        </w:rPr>
        <w:t>will be made in the following stages:</w:t>
      </w:r>
    </w:p>
    <w:p w14:paraId="0D06FD41" w14:textId="77777777" w:rsidR="00FC55FB" w:rsidRPr="00C64817" w:rsidRDefault="00FC55FB" w:rsidP="00FC55FB">
      <w:pPr>
        <w:pStyle w:val="ListParagraph"/>
        <w:numPr>
          <w:ilvl w:val="0"/>
          <w:numId w:val="58"/>
        </w:numPr>
        <w:suppressAutoHyphens w:val="0"/>
        <w:spacing w:before="0" w:after="160" w:line="259" w:lineRule="auto"/>
        <w:jc w:val="both"/>
        <w:rPr>
          <w:rFonts w:eastAsia="Times New Roman" w:cstheme="minorHAnsi"/>
          <w:color w:val="auto"/>
          <w:lang w:eastAsia="en-AU"/>
        </w:rPr>
      </w:pPr>
      <w:r w:rsidRPr="00F44628">
        <w:rPr>
          <w:rFonts w:eastAsia="Times New Roman" w:cstheme="minorHAnsi"/>
          <w:color w:val="auto"/>
          <w:lang w:eastAsia="en-AU"/>
        </w:rPr>
        <w:t>Immed</w:t>
      </w:r>
      <w:r w:rsidRPr="00C64817">
        <w:rPr>
          <w:rFonts w:eastAsia="Times New Roman" w:cstheme="minorHAnsi"/>
          <w:color w:val="auto"/>
          <w:lang w:eastAsia="en-AU"/>
        </w:rPr>
        <w:t>iate decisions will be made through the Transition Plan in February/March 2021</w:t>
      </w:r>
    </w:p>
    <w:p w14:paraId="602E5D16" w14:textId="77777777" w:rsidR="00FC55FB" w:rsidRPr="00C64817" w:rsidRDefault="00FC55FB" w:rsidP="00FC55FB">
      <w:pPr>
        <w:pStyle w:val="ListParagraph"/>
        <w:numPr>
          <w:ilvl w:val="0"/>
          <w:numId w:val="58"/>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In the transition phase, it is proposed that the current Pacific Women Advisory Board be tasked with making recommendations about activity management.</w:t>
      </w:r>
    </w:p>
    <w:p w14:paraId="6DB5F0DA" w14:textId="77777777" w:rsidR="00FC55FB" w:rsidRPr="00C64817" w:rsidRDefault="00FC55FB" w:rsidP="00FC55FB">
      <w:pPr>
        <w:pStyle w:val="ListParagraph"/>
        <w:numPr>
          <w:ilvl w:val="0"/>
          <w:numId w:val="78"/>
        </w:numPr>
        <w:suppressAutoHyphens w:val="0"/>
        <w:spacing w:before="0" w:after="160" w:line="259" w:lineRule="auto"/>
        <w:jc w:val="both"/>
        <w:rPr>
          <w:rFonts w:eastAsia="Times New Roman" w:cstheme="minorHAnsi"/>
          <w:color w:val="auto"/>
          <w:lang w:eastAsia="en-AU"/>
        </w:rPr>
      </w:pPr>
      <w:r w:rsidRPr="00C64817">
        <w:rPr>
          <w:rFonts w:eastAsia="Times New Roman" w:cstheme="minorHAnsi"/>
          <w:color w:val="auto"/>
          <w:lang w:eastAsia="en-AU"/>
        </w:rPr>
        <w:t>once Pacific Women Lead is fully operational, the Board will recommend the allocat</w:t>
      </w:r>
      <w:r>
        <w:rPr>
          <w:rFonts w:eastAsia="Times New Roman" w:cstheme="minorHAnsi"/>
          <w:color w:val="auto"/>
          <w:lang w:eastAsia="en-AU"/>
        </w:rPr>
        <w:t>ion</w:t>
      </w:r>
      <w:r w:rsidRPr="00C64817">
        <w:rPr>
          <w:rFonts w:eastAsia="Times New Roman" w:cstheme="minorHAnsi"/>
          <w:color w:val="auto"/>
          <w:lang w:eastAsia="en-AU"/>
        </w:rPr>
        <w:t xml:space="preserve"> of new activities to the appropriate management entity.  </w:t>
      </w:r>
    </w:p>
    <w:p w14:paraId="77E5CF8E" w14:textId="77777777" w:rsidR="00FC55FB" w:rsidRPr="00F328DA" w:rsidRDefault="00FC55FB" w:rsidP="00F328DA">
      <w:pPr>
        <w:pStyle w:val="Heading2"/>
        <w:rPr>
          <w:sz w:val="36"/>
          <w:szCs w:val="24"/>
          <w:lang w:eastAsia="en-AU"/>
        </w:rPr>
      </w:pPr>
      <w:bookmarkStart w:id="48" w:name="_Toc75535921"/>
      <w:r w:rsidRPr="00F328DA">
        <w:rPr>
          <w:sz w:val="36"/>
          <w:szCs w:val="24"/>
          <w:lang w:eastAsia="en-AU"/>
        </w:rPr>
        <w:t>Vision for further Transition Planning beyond 2021</w:t>
      </w:r>
      <w:bookmarkEnd w:id="48"/>
    </w:p>
    <w:p w14:paraId="68CA0EBE" w14:textId="46587E3C" w:rsidR="00FC55FB" w:rsidRPr="00C313F7" w:rsidRDefault="00FC55FB" w:rsidP="00C313F7">
      <w:pPr>
        <w:suppressAutoHyphens w:val="0"/>
        <w:spacing w:before="0" w:after="160" w:line="259" w:lineRule="auto"/>
        <w:jc w:val="both"/>
        <w:rPr>
          <w:rFonts w:eastAsia="Times New Roman" w:cstheme="minorHAnsi"/>
          <w:color w:val="auto"/>
          <w:lang w:eastAsia="en-AU"/>
        </w:rPr>
      </w:pPr>
      <w:r w:rsidRPr="00407D94">
        <w:rPr>
          <w:rFonts w:eastAsia="Times New Roman" w:cstheme="minorHAnsi"/>
          <w:color w:val="auto"/>
          <w:lang w:eastAsia="en-AU"/>
        </w:rPr>
        <w:t>5.3</w:t>
      </w:r>
      <w:r>
        <w:rPr>
          <w:rFonts w:eastAsia="Times New Roman" w:cstheme="minorHAnsi"/>
          <w:color w:val="auto"/>
          <w:lang w:eastAsia="en-AU"/>
        </w:rPr>
        <w:t>4</w:t>
      </w:r>
      <w:r w:rsidRPr="00407D94">
        <w:rPr>
          <w:rFonts w:eastAsia="Times New Roman" w:cstheme="minorHAnsi"/>
          <w:color w:val="auto"/>
          <w:lang w:eastAsia="en-AU"/>
        </w:rPr>
        <w:tab/>
        <w:t>W</w:t>
      </w:r>
      <w:r w:rsidRPr="008A7462">
        <w:rPr>
          <w:rFonts w:eastAsia="Times New Roman" w:cstheme="minorHAnsi"/>
          <w:color w:val="auto"/>
          <w:lang w:eastAsia="en-AU"/>
        </w:rPr>
        <w:t>h</w:t>
      </w:r>
      <w:r w:rsidRPr="00DB3C73">
        <w:rPr>
          <w:rFonts w:eastAsia="Times New Roman" w:cstheme="minorHAnsi"/>
          <w:color w:val="auto"/>
          <w:lang w:eastAsia="en-AU"/>
        </w:rPr>
        <w:t>ile the formal transition phase is</w:t>
      </w:r>
      <w:r w:rsidRPr="00B43027">
        <w:rPr>
          <w:rFonts w:eastAsia="Times New Roman" w:cstheme="minorHAnsi"/>
          <w:color w:val="auto"/>
          <w:lang w:eastAsia="en-AU"/>
        </w:rPr>
        <w:t xml:space="preserve"> the period up until </w:t>
      </w:r>
      <w:r w:rsidRPr="00C313F7">
        <w:rPr>
          <w:rFonts w:eastAsia="Times New Roman" w:cstheme="minorHAnsi"/>
          <w:color w:val="auto"/>
          <w:lang w:eastAsia="en-AU"/>
        </w:rPr>
        <w:t xml:space="preserve">Pacific Women Shaping Pacific Development </w:t>
      </w:r>
      <w:r w:rsidRPr="00407D94">
        <w:rPr>
          <w:rFonts w:eastAsia="Times New Roman" w:cstheme="minorHAnsi"/>
          <w:color w:val="auto"/>
          <w:lang w:eastAsia="en-AU"/>
        </w:rPr>
        <w:t>finishes at the end of 2021, the realit</w:t>
      </w:r>
      <w:r w:rsidRPr="008A7462">
        <w:rPr>
          <w:rFonts w:eastAsia="Times New Roman" w:cstheme="minorHAnsi"/>
          <w:color w:val="auto"/>
          <w:lang w:eastAsia="en-AU"/>
        </w:rPr>
        <w:t>y i</w:t>
      </w:r>
      <w:r w:rsidRPr="00DB3C73">
        <w:rPr>
          <w:rFonts w:eastAsia="Times New Roman" w:cstheme="minorHAnsi"/>
          <w:color w:val="auto"/>
          <w:lang w:eastAsia="en-AU"/>
        </w:rPr>
        <w:t xml:space="preserve">s that </w:t>
      </w:r>
      <w:r>
        <w:rPr>
          <w:rFonts w:eastAsia="Times New Roman" w:cstheme="minorHAnsi"/>
          <w:color w:val="auto"/>
          <w:lang w:eastAsia="en-AU"/>
        </w:rPr>
        <w:t>change and evolution</w:t>
      </w:r>
      <w:r w:rsidRPr="00B43027">
        <w:rPr>
          <w:rFonts w:eastAsia="Times New Roman" w:cstheme="minorHAnsi"/>
          <w:color w:val="auto"/>
          <w:lang w:eastAsia="en-AU"/>
        </w:rPr>
        <w:t xml:space="preserve"> </w:t>
      </w:r>
      <w:r>
        <w:rPr>
          <w:rFonts w:eastAsia="Times New Roman" w:cstheme="minorHAnsi"/>
          <w:color w:val="auto"/>
          <w:lang w:eastAsia="en-AU"/>
        </w:rPr>
        <w:t>is expected to</w:t>
      </w:r>
      <w:r w:rsidRPr="00B43027">
        <w:rPr>
          <w:rFonts w:eastAsia="Times New Roman" w:cstheme="minorHAnsi"/>
          <w:color w:val="auto"/>
          <w:lang w:eastAsia="en-AU"/>
        </w:rPr>
        <w:t xml:space="preserve"> </w:t>
      </w:r>
      <w:r w:rsidRPr="000220F0">
        <w:rPr>
          <w:rFonts w:eastAsia="Times New Roman" w:cstheme="minorHAnsi"/>
          <w:color w:val="auto"/>
          <w:lang w:eastAsia="en-AU"/>
        </w:rPr>
        <w:t>continue</w:t>
      </w:r>
      <w:r w:rsidRPr="005A50E8">
        <w:rPr>
          <w:rFonts w:eastAsia="Times New Roman" w:cstheme="minorHAnsi"/>
          <w:color w:val="auto"/>
          <w:lang w:eastAsia="en-AU"/>
        </w:rPr>
        <w:t xml:space="preserve"> </w:t>
      </w:r>
      <w:r w:rsidRPr="00F44628">
        <w:rPr>
          <w:rFonts w:eastAsia="Times New Roman" w:cstheme="minorHAnsi"/>
          <w:color w:val="auto"/>
          <w:lang w:eastAsia="en-AU"/>
        </w:rPr>
        <w:t xml:space="preserve">throughout the life </w:t>
      </w:r>
      <w:r w:rsidRPr="00F44628">
        <w:rPr>
          <w:rFonts w:eastAsia="Times New Roman" w:cstheme="minorHAnsi"/>
          <w:color w:val="auto"/>
          <w:lang w:eastAsia="en-AU"/>
        </w:rPr>
        <w:lastRenderedPageBreak/>
        <w:t xml:space="preserve">of </w:t>
      </w:r>
      <w:r w:rsidRPr="00C313F7">
        <w:rPr>
          <w:rFonts w:eastAsia="Times New Roman" w:cstheme="minorHAnsi"/>
          <w:color w:val="auto"/>
          <w:lang w:eastAsia="en-AU"/>
        </w:rPr>
        <w:t xml:space="preserve">Pacific Women Lead, </w:t>
      </w:r>
      <w:r w:rsidRPr="0046546C">
        <w:rPr>
          <w:rFonts w:eastAsia="Times New Roman" w:cstheme="minorHAnsi"/>
          <w:color w:val="auto"/>
          <w:lang w:eastAsia="en-AU"/>
        </w:rPr>
        <w:t>as new partners develop and strengthen their role as gender</w:t>
      </w:r>
      <w:r>
        <w:rPr>
          <w:rFonts w:eastAsia="Times New Roman" w:cstheme="minorHAnsi"/>
          <w:color w:val="auto"/>
          <w:lang w:eastAsia="en-AU"/>
        </w:rPr>
        <w:t xml:space="preserve"> advocates and leaders</w:t>
      </w:r>
      <w:r w:rsidRPr="00407D94">
        <w:rPr>
          <w:rFonts w:eastAsia="Times New Roman" w:cstheme="minorHAnsi"/>
          <w:color w:val="auto"/>
          <w:lang w:eastAsia="en-AU"/>
        </w:rPr>
        <w:t xml:space="preserve">. This program will </w:t>
      </w:r>
      <w:proofErr w:type="gramStart"/>
      <w:r w:rsidRPr="00407D94">
        <w:rPr>
          <w:rFonts w:eastAsia="Times New Roman" w:cstheme="minorHAnsi"/>
          <w:color w:val="auto"/>
          <w:lang w:eastAsia="en-AU"/>
        </w:rPr>
        <w:t>at all times</w:t>
      </w:r>
      <w:proofErr w:type="gramEnd"/>
      <w:r w:rsidRPr="00407D94">
        <w:rPr>
          <w:rFonts w:eastAsia="Times New Roman" w:cstheme="minorHAnsi"/>
          <w:color w:val="auto"/>
          <w:lang w:eastAsia="en-AU"/>
        </w:rPr>
        <w:t xml:space="preserve"> hav</w:t>
      </w:r>
      <w:r w:rsidRPr="008A7462">
        <w:rPr>
          <w:rFonts w:eastAsia="Times New Roman" w:cstheme="minorHAnsi"/>
          <w:color w:val="auto"/>
          <w:lang w:eastAsia="en-AU"/>
        </w:rPr>
        <w:t>e a</w:t>
      </w:r>
      <w:r w:rsidRPr="00DB3C73">
        <w:rPr>
          <w:rFonts w:eastAsia="Times New Roman" w:cstheme="minorHAnsi"/>
          <w:color w:val="auto"/>
          <w:lang w:eastAsia="en-AU"/>
        </w:rPr>
        <w:t xml:space="preserve"> mandate and an appetite to </w:t>
      </w:r>
      <w:r w:rsidRPr="00B43027">
        <w:rPr>
          <w:rFonts w:eastAsia="Times New Roman" w:cstheme="minorHAnsi"/>
          <w:color w:val="auto"/>
          <w:lang w:eastAsia="en-AU"/>
        </w:rPr>
        <w:t>look for opportunities to push more program manag</w:t>
      </w:r>
      <w:r w:rsidRPr="000220F0">
        <w:rPr>
          <w:rFonts w:eastAsia="Times New Roman" w:cstheme="minorHAnsi"/>
          <w:color w:val="auto"/>
          <w:lang w:eastAsia="en-AU"/>
        </w:rPr>
        <w:t>ement into the Pa</w:t>
      </w:r>
      <w:r w:rsidRPr="005A50E8">
        <w:rPr>
          <w:rFonts w:eastAsia="Times New Roman" w:cstheme="minorHAnsi"/>
          <w:color w:val="auto"/>
          <w:lang w:eastAsia="en-AU"/>
        </w:rPr>
        <w:t>cifi</w:t>
      </w:r>
      <w:r w:rsidRPr="00F44628">
        <w:rPr>
          <w:rFonts w:eastAsia="Times New Roman" w:cstheme="minorHAnsi"/>
          <w:color w:val="auto"/>
          <w:lang w:eastAsia="en-AU"/>
        </w:rPr>
        <w:t>c, par</w:t>
      </w:r>
      <w:r w:rsidRPr="00C64817">
        <w:rPr>
          <w:rFonts w:eastAsia="Times New Roman" w:cstheme="minorHAnsi"/>
          <w:color w:val="auto"/>
          <w:lang w:eastAsia="en-AU"/>
        </w:rPr>
        <w:t>ticularly to the civil society stream of the hybrid model. For example, when the Pacific Feminist Fund is up and running, it may provide a good civil society option to take some of the management load. Another option to consider could involve a well-established women’s crisis centre in a larger Pacific country to support the management of women’s crisis centres in smaller island states. These and other options will be able to be considered and discussed by the Governance Board and program partners as the program moves through the early years of implementation.</w:t>
      </w:r>
    </w:p>
    <w:p w14:paraId="14E68124" w14:textId="69F4F926" w:rsidR="000110F6" w:rsidRDefault="000110F6" w:rsidP="00BE1966">
      <w:pPr>
        <w:suppressAutoHyphens w:val="0"/>
        <w:spacing w:before="0" w:after="120" w:line="440" w:lineRule="atLeast"/>
        <w:ind w:left="7920"/>
        <w:rPr>
          <w:rFonts w:eastAsia="Times New Roman" w:cs="Arial"/>
          <w:b/>
          <w:bCs/>
          <w:color w:val="auto"/>
          <w:sz w:val="28"/>
          <w:szCs w:val="28"/>
          <w:lang w:val="en-AU" w:eastAsia="en-AU"/>
        </w:rPr>
      </w:pPr>
    </w:p>
    <w:p w14:paraId="5A72FF13" w14:textId="77777777" w:rsidR="007D57F0" w:rsidRPr="00017106" w:rsidRDefault="007D57F0" w:rsidP="006840A7">
      <w:pPr>
        <w:rPr>
          <w:rFonts w:asciiTheme="majorHAnsi" w:hAnsiTheme="majorHAnsi" w:cstheme="majorHAnsi"/>
          <w:color w:val="auto"/>
        </w:rPr>
      </w:pPr>
    </w:p>
    <w:sectPr w:rsidR="007D57F0" w:rsidRPr="00017106" w:rsidSect="00BE1966">
      <w:pgSz w:w="11906" w:h="16838" w:code="9"/>
      <w:pgMar w:top="1560" w:right="991"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C5441" w14:textId="77777777" w:rsidR="00F328DA" w:rsidRDefault="00F328DA" w:rsidP="00D37B04">
      <w:r>
        <w:separator/>
      </w:r>
    </w:p>
  </w:endnote>
  <w:endnote w:type="continuationSeparator" w:id="0">
    <w:p w14:paraId="41E18143" w14:textId="77777777" w:rsidR="00F328DA" w:rsidRDefault="00F328DA" w:rsidP="00D37B04">
      <w:r>
        <w:continuationSeparator/>
      </w:r>
    </w:p>
  </w:endnote>
  <w:endnote w:type="continuationNotice" w:id="1">
    <w:p w14:paraId="4BCD274C" w14:textId="77777777" w:rsidR="00F328DA" w:rsidRDefault="00F328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tegraSans-Regular">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580832"/>
      <w:docPartObj>
        <w:docPartGallery w:val="Page Numbers (Bottom of Page)"/>
        <w:docPartUnique/>
      </w:docPartObj>
    </w:sdtPr>
    <w:sdtEndPr>
      <w:rPr>
        <w:noProof/>
      </w:rPr>
    </w:sdtEndPr>
    <w:sdtContent>
      <w:p w14:paraId="1475C3CC" w14:textId="031B0598" w:rsidR="00F328DA" w:rsidRDefault="00F328DA">
        <w:pPr>
          <w:pStyle w:val="Footer"/>
          <w:jc w:val="center"/>
        </w:pPr>
        <w:r w:rsidRPr="00C64817">
          <w:rPr>
            <w:color w:val="auto"/>
          </w:rPr>
          <w:fldChar w:fldCharType="begin"/>
        </w:r>
        <w:r w:rsidRPr="00C64817">
          <w:rPr>
            <w:color w:val="auto"/>
          </w:rPr>
          <w:instrText xml:space="preserve"> PAGE   \* MERGEFORMAT </w:instrText>
        </w:r>
        <w:r w:rsidRPr="00C64817">
          <w:rPr>
            <w:color w:val="auto"/>
          </w:rPr>
          <w:fldChar w:fldCharType="separate"/>
        </w:r>
        <w:r>
          <w:rPr>
            <w:noProof/>
            <w:color w:val="auto"/>
          </w:rPr>
          <w:t>54</w:t>
        </w:r>
        <w:r w:rsidRPr="00C64817">
          <w:rPr>
            <w:noProof/>
            <w:color w:val="auto"/>
          </w:rPr>
          <w:fldChar w:fldCharType="end"/>
        </w:r>
      </w:p>
    </w:sdtContent>
  </w:sdt>
  <w:p w14:paraId="334037BA" w14:textId="77777777" w:rsidR="00F328DA" w:rsidRDefault="00F328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960942934"/>
      <w:docPartObj>
        <w:docPartGallery w:val="Page Numbers (Bottom of Page)"/>
        <w:docPartUnique/>
      </w:docPartObj>
    </w:sdtPr>
    <w:sdtEndPr>
      <w:rPr>
        <w:noProof/>
      </w:rPr>
    </w:sdtEndPr>
    <w:sdtContent>
      <w:p w14:paraId="14B8A897" w14:textId="7D607152" w:rsidR="00F328DA" w:rsidRDefault="00F328DA">
        <w:pPr>
          <w:pStyle w:val="Footer"/>
          <w:jc w:val="center"/>
        </w:pPr>
        <w:r w:rsidRPr="00F328DA">
          <w:rPr>
            <w:color w:val="auto"/>
          </w:rPr>
          <w:fldChar w:fldCharType="begin"/>
        </w:r>
        <w:r w:rsidRPr="00F328DA">
          <w:rPr>
            <w:color w:val="auto"/>
          </w:rPr>
          <w:instrText xml:space="preserve"> PAGE   \* MERGEFORMAT </w:instrText>
        </w:r>
        <w:r w:rsidRPr="00F328DA">
          <w:rPr>
            <w:color w:val="auto"/>
          </w:rPr>
          <w:fldChar w:fldCharType="separate"/>
        </w:r>
        <w:r w:rsidRPr="00F328DA">
          <w:rPr>
            <w:noProof/>
            <w:color w:val="auto"/>
          </w:rPr>
          <w:t>41</w:t>
        </w:r>
        <w:r w:rsidRPr="00F328DA">
          <w:rPr>
            <w:noProof/>
            <w:color w:val="auto"/>
          </w:rPr>
          <w:fldChar w:fldCharType="end"/>
        </w:r>
      </w:p>
    </w:sdtContent>
  </w:sdt>
  <w:p w14:paraId="1FD215C2" w14:textId="77777777" w:rsidR="00F328DA" w:rsidRDefault="00F32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D110B" w14:textId="77777777" w:rsidR="00F328DA" w:rsidRPr="008C5A0E" w:rsidRDefault="00F328DA" w:rsidP="00D37B04">
      <w:pPr>
        <w:pStyle w:val="Footer"/>
      </w:pPr>
    </w:p>
  </w:footnote>
  <w:footnote w:type="continuationSeparator" w:id="0">
    <w:p w14:paraId="6358C4EB" w14:textId="77777777" w:rsidR="00F328DA" w:rsidRDefault="00F328DA" w:rsidP="00D37B04">
      <w:r>
        <w:continuationSeparator/>
      </w:r>
    </w:p>
  </w:footnote>
  <w:footnote w:type="continuationNotice" w:id="1">
    <w:p w14:paraId="6445F0FA" w14:textId="77777777" w:rsidR="00F328DA" w:rsidRDefault="00F328DA">
      <w:pPr>
        <w:spacing w:before="0" w:after="0" w:line="240" w:lineRule="auto"/>
      </w:pPr>
    </w:p>
  </w:footnote>
  <w:footnote w:id="2">
    <w:p w14:paraId="74F39A57" w14:textId="77777777" w:rsidR="00F328DA" w:rsidRDefault="00F328DA" w:rsidP="005E6568">
      <w:pPr>
        <w:pStyle w:val="FootnoteText"/>
        <w:rPr>
          <w:lang w:val="en-AU"/>
        </w:rPr>
      </w:pPr>
      <w:r>
        <w:rPr>
          <w:rStyle w:val="FootnoteReference"/>
        </w:rPr>
        <w:footnoteRef/>
      </w:r>
      <w:r>
        <w:t xml:space="preserve"> Dr Elissa Kennedy, </w:t>
      </w:r>
      <w:r>
        <w:rPr>
          <w:lang w:val="en-AU"/>
        </w:rPr>
        <w:t>Early adolescence central to gender inequality in Asia-Pacific &lt;</w:t>
      </w:r>
      <w:hyperlink r:id="rId1" w:history="1">
        <w:r w:rsidRPr="00FD1313">
          <w:rPr>
            <w:rStyle w:val="Hyperlink"/>
            <w:rFonts w:cstheme="minorBidi"/>
            <w:lang w:val="en-AU"/>
          </w:rPr>
          <w:t>https://burnet.edu.au/news/1314_early_adolescence_central_to_gender_inequality_in_asia_pacific</w:t>
        </w:r>
      </w:hyperlink>
      <w:r>
        <w:rPr>
          <w:rStyle w:val="Hyperlink"/>
          <w:rFonts w:cstheme="minorBidi"/>
          <w:lang w:val="en-AU"/>
        </w:rPr>
        <w:t>&gt;.</w:t>
      </w:r>
    </w:p>
    <w:p w14:paraId="4074F570" w14:textId="77777777" w:rsidR="00F328DA" w:rsidRPr="00BA2327" w:rsidRDefault="00F328DA" w:rsidP="005E6568">
      <w:pPr>
        <w:pStyle w:val="FootnoteText"/>
        <w:rPr>
          <w:lang w:val="en-AU"/>
        </w:rPr>
      </w:pPr>
    </w:p>
  </w:footnote>
  <w:footnote w:id="3">
    <w:p w14:paraId="4FCF0E82" w14:textId="5569A7FE" w:rsidR="00F328DA" w:rsidRPr="008941E5" w:rsidRDefault="00F328DA">
      <w:pPr>
        <w:pStyle w:val="FootnoteText"/>
        <w:rPr>
          <w:lang w:val="en-AU"/>
        </w:rPr>
      </w:pPr>
      <w:r>
        <w:rPr>
          <w:rStyle w:val="FootnoteReference"/>
        </w:rPr>
        <w:footnoteRef/>
      </w:r>
      <w:r>
        <w:t xml:space="preserve"> Women’s Economic Empowerment Synthesis Report: Informing the Pacific Women Shaping Pacific Development Roadmap 2017-2022 &lt;</w:t>
      </w:r>
      <w:hyperlink r:id="rId2" w:history="1">
        <w:r>
          <w:rPr>
            <w:rStyle w:val="Hyperlink"/>
          </w:rPr>
          <w:t>https://pacificwomen.org/news/womens-groups-lead-response-to-covid-19-crisis/</w:t>
        </w:r>
      </w:hyperlink>
      <w:r>
        <w:t>&gt;.</w:t>
      </w:r>
    </w:p>
  </w:footnote>
  <w:footnote w:id="4">
    <w:p w14:paraId="4A8D79E7" w14:textId="77777777" w:rsidR="00F328DA" w:rsidRDefault="00F328DA" w:rsidP="008941E5">
      <w:pPr>
        <w:pStyle w:val="FootnoteText"/>
      </w:pPr>
      <w:r>
        <w:rPr>
          <w:rStyle w:val="FootnoteReference"/>
        </w:rPr>
        <w:footnoteRef/>
      </w:r>
      <w:r>
        <w:t xml:space="preserve"> Pacific Brief: Gender, Climate Change and Disaster Risk Management: Ref https://pacificwomen.org/resources/pacific-brief-gender-climate-change-and-disaster-risk-management/ </w:t>
      </w:r>
    </w:p>
    <w:p w14:paraId="298EF688" w14:textId="308A7E97" w:rsidR="00F328DA" w:rsidRPr="008941E5" w:rsidRDefault="00F328DA" w:rsidP="008941E5">
      <w:pPr>
        <w:pStyle w:val="FootnoteText"/>
        <w:rPr>
          <w:lang w:val="en-AU"/>
        </w:rPr>
      </w:pPr>
      <w:r>
        <w:t>UN publication</w:t>
      </w:r>
    </w:p>
  </w:footnote>
  <w:footnote w:id="5">
    <w:p w14:paraId="06BA9EB8" w14:textId="77777777" w:rsidR="00F328DA" w:rsidRDefault="00F328DA" w:rsidP="008941E5">
      <w:pPr>
        <w:pStyle w:val="Heading2"/>
        <w:spacing w:before="0" w:after="161"/>
        <w:ind w:left="120" w:right="120"/>
        <w:textAlignment w:val="baseline"/>
        <w:rPr>
          <w:rFonts w:ascii="Roboto" w:hAnsi="Roboto"/>
          <w:color w:val="000000"/>
          <w:sz w:val="48"/>
          <w:szCs w:val="48"/>
          <w:lang w:val="en-AU"/>
        </w:rPr>
      </w:pPr>
      <w:r w:rsidRPr="008941E5">
        <w:rPr>
          <w:rStyle w:val="FootnoteReference"/>
          <w:sz w:val="16"/>
          <w:szCs w:val="16"/>
        </w:rPr>
        <w:footnoteRef/>
      </w:r>
      <w:r>
        <w:t xml:space="preserve"> </w:t>
      </w:r>
      <w:r w:rsidRPr="008B2CB8">
        <w:rPr>
          <w:rFonts w:asciiTheme="minorHAnsi" w:eastAsiaTheme="minorHAnsi" w:hAnsiTheme="minorHAnsi" w:cstheme="minorBidi"/>
          <w:caps w:val="0"/>
          <w:sz w:val="12"/>
          <w:szCs w:val="20"/>
        </w:rPr>
        <w:t>UN/DESA Policy Brief #69: Leaving no one behind: the COVID-19 crisis through the disability and gender lens</w:t>
      </w:r>
    </w:p>
    <w:p w14:paraId="4C1F8510" w14:textId="4067B131" w:rsidR="00F328DA" w:rsidRPr="008941E5" w:rsidRDefault="00F328DA">
      <w:pPr>
        <w:pStyle w:val="FootnoteText"/>
        <w:rPr>
          <w:lang w:val="en-AU"/>
        </w:rPr>
      </w:pPr>
    </w:p>
  </w:footnote>
  <w:footnote w:id="6">
    <w:p w14:paraId="5028D306" w14:textId="77777777" w:rsidR="00F328DA" w:rsidRPr="00B42CDF" w:rsidRDefault="00F328DA" w:rsidP="008120DB">
      <w:pPr>
        <w:pStyle w:val="FootnoteText"/>
        <w:rPr>
          <w:lang w:val="en-AU"/>
        </w:rPr>
      </w:pPr>
      <w:r>
        <w:rPr>
          <w:rStyle w:val="FootnoteReference"/>
        </w:rPr>
        <w:footnoteRef/>
      </w:r>
      <w:r>
        <w:t xml:space="preserve"> DFAT White Paper 2017 </w:t>
      </w:r>
      <w:hyperlink r:id="rId3" w:history="1">
        <w:r w:rsidRPr="008757F1">
          <w:rPr>
            <w:rStyle w:val="Hyperlink"/>
            <w:rFonts w:cstheme="minorBidi"/>
          </w:rPr>
          <w:t>https://www.dfat.gov.au/publications/minisite/2017-foreign-policy-white-paper</w:t>
        </w:r>
      </w:hyperlink>
      <w:r>
        <w:t xml:space="preserve"> </w:t>
      </w:r>
    </w:p>
  </w:footnote>
  <w:footnote w:id="7">
    <w:p w14:paraId="0934FCB3" w14:textId="1880B8B5" w:rsidR="00F328DA" w:rsidRPr="00C77D99" w:rsidRDefault="00F328DA">
      <w:pPr>
        <w:pStyle w:val="FootnoteText"/>
        <w:rPr>
          <w:lang w:val="en-AU"/>
        </w:rPr>
      </w:pPr>
      <w:r>
        <w:rPr>
          <w:rStyle w:val="FootnoteReference"/>
        </w:rPr>
        <w:footnoteRef/>
      </w:r>
      <w:r>
        <w:t xml:space="preserve"> </w:t>
      </w:r>
      <w:hyperlink r:id="rId4" w:history="1">
        <w:r w:rsidRPr="003C657B">
          <w:rPr>
            <w:rStyle w:val="Hyperlink"/>
            <w:rFonts w:cstheme="minorBidi"/>
          </w:rPr>
          <w:t>https://www.dfat.gov.au/countries/pacific-step</w:t>
        </w:r>
      </w:hyperlink>
      <w:r>
        <w:t xml:space="preserve"> </w:t>
      </w:r>
    </w:p>
  </w:footnote>
  <w:footnote w:id="8">
    <w:p w14:paraId="36294300" w14:textId="77777777" w:rsidR="00F328DA" w:rsidRPr="0041209C" w:rsidRDefault="00F328DA" w:rsidP="00731003">
      <w:pPr>
        <w:pStyle w:val="FootnoteText"/>
        <w:rPr>
          <w:lang w:val="en-AU"/>
        </w:rPr>
      </w:pPr>
      <w:r>
        <w:rPr>
          <w:rStyle w:val="FootnoteReference"/>
        </w:rPr>
        <w:footnoteRef/>
      </w:r>
      <w:r>
        <w:t xml:space="preserve"> DFAT White Paper 2017 </w:t>
      </w:r>
      <w:hyperlink r:id="rId5" w:history="1">
        <w:r w:rsidRPr="008757F1">
          <w:rPr>
            <w:rStyle w:val="Hyperlink"/>
            <w:rFonts w:cstheme="minorBidi"/>
          </w:rPr>
          <w:t>https://www.dfat.gov.au/publications/minisite/2017-foreign-policy-white-paper</w:t>
        </w:r>
      </w:hyperlink>
    </w:p>
  </w:footnote>
  <w:footnote w:id="9">
    <w:p w14:paraId="7EFA8EAB" w14:textId="77777777" w:rsidR="00F328DA" w:rsidRDefault="00F328DA" w:rsidP="003542D2">
      <w:pPr>
        <w:autoSpaceDE w:val="0"/>
        <w:autoSpaceDN w:val="0"/>
        <w:adjustRightInd w:val="0"/>
        <w:spacing w:after="0" w:line="240" w:lineRule="auto"/>
      </w:pPr>
      <w:r>
        <w:rPr>
          <w:rStyle w:val="FootnoteReference"/>
        </w:rPr>
        <w:footnoteRef/>
      </w:r>
      <w:r>
        <w:t xml:space="preserve"> </w:t>
      </w:r>
      <w:r w:rsidRPr="00FD419B">
        <w:rPr>
          <w:rStyle w:val="FootnoteTextChar"/>
        </w:rPr>
        <w:t xml:space="preserve">Aruna Rao &amp; David Kelleher (2005) </w:t>
      </w:r>
      <w:r w:rsidRPr="008E0E6A">
        <w:rPr>
          <w:rStyle w:val="FootnoteTextChar"/>
          <w:i/>
          <w:iCs/>
        </w:rPr>
        <w:t xml:space="preserve">Is there life after gender </w:t>
      </w:r>
      <w:proofErr w:type="gramStart"/>
      <w:r w:rsidRPr="008E0E6A">
        <w:rPr>
          <w:rStyle w:val="FootnoteTextChar"/>
          <w:i/>
          <w:iCs/>
        </w:rPr>
        <w:t>mainstreaming?,</w:t>
      </w:r>
      <w:proofErr w:type="gramEnd"/>
      <w:r w:rsidRPr="00FD419B">
        <w:rPr>
          <w:rStyle w:val="FootnoteTextChar"/>
        </w:rPr>
        <w:t xml:space="preserve"> Gender &amp; Development,13:2, 57-69, DOI: 10.1080/13552070512331332287</w:t>
      </w:r>
    </w:p>
  </w:footnote>
  <w:footnote w:id="10">
    <w:p w14:paraId="10C04B62" w14:textId="7D73312D" w:rsidR="00F328DA" w:rsidRPr="008D754D" w:rsidRDefault="00F328DA" w:rsidP="00E4367A">
      <w:pPr>
        <w:spacing w:before="0" w:after="160" w:line="259" w:lineRule="auto"/>
        <w:rPr>
          <w:color w:val="auto"/>
          <w:sz w:val="16"/>
          <w:szCs w:val="16"/>
        </w:rPr>
      </w:pPr>
      <w:r>
        <w:rPr>
          <w:rStyle w:val="FootnoteReference"/>
        </w:rPr>
        <w:footnoteRef/>
      </w:r>
      <w:r>
        <w:t xml:space="preserve"> </w:t>
      </w:r>
      <w:hyperlink r:id="rId6" w:tooltip="American Samoa" w:history="1">
        <w:r w:rsidRPr="008D754D">
          <w:rPr>
            <w:sz w:val="16"/>
            <w:szCs w:val="16"/>
            <w:lang w:val="en-AU"/>
          </w:rPr>
          <w:t>American Samoa</w:t>
        </w:r>
      </w:hyperlink>
      <w:r w:rsidRPr="00381725">
        <w:rPr>
          <w:sz w:val="16"/>
          <w:szCs w:val="16"/>
          <w:lang w:val="en-AU"/>
        </w:rPr>
        <w:t xml:space="preserve">; </w:t>
      </w:r>
      <w:hyperlink r:id="rId7" w:tooltip="Australia" w:history="1">
        <w:r w:rsidRPr="008D754D">
          <w:rPr>
            <w:sz w:val="16"/>
            <w:szCs w:val="16"/>
            <w:lang w:val="en-AU"/>
          </w:rPr>
          <w:t>Australia</w:t>
        </w:r>
      </w:hyperlink>
      <w:r w:rsidRPr="00381725">
        <w:rPr>
          <w:sz w:val="16"/>
          <w:szCs w:val="16"/>
          <w:lang w:val="en-AU"/>
        </w:rPr>
        <w:t xml:space="preserve">; </w:t>
      </w:r>
      <w:hyperlink r:id="rId8" w:tooltip="Cook Islands" w:history="1">
        <w:r w:rsidRPr="008D754D">
          <w:rPr>
            <w:sz w:val="16"/>
            <w:szCs w:val="16"/>
            <w:lang w:val="en-AU"/>
          </w:rPr>
          <w:t>Cook Islands</w:t>
        </w:r>
      </w:hyperlink>
      <w:r w:rsidRPr="00381725">
        <w:rPr>
          <w:sz w:val="16"/>
          <w:szCs w:val="16"/>
          <w:lang w:val="en-AU"/>
        </w:rPr>
        <w:t xml:space="preserve">; </w:t>
      </w:r>
      <w:hyperlink r:id="rId9" w:tooltip="Fiji" w:history="1">
        <w:r w:rsidRPr="008D754D">
          <w:rPr>
            <w:sz w:val="16"/>
            <w:szCs w:val="16"/>
            <w:lang w:val="en-AU"/>
          </w:rPr>
          <w:t>Fiji</w:t>
        </w:r>
      </w:hyperlink>
      <w:r w:rsidRPr="00381725">
        <w:rPr>
          <w:sz w:val="16"/>
          <w:szCs w:val="16"/>
          <w:lang w:val="en-AU"/>
        </w:rPr>
        <w:t xml:space="preserve">; </w:t>
      </w:r>
      <w:hyperlink r:id="rId10" w:tooltip="France" w:history="1">
        <w:r w:rsidRPr="008D754D">
          <w:rPr>
            <w:sz w:val="16"/>
            <w:szCs w:val="16"/>
            <w:lang w:val="en-AU"/>
          </w:rPr>
          <w:t>France</w:t>
        </w:r>
      </w:hyperlink>
      <w:r w:rsidRPr="00381725">
        <w:rPr>
          <w:sz w:val="16"/>
          <w:szCs w:val="16"/>
          <w:lang w:val="en-AU"/>
        </w:rPr>
        <w:t xml:space="preserve">; </w:t>
      </w:r>
      <w:hyperlink r:id="rId11" w:tooltip="French Polynesia" w:history="1">
        <w:r w:rsidRPr="008D754D">
          <w:rPr>
            <w:sz w:val="16"/>
            <w:szCs w:val="16"/>
            <w:lang w:val="en-AU"/>
          </w:rPr>
          <w:t>French Polynesia</w:t>
        </w:r>
      </w:hyperlink>
      <w:r w:rsidRPr="00381725">
        <w:rPr>
          <w:sz w:val="16"/>
          <w:szCs w:val="16"/>
          <w:lang w:val="en-AU"/>
        </w:rPr>
        <w:t xml:space="preserve">; </w:t>
      </w:r>
      <w:hyperlink r:id="rId12" w:tooltip="Guam" w:history="1">
        <w:r w:rsidRPr="008D754D">
          <w:rPr>
            <w:sz w:val="16"/>
            <w:szCs w:val="16"/>
            <w:lang w:val="en-AU"/>
          </w:rPr>
          <w:t>Guam</w:t>
        </w:r>
      </w:hyperlink>
      <w:r w:rsidRPr="00381725">
        <w:rPr>
          <w:sz w:val="16"/>
          <w:szCs w:val="16"/>
          <w:lang w:val="en-AU"/>
        </w:rPr>
        <w:t xml:space="preserve">; </w:t>
      </w:r>
      <w:hyperlink r:id="rId13" w:tooltip="Kiribati" w:history="1">
        <w:r w:rsidRPr="008D754D">
          <w:rPr>
            <w:sz w:val="16"/>
            <w:szCs w:val="16"/>
            <w:lang w:val="en-AU"/>
          </w:rPr>
          <w:t>Kiribati</w:t>
        </w:r>
      </w:hyperlink>
      <w:r w:rsidRPr="00381725">
        <w:rPr>
          <w:sz w:val="16"/>
          <w:szCs w:val="16"/>
          <w:lang w:val="en-AU"/>
        </w:rPr>
        <w:t xml:space="preserve">; </w:t>
      </w:r>
      <w:hyperlink r:id="rId14" w:tooltip="Marshall Islands" w:history="1">
        <w:r w:rsidRPr="008D754D">
          <w:rPr>
            <w:sz w:val="16"/>
            <w:szCs w:val="16"/>
            <w:lang w:val="en-AU"/>
          </w:rPr>
          <w:t>Marshall Islands</w:t>
        </w:r>
      </w:hyperlink>
      <w:r w:rsidRPr="00381725">
        <w:rPr>
          <w:sz w:val="16"/>
          <w:szCs w:val="16"/>
          <w:lang w:val="en-AU"/>
        </w:rPr>
        <w:t xml:space="preserve">; </w:t>
      </w:r>
      <w:hyperlink r:id="rId15" w:tooltip="Federated States of Micronesia" w:history="1">
        <w:r w:rsidRPr="008D754D">
          <w:rPr>
            <w:sz w:val="16"/>
            <w:szCs w:val="16"/>
            <w:lang w:val="en-AU"/>
          </w:rPr>
          <w:t>Federated States of Micronesia</w:t>
        </w:r>
      </w:hyperlink>
      <w:r w:rsidRPr="00381725">
        <w:rPr>
          <w:sz w:val="16"/>
          <w:szCs w:val="16"/>
          <w:lang w:val="en-AU"/>
        </w:rPr>
        <w:t xml:space="preserve">; </w:t>
      </w:r>
      <w:hyperlink r:id="rId16" w:tooltip="Nauru" w:history="1">
        <w:r w:rsidRPr="008D754D">
          <w:rPr>
            <w:sz w:val="16"/>
            <w:szCs w:val="16"/>
            <w:lang w:val="en-AU"/>
          </w:rPr>
          <w:t>Nauru</w:t>
        </w:r>
      </w:hyperlink>
      <w:r w:rsidRPr="00381725">
        <w:rPr>
          <w:sz w:val="16"/>
          <w:szCs w:val="16"/>
          <w:lang w:val="en-AU"/>
        </w:rPr>
        <w:t xml:space="preserve">; </w:t>
      </w:r>
      <w:hyperlink r:id="rId17" w:history="1">
        <w:r w:rsidRPr="008D754D">
          <w:rPr>
            <w:sz w:val="16"/>
            <w:szCs w:val="16"/>
            <w:lang w:val="en-AU"/>
          </w:rPr>
          <w:t>New Caledonia</w:t>
        </w:r>
      </w:hyperlink>
      <w:r w:rsidRPr="00381725">
        <w:rPr>
          <w:sz w:val="16"/>
          <w:szCs w:val="16"/>
          <w:lang w:val="en-AU"/>
        </w:rPr>
        <w:t xml:space="preserve">; </w:t>
      </w:r>
      <w:hyperlink r:id="rId18" w:tooltip="New Zealand" w:history="1">
        <w:r w:rsidRPr="008D754D">
          <w:rPr>
            <w:sz w:val="16"/>
            <w:szCs w:val="16"/>
            <w:lang w:val="en-AU"/>
          </w:rPr>
          <w:t>New Zealand</w:t>
        </w:r>
      </w:hyperlink>
      <w:r w:rsidRPr="00381725">
        <w:rPr>
          <w:sz w:val="16"/>
          <w:szCs w:val="16"/>
          <w:lang w:val="en-AU"/>
        </w:rPr>
        <w:t xml:space="preserve">; </w:t>
      </w:r>
      <w:hyperlink r:id="rId19" w:tooltip="Niue" w:history="1">
        <w:r w:rsidRPr="008D754D">
          <w:rPr>
            <w:sz w:val="16"/>
            <w:szCs w:val="16"/>
            <w:lang w:val="en-AU"/>
          </w:rPr>
          <w:t>Niue</w:t>
        </w:r>
      </w:hyperlink>
      <w:r w:rsidRPr="00381725">
        <w:rPr>
          <w:sz w:val="16"/>
          <w:szCs w:val="16"/>
          <w:lang w:val="en-AU"/>
        </w:rPr>
        <w:t xml:space="preserve">; </w:t>
      </w:r>
      <w:hyperlink r:id="rId20" w:tooltip="Northern Mariana Islands" w:history="1">
        <w:r w:rsidRPr="008D754D">
          <w:rPr>
            <w:sz w:val="16"/>
            <w:szCs w:val="16"/>
            <w:lang w:val="en-AU"/>
          </w:rPr>
          <w:t>Northern Mariana Islands</w:t>
        </w:r>
      </w:hyperlink>
      <w:r w:rsidRPr="00381725">
        <w:rPr>
          <w:sz w:val="16"/>
          <w:szCs w:val="16"/>
          <w:lang w:val="en-AU"/>
        </w:rPr>
        <w:t xml:space="preserve">; </w:t>
      </w:r>
      <w:hyperlink r:id="rId21" w:tooltip="Palau" w:history="1">
        <w:r w:rsidRPr="008D754D">
          <w:rPr>
            <w:sz w:val="16"/>
            <w:szCs w:val="16"/>
            <w:lang w:val="en-AU"/>
          </w:rPr>
          <w:t>Palau</w:t>
        </w:r>
      </w:hyperlink>
      <w:r w:rsidRPr="00381725">
        <w:rPr>
          <w:sz w:val="16"/>
          <w:szCs w:val="16"/>
          <w:lang w:val="en-AU"/>
        </w:rPr>
        <w:t xml:space="preserve">; </w:t>
      </w:r>
      <w:hyperlink r:id="rId22" w:tooltip="Papua New Guinea" w:history="1">
        <w:r w:rsidRPr="008D754D">
          <w:rPr>
            <w:sz w:val="16"/>
            <w:szCs w:val="16"/>
            <w:lang w:val="en-AU"/>
          </w:rPr>
          <w:t>Papua New Guinea</w:t>
        </w:r>
      </w:hyperlink>
      <w:r w:rsidRPr="00381725">
        <w:rPr>
          <w:sz w:val="16"/>
          <w:szCs w:val="16"/>
          <w:lang w:val="en-AU"/>
        </w:rPr>
        <w:t xml:space="preserve">; </w:t>
      </w:r>
      <w:hyperlink r:id="rId23" w:tooltip="Pitcairn Islands" w:history="1">
        <w:r w:rsidRPr="008D754D">
          <w:rPr>
            <w:sz w:val="16"/>
            <w:szCs w:val="16"/>
            <w:lang w:val="en-AU"/>
          </w:rPr>
          <w:t>Pitcairn Islands</w:t>
        </w:r>
      </w:hyperlink>
      <w:r w:rsidRPr="00381725">
        <w:rPr>
          <w:sz w:val="16"/>
          <w:szCs w:val="16"/>
          <w:lang w:val="en-AU"/>
        </w:rPr>
        <w:t xml:space="preserve">; </w:t>
      </w:r>
      <w:hyperlink r:id="rId24" w:tooltip="Samoa" w:history="1">
        <w:r w:rsidRPr="008D754D">
          <w:rPr>
            <w:sz w:val="16"/>
            <w:szCs w:val="16"/>
            <w:lang w:val="en-AU"/>
          </w:rPr>
          <w:t>Samoa</w:t>
        </w:r>
      </w:hyperlink>
      <w:r w:rsidRPr="00381725">
        <w:rPr>
          <w:sz w:val="16"/>
          <w:szCs w:val="16"/>
          <w:lang w:val="en-AU"/>
        </w:rPr>
        <w:t xml:space="preserve">; </w:t>
      </w:r>
      <w:hyperlink r:id="rId25" w:tooltip="Solomon Islands" w:history="1">
        <w:r w:rsidRPr="008D754D">
          <w:rPr>
            <w:sz w:val="16"/>
            <w:szCs w:val="16"/>
            <w:lang w:val="en-AU"/>
          </w:rPr>
          <w:t>Solomon Islands</w:t>
        </w:r>
      </w:hyperlink>
      <w:r w:rsidRPr="00381725">
        <w:rPr>
          <w:sz w:val="16"/>
          <w:szCs w:val="16"/>
          <w:lang w:val="en-AU"/>
        </w:rPr>
        <w:t xml:space="preserve">; </w:t>
      </w:r>
      <w:hyperlink r:id="rId26" w:tooltip="Tokelau" w:history="1">
        <w:r w:rsidRPr="008D754D">
          <w:rPr>
            <w:sz w:val="16"/>
            <w:szCs w:val="16"/>
            <w:lang w:val="en-AU"/>
          </w:rPr>
          <w:t>Tokelau</w:t>
        </w:r>
      </w:hyperlink>
      <w:r w:rsidRPr="00381725">
        <w:rPr>
          <w:sz w:val="16"/>
          <w:szCs w:val="16"/>
          <w:lang w:val="en-AU"/>
        </w:rPr>
        <w:t xml:space="preserve">; </w:t>
      </w:r>
      <w:hyperlink r:id="rId27" w:tooltip="Tonga" w:history="1">
        <w:r w:rsidRPr="008D754D">
          <w:rPr>
            <w:sz w:val="16"/>
            <w:szCs w:val="16"/>
            <w:lang w:val="en-AU"/>
          </w:rPr>
          <w:t>Tonga</w:t>
        </w:r>
      </w:hyperlink>
      <w:r w:rsidRPr="00381725">
        <w:rPr>
          <w:sz w:val="16"/>
          <w:szCs w:val="16"/>
          <w:lang w:val="en-AU"/>
        </w:rPr>
        <w:t xml:space="preserve">; </w:t>
      </w:r>
      <w:hyperlink r:id="rId28" w:tooltip="Tuvalu" w:history="1">
        <w:r w:rsidRPr="008D754D">
          <w:rPr>
            <w:sz w:val="16"/>
            <w:szCs w:val="16"/>
            <w:lang w:val="en-AU"/>
          </w:rPr>
          <w:t>Tuvalu</w:t>
        </w:r>
      </w:hyperlink>
      <w:r w:rsidRPr="00381725">
        <w:rPr>
          <w:sz w:val="16"/>
          <w:szCs w:val="16"/>
          <w:lang w:val="en-AU"/>
        </w:rPr>
        <w:t xml:space="preserve">; </w:t>
      </w:r>
      <w:hyperlink r:id="rId29" w:tooltip="United States" w:history="1">
        <w:r w:rsidRPr="008D754D">
          <w:rPr>
            <w:sz w:val="16"/>
            <w:szCs w:val="16"/>
            <w:lang w:val="en-AU"/>
          </w:rPr>
          <w:t>United States</w:t>
        </w:r>
      </w:hyperlink>
      <w:r w:rsidRPr="00381725">
        <w:rPr>
          <w:sz w:val="16"/>
          <w:szCs w:val="16"/>
          <w:lang w:val="en-AU"/>
        </w:rPr>
        <w:t xml:space="preserve">; </w:t>
      </w:r>
      <w:hyperlink r:id="rId30" w:tooltip="Vanuatu" w:history="1">
        <w:r w:rsidRPr="008D754D">
          <w:rPr>
            <w:sz w:val="16"/>
            <w:szCs w:val="16"/>
            <w:lang w:val="en-AU"/>
          </w:rPr>
          <w:t>Vanuatu</w:t>
        </w:r>
      </w:hyperlink>
      <w:r w:rsidRPr="00381725">
        <w:rPr>
          <w:sz w:val="16"/>
          <w:szCs w:val="16"/>
          <w:lang w:val="en-AU"/>
        </w:rPr>
        <w:t xml:space="preserve">; </w:t>
      </w:r>
      <w:hyperlink r:id="rId31" w:tooltip="Wallis and Futuna" w:history="1">
        <w:r w:rsidRPr="008D754D">
          <w:rPr>
            <w:sz w:val="16"/>
            <w:szCs w:val="16"/>
            <w:lang w:val="en-AU"/>
          </w:rPr>
          <w:t>Wallis and Futuna</w:t>
        </w:r>
      </w:hyperlink>
      <w:r w:rsidRPr="00381725">
        <w:rPr>
          <w:sz w:val="16"/>
          <w:szCs w:val="16"/>
          <w:lang w:val="en-AU"/>
        </w:rPr>
        <w:t>.</w:t>
      </w:r>
    </w:p>
    <w:p w14:paraId="3FDC7915" w14:textId="3C18A081" w:rsidR="00F328DA" w:rsidRPr="00ED28F6" w:rsidRDefault="00F328DA" w:rsidP="00B22231">
      <w:pPr>
        <w:pStyle w:val="FootnoteText"/>
        <w:rPr>
          <w:lang w:val="en-AU"/>
        </w:rPr>
      </w:pPr>
    </w:p>
  </w:footnote>
  <w:footnote w:id="11">
    <w:p w14:paraId="200A707C" w14:textId="77777777" w:rsidR="00F328DA" w:rsidRDefault="00F328DA" w:rsidP="00572583">
      <w:pPr>
        <w:pStyle w:val="FootnoteText"/>
      </w:pPr>
      <w:r>
        <w:rPr>
          <w:rStyle w:val="FootnoteReference"/>
        </w:rPr>
        <w:footnoteRef/>
      </w:r>
      <w:r>
        <w:t xml:space="preserve"> Pacific Sisters with Disabilities at the Intersection of Discrimination, Daniel Stubbs and Sainimili Tawake </w:t>
      </w:r>
    </w:p>
    <w:p w14:paraId="3DBC6371" w14:textId="4B8A0A94" w:rsidR="00F328DA" w:rsidRPr="0029408D" w:rsidRDefault="00F328DA" w:rsidP="00572583">
      <w:pPr>
        <w:pStyle w:val="FootnoteText"/>
        <w:rPr>
          <w:lang w:val="en-AU"/>
        </w:rPr>
      </w:pPr>
      <w:r>
        <w:t>- https://pacificwomen.org/research/pacific-sisters-with-disabilities/</w:t>
      </w:r>
    </w:p>
  </w:footnote>
  <w:footnote w:id="12">
    <w:p w14:paraId="12DBD101" w14:textId="77777777" w:rsidR="00F328DA" w:rsidRDefault="00F328DA" w:rsidP="008B0752">
      <w:pPr>
        <w:pStyle w:val="FootnoteText"/>
      </w:pPr>
      <w:r>
        <w:rPr>
          <w:rStyle w:val="FootnoteReference"/>
        </w:rPr>
        <w:footnoteRef/>
      </w:r>
      <w:r>
        <w:t xml:space="preserve"> Pacific Framework for the Rights of Persons with Disabilities 2016 - 2025 </w:t>
      </w:r>
    </w:p>
    <w:p w14:paraId="6ADB8CE6" w14:textId="15EDDB86" w:rsidR="00F328DA" w:rsidRPr="008B0752" w:rsidRDefault="00F328DA" w:rsidP="008B0752">
      <w:pPr>
        <w:pStyle w:val="FootnoteText"/>
        <w:rPr>
          <w:lang w:val="en-AU"/>
        </w:rPr>
      </w:pPr>
      <w:r>
        <w:t>- https://www.forumsec.org/wp-content/uploads/2018/05/PFRPD.pdf</w:t>
      </w:r>
    </w:p>
  </w:footnote>
  <w:footnote w:id="13">
    <w:p w14:paraId="7091589B" w14:textId="77777777" w:rsidR="00F328DA" w:rsidRDefault="00F328DA" w:rsidP="00C93FB3">
      <w:pPr>
        <w:pStyle w:val="FootnoteText"/>
      </w:pPr>
      <w:r>
        <w:rPr>
          <w:rStyle w:val="FootnoteReference"/>
        </w:rPr>
        <w:footnoteRef/>
      </w:r>
      <w:r>
        <w:t xml:space="preserve"> Tier 2 indicators measure Australia’s contribution to development in the region against the objectives of the </w:t>
      </w:r>
      <w:r w:rsidRPr="00C73D23">
        <w:rPr>
          <w:i/>
          <w:iCs/>
        </w:rPr>
        <w:t>Partnership for Recovery</w:t>
      </w:r>
      <w:r>
        <w:t xml:space="preserve">, and in the context of Pacific Women Lead, will guide measurement under three key focal areas, namely </w:t>
      </w:r>
      <w:r w:rsidRPr="00C73D23">
        <w:rPr>
          <w:i/>
          <w:iCs/>
        </w:rPr>
        <w:t>Health Security</w:t>
      </w:r>
      <w:r>
        <w:t xml:space="preserve"> (in particular health systems and preparedness, and sexual and reproductive health), </w:t>
      </w:r>
      <w:r w:rsidRPr="00C73D23">
        <w:rPr>
          <w:i/>
          <w:iCs/>
        </w:rPr>
        <w:t>Stability</w:t>
      </w:r>
      <w:r>
        <w:t xml:space="preserve"> (in particular improved governance, social protection measures, violence again women, and food security), and </w:t>
      </w:r>
      <w:r w:rsidRPr="00C73D23">
        <w:rPr>
          <w:i/>
          <w:iCs/>
        </w:rPr>
        <w:t>Economic Recovery</w:t>
      </w:r>
      <w:r>
        <w:t xml:space="preserve"> (in particular economic empowerment).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57F6B" w14:textId="77777777" w:rsidR="00F328DA" w:rsidRDefault="00F328DA" w:rsidP="009A4895">
    <w:pPr>
      <w:pStyle w:val="Header"/>
      <w:tabs>
        <w:tab w:val="clear" w:pos="4513"/>
        <w:tab w:val="clear" w:pos="9026"/>
        <w:tab w:val="left" w:pos="2984"/>
      </w:tabs>
      <w:rPr>
        <w:noProof/>
        <w:lang w:val="en-AU" w:eastAsia="en-AU"/>
      </w:rPr>
    </w:pPr>
  </w:p>
  <w:p w14:paraId="071477FC" w14:textId="77777777" w:rsidR="00F328DA" w:rsidRDefault="00F328DA" w:rsidP="009A4895">
    <w:pPr>
      <w:pStyle w:val="Header"/>
      <w:tabs>
        <w:tab w:val="clear" w:pos="4513"/>
        <w:tab w:val="clear" w:pos="9026"/>
        <w:tab w:val="left" w:pos="2984"/>
      </w:tabs>
      <w:rPr>
        <w:noProof/>
        <w:lang w:val="en-AU" w:eastAsia="en-AU"/>
      </w:rPr>
    </w:pPr>
  </w:p>
  <w:p w14:paraId="6CFCCAE0" w14:textId="441C3B3E" w:rsidR="00F328DA" w:rsidRPr="000854FD" w:rsidRDefault="00F328DA" w:rsidP="009A4895">
    <w:pPr>
      <w:pStyle w:val="Header"/>
      <w:tabs>
        <w:tab w:val="clear" w:pos="4513"/>
        <w:tab w:val="clear" w:pos="9026"/>
        <w:tab w:val="left" w:pos="2984"/>
      </w:tabs>
    </w:pPr>
    <w:r w:rsidRPr="00943730">
      <w:rPr>
        <w:noProof/>
        <w:lang w:val="en-AU" w:eastAsia="en-AU"/>
      </w:rPr>
      <w:drawing>
        <wp:anchor distT="0" distB="0" distL="114300" distR="114300" simplePos="0" relativeHeight="251658241" behindDoc="1" locked="1" layoutInCell="1" allowOverlap="1" wp14:anchorId="78AB544D" wp14:editId="36C3D1C5">
          <wp:simplePos x="0" y="0"/>
          <wp:positionH relativeFrom="page">
            <wp:posOffset>8255</wp:posOffset>
          </wp:positionH>
          <wp:positionV relativeFrom="page">
            <wp:posOffset>0</wp:posOffset>
          </wp:positionV>
          <wp:extent cx="10627360" cy="10692765"/>
          <wp:effectExtent l="0" t="0" r="2540" b="0"/>
          <wp:wrapNone/>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27360" cy="10692765"/>
                  </a:xfrm>
                  <a:prstGeom prst="rect">
                    <a:avLst/>
                  </a:prstGeom>
                </pic:spPr>
              </pic:pic>
            </a:graphicData>
          </a:graphic>
          <wp14:sizeRelH relativeFrom="margin">
            <wp14:pctWidth>0</wp14:pctWidth>
          </wp14:sizeRelH>
          <wp14:sizeRelV relativeFrom="margin">
            <wp14:pctHeight>0</wp14:pctHeight>
          </wp14:sizeRelV>
        </wp:anchor>
      </w:drawing>
    </w:r>
    <w:r>
      <w:tab/>
    </w:r>
  </w:p>
  <w:p w14:paraId="210A8CD7" w14:textId="77777777" w:rsidR="00F328DA" w:rsidRDefault="00F328DA" w:rsidP="00C6481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325A7" w14:textId="585AAB09" w:rsidR="00F328DA" w:rsidRPr="00943730" w:rsidRDefault="00F328DA" w:rsidP="00943730">
    <w:pPr>
      <w:pStyle w:val="Header"/>
    </w:pPr>
    <w:r w:rsidRPr="00F328DA">
      <w:rPr>
        <w:color w:val="auto"/>
      </w:rPr>
      <w:fldChar w:fldCharType="begin"/>
    </w:r>
    <w:r w:rsidRPr="00F328DA">
      <w:rPr>
        <w:color w:val="auto"/>
      </w:rPr>
      <w:instrText xml:space="preserve"> DATE  \@ "MMMM yyyy"  \* MERGEFORMAT </w:instrText>
    </w:r>
    <w:r w:rsidRPr="00F328DA">
      <w:rPr>
        <w:color w:val="auto"/>
      </w:rPr>
      <w:fldChar w:fldCharType="separate"/>
    </w:r>
    <w:r w:rsidR="00A24804">
      <w:rPr>
        <w:noProof/>
        <w:color w:val="auto"/>
      </w:rPr>
      <w:t>July 2021</w:t>
    </w:r>
    <w:r w:rsidRPr="00F328DA">
      <w:rPr>
        <w:color w:val="auto"/>
      </w:rPr>
      <w:fldChar w:fldCharType="end"/>
    </w:r>
    <w:r w:rsidRPr="00252C04">
      <w:rPr>
        <w:noProof/>
        <w:lang w:val="en-AU" w:eastAsia="en-AU"/>
      </w:rPr>
      <w:drawing>
        <wp:anchor distT="0" distB="0" distL="114300" distR="114300" simplePos="0" relativeHeight="251660288" behindDoc="1" locked="1" layoutInCell="1" allowOverlap="1" wp14:anchorId="7D959671" wp14:editId="6EB95F17">
          <wp:simplePos x="0" y="0"/>
          <wp:positionH relativeFrom="page">
            <wp:posOffset>12472035</wp:posOffset>
          </wp:positionH>
          <wp:positionV relativeFrom="page">
            <wp:posOffset>928370</wp:posOffset>
          </wp:positionV>
          <wp:extent cx="1115060" cy="512445"/>
          <wp:effectExtent l="0" t="0" r="8890" b="1905"/>
          <wp:wrapNone/>
          <wp:docPr id="14" name="Picture 14"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5881E0E0" wp14:editId="1C1B84EB">
          <wp:simplePos x="0" y="0"/>
          <wp:positionH relativeFrom="page">
            <wp:posOffset>402590</wp:posOffset>
          </wp:positionH>
          <wp:positionV relativeFrom="page">
            <wp:posOffset>742315</wp:posOffset>
          </wp:positionV>
          <wp:extent cx="3166745" cy="554355"/>
          <wp:effectExtent l="0" t="0" r="0" b="0"/>
          <wp:wrapNone/>
          <wp:docPr id="15" name="Picture 15"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5168" behindDoc="1" locked="1" layoutInCell="1" allowOverlap="1" wp14:anchorId="62F2A332" wp14:editId="494CFE85">
          <wp:simplePos x="0" y="0"/>
          <wp:positionH relativeFrom="page">
            <wp:posOffset>-1481455</wp:posOffset>
          </wp:positionH>
          <wp:positionV relativeFrom="page">
            <wp:posOffset>-31750</wp:posOffset>
          </wp:positionV>
          <wp:extent cx="15718155" cy="10692130"/>
          <wp:effectExtent l="0" t="0" r="0" b="0"/>
          <wp:wrapNone/>
          <wp:docPr id="16" name="Picture 1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5718155" cy="10692130"/>
                  </a:xfrm>
                  <a:prstGeom prst="rect">
                    <a:avLst/>
                  </a:prstGeom>
                </pic:spPr>
              </pic:pic>
            </a:graphicData>
          </a:graphic>
          <wp14:sizeRelH relativeFrom="margin">
            <wp14:pctWidth>0</wp14:pctWidth>
          </wp14:sizeRelH>
          <wp14:sizeRelV relativeFrom="margin">
            <wp14:pctHeight>0</wp14:pctHeight>
          </wp14:sizeRelV>
        </wp:anchor>
      </w:drawing>
    </w:r>
  </w:p>
  <w:p w14:paraId="43E595A1" w14:textId="77777777" w:rsidR="00F328DA" w:rsidRDefault="00F32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1E"/>
    <w:multiLevelType w:val="hybridMultilevel"/>
    <w:tmpl w:val="77486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817633"/>
    <w:multiLevelType w:val="multilevel"/>
    <w:tmpl w:val="932C9030"/>
    <w:lvl w:ilvl="0">
      <w:start w:val="5"/>
      <w:numFmt w:val="decimal"/>
      <w:lvlText w:val="%1"/>
      <w:lvlJc w:val="left"/>
      <w:pPr>
        <w:ind w:left="380" w:hanging="380"/>
      </w:pPr>
      <w:rPr>
        <w:rFonts w:hint="default"/>
        <w:i w:val="0"/>
      </w:rPr>
    </w:lvl>
    <w:lvl w:ilvl="1">
      <w:start w:val="15"/>
      <w:numFmt w:val="decimal"/>
      <w:lvlText w:val="%1.%2"/>
      <w:lvlJc w:val="left"/>
      <w:pPr>
        <w:ind w:left="380" w:hanging="3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15:restartNumberingAfterBreak="0">
    <w:nsid w:val="01EC76F7"/>
    <w:multiLevelType w:val="hybridMultilevel"/>
    <w:tmpl w:val="73D2BA72"/>
    <w:lvl w:ilvl="0" w:tplc="9FCE4E0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2E0871"/>
    <w:multiLevelType w:val="hybridMultilevel"/>
    <w:tmpl w:val="18AA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B97A5D"/>
    <w:multiLevelType w:val="hybridMultilevel"/>
    <w:tmpl w:val="4BFEC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A0722"/>
    <w:multiLevelType w:val="hybridMultilevel"/>
    <w:tmpl w:val="8F02C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CC10D1A"/>
    <w:multiLevelType w:val="hybridMultilevel"/>
    <w:tmpl w:val="FFFFFFFF"/>
    <w:lvl w:ilvl="0" w:tplc="A2C84C0A">
      <w:start w:val="1"/>
      <w:numFmt w:val="bullet"/>
      <w:lvlText w:val="-"/>
      <w:lvlJc w:val="left"/>
      <w:pPr>
        <w:ind w:left="720" w:hanging="360"/>
      </w:pPr>
      <w:rPr>
        <w:rFonts w:ascii="Symbol" w:hAnsi="Symbol" w:hint="default"/>
      </w:rPr>
    </w:lvl>
    <w:lvl w:ilvl="1" w:tplc="998880F8">
      <w:start w:val="1"/>
      <w:numFmt w:val="bullet"/>
      <w:lvlText w:val="o"/>
      <w:lvlJc w:val="left"/>
      <w:pPr>
        <w:ind w:left="1440" w:hanging="360"/>
      </w:pPr>
      <w:rPr>
        <w:rFonts w:ascii="Courier New" w:hAnsi="Courier New" w:hint="default"/>
      </w:rPr>
    </w:lvl>
    <w:lvl w:ilvl="2" w:tplc="4524E44E">
      <w:start w:val="1"/>
      <w:numFmt w:val="bullet"/>
      <w:lvlText w:val=""/>
      <w:lvlJc w:val="left"/>
      <w:pPr>
        <w:ind w:left="2160" w:hanging="360"/>
      </w:pPr>
      <w:rPr>
        <w:rFonts w:ascii="Wingdings" w:hAnsi="Wingdings" w:hint="default"/>
      </w:rPr>
    </w:lvl>
    <w:lvl w:ilvl="3" w:tplc="084A4344">
      <w:start w:val="1"/>
      <w:numFmt w:val="bullet"/>
      <w:lvlText w:val=""/>
      <w:lvlJc w:val="left"/>
      <w:pPr>
        <w:ind w:left="2880" w:hanging="360"/>
      </w:pPr>
      <w:rPr>
        <w:rFonts w:ascii="Symbol" w:hAnsi="Symbol" w:hint="default"/>
      </w:rPr>
    </w:lvl>
    <w:lvl w:ilvl="4" w:tplc="F738D7FE">
      <w:start w:val="1"/>
      <w:numFmt w:val="bullet"/>
      <w:lvlText w:val="o"/>
      <w:lvlJc w:val="left"/>
      <w:pPr>
        <w:ind w:left="3600" w:hanging="360"/>
      </w:pPr>
      <w:rPr>
        <w:rFonts w:ascii="Courier New" w:hAnsi="Courier New" w:hint="default"/>
      </w:rPr>
    </w:lvl>
    <w:lvl w:ilvl="5" w:tplc="D17E4E76">
      <w:start w:val="1"/>
      <w:numFmt w:val="bullet"/>
      <w:lvlText w:val=""/>
      <w:lvlJc w:val="left"/>
      <w:pPr>
        <w:ind w:left="4320" w:hanging="360"/>
      </w:pPr>
      <w:rPr>
        <w:rFonts w:ascii="Wingdings" w:hAnsi="Wingdings" w:hint="default"/>
      </w:rPr>
    </w:lvl>
    <w:lvl w:ilvl="6" w:tplc="83C47ECC">
      <w:start w:val="1"/>
      <w:numFmt w:val="bullet"/>
      <w:lvlText w:val=""/>
      <w:lvlJc w:val="left"/>
      <w:pPr>
        <w:ind w:left="5040" w:hanging="360"/>
      </w:pPr>
      <w:rPr>
        <w:rFonts w:ascii="Symbol" w:hAnsi="Symbol" w:hint="default"/>
      </w:rPr>
    </w:lvl>
    <w:lvl w:ilvl="7" w:tplc="CC2C5820">
      <w:start w:val="1"/>
      <w:numFmt w:val="bullet"/>
      <w:lvlText w:val="o"/>
      <w:lvlJc w:val="left"/>
      <w:pPr>
        <w:ind w:left="5760" w:hanging="360"/>
      </w:pPr>
      <w:rPr>
        <w:rFonts w:ascii="Courier New" w:hAnsi="Courier New" w:hint="default"/>
      </w:rPr>
    </w:lvl>
    <w:lvl w:ilvl="8" w:tplc="3E4693CE">
      <w:start w:val="1"/>
      <w:numFmt w:val="bullet"/>
      <w:lvlText w:val=""/>
      <w:lvlJc w:val="left"/>
      <w:pPr>
        <w:ind w:left="6480" w:hanging="360"/>
      </w:pPr>
      <w:rPr>
        <w:rFonts w:ascii="Wingdings" w:hAnsi="Wingdings" w:hint="default"/>
      </w:rPr>
    </w:lvl>
  </w:abstractNum>
  <w:abstractNum w:abstractNumId="8" w15:restartNumberingAfterBreak="0">
    <w:nsid w:val="0E587E5C"/>
    <w:multiLevelType w:val="hybridMultilevel"/>
    <w:tmpl w:val="BC64C58A"/>
    <w:lvl w:ilvl="0" w:tplc="2B4C5F06">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F032DB"/>
    <w:multiLevelType w:val="hybridMultilevel"/>
    <w:tmpl w:val="56F67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1" w15:restartNumberingAfterBreak="0">
    <w:nsid w:val="185B7F0E"/>
    <w:multiLevelType w:val="multilevel"/>
    <w:tmpl w:val="D50484FE"/>
    <w:lvl w:ilvl="0">
      <w:start w:val="1"/>
      <w:numFmt w:val="decimal"/>
      <w:lvlText w:val="%1."/>
      <w:lvlJc w:val="left"/>
      <w:pPr>
        <w:ind w:left="720" w:hanging="360"/>
      </w:pPr>
      <w:rPr>
        <w:b/>
        <w:bCs/>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99F275E"/>
    <w:multiLevelType w:val="hybridMultilevel"/>
    <w:tmpl w:val="F804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8191B"/>
    <w:multiLevelType w:val="hybridMultilevel"/>
    <w:tmpl w:val="241E09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F20912"/>
    <w:multiLevelType w:val="hybridMultilevel"/>
    <w:tmpl w:val="3EB4DA2E"/>
    <w:lvl w:ilvl="0" w:tplc="0C090001">
      <w:start w:val="1"/>
      <w:numFmt w:val="bullet"/>
      <w:lvlText w:val=""/>
      <w:lvlJc w:val="left"/>
      <w:pPr>
        <w:ind w:left="720" w:hanging="360"/>
      </w:pPr>
      <w:rPr>
        <w:rFonts w:ascii="Symbol" w:hAnsi="Symbol" w:cs="Symbol" w:hint="default"/>
      </w:rPr>
    </w:lvl>
    <w:lvl w:ilvl="1" w:tplc="0C090001">
      <w:start w:val="1"/>
      <w:numFmt w:val="bullet"/>
      <w:lvlText w:val=""/>
      <w:lvlJc w:val="left"/>
      <w:pPr>
        <w:ind w:left="1440" w:hanging="360"/>
      </w:pPr>
      <w:rPr>
        <w:rFonts w:ascii="Symbol" w:hAnsi="Symbol"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B148AF"/>
    <w:multiLevelType w:val="hybridMultilevel"/>
    <w:tmpl w:val="1430E2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3F76B2A"/>
    <w:multiLevelType w:val="hybridMultilevel"/>
    <w:tmpl w:val="67D01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C21B45"/>
    <w:multiLevelType w:val="hybridMultilevel"/>
    <w:tmpl w:val="D9A2AEAE"/>
    <w:lvl w:ilvl="0" w:tplc="0C09000F">
      <w:start w:val="1"/>
      <w:numFmt w:val="decimal"/>
      <w:lvlText w:val="%1."/>
      <w:lvlJc w:val="left"/>
      <w:pPr>
        <w:tabs>
          <w:tab w:val="num" w:pos="720"/>
        </w:tabs>
        <w:ind w:left="720" w:hanging="360"/>
      </w:pPr>
      <w:rPr>
        <w:rFonts w:hint="default"/>
      </w:rPr>
    </w:lvl>
    <w:lvl w:ilvl="1" w:tplc="6300583A" w:tentative="1">
      <w:start w:val="1"/>
      <w:numFmt w:val="bullet"/>
      <w:lvlText w:val="•"/>
      <w:lvlJc w:val="left"/>
      <w:pPr>
        <w:tabs>
          <w:tab w:val="num" w:pos="1440"/>
        </w:tabs>
        <w:ind w:left="1440" w:hanging="360"/>
      </w:pPr>
      <w:rPr>
        <w:rFonts w:ascii="Arial" w:hAnsi="Arial" w:hint="default"/>
      </w:rPr>
    </w:lvl>
    <w:lvl w:ilvl="2" w:tplc="F9A83032" w:tentative="1">
      <w:start w:val="1"/>
      <w:numFmt w:val="bullet"/>
      <w:lvlText w:val="•"/>
      <w:lvlJc w:val="left"/>
      <w:pPr>
        <w:tabs>
          <w:tab w:val="num" w:pos="2160"/>
        </w:tabs>
        <w:ind w:left="2160" w:hanging="360"/>
      </w:pPr>
      <w:rPr>
        <w:rFonts w:ascii="Arial" w:hAnsi="Arial" w:hint="default"/>
      </w:rPr>
    </w:lvl>
    <w:lvl w:ilvl="3" w:tplc="3808173C" w:tentative="1">
      <w:start w:val="1"/>
      <w:numFmt w:val="bullet"/>
      <w:lvlText w:val="•"/>
      <w:lvlJc w:val="left"/>
      <w:pPr>
        <w:tabs>
          <w:tab w:val="num" w:pos="2880"/>
        </w:tabs>
        <w:ind w:left="2880" w:hanging="360"/>
      </w:pPr>
      <w:rPr>
        <w:rFonts w:ascii="Arial" w:hAnsi="Arial" w:hint="default"/>
      </w:rPr>
    </w:lvl>
    <w:lvl w:ilvl="4" w:tplc="ADF64ABA" w:tentative="1">
      <w:start w:val="1"/>
      <w:numFmt w:val="bullet"/>
      <w:lvlText w:val="•"/>
      <w:lvlJc w:val="left"/>
      <w:pPr>
        <w:tabs>
          <w:tab w:val="num" w:pos="3600"/>
        </w:tabs>
        <w:ind w:left="3600" w:hanging="360"/>
      </w:pPr>
      <w:rPr>
        <w:rFonts w:ascii="Arial" w:hAnsi="Arial" w:hint="default"/>
      </w:rPr>
    </w:lvl>
    <w:lvl w:ilvl="5" w:tplc="52949250" w:tentative="1">
      <w:start w:val="1"/>
      <w:numFmt w:val="bullet"/>
      <w:lvlText w:val="•"/>
      <w:lvlJc w:val="left"/>
      <w:pPr>
        <w:tabs>
          <w:tab w:val="num" w:pos="4320"/>
        </w:tabs>
        <w:ind w:left="4320" w:hanging="360"/>
      </w:pPr>
      <w:rPr>
        <w:rFonts w:ascii="Arial" w:hAnsi="Arial" w:hint="default"/>
      </w:rPr>
    </w:lvl>
    <w:lvl w:ilvl="6" w:tplc="70B2DC2A" w:tentative="1">
      <w:start w:val="1"/>
      <w:numFmt w:val="bullet"/>
      <w:lvlText w:val="•"/>
      <w:lvlJc w:val="left"/>
      <w:pPr>
        <w:tabs>
          <w:tab w:val="num" w:pos="5040"/>
        </w:tabs>
        <w:ind w:left="5040" w:hanging="360"/>
      </w:pPr>
      <w:rPr>
        <w:rFonts w:ascii="Arial" w:hAnsi="Arial" w:hint="default"/>
      </w:rPr>
    </w:lvl>
    <w:lvl w:ilvl="7" w:tplc="BDA4E25C" w:tentative="1">
      <w:start w:val="1"/>
      <w:numFmt w:val="bullet"/>
      <w:lvlText w:val="•"/>
      <w:lvlJc w:val="left"/>
      <w:pPr>
        <w:tabs>
          <w:tab w:val="num" w:pos="5760"/>
        </w:tabs>
        <w:ind w:left="5760" w:hanging="360"/>
      </w:pPr>
      <w:rPr>
        <w:rFonts w:ascii="Arial" w:hAnsi="Arial" w:hint="default"/>
      </w:rPr>
    </w:lvl>
    <w:lvl w:ilvl="8" w:tplc="7B2CE1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841B84"/>
    <w:multiLevelType w:val="hybridMultilevel"/>
    <w:tmpl w:val="9E6E9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22E45"/>
    <w:multiLevelType w:val="hybridMultilevel"/>
    <w:tmpl w:val="8290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750A4D"/>
    <w:multiLevelType w:val="hybridMultilevel"/>
    <w:tmpl w:val="83E0BF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D5C4FFE"/>
    <w:multiLevelType w:val="hybridMultilevel"/>
    <w:tmpl w:val="7D7EB862"/>
    <w:lvl w:ilvl="0" w:tplc="7204A24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DD345E0"/>
    <w:multiLevelType w:val="hybridMultilevel"/>
    <w:tmpl w:val="98C6875E"/>
    <w:lvl w:ilvl="0" w:tplc="2B4C5F06">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DE4C38"/>
    <w:multiLevelType w:val="hybridMultilevel"/>
    <w:tmpl w:val="AC2EE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ED026C5"/>
    <w:multiLevelType w:val="hybridMultilevel"/>
    <w:tmpl w:val="FBBC1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Georgia" w:hAnsi="Georgia" w:cs="Georgia" w:hint="default"/>
      </w:rPr>
    </w:lvl>
    <w:lvl w:ilvl="2" w:tplc="0C090005" w:tentative="1">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Georgia" w:hAnsi="Georgia" w:cs="Georgia" w:hint="default"/>
      </w:rPr>
    </w:lvl>
    <w:lvl w:ilvl="5" w:tplc="0C090005" w:tentative="1">
      <w:start w:val="1"/>
      <w:numFmt w:val="bullet"/>
      <w:lvlText w:val=""/>
      <w:lvlJc w:val="left"/>
      <w:pPr>
        <w:ind w:left="4320" w:hanging="360"/>
      </w:pPr>
      <w:rPr>
        <w:rFonts w:ascii="Arial" w:hAnsi="Arial"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Georgia" w:hAnsi="Georgia" w:cs="Georgia" w:hint="default"/>
      </w:rPr>
    </w:lvl>
    <w:lvl w:ilvl="8" w:tplc="0C090005" w:tentative="1">
      <w:start w:val="1"/>
      <w:numFmt w:val="bullet"/>
      <w:lvlText w:val=""/>
      <w:lvlJc w:val="left"/>
      <w:pPr>
        <w:ind w:left="6480" w:hanging="360"/>
      </w:pPr>
      <w:rPr>
        <w:rFonts w:ascii="Arial" w:hAnsi="Arial" w:hint="default"/>
      </w:rPr>
    </w:lvl>
  </w:abstractNum>
  <w:abstractNum w:abstractNumId="26" w15:restartNumberingAfterBreak="0">
    <w:nsid w:val="2F465C99"/>
    <w:multiLevelType w:val="hybridMultilevel"/>
    <w:tmpl w:val="47A4F0B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3290024D"/>
    <w:multiLevelType w:val="hybridMultilevel"/>
    <w:tmpl w:val="FF82CA38"/>
    <w:lvl w:ilvl="0" w:tplc="014E86AC">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2D964D5"/>
    <w:multiLevelType w:val="hybridMultilevel"/>
    <w:tmpl w:val="B3BA9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79781D"/>
    <w:multiLevelType w:val="hybridMultilevel"/>
    <w:tmpl w:val="8BCA279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3CD0203"/>
    <w:multiLevelType w:val="multilevel"/>
    <w:tmpl w:val="C938E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3C1D3D"/>
    <w:multiLevelType w:val="hybridMultilevel"/>
    <w:tmpl w:val="BFF80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876964"/>
    <w:multiLevelType w:val="hybridMultilevel"/>
    <w:tmpl w:val="4A2C0FD6"/>
    <w:lvl w:ilvl="0" w:tplc="8D20A9EE">
      <w:start w:val="1"/>
      <w:numFmt w:val="upperLetter"/>
      <w:lvlText w:val="%1."/>
      <w:lvlJc w:val="left"/>
      <w:pPr>
        <w:ind w:left="720" w:hanging="360"/>
      </w:pPr>
      <w:rPr>
        <w:b/>
        <w:color w:val="495965" w:themeColor="text2"/>
        <w:sz w:val="22"/>
        <w:szCs w:val="22"/>
      </w:rPr>
    </w:lvl>
    <w:lvl w:ilvl="1" w:tplc="F69C5BF0">
      <w:numFmt w:val="bullet"/>
      <w:lvlText w:val="•"/>
      <w:lvlJc w:val="left"/>
      <w:pPr>
        <w:ind w:left="1440" w:hanging="360"/>
      </w:pPr>
      <w:rPr>
        <w:rFonts w:ascii="Calibri Light" w:eastAsiaTheme="minorHAnsi" w:hAnsi="Calibri Light" w:cs="Calibri 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B4A4CD2"/>
    <w:multiLevelType w:val="hybridMultilevel"/>
    <w:tmpl w:val="EB108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CA25525"/>
    <w:multiLevelType w:val="hybridMultilevel"/>
    <w:tmpl w:val="0C7AFE44"/>
    <w:lvl w:ilvl="0" w:tplc="692A016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6E6C5E"/>
    <w:multiLevelType w:val="hybridMultilevel"/>
    <w:tmpl w:val="3BB8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FF2DDD"/>
    <w:multiLevelType w:val="hybridMultilevel"/>
    <w:tmpl w:val="411078EE"/>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37" w15:restartNumberingAfterBreak="0">
    <w:nsid w:val="40647F80"/>
    <w:multiLevelType w:val="hybridMultilevel"/>
    <w:tmpl w:val="29027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2E93A02"/>
    <w:multiLevelType w:val="hybridMultilevel"/>
    <w:tmpl w:val="61BCF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69461A3"/>
    <w:multiLevelType w:val="hybridMultilevel"/>
    <w:tmpl w:val="966896CC"/>
    <w:lvl w:ilvl="0" w:tplc="D3CCE2AC">
      <w:start w:val="1"/>
      <w:numFmt w:val="decimal"/>
      <w:lvlText w:val="%1."/>
      <w:lvlJc w:val="left"/>
      <w:pPr>
        <w:ind w:left="720" w:hanging="360"/>
      </w:pPr>
      <w:rPr>
        <w:rFonts w:eastAsiaTheme="minorHAnsi" w:cs="MuseoSans-500" w:hint="default"/>
        <w:b/>
        <w:sz w:val="28"/>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748511F"/>
    <w:multiLevelType w:val="hybridMultilevel"/>
    <w:tmpl w:val="B55E6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5F74D8"/>
    <w:multiLevelType w:val="hybridMultilevel"/>
    <w:tmpl w:val="C0B09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1BE2058"/>
    <w:multiLevelType w:val="hybridMultilevel"/>
    <w:tmpl w:val="E0860124"/>
    <w:lvl w:ilvl="0" w:tplc="0C090001">
      <w:start w:val="1"/>
      <w:numFmt w:val="bullet"/>
      <w:lvlText w:val=""/>
      <w:lvlJc w:val="left"/>
      <w:pPr>
        <w:ind w:left="720" w:hanging="360"/>
      </w:pPr>
      <w:rPr>
        <w:rFonts w:ascii="Symbol" w:hAnsi="Symbol" w:hint="default"/>
      </w:rPr>
    </w:lvl>
    <w:lvl w:ilvl="1" w:tplc="12209F0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553D9F"/>
    <w:multiLevelType w:val="multilevel"/>
    <w:tmpl w:val="A6FA45D0"/>
    <w:numStyleLink w:val="BulletsList"/>
  </w:abstractNum>
  <w:abstractNum w:abstractNumId="44" w15:restartNumberingAfterBreak="0">
    <w:nsid w:val="52857686"/>
    <w:multiLevelType w:val="hybridMultilevel"/>
    <w:tmpl w:val="75A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D97570"/>
    <w:multiLevelType w:val="hybridMultilevel"/>
    <w:tmpl w:val="41BC5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9211E2A"/>
    <w:multiLevelType w:val="hybridMultilevel"/>
    <w:tmpl w:val="49165D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8" w15:restartNumberingAfterBreak="0">
    <w:nsid w:val="597A654F"/>
    <w:multiLevelType w:val="hybridMultilevel"/>
    <w:tmpl w:val="DC4ABC3A"/>
    <w:lvl w:ilvl="0" w:tplc="0C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Georgia" w:hAnsi="Georgia" w:cs="Georgia" w:hint="default"/>
      </w:rPr>
    </w:lvl>
    <w:lvl w:ilvl="2" w:tplc="08090005" w:tentative="1">
      <w:start w:val="1"/>
      <w:numFmt w:val="bullet"/>
      <w:lvlText w:val=""/>
      <w:lvlJc w:val="left"/>
      <w:pPr>
        <w:ind w:left="2160" w:hanging="360"/>
      </w:pPr>
      <w:rPr>
        <w:rFonts w:ascii="Arial" w:hAnsi="Arial" w:hint="default"/>
      </w:rPr>
    </w:lvl>
    <w:lvl w:ilvl="3" w:tplc="08090001" w:tentative="1">
      <w:start w:val="1"/>
      <w:numFmt w:val="bullet"/>
      <w:lvlText w:val=""/>
      <w:lvlJc w:val="left"/>
      <w:pPr>
        <w:ind w:left="2880" w:hanging="360"/>
      </w:pPr>
      <w:rPr>
        <w:rFonts w:ascii="Segoe UI" w:hAnsi="Segoe UI" w:hint="default"/>
      </w:rPr>
    </w:lvl>
    <w:lvl w:ilvl="4" w:tplc="08090003" w:tentative="1">
      <w:start w:val="1"/>
      <w:numFmt w:val="bullet"/>
      <w:lvlText w:val="o"/>
      <w:lvlJc w:val="left"/>
      <w:pPr>
        <w:ind w:left="3600" w:hanging="360"/>
      </w:pPr>
      <w:rPr>
        <w:rFonts w:ascii="Georgia" w:hAnsi="Georgia" w:cs="Georgia" w:hint="default"/>
      </w:rPr>
    </w:lvl>
    <w:lvl w:ilvl="5" w:tplc="08090005" w:tentative="1">
      <w:start w:val="1"/>
      <w:numFmt w:val="bullet"/>
      <w:lvlText w:val=""/>
      <w:lvlJc w:val="left"/>
      <w:pPr>
        <w:ind w:left="4320" w:hanging="360"/>
      </w:pPr>
      <w:rPr>
        <w:rFonts w:ascii="Arial" w:hAnsi="Arial" w:hint="default"/>
      </w:rPr>
    </w:lvl>
    <w:lvl w:ilvl="6" w:tplc="08090001" w:tentative="1">
      <w:start w:val="1"/>
      <w:numFmt w:val="bullet"/>
      <w:lvlText w:val=""/>
      <w:lvlJc w:val="left"/>
      <w:pPr>
        <w:ind w:left="5040" w:hanging="360"/>
      </w:pPr>
      <w:rPr>
        <w:rFonts w:ascii="Segoe UI" w:hAnsi="Segoe UI" w:hint="default"/>
      </w:rPr>
    </w:lvl>
    <w:lvl w:ilvl="7" w:tplc="08090003" w:tentative="1">
      <w:start w:val="1"/>
      <w:numFmt w:val="bullet"/>
      <w:lvlText w:val="o"/>
      <w:lvlJc w:val="left"/>
      <w:pPr>
        <w:ind w:left="5760" w:hanging="360"/>
      </w:pPr>
      <w:rPr>
        <w:rFonts w:ascii="Georgia" w:hAnsi="Georgia" w:cs="Georgia" w:hint="default"/>
      </w:rPr>
    </w:lvl>
    <w:lvl w:ilvl="8" w:tplc="08090005" w:tentative="1">
      <w:start w:val="1"/>
      <w:numFmt w:val="bullet"/>
      <w:lvlText w:val=""/>
      <w:lvlJc w:val="left"/>
      <w:pPr>
        <w:ind w:left="6480" w:hanging="360"/>
      </w:pPr>
      <w:rPr>
        <w:rFonts w:ascii="Arial" w:hAnsi="Arial" w:hint="default"/>
      </w:rPr>
    </w:lvl>
  </w:abstractNum>
  <w:abstractNum w:abstractNumId="49" w15:restartNumberingAfterBreak="0">
    <w:nsid w:val="5A8A17D2"/>
    <w:multiLevelType w:val="hybridMultilevel"/>
    <w:tmpl w:val="F67C89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5ACE4DE7"/>
    <w:multiLevelType w:val="hybridMultilevel"/>
    <w:tmpl w:val="DEB8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00075F"/>
    <w:multiLevelType w:val="hybridMultilevel"/>
    <w:tmpl w:val="824402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D2C2AB2"/>
    <w:multiLevelType w:val="hybridMultilevel"/>
    <w:tmpl w:val="241E096A"/>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D7F0B30"/>
    <w:multiLevelType w:val="hybridMultilevel"/>
    <w:tmpl w:val="CD7828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DB65C13"/>
    <w:multiLevelType w:val="hybridMultilevel"/>
    <w:tmpl w:val="241E09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56" w15:restartNumberingAfterBreak="0">
    <w:nsid w:val="601841F9"/>
    <w:multiLevelType w:val="multilevel"/>
    <w:tmpl w:val="430A3FBE"/>
    <w:lvl w:ilvl="0">
      <w:start w:val="5"/>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2CE3EA0"/>
    <w:multiLevelType w:val="hybridMultilevel"/>
    <w:tmpl w:val="4F421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4EC0540"/>
    <w:multiLevelType w:val="hybridMultilevel"/>
    <w:tmpl w:val="EEDC1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66E48FE"/>
    <w:multiLevelType w:val="hybridMultilevel"/>
    <w:tmpl w:val="0B680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8137DCF"/>
    <w:multiLevelType w:val="hybridMultilevel"/>
    <w:tmpl w:val="04B013D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92929D1"/>
    <w:multiLevelType w:val="hybridMultilevel"/>
    <w:tmpl w:val="F9249086"/>
    <w:lvl w:ilvl="0" w:tplc="0C09000F">
      <w:start w:val="1"/>
      <w:numFmt w:val="decimal"/>
      <w:lvlText w:val="%1."/>
      <w:lvlJc w:val="left"/>
      <w:pPr>
        <w:ind w:left="720" w:hanging="360"/>
      </w:pPr>
      <w:rPr>
        <w:rFonts w:hint="default"/>
      </w:rPr>
    </w:lvl>
    <w:lvl w:ilvl="1" w:tplc="12209F0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92A4FA1"/>
    <w:multiLevelType w:val="hybridMultilevel"/>
    <w:tmpl w:val="1E48021A"/>
    <w:lvl w:ilvl="0" w:tplc="15302412">
      <w:start w:val="1"/>
      <w:numFmt w:val="bullet"/>
      <w:lvlText w:val="-"/>
      <w:lvlJc w:val="left"/>
      <w:pPr>
        <w:ind w:left="720" w:hanging="360"/>
      </w:pPr>
      <w:rPr>
        <w:rFonts w:ascii="Symbol" w:hAnsi="Symbol" w:hint="default"/>
      </w:rPr>
    </w:lvl>
    <w:lvl w:ilvl="1" w:tplc="38EAB3C6">
      <w:start w:val="1"/>
      <w:numFmt w:val="bullet"/>
      <w:lvlText w:val="o"/>
      <w:lvlJc w:val="left"/>
      <w:pPr>
        <w:ind w:left="1440" w:hanging="360"/>
      </w:pPr>
      <w:rPr>
        <w:rFonts w:ascii="Courier New" w:hAnsi="Courier New" w:hint="default"/>
      </w:rPr>
    </w:lvl>
    <w:lvl w:ilvl="2" w:tplc="2E9464E8">
      <w:start w:val="1"/>
      <w:numFmt w:val="bullet"/>
      <w:lvlText w:val=""/>
      <w:lvlJc w:val="left"/>
      <w:pPr>
        <w:ind w:left="2160" w:hanging="360"/>
      </w:pPr>
      <w:rPr>
        <w:rFonts w:ascii="Wingdings" w:hAnsi="Wingdings" w:hint="default"/>
      </w:rPr>
    </w:lvl>
    <w:lvl w:ilvl="3" w:tplc="A8AEB2DA">
      <w:start w:val="1"/>
      <w:numFmt w:val="bullet"/>
      <w:lvlText w:val=""/>
      <w:lvlJc w:val="left"/>
      <w:pPr>
        <w:ind w:left="2880" w:hanging="360"/>
      </w:pPr>
      <w:rPr>
        <w:rFonts w:ascii="Symbol" w:hAnsi="Symbol" w:hint="default"/>
      </w:rPr>
    </w:lvl>
    <w:lvl w:ilvl="4" w:tplc="F3FCCD22">
      <w:start w:val="1"/>
      <w:numFmt w:val="bullet"/>
      <w:lvlText w:val="o"/>
      <w:lvlJc w:val="left"/>
      <w:pPr>
        <w:ind w:left="3600" w:hanging="360"/>
      </w:pPr>
      <w:rPr>
        <w:rFonts w:ascii="Courier New" w:hAnsi="Courier New" w:hint="default"/>
      </w:rPr>
    </w:lvl>
    <w:lvl w:ilvl="5" w:tplc="09D6BE74">
      <w:start w:val="1"/>
      <w:numFmt w:val="bullet"/>
      <w:lvlText w:val=""/>
      <w:lvlJc w:val="left"/>
      <w:pPr>
        <w:ind w:left="4320" w:hanging="360"/>
      </w:pPr>
      <w:rPr>
        <w:rFonts w:ascii="Wingdings" w:hAnsi="Wingdings" w:hint="default"/>
      </w:rPr>
    </w:lvl>
    <w:lvl w:ilvl="6" w:tplc="FB6AC02C">
      <w:start w:val="1"/>
      <w:numFmt w:val="bullet"/>
      <w:lvlText w:val=""/>
      <w:lvlJc w:val="left"/>
      <w:pPr>
        <w:ind w:left="5040" w:hanging="360"/>
      </w:pPr>
      <w:rPr>
        <w:rFonts w:ascii="Symbol" w:hAnsi="Symbol" w:hint="default"/>
      </w:rPr>
    </w:lvl>
    <w:lvl w:ilvl="7" w:tplc="D578F820">
      <w:start w:val="1"/>
      <w:numFmt w:val="bullet"/>
      <w:lvlText w:val="o"/>
      <w:lvlJc w:val="left"/>
      <w:pPr>
        <w:ind w:left="5760" w:hanging="360"/>
      </w:pPr>
      <w:rPr>
        <w:rFonts w:ascii="Courier New" w:hAnsi="Courier New" w:hint="default"/>
      </w:rPr>
    </w:lvl>
    <w:lvl w:ilvl="8" w:tplc="AC641554">
      <w:start w:val="1"/>
      <w:numFmt w:val="bullet"/>
      <w:lvlText w:val=""/>
      <w:lvlJc w:val="left"/>
      <w:pPr>
        <w:ind w:left="6480" w:hanging="360"/>
      </w:pPr>
      <w:rPr>
        <w:rFonts w:ascii="Wingdings" w:hAnsi="Wingdings" w:hint="default"/>
      </w:rPr>
    </w:lvl>
  </w:abstractNum>
  <w:abstractNum w:abstractNumId="63" w15:restartNumberingAfterBreak="0">
    <w:nsid w:val="6ADA0E58"/>
    <w:multiLevelType w:val="hybridMultilevel"/>
    <w:tmpl w:val="A58EB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F612FDE"/>
    <w:multiLevelType w:val="hybridMultilevel"/>
    <w:tmpl w:val="D0A263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6FF254A0"/>
    <w:multiLevelType w:val="hybridMultilevel"/>
    <w:tmpl w:val="6E36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AF2E7F"/>
    <w:multiLevelType w:val="hybridMultilevel"/>
    <w:tmpl w:val="1AEC5A0A"/>
    <w:lvl w:ilvl="0" w:tplc="D1AC634E">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Georgia" w:hAnsi="Georgia" w:cs="Georgia" w:hint="default"/>
      </w:rPr>
    </w:lvl>
    <w:lvl w:ilvl="2" w:tplc="0C090005" w:tentative="1">
      <w:start w:val="1"/>
      <w:numFmt w:val="bullet"/>
      <w:lvlText w:val=""/>
      <w:lvlJc w:val="left"/>
      <w:pPr>
        <w:ind w:left="2160" w:hanging="360"/>
      </w:pPr>
      <w:rPr>
        <w:rFonts w:ascii="Arial" w:hAnsi="Arial" w:hint="default"/>
      </w:rPr>
    </w:lvl>
    <w:lvl w:ilvl="3" w:tplc="0C090001" w:tentative="1">
      <w:start w:val="1"/>
      <w:numFmt w:val="bullet"/>
      <w:lvlText w:val=""/>
      <w:lvlJc w:val="left"/>
      <w:pPr>
        <w:ind w:left="2880" w:hanging="360"/>
      </w:pPr>
      <w:rPr>
        <w:rFonts w:ascii="Segoe UI" w:hAnsi="Segoe UI" w:hint="default"/>
      </w:rPr>
    </w:lvl>
    <w:lvl w:ilvl="4" w:tplc="0C090003" w:tentative="1">
      <w:start w:val="1"/>
      <w:numFmt w:val="bullet"/>
      <w:lvlText w:val="o"/>
      <w:lvlJc w:val="left"/>
      <w:pPr>
        <w:ind w:left="3600" w:hanging="360"/>
      </w:pPr>
      <w:rPr>
        <w:rFonts w:ascii="Georgia" w:hAnsi="Georgia" w:cs="Georgia" w:hint="default"/>
      </w:rPr>
    </w:lvl>
    <w:lvl w:ilvl="5" w:tplc="0C090005" w:tentative="1">
      <w:start w:val="1"/>
      <w:numFmt w:val="bullet"/>
      <w:lvlText w:val=""/>
      <w:lvlJc w:val="left"/>
      <w:pPr>
        <w:ind w:left="4320" w:hanging="360"/>
      </w:pPr>
      <w:rPr>
        <w:rFonts w:ascii="Arial" w:hAnsi="Arial" w:hint="default"/>
      </w:rPr>
    </w:lvl>
    <w:lvl w:ilvl="6" w:tplc="0C090001" w:tentative="1">
      <w:start w:val="1"/>
      <w:numFmt w:val="bullet"/>
      <w:lvlText w:val=""/>
      <w:lvlJc w:val="left"/>
      <w:pPr>
        <w:ind w:left="5040" w:hanging="360"/>
      </w:pPr>
      <w:rPr>
        <w:rFonts w:ascii="Segoe UI" w:hAnsi="Segoe UI" w:hint="default"/>
      </w:rPr>
    </w:lvl>
    <w:lvl w:ilvl="7" w:tplc="0C090003" w:tentative="1">
      <w:start w:val="1"/>
      <w:numFmt w:val="bullet"/>
      <w:lvlText w:val="o"/>
      <w:lvlJc w:val="left"/>
      <w:pPr>
        <w:ind w:left="5760" w:hanging="360"/>
      </w:pPr>
      <w:rPr>
        <w:rFonts w:ascii="Georgia" w:hAnsi="Georgia" w:cs="Georgia" w:hint="default"/>
      </w:rPr>
    </w:lvl>
    <w:lvl w:ilvl="8" w:tplc="0C090005" w:tentative="1">
      <w:start w:val="1"/>
      <w:numFmt w:val="bullet"/>
      <w:lvlText w:val=""/>
      <w:lvlJc w:val="left"/>
      <w:pPr>
        <w:ind w:left="6480" w:hanging="360"/>
      </w:pPr>
      <w:rPr>
        <w:rFonts w:ascii="Arial" w:hAnsi="Arial" w:hint="default"/>
      </w:rPr>
    </w:lvl>
  </w:abstractNum>
  <w:abstractNum w:abstractNumId="67" w15:restartNumberingAfterBreak="0">
    <w:nsid w:val="70C45F25"/>
    <w:multiLevelType w:val="hybridMultilevel"/>
    <w:tmpl w:val="921A7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Georgia" w:hAnsi="Georgia" w:cs="Georgia" w:hint="default"/>
      </w:rPr>
    </w:lvl>
    <w:lvl w:ilvl="2" w:tplc="0C090005">
      <w:start w:val="1"/>
      <w:numFmt w:val="bullet"/>
      <w:lvlText w:val=""/>
      <w:lvlJc w:val="left"/>
      <w:pPr>
        <w:ind w:left="2160" w:hanging="360"/>
      </w:pPr>
      <w:rPr>
        <w:rFonts w:ascii="Arial" w:hAnsi="Arial" w:hint="default"/>
      </w:rPr>
    </w:lvl>
    <w:lvl w:ilvl="3" w:tplc="0C090001">
      <w:start w:val="1"/>
      <w:numFmt w:val="bullet"/>
      <w:lvlText w:val=""/>
      <w:lvlJc w:val="left"/>
      <w:pPr>
        <w:ind w:left="2880" w:hanging="360"/>
      </w:pPr>
      <w:rPr>
        <w:rFonts w:ascii="Segoe UI" w:hAnsi="Segoe UI" w:hint="default"/>
      </w:rPr>
    </w:lvl>
    <w:lvl w:ilvl="4" w:tplc="0C090003">
      <w:start w:val="1"/>
      <w:numFmt w:val="bullet"/>
      <w:lvlText w:val="o"/>
      <w:lvlJc w:val="left"/>
      <w:pPr>
        <w:ind w:left="3600" w:hanging="360"/>
      </w:pPr>
      <w:rPr>
        <w:rFonts w:ascii="Georgia" w:hAnsi="Georgia" w:cs="Georgia" w:hint="default"/>
      </w:rPr>
    </w:lvl>
    <w:lvl w:ilvl="5" w:tplc="0C090005">
      <w:start w:val="1"/>
      <w:numFmt w:val="bullet"/>
      <w:lvlText w:val=""/>
      <w:lvlJc w:val="left"/>
      <w:pPr>
        <w:ind w:left="4320" w:hanging="360"/>
      </w:pPr>
      <w:rPr>
        <w:rFonts w:ascii="Arial" w:hAnsi="Arial" w:hint="default"/>
      </w:rPr>
    </w:lvl>
    <w:lvl w:ilvl="6" w:tplc="0C090001">
      <w:start w:val="1"/>
      <w:numFmt w:val="bullet"/>
      <w:lvlText w:val=""/>
      <w:lvlJc w:val="left"/>
      <w:pPr>
        <w:ind w:left="5040" w:hanging="360"/>
      </w:pPr>
      <w:rPr>
        <w:rFonts w:ascii="Segoe UI" w:hAnsi="Segoe UI" w:hint="default"/>
      </w:rPr>
    </w:lvl>
    <w:lvl w:ilvl="7" w:tplc="0C090003">
      <w:start w:val="1"/>
      <w:numFmt w:val="bullet"/>
      <w:lvlText w:val="o"/>
      <w:lvlJc w:val="left"/>
      <w:pPr>
        <w:ind w:left="5760" w:hanging="360"/>
      </w:pPr>
      <w:rPr>
        <w:rFonts w:ascii="Georgia" w:hAnsi="Georgia" w:cs="Georgia" w:hint="default"/>
      </w:rPr>
    </w:lvl>
    <w:lvl w:ilvl="8" w:tplc="0C090005">
      <w:start w:val="1"/>
      <w:numFmt w:val="bullet"/>
      <w:lvlText w:val=""/>
      <w:lvlJc w:val="left"/>
      <w:pPr>
        <w:ind w:left="6480" w:hanging="360"/>
      </w:pPr>
      <w:rPr>
        <w:rFonts w:ascii="Arial" w:hAnsi="Arial" w:hint="default"/>
      </w:rPr>
    </w:lvl>
  </w:abstractNum>
  <w:abstractNum w:abstractNumId="68" w15:restartNumberingAfterBreak="0">
    <w:nsid w:val="728A6F00"/>
    <w:multiLevelType w:val="hybridMultilevel"/>
    <w:tmpl w:val="04B013D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2A61F55"/>
    <w:multiLevelType w:val="hybridMultilevel"/>
    <w:tmpl w:val="682A8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1" w15:restartNumberingAfterBreak="0">
    <w:nsid w:val="737801D5"/>
    <w:multiLevelType w:val="hybridMultilevel"/>
    <w:tmpl w:val="EDAEB8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2" w15:restartNumberingAfterBreak="0">
    <w:nsid w:val="74FD5A93"/>
    <w:multiLevelType w:val="hybridMultilevel"/>
    <w:tmpl w:val="FFFFFFFF"/>
    <w:lvl w:ilvl="0" w:tplc="FC2E19C8">
      <w:start w:val="1"/>
      <w:numFmt w:val="bullet"/>
      <w:lvlText w:val="-"/>
      <w:lvlJc w:val="left"/>
      <w:pPr>
        <w:ind w:left="720" w:hanging="360"/>
      </w:pPr>
      <w:rPr>
        <w:rFonts w:ascii="Symbol" w:hAnsi="Symbol" w:hint="default"/>
      </w:rPr>
    </w:lvl>
    <w:lvl w:ilvl="1" w:tplc="4EB0253A">
      <w:start w:val="1"/>
      <w:numFmt w:val="bullet"/>
      <w:lvlText w:val="o"/>
      <w:lvlJc w:val="left"/>
      <w:pPr>
        <w:ind w:left="1440" w:hanging="360"/>
      </w:pPr>
      <w:rPr>
        <w:rFonts w:ascii="Courier New" w:hAnsi="Courier New" w:hint="default"/>
      </w:rPr>
    </w:lvl>
    <w:lvl w:ilvl="2" w:tplc="8AB82978">
      <w:start w:val="1"/>
      <w:numFmt w:val="bullet"/>
      <w:lvlText w:val=""/>
      <w:lvlJc w:val="left"/>
      <w:pPr>
        <w:ind w:left="2160" w:hanging="360"/>
      </w:pPr>
      <w:rPr>
        <w:rFonts w:ascii="Wingdings" w:hAnsi="Wingdings" w:hint="default"/>
      </w:rPr>
    </w:lvl>
    <w:lvl w:ilvl="3" w:tplc="5182468C">
      <w:start w:val="1"/>
      <w:numFmt w:val="bullet"/>
      <w:lvlText w:val=""/>
      <w:lvlJc w:val="left"/>
      <w:pPr>
        <w:ind w:left="2880" w:hanging="360"/>
      </w:pPr>
      <w:rPr>
        <w:rFonts w:ascii="Symbol" w:hAnsi="Symbol" w:hint="default"/>
      </w:rPr>
    </w:lvl>
    <w:lvl w:ilvl="4" w:tplc="E52C8424">
      <w:start w:val="1"/>
      <w:numFmt w:val="bullet"/>
      <w:lvlText w:val="o"/>
      <w:lvlJc w:val="left"/>
      <w:pPr>
        <w:ind w:left="3600" w:hanging="360"/>
      </w:pPr>
      <w:rPr>
        <w:rFonts w:ascii="Courier New" w:hAnsi="Courier New" w:hint="default"/>
      </w:rPr>
    </w:lvl>
    <w:lvl w:ilvl="5" w:tplc="F6B8ABD8">
      <w:start w:val="1"/>
      <w:numFmt w:val="bullet"/>
      <w:lvlText w:val=""/>
      <w:lvlJc w:val="left"/>
      <w:pPr>
        <w:ind w:left="4320" w:hanging="360"/>
      </w:pPr>
      <w:rPr>
        <w:rFonts w:ascii="Wingdings" w:hAnsi="Wingdings" w:hint="default"/>
      </w:rPr>
    </w:lvl>
    <w:lvl w:ilvl="6" w:tplc="00D8C21E">
      <w:start w:val="1"/>
      <w:numFmt w:val="bullet"/>
      <w:lvlText w:val=""/>
      <w:lvlJc w:val="left"/>
      <w:pPr>
        <w:ind w:left="5040" w:hanging="360"/>
      </w:pPr>
      <w:rPr>
        <w:rFonts w:ascii="Symbol" w:hAnsi="Symbol" w:hint="default"/>
      </w:rPr>
    </w:lvl>
    <w:lvl w:ilvl="7" w:tplc="9050CF92">
      <w:start w:val="1"/>
      <w:numFmt w:val="bullet"/>
      <w:lvlText w:val="o"/>
      <w:lvlJc w:val="left"/>
      <w:pPr>
        <w:ind w:left="5760" w:hanging="360"/>
      </w:pPr>
      <w:rPr>
        <w:rFonts w:ascii="Courier New" w:hAnsi="Courier New" w:hint="default"/>
      </w:rPr>
    </w:lvl>
    <w:lvl w:ilvl="8" w:tplc="A5844160">
      <w:start w:val="1"/>
      <w:numFmt w:val="bullet"/>
      <w:lvlText w:val=""/>
      <w:lvlJc w:val="left"/>
      <w:pPr>
        <w:ind w:left="6480" w:hanging="360"/>
      </w:pPr>
      <w:rPr>
        <w:rFonts w:ascii="Wingdings" w:hAnsi="Wingdings" w:hint="default"/>
      </w:rPr>
    </w:lvl>
  </w:abstractNum>
  <w:abstractNum w:abstractNumId="73" w15:restartNumberingAfterBreak="0">
    <w:nsid w:val="759407E6"/>
    <w:multiLevelType w:val="multilevel"/>
    <w:tmpl w:val="76F8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7913C43"/>
    <w:multiLevelType w:val="hybridMultilevel"/>
    <w:tmpl w:val="542C6D96"/>
    <w:lvl w:ilvl="0" w:tplc="E8DE17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8F80F54"/>
    <w:multiLevelType w:val="hybridMultilevel"/>
    <w:tmpl w:val="E75082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8FA4FE6"/>
    <w:multiLevelType w:val="hybridMultilevel"/>
    <w:tmpl w:val="077A1D52"/>
    <w:lvl w:ilvl="0" w:tplc="2B4C5F06">
      <w:start w:val="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8" w15:restartNumberingAfterBreak="0">
    <w:nsid w:val="7B3167ED"/>
    <w:multiLevelType w:val="hybridMultilevel"/>
    <w:tmpl w:val="8340BAB4"/>
    <w:lvl w:ilvl="0" w:tplc="30E0622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B397EFD"/>
    <w:multiLevelType w:val="hybridMultilevel"/>
    <w:tmpl w:val="2BD88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DAD25EB"/>
    <w:multiLevelType w:val="hybridMultilevel"/>
    <w:tmpl w:val="D9144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F0654C8"/>
    <w:multiLevelType w:val="hybridMultilevel"/>
    <w:tmpl w:val="00DEC394"/>
    <w:lvl w:ilvl="0" w:tplc="2B4C5F06">
      <w:start w:val="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7A528B"/>
    <w:multiLevelType w:val="hybridMultilevel"/>
    <w:tmpl w:val="A39658C0"/>
    <w:lvl w:ilvl="0" w:tplc="7B640FF6">
      <w:start w:val="1"/>
      <w:numFmt w:val="bullet"/>
      <w:pStyle w:val="ListBullet"/>
      <w:lvlText w:val="›"/>
      <w:lvlJc w:val="left"/>
      <w:pPr>
        <w:ind w:left="786" w:hanging="360"/>
      </w:pPr>
      <w:rPr>
        <w:rFonts w:ascii="Times New Roman" w:hAnsi="Times New Roman" w:cs="Times New Roman" w:hint="default"/>
        <w:color w:val="auto"/>
        <w:position w:val="3"/>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num w:numId="1">
    <w:abstractNumId w:val="70"/>
  </w:num>
  <w:num w:numId="2">
    <w:abstractNumId w:val="6"/>
  </w:num>
  <w:num w:numId="3">
    <w:abstractNumId w:val="21"/>
  </w:num>
  <w:num w:numId="4">
    <w:abstractNumId w:val="47"/>
  </w:num>
  <w:num w:numId="5">
    <w:abstractNumId w:val="55"/>
  </w:num>
  <w:num w:numId="6">
    <w:abstractNumId w:val="21"/>
  </w:num>
  <w:num w:numId="7">
    <w:abstractNumId w:val="10"/>
  </w:num>
  <w:num w:numId="8">
    <w:abstractNumId w:val="77"/>
  </w:num>
  <w:num w:numId="9">
    <w:abstractNumId w:val="43"/>
  </w:num>
  <w:num w:numId="10">
    <w:abstractNumId w:val="32"/>
  </w:num>
  <w:num w:numId="11">
    <w:abstractNumId w:val="82"/>
  </w:num>
  <w:num w:numId="12">
    <w:abstractNumId w:val="29"/>
  </w:num>
  <w:num w:numId="13">
    <w:abstractNumId w:val="74"/>
  </w:num>
  <w:num w:numId="14">
    <w:abstractNumId w:val="54"/>
  </w:num>
  <w:num w:numId="15">
    <w:abstractNumId w:val="26"/>
  </w:num>
  <w:num w:numId="16">
    <w:abstractNumId w:val="8"/>
  </w:num>
  <w:num w:numId="17">
    <w:abstractNumId w:val="78"/>
  </w:num>
  <w:num w:numId="18">
    <w:abstractNumId w:val="48"/>
  </w:num>
  <w:num w:numId="19">
    <w:abstractNumId w:val="11"/>
  </w:num>
  <w:num w:numId="20">
    <w:abstractNumId w:val="25"/>
  </w:num>
  <w:num w:numId="21">
    <w:abstractNumId w:val="66"/>
  </w:num>
  <w:num w:numId="22">
    <w:abstractNumId w:val="67"/>
  </w:num>
  <w:num w:numId="23">
    <w:abstractNumId w:val="81"/>
  </w:num>
  <w:num w:numId="24">
    <w:abstractNumId w:val="59"/>
  </w:num>
  <w:num w:numId="25">
    <w:abstractNumId w:val="17"/>
  </w:num>
  <w:num w:numId="26">
    <w:abstractNumId w:val="65"/>
  </w:num>
  <w:num w:numId="27">
    <w:abstractNumId w:val="34"/>
  </w:num>
  <w:num w:numId="28">
    <w:abstractNumId w:val="23"/>
  </w:num>
  <w:num w:numId="29">
    <w:abstractNumId w:val="42"/>
  </w:num>
  <w:num w:numId="30">
    <w:abstractNumId w:val="52"/>
  </w:num>
  <w:num w:numId="31">
    <w:abstractNumId w:val="49"/>
  </w:num>
  <w:num w:numId="32">
    <w:abstractNumId w:val="1"/>
  </w:num>
  <w:num w:numId="33">
    <w:abstractNumId w:val="27"/>
  </w:num>
  <w:num w:numId="34">
    <w:abstractNumId w:val="14"/>
  </w:num>
  <w:num w:numId="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num>
  <w:num w:numId="37">
    <w:abstractNumId w:val="58"/>
  </w:num>
  <w:num w:numId="38">
    <w:abstractNumId w:val="38"/>
  </w:num>
  <w:num w:numId="39">
    <w:abstractNumId w:val="37"/>
  </w:num>
  <w:num w:numId="40">
    <w:abstractNumId w:val="41"/>
  </w:num>
  <w:num w:numId="41">
    <w:abstractNumId w:val="4"/>
  </w:num>
  <w:num w:numId="42">
    <w:abstractNumId w:val="76"/>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num>
  <w:num w:numId="45">
    <w:abstractNumId w:val="3"/>
  </w:num>
  <w:num w:numId="46">
    <w:abstractNumId w:val="44"/>
  </w:num>
  <w:num w:numId="47">
    <w:abstractNumId w:val="18"/>
  </w:num>
  <w:num w:numId="48">
    <w:abstractNumId w:val="19"/>
  </w:num>
  <w:num w:numId="49">
    <w:abstractNumId w:val="50"/>
  </w:num>
  <w:num w:numId="50">
    <w:abstractNumId w:val="30"/>
  </w:num>
  <w:num w:numId="51">
    <w:abstractNumId w:val="73"/>
  </w:num>
  <w:num w:numId="52">
    <w:abstractNumId w:val="15"/>
  </w:num>
  <w:num w:numId="53">
    <w:abstractNumId w:val="0"/>
  </w:num>
  <w:num w:numId="54">
    <w:abstractNumId w:val="24"/>
  </w:num>
  <w:num w:numId="55">
    <w:abstractNumId w:val="45"/>
  </w:num>
  <w:num w:numId="56">
    <w:abstractNumId w:val="9"/>
  </w:num>
  <w:num w:numId="57">
    <w:abstractNumId w:val="22"/>
  </w:num>
  <w:num w:numId="58">
    <w:abstractNumId w:val="68"/>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num>
  <w:num w:numId="61">
    <w:abstractNumId w:val="7"/>
  </w:num>
  <w:num w:numId="62">
    <w:abstractNumId w:val="72"/>
  </w:num>
  <w:num w:numId="63">
    <w:abstractNumId w:val="63"/>
  </w:num>
  <w:num w:numId="64">
    <w:abstractNumId w:val="20"/>
  </w:num>
  <w:num w:numId="65">
    <w:abstractNumId w:val="0"/>
  </w:num>
  <w:num w:numId="66">
    <w:abstractNumId w:val="27"/>
  </w:num>
  <w:num w:numId="67">
    <w:abstractNumId w:val="40"/>
  </w:num>
  <w:num w:numId="68">
    <w:abstractNumId w:val="46"/>
  </w:num>
  <w:num w:numId="69">
    <w:abstractNumId w:val="31"/>
  </w:num>
  <w:num w:numId="70">
    <w:abstractNumId w:val="69"/>
  </w:num>
  <w:num w:numId="71">
    <w:abstractNumId w:val="35"/>
  </w:num>
  <w:num w:numId="72">
    <w:abstractNumId w:val="12"/>
  </w:num>
  <w:num w:numId="73">
    <w:abstractNumId w:val="16"/>
  </w:num>
  <w:num w:numId="74">
    <w:abstractNumId w:val="28"/>
  </w:num>
  <w:num w:numId="75">
    <w:abstractNumId w:val="57"/>
  </w:num>
  <w:num w:numId="76">
    <w:abstractNumId w:val="5"/>
  </w:num>
  <w:num w:numId="77">
    <w:abstractNumId w:val="56"/>
  </w:num>
  <w:num w:numId="78">
    <w:abstractNumId w:val="60"/>
  </w:num>
  <w:num w:numId="79">
    <w:abstractNumId w:val="79"/>
  </w:num>
  <w:num w:numId="80">
    <w:abstractNumId w:val="13"/>
  </w:num>
  <w:num w:numId="81">
    <w:abstractNumId w:val="51"/>
  </w:num>
  <w:num w:numId="82">
    <w:abstractNumId w:val="2"/>
  </w:num>
  <w:num w:numId="83">
    <w:abstractNumId w:val="80"/>
  </w:num>
  <w:num w:numId="84">
    <w:abstractNumId w:val="33"/>
  </w:num>
  <w:num w:numId="85">
    <w:abstractNumId w:val="53"/>
  </w:num>
  <w:num w:numId="86">
    <w:abstractNumId w:val="75"/>
  </w:num>
  <w:num w:numId="87">
    <w:abstractNumId w:val="3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revisionView w:markup="0"/>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AF"/>
    <w:rsid w:val="0000060C"/>
    <w:rsid w:val="00000A18"/>
    <w:rsid w:val="00000EBC"/>
    <w:rsid w:val="000015DA"/>
    <w:rsid w:val="00001A9F"/>
    <w:rsid w:val="00001DA8"/>
    <w:rsid w:val="00002097"/>
    <w:rsid w:val="000020C1"/>
    <w:rsid w:val="00002603"/>
    <w:rsid w:val="00002632"/>
    <w:rsid w:val="00002E5D"/>
    <w:rsid w:val="00003593"/>
    <w:rsid w:val="00003835"/>
    <w:rsid w:val="000039BF"/>
    <w:rsid w:val="00003EC8"/>
    <w:rsid w:val="00004520"/>
    <w:rsid w:val="000049AF"/>
    <w:rsid w:val="000049E0"/>
    <w:rsid w:val="00004CB3"/>
    <w:rsid w:val="0000547C"/>
    <w:rsid w:val="000065A0"/>
    <w:rsid w:val="00007A62"/>
    <w:rsid w:val="0001048E"/>
    <w:rsid w:val="000108C1"/>
    <w:rsid w:val="00010A3C"/>
    <w:rsid w:val="000110F6"/>
    <w:rsid w:val="0001111A"/>
    <w:rsid w:val="00011431"/>
    <w:rsid w:val="000117B5"/>
    <w:rsid w:val="000117E8"/>
    <w:rsid w:val="00012038"/>
    <w:rsid w:val="00012351"/>
    <w:rsid w:val="00012F0F"/>
    <w:rsid w:val="000137C6"/>
    <w:rsid w:val="00014606"/>
    <w:rsid w:val="000148CA"/>
    <w:rsid w:val="00015D13"/>
    <w:rsid w:val="00015D4D"/>
    <w:rsid w:val="00017106"/>
    <w:rsid w:val="00017A4D"/>
    <w:rsid w:val="0002077D"/>
    <w:rsid w:val="0002080A"/>
    <w:rsid w:val="00020977"/>
    <w:rsid w:val="00021039"/>
    <w:rsid w:val="000220F0"/>
    <w:rsid w:val="0002348C"/>
    <w:rsid w:val="00023B57"/>
    <w:rsid w:val="000246AB"/>
    <w:rsid w:val="000252BC"/>
    <w:rsid w:val="000256C3"/>
    <w:rsid w:val="00025F21"/>
    <w:rsid w:val="00026467"/>
    <w:rsid w:val="00027282"/>
    <w:rsid w:val="0002782F"/>
    <w:rsid w:val="00027951"/>
    <w:rsid w:val="00027B11"/>
    <w:rsid w:val="00027CBD"/>
    <w:rsid w:val="0003059A"/>
    <w:rsid w:val="00030B6F"/>
    <w:rsid w:val="00030C94"/>
    <w:rsid w:val="00030ED6"/>
    <w:rsid w:val="000317C7"/>
    <w:rsid w:val="00031941"/>
    <w:rsid w:val="00031F1B"/>
    <w:rsid w:val="0003283B"/>
    <w:rsid w:val="000328A5"/>
    <w:rsid w:val="00032D6C"/>
    <w:rsid w:val="00033B6D"/>
    <w:rsid w:val="00033B8D"/>
    <w:rsid w:val="000357D4"/>
    <w:rsid w:val="00035BBF"/>
    <w:rsid w:val="000369D9"/>
    <w:rsid w:val="00036BFB"/>
    <w:rsid w:val="00036F5C"/>
    <w:rsid w:val="00037A5D"/>
    <w:rsid w:val="00041207"/>
    <w:rsid w:val="0004135C"/>
    <w:rsid w:val="00042900"/>
    <w:rsid w:val="00042A4E"/>
    <w:rsid w:val="00042CB0"/>
    <w:rsid w:val="0004572B"/>
    <w:rsid w:val="00045A18"/>
    <w:rsid w:val="00045EF5"/>
    <w:rsid w:val="000460F5"/>
    <w:rsid w:val="000461C2"/>
    <w:rsid w:val="00046C75"/>
    <w:rsid w:val="00046F4E"/>
    <w:rsid w:val="0004710F"/>
    <w:rsid w:val="00047153"/>
    <w:rsid w:val="00050806"/>
    <w:rsid w:val="00051273"/>
    <w:rsid w:val="000524DA"/>
    <w:rsid w:val="0005268F"/>
    <w:rsid w:val="000530E6"/>
    <w:rsid w:val="0005334D"/>
    <w:rsid w:val="00053570"/>
    <w:rsid w:val="000546D9"/>
    <w:rsid w:val="00054E4D"/>
    <w:rsid w:val="000552FD"/>
    <w:rsid w:val="00055DA1"/>
    <w:rsid w:val="00056137"/>
    <w:rsid w:val="00056602"/>
    <w:rsid w:val="00056BB6"/>
    <w:rsid w:val="000579A7"/>
    <w:rsid w:val="00057CC9"/>
    <w:rsid w:val="00060073"/>
    <w:rsid w:val="00060809"/>
    <w:rsid w:val="00060A8B"/>
    <w:rsid w:val="000616A2"/>
    <w:rsid w:val="000616C6"/>
    <w:rsid w:val="0006172A"/>
    <w:rsid w:val="00061802"/>
    <w:rsid w:val="00061EC5"/>
    <w:rsid w:val="00063361"/>
    <w:rsid w:val="0006339B"/>
    <w:rsid w:val="00063545"/>
    <w:rsid w:val="000640F6"/>
    <w:rsid w:val="00064B28"/>
    <w:rsid w:val="00065339"/>
    <w:rsid w:val="00065548"/>
    <w:rsid w:val="00065CFC"/>
    <w:rsid w:val="00065EFE"/>
    <w:rsid w:val="000667EB"/>
    <w:rsid w:val="000670AC"/>
    <w:rsid w:val="000670CE"/>
    <w:rsid w:val="00067398"/>
    <w:rsid w:val="00071A7C"/>
    <w:rsid w:val="00071AFC"/>
    <w:rsid w:val="00072633"/>
    <w:rsid w:val="00073037"/>
    <w:rsid w:val="0007422C"/>
    <w:rsid w:val="00074341"/>
    <w:rsid w:val="00074EE5"/>
    <w:rsid w:val="000750ED"/>
    <w:rsid w:val="00075FC5"/>
    <w:rsid w:val="00076E0A"/>
    <w:rsid w:val="000778D8"/>
    <w:rsid w:val="000779FE"/>
    <w:rsid w:val="00077B49"/>
    <w:rsid w:val="00077E4C"/>
    <w:rsid w:val="00082AF8"/>
    <w:rsid w:val="00082B23"/>
    <w:rsid w:val="000832F4"/>
    <w:rsid w:val="00083F7F"/>
    <w:rsid w:val="000841F4"/>
    <w:rsid w:val="0008505D"/>
    <w:rsid w:val="000854FD"/>
    <w:rsid w:val="00085777"/>
    <w:rsid w:val="000863CB"/>
    <w:rsid w:val="00086822"/>
    <w:rsid w:val="000870D8"/>
    <w:rsid w:val="000871C9"/>
    <w:rsid w:val="00087209"/>
    <w:rsid w:val="000907B9"/>
    <w:rsid w:val="00091105"/>
    <w:rsid w:val="00091721"/>
    <w:rsid w:val="000919A5"/>
    <w:rsid w:val="00091B97"/>
    <w:rsid w:val="000924EE"/>
    <w:rsid w:val="000929EA"/>
    <w:rsid w:val="00092F54"/>
    <w:rsid w:val="000932EC"/>
    <w:rsid w:val="00094E99"/>
    <w:rsid w:val="00095689"/>
    <w:rsid w:val="000957AD"/>
    <w:rsid w:val="0009597F"/>
    <w:rsid w:val="00095CF8"/>
    <w:rsid w:val="00096134"/>
    <w:rsid w:val="0009650A"/>
    <w:rsid w:val="00097052"/>
    <w:rsid w:val="0009710E"/>
    <w:rsid w:val="0009729A"/>
    <w:rsid w:val="000972BD"/>
    <w:rsid w:val="00097548"/>
    <w:rsid w:val="00097E2F"/>
    <w:rsid w:val="000A02CE"/>
    <w:rsid w:val="000A04F0"/>
    <w:rsid w:val="000A057F"/>
    <w:rsid w:val="000A11AD"/>
    <w:rsid w:val="000A1319"/>
    <w:rsid w:val="000A1739"/>
    <w:rsid w:val="000A2C7A"/>
    <w:rsid w:val="000A453E"/>
    <w:rsid w:val="000A4832"/>
    <w:rsid w:val="000A4A7D"/>
    <w:rsid w:val="000A4E00"/>
    <w:rsid w:val="000A5182"/>
    <w:rsid w:val="000A5DD4"/>
    <w:rsid w:val="000A5FC6"/>
    <w:rsid w:val="000A6B14"/>
    <w:rsid w:val="000A700E"/>
    <w:rsid w:val="000A713D"/>
    <w:rsid w:val="000A73A5"/>
    <w:rsid w:val="000A77D6"/>
    <w:rsid w:val="000A7F42"/>
    <w:rsid w:val="000B0B6D"/>
    <w:rsid w:val="000B147C"/>
    <w:rsid w:val="000B14E0"/>
    <w:rsid w:val="000B17D6"/>
    <w:rsid w:val="000B1B47"/>
    <w:rsid w:val="000B1D5C"/>
    <w:rsid w:val="000B22A9"/>
    <w:rsid w:val="000B37F5"/>
    <w:rsid w:val="000B3B26"/>
    <w:rsid w:val="000B4261"/>
    <w:rsid w:val="000B53BE"/>
    <w:rsid w:val="000B553C"/>
    <w:rsid w:val="000B597B"/>
    <w:rsid w:val="000B5B5D"/>
    <w:rsid w:val="000B6527"/>
    <w:rsid w:val="000B6844"/>
    <w:rsid w:val="000B6CEF"/>
    <w:rsid w:val="000B6DCF"/>
    <w:rsid w:val="000B6F51"/>
    <w:rsid w:val="000B7335"/>
    <w:rsid w:val="000B7BF0"/>
    <w:rsid w:val="000B7E22"/>
    <w:rsid w:val="000C04AD"/>
    <w:rsid w:val="000C0C71"/>
    <w:rsid w:val="000C0ED9"/>
    <w:rsid w:val="000C0FCC"/>
    <w:rsid w:val="000C178D"/>
    <w:rsid w:val="000C1D5C"/>
    <w:rsid w:val="000C221A"/>
    <w:rsid w:val="000C4A75"/>
    <w:rsid w:val="000C4F33"/>
    <w:rsid w:val="000C5086"/>
    <w:rsid w:val="000C546A"/>
    <w:rsid w:val="000C57A9"/>
    <w:rsid w:val="000C57BB"/>
    <w:rsid w:val="000C64FF"/>
    <w:rsid w:val="000C6977"/>
    <w:rsid w:val="000C6A4E"/>
    <w:rsid w:val="000C721D"/>
    <w:rsid w:val="000D02FE"/>
    <w:rsid w:val="000D354D"/>
    <w:rsid w:val="000D3F5D"/>
    <w:rsid w:val="000D4BE9"/>
    <w:rsid w:val="000D55B3"/>
    <w:rsid w:val="000D56EB"/>
    <w:rsid w:val="000D5E14"/>
    <w:rsid w:val="000D66D6"/>
    <w:rsid w:val="000D6972"/>
    <w:rsid w:val="000D7EAE"/>
    <w:rsid w:val="000E0526"/>
    <w:rsid w:val="000E0959"/>
    <w:rsid w:val="000E0BD7"/>
    <w:rsid w:val="000E0F5C"/>
    <w:rsid w:val="000E1186"/>
    <w:rsid w:val="000E1622"/>
    <w:rsid w:val="000E173B"/>
    <w:rsid w:val="000E1B41"/>
    <w:rsid w:val="000E1BBC"/>
    <w:rsid w:val="000E2D42"/>
    <w:rsid w:val="000E4724"/>
    <w:rsid w:val="000E5026"/>
    <w:rsid w:val="000E52A7"/>
    <w:rsid w:val="000E5969"/>
    <w:rsid w:val="000E6C18"/>
    <w:rsid w:val="000F0270"/>
    <w:rsid w:val="000F0706"/>
    <w:rsid w:val="000F0B5A"/>
    <w:rsid w:val="000F0C0E"/>
    <w:rsid w:val="000F0CB9"/>
    <w:rsid w:val="000F14CC"/>
    <w:rsid w:val="000F1B2C"/>
    <w:rsid w:val="000F3C77"/>
    <w:rsid w:val="000F487F"/>
    <w:rsid w:val="000F4A7E"/>
    <w:rsid w:val="000F4E14"/>
    <w:rsid w:val="000F4F10"/>
    <w:rsid w:val="000F6124"/>
    <w:rsid w:val="000F6AFB"/>
    <w:rsid w:val="000F7A60"/>
    <w:rsid w:val="00100398"/>
    <w:rsid w:val="00100D01"/>
    <w:rsid w:val="00101153"/>
    <w:rsid w:val="001016C6"/>
    <w:rsid w:val="00101C68"/>
    <w:rsid w:val="001023A6"/>
    <w:rsid w:val="0010399D"/>
    <w:rsid w:val="00103D44"/>
    <w:rsid w:val="0010452A"/>
    <w:rsid w:val="001052C2"/>
    <w:rsid w:val="0010600A"/>
    <w:rsid w:val="001064D8"/>
    <w:rsid w:val="00107FC9"/>
    <w:rsid w:val="0011012B"/>
    <w:rsid w:val="001105B2"/>
    <w:rsid w:val="00110BE1"/>
    <w:rsid w:val="001117ED"/>
    <w:rsid w:val="00112340"/>
    <w:rsid w:val="001124FD"/>
    <w:rsid w:val="00112BC1"/>
    <w:rsid w:val="00112CD4"/>
    <w:rsid w:val="00112CE7"/>
    <w:rsid w:val="00113181"/>
    <w:rsid w:val="00113288"/>
    <w:rsid w:val="00113916"/>
    <w:rsid w:val="001139A7"/>
    <w:rsid w:val="001144D4"/>
    <w:rsid w:val="00114A72"/>
    <w:rsid w:val="001150CA"/>
    <w:rsid w:val="00115852"/>
    <w:rsid w:val="00115884"/>
    <w:rsid w:val="00115B5E"/>
    <w:rsid w:val="00115CA5"/>
    <w:rsid w:val="001169AB"/>
    <w:rsid w:val="00116D0E"/>
    <w:rsid w:val="00116E13"/>
    <w:rsid w:val="00117130"/>
    <w:rsid w:val="001214BE"/>
    <w:rsid w:val="00121551"/>
    <w:rsid w:val="00122477"/>
    <w:rsid w:val="0012256D"/>
    <w:rsid w:val="001225C8"/>
    <w:rsid w:val="0012471D"/>
    <w:rsid w:val="00124E3E"/>
    <w:rsid w:val="00124FA0"/>
    <w:rsid w:val="00125396"/>
    <w:rsid w:val="00125640"/>
    <w:rsid w:val="00125923"/>
    <w:rsid w:val="00126D06"/>
    <w:rsid w:val="00126D1A"/>
    <w:rsid w:val="00126E11"/>
    <w:rsid w:val="00127ED3"/>
    <w:rsid w:val="00127EDA"/>
    <w:rsid w:val="0013101C"/>
    <w:rsid w:val="001316C1"/>
    <w:rsid w:val="001317DC"/>
    <w:rsid w:val="00131AB3"/>
    <w:rsid w:val="0013222E"/>
    <w:rsid w:val="00132AD1"/>
    <w:rsid w:val="00132DA3"/>
    <w:rsid w:val="00132FC1"/>
    <w:rsid w:val="001330A0"/>
    <w:rsid w:val="001330D8"/>
    <w:rsid w:val="001332BA"/>
    <w:rsid w:val="001332CB"/>
    <w:rsid w:val="0013339B"/>
    <w:rsid w:val="00133A22"/>
    <w:rsid w:val="00133AC2"/>
    <w:rsid w:val="00133F64"/>
    <w:rsid w:val="001343F4"/>
    <w:rsid w:val="00135767"/>
    <w:rsid w:val="00135A4C"/>
    <w:rsid w:val="00136188"/>
    <w:rsid w:val="0013644F"/>
    <w:rsid w:val="0013733E"/>
    <w:rsid w:val="0014040B"/>
    <w:rsid w:val="0014042C"/>
    <w:rsid w:val="00140452"/>
    <w:rsid w:val="00140BDE"/>
    <w:rsid w:val="00140C17"/>
    <w:rsid w:val="00140D40"/>
    <w:rsid w:val="00141593"/>
    <w:rsid w:val="00143AC2"/>
    <w:rsid w:val="001448D8"/>
    <w:rsid w:val="00144AA0"/>
    <w:rsid w:val="00144D9A"/>
    <w:rsid w:val="00145170"/>
    <w:rsid w:val="001461D6"/>
    <w:rsid w:val="0014652C"/>
    <w:rsid w:val="00146A4B"/>
    <w:rsid w:val="00146F5E"/>
    <w:rsid w:val="00147089"/>
    <w:rsid w:val="00147234"/>
    <w:rsid w:val="00147747"/>
    <w:rsid w:val="001503E9"/>
    <w:rsid w:val="0015106E"/>
    <w:rsid w:val="00151393"/>
    <w:rsid w:val="0015221F"/>
    <w:rsid w:val="00152785"/>
    <w:rsid w:val="00152D5A"/>
    <w:rsid w:val="001537B7"/>
    <w:rsid w:val="001539CC"/>
    <w:rsid w:val="001541EA"/>
    <w:rsid w:val="0015433C"/>
    <w:rsid w:val="00154776"/>
    <w:rsid w:val="00154FDB"/>
    <w:rsid w:val="0015505C"/>
    <w:rsid w:val="00156249"/>
    <w:rsid w:val="0015668D"/>
    <w:rsid w:val="00157071"/>
    <w:rsid w:val="001571E8"/>
    <w:rsid w:val="00157EBE"/>
    <w:rsid w:val="001604FA"/>
    <w:rsid w:val="00160D7E"/>
    <w:rsid w:val="00162ACE"/>
    <w:rsid w:val="00163C70"/>
    <w:rsid w:val="00163F4D"/>
    <w:rsid w:val="0016439E"/>
    <w:rsid w:val="0016444D"/>
    <w:rsid w:val="0016469B"/>
    <w:rsid w:val="0016484E"/>
    <w:rsid w:val="00165356"/>
    <w:rsid w:val="00165805"/>
    <w:rsid w:val="0016580B"/>
    <w:rsid w:val="00166B0B"/>
    <w:rsid w:val="00167719"/>
    <w:rsid w:val="0017001F"/>
    <w:rsid w:val="00171533"/>
    <w:rsid w:val="00173326"/>
    <w:rsid w:val="001736DB"/>
    <w:rsid w:val="00173A38"/>
    <w:rsid w:val="001740BF"/>
    <w:rsid w:val="00174A1B"/>
    <w:rsid w:val="00174EEA"/>
    <w:rsid w:val="00175085"/>
    <w:rsid w:val="00180873"/>
    <w:rsid w:val="00181EB1"/>
    <w:rsid w:val="00181F66"/>
    <w:rsid w:val="00182215"/>
    <w:rsid w:val="00183331"/>
    <w:rsid w:val="0018394C"/>
    <w:rsid w:val="00183D5D"/>
    <w:rsid w:val="001845C8"/>
    <w:rsid w:val="0018491E"/>
    <w:rsid w:val="00184C17"/>
    <w:rsid w:val="00185081"/>
    <w:rsid w:val="00185B46"/>
    <w:rsid w:val="00186334"/>
    <w:rsid w:val="00186D5B"/>
    <w:rsid w:val="00186EB4"/>
    <w:rsid w:val="001878FD"/>
    <w:rsid w:val="00190796"/>
    <w:rsid w:val="001908B7"/>
    <w:rsid w:val="00191409"/>
    <w:rsid w:val="001916AD"/>
    <w:rsid w:val="001917E6"/>
    <w:rsid w:val="001921ED"/>
    <w:rsid w:val="00192480"/>
    <w:rsid w:val="00194691"/>
    <w:rsid w:val="00194731"/>
    <w:rsid w:val="00194A47"/>
    <w:rsid w:val="00195A92"/>
    <w:rsid w:val="0019642B"/>
    <w:rsid w:val="001965D0"/>
    <w:rsid w:val="00196C72"/>
    <w:rsid w:val="00197075"/>
    <w:rsid w:val="0019719E"/>
    <w:rsid w:val="0019756B"/>
    <w:rsid w:val="00197771"/>
    <w:rsid w:val="00197A67"/>
    <w:rsid w:val="00197EF1"/>
    <w:rsid w:val="001A005B"/>
    <w:rsid w:val="001A0476"/>
    <w:rsid w:val="001A09C0"/>
    <w:rsid w:val="001A10B9"/>
    <w:rsid w:val="001A1332"/>
    <w:rsid w:val="001A1A6F"/>
    <w:rsid w:val="001A1DA0"/>
    <w:rsid w:val="001A294B"/>
    <w:rsid w:val="001A32E6"/>
    <w:rsid w:val="001A3EA0"/>
    <w:rsid w:val="001A3F82"/>
    <w:rsid w:val="001A48A3"/>
    <w:rsid w:val="001A4DD7"/>
    <w:rsid w:val="001A4E8D"/>
    <w:rsid w:val="001A53E0"/>
    <w:rsid w:val="001A58CD"/>
    <w:rsid w:val="001A5AF1"/>
    <w:rsid w:val="001A5E06"/>
    <w:rsid w:val="001A6683"/>
    <w:rsid w:val="001A6D47"/>
    <w:rsid w:val="001A7679"/>
    <w:rsid w:val="001B04E1"/>
    <w:rsid w:val="001B0916"/>
    <w:rsid w:val="001B0EED"/>
    <w:rsid w:val="001B2B29"/>
    <w:rsid w:val="001B2C4D"/>
    <w:rsid w:val="001B33F7"/>
    <w:rsid w:val="001B345C"/>
    <w:rsid w:val="001B3C85"/>
    <w:rsid w:val="001B40B1"/>
    <w:rsid w:val="001B49BA"/>
    <w:rsid w:val="001B4A8E"/>
    <w:rsid w:val="001B4E7D"/>
    <w:rsid w:val="001B5391"/>
    <w:rsid w:val="001B60D5"/>
    <w:rsid w:val="001B7539"/>
    <w:rsid w:val="001B76B0"/>
    <w:rsid w:val="001B799F"/>
    <w:rsid w:val="001C04F8"/>
    <w:rsid w:val="001C068A"/>
    <w:rsid w:val="001C08CC"/>
    <w:rsid w:val="001C0BF4"/>
    <w:rsid w:val="001C0DFD"/>
    <w:rsid w:val="001C0F07"/>
    <w:rsid w:val="001C1975"/>
    <w:rsid w:val="001C2166"/>
    <w:rsid w:val="001C2F6D"/>
    <w:rsid w:val="001C453D"/>
    <w:rsid w:val="001C45C5"/>
    <w:rsid w:val="001C5709"/>
    <w:rsid w:val="001C5999"/>
    <w:rsid w:val="001C7188"/>
    <w:rsid w:val="001D00A2"/>
    <w:rsid w:val="001D05FE"/>
    <w:rsid w:val="001D14F3"/>
    <w:rsid w:val="001D16D4"/>
    <w:rsid w:val="001D1CF3"/>
    <w:rsid w:val="001D1D96"/>
    <w:rsid w:val="001D20FC"/>
    <w:rsid w:val="001D28FF"/>
    <w:rsid w:val="001D31A4"/>
    <w:rsid w:val="001D33E4"/>
    <w:rsid w:val="001D36ED"/>
    <w:rsid w:val="001D4C03"/>
    <w:rsid w:val="001D52E3"/>
    <w:rsid w:val="001D663E"/>
    <w:rsid w:val="001D6934"/>
    <w:rsid w:val="001D6DB0"/>
    <w:rsid w:val="001D6FC7"/>
    <w:rsid w:val="001D70F2"/>
    <w:rsid w:val="001D7C72"/>
    <w:rsid w:val="001E1DC0"/>
    <w:rsid w:val="001E2B3A"/>
    <w:rsid w:val="001E3EBE"/>
    <w:rsid w:val="001E4252"/>
    <w:rsid w:val="001E55A9"/>
    <w:rsid w:val="001E61BD"/>
    <w:rsid w:val="001E6851"/>
    <w:rsid w:val="001E7DC7"/>
    <w:rsid w:val="001F0216"/>
    <w:rsid w:val="001F1311"/>
    <w:rsid w:val="001F1793"/>
    <w:rsid w:val="001F1A54"/>
    <w:rsid w:val="001F20C6"/>
    <w:rsid w:val="001F2991"/>
    <w:rsid w:val="001F451B"/>
    <w:rsid w:val="001F4546"/>
    <w:rsid w:val="001F5C80"/>
    <w:rsid w:val="001F69E6"/>
    <w:rsid w:val="001F6AA2"/>
    <w:rsid w:val="002007A6"/>
    <w:rsid w:val="00200E73"/>
    <w:rsid w:val="00201035"/>
    <w:rsid w:val="0020128C"/>
    <w:rsid w:val="0020245A"/>
    <w:rsid w:val="0020278D"/>
    <w:rsid w:val="00202B69"/>
    <w:rsid w:val="00203277"/>
    <w:rsid w:val="00203E4C"/>
    <w:rsid w:val="00204A42"/>
    <w:rsid w:val="00204A6D"/>
    <w:rsid w:val="002050AB"/>
    <w:rsid w:val="00205802"/>
    <w:rsid w:val="00205B2E"/>
    <w:rsid w:val="002069B7"/>
    <w:rsid w:val="00206F79"/>
    <w:rsid w:val="002074A3"/>
    <w:rsid w:val="002102AC"/>
    <w:rsid w:val="00212AFC"/>
    <w:rsid w:val="0021339E"/>
    <w:rsid w:val="00213405"/>
    <w:rsid w:val="0021421D"/>
    <w:rsid w:val="00214840"/>
    <w:rsid w:val="00214B12"/>
    <w:rsid w:val="00215ABB"/>
    <w:rsid w:val="002162A6"/>
    <w:rsid w:val="002166BB"/>
    <w:rsid w:val="002170FD"/>
    <w:rsid w:val="00217614"/>
    <w:rsid w:val="002201BA"/>
    <w:rsid w:val="00220528"/>
    <w:rsid w:val="002209DA"/>
    <w:rsid w:val="00220E0B"/>
    <w:rsid w:val="00220E3D"/>
    <w:rsid w:val="00221247"/>
    <w:rsid w:val="00221264"/>
    <w:rsid w:val="002215B0"/>
    <w:rsid w:val="00221A34"/>
    <w:rsid w:val="00221CD3"/>
    <w:rsid w:val="00221DED"/>
    <w:rsid w:val="002224E9"/>
    <w:rsid w:val="00222C76"/>
    <w:rsid w:val="002243B6"/>
    <w:rsid w:val="00224E00"/>
    <w:rsid w:val="0022522A"/>
    <w:rsid w:val="0022585E"/>
    <w:rsid w:val="00225C1F"/>
    <w:rsid w:val="00225EF0"/>
    <w:rsid w:val="002261EC"/>
    <w:rsid w:val="002264D3"/>
    <w:rsid w:val="00226EE5"/>
    <w:rsid w:val="00227E14"/>
    <w:rsid w:val="00230C3D"/>
    <w:rsid w:val="00230CFD"/>
    <w:rsid w:val="00231001"/>
    <w:rsid w:val="00232444"/>
    <w:rsid w:val="002332DC"/>
    <w:rsid w:val="00234D4B"/>
    <w:rsid w:val="002356BB"/>
    <w:rsid w:val="0023572F"/>
    <w:rsid w:val="00235B47"/>
    <w:rsid w:val="00235BE2"/>
    <w:rsid w:val="00235E0C"/>
    <w:rsid w:val="0023616C"/>
    <w:rsid w:val="00236209"/>
    <w:rsid w:val="00236832"/>
    <w:rsid w:val="00236A19"/>
    <w:rsid w:val="00236B3F"/>
    <w:rsid w:val="002375DF"/>
    <w:rsid w:val="00237DEA"/>
    <w:rsid w:val="0024038F"/>
    <w:rsid w:val="002404E2"/>
    <w:rsid w:val="002404ED"/>
    <w:rsid w:val="00240FCB"/>
    <w:rsid w:val="00241237"/>
    <w:rsid w:val="0024126E"/>
    <w:rsid w:val="00241898"/>
    <w:rsid w:val="00241C8E"/>
    <w:rsid w:val="00242186"/>
    <w:rsid w:val="00242243"/>
    <w:rsid w:val="002427B2"/>
    <w:rsid w:val="002427B6"/>
    <w:rsid w:val="002427DC"/>
    <w:rsid w:val="00243DA6"/>
    <w:rsid w:val="00244F9A"/>
    <w:rsid w:val="00246047"/>
    <w:rsid w:val="00246A3C"/>
    <w:rsid w:val="00246A5D"/>
    <w:rsid w:val="002479D2"/>
    <w:rsid w:val="00247B48"/>
    <w:rsid w:val="00247BA6"/>
    <w:rsid w:val="00250ED8"/>
    <w:rsid w:val="0025147A"/>
    <w:rsid w:val="0025173A"/>
    <w:rsid w:val="00251C69"/>
    <w:rsid w:val="00251FB8"/>
    <w:rsid w:val="00252C04"/>
    <w:rsid w:val="002530B0"/>
    <w:rsid w:val="002535FB"/>
    <w:rsid w:val="0025389F"/>
    <w:rsid w:val="00254678"/>
    <w:rsid w:val="00254AB4"/>
    <w:rsid w:val="00254AB6"/>
    <w:rsid w:val="0025535A"/>
    <w:rsid w:val="00256A9B"/>
    <w:rsid w:val="00257E01"/>
    <w:rsid w:val="00260061"/>
    <w:rsid w:val="00261134"/>
    <w:rsid w:val="0026130B"/>
    <w:rsid w:val="00261AEF"/>
    <w:rsid w:val="00262171"/>
    <w:rsid w:val="00262558"/>
    <w:rsid w:val="00262CBA"/>
    <w:rsid w:val="00262E81"/>
    <w:rsid w:val="002642EB"/>
    <w:rsid w:val="00264F24"/>
    <w:rsid w:val="00265AC2"/>
    <w:rsid w:val="00265B46"/>
    <w:rsid w:val="00265BC3"/>
    <w:rsid w:val="00267707"/>
    <w:rsid w:val="0027050A"/>
    <w:rsid w:val="00270A8B"/>
    <w:rsid w:val="0027117F"/>
    <w:rsid w:val="002711C4"/>
    <w:rsid w:val="00271565"/>
    <w:rsid w:val="00271D97"/>
    <w:rsid w:val="00271E52"/>
    <w:rsid w:val="002722FA"/>
    <w:rsid w:val="00272C59"/>
    <w:rsid w:val="00272CE5"/>
    <w:rsid w:val="0027308C"/>
    <w:rsid w:val="00273B0B"/>
    <w:rsid w:val="00273E76"/>
    <w:rsid w:val="00274266"/>
    <w:rsid w:val="00275378"/>
    <w:rsid w:val="0027547D"/>
    <w:rsid w:val="0027645D"/>
    <w:rsid w:val="002764F1"/>
    <w:rsid w:val="00277736"/>
    <w:rsid w:val="002779BB"/>
    <w:rsid w:val="00280179"/>
    <w:rsid w:val="00280CAC"/>
    <w:rsid w:val="002813AF"/>
    <w:rsid w:val="00282EAF"/>
    <w:rsid w:val="002836F4"/>
    <w:rsid w:val="002838EC"/>
    <w:rsid w:val="00283C9E"/>
    <w:rsid w:val="00284985"/>
    <w:rsid w:val="0028602A"/>
    <w:rsid w:val="00286210"/>
    <w:rsid w:val="002864FF"/>
    <w:rsid w:val="002868F2"/>
    <w:rsid w:val="00287651"/>
    <w:rsid w:val="002878D3"/>
    <w:rsid w:val="00290A9F"/>
    <w:rsid w:val="00290D30"/>
    <w:rsid w:val="0029158A"/>
    <w:rsid w:val="002919BD"/>
    <w:rsid w:val="00291AF4"/>
    <w:rsid w:val="00291FCB"/>
    <w:rsid w:val="002924E0"/>
    <w:rsid w:val="002932B1"/>
    <w:rsid w:val="00293DC1"/>
    <w:rsid w:val="00293FEA"/>
    <w:rsid w:val="0029408D"/>
    <w:rsid w:val="002943D9"/>
    <w:rsid w:val="00294730"/>
    <w:rsid w:val="00294CC2"/>
    <w:rsid w:val="0029570A"/>
    <w:rsid w:val="00295F31"/>
    <w:rsid w:val="002A046A"/>
    <w:rsid w:val="002A06D6"/>
    <w:rsid w:val="002A0790"/>
    <w:rsid w:val="002A0C74"/>
    <w:rsid w:val="002A163C"/>
    <w:rsid w:val="002A1846"/>
    <w:rsid w:val="002A260C"/>
    <w:rsid w:val="002A261F"/>
    <w:rsid w:val="002A26E3"/>
    <w:rsid w:val="002A2A6E"/>
    <w:rsid w:val="002A2B6F"/>
    <w:rsid w:val="002A30C3"/>
    <w:rsid w:val="002A3266"/>
    <w:rsid w:val="002A3707"/>
    <w:rsid w:val="002A37C5"/>
    <w:rsid w:val="002A3BE2"/>
    <w:rsid w:val="002A3E3C"/>
    <w:rsid w:val="002A3EDA"/>
    <w:rsid w:val="002A452B"/>
    <w:rsid w:val="002A4C83"/>
    <w:rsid w:val="002A55C2"/>
    <w:rsid w:val="002A5BE2"/>
    <w:rsid w:val="002A68B9"/>
    <w:rsid w:val="002A74E2"/>
    <w:rsid w:val="002A7A63"/>
    <w:rsid w:val="002B01E7"/>
    <w:rsid w:val="002B071D"/>
    <w:rsid w:val="002B09C4"/>
    <w:rsid w:val="002B1372"/>
    <w:rsid w:val="002B14E3"/>
    <w:rsid w:val="002B1D72"/>
    <w:rsid w:val="002B2195"/>
    <w:rsid w:val="002B26CC"/>
    <w:rsid w:val="002B33D1"/>
    <w:rsid w:val="002B3429"/>
    <w:rsid w:val="002B45D1"/>
    <w:rsid w:val="002B5166"/>
    <w:rsid w:val="002B5726"/>
    <w:rsid w:val="002B5AF8"/>
    <w:rsid w:val="002B5C3B"/>
    <w:rsid w:val="002B5E10"/>
    <w:rsid w:val="002B60DA"/>
    <w:rsid w:val="002B6BA5"/>
    <w:rsid w:val="002C011A"/>
    <w:rsid w:val="002C1E3D"/>
    <w:rsid w:val="002C280B"/>
    <w:rsid w:val="002C381C"/>
    <w:rsid w:val="002C3F58"/>
    <w:rsid w:val="002C56BB"/>
    <w:rsid w:val="002C5884"/>
    <w:rsid w:val="002C70AB"/>
    <w:rsid w:val="002C7599"/>
    <w:rsid w:val="002C793D"/>
    <w:rsid w:val="002D00F5"/>
    <w:rsid w:val="002D010F"/>
    <w:rsid w:val="002D044D"/>
    <w:rsid w:val="002D12FC"/>
    <w:rsid w:val="002D1657"/>
    <w:rsid w:val="002D21A5"/>
    <w:rsid w:val="002D2499"/>
    <w:rsid w:val="002D2AA8"/>
    <w:rsid w:val="002D2E41"/>
    <w:rsid w:val="002D35E2"/>
    <w:rsid w:val="002D3BA3"/>
    <w:rsid w:val="002D4DE7"/>
    <w:rsid w:val="002D5670"/>
    <w:rsid w:val="002D5815"/>
    <w:rsid w:val="002D5B25"/>
    <w:rsid w:val="002D60EC"/>
    <w:rsid w:val="002D7197"/>
    <w:rsid w:val="002D75F0"/>
    <w:rsid w:val="002D790A"/>
    <w:rsid w:val="002D7C21"/>
    <w:rsid w:val="002D7DAD"/>
    <w:rsid w:val="002E02E3"/>
    <w:rsid w:val="002E0313"/>
    <w:rsid w:val="002E0931"/>
    <w:rsid w:val="002E11EF"/>
    <w:rsid w:val="002E1BA1"/>
    <w:rsid w:val="002E1D26"/>
    <w:rsid w:val="002E23BD"/>
    <w:rsid w:val="002E27C6"/>
    <w:rsid w:val="002E332C"/>
    <w:rsid w:val="002E422B"/>
    <w:rsid w:val="002E5644"/>
    <w:rsid w:val="002E6502"/>
    <w:rsid w:val="002E73BA"/>
    <w:rsid w:val="002E740B"/>
    <w:rsid w:val="002E7F2D"/>
    <w:rsid w:val="002F062B"/>
    <w:rsid w:val="002F0C39"/>
    <w:rsid w:val="002F12D5"/>
    <w:rsid w:val="002F13AC"/>
    <w:rsid w:val="002F2103"/>
    <w:rsid w:val="002F4243"/>
    <w:rsid w:val="002F4F2B"/>
    <w:rsid w:val="002F59FC"/>
    <w:rsid w:val="002F5C4C"/>
    <w:rsid w:val="002F5DAE"/>
    <w:rsid w:val="002F5EB3"/>
    <w:rsid w:val="002F6140"/>
    <w:rsid w:val="002F6E11"/>
    <w:rsid w:val="002F6E96"/>
    <w:rsid w:val="002F7DF1"/>
    <w:rsid w:val="003002C0"/>
    <w:rsid w:val="003006A8"/>
    <w:rsid w:val="0030098A"/>
    <w:rsid w:val="00300BE8"/>
    <w:rsid w:val="00301144"/>
    <w:rsid w:val="00301BDD"/>
    <w:rsid w:val="00301EF5"/>
    <w:rsid w:val="003026ED"/>
    <w:rsid w:val="003029F8"/>
    <w:rsid w:val="00302AB0"/>
    <w:rsid w:val="003031C6"/>
    <w:rsid w:val="00304984"/>
    <w:rsid w:val="00304F47"/>
    <w:rsid w:val="0030500A"/>
    <w:rsid w:val="00305232"/>
    <w:rsid w:val="0030543B"/>
    <w:rsid w:val="00306388"/>
    <w:rsid w:val="00306E11"/>
    <w:rsid w:val="00310B08"/>
    <w:rsid w:val="00310E3A"/>
    <w:rsid w:val="00310FBA"/>
    <w:rsid w:val="00311153"/>
    <w:rsid w:val="0031213A"/>
    <w:rsid w:val="0031235E"/>
    <w:rsid w:val="00312BF8"/>
    <w:rsid w:val="003136A2"/>
    <w:rsid w:val="003148B7"/>
    <w:rsid w:val="003149BB"/>
    <w:rsid w:val="003149C8"/>
    <w:rsid w:val="003149D5"/>
    <w:rsid w:val="00315713"/>
    <w:rsid w:val="003158C3"/>
    <w:rsid w:val="00316110"/>
    <w:rsid w:val="003163CD"/>
    <w:rsid w:val="00316D74"/>
    <w:rsid w:val="00317697"/>
    <w:rsid w:val="0032046D"/>
    <w:rsid w:val="003209B7"/>
    <w:rsid w:val="00321541"/>
    <w:rsid w:val="003219B4"/>
    <w:rsid w:val="00322FEE"/>
    <w:rsid w:val="003235DC"/>
    <w:rsid w:val="003236E2"/>
    <w:rsid w:val="00323E47"/>
    <w:rsid w:val="00323FFD"/>
    <w:rsid w:val="00324DB0"/>
    <w:rsid w:val="003251BB"/>
    <w:rsid w:val="003257B2"/>
    <w:rsid w:val="00325F65"/>
    <w:rsid w:val="00326CD0"/>
    <w:rsid w:val="0032733D"/>
    <w:rsid w:val="003274CD"/>
    <w:rsid w:val="003278CD"/>
    <w:rsid w:val="003309F7"/>
    <w:rsid w:val="00330EA6"/>
    <w:rsid w:val="0033146B"/>
    <w:rsid w:val="00331B92"/>
    <w:rsid w:val="003320E4"/>
    <w:rsid w:val="00333501"/>
    <w:rsid w:val="003336CC"/>
    <w:rsid w:val="00333AE7"/>
    <w:rsid w:val="00333EA5"/>
    <w:rsid w:val="00334137"/>
    <w:rsid w:val="0033466F"/>
    <w:rsid w:val="00334EA5"/>
    <w:rsid w:val="00335319"/>
    <w:rsid w:val="00336679"/>
    <w:rsid w:val="003369AE"/>
    <w:rsid w:val="003369BB"/>
    <w:rsid w:val="00336E60"/>
    <w:rsid w:val="00336EED"/>
    <w:rsid w:val="00340B91"/>
    <w:rsid w:val="00341A47"/>
    <w:rsid w:val="00342CAE"/>
    <w:rsid w:val="00343198"/>
    <w:rsid w:val="003438AC"/>
    <w:rsid w:val="00343A79"/>
    <w:rsid w:val="0034446F"/>
    <w:rsid w:val="00344F5A"/>
    <w:rsid w:val="003457C4"/>
    <w:rsid w:val="003463D4"/>
    <w:rsid w:val="00346F54"/>
    <w:rsid w:val="00346FD9"/>
    <w:rsid w:val="00347537"/>
    <w:rsid w:val="00347954"/>
    <w:rsid w:val="00347A54"/>
    <w:rsid w:val="00347DF8"/>
    <w:rsid w:val="00350034"/>
    <w:rsid w:val="0035027C"/>
    <w:rsid w:val="003505B8"/>
    <w:rsid w:val="003507C3"/>
    <w:rsid w:val="0035119D"/>
    <w:rsid w:val="003519EA"/>
    <w:rsid w:val="00352249"/>
    <w:rsid w:val="003524E7"/>
    <w:rsid w:val="00352922"/>
    <w:rsid w:val="00352E75"/>
    <w:rsid w:val="00353CAB"/>
    <w:rsid w:val="00353D49"/>
    <w:rsid w:val="00353F96"/>
    <w:rsid w:val="003542D2"/>
    <w:rsid w:val="003545C8"/>
    <w:rsid w:val="00355AB3"/>
    <w:rsid w:val="003561F7"/>
    <w:rsid w:val="00357278"/>
    <w:rsid w:val="0036078E"/>
    <w:rsid w:val="003608CC"/>
    <w:rsid w:val="00360976"/>
    <w:rsid w:val="00360DE8"/>
    <w:rsid w:val="00361A33"/>
    <w:rsid w:val="00361D5C"/>
    <w:rsid w:val="00362021"/>
    <w:rsid w:val="003631B3"/>
    <w:rsid w:val="003636D2"/>
    <w:rsid w:val="00364973"/>
    <w:rsid w:val="00364B40"/>
    <w:rsid w:val="00364CF9"/>
    <w:rsid w:val="003661DE"/>
    <w:rsid w:val="003662B9"/>
    <w:rsid w:val="00366819"/>
    <w:rsid w:val="00367DF3"/>
    <w:rsid w:val="00370678"/>
    <w:rsid w:val="00370886"/>
    <w:rsid w:val="003717ED"/>
    <w:rsid w:val="00371C2B"/>
    <w:rsid w:val="0037254A"/>
    <w:rsid w:val="00373147"/>
    <w:rsid w:val="003733DC"/>
    <w:rsid w:val="003733FF"/>
    <w:rsid w:val="003739B0"/>
    <w:rsid w:val="003739EE"/>
    <w:rsid w:val="00374096"/>
    <w:rsid w:val="00374180"/>
    <w:rsid w:val="003741EB"/>
    <w:rsid w:val="00374AD2"/>
    <w:rsid w:val="00375B16"/>
    <w:rsid w:val="00375D5D"/>
    <w:rsid w:val="00376183"/>
    <w:rsid w:val="00376465"/>
    <w:rsid w:val="00377410"/>
    <w:rsid w:val="00377A2C"/>
    <w:rsid w:val="00381462"/>
    <w:rsid w:val="003814D1"/>
    <w:rsid w:val="00381725"/>
    <w:rsid w:val="003817BC"/>
    <w:rsid w:val="0038201C"/>
    <w:rsid w:val="00382669"/>
    <w:rsid w:val="00382BD6"/>
    <w:rsid w:val="003831B3"/>
    <w:rsid w:val="003836D1"/>
    <w:rsid w:val="00383C98"/>
    <w:rsid w:val="00384D00"/>
    <w:rsid w:val="00384D40"/>
    <w:rsid w:val="00384FE0"/>
    <w:rsid w:val="00385389"/>
    <w:rsid w:val="00385787"/>
    <w:rsid w:val="0038695C"/>
    <w:rsid w:val="00386D8A"/>
    <w:rsid w:val="00386E62"/>
    <w:rsid w:val="00386E82"/>
    <w:rsid w:val="003877E8"/>
    <w:rsid w:val="00387816"/>
    <w:rsid w:val="0039027E"/>
    <w:rsid w:val="00391294"/>
    <w:rsid w:val="00391397"/>
    <w:rsid w:val="00392A6D"/>
    <w:rsid w:val="0039344A"/>
    <w:rsid w:val="00393AF2"/>
    <w:rsid w:val="00393E44"/>
    <w:rsid w:val="0039401A"/>
    <w:rsid w:val="00394A91"/>
    <w:rsid w:val="00394C91"/>
    <w:rsid w:val="00395163"/>
    <w:rsid w:val="003954DA"/>
    <w:rsid w:val="00395542"/>
    <w:rsid w:val="0039615F"/>
    <w:rsid w:val="00396493"/>
    <w:rsid w:val="00397359"/>
    <w:rsid w:val="003976FC"/>
    <w:rsid w:val="00397B77"/>
    <w:rsid w:val="003A0719"/>
    <w:rsid w:val="003A0A15"/>
    <w:rsid w:val="003A0E1B"/>
    <w:rsid w:val="003A2A32"/>
    <w:rsid w:val="003A2C5F"/>
    <w:rsid w:val="003A2ED5"/>
    <w:rsid w:val="003A3B8F"/>
    <w:rsid w:val="003A44BD"/>
    <w:rsid w:val="003A4A4F"/>
    <w:rsid w:val="003A4D52"/>
    <w:rsid w:val="003A57A6"/>
    <w:rsid w:val="003A58C8"/>
    <w:rsid w:val="003A6506"/>
    <w:rsid w:val="003A67D6"/>
    <w:rsid w:val="003A72F8"/>
    <w:rsid w:val="003B02EF"/>
    <w:rsid w:val="003B0754"/>
    <w:rsid w:val="003B075F"/>
    <w:rsid w:val="003B09A7"/>
    <w:rsid w:val="003B0E5B"/>
    <w:rsid w:val="003B0E7D"/>
    <w:rsid w:val="003B15D7"/>
    <w:rsid w:val="003B19F0"/>
    <w:rsid w:val="003B1A32"/>
    <w:rsid w:val="003B284C"/>
    <w:rsid w:val="003B3300"/>
    <w:rsid w:val="003B34E1"/>
    <w:rsid w:val="003B41A0"/>
    <w:rsid w:val="003B487D"/>
    <w:rsid w:val="003B4C39"/>
    <w:rsid w:val="003B4F12"/>
    <w:rsid w:val="003B5435"/>
    <w:rsid w:val="003B57A5"/>
    <w:rsid w:val="003B63E4"/>
    <w:rsid w:val="003B66C5"/>
    <w:rsid w:val="003B6CF5"/>
    <w:rsid w:val="003B6E25"/>
    <w:rsid w:val="003B7188"/>
    <w:rsid w:val="003B7CDA"/>
    <w:rsid w:val="003B7E28"/>
    <w:rsid w:val="003C0072"/>
    <w:rsid w:val="003C05D7"/>
    <w:rsid w:val="003C10C0"/>
    <w:rsid w:val="003C1163"/>
    <w:rsid w:val="003C123E"/>
    <w:rsid w:val="003C1E72"/>
    <w:rsid w:val="003C24BD"/>
    <w:rsid w:val="003C25CB"/>
    <w:rsid w:val="003C27AA"/>
    <w:rsid w:val="003C3149"/>
    <w:rsid w:val="003C32B3"/>
    <w:rsid w:val="003C3B16"/>
    <w:rsid w:val="003C47F7"/>
    <w:rsid w:val="003C4895"/>
    <w:rsid w:val="003C4EEA"/>
    <w:rsid w:val="003C5484"/>
    <w:rsid w:val="003C5620"/>
    <w:rsid w:val="003C56BD"/>
    <w:rsid w:val="003C5B93"/>
    <w:rsid w:val="003C5DC7"/>
    <w:rsid w:val="003C66E3"/>
    <w:rsid w:val="003C6CB8"/>
    <w:rsid w:val="003C752B"/>
    <w:rsid w:val="003C7938"/>
    <w:rsid w:val="003C7B0B"/>
    <w:rsid w:val="003C7E02"/>
    <w:rsid w:val="003D05BF"/>
    <w:rsid w:val="003D109D"/>
    <w:rsid w:val="003D1687"/>
    <w:rsid w:val="003D180F"/>
    <w:rsid w:val="003D1DE5"/>
    <w:rsid w:val="003D289F"/>
    <w:rsid w:val="003D30FD"/>
    <w:rsid w:val="003D3CE6"/>
    <w:rsid w:val="003D41F5"/>
    <w:rsid w:val="003D438E"/>
    <w:rsid w:val="003D462C"/>
    <w:rsid w:val="003D46CF"/>
    <w:rsid w:val="003D50A1"/>
    <w:rsid w:val="003D51B2"/>
    <w:rsid w:val="003D57FC"/>
    <w:rsid w:val="003D5D3A"/>
    <w:rsid w:val="003D5FD3"/>
    <w:rsid w:val="003D619E"/>
    <w:rsid w:val="003D6FFF"/>
    <w:rsid w:val="003D74B4"/>
    <w:rsid w:val="003D762A"/>
    <w:rsid w:val="003E026D"/>
    <w:rsid w:val="003E02FF"/>
    <w:rsid w:val="003E0345"/>
    <w:rsid w:val="003E05CF"/>
    <w:rsid w:val="003E08AE"/>
    <w:rsid w:val="003E118C"/>
    <w:rsid w:val="003E155A"/>
    <w:rsid w:val="003E1C69"/>
    <w:rsid w:val="003E2162"/>
    <w:rsid w:val="003E28BB"/>
    <w:rsid w:val="003E3060"/>
    <w:rsid w:val="003E3249"/>
    <w:rsid w:val="003E4379"/>
    <w:rsid w:val="003E46E1"/>
    <w:rsid w:val="003E4C1D"/>
    <w:rsid w:val="003E4FAB"/>
    <w:rsid w:val="003E548D"/>
    <w:rsid w:val="003E5573"/>
    <w:rsid w:val="003E5CA2"/>
    <w:rsid w:val="003E6BC1"/>
    <w:rsid w:val="003E717E"/>
    <w:rsid w:val="003E75BF"/>
    <w:rsid w:val="003E7A89"/>
    <w:rsid w:val="003E7E37"/>
    <w:rsid w:val="003F0F37"/>
    <w:rsid w:val="003F109A"/>
    <w:rsid w:val="003F1F2A"/>
    <w:rsid w:val="003F2041"/>
    <w:rsid w:val="003F2171"/>
    <w:rsid w:val="003F25CD"/>
    <w:rsid w:val="003F2735"/>
    <w:rsid w:val="003F2B57"/>
    <w:rsid w:val="003F3334"/>
    <w:rsid w:val="003F35F4"/>
    <w:rsid w:val="003F3EDE"/>
    <w:rsid w:val="003F430B"/>
    <w:rsid w:val="003F5054"/>
    <w:rsid w:val="003F55E1"/>
    <w:rsid w:val="003F5766"/>
    <w:rsid w:val="003F603E"/>
    <w:rsid w:val="003F622F"/>
    <w:rsid w:val="003F68A9"/>
    <w:rsid w:val="00401147"/>
    <w:rsid w:val="0040181B"/>
    <w:rsid w:val="00401862"/>
    <w:rsid w:val="00401B45"/>
    <w:rsid w:val="0040295F"/>
    <w:rsid w:val="00402ACC"/>
    <w:rsid w:val="00402F38"/>
    <w:rsid w:val="00403396"/>
    <w:rsid w:val="00403425"/>
    <w:rsid w:val="004034AA"/>
    <w:rsid w:val="00403652"/>
    <w:rsid w:val="00403D08"/>
    <w:rsid w:val="00404347"/>
    <w:rsid w:val="004055E5"/>
    <w:rsid w:val="00406A1A"/>
    <w:rsid w:val="0040731B"/>
    <w:rsid w:val="00407AD8"/>
    <w:rsid w:val="00407D94"/>
    <w:rsid w:val="004102EF"/>
    <w:rsid w:val="0041059A"/>
    <w:rsid w:val="004112C0"/>
    <w:rsid w:val="0041209C"/>
    <w:rsid w:val="004120EC"/>
    <w:rsid w:val="00412326"/>
    <w:rsid w:val="00412860"/>
    <w:rsid w:val="0041344D"/>
    <w:rsid w:val="00413FAC"/>
    <w:rsid w:val="0041431B"/>
    <w:rsid w:val="00414476"/>
    <w:rsid w:val="00414F07"/>
    <w:rsid w:val="00415B1F"/>
    <w:rsid w:val="004161B0"/>
    <w:rsid w:val="0041631E"/>
    <w:rsid w:val="004165B6"/>
    <w:rsid w:val="00416693"/>
    <w:rsid w:val="00416CC1"/>
    <w:rsid w:val="0041738C"/>
    <w:rsid w:val="00417EF0"/>
    <w:rsid w:val="00420A8C"/>
    <w:rsid w:val="00420CBF"/>
    <w:rsid w:val="00421614"/>
    <w:rsid w:val="00421620"/>
    <w:rsid w:val="00421BBC"/>
    <w:rsid w:val="00422076"/>
    <w:rsid w:val="00422D7A"/>
    <w:rsid w:val="004236D9"/>
    <w:rsid w:val="00423F31"/>
    <w:rsid w:val="00423F6B"/>
    <w:rsid w:val="00424B6D"/>
    <w:rsid w:val="00424C40"/>
    <w:rsid w:val="00424F3C"/>
    <w:rsid w:val="00425B02"/>
    <w:rsid w:val="00426F89"/>
    <w:rsid w:val="004303FC"/>
    <w:rsid w:val="00430DFE"/>
    <w:rsid w:val="00431899"/>
    <w:rsid w:val="00432052"/>
    <w:rsid w:val="004321EA"/>
    <w:rsid w:val="00432A28"/>
    <w:rsid w:val="00432F29"/>
    <w:rsid w:val="00433CDE"/>
    <w:rsid w:val="00434A94"/>
    <w:rsid w:val="004350D7"/>
    <w:rsid w:val="0043638F"/>
    <w:rsid w:val="004364C6"/>
    <w:rsid w:val="004365A0"/>
    <w:rsid w:val="00436A75"/>
    <w:rsid w:val="00436FA8"/>
    <w:rsid w:val="004372DE"/>
    <w:rsid w:val="00437356"/>
    <w:rsid w:val="00437BE3"/>
    <w:rsid w:val="00437D04"/>
    <w:rsid w:val="00440161"/>
    <w:rsid w:val="00440474"/>
    <w:rsid w:val="00440B68"/>
    <w:rsid w:val="00441019"/>
    <w:rsid w:val="00442055"/>
    <w:rsid w:val="004440CC"/>
    <w:rsid w:val="00444295"/>
    <w:rsid w:val="004445AF"/>
    <w:rsid w:val="004450A7"/>
    <w:rsid w:val="00445448"/>
    <w:rsid w:val="0044647A"/>
    <w:rsid w:val="004469E6"/>
    <w:rsid w:val="00450098"/>
    <w:rsid w:val="004502E1"/>
    <w:rsid w:val="004516D3"/>
    <w:rsid w:val="0045180A"/>
    <w:rsid w:val="00452009"/>
    <w:rsid w:val="004521F5"/>
    <w:rsid w:val="00453888"/>
    <w:rsid w:val="0045408A"/>
    <w:rsid w:val="00454AE0"/>
    <w:rsid w:val="00455F6F"/>
    <w:rsid w:val="004565BE"/>
    <w:rsid w:val="00457406"/>
    <w:rsid w:val="00457CFC"/>
    <w:rsid w:val="00457FAE"/>
    <w:rsid w:val="00460259"/>
    <w:rsid w:val="00460810"/>
    <w:rsid w:val="004608A2"/>
    <w:rsid w:val="00461B1D"/>
    <w:rsid w:val="00461E4A"/>
    <w:rsid w:val="00461E4B"/>
    <w:rsid w:val="00461F64"/>
    <w:rsid w:val="004625E2"/>
    <w:rsid w:val="0046271D"/>
    <w:rsid w:val="00463863"/>
    <w:rsid w:val="00463B0C"/>
    <w:rsid w:val="00463DF1"/>
    <w:rsid w:val="00464D03"/>
    <w:rsid w:val="004656A4"/>
    <w:rsid w:val="00465A8C"/>
    <w:rsid w:val="0046734A"/>
    <w:rsid w:val="00467E57"/>
    <w:rsid w:val="004709F1"/>
    <w:rsid w:val="00471518"/>
    <w:rsid w:val="00471E94"/>
    <w:rsid w:val="00473470"/>
    <w:rsid w:val="00473EED"/>
    <w:rsid w:val="0047413E"/>
    <w:rsid w:val="00474462"/>
    <w:rsid w:val="0047462A"/>
    <w:rsid w:val="00474A02"/>
    <w:rsid w:val="004757A6"/>
    <w:rsid w:val="00475BB8"/>
    <w:rsid w:val="00475C4C"/>
    <w:rsid w:val="004762BC"/>
    <w:rsid w:val="00476657"/>
    <w:rsid w:val="004767BE"/>
    <w:rsid w:val="00476CF2"/>
    <w:rsid w:val="0047735B"/>
    <w:rsid w:val="0047738E"/>
    <w:rsid w:val="00477F0A"/>
    <w:rsid w:val="00480ADB"/>
    <w:rsid w:val="00481162"/>
    <w:rsid w:val="00482418"/>
    <w:rsid w:val="00482792"/>
    <w:rsid w:val="00482AE8"/>
    <w:rsid w:val="00482C06"/>
    <w:rsid w:val="00482C1B"/>
    <w:rsid w:val="004833E1"/>
    <w:rsid w:val="00483673"/>
    <w:rsid w:val="004838DA"/>
    <w:rsid w:val="00483A61"/>
    <w:rsid w:val="004840A2"/>
    <w:rsid w:val="004847A0"/>
    <w:rsid w:val="0048492D"/>
    <w:rsid w:val="00484A20"/>
    <w:rsid w:val="004850C6"/>
    <w:rsid w:val="00485B70"/>
    <w:rsid w:val="00486804"/>
    <w:rsid w:val="00486FFD"/>
    <w:rsid w:val="00487A70"/>
    <w:rsid w:val="00490CDB"/>
    <w:rsid w:val="004915B6"/>
    <w:rsid w:val="0049248E"/>
    <w:rsid w:val="00492D46"/>
    <w:rsid w:val="004933DF"/>
    <w:rsid w:val="004939C4"/>
    <w:rsid w:val="00493FD0"/>
    <w:rsid w:val="0049518E"/>
    <w:rsid w:val="00495EEA"/>
    <w:rsid w:val="0049668B"/>
    <w:rsid w:val="00496BB3"/>
    <w:rsid w:val="00496BBF"/>
    <w:rsid w:val="004972E4"/>
    <w:rsid w:val="00497D64"/>
    <w:rsid w:val="004A03C0"/>
    <w:rsid w:val="004A0691"/>
    <w:rsid w:val="004A0926"/>
    <w:rsid w:val="004A0C8E"/>
    <w:rsid w:val="004A1116"/>
    <w:rsid w:val="004A13C4"/>
    <w:rsid w:val="004A1577"/>
    <w:rsid w:val="004A1923"/>
    <w:rsid w:val="004A1C3F"/>
    <w:rsid w:val="004A2417"/>
    <w:rsid w:val="004A2E68"/>
    <w:rsid w:val="004A314D"/>
    <w:rsid w:val="004A461F"/>
    <w:rsid w:val="004A5599"/>
    <w:rsid w:val="004A6A1E"/>
    <w:rsid w:val="004A6FD8"/>
    <w:rsid w:val="004A76B8"/>
    <w:rsid w:val="004A7E97"/>
    <w:rsid w:val="004B06AA"/>
    <w:rsid w:val="004B0FC7"/>
    <w:rsid w:val="004B283F"/>
    <w:rsid w:val="004B2DF3"/>
    <w:rsid w:val="004B2FD8"/>
    <w:rsid w:val="004B31A4"/>
    <w:rsid w:val="004B3775"/>
    <w:rsid w:val="004B4BDE"/>
    <w:rsid w:val="004B5631"/>
    <w:rsid w:val="004B5A93"/>
    <w:rsid w:val="004B63CE"/>
    <w:rsid w:val="004B6A04"/>
    <w:rsid w:val="004C0553"/>
    <w:rsid w:val="004C15F4"/>
    <w:rsid w:val="004C194C"/>
    <w:rsid w:val="004C1A4B"/>
    <w:rsid w:val="004C1C30"/>
    <w:rsid w:val="004C1EE7"/>
    <w:rsid w:val="004C20B7"/>
    <w:rsid w:val="004C2B08"/>
    <w:rsid w:val="004C2DAA"/>
    <w:rsid w:val="004C418D"/>
    <w:rsid w:val="004C4A70"/>
    <w:rsid w:val="004C4E91"/>
    <w:rsid w:val="004C521C"/>
    <w:rsid w:val="004C5435"/>
    <w:rsid w:val="004C54DE"/>
    <w:rsid w:val="004C6342"/>
    <w:rsid w:val="004C6848"/>
    <w:rsid w:val="004C6C27"/>
    <w:rsid w:val="004C74FA"/>
    <w:rsid w:val="004C7845"/>
    <w:rsid w:val="004C78DB"/>
    <w:rsid w:val="004D0BA0"/>
    <w:rsid w:val="004D111B"/>
    <w:rsid w:val="004D52AB"/>
    <w:rsid w:val="004D5426"/>
    <w:rsid w:val="004D543B"/>
    <w:rsid w:val="004D5773"/>
    <w:rsid w:val="004D5811"/>
    <w:rsid w:val="004D59E3"/>
    <w:rsid w:val="004D5E83"/>
    <w:rsid w:val="004D6CA4"/>
    <w:rsid w:val="004D6F2D"/>
    <w:rsid w:val="004D72A5"/>
    <w:rsid w:val="004D736E"/>
    <w:rsid w:val="004D760A"/>
    <w:rsid w:val="004E0309"/>
    <w:rsid w:val="004E058F"/>
    <w:rsid w:val="004E09F0"/>
    <w:rsid w:val="004E12EA"/>
    <w:rsid w:val="004E1D80"/>
    <w:rsid w:val="004E26CD"/>
    <w:rsid w:val="004E29F8"/>
    <w:rsid w:val="004E2E81"/>
    <w:rsid w:val="004E31A1"/>
    <w:rsid w:val="004E3B87"/>
    <w:rsid w:val="004E4C66"/>
    <w:rsid w:val="004E546A"/>
    <w:rsid w:val="004E6687"/>
    <w:rsid w:val="004E7C37"/>
    <w:rsid w:val="004E7D7D"/>
    <w:rsid w:val="004F13C2"/>
    <w:rsid w:val="004F2111"/>
    <w:rsid w:val="004F2454"/>
    <w:rsid w:val="004F29F8"/>
    <w:rsid w:val="004F2AF9"/>
    <w:rsid w:val="004F3D39"/>
    <w:rsid w:val="004F449F"/>
    <w:rsid w:val="004F4DB5"/>
    <w:rsid w:val="004F60D1"/>
    <w:rsid w:val="004F6706"/>
    <w:rsid w:val="004F7033"/>
    <w:rsid w:val="004F73BD"/>
    <w:rsid w:val="004F756F"/>
    <w:rsid w:val="005003B0"/>
    <w:rsid w:val="00500471"/>
    <w:rsid w:val="00500CC9"/>
    <w:rsid w:val="00500F5E"/>
    <w:rsid w:val="00500F7A"/>
    <w:rsid w:val="005010A8"/>
    <w:rsid w:val="0050110E"/>
    <w:rsid w:val="00501467"/>
    <w:rsid w:val="00501636"/>
    <w:rsid w:val="00501E27"/>
    <w:rsid w:val="0050246D"/>
    <w:rsid w:val="00502605"/>
    <w:rsid w:val="005029BE"/>
    <w:rsid w:val="00503D29"/>
    <w:rsid w:val="00503DA3"/>
    <w:rsid w:val="00504123"/>
    <w:rsid w:val="00504517"/>
    <w:rsid w:val="005048B9"/>
    <w:rsid w:val="00505AC8"/>
    <w:rsid w:val="005067FB"/>
    <w:rsid w:val="0050728A"/>
    <w:rsid w:val="0050743B"/>
    <w:rsid w:val="005076BB"/>
    <w:rsid w:val="00507E51"/>
    <w:rsid w:val="00510159"/>
    <w:rsid w:val="00510714"/>
    <w:rsid w:val="00510921"/>
    <w:rsid w:val="00510AD3"/>
    <w:rsid w:val="005111FD"/>
    <w:rsid w:val="005113EA"/>
    <w:rsid w:val="00511C9A"/>
    <w:rsid w:val="00511F1B"/>
    <w:rsid w:val="00513348"/>
    <w:rsid w:val="00513520"/>
    <w:rsid w:val="0051388C"/>
    <w:rsid w:val="005138C3"/>
    <w:rsid w:val="00513AD8"/>
    <w:rsid w:val="00513FBF"/>
    <w:rsid w:val="0051457D"/>
    <w:rsid w:val="00514EA0"/>
    <w:rsid w:val="005159B4"/>
    <w:rsid w:val="0051672D"/>
    <w:rsid w:val="0051698D"/>
    <w:rsid w:val="00517792"/>
    <w:rsid w:val="00517995"/>
    <w:rsid w:val="005204D2"/>
    <w:rsid w:val="00520CFD"/>
    <w:rsid w:val="00522396"/>
    <w:rsid w:val="005229DA"/>
    <w:rsid w:val="00522CA2"/>
    <w:rsid w:val="005233A2"/>
    <w:rsid w:val="00523C6E"/>
    <w:rsid w:val="00524271"/>
    <w:rsid w:val="0052509C"/>
    <w:rsid w:val="005251D7"/>
    <w:rsid w:val="005256AC"/>
    <w:rsid w:val="00525F1F"/>
    <w:rsid w:val="00526264"/>
    <w:rsid w:val="005268CD"/>
    <w:rsid w:val="005302B9"/>
    <w:rsid w:val="005303B8"/>
    <w:rsid w:val="00530A84"/>
    <w:rsid w:val="00531AC9"/>
    <w:rsid w:val="00532093"/>
    <w:rsid w:val="00532913"/>
    <w:rsid w:val="0053367A"/>
    <w:rsid w:val="005338C7"/>
    <w:rsid w:val="00533B5D"/>
    <w:rsid w:val="00535362"/>
    <w:rsid w:val="005354E0"/>
    <w:rsid w:val="00535663"/>
    <w:rsid w:val="00535B1C"/>
    <w:rsid w:val="00535DAB"/>
    <w:rsid w:val="00536EDC"/>
    <w:rsid w:val="005371DF"/>
    <w:rsid w:val="00537590"/>
    <w:rsid w:val="00537C1E"/>
    <w:rsid w:val="005400DF"/>
    <w:rsid w:val="00540BE5"/>
    <w:rsid w:val="00540F10"/>
    <w:rsid w:val="00540F53"/>
    <w:rsid w:val="00541813"/>
    <w:rsid w:val="00541C3D"/>
    <w:rsid w:val="00542F2C"/>
    <w:rsid w:val="00542FE7"/>
    <w:rsid w:val="0054391C"/>
    <w:rsid w:val="00543D24"/>
    <w:rsid w:val="00544511"/>
    <w:rsid w:val="00544C50"/>
    <w:rsid w:val="00547202"/>
    <w:rsid w:val="0054797C"/>
    <w:rsid w:val="005479C3"/>
    <w:rsid w:val="00550185"/>
    <w:rsid w:val="0055033E"/>
    <w:rsid w:val="00550A68"/>
    <w:rsid w:val="00550AFD"/>
    <w:rsid w:val="0055177F"/>
    <w:rsid w:val="00552022"/>
    <w:rsid w:val="00552027"/>
    <w:rsid w:val="00552597"/>
    <w:rsid w:val="0055299F"/>
    <w:rsid w:val="00552DC1"/>
    <w:rsid w:val="0055324E"/>
    <w:rsid w:val="0055353B"/>
    <w:rsid w:val="005547F9"/>
    <w:rsid w:val="005552CA"/>
    <w:rsid w:val="005556D1"/>
    <w:rsid w:val="00555E03"/>
    <w:rsid w:val="00555FC7"/>
    <w:rsid w:val="00556A9F"/>
    <w:rsid w:val="00556D32"/>
    <w:rsid w:val="00557A4C"/>
    <w:rsid w:val="00560305"/>
    <w:rsid w:val="005605B7"/>
    <w:rsid w:val="005607C9"/>
    <w:rsid w:val="0056090C"/>
    <w:rsid w:val="00560B43"/>
    <w:rsid w:val="00561010"/>
    <w:rsid w:val="00561A3B"/>
    <w:rsid w:val="00561D8B"/>
    <w:rsid w:val="00561F9F"/>
    <w:rsid w:val="005624DE"/>
    <w:rsid w:val="00562595"/>
    <w:rsid w:val="005628E8"/>
    <w:rsid w:val="00562A17"/>
    <w:rsid w:val="00562A60"/>
    <w:rsid w:val="0056330C"/>
    <w:rsid w:val="00563946"/>
    <w:rsid w:val="00563C3D"/>
    <w:rsid w:val="00565B27"/>
    <w:rsid w:val="00565B7A"/>
    <w:rsid w:val="00566678"/>
    <w:rsid w:val="005672FF"/>
    <w:rsid w:val="005675FA"/>
    <w:rsid w:val="00567E49"/>
    <w:rsid w:val="005703D4"/>
    <w:rsid w:val="00570AF6"/>
    <w:rsid w:val="00571CEB"/>
    <w:rsid w:val="00571FBC"/>
    <w:rsid w:val="00572583"/>
    <w:rsid w:val="0057339E"/>
    <w:rsid w:val="005734E2"/>
    <w:rsid w:val="0057381C"/>
    <w:rsid w:val="00573B03"/>
    <w:rsid w:val="00573FE8"/>
    <w:rsid w:val="00574736"/>
    <w:rsid w:val="00574FF6"/>
    <w:rsid w:val="005753BC"/>
    <w:rsid w:val="00575C9A"/>
    <w:rsid w:val="0057636B"/>
    <w:rsid w:val="00576DD2"/>
    <w:rsid w:val="00577286"/>
    <w:rsid w:val="0057780C"/>
    <w:rsid w:val="005800A7"/>
    <w:rsid w:val="0058074C"/>
    <w:rsid w:val="00580DB3"/>
    <w:rsid w:val="005812F6"/>
    <w:rsid w:val="00581D34"/>
    <w:rsid w:val="00582119"/>
    <w:rsid w:val="005826B0"/>
    <w:rsid w:val="00582AF4"/>
    <w:rsid w:val="00582F48"/>
    <w:rsid w:val="005833DD"/>
    <w:rsid w:val="00583A64"/>
    <w:rsid w:val="005845F0"/>
    <w:rsid w:val="005851D7"/>
    <w:rsid w:val="0058586F"/>
    <w:rsid w:val="00585FB0"/>
    <w:rsid w:val="00586C81"/>
    <w:rsid w:val="00587B2F"/>
    <w:rsid w:val="0059024F"/>
    <w:rsid w:val="005905F5"/>
    <w:rsid w:val="005908E0"/>
    <w:rsid w:val="0059116F"/>
    <w:rsid w:val="0059161B"/>
    <w:rsid w:val="00591D10"/>
    <w:rsid w:val="005928DB"/>
    <w:rsid w:val="00592CF9"/>
    <w:rsid w:val="00592E89"/>
    <w:rsid w:val="00594036"/>
    <w:rsid w:val="0059444E"/>
    <w:rsid w:val="00594E68"/>
    <w:rsid w:val="00594ED0"/>
    <w:rsid w:val="005950E7"/>
    <w:rsid w:val="0059707F"/>
    <w:rsid w:val="005972F4"/>
    <w:rsid w:val="0059780B"/>
    <w:rsid w:val="005A0137"/>
    <w:rsid w:val="005A042C"/>
    <w:rsid w:val="005A0C29"/>
    <w:rsid w:val="005A0DB0"/>
    <w:rsid w:val="005A1C35"/>
    <w:rsid w:val="005A20F6"/>
    <w:rsid w:val="005A2269"/>
    <w:rsid w:val="005A3729"/>
    <w:rsid w:val="005A4B4D"/>
    <w:rsid w:val="005A50E8"/>
    <w:rsid w:val="005A5146"/>
    <w:rsid w:val="005A514D"/>
    <w:rsid w:val="005A555C"/>
    <w:rsid w:val="005A56B9"/>
    <w:rsid w:val="005A58E1"/>
    <w:rsid w:val="005A5C82"/>
    <w:rsid w:val="005A6257"/>
    <w:rsid w:val="005A6359"/>
    <w:rsid w:val="005A636D"/>
    <w:rsid w:val="005A6D39"/>
    <w:rsid w:val="005A6E88"/>
    <w:rsid w:val="005A7405"/>
    <w:rsid w:val="005A7856"/>
    <w:rsid w:val="005A78A8"/>
    <w:rsid w:val="005A7A04"/>
    <w:rsid w:val="005B01D1"/>
    <w:rsid w:val="005B01ED"/>
    <w:rsid w:val="005B1040"/>
    <w:rsid w:val="005B1F55"/>
    <w:rsid w:val="005B3978"/>
    <w:rsid w:val="005B3BE3"/>
    <w:rsid w:val="005B5322"/>
    <w:rsid w:val="005B543C"/>
    <w:rsid w:val="005B55E8"/>
    <w:rsid w:val="005B56D0"/>
    <w:rsid w:val="005B5ADF"/>
    <w:rsid w:val="005B5F57"/>
    <w:rsid w:val="005B6304"/>
    <w:rsid w:val="005B7AAD"/>
    <w:rsid w:val="005C057D"/>
    <w:rsid w:val="005C0785"/>
    <w:rsid w:val="005C0AFD"/>
    <w:rsid w:val="005C0E20"/>
    <w:rsid w:val="005C165E"/>
    <w:rsid w:val="005C2654"/>
    <w:rsid w:val="005C2866"/>
    <w:rsid w:val="005C2E3B"/>
    <w:rsid w:val="005C3645"/>
    <w:rsid w:val="005C3ACF"/>
    <w:rsid w:val="005C3FED"/>
    <w:rsid w:val="005C44E3"/>
    <w:rsid w:val="005C4BA9"/>
    <w:rsid w:val="005C5033"/>
    <w:rsid w:val="005C51AD"/>
    <w:rsid w:val="005C686B"/>
    <w:rsid w:val="005C705F"/>
    <w:rsid w:val="005C75B7"/>
    <w:rsid w:val="005C778F"/>
    <w:rsid w:val="005D0D82"/>
    <w:rsid w:val="005D0DD4"/>
    <w:rsid w:val="005D1A14"/>
    <w:rsid w:val="005D2A42"/>
    <w:rsid w:val="005D30D7"/>
    <w:rsid w:val="005D34AC"/>
    <w:rsid w:val="005D3655"/>
    <w:rsid w:val="005D5052"/>
    <w:rsid w:val="005D5CF5"/>
    <w:rsid w:val="005D5FA5"/>
    <w:rsid w:val="005D72A9"/>
    <w:rsid w:val="005E06E3"/>
    <w:rsid w:val="005E076B"/>
    <w:rsid w:val="005E1A20"/>
    <w:rsid w:val="005E1B11"/>
    <w:rsid w:val="005E20B7"/>
    <w:rsid w:val="005E33BF"/>
    <w:rsid w:val="005E3931"/>
    <w:rsid w:val="005E3D37"/>
    <w:rsid w:val="005E3E36"/>
    <w:rsid w:val="005E44C6"/>
    <w:rsid w:val="005E4830"/>
    <w:rsid w:val="005E5C57"/>
    <w:rsid w:val="005E6267"/>
    <w:rsid w:val="005E63A8"/>
    <w:rsid w:val="005E6568"/>
    <w:rsid w:val="005F077F"/>
    <w:rsid w:val="005F1515"/>
    <w:rsid w:val="005F1C54"/>
    <w:rsid w:val="005F25F0"/>
    <w:rsid w:val="005F272B"/>
    <w:rsid w:val="005F2DFD"/>
    <w:rsid w:val="005F2F1E"/>
    <w:rsid w:val="005F3010"/>
    <w:rsid w:val="005F3A4E"/>
    <w:rsid w:val="005F3EE5"/>
    <w:rsid w:val="005F42E4"/>
    <w:rsid w:val="005F4E64"/>
    <w:rsid w:val="005F5E85"/>
    <w:rsid w:val="005F66BF"/>
    <w:rsid w:val="005F6C00"/>
    <w:rsid w:val="005F7316"/>
    <w:rsid w:val="005F760F"/>
    <w:rsid w:val="006000F4"/>
    <w:rsid w:val="00600359"/>
    <w:rsid w:val="006007B3"/>
    <w:rsid w:val="006007E6"/>
    <w:rsid w:val="00600A6E"/>
    <w:rsid w:val="00601164"/>
    <w:rsid w:val="00601A82"/>
    <w:rsid w:val="00602379"/>
    <w:rsid w:val="006023C8"/>
    <w:rsid w:val="006025D7"/>
    <w:rsid w:val="00602906"/>
    <w:rsid w:val="00602D48"/>
    <w:rsid w:val="00603472"/>
    <w:rsid w:val="00603FA2"/>
    <w:rsid w:val="006046DC"/>
    <w:rsid w:val="00604F2E"/>
    <w:rsid w:val="006053AA"/>
    <w:rsid w:val="0060612C"/>
    <w:rsid w:val="00606249"/>
    <w:rsid w:val="00606658"/>
    <w:rsid w:val="00606A45"/>
    <w:rsid w:val="00606CD6"/>
    <w:rsid w:val="0060712F"/>
    <w:rsid w:val="00610419"/>
    <w:rsid w:val="00610A2C"/>
    <w:rsid w:val="00610D34"/>
    <w:rsid w:val="00611693"/>
    <w:rsid w:val="00612CCA"/>
    <w:rsid w:val="006130BC"/>
    <w:rsid w:val="00613DDF"/>
    <w:rsid w:val="00613E16"/>
    <w:rsid w:val="0061466A"/>
    <w:rsid w:val="00614D57"/>
    <w:rsid w:val="00615520"/>
    <w:rsid w:val="00616F7D"/>
    <w:rsid w:val="00617456"/>
    <w:rsid w:val="00617681"/>
    <w:rsid w:val="006201A4"/>
    <w:rsid w:val="0062032A"/>
    <w:rsid w:val="006207F4"/>
    <w:rsid w:val="00621365"/>
    <w:rsid w:val="006213C8"/>
    <w:rsid w:val="006219A9"/>
    <w:rsid w:val="00621BCC"/>
    <w:rsid w:val="00622101"/>
    <w:rsid w:val="00622B86"/>
    <w:rsid w:val="00622B97"/>
    <w:rsid w:val="00623215"/>
    <w:rsid w:val="00623879"/>
    <w:rsid w:val="00623BA1"/>
    <w:rsid w:val="00624825"/>
    <w:rsid w:val="00624B54"/>
    <w:rsid w:val="00626821"/>
    <w:rsid w:val="00626B84"/>
    <w:rsid w:val="00626DE6"/>
    <w:rsid w:val="0062757D"/>
    <w:rsid w:val="0062785B"/>
    <w:rsid w:val="006279CA"/>
    <w:rsid w:val="00630C15"/>
    <w:rsid w:val="00631988"/>
    <w:rsid w:val="00631C3A"/>
    <w:rsid w:val="006321AA"/>
    <w:rsid w:val="00632970"/>
    <w:rsid w:val="0063376E"/>
    <w:rsid w:val="00633DA1"/>
    <w:rsid w:val="006341DC"/>
    <w:rsid w:val="006342E4"/>
    <w:rsid w:val="006346BC"/>
    <w:rsid w:val="00634DDE"/>
    <w:rsid w:val="0063555F"/>
    <w:rsid w:val="0063593B"/>
    <w:rsid w:val="00635976"/>
    <w:rsid w:val="00635D98"/>
    <w:rsid w:val="00635F4C"/>
    <w:rsid w:val="00636466"/>
    <w:rsid w:val="006372D1"/>
    <w:rsid w:val="0063798F"/>
    <w:rsid w:val="006403D7"/>
    <w:rsid w:val="00640913"/>
    <w:rsid w:val="00640E9A"/>
    <w:rsid w:val="00641DEA"/>
    <w:rsid w:val="0064205E"/>
    <w:rsid w:val="006423C7"/>
    <w:rsid w:val="00642486"/>
    <w:rsid w:val="006424A1"/>
    <w:rsid w:val="00642AD5"/>
    <w:rsid w:val="00642FB7"/>
    <w:rsid w:val="00643FBD"/>
    <w:rsid w:val="006443BF"/>
    <w:rsid w:val="00644604"/>
    <w:rsid w:val="00644DC9"/>
    <w:rsid w:val="006455A5"/>
    <w:rsid w:val="00646396"/>
    <w:rsid w:val="006463B5"/>
    <w:rsid w:val="006467B2"/>
    <w:rsid w:val="00646F77"/>
    <w:rsid w:val="00646FDF"/>
    <w:rsid w:val="0064792B"/>
    <w:rsid w:val="00647F4E"/>
    <w:rsid w:val="00647F50"/>
    <w:rsid w:val="00647F9D"/>
    <w:rsid w:val="00650661"/>
    <w:rsid w:val="00650895"/>
    <w:rsid w:val="00650EB4"/>
    <w:rsid w:val="006512DA"/>
    <w:rsid w:val="0065147A"/>
    <w:rsid w:val="006520A5"/>
    <w:rsid w:val="006520CA"/>
    <w:rsid w:val="006522FB"/>
    <w:rsid w:val="006524C7"/>
    <w:rsid w:val="0065272A"/>
    <w:rsid w:val="00652ADD"/>
    <w:rsid w:val="00653DDC"/>
    <w:rsid w:val="00654640"/>
    <w:rsid w:val="00654856"/>
    <w:rsid w:val="00654BD7"/>
    <w:rsid w:val="00654E13"/>
    <w:rsid w:val="0065544D"/>
    <w:rsid w:val="0065596F"/>
    <w:rsid w:val="006559B0"/>
    <w:rsid w:val="0065604E"/>
    <w:rsid w:val="00656A10"/>
    <w:rsid w:val="00656B19"/>
    <w:rsid w:val="006572D1"/>
    <w:rsid w:val="00657333"/>
    <w:rsid w:val="00657600"/>
    <w:rsid w:val="00657ADD"/>
    <w:rsid w:val="00657D0A"/>
    <w:rsid w:val="00660B37"/>
    <w:rsid w:val="00660F8D"/>
    <w:rsid w:val="00660FAB"/>
    <w:rsid w:val="006619DB"/>
    <w:rsid w:val="00661FD9"/>
    <w:rsid w:val="006620FB"/>
    <w:rsid w:val="0066255B"/>
    <w:rsid w:val="00662709"/>
    <w:rsid w:val="00662AEC"/>
    <w:rsid w:val="00663211"/>
    <w:rsid w:val="00663E4B"/>
    <w:rsid w:val="00664613"/>
    <w:rsid w:val="00664C0F"/>
    <w:rsid w:val="00665262"/>
    <w:rsid w:val="00665D99"/>
    <w:rsid w:val="00665E08"/>
    <w:rsid w:val="00665EA1"/>
    <w:rsid w:val="0066652A"/>
    <w:rsid w:val="006669EC"/>
    <w:rsid w:val="00666B89"/>
    <w:rsid w:val="00667206"/>
    <w:rsid w:val="00667CB2"/>
    <w:rsid w:val="00670C33"/>
    <w:rsid w:val="006719C3"/>
    <w:rsid w:val="006725AD"/>
    <w:rsid w:val="00672D94"/>
    <w:rsid w:val="00673083"/>
    <w:rsid w:val="00673874"/>
    <w:rsid w:val="006738D1"/>
    <w:rsid w:val="00673A94"/>
    <w:rsid w:val="00673E31"/>
    <w:rsid w:val="00674E3E"/>
    <w:rsid w:val="00675AF9"/>
    <w:rsid w:val="00676096"/>
    <w:rsid w:val="006761B9"/>
    <w:rsid w:val="0067635B"/>
    <w:rsid w:val="0067734D"/>
    <w:rsid w:val="00677442"/>
    <w:rsid w:val="0067788B"/>
    <w:rsid w:val="00677A83"/>
    <w:rsid w:val="00677EE9"/>
    <w:rsid w:val="006801AC"/>
    <w:rsid w:val="006803F9"/>
    <w:rsid w:val="00680522"/>
    <w:rsid w:val="00682167"/>
    <w:rsid w:val="0068227F"/>
    <w:rsid w:val="006822A0"/>
    <w:rsid w:val="0068297E"/>
    <w:rsid w:val="00682BD7"/>
    <w:rsid w:val="00682D34"/>
    <w:rsid w:val="00682FBA"/>
    <w:rsid w:val="00683B79"/>
    <w:rsid w:val="006840A7"/>
    <w:rsid w:val="00684C36"/>
    <w:rsid w:val="00684CAF"/>
    <w:rsid w:val="00685A3E"/>
    <w:rsid w:val="0068608F"/>
    <w:rsid w:val="0068632D"/>
    <w:rsid w:val="00686743"/>
    <w:rsid w:val="00687307"/>
    <w:rsid w:val="00687420"/>
    <w:rsid w:val="00687B44"/>
    <w:rsid w:val="00691357"/>
    <w:rsid w:val="006917A9"/>
    <w:rsid w:val="0069186D"/>
    <w:rsid w:val="00691BDF"/>
    <w:rsid w:val="00692D27"/>
    <w:rsid w:val="006936DB"/>
    <w:rsid w:val="006939F4"/>
    <w:rsid w:val="00693ADA"/>
    <w:rsid w:val="0069433A"/>
    <w:rsid w:val="006944EE"/>
    <w:rsid w:val="006945EC"/>
    <w:rsid w:val="00694A8E"/>
    <w:rsid w:val="00694D79"/>
    <w:rsid w:val="006953D0"/>
    <w:rsid w:val="0069542D"/>
    <w:rsid w:val="00696206"/>
    <w:rsid w:val="006964CE"/>
    <w:rsid w:val="0069663D"/>
    <w:rsid w:val="00696714"/>
    <w:rsid w:val="00697048"/>
    <w:rsid w:val="006978DD"/>
    <w:rsid w:val="00697F9D"/>
    <w:rsid w:val="006A1739"/>
    <w:rsid w:val="006A27EF"/>
    <w:rsid w:val="006A283E"/>
    <w:rsid w:val="006A3321"/>
    <w:rsid w:val="006A343B"/>
    <w:rsid w:val="006A36CB"/>
    <w:rsid w:val="006A42AE"/>
    <w:rsid w:val="006A4501"/>
    <w:rsid w:val="006A4B84"/>
    <w:rsid w:val="006A4D57"/>
    <w:rsid w:val="006A5351"/>
    <w:rsid w:val="006A5718"/>
    <w:rsid w:val="006A5C92"/>
    <w:rsid w:val="006A5CBD"/>
    <w:rsid w:val="006A65AA"/>
    <w:rsid w:val="006A662D"/>
    <w:rsid w:val="006A6C9E"/>
    <w:rsid w:val="006A7600"/>
    <w:rsid w:val="006A7FCE"/>
    <w:rsid w:val="006B00A7"/>
    <w:rsid w:val="006B02D3"/>
    <w:rsid w:val="006B04DE"/>
    <w:rsid w:val="006B0533"/>
    <w:rsid w:val="006B0FD5"/>
    <w:rsid w:val="006B126F"/>
    <w:rsid w:val="006B17AD"/>
    <w:rsid w:val="006B1F75"/>
    <w:rsid w:val="006B1FC8"/>
    <w:rsid w:val="006B2CD8"/>
    <w:rsid w:val="006B2E69"/>
    <w:rsid w:val="006B3008"/>
    <w:rsid w:val="006B3B97"/>
    <w:rsid w:val="006B3D91"/>
    <w:rsid w:val="006B47B9"/>
    <w:rsid w:val="006B61C5"/>
    <w:rsid w:val="006B66B8"/>
    <w:rsid w:val="006B78D6"/>
    <w:rsid w:val="006B7DE4"/>
    <w:rsid w:val="006BA613"/>
    <w:rsid w:val="006C148E"/>
    <w:rsid w:val="006C19D4"/>
    <w:rsid w:val="006C1C1C"/>
    <w:rsid w:val="006C2ECF"/>
    <w:rsid w:val="006C39DE"/>
    <w:rsid w:val="006C3DCD"/>
    <w:rsid w:val="006C42AF"/>
    <w:rsid w:val="006C4476"/>
    <w:rsid w:val="006C5069"/>
    <w:rsid w:val="006C5F82"/>
    <w:rsid w:val="006C5F99"/>
    <w:rsid w:val="006C68D9"/>
    <w:rsid w:val="006C6B4D"/>
    <w:rsid w:val="006C7171"/>
    <w:rsid w:val="006D004D"/>
    <w:rsid w:val="006D027B"/>
    <w:rsid w:val="006D02B4"/>
    <w:rsid w:val="006D0CC1"/>
    <w:rsid w:val="006D0FA2"/>
    <w:rsid w:val="006D191C"/>
    <w:rsid w:val="006D1C72"/>
    <w:rsid w:val="006D2095"/>
    <w:rsid w:val="006D2ABF"/>
    <w:rsid w:val="006D3B7B"/>
    <w:rsid w:val="006D539A"/>
    <w:rsid w:val="006D5503"/>
    <w:rsid w:val="006D55E6"/>
    <w:rsid w:val="006D55FF"/>
    <w:rsid w:val="006D5AC4"/>
    <w:rsid w:val="006D5D54"/>
    <w:rsid w:val="006D6BDC"/>
    <w:rsid w:val="006D7070"/>
    <w:rsid w:val="006D7A3E"/>
    <w:rsid w:val="006E00AE"/>
    <w:rsid w:val="006E0B84"/>
    <w:rsid w:val="006E1953"/>
    <w:rsid w:val="006E1F50"/>
    <w:rsid w:val="006E2345"/>
    <w:rsid w:val="006E2BF6"/>
    <w:rsid w:val="006E354E"/>
    <w:rsid w:val="006E3907"/>
    <w:rsid w:val="006E3E16"/>
    <w:rsid w:val="006E3EB5"/>
    <w:rsid w:val="006E4346"/>
    <w:rsid w:val="006E4EFD"/>
    <w:rsid w:val="006E6052"/>
    <w:rsid w:val="006E6F62"/>
    <w:rsid w:val="006E755F"/>
    <w:rsid w:val="006E75C4"/>
    <w:rsid w:val="006E7DF7"/>
    <w:rsid w:val="006E7F41"/>
    <w:rsid w:val="006E7F55"/>
    <w:rsid w:val="006F018B"/>
    <w:rsid w:val="006F08DD"/>
    <w:rsid w:val="006F116F"/>
    <w:rsid w:val="006F1FA5"/>
    <w:rsid w:val="006F248E"/>
    <w:rsid w:val="006F2A17"/>
    <w:rsid w:val="006F2DC1"/>
    <w:rsid w:val="006F453B"/>
    <w:rsid w:val="006F52BB"/>
    <w:rsid w:val="006F5C0D"/>
    <w:rsid w:val="006F75C6"/>
    <w:rsid w:val="006F77C8"/>
    <w:rsid w:val="0070157E"/>
    <w:rsid w:val="007019B4"/>
    <w:rsid w:val="00701A73"/>
    <w:rsid w:val="00702AD1"/>
    <w:rsid w:val="00702C4D"/>
    <w:rsid w:val="007031EF"/>
    <w:rsid w:val="0070347D"/>
    <w:rsid w:val="00703712"/>
    <w:rsid w:val="0070375D"/>
    <w:rsid w:val="0070382B"/>
    <w:rsid w:val="00703BE6"/>
    <w:rsid w:val="00703F9C"/>
    <w:rsid w:val="0070449B"/>
    <w:rsid w:val="00706D88"/>
    <w:rsid w:val="0070731E"/>
    <w:rsid w:val="007079ED"/>
    <w:rsid w:val="00707EAA"/>
    <w:rsid w:val="007104EC"/>
    <w:rsid w:val="00710935"/>
    <w:rsid w:val="00710F0B"/>
    <w:rsid w:val="00710F22"/>
    <w:rsid w:val="00710F8E"/>
    <w:rsid w:val="007111C3"/>
    <w:rsid w:val="00711D8E"/>
    <w:rsid w:val="00712672"/>
    <w:rsid w:val="00712B38"/>
    <w:rsid w:val="00712DBF"/>
    <w:rsid w:val="00713D9B"/>
    <w:rsid w:val="007146FD"/>
    <w:rsid w:val="00715F7C"/>
    <w:rsid w:val="007160A4"/>
    <w:rsid w:val="007162D0"/>
    <w:rsid w:val="00717248"/>
    <w:rsid w:val="007200CC"/>
    <w:rsid w:val="007202BF"/>
    <w:rsid w:val="00720670"/>
    <w:rsid w:val="00720BB2"/>
    <w:rsid w:val="00720EB6"/>
    <w:rsid w:val="00721CBF"/>
    <w:rsid w:val="00721D3F"/>
    <w:rsid w:val="00722768"/>
    <w:rsid w:val="0072294D"/>
    <w:rsid w:val="007234E5"/>
    <w:rsid w:val="00723EBB"/>
    <w:rsid w:val="00723F55"/>
    <w:rsid w:val="00724053"/>
    <w:rsid w:val="007240C9"/>
    <w:rsid w:val="00724345"/>
    <w:rsid w:val="007244C5"/>
    <w:rsid w:val="0072475D"/>
    <w:rsid w:val="00725E8A"/>
    <w:rsid w:val="00726184"/>
    <w:rsid w:val="007264BB"/>
    <w:rsid w:val="007265A4"/>
    <w:rsid w:val="007272ED"/>
    <w:rsid w:val="007274C0"/>
    <w:rsid w:val="0072798D"/>
    <w:rsid w:val="00727AF5"/>
    <w:rsid w:val="00727B99"/>
    <w:rsid w:val="0073038E"/>
    <w:rsid w:val="0073050B"/>
    <w:rsid w:val="00730A69"/>
    <w:rsid w:val="00730FB1"/>
    <w:rsid w:val="00731003"/>
    <w:rsid w:val="00731474"/>
    <w:rsid w:val="00732085"/>
    <w:rsid w:val="007325C0"/>
    <w:rsid w:val="00732847"/>
    <w:rsid w:val="00732C03"/>
    <w:rsid w:val="00733180"/>
    <w:rsid w:val="00734E3F"/>
    <w:rsid w:val="00735219"/>
    <w:rsid w:val="0073535B"/>
    <w:rsid w:val="007361BA"/>
    <w:rsid w:val="00736985"/>
    <w:rsid w:val="00737792"/>
    <w:rsid w:val="007379CA"/>
    <w:rsid w:val="00737D47"/>
    <w:rsid w:val="007406F9"/>
    <w:rsid w:val="00740B1F"/>
    <w:rsid w:val="00741126"/>
    <w:rsid w:val="007413AF"/>
    <w:rsid w:val="007420C2"/>
    <w:rsid w:val="00742526"/>
    <w:rsid w:val="0074299F"/>
    <w:rsid w:val="00743AB4"/>
    <w:rsid w:val="007449E5"/>
    <w:rsid w:val="00744BB8"/>
    <w:rsid w:val="00744E78"/>
    <w:rsid w:val="007453A1"/>
    <w:rsid w:val="00745576"/>
    <w:rsid w:val="00745DF5"/>
    <w:rsid w:val="00745F20"/>
    <w:rsid w:val="00745F3A"/>
    <w:rsid w:val="007461C9"/>
    <w:rsid w:val="0074662F"/>
    <w:rsid w:val="00746B6B"/>
    <w:rsid w:val="00747675"/>
    <w:rsid w:val="00747A84"/>
    <w:rsid w:val="0075065B"/>
    <w:rsid w:val="00751743"/>
    <w:rsid w:val="007520E0"/>
    <w:rsid w:val="0075253A"/>
    <w:rsid w:val="007527CA"/>
    <w:rsid w:val="00752960"/>
    <w:rsid w:val="007531C3"/>
    <w:rsid w:val="0075325C"/>
    <w:rsid w:val="0075359F"/>
    <w:rsid w:val="007535F0"/>
    <w:rsid w:val="007543EB"/>
    <w:rsid w:val="0075528D"/>
    <w:rsid w:val="007555DB"/>
    <w:rsid w:val="00755DEF"/>
    <w:rsid w:val="007566A5"/>
    <w:rsid w:val="0075701C"/>
    <w:rsid w:val="007572C8"/>
    <w:rsid w:val="007577F5"/>
    <w:rsid w:val="00760242"/>
    <w:rsid w:val="00760788"/>
    <w:rsid w:val="00762051"/>
    <w:rsid w:val="0076250F"/>
    <w:rsid w:val="0076332A"/>
    <w:rsid w:val="00763EBC"/>
    <w:rsid w:val="007640EB"/>
    <w:rsid w:val="007641CD"/>
    <w:rsid w:val="007643A8"/>
    <w:rsid w:val="007645BB"/>
    <w:rsid w:val="0076482F"/>
    <w:rsid w:val="007656DD"/>
    <w:rsid w:val="00766415"/>
    <w:rsid w:val="00766495"/>
    <w:rsid w:val="0077062E"/>
    <w:rsid w:val="007706B8"/>
    <w:rsid w:val="00770D88"/>
    <w:rsid w:val="007722AE"/>
    <w:rsid w:val="00772E74"/>
    <w:rsid w:val="00772E7F"/>
    <w:rsid w:val="007730EA"/>
    <w:rsid w:val="00773F3E"/>
    <w:rsid w:val="0077404B"/>
    <w:rsid w:val="00774EE4"/>
    <w:rsid w:val="007750AF"/>
    <w:rsid w:val="007756DE"/>
    <w:rsid w:val="007801C1"/>
    <w:rsid w:val="00780FA5"/>
    <w:rsid w:val="007810A1"/>
    <w:rsid w:val="0078191E"/>
    <w:rsid w:val="0078197C"/>
    <w:rsid w:val="00782614"/>
    <w:rsid w:val="00782AE7"/>
    <w:rsid w:val="00782EC2"/>
    <w:rsid w:val="0078315C"/>
    <w:rsid w:val="00783C11"/>
    <w:rsid w:val="00784147"/>
    <w:rsid w:val="00784918"/>
    <w:rsid w:val="00785555"/>
    <w:rsid w:val="0078577D"/>
    <w:rsid w:val="007859A2"/>
    <w:rsid w:val="00785FC8"/>
    <w:rsid w:val="007860FB"/>
    <w:rsid w:val="007863A0"/>
    <w:rsid w:val="007867C4"/>
    <w:rsid w:val="00787276"/>
    <w:rsid w:val="00787CC4"/>
    <w:rsid w:val="00787E2F"/>
    <w:rsid w:val="00790B68"/>
    <w:rsid w:val="00791896"/>
    <w:rsid w:val="007929C0"/>
    <w:rsid w:val="00792C4B"/>
    <w:rsid w:val="007931F1"/>
    <w:rsid w:val="00793647"/>
    <w:rsid w:val="00793B7A"/>
    <w:rsid w:val="00793C37"/>
    <w:rsid w:val="007949DB"/>
    <w:rsid w:val="00794C9C"/>
    <w:rsid w:val="00794FA9"/>
    <w:rsid w:val="00795A6A"/>
    <w:rsid w:val="00796F53"/>
    <w:rsid w:val="00796FBA"/>
    <w:rsid w:val="00797321"/>
    <w:rsid w:val="00797D24"/>
    <w:rsid w:val="007A0237"/>
    <w:rsid w:val="007A06A1"/>
    <w:rsid w:val="007A09BD"/>
    <w:rsid w:val="007A1181"/>
    <w:rsid w:val="007A1885"/>
    <w:rsid w:val="007A2CCB"/>
    <w:rsid w:val="007A3CA0"/>
    <w:rsid w:val="007A3CCA"/>
    <w:rsid w:val="007A49BB"/>
    <w:rsid w:val="007A4C90"/>
    <w:rsid w:val="007A5428"/>
    <w:rsid w:val="007A5FB5"/>
    <w:rsid w:val="007A6E48"/>
    <w:rsid w:val="007B00E6"/>
    <w:rsid w:val="007B07CF"/>
    <w:rsid w:val="007B0986"/>
    <w:rsid w:val="007B1296"/>
    <w:rsid w:val="007B178F"/>
    <w:rsid w:val="007B1BB1"/>
    <w:rsid w:val="007B1C02"/>
    <w:rsid w:val="007B1C93"/>
    <w:rsid w:val="007B2599"/>
    <w:rsid w:val="007B43FE"/>
    <w:rsid w:val="007B480E"/>
    <w:rsid w:val="007B50E4"/>
    <w:rsid w:val="007B59DB"/>
    <w:rsid w:val="007B6200"/>
    <w:rsid w:val="007B641E"/>
    <w:rsid w:val="007B66A5"/>
    <w:rsid w:val="007B7D8C"/>
    <w:rsid w:val="007C09B2"/>
    <w:rsid w:val="007C09ED"/>
    <w:rsid w:val="007C0A3E"/>
    <w:rsid w:val="007C0D22"/>
    <w:rsid w:val="007C1498"/>
    <w:rsid w:val="007C14BD"/>
    <w:rsid w:val="007C14F2"/>
    <w:rsid w:val="007C1592"/>
    <w:rsid w:val="007C2251"/>
    <w:rsid w:val="007C22B3"/>
    <w:rsid w:val="007C28B6"/>
    <w:rsid w:val="007C2FD3"/>
    <w:rsid w:val="007C3646"/>
    <w:rsid w:val="007C3C21"/>
    <w:rsid w:val="007C45DC"/>
    <w:rsid w:val="007C4CB2"/>
    <w:rsid w:val="007C52E1"/>
    <w:rsid w:val="007C5457"/>
    <w:rsid w:val="007D0FBD"/>
    <w:rsid w:val="007D26CF"/>
    <w:rsid w:val="007D28C0"/>
    <w:rsid w:val="007D2D1A"/>
    <w:rsid w:val="007D2F75"/>
    <w:rsid w:val="007D37B0"/>
    <w:rsid w:val="007D3D2A"/>
    <w:rsid w:val="007D3DF1"/>
    <w:rsid w:val="007D408A"/>
    <w:rsid w:val="007D4130"/>
    <w:rsid w:val="007D5409"/>
    <w:rsid w:val="007D57C9"/>
    <w:rsid w:val="007D57F0"/>
    <w:rsid w:val="007D5A4A"/>
    <w:rsid w:val="007D5B49"/>
    <w:rsid w:val="007D620C"/>
    <w:rsid w:val="007D64EB"/>
    <w:rsid w:val="007D6B8C"/>
    <w:rsid w:val="007D71A8"/>
    <w:rsid w:val="007D7755"/>
    <w:rsid w:val="007D794D"/>
    <w:rsid w:val="007D7D26"/>
    <w:rsid w:val="007E0026"/>
    <w:rsid w:val="007E0792"/>
    <w:rsid w:val="007E0B11"/>
    <w:rsid w:val="007E1344"/>
    <w:rsid w:val="007E14FF"/>
    <w:rsid w:val="007E1CD1"/>
    <w:rsid w:val="007E22BE"/>
    <w:rsid w:val="007E22FC"/>
    <w:rsid w:val="007E3071"/>
    <w:rsid w:val="007E345C"/>
    <w:rsid w:val="007E4D21"/>
    <w:rsid w:val="007E5A23"/>
    <w:rsid w:val="007E6718"/>
    <w:rsid w:val="007E68A4"/>
    <w:rsid w:val="007E787E"/>
    <w:rsid w:val="007E7A51"/>
    <w:rsid w:val="007E7F64"/>
    <w:rsid w:val="007F02D5"/>
    <w:rsid w:val="007F05F4"/>
    <w:rsid w:val="007F205D"/>
    <w:rsid w:val="007F2256"/>
    <w:rsid w:val="007F27C0"/>
    <w:rsid w:val="007F28D3"/>
    <w:rsid w:val="007F2F7C"/>
    <w:rsid w:val="007F3395"/>
    <w:rsid w:val="007F35DB"/>
    <w:rsid w:val="007F3C50"/>
    <w:rsid w:val="007F4013"/>
    <w:rsid w:val="007F4067"/>
    <w:rsid w:val="007F4745"/>
    <w:rsid w:val="007F4997"/>
    <w:rsid w:val="007F4A1F"/>
    <w:rsid w:val="007F4E56"/>
    <w:rsid w:val="007F606D"/>
    <w:rsid w:val="007F61CD"/>
    <w:rsid w:val="007F69A2"/>
    <w:rsid w:val="007F6DD1"/>
    <w:rsid w:val="007F7547"/>
    <w:rsid w:val="007F7771"/>
    <w:rsid w:val="00800066"/>
    <w:rsid w:val="008013A4"/>
    <w:rsid w:val="0080158E"/>
    <w:rsid w:val="008019FB"/>
    <w:rsid w:val="00801A38"/>
    <w:rsid w:val="00801B9F"/>
    <w:rsid w:val="0080204D"/>
    <w:rsid w:val="00803373"/>
    <w:rsid w:val="00803E73"/>
    <w:rsid w:val="0080410E"/>
    <w:rsid w:val="00804507"/>
    <w:rsid w:val="00804F15"/>
    <w:rsid w:val="0080567E"/>
    <w:rsid w:val="008058BE"/>
    <w:rsid w:val="0080590E"/>
    <w:rsid w:val="00805B9C"/>
    <w:rsid w:val="00805C80"/>
    <w:rsid w:val="00806157"/>
    <w:rsid w:val="00807F18"/>
    <w:rsid w:val="00807FF6"/>
    <w:rsid w:val="0081031B"/>
    <w:rsid w:val="0081092D"/>
    <w:rsid w:val="008109FD"/>
    <w:rsid w:val="00810EA7"/>
    <w:rsid w:val="008114EE"/>
    <w:rsid w:val="008120DB"/>
    <w:rsid w:val="00812B27"/>
    <w:rsid w:val="00812CF3"/>
    <w:rsid w:val="00812D27"/>
    <w:rsid w:val="0081332C"/>
    <w:rsid w:val="008134AF"/>
    <w:rsid w:val="00813A05"/>
    <w:rsid w:val="00813CC5"/>
    <w:rsid w:val="008143B8"/>
    <w:rsid w:val="00815074"/>
    <w:rsid w:val="0081694A"/>
    <w:rsid w:val="00816A73"/>
    <w:rsid w:val="00816B58"/>
    <w:rsid w:val="00816F1F"/>
    <w:rsid w:val="00817519"/>
    <w:rsid w:val="00817FDF"/>
    <w:rsid w:val="00820DC7"/>
    <w:rsid w:val="00822734"/>
    <w:rsid w:val="00822780"/>
    <w:rsid w:val="00823090"/>
    <w:rsid w:val="00823AA1"/>
    <w:rsid w:val="00823EB2"/>
    <w:rsid w:val="00824053"/>
    <w:rsid w:val="00824A5D"/>
    <w:rsid w:val="00824F7F"/>
    <w:rsid w:val="00825566"/>
    <w:rsid w:val="00825897"/>
    <w:rsid w:val="00826024"/>
    <w:rsid w:val="0082653A"/>
    <w:rsid w:val="008279B1"/>
    <w:rsid w:val="00827DEF"/>
    <w:rsid w:val="0083052F"/>
    <w:rsid w:val="00830EE3"/>
    <w:rsid w:val="008317E1"/>
    <w:rsid w:val="00833187"/>
    <w:rsid w:val="00833947"/>
    <w:rsid w:val="00833FC3"/>
    <w:rsid w:val="008344D3"/>
    <w:rsid w:val="0083468E"/>
    <w:rsid w:val="00834B0C"/>
    <w:rsid w:val="008355BF"/>
    <w:rsid w:val="0083781F"/>
    <w:rsid w:val="0083795D"/>
    <w:rsid w:val="008404B5"/>
    <w:rsid w:val="00840742"/>
    <w:rsid w:val="00840C97"/>
    <w:rsid w:val="0084144F"/>
    <w:rsid w:val="00841930"/>
    <w:rsid w:val="00841A25"/>
    <w:rsid w:val="00842233"/>
    <w:rsid w:val="008422D0"/>
    <w:rsid w:val="008429B0"/>
    <w:rsid w:val="008429F2"/>
    <w:rsid w:val="008434B1"/>
    <w:rsid w:val="00844A78"/>
    <w:rsid w:val="00844BA9"/>
    <w:rsid w:val="008475F0"/>
    <w:rsid w:val="008477DA"/>
    <w:rsid w:val="00847B97"/>
    <w:rsid w:val="00847FE2"/>
    <w:rsid w:val="00850245"/>
    <w:rsid w:val="00850364"/>
    <w:rsid w:val="00851675"/>
    <w:rsid w:val="00851B04"/>
    <w:rsid w:val="00852089"/>
    <w:rsid w:val="0085379D"/>
    <w:rsid w:val="00855226"/>
    <w:rsid w:val="008557A7"/>
    <w:rsid w:val="00855C0B"/>
    <w:rsid w:val="00857F4C"/>
    <w:rsid w:val="00861949"/>
    <w:rsid w:val="00861FE0"/>
    <w:rsid w:val="008624A1"/>
    <w:rsid w:val="00862575"/>
    <w:rsid w:val="008642BA"/>
    <w:rsid w:val="00864B57"/>
    <w:rsid w:val="00864CCD"/>
    <w:rsid w:val="00864F6E"/>
    <w:rsid w:val="008653B7"/>
    <w:rsid w:val="0086580B"/>
    <w:rsid w:val="0086639E"/>
    <w:rsid w:val="00867D06"/>
    <w:rsid w:val="00870928"/>
    <w:rsid w:val="00870A98"/>
    <w:rsid w:val="0087184D"/>
    <w:rsid w:val="0087220F"/>
    <w:rsid w:val="00873360"/>
    <w:rsid w:val="008735E4"/>
    <w:rsid w:val="008741F1"/>
    <w:rsid w:val="00875EDF"/>
    <w:rsid w:val="00876B56"/>
    <w:rsid w:val="00877F51"/>
    <w:rsid w:val="008802FB"/>
    <w:rsid w:val="008805F5"/>
    <w:rsid w:val="00880777"/>
    <w:rsid w:val="00880D05"/>
    <w:rsid w:val="00880E56"/>
    <w:rsid w:val="008820A8"/>
    <w:rsid w:val="0088214C"/>
    <w:rsid w:val="008828A2"/>
    <w:rsid w:val="00882F12"/>
    <w:rsid w:val="00883606"/>
    <w:rsid w:val="00883F43"/>
    <w:rsid w:val="0088425E"/>
    <w:rsid w:val="0088470B"/>
    <w:rsid w:val="00885842"/>
    <w:rsid w:val="008858F9"/>
    <w:rsid w:val="00885A62"/>
    <w:rsid w:val="00885D21"/>
    <w:rsid w:val="00885DA3"/>
    <w:rsid w:val="00885E8B"/>
    <w:rsid w:val="008863E8"/>
    <w:rsid w:val="0088738A"/>
    <w:rsid w:val="00887793"/>
    <w:rsid w:val="008900A5"/>
    <w:rsid w:val="00890677"/>
    <w:rsid w:val="008909BA"/>
    <w:rsid w:val="00891635"/>
    <w:rsid w:val="0089340E"/>
    <w:rsid w:val="00893F40"/>
    <w:rsid w:val="0089405C"/>
    <w:rsid w:val="008941E5"/>
    <w:rsid w:val="008943A5"/>
    <w:rsid w:val="008954F0"/>
    <w:rsid w:val="00895AED"/>
    <w:rsid w:val="00896076"/>
    <w:rsid w:val="0089635C"/>
    <w:rsid w:val="008968AE"/>
    <w:rsid w:val="00897FA2"/>
    <w:rsid w:val="008A114E"/>
    <w:rsid w:val="008A13B1"/>
    <w:rsid w:val="008A1A59"/>
    <w:rsid w:val="008A225A"/>
    <w:rsid w:val="008A2ECD"/>
    <w:rsid w:val="008A38B1"/>
    <w:rsid w:val="008A3A19"/>
    <w:rsid w:val="008A42AA"/>
    <w:rsid w:val="008A46CC"/>
    <w:rsid w:val="008A4BC7"/>
    <w:rsid w:val="008A4DD8"/>
    <w:rsid w:val="008A5227"/>
    <w:rsid w:val="008A544E"/>
    <w:rsid w:val="008A5AFE"/>
    <w:rsid w:val="008A5BE9"/>
    <w:rsid w:val="008A70A7"/>
    <w:rsid w:val="008A7462"/>
    <w:rsid w:val="008A752B"/>
    <w:rsid w:val="008A7A94"/>
    <w:rsid w:val="008A7D71"/>
    <w:rsid w:val="008A7E12"/>
    <w:rsid w:val="008B017D"/>
    <w:rsid w:val="008B01D6"/>
    <w:rsid w:val="008B027C"/>
    <w:rsid w:val="008B030F"/>
    <w:rsid w:val="008B0752"/>
    <w:rsid w:val="008B236B"/>
    <w:rsid w:val="008B24D4"/>
    <w:rsid w:val="008B359D"/>
    <w:rsid w:val="008B3991"/>
    <w:rsid w:val="008B4A8B"/>
    <w:rsid w:val="008B4FBD"/>
    <w:rsid w:val="008B5799"/>
    <w:rsid w:val="008B5A03"/>
    <w:rsid w:val="008B5C8B"/>
    <w:rsid w:val="008B61BD"/>
    <w:rsid w:val="008B6355"/>
    <w:rsid w:val="008B7849"/>
    <w:rsid w:val="008B7E72"/>
    <w:rsid w:val="008B7FEE"/>
    <w:rsid w:val="008C0697"/>
    <w:rsid w:val="008C08F3"/>
    <w:rsid w:val="008C1CBC"/>
    <w:rsid w:val="008C32F7"/>
    <w:rsid w:val="008C356F"/>
    <w:rsid w:val="008C36F2"/>
    <w:rsid w:val="008C3B67"/>
    <w:rsid w:val="008C5625"/>
    <w:rsid w:val="008C5A0E"/>
    <w:rsid w:val="008C5EDB"/>
    <w:rsid w:val="008C6DDA"/>
    <w:rsid w:val="008C73E3"/>
    <w:rsid w:val="008C74E8"/>
    <w:rsid w:val="008C79A3"/>
    <w:rsid w:val="008C7CF7"/>
    <w:rsid w:val="008D0684"/>
    <w:rsid w:val="008D0E02"/>
    <w:rsid w:val="008D136F"/>
    <w:rsid w:val="008D16D5"/>
    <w:rsid w:val="008D1DEA"/>
    <w:rsid w:val="008D26AE"/>
    <w:rsid w:val="008D2A99"/>
    <w:rsid w:val="008D3157"/>
    <w:rsid w:val="008D3419"/>
    <w:rsid w:val="008D66E2"/>
    <w:rsid w:val="008D69A7"/>
    <w:rsid w:val="008D724B"/>
    <w:rsid w:val="008D7DA6"/>
    <w:rsid w:val="008E0C52"/>
    <w:rsid w:val="008E0D02"/>
    <w:rsid w:val="008E0EBA"/>
    <w:rsid w:val="008E1C6A"/>
    <w:rsid w:val="008E225D"/>
    <w:rsid w:val="008E2764"/>
    <w:rsid w:val="008E2CDA"/>
    <w:rsid w:val="008E440E"/>
    <w:rsid w:val="008E472F"/>
    <w:rsid w:val="008E609F"/>
    <w:rsid w:val="008E7E70"/>
    <w:rsid w:val="008F020F"/>
    <w:rsid w:val="008F0D5D"/>
    <w:rsid w:val="008F1314"/>
    <w:rsid w:val="008F188A"/>
    <w:rsid w:val="008F18D2"/>
    <w:rsid w:val="008F1E1D"/>
    <w:rsid w:val="008F2666"/>
    <w:rsid w:val="008F32BC"/>
    <w:rsid w:val="008F3993"/>
    <w:rsid w:val="008F3E70"/>
    <w:rsid w:val="008F4ACA"/>
    <w:rsid w:val="008F4CD2"/>
    <w:rsid w:val="008F4E91"/>
    <w:rsid w:val="008F501E"/>
    <w:rsid w:val="008F509C"/>
    <w:rsid w:val="008F514C"/>
    <w:rsid w:val="008F57EE"/>
    <w:rsid w:val="008F5A28"/>
    <w:rsid w:val="008F5CEF"/>
    <w:rsid w:val="008F7046"/>
    <w:rsid w:val="008F7478"/>
    <w:rsid w:val="008F7C72"/>
    <w:rsid w:val="00900FEA"/>
    <w:rsid w:val="00902020"/>
    <w:rsid w:val="009025E1"/>
    <w:rsid w:val="00902ADC"/>
    <w:rsid w:val="00902E08"/>
    <w:rsid w:val="00903BE1"/>
    <w:rsid w:val="00903BEE"/>
    <w:rsid w:val="00903DCE"/>
    <w:rsid w:val="009045DF"/>
    <w:rsid w:val="00904D82"/>
    <w:rsid w:val="0090531B"/>
    <w:rsid w:val="0090595F"/>
    <w:rsid w:val="009062C1"/>
    <w:rsid w:val="00906372"/>
    <w:rsid w:val="009066AF"/>
    <w:rsid w:val="0090694E"/>
    <w:rsid w:val="0090735F"/>
    <w:rsid w:val="009074B3"/>
    <w:rsid w:val="00907538"/>
    <w:rsid w:val="009077B9"/>
    <w:rsid w:val="009079CB"/>
    <w:rsid w:val="00910196"/>
    <w:rsid w:val="009105CA"/>
    <w:rsid w:val="00910E95"/>
    <w:rsid w:val="00911255"/>
    <w:rsid w:val="00911370"/>
    <w:rsid w:val="009130B5"/>
    <w:rsid w:val="0091387B"/>
    <w:rsid w:val="00913A65"/>
    <w:rsid w:val="009140EF"/>
    <w:rsid w:val="00914BAE"/>
    <w:rsid w:val="00914E5E"/>
    <w:rsid w:val="00915D23"/>
    <w:rsid w:val="009168B4"/>
    <w:rsid w:val="009168BE"/>
    <w:rsid w:val="0091695A"/>
    <w:rsid w:val="00916F70"/>
    <w:rsid w:val="009203EA"/>
    <w:rsid w:val="00921185"/>
    <w:rsid w:val="00921E55"/>
    <w:rsid w:val="00922058"/>
    <w:rsid w:val="0092263D"/>
    <w:rsid w:val="00922CD5"/>
    <w:rsid w:val="009232D0"/>
    <w:rsid w:val="009248F3"/>
    <w:rsid w:val="00924990"/>
    <w:rsid w:val="00926401"/>
    <w:rsid w:val="00927324"/>
    <w:rsid w:val="00927331"/>
    <w:rsid w:val="00927DBB"/>
    <w:rsid w:val="009302C3"/>
    <w:rsid w:val="00930A47"/>
    <w:rsid w:val="00930D71"/>
    <w:rsid w:val="00930E4B"/>
    <w:rsid w:val="0093131F"/>
    <w:rsid w:val="009316BC"/>
    <w:rsid w:val="009320C9"/>
    <w:rsid w:val="009330AA"/>
    <w:rsid w:val="009330DC"/>
    <w:rsid w:val="00933D4F"/>
    <w:rsid w:val="009341DC"/>
    <w:rsid w:val="009344D2"/>
    <w:rsid w:val="009348A9"/>
    <w:rsid w:val="009349F4"/>
    <w:rsid w:val="00934C68"/>
    <w:rsid w:val="009360F8"/>
    <w:rsid w:val="0093647F"/>
    <w:rsid w:val="00936518"/>
    <w:rsid w:val="009371E8"/>
    <w:rsid w:val="0093754E"/>
    <w:rsid w:val="00940073"/>
    <w:rsid w:val="00940A3C"/>
    <w:rsid w:val="00940E37"/>
    <w:rsid w:val="00941840"/>
    <w:rsid w:val="00942102"/>
    <w:rsid w:val="0094268D"/>
    <w:rsid w:val="009426EB"/>
    <w:rsid w:val="00942F3D"/>
    <w:rsid w:val="00943730"/>
    <w:rsid w:val="00943930"/>
    <w:rsid w:val="00943D76"/>
    <w:rsid w:val="00943DB6"/>
    <w:rsid w:val="00943E22"/>
    <w:rsid w:val="00943FB2"/>
    <w:rsid w:val="009440BF"/>
    <w:rsid w:val="009448DD"/>
    <w:rsid w:val="00944A41"/>
    <w:rsid w:val="0094513F"/>
    <w:rsid w:val="0094556B"/>
    <w:rsid w:val="00945E84"/>
    <w:rsid w:val="00946358"/>
    <w:rsid w:val="009464AD"/>
    <w:rsid w:val="00946D00"/>
    <w:rsid w:val="00947A37"/>
    <w:rsid w:val="009502A7"/>
    <w:rsid w:val="00950CCE"/>
    <w:rsid w:val="009514E8"/>
    <w:rsid w:val="00951509"/>
    <w:rsid w:val="0095208D"/>
    <w:rsid w:val="009527F3"/>
    <w:rsid w:val="009544DF"/>
    <w:rsid w:val="0095518F"/>
    <w:rsid w:val="00955218"/>
    <w:rsid w:val="009553ED"/>
    <w:rsid w:val="00955F29"/>
    <w:rsid w:val="0095643A"/>
    <w:rsid w:val="00956475"/>
    <w:rsid w:val="00957406"/>
    <w:rsid w:val="00957429"/>
    <w:rsid w:val="0095765A"/>
    <w:rsid w:val="00957E08"/>
    <w:rsid w:val="00957F5B"/>
    <w:rsid w:val="00961387"/>
    <w:rsid w:val="00961E29"/>
    <w:rsid w:val="00961E72"/>
    <w:rsid w:val="00961F94"/>
    <w:rsid w:val="009621AC"/>
    <w:rsid w:val="009622D7"/>
    <w:rsid w:val="00962452"/>
    <w:rsid w:val="009624EA"/>
    <w:rsid w:val="00962C33"/>
    <w:rsid w:val="00963B81"/>
    <w:rsid w:val="00964553"/>
    <w:rsid w:val="009645C1"/>
    <w:rsid w:val="009653C4"/>
    <w:rsid w:val="00965B0C"/>
    <w:rsid w:val="00966937"/>
    <w:rsid w:val="00966F30"/>
    <w:rsid w:val="0096759F"/>
    <w:rsid w:val="00967E7B"/>
    <w:rsid w:val="00970223"/>
    <w:rsid w:val="00970E75"/>
    <w:rsid w:val="00971BC5"/>
    <w:rsid w:val="00973004"/>
    <w:rsid w:val="00973294"/>
    <w:rsid w:val="00973466"/>
    <w:rsid w:val="00973763"/>
    <w:rsid w:val="00973E6D"/>
    <w:rsid w:val="00973E78"/>
    <w:rsid w:val="0097484B"/>
    <w:rsid w:val="009757EB"/>
    <w:rsid w:val="00975CA5"/>
    <w:rsid w:val="0097617C"/>
    <w:rsid w:val="009764E0"/>
    <w:rsid w:val="009765E8"/>
    <w:rsid w:val="00976E02"/>
    <w:rsid w:val="00976EAF"/>
    <w:rsid w:val="00977A43"/>
    <w:rsid w:val="00977CA2"/>
    <w:rsid w:val="009800C1"/>
    <w:rsid w:val="0098027F"/>
    <w:rsid w:val="0098051A"/>
    <w:rsid w:val="0098054C"/>
    <w:rsid w:val="0098076A"/>
    <w:rsid w:val="009814C0"/>
    <w:rsid w:val="0098182E"/>
    <w:rsid w:val="00983AED"/>
    <w:rsid w:val="00984253"/>
    <w:rsid w:val="00984496"/>
    <w:rsid w:val="009854A1"/>
    <w:rsid w:val="00985CB6"/>
    <w:rsid w:val="009861ED"/>
    <w:rsid w:val="00986590"/>
    <w:rsid w:val="0098682F"/>
    <w:rsid w:val="00987148"/>
    <w:rsid w:val="00987413"/>
    <w:rsid w:val="00987F02"/>
    <w:rsid w:val="0099056C"/>
    <w:rsid w:val="0099076E"/>
    <w:rsid w:val="009907EF"/>
    <w:rsid w:val="00990D4A"/>
    <w:rsid w:val="00991095"/>
    <w:rsid w:val="00991AC6"/>
    <w:rsid w:val="00991BE2"/>
    <w:rsid w:val="00992003"/>
    <w:rsid w:val="009927B4"/>
    <w:rsid w:val="00992C76"/>
    <w:rsid w:val="00993C27"/>
    <w:rsid w:val="0099483E"/>
    <w:rsid w:val="00994AA0"/>
    <w:rsid w:val="00994F7D"/>
    <w:rsid w:val="0099544C"/>
    <w:rsid w:val="00995697"/>
    <w:rsid w:val="009968BD"/>
    <w:rsid w:val="009969D6"/>
    <w:rsid w:val="00996DFB"/>
    <w:rsid w:val="00996FF6"/>
    <w:rsid w:val="009978A7"/>
    <w:rsid w:val="00997CE5"/>
    <w:rsid w:val="00997EBD"/>
    <w:rsid w:val="00997FE8"/>
    <w:rsid w:val="009A0BCD"/>
    <w:rsid w:val="009A1659"/>
    <w:rsid w:val="009A1732"/>
    <w:rsid w:val="009A2657"/>
    <w:rsid w:val="009A2891"/>
    <w:rsid w:val="009A2F3E"/>
    <w:rsid w:val="009A2F83"/>
    <w:rsid w:val="009A3803"/>
    <w:rsid w:val="009A3DD2"/>
    <w:rsid w:val="009A40A9"/>
    <w:rsid w:val="009A4895"/>
    <w:rsid w:val="009A495E"/>
    <w:rsid w:val="009A4EA4"/>
    <w:rsid w:val="009A5088"/>
    <w:rsid w:val="009A51CE"/>
    <w:rsid w:val="009A61D0"/>
    <w:rsid w:val="009A69F4"/>
    <w:rsid w:val="009A6A4A"/>
    <w:rsid w:val="009A6C13"/>
    <w:rsid w:val="009B056C"/>
    <w:rsid w:val="009B0A47"/>
    <w:rsid w:val="009B0B75"/>
    <w:rsid w:val="009B0FE5"/>
    <w:rsid w:val="009B1028"/>
    <w:rsid w:val="009B1652"/>
    <w:rsid w:val="009B23E3"/>
    <w:rsid w:val="009B268E"/>
    <w:rsid w:val="009B3221"/>
    <w:rsid w:val="009B4D3B"/>
    <w:rsid w:val="009B5827"/>
    <w:rsid w:val="009B6F33"/>
    <w:rsid w:val="009B7661"/>
    <w:rsid w:val="009B7942"/>
    <w:rsid w:val="009C0AD3"/>
    <w:rsid w:val="009C1428"/>
    <w:rsid w:val="009C15AB"/>
    <w:rsid w:val="009C1809"/>
    <w:rsid w:val="009C18E0"/>
    <w:rsid w:val="009C2424"/>
    <w:rsid w:val="009C2B81"/>
    <w:rsid w:val="009C37AE"/>
    <w:rsid w:val="009C43A8"/>
    <w:rsid w:val="009C43CC"/>
    <w:rsid w:val="009C4408"/>
    <w:rsid w:val="009C4BFD"/>
    <w:rsid w:val="009C516A"/>
    <w:rsid w:val="009C6370"/>
    <w:rsid w:val="009C65C4"/>
    <w:rsid w:val="009C6B84"/>
    <w:rsid w:val="009C745B"/>
    <w:rsid w:val="009D0B3C"/>
    <w:rsid w:val="009D0D95"/>
    <w:rsid w:val="009D180D"/>
    <w:rsid w:val="009D1FCE"/>
    <w:rsid w:val="009D24C3"/>
    <w:rsid w:val="009D38F4"/>
    <w:rsid w:val="009D3C71"/>
    <w:rsid w:val="009D4248"/>
    <w:rsid w:val="009D4A91"/>
    <w:rsid w:val="009D52E8"/>
    <w:rsid w:val="009D5412"/>
    <w:rsid w:val="009D5623"/>
    <w:rsid w:val="009D5D5F"/>
    <w:rsid w:val="009D6062"/>
    <w:rsid w:val="009D73D0"/>
    <w:rsid w:val="009D7407"/>
    <w:rsid w:val="009D7E6F"/>
    <w:rsid w:val="009E0866"/>
    <w:rsid w:val="009E1F03"/>
    <w:rsid w:val="009E2647"/>
    <w:rsid w:val="009E273C"/>
    <w:rsid w:val="009E2EDD"/>
    <w:rsid w:val="009E30EC"/>
    <w:rsid w:val="009E3214"/>
    <w:rsid w:val="009E39C5"/>
    <w:rsid w:val="009E3F97"/>
    <w:rsid w:val="009E4C97"/>
    <w:rsid w:val="009E6123"/>
    <w:rsid w:val="009E68D2"/>
    <w:rsid w:val="009E6D62"/>
    <w:rsid w:val="009E7190"/>
    <w:rsid w:val="009E795A"/>
    <w:rsid w:val="009E7EA7"/>
    <w:rsid w:val="009E7F96"/>
    <w:rsid w:val="009F000F"/>
    <w:rsid w:val="009F0964"/>
    <w:rsid w:val="009F0A1B"/>
    <w:rsid w:val="009F0BA2"/>
    <w:rsid w:val="009F0F9F"/>
    <w:rsid w:val="009F1350"/>
    <w:rsid w:val="009F140D"/>
    <w:rsid w:val="009F2707"/>
    <w:rsid w:val="009F29E5"/>
    <w:rsid w:val="009F3000"/>
    <w:rsid w:val="009F40B5"/>
    <w:rsid w:val="009F4AF4"/>
    <w:rsid w:val="009F4D7F"/>
    <w:rsid w:val="009F530B"/>
    <w:rsid w:val="009F550F"/>
    <w:rsid w:val="009F5996"/>
    <w:rsid w:val="009F6107"/>
    <w:rsid w:val="009F6423"/>
    <w:rsid w:val="009F6A50"/>
    <w:rsid w:val="009F6AC1"/>
    <w:rsid w:val="009F6B43"/>
    <w:rsid w:val="00A00309"/>
    <w:rsid w:val="00A00383"/>
    <w:rsid w:val="00A006BD"/>
    <w:rsid w:val="00A00EEF"/>
    <w:rsid w:val="00A01194"/>
    <w:rsid w:val="00A02081"/>
    <w:rsid w:val="00A0245C"/>
    <w:rsid w:val="00A02AB5"/>
    <w:rsid w:val="00A03179"/>
    <w:rsid w:val="00A03F6B"/>
    <w:rsid w:val="00A04995"/>
    <w:rsid w:val="00A054C5"/>
    <w:rsid w:val="00A055DC"/>
    <w:rsid w:val="00A05CF7"/>
    <w:rsid w:val="00A06FC5"/>
    <w:rsid w:val="00A07841"/>
    <w:rsid w:val="00A10E3F"/>
    <w:rsid w:val="00A11E1D"/>
    <w:rsid w:val="00A1275E"/>
    <w:rsid w:val="00A12DBF"/>
    <w:rsid w:val="00A13210"/>
    <w:rsid w:val="00A13CEE"/>
    <w:rsid w:val="00A14807"/>
    <w:rsid w:val="00A1543A"/>
    <w:rsid w:val="00A15EA2"/>
    <w:rsid w:val="00A16CEA"/>
    <w:rsid w:val="00A173B4"/>
    <w:rsid w:val="00A175B3"/>
    <w:rsid w:val="00A176A3"/>
    <w:rsid w:val="00A17B54"/>
    <w:rsid w:val="00A17F24"/>
    <w:rsid w:val="00A2046B"/>
    <w:rsid w:val="00A20ED8"/>
    <w:rsid w:val="00A214FE"/>
    <w:rsid w:val="00A215BF"/>
    <w:rsid w:val="00A22463"/>
    <w:rsid w:val="00A2271D"/>
    <w:rsid w:val="00A227EC"/>
    <w:rsid w:val="00A232D0"/>
    <w:rsid w:val="00A2354A"/>
    <w:rsid w:val="00A23806"/>
    <w:rsid w:val="00A241C9"/>
    <w:rsid w:val="00A24804"/>
    <w:rsid w:val="00A24A62"/>
    <w:rsid w:val="00A257FE"/>
    <w:rsid w:val="00A25CCA"/>
    <w:rsid w:val="00A26440"/>
    <w:rsid w:val="00A26B0A"/>
    <w:rsid w:val="00A27C1A"/>
    <w:rsid w:val="00A30E09"/>
    <w:rsid w:val="00A31425"/>
    <w:rsid w:val="00A31834"/>
    <w:rsid w:val="00A31B89"/>
    <w:rsid w:val="00A31C9F"/>
    <w:rsid w:val="00A32542"/>
    <w:rsid w:val="00A32858"/>
    <w:rsid w:val="00A329BC"/>
    <w:rsid w:val="00A333BE"/>
    <w:rsid w:val="00A3372F"/>
    <w:rsid w:val="00A33B89"/>
    <w:rsid w:val="00A3405C"/>
    <w:rsid w:val="00A34E75"/>
    <w:rsid w:val="00A35479"/>
    <w:rsid w:val="00A36F53"/>
    <w:rsid w:val="00A37DF6"/>
    <w:rsid w:val="00A406DE"/>
    <w:rsid w:val="00A409B4"/>
    <w:rsid w:val="00A40C86"/>
    <w:rsid w:val="00A40FA8"/>
    <w:rsid w:val="00A4144F"/>
    <w:rsid w:val="00A414F8"/>
    <w:rsid w:val="00A4241D"/>
    <w:rsid w:val="00A42E5B"/>
    <w:rsid w:val="00A43545"/>
    <w:rsid w:val="00A435B9"/>
    <w:rsid w:val="00A44402"/>
    <w:rsid w:val="00A4499B"/>
    <w:rsid w:val="00A45060"/>
    <w:rsid w:val="00A460FA"/>
    <w:rsid w:val="00A4651D"/>
    <w:rsid w:val="00A46E67"/>
    <w:rsid w:val="00A47075"/>
    <w:rsid w:val="00A47D94"/>
    <w:rsid w:val="00A501AF"/>
    <w:rsid w:val="00A511BA"/>
    <w:rsid w:val="00A51C9E"/>
    <w:rsid w:val="00A51E06"/>
    <w:rsid w:val="00A520D8"/>
    <w:rsid w:val="00A523CE"/>
    <w:rsid w:val="00A53818"/>
    <w:rsid w:val="00A53DAC"/>
    <w:rsid w:val="00A54991"/>
    <w:rsid w:val="00A55898"/>
    <w:rsid w:val="00A56504"/>
    <w:rsid w:val="00A56A89"/>
    <w:rsid w:val="00A57838"/>
    <w:rsid w:val="00A578A4"/>
    <w:rsid w:val="00A57923"/>
    <w:rsid w:val="00A60264"/>
    <w:rsid w:val="00A60FDB"/>
    <w:rsid w:val="00A612DE"/>
    <w:rsid w:val="00A61B4D"/>
    <w:rsid w:val="00A62D44"/>
    <w:rsid w:val="00A62F1C"/>
    <w:rsid w:val="00A63BFB"/>
    <w:rsid w:val="00A63FCB"/>
    <w:rsid w:val="00A64A0A"/>
    <w:rsid w:val="00A64C2D"/>
    <w:rsid w:val="00A6511E"/>
    <w:rsid w:val="00A6514D"/>
    <w:rsid w:val="00A653CE"/>
    <w:rsid w:val="00A65D86"/>
    <w:rsid w:val="00A65F33"/>
    <w:rsid w:val="00A66A18"/>
    <w:rsid w:val="00A66DD4"/>
    <w:rsid w:val="00A70CB8"/>
    <w:rsid w:val="00A710EB"/>
    <w:rsid w:val="00A7196C"/>
    <w:rsid w:val="00A719AB"/>
    <w:rsid w:val="00A71EB0"/>
    <w:rsid w:val="00A721BA"/>
    <w:rsid w:val="00A72554"/>
    <w:rsid w:val="00A72703"/>
    <w:rsid w:val="00A7272B"/>
    <w:rsid w:val="00A72DBC"/>
    <w:rsid w:val="00A74941"/>
    <w:rsid w:val="00A74D7A"/>
    <w:rsid w:val="00A75C9A"/>
    <w:rsid w:val="00A75DE7"/>
    <w:rsid w:val="00A75E12"/>
    <w:rsid w:val="00A777D4"/>
    <w:rsid w:val="00A80F95"/>
    <w:rsid w:val="00A81376"/>
    <w:rsid w:val="00A813A6"/>
    <w:rsid w:val="00A8187B"/>
    <w:rsid w:val="00A8274E"/>
    <w:rsid w:val="00A82CB7"/>
    <w:rsid w:val="00A83258"/>
    <w:rsid w:val="00A83D4E"/>
    <w:rsid w:val="00A84133"/>
    <w:rsid w:val="00A856ED"/>
    <w:rsid w:val="00A87611"/>
    <w:rsid w:val="00A87716"/>
    <w:rsid w:val="00A90260"/>
    <w:rsid w:val="00A90316"/>
    <w:rsid w:val="00A9084F"/>
    <w:rsid w:val="00A9117E"/>
    <w:rsid w:val="00A91795"/>
    <w:rsid w:val="00A91A00"/>
    <w:rsid w:val="00A92865"/>
    <w:rsid w:val="00A92B00"/>
    <w:rsid w:val="00A92BDE"/>
    <w:rsid w:val="00A943B0"/>
    <w:rsid w:val="00A947AB"/>
    <w:rsid w:val="00A9543E"/>
    <w:rsid w:val="00A96327"/>
    <w:rsid w:val="00A96D8B"/>
    <w:rsid w:val="00A971DF"/>
    <w:rsid w:val="00A97316"/>
    <w:rsid w:val="00A97642"/>
    <w:rsid w:val="00A97940"/>
    <w:rsid w:val="00A97BF1"/>
    <w:rsid w:val="00AA00F4"/>
    <w:rsid w:val="00AA0E17"/>
    <w:rsid w:val="00AA10EE"/>
    <w:rsid w:val="00AA1328"/>
    <w:rsid w:val="00AA1F07"/>
    <w:rsid w:val="00AA2304"/>
    <w:rsid w:val="00AA2965"/>
    <w:rsid w:val="00AA298A"/>
    <w:rsid w:val="00AA315B"/>
    <w:rsid w:val="00AA3AA4"/>
    <w:rsid w:val="00AA429F"/>
    <w:rsid w:val="00AA42A4"/>
    <w:rsid w:val="00AA4519"/>
    <w:rsid w:val="00AA4BC2"/>
    <w:rsid w:val="00AA4E95"/>
    <w:rsid w:val="00AA4ED5"/>
    <w:rsid w:val="00AA558C"/>
    <w:rsid w:val="00AA59C9"/>
    <w:rsid w:val="00AA6B8C"/>
    <w:rsid w:val="00AA6BDE"/>
    <w:rsid w:val="00AA6DC7"/>
    <w:rsid w:val="00AA7040"/>
    <w:rsid w:val="00AA77DE"/>
    <w:rsid w:val="00AA7C35"/>
    <w:rsid w:val="00AA7C6B"/>
    <w:rsid w:val="00AB0086"/>
    <w:rsid w:val="00AB144E"/>
    <w:rsid w:val="00AB157D"/>
    <w:rsid w:val="00AB16A4"/>
    <w:rsid w:val="00AB18D4"/>
    <w:rsid w:val="00AB1B88"/>
    <w:rsid w:val="00AB20D2"/>
    <w:rsid w:val="00AB23D3"/>
    <w:rsid w:val="00AB396B"/>
    <w:rsid w:val="00AB3B5F"/>
    <w:rsid w:val="00AB3CC9"/>
    <w:rsid w:val="00AB41C8"/>
    <w:rsid w:val="00AB43E9"/>
    <w:rsid w:val="00AB46DD"/>
    <w:rsid w:val="00AB4A25"/>
    <w:rsid w:val="00AB51D0"/>
    <w:rsid w:val="00AB55B8"/>
    <w:rsid w:val="00AB6E1E"/>
    <w:rsid w:val="00AB6F45"/>
    <w:rsid w:val="00AB7271"/>
    <w:rsid w:val="00AB75EC"/>
    <w:rsid w:val="00AB765A"/>
    <w:rsid w:val="00AB76D1"/>
    <w:rsid w:val="00AB7704"/>
    <w:rsid w:val="00AB7863"/>
    <w:rsid w:val="00AB7F80"/>
    <w:rsid w:val="00AC00DD"/>
    <w:rsid w:val="00AC0785"/>
    <w:rsid w:val="00AC11CD"/>
    <w:rsid w:val="00AC164A"/>
    <w:rsid w:val="00AC1E7C"/>
    <w:rsid w:val="00AC215E"/>
    <w:rsid w:val="00AC22D5"/>
    <w:rsid w:val="00AC2377"/>
    <w:rsid w:val="00AC27A6"/>
    <w:rsid w:val="00AC2BDB"/>
    <w:rsid w:val="00AC2C39"/>
    <w:rsid w:val="00AC2F6C"/>
    <w:rsid w:val="00AC382A"/>
    <w:rsid w:val="00AC3D95"/>
    <w:rsid w:val="00AC3DB4"/>
    <w:rsid w:val="00AC4068"/>
    <w:rsid w:val="00AC466E"/>
    <w:rsid w:val="00AC47FD"/>
    <w:rsid w:val="00AC4A4B"/>
    <w:rsid w:val="00AC6039"/>
    <w:rsid w:val="00AC65E3"/>
    <w:rsid w:val="00AC68CB"/>
    <w:rsid w:val="00AC70EC"/>
    <w:rsid w:val="00AC75DD"/>
    <w:rsid w:val="00AC76B9"/>
    <w:rsid w:val="00AC7763"/>
    <w:rsid w:val="00AC7A8F"/>
    <w:rsid w:val="00AD0BF1"/>
    <w:rsid w:val="00AD0F23"/>
    <w:rsid w:val="00AD190E"/>
    <w:rsid w:val="00AD1946"/>
    <w:rsid w:val="00AD1DD7"/>
    <w:rsid w:val="00AD217C"/>
    <w:rsid w:val="00AD21D2"/>
    <w:rsid w:val="00AD2850"/>
    <w:rsid w:val="00AD29E4"/>
    <w:rsid w:val="00AD48D7"/>
    <w:rsid w:val="00AD5E77"/>
    <w:rsid w:val="00AD6416"/>
    <w:rsid w:val="00AD690A"/>
    <w:rsid w:val="00AD735D"/>
    <w:rsid w:val="00AD7C29"/>
    <w:rsid w:val="00AE026B"/>
    <w:rsid w:val="00AE064D"/>
    <w:rsid w:val="00AE08DA"/>
    <w:rsid w:val="00AE13BF"/>
    <w:rsid w:val="00AE14F0"/>
    <w:rsid w:val="00AE234D"/>
    <w:rsid w:val="00AE2830"/>
    <w:rsid w:val="00AE42A2"/>
    <w:rsid w:val="00AE448A"/>
    <w:rsid w:val="00AE4AEC"/>
    <w:rsid w:val="00AE4F16"/>
    <w:rsid w:val="00AE593A"/>
    <w:rsid w:val="00AE5CB2"/>
    <w:rsid w:val="00AE6C04"/>
    <w:rsid w:val="00AE6F37"/>
    <w:rsid w:val="00AE78E5"/>
    <w:rsid w:val="00AF07F2"/>
    <w:rsid w:val="00AF0A50"/>
    <w:rsid w:val="00AF0ACD"/>
    <w:rsid w:val="00AF112F"/>
    <w:rsid w:val="00AF16DD"/>
    <w:rsid w:val="00AF188E"/>
    <w:rsid w:val="00AF2050"/>
    <w:rsid w:val="00AF22F6"/>
    <w:rsid w:val="00AF23FB"/>
    <w:rsid w:val="00AF2589"/>
    <w:rsid w:val="00AF25B8"/>
    <w:rsid w:val="00AF26D8"/>
    <w:rsid w:val="00AF41E7"/>
    <w:rsid w:val="00AF4ABE"/>
    <w:rsid w:val="00AF4C5D"/>
    <w:rsid w:val="00AF57EA"/>
    <w:rsid w:val="00AF588B"/>
    <w:rsid w:val="00AF60F6"/>
    <w:rsid w:val="00AF63B8"/>
    <w:rsid w:val="00AF70BF"/>
    <w:rsid w:val="00AF7BE4"/>
    <w:rsid w:val="00B00889"/>
    <w:rsid w:val="00B01DDC"/>
    <w:rsid w:val="00B01DE4"/>
    <w:rsid w:val="00B026C7"/>
    <w:rsid w:val="00B0318B"/>
    <w:rsid w:val="00B03962"/>
    <w:rsid w:val="00B03ABB"/>
    <w:rsid w:val="00B03CA8"/>
    <w:rsid w:val="00B04683"/>
    <w:rsid w:val="00B048F9"/>
    <w:rsid w:val="00B04CE6"/>
    <w:rsid w:val="00B0558B"/>
    <w:rsid w:val="00B0587D"/>
    <w:rsid w:val="00B06828"/>
    <w:rsid w:val="00B07380"/>
    <w:rsid w:val="00B07949"/>
    <w:rsid w:val="00B10EA1"/>
    <w:rsid w:val="00B11036"/>
    <w:rsid w:val="00B11AF1"/>
    <w:rsid w:val="00B12433"/>
    <w:rsid w:val="00B12D37"/>
    <w:rsid w:val="00B12D70"/>
    <w:rsid w:val="00B12E3C"/>
    <w:rsid w:val="00B1326B"/>
    <w:rsid w:val="00B13D1B"/>
    <w:rsid w:val="00B1411B"/>
    <w:rsid w:val="00B162BB"/>
    <w:rsid w:val="00B163E7"/>
    <w:rsid w:val="00B1656E"/>
    <w:rsid w:val="00B16E32"/>
    <w:rsid w:val="00B17C70"/>
    <w:rsid w:val="00B200F5"/>
    <w:rsid w:val="00B205BF"/>
    <w:rsid w:val="00B2101D"/>
    <w:rsid w:val="00B21BB2"/>
    <w:rsid w:val="00B21E19"/>
    <w:rsid w:val="00B22231"/>
    <w:rsid w:val="00B224D3"/>
    <w:rsid w:val="00B22A18"/>
    <w:rsid w:val="00B22C5A"/>
    <w:rsid w:val="00B23AA8"/>
    <w:rsid w:val="00B255E8"/>
    <w:rsid w:val="00B2617B"/>
    <w:rsid w:val="00B26499"/>
    <w:rsid w:val="00B26618"/>
    <w:rsid w:val="00B266B0"/>
    <w:rsid w:val="00B26DF7"/>
    <w:rsid w:val="00B27AD6"/>
    <w:rsid w:val="00B27CB7"/>
    <w:rsid w:val="00B27E23"/>
    <w:rsid w:val="00B3038A"/>
    <w:rsid w:val="00B30A75"/>
    <w:rsid w:val="00B30B3B"/>
    <w:rsid w:val="00B31C36"/>
    <w:rsid w:val="00B31F12"/>
    <w:rsid w:val="00B321BE"/>
    <w:rsid w:val="00B327E0"/>
    <w:rsid w:val="00B33479"/>
    <w:rsid w:val="00B33C0A"/>
    <w:rsid w:val="00B33F98"/>
    <w:rsid w:val="00B354CD"/>
    <w:rsid w:val="00B3632C"/>
    <w:rsid w:val="00B36671"/>
    <w:rsid w:val="00B366BD"/>
    <w:rsid w:val="00B367D9"/>
    <w:rsid w:val="00B36B16"/>
    <w:rsid w:val="00B37820"/>
    <w:rsid w:val="00B4127F"/>
    <w:rsid w:val="00B41332"/>
    <w:rsid w:val="00B41582"/>
    <w:rsid w:val="00B41D23"/>
    <w:rsid w:val="00B425E8"/>
    <w:rsid w:val="00B42CDF"/>
    <w:rsid w:val="00B42D2D"/>
    <w:rsid w:val="00B43027"/>
    <w:rsid w:val="00B4306B"/>
    <w:rsid w:val="00B43713"/>
    <w:rsid w:val="00B445AF"/>
    <w:rsid w:val="00B445BC"/>
    <w:rsid w:val="00B44EAD"/>
    <w:rsid w:val="00B451CD"/>
    <w:rsid w:val="00B454F1"/>
    <w:rsid w:val="00B46C7A"/>
    <w:rsid w:val="00B46E37"/>
    <w:rsid w:val="00B4779A"/>
    <w:rsid w:val="00B47A0B"/>
    <w:rsid w:val="00B47D40"/>
    <w:rsid w:val="00B5014D"/>
    <w:rsid w:val="00B5146B"/>
    <w:rsid w:val="00B51A19"/>
    <w:rsid w:val="00B51A8E"/>
    <w:rsid w:val="00B51E0C"/>
    <w:rsid w:val="00B52329"/>
    <w:rsid w:val="00B52C97"/>
    <w:rsid w:val="00B5414B"/>
    <w:rsid w:val="00B54228"/>
    <w:rsid w:val="00B5500B"/>
    <w:rsid w:val="00B555C7"/>
    <w:rsid w:val="00B55C71"/>
    <w:rsid w:val="00B55E19"/>
    <w:rsid w:val="00B56036"/>
    <w:rsid w:val="00B560D5"/>
    <w:rsid w:val="00B56680"/>
    <w:rsid w:val="00B566FB"/>
    <w:rsid w:val="00B606D1"/>
    <w:rsid w:val="00B606E8"/>
    <w:rsid w:val="00B61D5C"/>
    <w:rsid w:val="00B622F2"/>
    <w:rsid w:val="00B631ED"/>
    <w:rsid w:val="00B63698"/>
    <w:rsid w:val="00B63D18"/>
    <w:rsid w:val="00B64151"/>
    <w:rsid w:val="00B647C7"/>
    <w:rsid w:val="00B648B5"/>
    <w:rsid w:val="00B6494E"/>
    <w:rsid w:val="00B64CA7"/>
    <w:rsid w:val="00B64CFC"/>
    <w:rsid w:val="00B650A8"/>
    <w:rsid w:val="00B65551"/>
    <w:rsid w:val="00B6578B"/>
    <w:rsid w:val="00B65A47"/>
    <w:rsid w:val="00B65C11"/>
    <w:rsid w:val="00B6676F"/>
    <w:rsid w:val="00B67378"/>
    <w:rsid w:val="00B67C09"/>
    <w:rsid w:val="00B700BB"/>
    <w:rsid w:val="00B70776"/>
    <w:rsid w:val="00B71359"/>
    <w:rsid w:val="00B729D3"/>
    <w:rsid w:val="00B73247"/>
    <w:rsid w:val="00B73450"/>
    <w:rsid w:val="00B739DE"/>
    <w:rsid w:val="00B751CC"/>
    <w:rsid w:val="00B75ACC"/>
    <w:rsid w:val="00B76460"/>
    <w:rsid w:val="00B764DE"/>
    <w:rsid w:val="00B766B0"/>
    <w:rsid w:val="00B81325"/>
    <w:rsid w:val="00B81E6F"/>
    <w:rsid w:val="00B81FDD"/>
    <w:rsid w:val="00B82F8C"/>
    <w:rsid w:val="00B833E4"/>
    <w:rsid w:val="00B83925"/>
    <w:rsid w:val="00B83A9D"/>
    <w:rsid w:val="00B845CE"/>
    <w:rsid w:val="00B8493D"/>
    <w:rsid w:val="00B84B4E"/>
    <w:rsid w:val="00B85EDD"/>
    <w:rsid w:val="00B862B2"/>
    <w:rsid w:val="00B86341"/>
    <w:rsid w:val="00B8648E"/>
    <w:rsid w:val="00B86504"/>
    <w:rsid w:val="00B86D4D"/>
    <w:rsid w:val="00B90098"/>
    <w:rsid w:val="00B900EA"/>
    <w:rsid w:val="00B90E21"/>
    <w:rsid w:val="00B90F4D"/>
    <w:rsid w:val="00B91B95"/>
    <w:rsid w:val="00B91C5F"/>
    <w:rsid w:val="00B9217B"/>
    <w:rsid w:val="00B92CAE"/>
    <w:rsid w:val="00B92CE0"/>
    <w:rsid w:val="00B92DE2"/>
    <w:rsid w:val="00B931D0"/>
    <w:rsid w:val="00B94461"/>
    <w:rsid w:val="00B94758"/>
    <w:rsid w:val="00B9496D"/>
    <w:rsid w:val="00B95694"/>
    <w:rsid w:val="00B95799"/>
    <w:rsid w:val="00B95F70"/>
    <w:rsid w:val="00B96AC7"/>
    <w:rsid w:val="00B97976"/>
    <w:rsid w:val="00BA0281"/>
    <w:rsid w:val="00BA06F6"/>
    <w:rsid w:val="00BA13C2"/>
    <w:rsid w:val="00BA14AC"/>
    <w:rsid w:val="00BA1638"/>
    <w:rsid w:val="00BA17A8"/>
    <w:rsid w:val="00BA1A3D"/>
    <w:rsid w:val="00BA1A5D"/>
    <w:rsid w:val="00BA1C39"/>
    <w:rsid w:val="00BA22D1"/>
    <w:rsid w:val="00BA2327"/>
    <w:rsid w:val="00BA36F1"/>
    <w:rsid w:val="00BA37F1"/>
    <w:rsid w:val="00BA3EFE"/>
    <w:rsid w:val="00BA487E"/>
    <w:rsid w:val="00BA4B6D"/>
    <w:rsid w:val="00BA4E87"/>
    <w:rsid w:val="00BA5FA4"/>
    <w:rsid w:val="00BA6799"/>
    <w:rsid w:val="00BA7BD8"/>
    <w:rsid w:val="00BB03E7"/>
    <w:rsid w:val="00BB0920"/>
    <w:rsid w:val="00BB127E"/>
    <w:rsid w:val="00BB18A5"/>
    <w:rsid w:val="00BB193C"/>
    <w:rsid w:val="00BB1ECD"/>
    <w:rsid w:val="00BB24F2"/>
    <w:rsid w:val="00BB25B5"/>
    <w:rsid w:val="00BB26C5"/>
    <w:rsid w:val="00BB279D"/>
    <w:rsid w:val="00BB3683"/>
    <w:rsid w:val="00BB3BAC"/>
    <w:rsid w:val="00BB44A1"/>
    <w:rsid w:val="00BB4F24"/>
    <w:rsid w:val="00BB504A"/>
    <w:rsid w:val="00BB5653"/>
    <w:rsid w:val="00BB56DD"/>
    <w:rsid w:val="00BB5D05"/>
    <w:rsid w:val="00BB5DEA"/>
    <w:rsid w:val="00BB61DA"/>
    <w:rsid w:val="00BB6898"/>
    <w:rsid w:val="00BB6ABC"/>
    <w:rsid w:val="00BB75D4"/>
    <w:rsid w:val="00BB7EAC"/>
    <w:rsid w:val="00BC03BB"/>
    <w:rsid w:val="00BC0AAB"/>
    <w:rsid w:val="00BC10B3"/>
    <w:rsid w:val="00BC1CDC"/>
    <w:rsid w:val="00BC2774"/>
    <w:rsid w:val="00BC29BD"/>
    <w:rsid w:val="00BC31BD"/>
    <w:rsid w:val="00BC398B"/>
    <w:rsid w:val="00BC3E17"/>
    <w:rsid w:val="00BC4CA3"/>
    <w:rsid w:val="00BC50F2"/>
    <w:rsid w:val="00BC5685"/>
    <w:rsid w:val="00BC581E"/>
    <w:rsid w:val="00BC5BAB"/>
    <w:rsid w:val="00BC6A20"/>
    <w:rsid w:val="00BC6C5F"/>
    <w:rsid w:val="00BC736F"/>
    <w:rsid w:val="00BC76A0"/>
    <w:rsid w:val="00BC7984"/>
    <w:rsid w:val="00BC7E3A"/>
    <w:rsid w:val="00BD035C"/>
    <w:rsid w:val="00BD0C83"/>
    <w:rsid w:val="00BD0CB5"/>
    <w:rsid w:val="00BD0D1D"/>
    <w:rsid w:val="00BD13D2"/>
    <w:rsid w:val="00BD1440"/>
    <w:rsid w:val="00BD1574"/>
    <w:rsid w:val="00BD1BC8"/>
    <w:rsid w:val="00BD2258"/>
    <w:rsid w:val="00BD245B"/>
    <w:rsid w:val="00BD2A5D"/>
    <w:rsid w:val="00BD2AC7"/>
    <w:rsid w:val="00BD2E05"/>
    <w:rsid w:val="00BD30B4"/>
    <w:rsid w:val="00BD3FA7"/>
    <w:rsid w:val="00BD41E9"/>
    <w:rsid w:val="00BD49A1"/>
    <w:rsid w:val="00BD5527"/>
    <w:rsid w:val="00BD5EDD"/>
    <w:rsid w:val="00BD5F79"/>
    <w:rsid w:val="00BD614C"/>
    <w:rsid w:val="00BD65D5"/>
    <w:rsid w:val="00BD663F"/>
    <w:rsid w:val="00BD68D2"/>
    <w:rsid w:val="00BD6AA7"/>
    <w:rsid w:val="00BD7A10"/>
    <w:rsid w:val="00BE07C8"/>
    <w:rsid w:val="00BE0AC1"/>
    <w:rsid w:val="00BE129B"/>
    <w:rsid w:val="00BE1966"/>
    <w:rsid w:val="00BE1EFC"/>
    <w:rsid w:val="00BE34F1"/>
    <w:rsid w:val="00BE3B03"/>
    <w:rsid w:val="00BE5C91"/>
    <w:rsid w:val="00BE65F1"/>
    <w:rsid w:val="00BE66C2"/>
    <w:rsid w:val="00BE720F"/>
    <w:rsid w:val="00BE7A47"/>
    <w:rsid w:val="00BF020E"/>
    <w:rsid w:val="00BF1232"/>
    <w:rsid w:val="00BF12CD"/>
    <w:rsid w:val="00BF1347"/>
    <w:rsid w:val="00BF1861"/>
    <w:rsid w:val="00BF1919"/>
    <w:rsid w:val="00BF1DC4"/>
    <w:rsid w:val="00BF1F22"/>
    <w:rsid w:val="00BF1F70"/>
    <w:rsid w:val="00BF2C9C"/>
    <w:rsid w:val="00BF30ED"/>
    <w:rsid w:val="00BF3BD2"/>
    <w:rsid w:val="00BF3C1E"/>
    <w:rsid w:val="00BF40F4"/>
    <w:rsid w:val="00BF4982"/>
    <w:rsid w:val="00BF4DE6"/>
    <w:rsid w:val="00BF536C"/>
    <w:rsid w:val="00BF5448"/>
    <w:rsid w:val="00BF5728"/>
    <w:rsid w:val="00BF61C4"/>
    <w:rsid w:val="00BF69E2"/>
    <w:rsid w:val="00BF7A6F"/>
    <w:rsid w:val="00C006FA"/>
    <w:rsid w:val="00C00C37"/>
    <w:rsid w:val="00C01F13"/>
    <w:rsid w:val="00C0256E"/>
    <w:rsid w:val="00C03015"/>
    <w:rsid w:val="00C033E2"/>
    <w:rsid w:val="00C03CCF"/>
    <w:rsid w:val="00C03F18"/>
    <w:rsid w:val="00C0464A"/>
    <w:rsid w:val="00C04840"/>
    <w:rsid w:val="00C050B0"/>
    <w:rsid w:val="00C0582F"/>
    <w:rsid w:val="00C05A68"/>
    <w:rsid w:val="00C05B33"/>
    <w:rsid w:val="00C06244"/>
    <w:rsid w:val="00C0678C"/>
    <w:rsid w:val="00C06B13"/>
    <w:rsid w:val="00C10B8A"/>
    <w:rsid w:val="00C10C73"/>
    <w:rsid w:val="00C10C82"/>
    <w:rsid w:val="00C10D69"/>
    <w:rsid w:val="00C10FA0"/>
    <w:rsid w:val="00C1194C"/>
    <w:rsid w:val="00C11955"/>
    <w:rsid w:val="00C12262"/>
    <w:rsid w:val="00C12DD5"/>
    <w:rsid w:val="00C12E6D"/>
    <w:rsid w:val="00C131D6"/>
    <w:rsid w:val="00C1329A"/>
    <w:rsid w:val="00C13494"/>
    <w:rsid w:val="00C135D2"/>
    <w:rsid w:val="00C13B77"/>
    <w:rsid w:val="00C145DD"/>
    <w:rsid w:val="00C1508F"/>
    <w:rsid w:val="00C151BD"/>
    <w:rsid w:val="00C153A5"/>
    <w:rsid w:val="00C1558B"/>
    <w:rsid w:val="00C155B3"/>
    <w:rsid w:val="00C164D4"/>
    <w:rsid w:val="00C167DA"/>
    <w:rsid w:val="00C16DE5"/>
    <w:rsid w:val="00C174A5"/>
    <w:rsid w:val="00C2031F"/>
    <w:rsid w:val="00C20900"/>
    <w:rsid w:val="00C2267D"/>
    <w:rsid w:val="00C22ADC"/>
    <w:rsid w:val="00C231FF"/>
    <w:rsid w:val="00C23AB1"/>
    <w:rsid w:val="00C23D30"/>
    <w:rsid w:val="00C2431C"/>
    <w:rsid w:val="00C2452E"/>
    <w:rsid w:val="00C24C63"/>
    <w:rsid w:val="00C24E87"/>
    <w:rsid w:val="00C24ECF"/>
    <w:rsid w:val="00C25A83"/>
    <w:rsid w:val="00C26F0A"/>
    <w:rsid w:val="00C2776C"/>
    <w:rsid w:val="00C277F2"/>
    <w:rsid w:val="00C27D25"/>
    <w:rsid w:val="00C30EFE"/>
    <w:rsid w:val="00C313F7"/>
    <w:rsid w:val="00C32273"/>
    <w:rsid w:val="00C32C57"/>
    <w:rsid w:val="00C34381"/>
    <w:rsid w:val="00C347D9"/>
    <w:rsid w:val="00C34BD6"/>
    <w:rsid w:val="00C34C97"/>
    <w:rsid w:val="00C34FF4"/>
    <w:rsid w:val="00C353D0"/>
    <w:rsid w:val="00C357B7"/>
    <w:rsid w:val="00C36075"/>
    <w:rsid w:val="00C36102"/>
    <w:rsid w:val="00C36812"/>
    <w:rsid w:val="00C36C55"/>
    <w:rsid w:val="00C36E75"/>
    <w:rsid w:val="00C36F6A"/>
    <w:rsid w:val="00C4005E"/>
    <w:rsid w:val="00C40073"/>
    <w:rsid w:val="00C40C0E"/>
    <w:rsid w:val="00C40FC1"/>
    <w:rsid w:val="00C41326"/>
    <w:rsid w:val="00C41778"/>
    <w:rsid w:val="00C41A46"/>
    <w:rsid w:val="00C41AA3"/>
    <w:rsid w:val="00C42541"/>
    <w:rsid w:val="00C42CDE"/>
    <w:rsid w:val="00C440FA"/>
    <w:rsid w:val="00C447AF"/>
    <w:rsid w:val="00C459AF"/>
    <w:rsid w:val="00C4699C"/>
    <w:rsid w:val="00C475F2"/>
    <w:rsid w:val="00C50908"/>
    <w:rsid w:val="00C50A74"/>
    <w:rsid w:val="00C51192"/>
    <w:rsid w:val="00C5182A"/>
    <w:rsid w:val="00C5186C"/>
    <w:rsid w:val="00C51B5D"/>
    <w:rsid w:val="00C51B5E"/>
    <w:rsid w:val="00C52E49"/>
    <w:rsid w:val="00C53FB3"/>
    <w:rsid w:val="00C54E04"/>
    <w:rsid w:val="00C55696"/>
    <w:rsid w:val="00C5588A"/>
    <w:rsid w:val="00C55E98"/>
    <w:rsid w:val="00C56541"/>
    <w:rsid w:val="00C56A6B"/>
    <w:rsid w:val="00C57BCC"/>
    <w:rsid w:val="00C60390"/>
    <w:rsid w:val="00C60395"/>
    <w:rsid w:val="00C60CD3"/>
    <w:rsid w:val="00C60F58"/>
    <w:rsid w:val="00C618B1"/>
    <w:rsid w:val="00C61E1D"/>
    <w:rsid w:val="00C62161"/>
    <w:rsid w:val="00C625C9"/>
    <w:rsid w:val="00C6292B"/>
    <w:rsid w:val="00C62C6D"/>
    <w:rsid w:val="00C63B49"/>
    <w:rsid w:val="00C63EE9"/>
    <w:rsid w:val="00C64142"/>
    <w:rsid w:val="00C64817"/>
    <w:rsid w:val="00C64E2D"/>
    <w:rsid w:val="00C65043"/>
    <w:rsid w:val="00C657BC"/>
    <w:rsid w:val="00C65918"/>
    <w:rsid w:val="00C659C7"/>
    <w:rsid w:val="00C65CB0"/>
    <w:rsid w:val="00C66489"/>
    <w:rsid w:val="00C66600"/>
    <w:rsid w:val="00C6713F"/>
    <w:rsid w:val="00C677B8"/>
    <w:rsid w:val="00C70811"/>
    <w:rsid w:val="00C70A03"/>
    <w:rsid w:val="00C70A27"/>
    <w:rsid w:val="00C70A35"/>
    <w:rsid w:val="00C710D1"/>
    <w:rsid w:val="00C711E9"/>
    <w:rsid w:val="00C73077"/>
    <w:rsid w:val="00C739EC"/>
    <w:rsid w:val="00C74E37"/>
    <w:rsid w:val="00C75696"/>
    <w:rsid w:val="00C75CE8"/>
    <w:rsid w:val="00C76555"/>
    <w:rsid w:val="00C77A96"/>
    <w:rsid w:val="00C77D99"/>
    <w:rsid w:val="00C80ACE"/>
    <w:rsid w:val="00C81417"/>
    <w:rsid w:val="00C81520"/>
    <w:rsid w:val="00C81DE1"/>
    <w:rsid w:val="00C822DA"/>
    <w:rsid w:val="00C82A35"/>
    <w:rsid w:val="00C82E72"/>
    <w:rsid w:val="00C83646"/>
    <w:rsid w:val="00C85A52"/>
    <w:rsid w:val="00C85FE3"/>
    <w:rsid w:val="00C867AB"/>
    <w:rsid w:val="00C868AB"/>
    <w:rsid w:val="00C87DD1"/>
    <w:rsid w:val="00C90F07"/>
    <w:rsid w:val="00C917D7"/>
    <w:rsid w:val="00C922A7"/>
    <w:rsid w:val="00C92FC7"/>
    <w:rsid w:val="00C93635"/>
    <w:rsid w:val="00C936F6"/>
    <w:rsid w:val="00C9370F"/>
    <w:rsid w:val="00C93FB3"/>
    <w:rsid w:val="00C93FBC"/>
    <w:rsid w:val="00C94419"/>
    <w:rsid w:val="00C95050"/>
    <w:rsid w:val="00C951D5"/>
    <w:rsid w:val="00C955F3"/>
    <w:rsid w:val="00C957C7"/>
    <w:rsid w:val="00C95951"/>
    <w:rsid w:val="00C97B5A"/>
    <w:rsid w:val="00C97C64"/>
    <w:rsid w:val="00C97D57"/>
    <w:rsid w:val="00CA0BEC"/>
    <w:rsid w:val="00CA163B"/>
    <w:rsid w:val="00CA16F3"/>
    <w:rsid w:val="00CA1721"/>
    <w:rsid w:val="00CA1C66"/>
    <w:rsid w:val="00CA1F66"/>
    <w:rsid w:val="00CA2873"/>
    <w:rsid w:val="00CA28A4"/>
    <w:rsid w:val="00CA37B1"/>
    <w:rsid w:val="00CA3941"/>
    <w:rsid w:val="00CA3B2D"/>
    <w:rsid w:val="00CA4322"/>
    <w:rsid w:val="00CA4F0C"/>
    <w:rsid w:val="00CA5031"/>
    <w:rsid w:val="00CA51C8"/>
    <w:rsid w:val="00CA53DD"/>
    <w:rsid w:val="00CA58AE"/>
    <w:rsid w:val="00CA6DF3"/>
    <w:rsid w:val="00CA723D"/>
    <w:rsid w:val="00CB0201"/>
    <w:rsid w:val="00CB0213"/>
    <w:rsid w:val="00CB0E3B"/>
    <w:rsid w:val="00CB0EBA"/>
    <w:rsid w:val="00CB1959"/>
    <w:rsid w:val="00CB1B8F"/>
    <w:rsid w:val="00CB1BDE"/>
    <w:rsid w:val="00CB3348"/>
    <w:rsid w:val="00CB337C"/>
    <w:rsid w:val="00CB33BA"/>
    <w:rsid w:val="00CB3685"/>
    <w:rsid w:val="00CB43AB"/>
    <w:rsid w:val="00CB44ED"/>
    <w:rsid w:val="00CB4660"/>
    <w:rsid w:val="00CB472F"/>
    <w:rsid w:val="00CB478E"/>
    <w:rsid w:val="00CB4FD8"/>
    <w:rsid w:val="00CB5887"/>
    <w:rsid w:val="00CB5913"/>
    <w:rsid w:val="00CB5C5B"/>
    <w:rsid w:val="00CB68EC"/>
    <w:rsid w:val="00CB6A81"/>
    <w:rsid w:val="00CB78C9"/>
    <w:rsid w:val="00CB79D8"/>
    <w:rsid w:val="00CB7B47"/>
    <w:rsid w:val="00CB7F98"/>
    <w:rsid w:val="00CC09CB"/>
    <w:rsid w:val="00CC0A43"/>
    <w:rsid w:val="00CC1FBE"/>
    <w:rsid w:val="00CC25F6"/>
    <w:rsid w:val="00CC2A88"/>
    <w:rsid w:val="00CC38B3"/>
    <w:rsid w:val="00CC4833"/>
    <w:rsid w:val="00CC4B84"/>
    <w:rsid w:val="00CC545E"/>
    <w:rsid w:val="00CC5675"/>
    <w:rsid w:val="00CC6095"/>
    <w:rsid w:val="00CC68F8"/>
    <w:rsid w:val="00CC741B"/>
    <w:rsid w:val="00CC7890"/>
    <w:rsid w:val="00CD067D"/>
    <w:rsid w:val="00CD0CC4"/>
    <w:rsid w:val="00CD0E4B"/>
    <w:rsid w:val="00CD11FE"/>
    <w:rsid w:val="00CD1816"/>
    <w:rsid w:val="00CD1BE6"/>
    <w:rsid w:val="00CD21AB"/>
    <w:rsid w:val="00CD2F41"/>
    <w:rsid w:val="00CD2FCA"/>
    <w:rsid w:val="00CD326D"/>
    <w:rsid w:val="00CD4161"/>
    <w:rsid w:val="00CD45DF"/>
    <w:rsid w:val="00CD46B1"/>
    <w:rsid w:val="00CD4BA9"/>
    <w:rsid w:val="00CD4E86"/>
    <w:rsid w:val="00CD5E23"/>
    <w:rsid w:val="00CD5F76"/>
    <w:rsid w:val="00CD618F"/>
    <w:rsid w:val="00CD6C4A"/>
    <w:rsid w:val="00CD7F3A"/>
    <w:rsid w:val="00CE0206"/>
    <w:rsid w:val="00CE0A54"/>
    <w:rsid w:val="00CE0BF2"/>
    <w:rsid w:val="00CE1A00"/>
    <w:rsid w:val="00CE3BDE"/>
    <w:rsid w:val="00CE3C9F"/>
    <w:rsid w:val="00CE3FD2"/>
    <w:rsid w:val="00CE4281"/>
    <w:rsid w:val="00CE476D"/>
    <w:rsid w:val="00CE4C89"/>
    <w:rsid w:val="00CE5925"/>
    <w:rsid w:val="00CE5AA9"/>
    <w:rsid w:val="00CE5AB9"/>
    <w:rsid w:val="00CE6227"/>
    <w:rsid w:val="00CE647F"/>
    <w:rsid w:val="00CE6AED"/>
    <w:rsid w:val="00CE7104"/>
    <w:rsid w:val="00CE7437"/>
    <w:rsid w:val="00CE74B0"/>
    <w:rsid w:val="00CE7DE5"/>
    <w:rsid w:val="00CF07BA"/>
    <w:rsid w:val="00CF19E6"/>
    <w:rsid w:val="00CF1ADB"/>
    <w:rsid w:val="00CF1D3A"/>
    <w:rsid w:val="00CF1DAF"/>
    <w:rsid w:val="00CF27AD"/>
    <w:rsid w:val="00CF2D1E"/>
    <w:rsid w:val="00CF4F17"/>
    <w:rsid w:val="00CF4F89"/>
    <w:rsid w:val="00CF53BB"/>
    <w:rsid w:val="00CF5794"/>
    <w:rsid w:val="00CF57DB"/>
    <w:rsid w:val="00CF5BFD"/>
    <w:rsid w:val="00CF6DA1"/>
    <w:rsid w:val="00D0053C"/>
    <w:rsid w:val="00D01360"/>
    <w:rsid w:val="00D017B0"/>
    <w:rsid w:val="00D01B2E"/>
    <w:rsid w:val="00D01F1F"/>
    <w:rsid w:val="00D02012"/>
    <w:rsid w:val="00D024D4"/>
    <w:rsid w:val="00D0262B"/>
    <w:rsid w:val="00D0296C"/>
    <w:rsid w:val="00D02D0C"/>
    <w:rsid w:val="00D03F9F"/>
    <w:rsid w:val="00D04312"/>
    <w:rsid w:val="00D043A6"/>
    <w:rsid w:val="00D04B09"/>
    <w:rsid w:val="00D04DD5"/>
    <w:rsid w:val="00D04F43"/>
    <w:rsid w:val="00D04F76"/>
    <w:rsid w:val="00D0523B"/>
    <w:rsid w:val="00D0598D"/>
    <w:rsid w:val="00D05D28"/>
    <w:rsid w:val="00D05F5E"/>
    <w:rsid w:val="00D06176"/>
    <w:rsid w:val="00D076B2"/>
    <w:rsid w:val="00D07D99"/>
    <w:rsid w:val="00D07E8C"/>
    <w:rsid w:val="00D11104"/>
    <w:rsid w:val="00D11986"/>
    <w:rsid w:val="00D11C93"/>
    <w:rsid w:val="00D11F34"/>
    <w:rsid w:val="00D137D1"/>
    <w:rsid w:val="00D13A2B"/>
    <w:rsid w:val="00D1405E"/>
    <w:rsid w:val="00D1539A"/>
    <w:rsid w:val="00D1591C"/>
    <w:rsid w:val="00D164C1"/>
    <w:rsid w:val="00D16699"/>
    <w:rsid w:val="00D16723"/>
    <w:rsid w:val="00D17C14"/>
    <w:rsid w:val="00D203AC"/>
    <w:rsid w:val="00D2053B"/>
    <w:rsid w:val="00D207A5"/>
    <w:rsid w:val="00D211FB"/>
    <w:rsid w:val="00D21745"/>
    <w:rsid w:val="00D22CA7"/>
    <w:rsid w:val="00D22EBC"/>
    <w:rsid w:val="00D23EA7"/>
    <w:rsid w:val="00D2560E"/>
    <w:rsid w:val="00D25792"/>
    <w:rsid w:val="00D25D1B"/>
    <w:rsid w:val="00D264DA"/>
    <w:rsid w:val="00D26F7B"/>
    <w:rsid w:val="00D270A2"/>
    <w:rsid w:val="00D3096F"/>
    <w:rsid w:val="00D30D88"/>
    <w:rsid w:val="00D31781"/>
    <w:rsid w:val="00D319E0"/>
    <w:rsid w:val="00D32B29"/>
    <w:rsid w:val="00D32D6F"/>
    <w:rsid w:val="00D34179"/>
    <w:rsid w:val="00D3496C"/>
    <w:rsid w:val="00D35449"/>
    <w:rsid w:val="00D354DE"/>
    <w:rsid w:val="00D362E2"/>
    <w:rsid w:val="00D3643A"/>
    <w:rsid w:val="00D36505"/>
    <w:rsid w:val="00D36535"/>
    <w:rsid w:val="00D3654E"/>
    <w:rsid w:val="00D36691"/>
    <w:rsid w:val="00D3690B"/>
    <w:rsid w:val="00D37153"/>
    <w:rsid w:val="00D3731D"/>
    <w:rsid w:val="00D37408"/>
    <w:rsid w:val="00D3749B"/>
    <w:rsid w:val="00D37649"/>
    <w:rsid w:val="00D37B04"/>
    <w:rsid w:val="00D401AD"/>
    <w:rsid w:val="00D40655"/>
    <w:rsid w:val="00D40902"/>
    <w:rsid w:val="00D40B6C"/>
    <w:rsid w:val="00D40E31"/>
    <w:rsid w:val="00D41302"/>
    <w:rsid w:val="00D41A1F"/>
    <w:rsid w:val="00D41BF4"/>
    <w:rsid w:val="00D42996"/>
    <w:rsid w:val="00D43605"/>
    <w:rsid w:val="00D43CE7"/>
    <w:rsid w:val="00D44429"/>
    <w:rsid w:val="00D44528"/>
    <w:rsid w:val="00D44824"/>
    <w:rsid w:val="00D44FC9"/>
    <w:rsid w:val="00D453F7"/>
    <w:rsid w:val="00D46130"/>
    <w:rsid w:val="00D4631C"/>
    <w:rsid w:val="00D464FE"/>
    <w:rsid w:val="00D46713"/>
    <w:rsid w:val="00D46C4E"/>
    <w:rsid w:val="00D47564"/>
    <w:rsid w:val="00D4777F"/>
    <w:rsid w:val="00D500FE"/>
    <w:rsid w:val="00D51204"/>
    <w:rsid w:val="00D5188E"/>
    <w:rsid w:val="00D51B36"/>
    <w:rsid w:val="00D520F2"/>
    <w:rsid w:val="00D521C7"/>
    <w:rsid w:val="00D525ED"/>
    <w:rsid w:val="00D537EC"/>
    <w:rsid w:val="00D540C6"/>
    <w:rsid w:val="00D54192"/>
    <w:rsid w:val="00D54BC8"/>
    <w:rsid w:val="00D5537D"/>
    <w:rsid w:val="00D559E3"/>
    <w:rsid w:val="00D55E4D"/>
    <w:rsid w:val="00D5666C"/>
    <w:rsid w:val="00D56C0C"/>
    <w:rsid w:val="00D57A98"/>
    <w:rsid w:val="00D60276"/>
    <w:rsid w:val="00D61036"/>
    <w:rsid w:val="00D61229"/>
    <w:rsid w:val="00D612E7"/>
    <w:rsid w:val="00D61C48"/>
    <w:rsid w:val="00D61DC3"/>
    <w:rsid w:val="00D62A8F"/>
    <w:rsid w:val="00D62CAF"/>
    <w:rsid w:val="00D62CD4"/>
    <w:rsid w:val="00D64A45"/>
    <w:rsid w:val="00D64BD1"/>
    <w:rsid w:val="00D64DA8"/>
    <w:rsid w:val="00D65134"/>
    <w:rsid w:val="00D651C5"/>
    <w:rsid w:val="00D65ACC"/>
    <w:rsid w:val="00D65E29"/>
    <w:rsid w:val="00D65F1D"/>
    <w:rsid w:val="00D665FC"/>
    <w:rsid w:val="00D66928"/>
    <w:rsid w:val="00D66D0C"/>
    <w:rsid w:val="00D670E0"/>
    <w:rsid w:val="00D67227"/>
    <w:rsid w:val="00D67CF1"/>
    <w:rsid w:val="00D7047F"/>
    <w:rsid w:val="00D718C3"/>
    <w:rsid w:val="00D722D0"/>
    <w:rsid w:val="00D72F86"/>
    <w:rsid w:val="00D7482D"/>
    <w:rsid w:val="00D752B7"/>
    <w:rsid w:val="00D755BA"/>
    <w:rsid w:val="00D76479"/>
    <w:rsid w:val="00D77151"/>
    <w:rsid w:val="00D77912"/>
    <w:rsid w:val="00D77C41"/>
    <w:rsid w:val="00D77D8E"/>
    <w:rsid w:val="00D80429"/>
    <w:rsid w:val="00D80FFC"/>
    <w:rsid w:val="00D816D0"/>
    <w:rsid w:val="00D81B38"/>
    <w:rsid w:val="00D81B50"/>
    <w:rsid w:val="00D81E6A"/>
    <w:rsid w:val="00D84B7B"/>
    <w:rsid w:val="00D85891"/>
    <w:rsid w:val="00D858D7"/>
    <w:rsid w:val="00D85AC3"/>
    <w:rsid w:val="00D86048"/>
    <w:rsid w:val="00D87B90"/>
    <w:rsid w:val="00D900C7"/>
    <w:rsid w:val="00D903D9"/>
    <w:rsid w:val="00D9049C"/>
    <w:rsid w:val="00D90A88"/>
    <w:rsid w:val="00D91051"/>
    <w:rsid w:val="00D9211D"/>
    <w:rsid w:val="00D92254"/>
    <w:rsid w:val="00D9417C"/>
    <w:rsid w:val="00D94243"/>
    <w:rsid w:val="00D94A2C"/>
    <w:rsid w:val="00D94DC8"/>
    <w:rsid w:val="00D9527C"/>
    <w:rsid w:val="00D952A5"/>
    <w:rsid w:val="00D95449"/>
    <w:rsid w:val="00D96115"/>
    <w:rsid w:val="00D961C1"/>
    <w:rsid w:val="00D96E17"/>
    <w:rsid w:val="00D978D9"/>
    <w:rsid w:val="00D979A0"/>
    <w:rsid w:val="00D97CBD"/>
    <w:rsid w:val="00DA0CA3"/>
    <w:rsid w:val="00DA0FD1"/>
    <w:rsid w:val="00DA1116"/>
    <w:rsid w:val="00DA2784"/>
    <w:rsid w:val="00DA48EE"/>
    <w:rsid w:val="00DA4B3B"/>
    <w:rsid w:val="00DA51EC"/>
    <w:rsid w:val="00DA55DE"/>
    <w:rsid w:val="00DA597C"/>
    <w:rsid w:val="00DA68A9"/>
    <w:rsid w:val="00DA6D28"/>
    <w:rsid w:val="00DA6E2C"/>
    <w:rsid w:val="00DA6FE1"/>
    <w:rsid w:val="00DA7194"/>
    <w:rsid w:val="00DA7B3C"/>
    <w:rsid w:val="00DB068B"/>
    <w:rsid w:val="00DB1336"/>
    <w:rsid w:val="00DB175B"/>
    <w:rsid w:val="00DB1943"/>
    <w:rsid w:val="00DB1B17"/>
    <w:rsid w:val="00DB27AB"/>
    <w:rsid w:val="00DB2B6C"/>
    <w:rsid w:val="00DB3181"/>
    <w:rsid w:val="00DB3717"/>
    <w:rsid w:val="00DB3C73"/>
    <w:rsid w:val="00DB4277"/>
    <w:rsid w:val="00DB4830"/>
    <w:rsid w:val="00DB4AC8"/>
    <w:rsid w:val="00DB528A"/>
    <w:rsid w:val="00DB54AF"/>
    <w:rsid w:val="00DB62D4"/>
    <w:rsid w:val="00DB641B"/>
    <w:rsid w:val="00DB6527"/>
    <w:rsid w:val="00DB66F4"/>
    <w:rsid w:val="00DB6ABB"/>
    <w:rsid w:val="00DB6DFF"/>
    <w:rsid w:val="00DB7427"/>
    <w:rsid w:val="00DC04C9"/>
    <w:rsid w:val="00DC169A"/>
    <w:rsid w:val="00DC1E71"/>
    <w:rsid w:val="00DC250C"/>
    <w:rsid w:val="00DC25C7"/>
    <w:rsid w:val="00DC2892"/>
    <w:rsid w:val="00DC2EAC"/>
    <w:rsid w:val="00DC3409"/>
    <w:rsid w:val="00DC3856"/>
    <w:rsid w:val="00DC4FC9"/>
    <w:rsid w:val="00DC5D81"/>
    <w:rsid w:val="00DC6157"/>
    <w:rsid w:val="00DC641F"/>
    <w:rsid w:val="00DD07EA"/>
    <w:rsid w:val="00DD0D49"/>
    <w:rsid w:val="00DD1537"/>
    <w:rsid w:val="00DD1873"/>
    <w:rsid w:val="00DD1B07"/>
    <w:rsid w:val="00DD294B"/>
    <w:rsid w:val="00DD31CE"/>
    <w:rsid w:val="00DD3321"/>
    <w:rsid w:val="00DD3780"/>
    <w:rsid w:val="00DD5703"/>
    <w:rsid w:val="00DD5783"/>
    <w:rsid w:val="00DD6408"/>
    <w:rsid w:val="00DD7B8D"/>
    <w:rsid w:val="00DD7E03"/>
    <w:rsid w:val="00DE009B"/>
    <w:rsid w:val="00DE084C"/>
    <w:rsid w:val="00DE1112"/>
    <w:rsid w:val="00DE125A"/>
    <w:rsid w:val="00DE14FD"/>
    <w:rsid w:val="00DE19E7"/>
    <w:rsid w:val="00DE1A69"/>
    <w:rsid w:val="00DE21FE"/>
    <w:rsid w:val="00DE2AB6"/>
    <w:rsid w:val="00DE2CCA"/>
    <w:rsid w:val="00DE42FE"/>
    <w:rsid w:val="00DE4BA8"/>
    <w:rsid w:val="00DE4F95"/>
    <w:rsid w:val="00DE591B"/>
    <w:rsid w:val="00DE667D"/>
    <w:rsid w:val="00DE6B0B"/>
    <w:rsid w:val="00DE6CA2"/>
    <w:rsid w:val="00DE6FA5"/>
    <w:rsid w:val="00DE7307"/>
    <w:rsid w:val="00DE7499"/>
    <w:rsid w:val="00DE7801"/>
    <w:rsid w:val="00DE79A9"/>
    <w:rsid w:val="00DF0130"/>
    <w:rsid w:val="00DF0EA9"/>
    <w:rsid w:val="00DF28D1"/>
    <w:rsid w:val="00DF423F"/>
    <w:rsid w:val="00DF4552"/>
    <w:rsid w:val="00DF5626"/>
    <w:rsid w:val="00DF5802"/>
    <w:rsid w:val="00DF597D"/>
    <w:rsid w:val="00DF621A"/>
    <w:rsid w:val="00DF6436"/>
    <w:rsid w:val="00DF70AF"/>
    <w:rsid w:val="00DF724E"/>
    <w:rsid w:val="00DF737F"/>
    <w:rsid w:val="00DF7F8D"/>
    <w:rsid w:val="00DF7F9D"/>
    <w:rsid w:val="00E00130"/>
    <w:rsid w:val="00E006AC"/>
    <w:rsid w:val="00E01171"/>
    <w:rsid w:val="00E015AF"/>
    <w:rsid w:val="00E017C7"/>
    <w:rsid w:val="00E0274B"/>
    <w:rsid w:val="00E03674"/>
    <w:rsid w:val="00E03880"/>
    <w:rsid w:val="00E047F3"/>
    <w:rsid w:val="00E0494D"/>
    <w:rsid w:val="00E04B3D"/>
    <w:rsid w:val="00E0574D"/>
    <w:rsid w:val="00E0683D"/>
    <w:rsid w:val="00E06DE7"/>
    <w:rsid w:val="00E07528"/>
    <w:rsid w:val="00E104CA"/>
    <w:rsid w:val="00E10B51"/>
    <w:rsid w:val="00E11417"/>
    <w:rsid w:val="00E11546"/>
    <w:rsid w:val="00E117AD"/>
    <w:rsid w:val="00E1195C"/>
    <w:rsid w:val="00E11D14"/>
    <w:rsid w:val="00E132A2"/>
    <w:rsid w:val="00E14E3B"/>
    <w:rsid w:val="00E14F51"/>
    <w:rsid w:val="00E1547F"/>
    <w:rsid w:val="00E15985"/>
    <w:rsid w:val="00E15A8E"/>
    <w:rsid w:val="00E15B2C"/>
    <w:rsid w:val="00E15C90"/>
    <w:rsid w:val="00E15F84"/>
    <w:rsid w:val="00E15FB1"/>
    <w:rsid w:val="00E1600A"/>
    <w:rsid w:val="00E16034"/>
    <w:rsid w:val="00E16529"/>
    <w:rsid w:val="00E165C1"/>
    <w:rsid w:val="00E167CD"/>
    <w:rsid w:val="00E167F0"/>
    <w:rsid w:val="00E169DB"/>
    <w:rsid w:val="00E17256"/>
    <w:rsid w:val="00E17853"/>
    <w:rsid w:val="00E17B02"/>
    <w:rsid w:val="00E17B44"/>
    <w:rsid w:val="00E17BAC"/>
    <w:rsid w:val="00E20866"/>
    <w:rsid w:val="00E208A7"/>
    <w:rsid w:val="00E21604"/>
    <w:rsid w:val="00E218DF"/>
    <w:rsid w:val="00E21931"/>
    <w:rsid w:val="00E21C36"/>
    <w:rsid w:val="00E225B7"/>
    <w:rsid w:val="00E22840"/>
    <w:rsid w:val="00E22EE8"/>
    <w:rsid w:val="00E2340D"/>
    <w:rsid w:val="00E23D96"/>
    <w:rsid w:val="00E24627"/>
    <w:rsid w:val="00E26A3E"/>
    <w:rsid w:val="00E26D2F"/>
    <w:rsid w:val="00E2710F"/>
    <w:rsid w:val="00E271E0"/>
    <w:rsid w:val="00E2738F"/>
    <w:rsid w:val="00E303A4"/>
    <w:rsid w:val="00E3137E"/>
    <w:rsid w:val="00E31601"/>
    <w:rsid w:val="00E31D3E"/>
    <w:rsid w:val="00E32B31"/>
    <w:rsid w:val="00E32D92"/>
    <w:rsid w:val="00E32E0B"/>
    <w:rsid w:val="00E33A35"/>
    <w:rsid w:val="00E3473A"/>
    <w:rsid w:val="00E348F8"/>
    <w:rsid w:val="00E34CCA"/>
    <w:rsid w:val="00E356C9"/>
    <w:rsid w:val="00E357B7"/>
    <w:rsid w:val="00E35844"/>
    <w:rsid w:val="00E35E2A"/>
    <w:rsid w:val="00E366BA"/>
    <w:rsid w:val="00E36A58"/>
    <w:rsid w:val="00E37F83"/>
    <w:rsid w:val="00E402D5"/>
    <w:rsid w:val="00E40917"/>
    <w:rsid w:val="00E40AB3"/>
    <w:rsid w:val="00E40C5E"/>
    <w:rsid w:val="00E4130E"/>
    <w:rsid w:val="00E42281"/>
    <w:rsid w:val="00E4308C"/>
    <w:rsid w:val="00E4367A"/>
    <w:rsid w:val="00E438E0"/>
    <w:rsid w:val="00E44BD9"/>
    <w:rsid w:val="00E45778"/>
    <w:rsid w:val="00E45AA2"/>
    <w:rsid w:val="00E45AA9"/>
    <w:rsid w:val="00E45B4F"/>
    <w:rsid w:val="00E460AD"/>
    <w:rsid w:val="00E47473"/>
    <w:rsid w:val="00E5124B"/>
    <w:rsid w:val="00E5140D"/>
    <w:rsid w:val="00E5178D"/>
    <w:rsid w:val="00E51DF2"/>
    <w:rsid w:val="00E5261C"/>
    <w:rsid w:val="00E526A3"/>
    <w:rsid w:val="00E52F30"/>
    <w:rsid w:val="00E53345"/>
    <w:rsid w:val="00E53800"/>
    <w:rsid w:val="00E53903"/>
    <w:rsid w:val="00E53B41"/>
    <w:rsid w:val="00E53DE5"/>
    <w:rsid w:val="00E542BE"/>
    <w:rsid w:val="00E5455C"/>
    <w:rsid w:val="00E545D5"/>
    <w:rsid w:val="00E54789"/>
    <w:rsid w:val="00E54C3A"/>
    <w:rsid w:val="00E55105"/>
    <w:rsid w:val="00E55239"/>
    <w:rsid w:val="00E5558C"/>
    <w:rsid w:val="00E55E31"/>
    <w:rsid w:val="00E5683B"/>
    <w:rsid w:val="00E56B49"/>
    <w:rsid w:val="00E6081F"/>
    <w:rsid w:val="00E61042"/>
    <w:rsid w:val="00E626F7"/>
    <w:rsid w:val="00E62CCC"/>
    <w:rsid w:val="00E62E1F"/>
    <w:rsid w:val="00E64438"/>
    <w:rsid w:val="00E64C5A"/>
    <w:rsid w:val="00E65A9F"/>
    <w:rsid w:val="00E65F40"/>
    <w:rsid w:val="00E66A2A"/>
    <w:rsid w:val="00E66C8B"/>
    <w:rsid w:val="00E66CB6"/>
    <w:rsid w:val="00E66F0D"/>
    <w:rsid w:val="00E6729D"/>
    <w:rsid w:val="00E67BE5"/>
    <w:rsid w:val="00E67EEB"/>
    <w:rsid w:val="00E70303"/>
    <w:rsid w:val="00E703FB"/>
    <w:rsid w:val="00E70A69"/>
    <w:rsid w:val="00E70DF4"/>
    <w:rsid w:val="00E70FF9"/>
    <w:rsid w:val="00E715E8"/>
    <w:rsid w:val="00E73428"/>
    <w:rsid w:val="00E73FBD"/>
    <w:rsid w:val="00E74582"/>
    <w:rsid w:val="00E74C6E"/>
    <w:rsid w:val="00E752D1"/>
    <w:rsid w:val="00E75A0F"/>
    <w:rsid w:val="00E76DD4"/>
    <w:rsid w:val="00E77092"/>
    <w:rsid w:val="00E77742"/>
    <w:rsid w:val="00E7790E"/>
    <w:rsid w:val="00E77979"/>
    <w:rsid w:val="00E77EDC"/>
    <w:rsid w:val="00E80139"/>
    <w:rsid w:val="00E80743"/>
    <w:rsid w:val="00E80D56"/>
    <w:rsid w:val="00E80E98"/>
    <w:rsid w:val="00E818E6"/>
    <w:rsid w:val="00E8296D"/>
    <w:rsid w:val="00E82DDE"/>
    <w:rsid w:val="00E82E47"/>
    <w:rsid w:val="00E84229"/>
    <w:rsid w:val="00E8457B"/>
    <w:rsid w:val="00E846CF"/>
    <w:rsid w:val="00E84E67"/>
    <w:rsid w:val="00E8531C"/>
    <w:rsid w:val="00E854E9"/>
    <w:rsid w:val="00E858B4"/>
    <w:rsid w:val="00E85AB6"/>
    <w:rsid w:val="00E8704F"/>
    <w:rsid w:val="00E87111"/>
    <w:rsid w:val="00E871F4"/>
    <w:rsid w:val="00E87672"/>
    <w:rsid w:val="00E907FA"/>
    <w:rsid w:val="00E910CD"/>
    <w:rsid w:val="00E91A2D"/>
    <w:rsid w:val="00E91C5D"/>
    <w:rsid w:val="00E9209F"/>
    <w:rsid w:val="00E92608"/>
    <w:rsid w:val="00E934C8"/>
    <w:rsid w:val="00E93A94"/>
    <w:rsid w:val="00E94595"/>
    <w:rsid w:val="00E94D05"/>
    <w:rsid w:val="00E94E34"/>
    <w:rsid w:val="00E96273"/>
    <w:rsid w:val="00E96383"/>
    <w:rsid w:val="00E964B6"/>
    <w:rsid w:val="00E96C88"/>
    <w:rsid w:val="00E97130"/>
    <w:rsid w:val="00E97391"/>
    <w:rsid w:val="00E97A8F"/>
    <w:rsid w:val="00E97B29"/>
    <w:rsid w:val="00EA04B2"/>
    <w:rsid w:val="00EA0EBD"/>
    <w:rsid w:val="00EA139F"/>
    <w:rsid w:val="00EA1E53"/>
    <w:rsid w:val="00EA20F3"/>
    <w:rsid w:val="00EA2485"/>
    <w:rsid w:val="00EA2827"/>
    <w:rsid w:val="00EA2FB3"/>
    <w:rsid w:val="00EA3047"/>
    <w:rsid w:val="00EA30E0"/>
    <w:rsid w:val="00EA3414"/>
    <w:rsid w:val="00EA489C"/>
    <w:rsid w:val="00EA497A"/>
    <w:rsid w:val="00EA676F"/>
    <w:rsid w:val="00EA67F6"/>
    <w:rsid w:val="00EA6C8C"/>
    <w:rsid w:val="00EA7820"/>
    <w:rsid w:val="00EB0012"/>
    <w:rsid w:val="00EB00DA"/>
    <w:rsid w:val="00EB0579"/>
    <w:rsid w:val="00EB1566"/>
    <w:rsid w:val="00EB4068"/>
    <w:rsid w:val="00EB4A47"/>
    <w:rsid w:val="00EB58B8"/>
    <w:rsid w:val="00EB63AA"/>
    <w:rsid w:val="00EB6B5E"/>
    <w:rsid w:val="00EB6DD2"/>
    <w:rsid w:val="00EB6E9F"/>
    <w:rsid w:val="00EC0686"/>
    <w:rsid w:val="00EC0930"/>
    <w:rsid w:val="00EC20FD"/>
    <w:rsid w:val="00EC2929"/>
    <w:rsid w:val="00EC2C5E"/>
    <w:rsid w:val="00EC2F14"/>
    <w:rsid w:val="00EC332F"/>
    <w:rsid w:val="00EC33A4"/>
    <w:rsid w:val="00EC3449"/>
    <w:rsid w:val="00EC3B43"/>
    <w:rsid w:val="00EC3E31"/>
    <w:rsid w:val="00EC403A"/>
    <w:rsid w:val="00EC455D"/>
    <w:rsid w:val="00EC4AA4"/>
    <w:rsid w:val="00EC4B84"/>
    <w:rsid w:val="00EC5460"/>
    <w:rsid w:val="00EC6E5F"/>
    <w:rsid w:val="00EC7038"/>
    <w:rsid w:val="00EC7528"/>
    <w:rsid w:val="00EC778B"/>
    <w:rsid w:val="00EC77C7"/>
    <w:rsid w:val="00EC7BEB"/>
    <w:rsid w:val="00EC7ED6"/>
    <w:rsid w:val="00ED014D"/>
    <w:rsid w:val="00ED054A"/>
    <w:rsid w:val="00ED0679"/>
    <w:rsid w:val="00ED0C29"/>
    <w:rsid w:val="00ED10DC"/>
    <w:rsid w:val="00ED1BE2"/>
    <w:rsid w:val="00ED1E40"/>
    <w:rsid w:val="00ED2831"/>
    <w:rsid w:val="00ED30D7"/>
    <w:rsid w:val="00ED31AF"/>
    <w:rsid w:val="00ED3242"/>
    <w:rsid w:val="00ED34FA"/>
    <w:rsid w:val="00ED3BA0"/>
    <w:rsid w:val="00ED4377"/>
    <w:rsid w:val="00ED43D1"/>
    <w:rsid w:val="00ED4447"/>
    <w:rsid w:val="00ED4C8F"/>
    <w:rsid w:val="00ED5365"/>
    <w:rsid w:val="00ED60F5"/>
    <w:rsid w:val="00ED69BF"/>
    <w:rsid w:val="00ED6A14"/>
    <w:rsid w:val="00ED6A70"/>
    <w:rsid w:val="00ED6B87"/>
    <w:rsid w:val="00ED6C15"/>
    <w:rsid w:val="00EE06D5"/>
    <w:rsid w:val="00EE0BA3"/>
    <w:rsid w:val="00EE15AE"/>
    <w:rsid w:val="00EE21F5"/>
    <w:rsid w:val="00EE25F4"/>
    <w:rsid w:val="00EE29F3"/>
    <w:rsid w:val="00EE3213"/>
    <w:rsid w:val="00EE3B43"/>
    <w:rsid w:val="00EE3C2F"/>
    <w:rsid w:val="00EE437E"/>
    <w:rsid w:val="00EE44CC"/>
    <w:rsid w:val="00EE4EE1"/>
    <w:rsid w:val="00EE4EE8"/>
    <w:rsid w:val="00EE506E"/>
    <w:rsid w:val="00EE520E"/>
    <w:rsid w:val="00EE686D"/>
    <w:rsid w:val="00EE6A0E"/>
    <w:rsid w:val="00EE6E4E"/>
    <w:rsid w:val="00EE7204"/>
    <w:rsid w:val="00EE72D8"/>
    <w:rsid w:val="00EE7BF9"/>
    <w:rsid w:val="00EE7E76"/>
    <w:rsid w:val="00EF039E"/>
    <w:rsid w:val="00EF16F1"/>
    <w:rsid w:val="00EF20DD"/>
    <w:rsid w:val="00EF2ACF"/>
    <w:rsid w:val="00EF320B"/>
    <w:rsid w:val="00EF3261"/>
    <w:rsid w:val="00EF34EE"/>
    <w:rsid w:val="00EF38C3"/>
    <w:rsid w:val="00EF3FF6"/>
    <w:rsid w:val="00EF4574"/>
    <w:rsid w:val="00EF471F"/>
    <w:rsid w:val="00EF47AB"/>
    <w:rsid w:val="00EF4AE2"/>
    <w:rsid w:val="00EF5FB3"/>
    <w:rsid w:val="00EF68CA"/>
    <w:rsid w:val="00EF6ED0"/>
    <w:rsid w:val="00EF6F8C"/>
    <w:rsid w:val="00EF74B4"/>
    <w:rsid w:val="00EF7AC9"/>
    <w:rsid w:val="00EF7FB9"/>
    <w:rsid w:val="00F00A18"/>
    <w:rsid w:val="00F00EEB"/>
    <w:rsid w:val="00F00F3A"/>
    <w:rsid w:val="00F0125B"/>
    <w:rsid w:val="00F020FB"/>
    <w:rsid w:val="00F029C8"/>
    <w:rsid w:val="00F034D6"/>
    <w:rsid w:val="00F04C86"/>
    <w:rsid w:val="00F04EC4"/>
    <w:rsid w:val="00F0546A"/>
    <w:rsid w:val="00F05792"/>
    <w:rsid w:val="00F057DD"/>
    <w:rsid w:val="00F05B40"/>
    <w:rsid w:val="00F05D9A"/>
    <w:rsid w:val="00F06495"/>
    <w:rsid w:val="00F07401"/>
    <w:rsid w:val="00F07BEE"/>
    <w:rsid w:val="00F1002B"/>
    <w:rsid w:val="00F1012B"/>
    <w:rsid w:val="00F10309"/>
    <w:rsid w:val="00F10E8A"/>
    <w:rsid w:val="00F11535"/>
    <w:rsid w:val="00F116F1"/>
    <w:rsid w:val="00F11FF5"/>
    <w:rsid w:val="00F122E5"/>
    <w:rsid w:val="00F12C68"/>
    <w:rsid w:val="00F12FF4"/>
    <w:rsid w:val="00F136C4"/>
    <w:rsid w:val="00F13AC6"/>
    <w:rsid w:val="00F13E60"/>
    <w:rsid w:val="00F1436F"/>
    <w:rsid w:val="00F145F5"/>
    <w:rsid w:val="00F150FB"/>
    <w:rsid w:val="00F157BC"/>
    <w:rsid w:val="00F172B7"/>
    <w:rsid w:val="00F20508"/>
    <w:rsid w:val="00F20665"/>
    <w:rsid w:val="00F212D2"/>
    <w:rsid w:val="00F2320C"/>
    <w:rsid w:val="00F24238"/>
    <w:rsid w:val="00F246D5"/>
    <w:rsid w:val="00F2477F"/>
    <w:rsid w:val="00F248B3"/>
    <w:rsid w:val="00F24E01"/>
    <w:rsid w:val="00F24FF4"/>
    <w:rsid w:val="00F25494"/>
    <w:rsid w:val="00F25A93"/>
    <w:rsid w:val="00F25F65"/>
    <w:rsid w:val="00F26128"/>
    <w:rsid w:val="00F263B4"/>
    <w:rsid w:val="00F2684E"/>
    <w:rsid w:val="00F26D11"/>
    <w:rsid w:val="00F27C47"/>
    <w:rsid w:val="00F317F6"/>
    <w:rsid w:val="00F318AD"/>
    <w:rsid w:val="00F32201"/>
    <w:rsid w:val="00F325A3"/>
    <w:rsid w:val="00F328DA"/>
    <w:rsid w:val="00F32F4F"/>
    <w:rsid w:val="00F33138"/>
    <w:rsid w:val="00F33578"/>
    <w:rsid w:val="00F33580"/>
    <w:rsid w:val="00F33EB5"/>
    <w:rsid w:val="00F34229"/>
    <w:rsid w:val="00F342C8"/>
    <w:rsid w:val="00F343AA"/>
    <w:rsid w:val="00F3479A"/>
    <w:rsid w:val="00F34B4C"/>
    <w:rsid w:val="00F35EDE"/>
    <w:rsid w:val="00F36391"/>
    <w:rsid w:val="00F36FFC"/>
    <w:rsid w:val="00F37396"/>
    <w:rsid w:val="00F37783"/>
    <w:rsid w:val="00F37873"/>
    <w:rsid w:val="00F40AD6"/>
    <w:rsid w:val="00F40D75"/>
    <w:rsid w:val="00F40DCB"/>
    <w:rsid w:val="00F41455"/>
    <w:rsid w:val="00F4186E"/>
    <w:rsid w:val="00F427E9"/>
    <w:rsid w:val="00F42819"/>
    <w:rsid w:val="00F43F65"/>
    <w:rsid w:val="00F443FD"/>
    <w:rsid w:val="00F44628"/>
    <w:rsid w:val="00F44C87"/>
    <w:rsid w:val="00F45873"/>
    <w:rsid w:val="00F4597C"/>
    <w:rsid w:val="00F45C53"/>
    <w:rsid w:val="00F465B3"/>
    <w:rsid w:val="00F46FF8"/>
    <w:rsid w:val="00F47AD3"/>
    <w:rsid w:val="00F506FB"/>
    <w:rsid w:val="00F507B0"/>
    <w:rsid w:val="00F51500"/>
    <w:rsid w:val="00F51E9C"/>
    <w:rsid w:val="00F5203C"/>
    <w:rsid w:val="00F522F9"/>
    <w:rsid w:val="00F524BF"/>
    <w:rsid w:val="00F52584"/>
    <w:rsid w:val="00F52B35"/>
    <w:rsid w:val="00F53674"/>
    <w:rsid w:val="00F53B5B"/>
    <w:rsid w:val="00F5404C"/>
    <w:rsid w:val="00F54497"/>
    <w:rsid w:val="00F55607"/>
    <w:rsid w:val="00F55891"/>
    <w:rsid w:val="00F56B4A"/>
    <w:rsid w:val="00F56C8E"/>
    <w:rsid w:val="00F56F51"/>
    <w:rsid w:val="00F57F8D"/>
    <w:rsid w:val="00F60679"/>
    <w:rsid w:val="00F606BC"/>
    <w:rsid w:val="00F60CFE"/>
    <w:rsid w:val="00F615FE"/>
    <w:rsid w:val="00F62D0E"/>
    <w:rsid w:val="00F6356B"/>
    <w:rsid w:val="00F652E1"/>
    <w:rsid w:val="00F65D08"/>
    <w:rsid w:val="00F661B9"/>
    <w:rsid w:val="00F66C54"/>
    <w:rsid w:val="00F6784C"/>
    <w:rsid w:val="00F67B49"/>
    <w:rsid w:val="00F67D97"/>
    <w:rsid w:val="00F71023"/>
    <w:rsid w:val="00F71769"/>
    <w:rsid w:val="00F717D1"/>
    <w:rsid w:val="00F722E4"/>
    <w:rsid w:val="00F729EF"/>
    <w:rsid w:val="00F73D5E"/>
    <w:rsid w:val="00F73F6E"/>
    <w:rsid w:val="00F73FA2"/>
    <w:rsid w:val="00F744A2"/>
    <w:rsid w:val="00F75DE1"/>
    <w:rsid w:val="00F764EB"/>
    <w:rsid w:val="00F765DE"/>
    <w:rsid w:val="00F76B12"/>
    <w:rsid w:val="00F76C39"/>
    <w:rsid w:val="00F76DDC"/>
    <w:rsid w:val="00F77AAA"/>
    <w:rsid w:val="00F77CAE"/>
    <w:rsid w:val="00F77EB7"/>
    <w:rsid w:val="00F80991"/>
    <w:rsid w:val="00F814FD"/>
    <w:rsid w:val="00F81A0A"/>
    <w:rsid w:val="00F820CC"/>
    <w:rsid w:val="00F82271"/>
    <w:rsid w:val="00F82ACF"/>
    <w:rsid w:val="00F82C31"/>
    <w:rsid w:val="00F83267"/>
    <w:rsid w:val="00F83350"/>
    <w:rsid w:val="00F83428"/>
    <w:rsid w:val="00F8495A"/>
    <w:rsid w:val="00F849BF"/>
    <w:rsid w:val="00F853F4"/>
    <w:rsid w:val="00F858B2"/>
    <w:rsid w:val="00F863F9"/>
    <w:rsid w:val="00F86445"/>
    <w:rsid w:val="00F865FA"/>
    <w:rsid w:val="00F86F94"/>
    <w:rsid w:val="00F877CE"/>
    <w:rsid w:val="00F90319"/>
    <w:rsid w:val="00F9059B"/>
    <w:rsid w:val="00F906CB"/>
    <w:rsid w:val="00F90E72"/>
    <w:rsid w:val="00F91D61"/>
    <w:rsid w:val="00F92BF1"/>
    <w:rsid w:val="00F92FDB"/>
    <w:rsid w:val="00F9349D"/>
    <w:rsid w:val="00F934C8"/>
    <w:rsid w:val="00F93ABE"/>
    <w:rsid w:val="00F9414E"/>
    <w:rsid w:val="00F9498A"/>
    <w:rsid w:val="00F952D9"/>
    <w:rsid w:val="00F957B3"/>
    <w:rsid w:val="00F96136"/>
    <w:rsid w:val="00F96476"/>
    <w:rsid w:val="00F96BB9"/>
    <w:rsid w:val="00F96EDA"/>
    <w:rsid w:val="00F9779B"/>
    <w:rsid w:val="00F97EF2"/>
    <w:rsid w:val="00F97F4A"/>
    <w:rsid w:val="00FA0847"/>
    <w:rsid w:val="00FA2071"/>
    <w:rsid w:val="00FA2180"/>
    <w:rsid w:val="00FA273D"/>
    <w:rsid w:val="00FA2D0B"/>
    <w:rsid w:val="00FA404D"/>
    <w:rsid w:val="00FA4B65"/>
    <w:rsid w:val="00FA52F5"/>
    <w:rsid w:val="00FA5551"/>
    <w:rsid w:val="00FA729A"/>
    <w:rsid w:val="00FB02EE"/>
    <w:rsid w:val="00FB03DB"/>
    <w:rsid w:val="00FB047F"/>
    <w:rsid w:val="00FB051D"/>
    <w:rsid w:val="00FB0AAF"/>
    <w:rsid w:val="00FB0AE4"/>
    <w:rsid w:val="00FB15B3"/>
    <w:rsid w:val="00FB52E2"/>
    <w:rsid w:val="00FB5984"/>
    <w:rsid w:val="00FB5DFF"/>
    <w:rsid w:val="00FB6BAF"/>
    <w:rsid w:val="00FB71BE"/>
    <w:rsid w:val="00FB797C"/>
    <w:rsid w:val="00FB7AD9"/>
    <w:rsid w:val="00FB7D9D"/>
    <w:rsid w:val="00FB7E11"/>
    <w:rsid w:val="00FC0ADE"/>
    <w:rsid w:val="00FC122A"/>
    <w:rsid w:val="00FC1247"/>
    <w:rsid w:val="00FC1805"/>
    <w:rsid w:val="00FC1827"/>
    <w:rsid w:val="00FC211C"/>
    <w:rsid w:val="00FC21E2"/>
    <w:rsid w:val="00FC2970"/>
    <w:rsid w:val="00FC29B0"/>
    <w:rsid w:val="00FC2DBC"/>
    <w:rsid w:val="00FC2EF1"/>
    <w:rsid w:val="00FC303F"/>
    <w:rsid w:val="00FC322F"/>
    <w:rsid w:val="00FC32B0"/>
    <w:rsid w:val="00FC3685"/>
    <w:rsid w:val="00FC3BF6"/>
    <w:rsid w:val="00FC462B"/>
    <w:rsid w:val="00FC525E"/>
    <w:rsid w:val="00FC55FB"/>
    <w:rsid w:val="00FC5BC5"/>
    <w:rsid w:val="00FC5E52"/>
    <w:rsid w:val="00FC5E84"/>
    <w:rsid w:val="00FC5FEF"/>
    <w:rsid w:val="00FC60F0"/>
    <w:rsid w:val="00FC710C"/>
    <w:rsid w:val="00FC71A5"/>
    <w:rsid w:val="00FC7EBE"/>
    <w:rsid w:val="00FD00FE"/>
    <w:rsid w:val="00FD03CA"/>
    <w:rsid w:val="00FD071A"/>
    <w:rsid w:val="00FD0EFF"/>
    <w:rsid w:val="00FD1313"/>
    <w:rsid w:val="00FD1DA2"/>
    <w:rsid w:val="00FD20E0"/>
    <w:rsid w:val="00FD22C2"/>
    <w:rsid w:val="00FD24B7"/>
    <w:rsid w:val="00FD2966"/>
    <w:rsid w:val="00FD3C72"/>
    <w:rsid w:val="00FD40EB"/>
    <w:rsid w:val="00FD4137"/>
    <w:rsid w:val="00FD41D2"/>
    <w:rsid w:val="00FD427D"/>
    <w:rsid w:val="00FD4487"/>
    <w:rsid w:val="00FD4D54"/>
    <w:rsid w:val="00FD5BAB"/>
    <w:rsid w:val="00FD5DC1"/>
    <w:rsid w:val="00FD6D9B"/>
    <w:rsid w:val="00FD7B4B"/>
    <w:rsid w:val="00FD7E77"/>
    <w:rsid w:val="00FE0C4D"/>
    <w:rsid w:val="00FE1895"/>
    <w:rsid w:val="00FE1B8B"/>
    <w:rsid w:val="00FE1E71"/>
    <w:rsid w:val="00FE278D"/>
    <w:rsid w:val="00FE3666"/>
    <w:rsid w:val="00FE3F7F"/>
    <w:rsid w:val="00FE42B2"/>
    <w:rsid w:val="00FE4548"/>
    <w:rsid w:val="00FE459C"/>
    <w:rsid w:val="00FE4727"/>
    <w:rsid w:val="00FE4F3F"/>
    <w:rsid w:val="00FE5898"/>
    <w:rsid w:val="00FE66C4"/>
    <w:rsid w:val="00FE66E9"/>
    <w:rsid w:val="00FE6986"/>
    <w:rsid w:val="00FE6D02"/>
    <w:rsid w:val="00FE6D51"/>
    <w:rsid w:val="00FE6F2A"/>
    <w:rsid w:val="00FE72EE"/>
    <w:rsid w:val="00FE760F"/>
    <w:rsid w:val="00FE78C2"/>
    <w:rsid w:val="00FE7950"/>
    <w:rsid w:val="00FF1D99"/>
    <w:rsid w:val="00FF1F6F"/>
    <w:rsid w:val="00FF2114"/>
    <w:rsid w:val="00FF2CA3"/>
    <w:rsid w:val="00FF3370"/>
    <w:rsid w:val="00FF37EC"/>
    <w:rsid w:val="00FF3DA6"/>
    <w:rsid w:val="00FF3DA9"/>
    <w:rsid w:val="00FF414D"/>
    <w:rsid w:val="00FF466E"/>
    <w:rsid w:val="00FF4CC0"/>
    <w:rsid w:val="00FF50E4"/>
    <w:rsid w:val="00FF554B"/>
    <w:rsid w:val="00FF5D7F"/>
    <w:rsid w:val="00FF62A0"/>
    <w:rsid w:val="00FF6473"/>
    <w:rsid w:val="00FF6555"/>
    <w:rsid w:val="00FF7684"/>
    <w:rsid w:val="00FF7FFC"/>
    <w:rsid w:val="01E9F4AF"/>
    <w:rsid w:val="03088502"/>
    <w:rsid w:val="032CF180"/>
    <w:rsid w:val="03A0E8F5"/>
    <w:rsid w:val="0420E6B4"/>
    <w:rsid w:val="0447EAAD"/>
    <w:rsid w:val="04539396"/>
    <w:rsid w:val="04B01EAD"/>
    <w:rsid w:val="04B05658"/>
    <w:rsid w:val="04C95F20"/>
    <w:rsid w:val="050D271F"/>
    <w:rsid w:val="0520B6FE"/>
    <w:rsid w:val="05395F8B"/>
    <w:rsid w:val="0596A4C3"/>
    <w:rsid w:val="05F8BF23"/>
    <w:rsid w:val="0720FA79"/>
    <w:rsid w:val="072B2011"/>
    <w:rsid w:val="07F2293C"/>
    <w:rsid w:val="085CBB19"/>
    <w:rsid w:val="094CF1D8"/>
    <w:rsid w:val="0961C31C"/>
    <w:rsid w:val="09C30497"/>
    <w:rsid w:val="0A2482F2"/>
    <w:rsid w:val="0A3FEA82"/>
    <w:rsid w:val="0A6B9A2B"/>
    <w:rsid w:val="0A8D00CD"/>
    <w:rsid w:val="0A8E1693"/>
    <w:rsid w:val="0ABD4DB3"/>
    <w:rsid w:val="0B9D0237"/>
    <w:rsid w:val="0C26435E"/>
    <w:rsid w:val="0C53C6DB"/>
    <w:rsid w:val="0C6CAA97"/>
    <w:rsid w:val="0E315F76"/>
    <w:rsid w:val="0E7EF7D3"/>
    <w:rsid w:val="0EA2974A"/>
    <w:rsid w:val="0F300CD5"/>
    <w:rsid w:val="0F41003F"/>
    <w:rsid w:val="0FC51C03"/>
    <w:rsid w:val="0FD31145"/>
    <w:rsid w:val="1041B329"/>
    <w:rsid w:val="115D0A42"/>
    <w:rsid w:val="11790ED6"/>
    <w:rsid w:val="11D7A730"/>
    <w:rsid w:val="1208125D"/>
    <w:rsid w:val="1208A7A0"/>
    <w:rsid w:val="12833B74"/>
    <w:rsid w:val="129D54C6"/>
    <w:rsid w:val="13A7F25E"/>
    <w:rsid w:val="13DA8520"/>
    <w:rsid w:val="146C1D93"/>
    <w:rsid w:val="14D960CB"/>
    <w:rsid w:val="14ECC1B2"/>
    <w:rsid w:val="1510870A"/>
    <w:rsid w:val="1534B891"/>
    <w:rsid w:val="157CF5EB"/>
    <w:rsid w:val="16931EE6"/>
    <w:rsid w:val="17120109"/>
    <w:rsid w:val="17824953"/>
    <w:rsid w:val="17E37A69"/>
    <w:rsid w:val="18252CBD"/>
    <w:rsid w:val="1898C5EA"/>
    <w:rsid w:val="191305FB"/>
    <w:rsid w:val="19E12B64"/>
    <w:rsid w:val="1B885F57"/>
    <w:rsid w:val="1B8F326E"/>
    <w:rsid w:val="1C363053"/>
    <w:rsid w:val="1C66F54D"/>
    <w:rsid w:val="1C695F5F"/>
    <w:rsid w:val="1C72B8B4"/>
    <w:rsid w:val="1CD81AE8"/>
    <w:rsid w:val="1D06DED2"/>
    <w:rsid w:val="1D0BD3C6"/>
    <w:rsid w:val="1D18BC6D"/>
    <w:rsid w:val="1D3B4D6A"/>
    <w:rsid w:val="1D3BFAB6"/>
    <w:rsid w:val="1DA4C965"/>
    <w:rsid w:val="1DE35A88"/>
    <w:rsid w:val="1E0C6182"/>
    <w:rsid w:val="1ED51411"/>
    <w:rsid w:val="1EDB9AD7"/>
    <w:rsid w:val="1F3B7F90"/>
    <w:rsid w:val="1FB7CE03"/>
    <w:rsid w:val="202EDCE1"/>
    <w:rsid w:val="2111CBF2"/>
    <w:rsid w:val="220477A5"/>
    <w:rsid w:val="22175E8D"/>
    <w:rsid w:val="22DC6887"/>
    <w:rsid w:val="22E76B75"/>
    <w:rsid w:val="22F7BBF3"/>
    <w:rsid w:val="2371C400"/>
    <w:rsid w:val="239C87F1"/>
    <w:rsid w:val="244BD542"/>
    <w:rsid w:val="24B734B6"/>
    <w:rsid w:val="24CF5017"/>
    <w:rsid w:val="2509299C"/>
    <w:rsid w:val="26956791"/>
    <w:rsid w:val="2775FC6E"/>
    <w:rsid w:val="285FF1ED"/>
    <w:rsid w:val="28E55F98"/>
    <w:rsid w:val="29162988"/>
    <w:rsid w:val="29532757"/>
    <w:rsid w:val="2990FAC6"/>
    <w:rsid w:val="29EA5E95"/>
    <w:rsid w:val="2A61BED9"/>
    <w:rsid w:val="2B3DEAA9"/>
    <w:rsid w:val="2B64BA66"/>
    <w:rsid w:val="2BB5BD29"/>
    <w:rsid w:val="2C05D269"/>
    <w:rsid w:val="2C66BCE3"/>
    <w:rsid w:val="2DA8C2A7"/>
    <w:rsid w:val="2DE473A9"/>
    <w:rsid w:val="2F40BB56"/>
    <w:rsid w:val="3053DD17"/>
    <w:rsid w:val="315EAD7A"/>
    <w:rsid w:val="31C7A422"/>
    <w:rsid w:val="31ED8E87"/>
    <w:rsid w:val="31FC1565"/>
    <w:rsid w:val="325131E6"/>
    <w:rsid w:val="32AF8E9B"/>
    <w:rsid w:val="335D28B7"/>
    <w:rsid w:val="33B34C08"/>
    <w:rsid w:val="33B3F4ED"/>
    <w:rsid w:val="357829C1"/>
    <w:rsid w:val="35DEAA5F"/>
    <w:rsid w:val="362DCC85"/>
    <w:rsid w:val="37513BE4"/>
    <w:rsid w:val="3844940C"/>
    <w:rsid w:val="38BA1A76"/>
    <w:rsid w:val="38E5E908"/>
    <w:rsid w:val="38F86266"/>
    <w:rsid w:val="3904040B"/>
    <w:rsid w:val="3960FB08"/>
    <w:rsid w:val="39DA70BC"/>
    <w:rsid w:val="3A3EFD20"/>
    <w:rsid w:val="3B058BBC"/>
    <w:rsid w:val="3C1C405B"/>
    <w:rsid w:val="3C684252"/>
    <w:rsid w:val="3CA8A698"/>
    <w:rsid w:val="3D070751"/>
    <w:rsid w:val="3D127BAD"/>
    <w:rsid w:val="3D4A8928"/>
    <w:rsid w:val="3E235321"/>
    <w:rsid w:val="3E518E83"/>
    <w:rsid w:val="3FB85335"/>
    <w:rsid w:val="3FE02420"/>
    <w:rsid w:val="3FEBD04C"/>
    <w:rsid w:val="4124E10A"/>
    <w:rsid w:val="417CEC9C"/>
    <w:rsid w:val="41B1676A"/>
    <w:rsid w:val="41BE4A70"/>
    <w:rsid w:val="41C21561"/>
    <w:rsid w:val="41D3B3E8"/>
    <w:rsid w:val="41EE8E0A"/>
    <w:rsid w:val="430191DD"/>
    <w:rsid w:val="431505E1"/>
    <w:rsid w:val="433B3D43"/>
    <w:rsid w:val="44BCD217"/>
    <w:rsid w:val="44D4DCFC"/>
    <w:rsid w:val="452A1C0C"/>
    <w:rsid w:val="460F6502"/>
    <w:rsid w:val="4665BBE3"/>
    <w:rsid w:val="4674AF35"/>
    <w:rsid w:val="46E45D82"/>
    <w:rsid w:val="47317982"/>
    <w:rsid w:val="4779E585"/>
    <w:rsid w:val="48B6B13C"/>
    <w:rsid w:val="49462EC0"/>
    <w:rsid w:val="496895E5"/>
    <w:rsid w:val="498E7CAE"/>
    <w:rsid w:val="49BA8016"/>
    <w:rsid w:val="49D46142"/>
    <w:rsid w:val="4A475EDF"/>
    <w:rsid w:val="4AA84E1D"/>
    <w:rsid w:val="4ABB550B"/>
    <w:rsid w:val="4AD300BF"/>
    <w:rsid w:val="4AF50060"/>
    <w:rsid w:val="4AFF2FE9"/>
    <w:rsid w:val="4B546562"/>
    <w:rsid w:val="4B7A0533"/>
    <w:rsid w:val="4B9407EA"/>
    <w:rsid w:val="4BC3F3C9"/>
    <w:rsid w:val="4BDCC848"/>
    <w:rsid w:val="4C1861CB"/>
    <w:rsid w:val="4C1B3225"/>
    <w:rsid w:val="4C440A45"/>
    <w:rsid w:val="4D1C63FA"/>
    <w:rsid w:val="4D3A1CB6"/>
    <w:rsid w:val="4D5CC036"/>
    <w:rsid w:val="4DCBE8A6"/>
    <w:rsid w:val="4DE052F0"/>
    <w:rsid w:val="4E087E58"/>
    <w:rsid w:val="4E90BE58"/>
    <w:rsid w:val="4E985474"/>
    <w:rsid w:val="4EB2437A"/>
    <w:rsid w:val="4EFDBD6D"/>
    <w:rsid w:val="4F357C28"/>
    <w:rsid w:val="4FDF3273"/>
    <w:rsid w:val="5002C434"/>
    <w:rsid w:val="5010CC0E"/>
    <w:rsid w:val="5146616F"/>
    <w:rsid w:val="514942AF"/>
    <w:rsid w:val="51E026B1"/>
    <w:rsid w:val="52639397"/>
    <w:rsid w:val="5392A603"/>
    <w:rsid w:val="53A4610D"/>
    <w:rsid w:val="5449F23A"/>
    <w:rsid w:val="550ED155"/>
    <w:rsid w:val="55102791"/>
    <w:rsid w:val="555D8228"/>
    <w:rsid w:val="55B686A4"/>
    <w:rsid w:val="56349671"/>
    <w:rsid w:val="56DDC837"/>
    <w:rsid w:val="57E1D47A"/>
    <w:rsid w:val="58645653"/>
    <w:rsid w:val="588F0154"/>
    <w:rsid w:val="58AF1A1D"/>
    <w:rsid w:val="59339762"/>
    <w:rsid w:val="5935DB45"/>
    <w:rsid w:val="59668D55"/>
    <w:rsid w:val="596A2FEF"/>
    <w:rsid w:val="59C294E9"/>
    <w:rsid w:val="5A75EEA8"/>
    <w:rsid w:val="5B4D78D5"/>
    <w:rsid w:val="5B69E48B"/>
    <w:rsid w:val="5BB0B11D"/>
    <w:rsid w:val="5BC0EB32"/>
    <w:rsid w:val="5C8CC10E"/>
    <w:rsid w:val="5CF47133"/>
    <w:rsid w:val="5D129FB0"/>
    <w:rsid w:val="5DB9ABEF"/>
    <w:rsid w:val="5DBEB2C2"/>
    <w:rsid w:val="5DDBB76E"/>
    <w:rsid w:val="5E2F597E"/>
    <w:rsid w:val="5EA02942"/>
    <w:rsid w:val="5EC861B0"/>
    <w:rsid w:val="5EEDD961"/>
    <w:rsid w:val="5F0C1F23"/>
    <w:rsid w:val="5FBE6129"/>
    <w:rsid w:val="60997BC1"/>
    <w:rsid w:val="60A165D5"/>
    <w:rsid w:val="60DA3ED8"/>
    <w:rsid w:val="60DC850A"/>
    <w:rsid w:val="61507266"/>
    <w:rsid w:val="6160D8AA"/>
    <w:rsid w:val="61AFB58A"/>
    <w:rsid w:val="61BB3855"/>
    <w:rsid w:val="61C3CBCE"/>
    <w:rsid w:val="61CCA3C3"/>
    <w:rsid w:val="63464DC3"/>
    <w:rsid w:val="640FC516"/>
    <w:rsid w:val="64803864"/>
    <w:rsid w:val="64B7D284"/>
    <w:rsid w:val="6527F862"/>
    <w:rsid w:val="6555A4DA"/>
    <w:rsid w:val="65A306DC"/>
    <w:rsid w:val="65D39FCA"/>
    <w:rsid w:val="65DDE536"/>
    <w:rsid w:val="66834AEC"/>
    <w:rsid w:val="6694D1CF"/>
    <w:rsid w:val="66EE6BF2"/>
    <w:rsid w:val="67FF1F85"/>
    <w:rsid w:val="686A515C"/>
    <w:rsid w:val="688A0E99"/>
    <w:rsid w:val="68F4662C"/>
    <w:rsid w:val="697F8856"/>
    <w:rsid w:val="6AFFFF54"/>
    <w:rsid w:val="6B1CD2D4"/>
    <w:rsid w:val="6BAD01CC"/>
    <w:rsid w:val="6BD5E50B"/>
    <w:rsid w:val="6CA90ED7"/>
    <w:rsid w:val="6CFF440E"/>
    <w:rsid w:val="6D05318E"/>
    <w:rsid w:val="6D7EBD5F"/>
    <w:rsid w:val="6DB7CD86"/>
    <w:rsid w:val="6DEBEC73"/>
    <w:rsid w:val="6E2F1CFA"/>
    <w:rsid w:val="6E38153B"/>
    <w:rsid w:val="6E587379"/>
    <w:rsid w:val="6E71659B"/>
    <w:rsid w:val="6E90AACB"/>
    <w:rsid w:val="6E97F068"/>
    <w:rsid w:val="6EAA6A4F"/>
    <w:rsid w:val="6F25F138"/>
    <w:rsid w:val="6FA26864"/>
    <w:rsid w:val="7010AD6E"/>
    <w:rsid w:val="7044C751"/>
    <w:rsid w:val="70A2FD3A"/>
    <w:rsid w:val="716B081A"/>
    <w:rsid w:val="71BCB75E"/>
    <w:rsid w:val="71CC05F0"/>
    <w:rsid w:val="71DB173C"/>
    <w:rsid w:val="7201A3E2"/>
    <w:rsid w:val="724CE144"/>
    <w:rsid w:val="725739E9"/>
    <w:rsid w:val="7270EC56"/>
    <w:rsid w:val="728E3BCC"/>
    <w:rsid w:val="72C004A5"/>
    <w:rsid w:val="72DC1C60"/>
    <w:rsid w:val="734F67C1"/>
    <w:rsid w:val="73A18010"/>
    <w:rsid w:val="74080207"/>
    <w:rsid w:val="7426A62E"/>
    <w:rsid w:val="746EF9E2"/>
    <w:rsid w:val="750D3926"/>
    <w:rsid w:val="7525B71E"/>
    <w:rsid w:val="75306BB8"/>
    <w:rsid w:val="7589B92E"/>
    <w:rsid w:val="75D3C543"/>
    <w:rsid w:val="75F71DE3"/>
    <w:rsid w:val="762C9630"/>
    <w:rsid w:val="7685F300"/>
    <w:rsid w:val="76A16C74"/>
    <w:rsid w:val="77F627A0"/>
    <w:rsid w:val="781A9242"/>
    <w:rsid w:val="7847F299"/>
    <w:rsid w:val="7888928A"/>
    <w:rsid w:val="78FE989A"/>
    <w:rsid w:val="797E8FF7"/>
    <w:rsid w:val="7A3DB9BD"/>
    <w:rsid w:val="7A584E4A"/>
    <w:rsid w:val="7AEF9409"/>
    <w:rsid w:val="7BC3670A"/>
    <w:rsid w:val="7BC90DCE"/>
    <w:rsid w:val="7CB236CE"/>
    <w:rsid w:val="7D142729"/>
    <w:rsid w:val="7E84202C"/>
    <w:rsid w:val="7F1B8A3D"/>
    <w:rsid w:val="7F5659F9"/>
    <w:rsid w:val="7FA7CF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D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9"/>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2"/>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ED2831"/>
    <w:pPr>
      <w:numPr>
        <w:ilvl w:val="1"/>
        <w:numId w:val="3"/>
      </w:numPr>
      <w:spacing w:after="60"/>
    </w:pPr>
    <w:rPr>
      <w:bCs/>
    </w:rPr>
  </w:style>
  <w:style w:type="paragraph" w:customStyle="1" w:styleId="Heading3Numbered">
    <w:name w:val="Heading 3 Numbered"/>
    <w:basedOn w:val="Heading3"/>
    <w:next w:val="Normal"/>
    <w:qFormat/>
    <w:rsid w:val="00ED2831"/>
    <w:pPr>
      <w:numPr>
        <w:ilvl w:val="2"/>
        <w:numId w:val="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2F4243"/>
    <w:pPr>
      <w:pBdr>
        <w:top w:val="single" w:sz="4" w:space="6" w:color="65C5B4" w:themeColor="accent1"/>
        <w:between w:val="single" w:sz="4" w:space="6" w:color="65C5B4" w:themeColor="accent1"/>
      </w:pBdr>
      <w:tabs>
        <w:tab w:val="left" w:pos="284"/>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5B6304"/>
    <w:pPr>
      <w:tabs>
        <w:tab w:val="right" w:pos="9072"/>
      </w:tabs>
      <w:spacing w:after="100"/>
      <w:ind w:left="199" w:right="70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8C5A0E"/>
    <w:rPr>
      <w:color w:val="495965" w:themeColor="text2"/>
      <w:sz w:val="12"/>
      <w:szCs w:val="20"/>
    </w:r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7"/>
      </w:numPr>
      <w:ind w:left="454" w:hanging="170"/>
    </w:pPr>
  </w:style>
  <w:style w:type="paragraph" w:customStyle="1" w:styleId="Box2Bullet">
    <w:name w:val="Box 2 Bullet"/>
    <w:basedOn w:val="Box2Text"/>
    <w:qFormat/>
    <w:rsid w:val="00C42541"/>
    <w:pPr>
      <w:numPr>
        <w:numId w:val="8"/>
      </w:numPr>
      <w:ind w:left="454" w:hanging="170"/>
    </w:pPr>
  </w:style>
  <w:style w:type="paragraph" w:styleId="BodyText">
    <w:name w:val="Body Text"/>
    <w:basedOn w:val="Normal"/>
    <w:link w:val="BodyTextChar"/>
    <w:uiPriority w:val="99"/>
    <w:unhideWhenUsed/>
    <w:qFormat/>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Body text,List Paragraph11,L,CV text,Table text,F5 List Paragraph,Dot pt,Medium Grid 1 - Accent 21,Numbered Paragraph,List Paragraph111,List Paragraph2,Bulleted Para,NFP GP Bulleted List,FooterText,numbered"/>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0F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6F116F"/>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6F116F"/>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6F116F"/>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6F116F"/>
    <w:rPr>
      <w:rFonts w:ascii="Calibri" w:hAnsi="Calibri"/>
      <w:color w:val="000000" w:themeColor="text1"/>
      <w:lang w:val="en-GB" w:eastAsia="en-AU"/>
    </w:rPr>
  </w:style>
  <w:style w:type="paragraph" w:styleId="Revision">
    <w:name w:val="Revision"/>
    <w:hidden/>
    <w:uiPriority w:val="99"/>
    <w:semiHidden/>
    <w:rsid w:val="0083795D"/>
    <w:pPr>
      <w:spacing w:after="0" w:line="240" w:lineRule="auto"/>
    </w:pPr>
    <w:rPr>
      <w:color w:val="495965" w:themeColor="text2"/>
      <w:lang w:val="en-GB"/>
    </w:rPr>
  </w:style>
  <w:style w:type="table" w:styleId="GridTable1Light">
    <w:name w:val="Grid Table 1 Light"/>
    <w:basedOn w:val="TableNormal"/>
    <w:uiPriority w:val="46"/>
    <w:locked/>
    <w:rsid w:val="001158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96134"/>
    <w:rPr>
      <w:color w:val="800080" w:themeColor="followedHyperlink"/>
      <w:u w:val="single"/>
    </w:rPr>
  </w:style>
  <w:style w:type="character" w:customStyle="1" w:styleId="normaltextrun">
    <w:name w:val="normaltextrun"/>
    <w:basedOn w:val="DefaultParagraphFont"/>
    <w:rsid w:val="00A75DE7"/>
  </w:style>
  <w:style w:type="character" w:customStyle="1" w:styleId="eop">
    <w:name w:val="eop"/>
    <w:basedOn w:val="DefaultParagraphFont"/>
    <w:rsid w:val="00F820CC"/>
  </w:style>
  <w:style w:type="paragraph" w:customStyle="1" w:styleId="paragraph">
    <w:name w:val="paragraph"/>
    <w:basedOn w:val="Normal"/>
    <w:rsid w:val="00CB5887"/>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GB"/>
    </w:rPr>
  </w:style>
  <w:style w:type="character" w:customStyle="1" w:styleId="superscript">
    <w:name w:val="superscript"/>
    <w:basedOn w:val="DefaultParagraphFont"/>
    <w:rsid w:val="00CB5887"/>
  </w:style>
  <w:style w:type="paragraph" w:customStyle="1" w:styleId="Default">
    <w:name w:val="Default"/>
    <w:rsid w:val="004C194C"/>
    <w:pPr>
      <w:autoSpaceDE w:val="0"/>
      <w:autoSpaceDN w:val="0"/>
      <w:adjustRightInd w:val="0"/>
      <w:spacing w:after="0" w:line="240" w:lineRule="auto"/>
    </w:pPr>
    <w:rPr>
      <w:rFonts w:ascii="Calibri" w:hAnsi="Calibri" w:cs="Calibri"/>
      <w:color w:val="000000"/>
      <w:sz w:val="24"/>
      <w:szCs w:val="24"/>
    </w:rPr>
  </w:style>
  <w:style w:type="paragraph" w:customStyle="1" w:styleId="BVIfnrCharChar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AF57EA"/>
    <w:pPr>
      <w:suppressAutoHyphens w:val="0"/>
      <w:spacing w:before="0" w:after="160" w:line="240" w:lineRule="exact"/>
    </w:pPr>
    <w:rPr>
      <w:color w:val="auto"/>
      <w:vertAlign w:val="superscript"/>
      <w:lang w:val="en-AU"/>
    </w:rPr>
  </w:style>
  <w:style w:type="paragraph" w:customStyle="1" w:styleId="PacificWomenstyle-body">
    <w:name w:val="Pacific Women style - body"/>
    <w:basedOn w:val="Normal"/>
    <w:link w:val="PacificWomenstyle-bodyChar"/>
    <w:autoRedefine/>
    <w:qFormat/>
    <w:rsid w:val="0001048E"/>
    <w:pPr>
      <w:suppressAutoHyphens w:val="0"/>
      <w:spacing w:after="120" w:line="240" w:lineRule="atLeast"/>
      <w:jc w:val="both"/>
    </w:pPr>
    <w:rPr>
      <w:rFonts w:eastAsia="Calibri" w:cstheme="minorHAnsi"/>
      <w:color w:val="000000" w:themeColor="text1"/>
      <w:lang w:val="en-AU" w:eastAsia="en-AU"/>
    </w:rPr>
  </w:style>
  <w:style w:type="character" w:customStyle="1" w:styleId="PacificWomenstyle-bodyChar">
    <w:name w:val="Pacific Women style - body Char"/>
    <w:basedOn w:val="DefaultParagraphFont"/>
    <w:link w:val="PacificWomenstyle-body"/>
    <w:rsid w:val="0001048E"/>
    <w:rPr>
      <w:rFonts w:eastAsia="Calibri" w:cstheme="minorHAnsi"/>
      <w:color w:val="000000" w:themeColor="text1"/>
      <w:lang w:eastAsia="en-AU"/>
    </w:rPr>
  </w:style>
  <w:style w:type="character" w:customStyle="1" w:styleId="UnresolvedMention1">
    <w:name w:val="Unresolved Mention1"/>
    <w:basedOn w:val="DefaultParagraphFont"/>
    <w:uiPriority w:val="99"/>
    <w:semiHidden/>
    <w:unhideWhenUsed/>
    <w:rsid w:val="00A435B9"/>
    <w:rPr>
      <w:color w:val="605E5C"/>
      <w:shd w:val="clear" w:color="auto" w:fill="E1DFDD"/>
    </w:rPr>
  </w:style>
  <w:style w:type="paragraph" w:styleId="NormalWeb">
    <w:name w:val="Normal (Web)"/>
    <w:basedOn w:val="Normal"/>
    <w:uiPriority w:val="99"/>
    <w:unhideWhenUsed/>
    <w:rsid w:val="00A70CB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ListParagraphChar">
    <w:name w:val="List Paragraph Char"/>
    <w:aliases w:val="List Paragraph1 Char,Recommendation Char,Body text Char,List Paragraph11 Char,L Char,CV text Char,Table text Char,F5 List Paragraph Char,Dot pt Char,Medium Grid 1 - Accent 21 Char,Numbered Paragraph Char,List Paragraph111 Char"/>
    <w:basedOn w:val="DefaultParagraphFont"/>
    <w:link w:val="ListParagraph"/>
    <w:uiPriority w:val="34"/>
    <w:qFormat/>
    <w:locked/>
    <w:rsid w:val="004767BE"/>
    <w:rPr>
      <w:color w:val="495965" w:themeColor="text2"/>
      <w:lang w:val="en-GB"/>
    </w:rPr>
  </w:style>
  <w:style w:type="paragraph" w:customStyle="1" w:styleId="ftrefCharChar">
    <w:name w:val="ftref Char Char"/>
    <w:aliases w:val="fr Char Char,ftref Char1 Char Char,fr Char Char Char"/>
    <w:basedOn w:val="Normal"/>
    <w:uiPriority w:val="99"/>
    <w:rsid w:val="006669EC"/>
    <w:pPr>
      <w:suppressAutoHyphens w:val="0"/>
      <w:spacing w:before="0" w:after="160" w:line="240" w:lineRule="exact"/>
    </w:pPr>
    <w:rPr>
      <w:color w:val="auto"/>
      <w:vertAlign w:val="superscript"/>
      <w:lang w:val="en-AU"/>
    </w:rPr>
  </w:style>
  <w:style w:type="character" w:customStyle="1" w:styleId="fontstyle01">
    <w:name w:val="fontstyle01"/>
    <w:basedOn w:val="DefaultParagraphFont"/>
    <w:rsid w:val="00E167CD"/>
    <w:rPr>
      <w:rFonts w:ascii="ArtegraSans-Regular" w:hAnsi="ArtegraSans-Regular" w:hint="default"/>
      <w:b w:val="0"/>
      <w:bCs w:val="0"/>
      <w:i w:val="0"/>
      <w:iCs w:val="0"/>
      <w:color w:val="000000"/>
      <w:sz w:val="20"/>
      <w:szCs w:val="20"/>
    </w:rPr>
  </w:style>
  <w:style w:type="character" w:customStyle="1" w:styleId="A1">
    <w:name w:val="A1"/>
    <w:uiPriority w:val="99"/>
    <w:rsid w:val="00F20508"/>
    <w:rPr>
      <w:color w:val="000000"/>
      <w:sz w:val="22"/>
      <w:szCs w:val="22"/>
    </w:rPr>
  </w:style>
  <w:style w:type="paragraph" w:customStyle="1" w:styleId="04BODYTEXT">
    <w:name w:val="04. BODY TEXT"/>
    <w:basedOn w:val="Normal"/>
    <w:uiPriority w:val="99"/>
    <w:rsid w:val="00517792"/>
    <w:pPr>
      <w:widowControl w:val="0"/>
      <w:autoSpaceDE w:val="0"/>
      <w:autoSpaceDN w:val="0"/>
      <w:adjustRightInd w:val="0"/>
      <w:spacing w:before="0" w:after="113" w:line="280" w:lineRule="atLeast"/>
      <w:textAlignment w:val="center"/>
    </w:pPr>
    <w:rPr>
      <w:rFonts w:ascii="ArialMT" w:eastAsiaTheme="minorEastAsia" w:hAnsi="ArialMT" w:cs="ArialMT"/>
      <w:iCs/>
      <w:color w:val="000000"/>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103">
      <w:bodyDiv w:val="1"/>
      <w:marLeft w:val="0"/>
      <w:marRight w:val="0"/>
      <w:marTop w:val="0"/>
      <w:marBottom w:val="0"/>
      <w:divBdr>
        <w:top w:val="none" w:sz="0" w:space="0" w:color="auto"/>
        <w:left w:val="none" w:sz="0" w:space="0" w:color="auto"/>
        <w:bottom w:val="none" w:sz="0" w:space="0" w:color="auto"/>
        <w:right w:val="none" w:sz="0" w:space="0" w:color="auto"/>
      </w:divBdr>
    </w:div>
    <w:div w:id="18749907">
      <w:bodyDiv w:val="1"/>
      <w:marLeft w:val="0"/>
      <w:marRight w:val="0"/>
      <w:marTop w:val="0"/>
      <w:marBottom w:val="0"/>
      <w:divBdr>
        <w:top w:val="none" w:sz="0" w:space="0" w:color="auto"/>
        <w:left w:val="none" w:sz="0" w:space="0" w:color="auto"/>
        <w:bottom w:val="none" w:sz="0" w:space="0" w:color="auto"/>
        <w:right w:val="none" w:sz="0" w:space="0" w:color="auto"/>
      </w:divBdr>
    </w:div>
    <w:div w:id="33359213">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61291931">
      <w:bodyDiv w:val="1"/>
      <w:marLeft w:val="0"/>
      <w:marRight w:val="0"/>
      <w:marTop w:val="0"/>
      <w:marBottom w:val="0"/>
      <w:divBdr>
        <w:top w:val="none" w:sz="0" w:space="0" w:color="auto"/>
        <w:left w:val="none" w:sz="0" w:space="0" w:color="auto"/>
        <w:bottom w:val="none" w:sz="0" w:space="0" w:color="auto"/>
        <w:right w:val="none" w:sz="0" w:space="0" w:color="auto"/>
      </w:divBdr>
    </w:div>
    <w:div w:id="70852592">
      <w:bodyDiv w:val="1"/>
      <w:marLeft w:val="0"/>
      <w:marRight w:val="0"/>
      <w:marTop w:val="0"/>
      <w:marBottom w:val="0"/>
      <w:divBdr>
        <w:top w:val="none" w:sz="0" w:space="0" w:color="auto"/>
        <w:left w:val="none" w:sz="0" w:space="0" w:color="auto"/>
        <w:bottom w:val="none" w:sz="0" w:space="0" w:color="auto"/>
        <w:right w:val="none" w:sz="0" w:space="0" w:color="auto"/>
      </w:divBdr>
    </w:div>
    <w:div w:id="70856183">
      <w:bodyDiv w:val="1"/>
      <w:marLeft w:val="0"/>
      <w:marRight w:val="0"/>
      <w:marTop w:val="0"/>
      <w:marBottom w:val="0"/>
      <w:divBdr>
        <w:top w:val="none" w:sz="0" w:space="0" w:color="auto"/>
        <w:left w:val="none" w:sz="0" w:space="0" w:color="auto"/>
        <w:bottom w:val="none" w:sz="0" w:space="0" w:color="auto"/>
        <w:right w:val="none" w:sz="0" w:space="0" w:color="auto"/>
      </w:divBdr>
    </w:div>
    <w:div w:id="107890584">
      <w:bodyDiv w:val="1"/>
      <w:marLeft w:val="0"/>
      <w:marRight w:val="0"/>
      <w:marTop w:val="0"/>
      <w:marBottom w:val="0"/>
      <w:divBdr>
        <w:top w:val="none" w:sz="0" w:space="0" w:color="auto"/>
        <w:left w:val="none" w:sz="0" w:space="0" w:color="auto"/>
        <w:bottom w:val="none" w:sz="0" w:space="0" w:color="auto"/>
        <w:right w:val="none" w:sz="0" w:space="0" w:color="auto"/>
      </w:divBdr>
      <w:divsChild>
        <w:div w:id="251857316">
          <w:marLeft w:val="1296"/>
          <w:marRight w:val="0"/>
          <w:marTop w:val="100"/>
          <w:marBottom w:val="60"/>
          <w:divBdr>
            <w:top w:val="none" w:sz="0" w:space="0" w:color="auto"/>
            <w:left w:val="none" w:sz="0" w:space="0" w:color="auto"/>
            <w:bottom w:val="none" w:sz="0" w:space="0" w:color="auto"/>
            <w:right w:val="none" w:sz="0" w:space="0" w:color="auto"/>
          </w:divBdr>
        </w:div>
        <w:div w:id="291597214">
          <w:marLeft w:val="1296"/>
          <w:marRight w:val="0"/>
          <w:marTop w:val="100"/>
          <w:marBottom w:val="60"/>
          <w:divBdr>
            <w:top w:val="none" w:sz="0" w:space="0" w:color="auto"/>
            <w:left w:val="none" w:sz="0" w:space="0" w:color="auto"/>
            <w:bottom w:val="none" w:sz="0" w:space="0" w:color="auto"/>
            <w:right w:val="none" w:sz="0" w:space="0" w:color="auto"/>
          </w:divBdr>
        </w:div>
        <w:div w:id="339085559">
          <w:marLeft w:val="1296"/>
          <w:marRight w:val="0"/>
          <w:marTop w:val="100"/>
          <w:marBottom w:val="60"/>
          <w:divBdr>
            <w:top w:val="none" w:sz="0" w:space="0" w:color="auto"/>
            <w:left w:val="none" w:sz="0" w:space="0" w:color="auto"/>
            <w:bottom w:val="none" w:sz="0" w:space="0" w:color="auto"/>
            <w:right w:val="none" w:sz="0" w:space="0" w:color="auto"/>
          </w:divBdr>
        </w:div>
        <w:div w:id="357315851">
          <w:marLeft w:val="576"/>
          <w:marRight w:val="0"/>
          <w:marTop w:val="200"/>
          <w:marBottom w:val="60"/>
          <w:divBdr>
            <w:top w:val="none" w:sz="0" w:space="0" w:color="auto"/>
            <w:left w:val="none" w:sz="0" w:space="0" w:color="auto"/>
            <w:bottom w:val="none" w:sz="0" w:space="0" w:color="auto"/>
            <w:right w:val="none" w:sz="0" w:space="0" w:color="auto"/>
          </w:divBdr>
        </w:div>
        <w:div w:id="568426359">
          <w:marLeft w:val="1296"/>
          <w:marRight w:val="0"/>
          <w:marTop w:val="100"/>
          <w:marBottom w:val="60"/>
          <w:divBdr>
            <w:top w:val="none" w:sz="0" w:space="0" w:color="auto"/>
            <w:left w:val="none" w:sz="0" w:space="0" w:color="auto"/>
            <w:bottom w:val="none" w:sz="0" w:space="0" w:color="auto"/>
            <w:right w:val="none" w:sz="0" w:space="0" w:color="auto"/>
          </w:divBdr>
        </w:div>
        <w:div w:id="935140053">
          <w:marLeft w:val="1296"/>
          <w:marRight w:val="0"/>
          <w:marTop w:val="100"/>
          <w:marBottom w:val="60"/>
          <w:divBdr>
            <w:top w:val="none" w:sz="0" w:space="0" w:color="auto"/>
            <w:left w:val="none" w:sz="0" w:space="0" w:color="auto"/>
            <w:bottom w:val="none" w:sz="0" w:space="0" w:color="auto"/>
            <w:right w:val="none" w:sz="0" w:space="0" w:color="auto"/>
          </w:divBdr>
        </w:div>
        <w:div w:id="952129704">
          <w:marLeft w:val="1296"/>
          <w:marRight w:val="0"/>
          <w:marTop w:val="100"/>
          <w:marBottom w:val="60"/>
          <w:divBdr>
            <w:top w:val="none" w:sz="0" w:space="0" w:color="auto"/>
            <w:left w:val="none" w:sz="0" w:space="0" w:color="auto"/>
            <w:bottom w:val="none" w:sz="0" w:space="0" w:color="auto"/>
            <w:right w:val="none" w:sz="0" w:space="0" w:color="auto"/>
          </w:divBdr>
        </w:div>
        <w:div w:id="1085803937">
          <w:marLeft w:val="1296"/>
          <w:marRight w:val="0"/>
          <w:marTop w:val="100"/>
          <w:marBottom w:val="60"/>
          <w:divBdr>
            <w:top w:val="none" w:sz="0" w:space="0" w:color="auto"/>
            <w:left w:val="none" w:sz="0" w:space="0" w:color="auto"/>
            <w:bottom w:val="none" w:sz="0" w:space="0" w:color="auto"/>
            <w:right w:val="none" w:sz="0" w:space="0" w:color="auto"/>
          </w:divBdr>
        </w:div>
        <w:div w:id="1443112190">
          <w:marLeft w:val="1296"/>
          <w:marRight w:val="0"/>
          <w:marTop w:val="100"/>
          <w:marBottom w:val="60"/>
          <w:divBdr>
            <w:top w:val="none" w:sz="0" w:space="0" w:color="auto"/>
            <w:left w:val="none" w:sz="0" w:space="0" w:color="auto"/>
            <w:bottom w:val="none" w:sz="0" w:space="0" w:color="auto"/>
            <w:right w:val="none" w:sz="0" w:space="0" w:color="auto"/>
          </w:divBdr>
        </w:div>
        <w:div w:id="1530728423">
          <w:marLeft w:val="1296"/>
          <w:marRight w:val="0"/>
          <w:marTop w:val="100"/>
          <w:marBottom w:val="60"/>
          <w:divBdr>
            <w:top w:val="none" w:sz="0" w:space="0" w:color="auto"/>
            <w:left w:val="none" w:sz="0" w:space="0" w:color="auto"/>
            <w:bottom w:val="none" w:sz="0" w:space="0" w:color="auto"/>
            <w:right w:val="none" w:sz="0" w:space="0" w:color="auto"/>
          </w:divBdr>
        </w:div>
        <w:div w:id="1555853738">
          <w:marLeft w:val="1296"/>
          <w:marRight w:val="0"/>
          <w:marTop w:val="100"/>
          <w:marBottom w:val="60"/>
          <w:divBdr>
            <w:top w:val="none" w:sz="0" w:space="0" w:color="auto"/>
            <w:left w:val="none" w:sz="0" w:space="0" w:color="auto"/>
            <w:bottom w:val="none" w:sz="0" w:space="0" w:color="auto"/>
            <w:right w:val="none" w:sz="0" w:space="0" w:color="auto"/>
          </w:divBdr>
        </w:div>
        <w:div w:id="1661616768">
          <w:marLeft w:val="576"/>
          <w:marRight w:val="0"/>
          <w:marTop w:val="200"/>
          <w:marBottom w:val="60"/>
          <w:divBdr>
            <w:top w:val="none" w:sz="0" w:space="0" w:color="auto"/>
            <w:left w:val="none" w:sz="0" w:space="0" w:color="auto"/>
            <w:bottom w:val="none" w:sz="0" w:space="0" w:color="auto"/>
            <w:right w:val="none" w:sz="0" w:space="0" w:color="auto"/>
          </w:divBdr>
        </w:div>
        <w:div w:id="2045475763">
          <w:marLeft w:val="1296"/>
          <w:marRight w:val="0"/>
          <w:marTop w:val="100"/>
          <w:marBottom w:val="60"/>
          <w:divBdr>
            <w:top w:val="none" w:sz="0" w:space="0" w:color="auto"/>
            <w:left w:val="none" w:sz="0" w:space="0" w:color="auto"/>
            <w:bottom w:val="none" w:sz="0" w:space="0" w:color="auto"/>
            <w:right w:val="none" w:sz="0" w:space="0" w:color="auto"/>
          </w:divBdr>
        </w:div>
      </w:divsChild>
    </w:div>
    <w:div w:id="110711334">
      <w:bodyDiv w:val="1"/>
      <w:marLeft w:val="0"/>
      <w:marRight w:val="0"/>
      <w:marTop w:val="0"/>
      <w:marBottom w:val="0"/>
      <w:divBdr>
        <w:top w:val="none" w:sz="0" w:space="0" w:color="auto"/>
        <w:left w:val="none" w:sz="0" w:space="0" w:color="auto"/>
        <w:bottom w:val="none" w:sz="0" w:space="0" w:color="auto"/>
        <w:right w:val="none" w:sz="0" w:space="0" w:color="auto"/>
      </w:divBdr>
      <w:divsChild>
        <w:div w:id="751389419">
          <w:marLeft w:val="547"/>
          <w:marRight w:val="0"/>
          <w:marTop w:val="200"/>
          <w:marBottom w:val="0"/>
          <w:divBdr>
            <w:top w:val="none" w:sz="0" w:space="0" w:color="auto"/>
            <w:left w:val="none" w:sz="0" w:space="0" w:color="auto"/>
            <w:bottom w:val="none" w:sz="0" w:space="0" w:color="auto"/>
            <w:right w:val="none" w:sz="0" w:space="0" w:color="auto"/>
          </w:divBdr>
        </w:div>
        <w:div w:id="1037044033">
          <w:marLeft w:val="547"/>
          <w:marRight w:val="0"/>
          <w:marTop w:val="200"/>
          <w:marBottom w:val="0"/>
          <w:divBdr>
            <w:top w:val="none" w:sz="0" w:space="0" w:color="auto"/>
            <w:left w:val="none" w:sz="0" w:space="0" w:color="auto"/>
            <w:bottom w:val="none" w:sz="0" w:space="0" w:color="auto"/>
            <w:right w:val="none" w:sz="0" w:space="0" w:color="auto"/>
          </w:divBdr>
        </w:div>
        <w:div w:id="1424259080">
          <w:marLeft w:val="547"/>
          <w:marRight w:val="0"/>
          <w:marTop w:val="200"/>
          <w:marBottom w:val="0"/>
          <w:divBdr>
            <w:top w:val="none" w:sz="0" w:space="0" w:color="auto"/>
            <w:left w:val="none" w:sz="0" w:space="0" w:color="auto"/>
            <w:bottom w:val="none" w:sz="0" w:space="0" w:color="auto"/>
            <w:right w:val="none" w:sz="0" w:space="0" w:color="auto"/>
          </w:divBdr>
        </w:div>
        <w:div w:id="1438327152">
          <w:marLeft w:val="547"/>
          <w:marRight w:val="0"/>
          <w:marTop w:val="200"/>
          <w:marBottom w:val="0"/>
          <w:divBdr>
            <w:top w:val="none" w:sz="0" w:space="0" w:color="auto"/>
            <w:left w:val="none" w:sz="0" w:space="0" w:color="auto"/>
            <w:bottom w:val="none" w:sz="0" w:space="0" w:color="auto"/>
            <w:right w:val="none" w:sz="0" w:space="0" w:color="auto"/>
          </w:divBdr>
        </w:div>
        <w:div w:id="1687054310">
          <w:marLeft w:val="547"/>
          <w:marRight w:val="0"/>
          <w:marTop w:val="200"/>
          <w:marBottom w:val="0"/>
          <w:divBdr>
            <w:top w:val="none" w:sz="0" w:space="0" w:color="auto"/>
            <w:left w:val="none" w:sz="0" w:space="0" w:color="auto"/>
            <w:bottom w:val="none" w:sz="0" w:space="0" w:color="auto"/>
            <w:right w:val="none" w:sz="0" w:space="0" w:color="auto"/>
          </w:divBdr>
        </w:div>
        <w:div w:id="1733189409">
          <w:marLeft w:val="547"/>
          <w:marRight w:val="0"/>
          <w:marTop w:val="200"/>
          <w:marBottom w:val="0"/>
          <w:divBdr>
            <w:top w:val="none" w:sz="0" w:space="0" w:color="auto"/>
            <w:left w:val="none" w:sz="0" w:space="0" w:color="auto"/>
            <w:bottom w:val="none" w:sz="0" w:space="0" w:color="auto"/>
            <w:right w:val="none" w:sz="0" w:space="0" w:color="auto"/>
          </w:divBdr>
        </w:div>
        <w:div w:id="1849950624">
          <w:marLeft w:val="547"/>
          <w:marRight w:val="0"/>
          <w:marTop w:val="200"/>
          <w:marBottom w:val="0"/>
          <w:divBdr>
            <w:top w:val="none" w:sz="0" w:space="0" w:color="auto"/>
            <w:left w:val="none" w:sz="0" w:space="0" w:color="auto"/>
            <w:bottom w:val="none" w:sz="0" w:space="0" w:color="auto"/>
            <w:right w:val="none" w:sz="0" w:space="0" w:color="auto"/>
          </w:divBdr>
        </w:div>
        <w:div w:id="1865166760">
          <w:marLeft w:val="547"/>
          <w:marRight w:val="0"/>
          <w:marTop w:val="200"/>
          <w:marBottom w:val="0"/>
          <w:divBdr>
            <w:top w:val="none" w:sz="0" w:space="0" w:color="auto"/>
            <w:left w:val="none" w:sz="0" w:space="0" w:color="auto"/>
            <w:bottom w:val="none" w:sz="0" w:space="0" w:color="auto"/>
            <w:right w:val="none" w:sz="0" w:space="0" w:color="auto"/>
          </w:divBdr>
        </w:div>
      </w:divsChild>
    </w:div>
    <w:div w:id="156500256">
      <w:bodyDiv w:val="1"/>
      <w:marLeft w:val="0"/>
      <w:marRight w:val="0"/>
      <w:marTop w:val="0"/>
      <w:marBottom w:val="0"/>
      <w:divBdr>
        <w:top w:val="none" w:sz="0" w:space="0" w:color="auto"/>
        <w:left w:val="none" w:sz="0" w:space="0" w:color="auto"/>
        <w:bottom w:val="none" w:sz="0" w:space="0" w:color="auto"/>
        <w:right w:val="none" w:sz="0" w:space="0" w:color="auto"/>
      </w:divBdr>
    </w:div>
    <w:div w:id="170410529">
      <w:bodyDiv w:val="1"/>
      <w:marLeft w:val="0"/>
      <w:marRight w:val="0"/>
      <w:marTop w:val="0"/>
      <w:marBottom w:val="0"/>
      <w:divBdr>
        <w:top w:val="none" w:sz="0" w:space="0" w:color="auto"/>
        <w:left w:val="none" w:sz="0" w:space="0" w:color="auto"/>
        <w:bottom w:val="none" w:sz="0" w:space="0" w:color="auto"/>
        <w:right w:val="none" w:sz="0" w:space="0" w:color="auto"/>
      </w:divBdr>
      <w:divsChild>
        <w:div w:id="49380507">
          <w:marLeft w:val="0"/>
          <w:marRight w:val="0"/>
          <w:marTop w:val="0"/>
          <w:marBottom w:val="0"/>
          <w:divBdr>
            <w:top w:val="none" w:sz="0" w:space="0" w:color="auto"/>
            <w:left w:val="none" w:sz="0" w:space="0" w:color="auto"/>
            <w:bottom w:val="none" w:sz="0" w:space="0" w:color="auto"/>
            <w:right w:val="none" w:sz="0" w:space="0" w:color="auto"/>
          </w:divBdr>
        </w:div>
        <w:div w:id="182019630">
          <w:marLeft w:val="0"/>
          <w:marRight w:val="0"/>
          <w:marTop w:val="0"/>
          <w:marBottom w:val="0"/>
          <w:divBdr>
            <w:top w:val="none" w:sz="0" w:space="0" w:color="auto"/>
            <w:left w:val="none" w:sz="0" w:space="0" w:color="auto"/>
            <w:bottom w:val="none" w:sz="0" w:space="0" w:color="auto"/>
            <w:right w:val="none" w:sz="0" w:space="0" w:color="auto"/>
          </w:divBdr>
        </w:div>
        <w:div w:id="210001799">
          <w:marLeft w:val="0"/>
          <w:marRight w:val="0"/>
          <w:marTop w:val="0"/>
          <w:marBottom w:val="0"/>
          <w:divBdr>
            <w:top w:val="none" w:sz="0" w:space="0" w:color="auto"/>
            <w:left w:val="none" w:sz="0" w:space="0" w:color="auto"/>
            <w:bottom w:val="none" w:sz="0" w:space="0" w:color="auto"/>
            <w:right w:val="none" w:sz="0" w:space="0" w:color="auto"/>
          </w:divBdr>
        </w:div>
        <w:div w:id="611212213">
          <w:marLeft w:val="0"/>
          <w:marRight w:val="0"/>
          <w:marTop w:val="0"/>
          <w:marBottom w:val="0"/>
          <w:divBdr>
            <w:top w:val="none" w:sz="0" w:space="0" w:color="auto"/>
            <w:left w:val="none" w:sz="0" w:space="0" w:color="auto"/>
            <w:bottom w:val="none" w:sz="0" w:space="0" w:color="auto"/>
            <w:right w:val="none" w:sz="0" w:space="0" w:color="auto"/>
          </w:divBdr>
        </w:div>
        <w:div w:id="627248245">
          <w:marLeft w:val="0"/>
          <w:marRight w:val="0"/>
          <w:marTop w:val="0"/>
          <w:marBottom w:val="0"/>
          <w:divBdr>
            <w:top w:val="none" w:sz="0" w:space="0" w:color="auto"/>
            <w:left w:val="none" w:sz="0" w:space="0" w:color="auto"/>
            <w:bottom w:val="none" w:sz="0" w:space="0" w:color="auto"/>
            <w:right w:val="none" w:sz="0" w:space="0" w:color="auto"/>
          </w:divBdr>
        </w:div>
        <w:div w:id="979964887">
          <w:marLeft w:val="0"/>
          <w:marRight w:val="0"/>
          <w:marTop w:val="0"/>
          <w:marBottom w:val="0"/>
          <w:divBdr>
            <w:top w:val="none" w:sz="0" w:space="0" w:color="auto"/>
            <w:left w:val="none" w:sz="0" w:space="0" w:color="auto"/>
            <w:bottom w:val="none" w:sz="0" w:space="0" w:color="auto"/>
            <w:right w:val="none" w:sz="0" w:space="0" w:color="auto"/>
          </w:divBdr>
        </w:div>
        <w:div w:id="1222908520">
          <w:marLeft w:val="0"/>
          <w:marRight w:val="0"/>
          <w:marTop w:val="0"/>
          <w:marBottom w:val="0"/>
          <w:divBdr>
            <w:top w:val="none" w:sz="0" w:space="0" w:color="auto"/>
            <w:left w:val="none" w:sz="0" w:space="0" w:color="auto"/>
            <w:bottom w:val="none" w:sz="0" w:space="0" w:color="auto"/>
            <w:right w:val="none" w:sz="0" w:space="0" w:color="auto"/>
          </w:divBdr>
        </w:div>
        <w:div w:id="1380518222">
          <w:marLeft w:val="0"/>
          <w:marRight w:val="0"/>
          <w:marTop w:val="0"/>
          <w:marBottom w:val="0"/>
          <w:divBdr>
            <w:top w:val="none" w:sz="0" w:space="0" w:color="auto"/>
            <w:left w:val="none" w:sz="0" w:space="0" w:color="auto"/>
            <w:bottom w:val="none" w:sz="0" w:space="0" w:color="auto"/>
            <w:right w:val="none" w:sz="0" w:space="0" w:color="auto"/>
          </w:divBdr>
        </w:div>
        <w:div w:id="1403142489">
          <w:marLeft w:val="0"/>
          <w:marRight w:val="0"/>
          <w:marTop w:val="0"/>
          <w:marBottom w:val="0"/>
          <w:divBdr>
            <w:top w:val="none" w:sz="0" w:space="0" w:color="auto"/>
            <w:left w:val="none" w:sz="0" w:space="0" w:color="auto"/>
            <w:bottom w:val="none" w:sz="0" w:space="0" w:color="auto"/>
            <w:right w:val="none" w:sz="0" w:space="0" w:color="auto"/>
          </w:divBdr>
        </w:div>
        <w:div w:id="1819111032">
          <w:marLeft w:val="0"/>
          <w:marRight w:val="0"/>
          <w:marTop w:val="0"/>
          <w:marBottom w:val="0"/>
          <w:divBdr>
            <w:top w:val="none" w:sz="0" w:space="0" w:color="auto"/>
            <w:left w:val="none" w:sz="0" w:space="0" w:color="auto"/>
            <w:bottom w:val="none" w:sz="0" w:space="0" w:color="auto"/>
            <w:right w:val="none" w:sz="0" w:space="0" w:color="auto"/>
          </w:divBdr>
        </w:div>
        <w:div w:id="1845628310">
          <w:marLeft w:val="0"/>
          <w:marRight w:val="0"/>
          <w:marTop w:val="0"/>
          <w:marBottom w:val="0"/>
          <w:divBdr>
            <w:top w:val="none" w:sz="0" w:space="0" w:color="auto"/>
            <w:left w:val="none" w:sz="0" w:space="0" w:color="auto"/>
            <w:bottom w:val="none" w:sz="0" w:space="0" w:color="auto"/>
            <w:right w:val="none" w:sz="0" w:space="0" w:color="auto"/>
          </w:divBdr>
        </w:div>
        <w:div w:id="1944025873">
          <w:marLeft w:val="0"/>
          <w:marRight w:val="0"/>
          <w:marTop w:val="0"/>
          <w:marBottom w:val="0"/>
          <w:divBdr>
            <w:top w:val="none" w:sz="0" w:space="0" w:color="auto"/>
            <w:left w:val="none" w:sz="0" w:space="0" w:color="auto"/>
            <w:bottom w:val="none" w:sz="0" w:space="0" w:color="auto"/>
            <w:right w:val="none" w:sz="0" w:space="0" w:color="auto"/>
          </w:divBdr>
        </w:div>
      </w:divsChild>
    </w:div>
    <w:div w:id="270212079">
      <w:bodyDiv w:val="1"/>
      <w:marLeft w:val="0"/>
      <w:marRight w:val="0"/>
      <w:marTop w:val="0"/>
      <w:marBottom w:val="0"/>
      <w:divBdr>
        <w:top w:val="none" w:sz="0" w:space="0" w:color="auto"/>
        <w:left w:val="none" w:sz="0" w:space="0" w:color="auto"/>
        <w:bottom w:val="none" w:sz="0" w:space="0" w:color="auto"/>
        <w:right w:val="none" w:sz="0" w:space="0" w:color="auto"/>
      </w:divBdr>
    </w:div>
    <w:div w:id="306512751">
      <w:bodyDiv w:val="1"/>
      <w:marLeft w:val="0"/>
      <w:marRight w:val="0"/>
      <w:marTop w:val="0"/>
      <w:marBottom w:val="0"/>
      <w:divBdr>
        <w:top w:val="none" w:sz="0" w:space="0" w:color="auto"/>
        <w:left w:val="none" w:sz="0" w:space="0" w:color="auto"/>
        <w:bottom w:val="none" w:sz="0" w:space="0" w:color="auto"/>
        <w:right w:val="none" w:sz="0" w:space="0" w:color="auto"/>
      </w:divBdr>
    </w:div>
    <w:div w:id="306787220">
      <w:bodyDiv w:val="1"/>
      <w:marLeft w:val="0"/>
      <w:marRight w:val="0"/>
      <w:marTop w:val="0"/>
      <w:marBottom w:val="0"/>
      <w:divBdr>
        <w:top w:val="none" w:sz="0" w:space="0" w:color="auto"/>
        <w:left w:val="none" w:sz="0" w:space="0" w:color="auto"/>
        <w:bottom w:val="none" w:sz="0" w:space="0" w:color="auto"/>
        <w:right w:val="none" w:sz="0" w:space="0" w:color="auto"/>
      </w:divBdr>
    </w:div>
    <w:div w:id="329911050">
      <w:bodyDiv w:val="1"/>
      <w:marLeft w:val="0"/>
      <w:marRight w:val="0"/>
      <w:marTop w:val="0"/>
      <w:marBottom w:val="0"/>
      <w:divBdr>
        <w:top w:val="none" w:sz="0" w:space="0" w:color="auto"/>
        <w:left w:val="none" w:sz="0" w:space="0" w:color="auto"/>
        <w:bottom w:val="none" w:sz="0" w:space="0" w:color="auto"/>
        <w:right w:val="none" w:sz="0" w:space="0" w:color="auto"/>
      </w:divBdr>
    </w:div>
    <w:div w:id="365250725">
      <w:bodyDiv w:val="1"/>
      <w:marLeft w:val="0"/>
      <w:marRight w:val="0"/>
      <w:marTop w:val="0"/>
      <w:marBottom w:val="0"/>
      <w:divBdr>
        <w:top w:val="none" w:sz="0" w:space="0" w:color="auto"/>
        <w:left w:val="none" w:sz="0" w:space="0" w:color="auto"/>
        <w:bottom w:val="none" w:sz="0" w:space="0" w:color="auto"/>
        <w:right w:val="none" w:sz="0" w:space="0" w:color="auto"/>
      </w:divBdr>
    </w:div>
    <w:div w:id="366368782">
      <w:bodyDiv w:val="1"/>
      <w:marLeft w:val="0"/>
      <w:marRight w:val="0"/>
      <w:marTop w:val="0"/>
      <w:marBottom w:val="0"/>
      <w:divBdr>
        <w:top w:val="none" w:sz="0" w:space="0" w:color="auto"/>
        <w:left w:val="none" w:sz="0" w:space="0" w:color="auto"/>
        <w:bottom w:val="none" w:sz="0" w:space="0" w:color="auto"/>
        <w:right w:val="none" w:sz="0" w:space="0" w:color="auto"/>
      </w:divBdr>
    </w:div>
    <w:div w:id="374238163">
      <w:bodyDiv w:val="1"/>
      <w:marLeft w:val="0"/>
      <w:marRight w:val="0"/>
      <w:marTop w:val="0"/>
      <w:marBottom w:val="0"/>
      <w:divBdr>
        <w:top w:val="none" w:sz="0" w:space="0" w:color="auto"/>
        <w:left w:val="none" w:sz="0" w:space="0" w:color="auto"/>
        <w:bottom w:val="none" w:sz="0" w:space="0" w:color="auto"/>
        <w:right w:val="none" w:sz="0" w:space="0" w:color="auto"/>
      </w:divBdr>
    </w:div>
    <w:div w:id="425930526">
      <w:bodyDiv w:val="1"/>
      <w:marLeft w:val="0"/>
      <w:marRight w:val="0"/>
      <w:marTop w:val="0"/>
      <w:marBottom w:val="0"/>
      <w:divBdr>
        <w:top w:val="none" w:sz="0" w:space="0" w:color="auto"/>
        <w:left w:val="none" w:sz="0" w:space="0" w:color="auto"/>
        <w:bottom w:val="none" w:sz="0" w:space="0" w:color="auto"/>
        <w:right w:val="none" w:sz="0" w:space="0" w:color="auto"/>
      </w:divBdr>
    </w:div>
    <w:div w:id="432167348">
      <w:bodyDiv w:val="1"/>
      <w:marLeft w:val="0"/>
      <w:marRight w:val="0"/>
      <w:marTop w:val="0"/>
      <w:marBottom w:val="0"/>
      <w:divBdr>
        <w:top w:val="none" w:sz="0" w:space="0" w:color="auto"/>
        <w:left w:val="none" w:sz="0" w:space="0" w:color="auto"/>
        <w:bottom w:val="none" w:sz="0" w:space="0" w:color="auto"/>
        <w:right w:val="none" w:sz="0" w:space="0" w:color="auto"/>
      </w:divBdr>
      <w:divsChild>
        <w:div w:id="785852315">
          <w:marLeft w:val="0"/>
          <w:marRight w:val="0"/>
          <w:marTop w:val="0"/>
          <w:marBottom w:val="0"/>
          <w:divBdr>
            <w:top w:val="none" w:sz="0" w:space="0" w:color="auto"/>
            <w:left w:val="none" w:sz="0" w:space="0" w:color="auto"/>
            <w:bottom w:val="none" w:sz="0" w:space="0" w:color="auto"/>
            <w:right w:val="none" w:sz="0" w:space="0" w:color="auto"/>
          </w:divBdr>
        </w:div>
        <w:div w:id="1030567567">
          <w:marLeft w:val="0"/>
          <w:marRight w:val="0"/>
          <w:marTop w:val="0"/>
          <w:marBottom w:val="0"/>
          <w:divBdr>
            <w:top w:val="none" w:sz="0" w:space="0" w:color="auto"/>
            <w:left w:val="none" w:sz="0" w:space="0" w:color="auto"/>
            <w:bottom w:val="none" w:sz="0" w:space="0" w:color="auto"/>
            <w:right w:val="none" w:sz="0" w:space="0" w:color="auto"/>
          </w:divBdr>
        </w:div>
        <w:div w:id="1382438674">
          <w:marLeft w:val="0"/>
          <w:marRight w:val="0"/>
          <w:marTop w:val="0"/>
          <w:marBottom w:val="0"/>
          <w:divBdr>
            <w:top w:val="none" w:sz="0" w:space="0" w:color="auto"/>
            <w:left w:val="none" w:sz="0" w:space="0" w:color="auto"/>
            <w:bottom w:val="none" w:sz="0" w:space="0" w:color="auto"/>
            <w:right w:val="none" w:sz="0" w:space="0" w:color="auto"/>
          </w:divBdr>
        </w:div>
        <w:div w:id="1386566354">
          <w:marLeft w:val="0"/>
          <w:marRight w:val="0"/>
          <w:marTop w:val="0"/>
          <w:marBottom w:val="0"/>
          <w:divBdr>
            <w:top w:val="none" w:sz="0" w:space="0" w:color="auto"/>
            <w:left w:val="none" w:sz="0" w:space="0" w:color="auto"/>
            <w:bottom w:val="none" w:sz="0" w:space="0" w:color="auto"/>
            <w:right w:val="none" w:sz="0" w:space="0" w:color="auto"/>
          </w:divBdr>
        </w:div>
        <w:div w:id="1480807785">
          <w:marLeft w:val="0"/>
          <w:marRight w:val="0"/>
          <w:marTop w:val="0"/>
          <w:marBottom w:val="0"/>
          <w:divBdr>
            <w:top w:val="none" w:sz="0" w:space="0" w:color="auto"/>
            <w:left w:val="none" w:sz="0" w:space="0" w:color="auto"/>
            <w:bottom w:val="none" w:sz="0" w:space="0" w:color="auto"/>
            <w:right w:val="none" w:sz="0" w:space="0" w:color="auto"/>
          </w:divBdr>
        </w:div>
        <w:div w:id="1745831687">
          <w:marLeft w:val="0"/>
          <w:marRight w:val="0"/>
          <w:marTop w:val="0"/>
          <w:marBottom w:val="0"/>
          <w:divBdr>
            <w:top w:val="none" w:sz="0" w:space="0" w:color="auto"/>
            <w:left w:val="none" w:sz="0" w:space="0" w:color="auto"/>
            <w:bottom w:val="none" w:sz="0" w:space="0" w:color="auto"/>
            <w:right w:val="none" w:sz="0" w:space="0" w:color="auto"/>
          </w:divBdr>
        </w:div>
        <w:div w:id="1834487026">
          <w:marLeft w:val="0"/>
          <w:marRight w:val="0"/>
          <w:marTop w:val="0"/>
          <w:marBottom w:val="0"/>
          <w:divBdr>
            <w:top w:val="none" w:sz="0" w:space="0" w:color="auto"/>
            <w:left w:val="none" w:sz="0" w:space="0" w:color="auto"/>
            <w:bottom w:val="none" w:sz="0" w:space="0" w:color="auto"/>
            <w:right w:val="none" w:sz="0" w:space="0" w:color="auto"/>
          </w:divBdr>
        </w:div>
        <w:div w:id="1841656536">
          <w:marLeft w:val="0"/>
          <w:marRight w:val="0"/>
          <w:marTop w:val="0"/>
          <w:marBottom w:val="0"/>
          <w:divBdr>
            <w:top w:val="none" w:sz="0" w:space="0" w:color="auto"/>
            <w:left w:val="none" w:sz="0" w:space="0" w:color="auto"/>
            <w:bottom w:val="none" w:sz="0" w:space="0" w:color="auto"/>
            <w:right w:val="none" w:sz="0" w:space="0" w:color="auto"/>
          </w:divBdr>
        </w:div>
        <w:div w:id="2102211603">
          <w:marLeft w:val="0"/>
          <w:marRight w:val="0"/>
          <w:marTop w:val="0"/>
          <w:marBottom w:val="0"/>
          <w:divBdr>
            <w:top w:val="none" w:sz="0" w:space="0" w:color="auto"/>
            <w:left w:val="none" w:sz="0" w:space="0" w:color="auto"/>
            <w:bottom w:val="none" w:sz="0" w:space="0" w:color="auto"/>
            <w:right w:val="none" w:sz="0" w:space="0" w:color="auto"/>
          </w:divBdr>
        </w:div>
      </w:divsChild>
    </w:div>
    <w:div w:id="560529953">
      <w:bodyDiv w:val="1"/>
      <w:marLeft w:val="0"/>
      <w:marRight w:val="0"/>
      <w:marTop w:val="0"/>
      <w:marBottom w:val="0"/>
      <w:divBdr>
        <w:top w:val="none" w:sz="0" w:space="0" w:color="auto"/>
        <w:left w:val="none" w:sz="0" w:space="0" w:color="auto"/>
        <w:bottom w:val="none" w:sz="0" w:space="0" w:color="auto"/>
        <w:right w:val="none" w:sz="0" w:space="0" w:color="auto"/>
      </w:divBdr>
    </w:div>
    <w:div w:id="574318065">
      <w:bodyDiv w:val="1"/>
      <w:marLeft w:val="0"/>
      <w:marRight w:val="0"/>
      <w:marTop w:val="0"/>
      <w:marBottom w:val="0"/>
      <w:divBdr>
        <w:top w:val="none" w:sz="0" w:space="0" w:color="auto"/>
        <w:left w:val="none" w:sz="0" w:space="0" w:color="auto"/>
        <w:bottom w:val="none" w:sz="0" w:space="0" w:color="auto"/>
        <w:right w:val="none" w:sz="0" w:space="0" w:color="auto"/>
      </w:divBdr>
    </w:div>
    <w:div w:id="578365541">
      <w:bodyDiv w:val="1"/>
      <w:marLeft w:val="0"/>
      <w:marRight w:val="0"/>
      <w:marTop w:val="0"/>
      <w:marBottom w:val="0"/>
      <w:divBdr>
        <w:top w:val="none" w:sz="0" w:space="0" w:color="auto"/>
        <w:left w:val="none" w:sz="0" w:space="0" w:color="auto"/>
        <w:bottom w:val="none" w:sz="0" w:space="0" w:color="auto"/>
        <w:right w:val="none" w:sz="0" w:space="0" w:color="auto"/>
      </w:divBdr>
    </w:div>
    <w:div w:id="644743394">
      <w:bodyDiv w:val="1"/>
      <w:marLeft w:val="0"/>
      <w:marRight w:val="0"/>
      <w:marTop w:val="0"/>
      <w:marBottom w:val="0"/>
      <w:divBdr>
        <w:top w:val="none" w:sz="0" w:space="0" w:color="auto"/>
        <w:left w:val="none" w:sz="0" w:space="0" w:color="auto"/>
        <w:bottom w:val="none" w:sz="0" w:space="0" w:color="auto"/>
        <w:right w:val="none" w:sz="0" w:space="0" w:color="auto"/>
      </w:divBdr>
      <w:divsChild>
        <w:div w:id="405419756">
          <w:marLeft w:val="0"/>
          <w:marRight w:val="0"/>
          <w:marTop w:val="0"/>
          <w:marBottom w:val="0"/>
          <w:divBdr>
            <w:top w:val="none" w:sz="0" w:space="0" w:color="auto"/>
            <w:left w:val="none" w:sz="0" w:space="0" w:color="auto"/>
            <w:bottom w:val="none" w:sz="0" w:space="0" w:color="auto"/>
            <w:right w:val="none" w:sz="0" w:space="0" w:color="auto"/>
          </w:divBdr>
        </w:div>
        <w:div w:id="534347462">
          <w:marLeft w:val="0"/>
          <w:marRight w:val="0"/>
          <w:marTop w:val="0"/>
          <w:marBottom w:val="0"/>
          <w:divBdr>
            <w:top w:val="none" w:sz="0" w:space="0" w:color="auto"/>
            <w:left w:val="none" w:sz="0" w:space="0" w:color="auto"/>
            <w:bottom w:val="none" w:sz="0" w:space="0" w:color="auto"/>
            <w:right w:val="none" w:sz="0" w:space="0" w:color="auto"/>
          </w:divBdr>
        </w:div>
        <w:div w:id="825441905">
          <w:marLeft w:val="0"/>
          <w:marRight w:val="0"/>
          <w:marTop w:val="0"/>
          <w:marBottom w:val="0"/>
          <w:divBdr>
            <w:top w:val="none" w:sz="0" w:space="0" w:color="auto"/>
            <w:left w:val="none" w:sz="0" w:space="0" w:color="auto"/>
            <w:bottom w:val="none" w:sz="0" w:space="0" w:color="auto"/>
            <w:right w:val="none" w:sz="0" w:space="0" w:color="auto"/>
          </w:divBdr>
          <w:divsChild>
            <w:div w:id="273291807">
              <w:marLeft w:val="0"/>
              <w:marRight w:val="0"/>
              <w:marTop w:val="0"/>
              <w:marBottom w:val="0"/>
              <w:divBdr>
                <w:top w:val="none" w:sz="0" w:space="0" w:color="auto"/>
                <w:left w:val="none" w:sz="0" w:space="0" w:color="auto"/>
                <w:bottom w:val="none" w:sz="0" w:space="0" w:color="auto"/>
                <w:right w:val="none" w:sz="0" w:space="0" w:color="auto"/>
              </w:divBdr>
            </w:div>
            <w:div w:id="707488854">
              <w:marLeft w:val="0"/>
              <w:marRight w:val="0"/>
              <w:marTop w:val="0"/>
              <w:marBottom w:val="0"/>
              <w:divBdr>
                <w:top w:val="none" w:sz="0" w:space="0" w:color="auto"/>
                <w:left w:val="none" w:sz="0" w:space="0" w:color="auto"/>
                <w:bottom w:val="none" w:sz="0" w:space="0" w:color="auto"/>
                <w:right w:val="none" w:sz="0" w:space="0" w:color="auto"/>
              </w:divBdr>
            </w:div>
            <w:div w:id="959917394">
              <w:marLeft w:val="0"/>
              <w:marRight w:val="0"/>
              <w:marTop w:val="0"/>
              <w:marBottom w:val="0"/>
              <w:divBdr>
                <w:top w:val="none" w:sz="0" w:space="0" w:color="auto"/>
                <w:left w:val="none" w:sz="0" w:space="0" w:color="auto"/>
                <w:bottom w:val="none" w:sz="0" w:space="0" w:color="auto"/>
                <w:right w:val="none" w:sz="0" w:space="0" w:color="auto"/>
              </w:divBdr>
            </w:div>
            <w:div w:id="1252543822">
              <w:marLeft w:val="0"/>
              <w:marRight w:val="0"/>
              <w:marTop w:val="0"/>
              <w:marBottom w:val="0"/>
              <w:divBdr>
                <w:top w:val="none" w:sz="0" w:space="0" w:color="auto"/>
                <w:left w:val="none" w:sz="0" w:space="0" w:color="auto"/>
                <w:bottom w:val="none" w:sz="0" w:space="0" w:color="auto"/>
                <w:right w:val="none" w:sz="0" w:space="0" w:color="auto"/>
              </w:divBdr>
            </w:div>
            <w:div w:id="1746104142">
              <w:marLeft w:val="0"/>
              <w:marRight w:val="0"/>
              <w:marTop w:val="0"/>
              <w:marBottom w:val="0"/>
              <w:divBdr>
                <w:top w:val="none" w:sz="0" w:space="0" w:color="auto"/>
                <w:left w:val="none" w:sz="0" w:space="0" w:color="auto"/>
                <w:bottom w:val="none" w:sz="0" w:space="0" w:color="auto"/>
                <w:right w:val="none" w:sz="0" w:space="0" w:color="auto"/>
              </w:divBdr>
            </w:div>
          </w:divsChild>
        </w:div>
        <w:div w:id="861628288">
          <w:marLeft w:val="0"/>
          <w:marRight w:val="0"/>
          <w:marTop w:val="0"/>
          <w:marBottom w:val="0"/>
          <w:divBdr>
            <w:top w:val="none" w:sz="0" w:space="0" w:color="auto"/>
            <w:left w:val="none" w:sz="0" w:space="0" w:color="auto"/>
            <w:bottom w:val="none" w:sz="0" w:space="0" w:color="auto"/>
            <w:right w:val="none" w:sz="0" w:space="0" w:color="auto"/>
          </w:divBdr>
        </w:div>
        <w:div w:id="862278931">
          <w:marLeft w:val="0"/>
          <w:marRight w:val="0"/>
          <w:marTop w:val="0"/>
          <w:marBottom w:val="0"/>
          <w:divBdr>
            <w:top w:val="none" w:sz="0" w:space="0" w:color="auto"/>
            <w:left w:val="none" w:sz="0" w:space="0" w:color="auto"/>
            <w:bottom w:val="none" w:sz="0" w:space="0" w:color="auto"/>
            <w:right w:val="none" w:sz="0" w:space="0" w:color="auto"/>
          </w:divBdr>
          <w:divsChild>
            <w:div w:id="2128498408">
              <w:marLeft w:val="-75"/>
              <w:marRight w:val="0"/>
              <w:marTop w:val="30"/>
              <w:marBottom w:val="30"/>
              <w:divBdr>
                <w:top w:val="none" w:sz="0" w:space="0" w:color="auto"/>
                <w:left w:val="none" w:sz="0" w:space="0" w:color="auto"/>
                <w:bottom w:val="none" w:sz="0" w:space="0" w:color="auto"/>
                <w:right w:val="none" w:sz="0" w:space="0" w:color="auto"/>
              </w:divBdr>
              <w:divsChild>
                <w:div w:id="172452569">
                  <w:marLeft w:val="0"/>
                  <w:marRight w:val="0"/>
                  <w:marTop w:val="0"/>
                  <w:marBottom w:val="0"/>
                  <w:divBdr>
                    <w:top w:val="none" w:sz="0" w:space="0" w:color="auto"/>
                    <w:left w:val="none" w:sz="0" w:space="0" w:color="auto"/>
                    <w:bottom w:val="none" w:sz="0" w:space="0" w:color="auto"/>
                    <w:right w:val="none" w:sz="0" w:space="0" w:color="auto"/>
                  </w:divBdr>
                  <w:divsChild>
                    <w:div w:id="419326830">
                      <w:marLeft w:val="0"/>
                      <w:marRight w:val="0"/>
                      <w:marTop w:val="0"/>
                      <w:marBottom w:val="0"/>
                      <w:divBdr>
                        <w:top w:val="none" w:sz="0" w:space="0" w:color="auto"/>
                        <w:left w:val="none" w:sz="0" w:space="0" w:color="auto"/>
                        <w:bottom w:val="none" w:sz="0" w:space="0" w:color="auto"/>
                        <w:right w:val="none" w:sz="0" w:space="0" w:color="auto"/>
                      </w:divBdr>
                    </w:div>
                  </w:divsChild>
                </w:div>
                <w:div w:id="178395425">
                  <w:marLeft w:val="0"/>
                  <w:marRight w:val="0"/>
                  <w:marTop w:val="0"/>
                  <w:marBottom w:val="0"/>
                  <w:divBdr>
                    <w:top w:val="none" w:sz="0" w:space="0" w:color="auto"/>
                    <w:left w:val="none" w:sz="0" w:space="0" w:color="auto"/>
                    <w:bottom w:val="none" w:sz="0" w:space="0" w:color="auto"/>
                    <w:right w:val="none" w:sz="0" w:space="0" w:color="auto"/>
                  </w:divBdr>
                  <w:divsChild>
                    <w:div w:id="562523200">
                      <w:marLeft w:val="0"/>
                      <w:marRight w:val="0"/>
                      <w:marTop w:val="0"/>
                      <w:marBottom w:val="0"/>
                      <w:divBdr>
                        <w:top w:val="none" w:sz="0" w:space="0" w:color="auto"/>
                        <w:left w:val="none" w:sz="0" w:space="0" w:color="auto"/>
                        <w:bottom w:val="none" w:sz="0" w:space="0" w:color="auto"/>
                        <w:right w:val="none" w:sz="0" w:space="0" w:color="auto"/>
                      </w:divBdr>
                    </w:div>
                  </w:divsChild>
                </w:div>
                <w:div w:id="499278433">
                  <w:marLeft w:val="0"/>
                  <w:marRight w:val="0"/>
                  <w:marTop w:val="0"/>
                  <w:marBottom w:val="0"/>
                  <w:divBdr>
                    <w:top w:val="none" w:sz="0" w:space="0" w:color="auto"/>
                    <w:left w:val="none" w:sz="0" w:space="0" w:color="auto"/>
                    <w:bottom w:val="none" w:sz="0" w:space="0" w:color="auto"/>
                    <w:right w:val="none" w:sz="0" w:space="0" w:color="auto"/>
                  </w:divBdr>
                  <w:divsChild>
                    <w:div w:id="278996748">
                      <w:marLeft w:val="0"/>
                      <w:marRight w:val="0"/>
                      <w:marTop w:val="0"/>
                      <w:marBottom w:val="0"/>
                      <w:divBdr>
                        <w:top w:val="none" w:sz="0" w:space="0" w:color="auto"/>
                        <w:left w:val="none" w:sz="0" w:space="0" w:color="auto"/>
                        <w:bottom w:val="none" w:sz="0" w:space="0" w:color="auto"/>
                        <w:right w:val="none" w:sz="0" w:space="0" w:color="auto"/>
                      </w:divBdr>
                    </w:div>
                  </w:divsChild>
                </w:div>
                <w:div w:id="942801652">
                  <w:marLeft w:val="0"/>
                  <w:marRight w:val="0"/>
                  <w:marTop w:val="0"/>
                  <w:marBottom w:val="0"/>
                  <w:divBdr>
                    <w:top w:val="none" w:sz="0" w:space="0" w:color="auto"/>
                    <w:left w:val="none" w:sz="0" w:space="0" w:color="auto"/>
                    <w:bottom w:val="none" w:sz="0" w:space="0" w:color="auto"/>
                    <w:right w:val="none" w:sz="0" w:space="0" w:color="auto"/>
                  </w:divBdr>
                  <w:divsChild>
                    <w:div w:id="1777405534">
                      <w:marLeft w:val="0"/>
                      <w:marRight w:val="0"/>
                      <w:marTop w:val="0"/>
                      <w:marBottom w:val="0"/>
                      <w:divBdr>
                        <w:top w:val="none" w:sz="0" w:space="0" w:color="auto"/>
                        <w:left w:val="none" w:sz="0" w:space="0" w:color="auto"/>
                        <w:bottom w:val="none" w:sz="0" w:space="0" w:color="auto"/>
                        <w:right w:val="none" w:sz="0" w:space="0" w:color="auto"/>
                      </w:divBdr>
                    </w:div>
                  </w:divsChild>
                </w:div>
                <w:div w:id="1338774876">
                  <w:marLeft w:val="0"/>
                  <w:marRight w:val="0"/>
                  <w:marTop w:val="0"/>
                  <w:marBottom w:val="0"/>
                  <w:divBdr>
                    <w:top w:val="none" w:sz="0" w:space="0" w:color="auto"/>
                    <w:left w:val="none" w:sz="0" w:space="0" w:color="auto"/>
                    <w:bottom w:val="none" w:sz="0" w:space="0" w:color="auto"/>
                    <w:right w:val="none" w:sz="0" w:space="0" w:color="auto"/>
                  </w:divBdr>
                  <w:divsChild>
                    <w:div w:id="1526677263">
                      <w:marLeft w:val="0"/>
                      <w:marRight w:val="0"/>
                      <w:marTop w:val="0"/>
                      <w:marBottom w:val="0"/>
                      <w:divBdr>
                        <w:top w:val="none" w:sz="0" w:space="0" w:color="auto"/>
                        <w:left w:val="none" w:sz="0" w:space="0" w:color="auto"/>
                        <w:bottom w:val="none" w:sz="0" w:space="0" w:color="auto"/>
                        <w:right w:val="none" w:sz="0" w:space="0" w:color="auto"/>
                      </w:divBdr>
                    </w:div>
                  </w:divsChild>
                </w:div>
                <w:div w:id="2080516354">
                  <w:marLeft w:val="0"/>
                  <w:marRight w:val="0"/>
                  <w:marTop w:val="0"/>
                  <w:marBottom w:val="0"/>
                  <w:divBdr>
                    <w:top w:val="none" w:sz="0" w:space="0" w:color="auto"/>
                    <w:left w:val="none" w:sz="0" w:space="0" w:color="auto"/>
                    <w:bottom w:val="none" w:sz="0" w:space="0" w:color="auto"/>
                    <w:right w:val="none" w:sz="0" w:space="0" w:color="auto"/>
                  </w:divBdr>
                  <w:divsChild>
                    <w:div w:id="14757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3305">
          <w:marLeft w:val="0"/>
          <w:marRight w:val="0"/>
          <w:marTop w:val="0"/>
          <w:marBottom w:val="0"/>
          <w:divBdr>
            <w:top w:val="none" w:sz="0" w:space="0" w:color="auto"/>
            <w:left w:val="none" w:sz="0" w:space="0" w:color="auto"/>
            <w:bottom w:val="none" w:sz="0" w:space="0" w:color="auto"/>
            <w:right w:val="none" w:sz="0" w:space="0" w:color="auto"/>
          </w:divBdr>
        </w:div>
        <w:div w:id="1246186070">
          <w:marLeft w:val="0"/>
          <w:marRight w:val="0"/>
          <w:marTop w:val="0"/>
          <w:marBottom w:val="0"/>
          <w:divBdr>
            <w:top w:val="none" w:sz="0" w:space="0" w:color="auto"/>
            <w:left w:val="none" w:sz="0" w:space="0" w:color="auto"/>
            <w:bottom w:val="none" w:sz="0" w:space="0" w:color="auto"/>
            <w:right w:val="none" w:sz="0" w:space="0" w:color="auto"/>
          </w:divBdr>
        </w:div>
        <w:div w:id="1398287839">
          <w:marLeft w:val="0"/>
          <w:marRight w:val="0"/>
          <w:marTop w:val="0"/>
          <w:marBottom w:val="0"/>
          <w:divBdr>
            <w:top w:val="none" w:sz="0" w:space="0" w:color="auto"/>
            <w:left w:val="none" w:sz="0" w:space="0" w:color="auto"/>
            <w:bottom w:val="none" w:sz="0" w:space="0" w:color="auto"/>
            <w:right w:val="none" w:sz="0" w:space="0" w:color="auto"/>
          </w:divBdr>
          <w:divsChild>
            <w:div w:id="230775667">
              <w:marLeft w:val="0"/>
              <w:marRight w:val="0"/>
              <w:marTop w:val="0"/>
              <w:marBottom w:val="0"/>
              <w:divBdr>
                <w:top w:val="none" w:sz="0" w:space="0" w:color="auto"/>
                <w:left w:val="none" w:sz="0" w:space="0" w:color="auto"/>
                <w:bottom w:val="none" w:sz="0" w:space="0" w:color="auto"/>
                <w:right w:val="none" w:sz="0" w:space="0" w:color="auto"/>
              </w:divBdr>
            </w:div>
            <w:div w:id="969552250">
              <w:marLeft w:val="0"/>
              <w:marRight w:val="0"/>
              <w:marTop w:val="0"/>
              <w:marBottom w:val="0"/>
              <w:divBdr>
                <w:top w:val="none" w:sz="0" w:space="0" w:color="auto"/>
                <w:left w:val="none" w:sz="0" w:space="0" w:color="auto"/>
                <w:bottom w:val="none" w:sz="0" w:space="0" w:color="auto"/>
                <w:right w:val="none" w:sz="0" w:space="0" w:color="auto"/>
              </w:divBdr>
            </w:div>
            <w:div w:id="1042945389">
              <w:marLeft w:val="0"/>
              <w:marRight w:val="0"/>
              <w:marTop w:val="0"/>
              <w:marBottom w:val="0"/>
              <w:divBdr>
                <w:top w:val="none" w:sz="0" w:space="0" w:color="auto"/>
                <w:left w:val="none" w:sz="0" w:space="0" w:color="auto"/>
                <w:bottom w:val="none" w:sz="0" w:space="0" w:color="auto"/>
                <w:right w:val="none" w:sz="0" w:space="0" w:color="auto"/>
              </w:divBdr>
            </w:div>
            <w:div w:id="2080050966">
              <w:marLeft w:val="0"/>
              <w:marRight w:val="0"/>
              <w:marTop w:val="0"/>
              <w:marBottom w:val="0"/>
              <w:divBdr>
                <w:top w:val="none" w:sz="0" w:space="0" w:color="auto"/>
                <w:left w:val="none" w:sz="0" w:space="0" w:color="auto"/>
                <w:bottom w:val="none" w:sz="0" w:space="0" w:color="auto"/>
                <w:right w:val="none" w:sz="0" w:space="0" w:color="auto"/>
              </w:divBdr>
            </w:div>
          </w:divsChild>
        </w:div>
        <w:div w:id="1435318457">
          <w:marLeft w:val="0"/>
          <w:marRight w:val="0"/>
          <w:marTop w:val="0"/>
          <w:marBottom w:val="0"/>
          <w:divBdr>
            <w:top w:val="none" w:sz="0" w:space="0" w:color="auto"/>
            <w:left w:val="none" w:sz="0" w:space="0" w:color="auto"/>
            <w:bottom w:val="none" w:sz="0" w:space="0" w:color="auto"/>
            <w:right w:val="none" w:sz="0" w:space="0" w:color="auto"/>
          </w:divBdr>
        </w:div>
        <w:div w:id="1442413431">
          <w:marLeft w:val="0"/>
          <w:marRight w:val="0"/>
          <w:marTop w:val="0"/>
          <w:marBottom w:val="0"/>
          <w:divBdr>
            <w:top w:val="none" w:sz="0" w:space="0" w:color="auto"/>
            <w:left w:val="none" w:sz="0" w:space="0" w:color="auto"/>
            <w:bottom w:val="none" w:sz="0" w:space="0" w:color="auto"/>
            <w:right w:val="none" w:sz="0" w:space="0" w:color="auto"/>
          </w:divBdr>
        </w:div>
        <w:div w:id="1638754450">
          <w:marLeft w:val="0"/>
          <w:marRight w:val="0"/>
          <w:marTop w:val="0"/>
          <w:marBottom w:val="0"/>
          <w:divBdr>
            <w:top w:val="none" w:sz="0" w:space="0" w:color="auto"/>
            <w:left w:val="none" w:sz="0" w:space="0" w:color="auto"/>
            <w:bottom w:val="none" w:sz="0" w:space="0" w:color="auto"/>
            <w:right w:val="none" w:sz="0" w:space="0" w:color="auto"/>
          </w:divBdr>
          <w:divsChild>
            <w:div w:id="37702729">
              <w:marLeft w:val="0"/>
              <w:marRight w:val="0"/>
              <w:marTop w:val="0"/>
              <w:marBottom w:val="0"/>
              <w:divBdr>
                <w:top w:val="none" w:sz="0" w:space="0" w:color="auto"/>
                <w:left w:val="none" w:sz="0" w:space="0" w:color="auto"/>
                <w:bottom w:val="none" w:sz="0" w:space="0" w:color="auto"/>
                <w:right w:val="none" w:sz="0" w:space="0" w:color="auto"/>
              </w:divBdr>
            </w:div>
            <w:div w:id="574170517">
              <w:marLeft w:val="0"/>
              <w:marRight w:val="0"/>
              <w:marTop w:val="0"/>
              <w:marBottom w:val="0"/>
              <w:divBdr>
                <w:top w:val="none" w:sz="0" w:space="0" w:color="auto"/>
                <w:left w:val="none" w:sz="0" w:space="0" w:color="auto"/>
                <w:bottom w:val="none" w:sz="0" w:space="0" w:color="auto"/>
                <w:right w:val="none" w:sz="0" w:space="0" w:color="auto"/>
              </w:divBdr>
            </w:div>
            <w:div w:id="1278175418">
              <w:marLeft w:val="0"/>
              <w:marRight w:val="0"/>
              <w:marTop w:val="0"/>
              <w:marBottom w:val="0"/>
              <w:divBdr>
                <w:top w:val="none" w:sz="0" w:space="0" w:color="auto"/>
                <w:left w:val="none" w:sz="0" w:space="0" w:color="auto"/>
                <w:bottom w:val="none" w:sz="0" w:space="0" w:color="auto"/>
                <w:right w:val="none" w:sz="0" w:space="0" w:color="auto"/>
              </w:divBdr>
            </w:div>
            <w:div w:id="1541896098">
              <w:marLeft w:val="0"/>
              <w:marRight w:val="0"/>
              <w:marTop w:val="0"/>
              <w:marBottom w:val="0"/>
              <w:divBdr>
                <w:top w:val="none" w:sz="0" w:space="0" w:color="auto"/>
                <w:left w:val="none" w:sz="0" w:space="0" w:color="auto"/>
                <w:bottom w:val="none" w:sz="0" w:space="0" w:color="auto"/>
                <w:right w:val="none" w:sz="0" w:space="0" w:color="auto"/>
              </w:divBdr>
            </w:div>
          </w:divsChild>
        </w:div>
        <w:div w:id="1867254977">
          <w:marLeft w:val="0"/>
          <w:marRight w:val="0"/>
          <w:marTop w:val="0"/>
          <w:marBottom w:val="0"/>
          <w:divBdr>
            <w:top w:val="none" w:sz="0" w:space="0" w:color="auto"/>
            <w:left w:val="none" w:sz="0" w:space="0" w:color="auto"/>
            <w:bottom w:val="none" w:sz="0" w:space="0" w:color="auto"/>
            <w:right w:val="none" w:sz="0" w:space="0" w:color="auto"/>
          </w:divBdr>
        </w:div>
      </w:divsChild>
    </w:div>
    <w:div w:id="696200819">
      <w:bodyDiv w:val="1"/>
      <w:marLeft w:val="0"/>
      <w:marRight w:val="0"/>
      <w:marTop w:val="0"/>
      <w:marBottom w:val="0"/>
      <w:divBdr>
        <w:top w:val="none" w:sz="0" w:space="0" w:color="auto"/>
        <w:left w:val="none" w:sz="0" w:space="0" w:color="auto"/>
        <w:bottom w:val="none" w:sz="0" w:space="0" w:color="auto"/>
        <w:right w:val="none" w:sz="0" w:space="0" w:color="auto"/>
      </w:divBdr>
    </w:div>
    <w:div w:id="727343994">
      <w:bodyDiv w:val="1"/>
      <w:marLeft w:val="0"/>
      <w:marRight w:val="0"/>
      <w:marTop w:val="0"/>
      <w:marBottom w:val="0"/>
      <w:divBdr>
        <w:top w:val="none" w:sz="0" w:space="0" w:color="auto"/>
        <w:left w:val="none" w:sz="0" w:space="0" w:color="auto"/>
        <w:bottom w:val="none" w:sz="0" w:space="0" w:color="auto"/>
        <w:right w:val="none" w:sz="0" w:space="0" w:color="auto"/>
      </w:divBdr>
    </w:div>
    <w:div w:id="732002494">
      <w:bodyDiv w:val="1"/>
      <w:marLeft w:val="0"/>
      <w:marRight w:val="0"/>
      <w:marTop w:val="0"/>
      <w:marBottom w:val="0"/>
      <w:divBdr>
        <w:top w:val="none" w:sz="0" w:space="0" w:color="auto"/>
        <w:left w:val="none" w:sz="0" w:space="0" w:color="auto"/>
        <w:bottom w:val="none" w:sz="0" w:space="0" w:color="auto"/>
        <w:right w:val="none" w:sz="0" w:space="0" w:color="auto"/>
      </w:divBdr>
    </w:div>
    <w:div w:id="822164515">
      <w:bodyDiv w:val="1"/>
      <w:marLeft w:val="0"/>
      <w:marRight w:val="0"/>
      <w:marTop w:val="0"/>
      <w:marBottom w:val="0"/>
      <w:divBdr>
        <w:top w:val="none" w:sz="0" w:space="0" w:color="auto"/>
        <w:left w:val="none" w:sz="0" w:space="0" w:color="auto"/>
        <w:bottom w:val="none" w:sz="0" w:space="0" w:color="auto"/>
        <w:right w:val="none" w:sz="0" w:space="0" w:color="auto"/>
      </w:divBdr>
    </w:div>
    <w:div w:id="840043682">
      <w:bodyDiv w:val="1"/>
      <w:marLeft w:val="0"/>
      <w:marRight w:val="0"/>
      <w:marTop w:val="0"/>
      <w:marBottom w:val="0"/>
      <w:divBdr>
        <w:top w:val="none" w:sz="0" w:space="0" w:color="auto"/>
        <w:left w:val="none" w:sz="0" w:space="0" w:color="auto"/>
        <w:bottom w:val="none" w:sz="0" w:space="0" w:color="auto"/>
        <w:right w:val="none" w:sz="0" w:space="0" w:color="auto"/>
      </w:divBdr>
    </w:div>
    <w:div w:id="867834870">
      <w:bodyDiv w:val="1"/>
      <w:marLeft w:val="0"/>
      <w:marRight w:val="0"/>
      <w:marTop w:val="0"/>
      <w:marBottom w:val="0"/>
      <w:divBdr>
        <w:top w:val="none" w:sz="0" w:space="0" w:color="auto"/>
        <w:left w:val="none" w:sz="0" w:space="0" w:color="auto"/>
        <w:bottom w:val="none" w:sz="0" w:space="0" w:color="auto"/>
        <w:right w:val="none" w:sz="0" w:space="0" w:color="auto"/>
      </w:divBdr>
      <w:divsChild>
        <w:div w:id="1326980486">
          <w:marLeft w:val="806"/>
          <w:marRight w:val="0"/>
          <w:marTop w:val="200"/>
          <w:marBottom w:val="0"/>
          <w:divBdr>
            <w:top w:val="none" w:sz="0" w:space="0" w:color="auto"/>
            <w:left w:val="none" w:sz="0" w:space="0" w:color="auto"/>
            <w:bottom w:val="none" w:sz="0" w:space="0" w:color="auto"/>
            <w:right w:val="none" w:sz="0" w:space="0" w:color="auto"/>
          </w:divBdr>
        </w:div>
      </w:divsChild>
    </w:div>
    <w:div w:id="868834880">
      <w:bodyDiv w:val="1"/>
      <w:marLeft w:val="0"/>
      <w:marRight w:val="0"/>
      <w:marTop w:val="0"/>
      <w:marBottom w:val="0"/>
      <w:divBdr>
        <w:top w:val="none" w:sz="0" w:space="0" w:color="auto"/>
        <w:left w:val="none" w:sz="0" w:space="0" w:color="auto"/>
        <w:bottom w:val="none" w:sz="0" w:space="0" w:color="auto"/>
        <w:right w:val="none" w:sz="0" w:space="0" w:color="auto"/>
      </w:divBdr>
    </w:div>
    <w:div w:id="900947072">
      <w:bodyDiv w:val="1"/>
      <w:marLeft w:val="0"/>
      <w:marRight w:val="0"/>
      <w:marTop w:val="0"/>
      <w:marBottom w:val="0"/>
      <w:divBdr>
        <w:top w:val="none" w:sz="0" w:space="0" w:color="auto"/>
        <w:left w:val="none" w:sz="0" w:space="0" w:color="auto"/>
        <w:bottom w:val="none" w:sz="0" w:space="0" w:color="auto"/>
        <w:right w:val="none" w:sz="0" w:space="0" w:color="auto"/>
      </w:divBdr>
    </w:div>
    <w:div w:id="1007173235">
      <w:bodyDiv w:val="1"/>
      <w:marLeft w:val="0"/>
      <w:marRight w:val="0"/>
      <w:marTop w:val="0"/>
      <w:marBottom w:val="0"/>
      <w:divBdr>
        <w:top w:val="none" w:sz="0" w:space="0" w:color="auto"/>
        <w:left w:val="none" w:sz="0" w:space="0" w:color="auto"/>
        <w:bottom w:val="none" w:sz="0" w:space="0" w:color="auto"/>
        <w:right w:val="none" w:sz="0" w:space="0" w:color="auto"/>
      </w:divBdr>
    </w:div>
    <w:div w:id="1052390150">
      <w:bodyDiv w:val="1"/>
      <w:marLeft w:val="0"/>
      <w:marRight w:val="0"/>
      <w:marTop w:val="0"/>
      <w:marBottom w:val="0"/>
      <w:divBdr>
        <w:top w:val="none" w:sz="0" w:space="0" w:color="auto"/>
        <w:left w:val="none" w:sz="0" w:space="0" w:color="auto"/>
        <w:bottom w:val="none" w:sz="0" w:space="0" w:color="auto"/>
        <w:right w:val="none" w:sz="0" w:space="0" w:color="auto"/>
      </w:divBdr>
    </w:div>
    <w:div w:id="1074161938">
      <w:bodyDiv w:val="1"/>
      <w:marLeft w:val="0"/>
      <w:marRight w:val="0"/>
      <w:marTop w:val="0"/>
      <w:marBottom w:val="0"/>
      <w:divBdr>
        <w:top w:val="none" w:sz="0" w:space="0" w:color="auto"/>
        <w:left w:val="none" w:sz="0" w:space="0" w:color="auto"/>
        <w:bottom w:val="none" w:sz="0" w:space="0" w:color="auto"/>
        <w:right w:val="none" w:sz="0" w:space="0" w:color="auto"/>
      </w:divBdr>
      <w:divsChild>
        <w:div w:id="136579460">
          <w:marLeft w:val="1166"/>
          <w:marRight w:val="0"/>
          <w:marTop w:val="0"/>
          <w:marBottom w:val="0"/>
          <w:divBdr>
            <w:top w:val="none" w:sz="0" w:space="0" w:color="auto"/>
            <w:left w:val="none" w:sz="0" w:space="0" w:color="auto"/>
            <w:bottom w:val="none" w:sz="0" w:space="0" w:color="auto"/>
            <w:right w:val="none" w:sz="0" w:space="0" w:color="auto"/>
          </w:divBdr>
        </w:div>
        <w:div w:id="1359889069">
          <w:marLeft w:val="1166"/>
          <w:marRight w:val="0"/>
          <w:marTop w:val="0"/>
          <w:marBottom w:val="0"/>
          <w:divBdr>
            <w:top w:val="none" w:sz="0" w:space="0" w:color="auto"/>
            <w:left w:val="none" w:sz="0" w:space="0" w:color="auto"/>
            <w:bottom w:val="none" w:sz="0" w:space="0" w:color="auto"/>
            <w:right w:val="none" w:sz="0" w:space="0" w:color="auto"/>
          </w:divBdr>
        </w:div>
        <w:div w:id="1387022811">
          <w:marLeft w:val="547"/>
          <w:marRight w:val="0"/>
          <w:marTop w:val="0"/>
          <w:marBottom w:val="0"/>
          <w:divBdr>
            <w:top w:val="none" w:sz="0" w:space="0" w:color="auto"/>
            <w:left w:val="none" w:sz="0" w:space="0" w:color="auto"/>
            <w:bottom w:val="none" w:sz="0" w:space="0" w:color="auto"/>
            <w:right w:val="none" w:sz="0" w:space="0" w:color="auto"/>
          </w:divBdr>
        </w:div>
        <w:div w:id="1536699447">
          <w:marLeft w:val="547"/>
          <w:marRight w:val="0"/>
          <w:marTop w:val="0"/>
          <w:marBottom w:val="0"/>
          <w:divBdr>
            <w:top w:val="none" w:sz="0" w:space="0" w:color="auto"/>
            <w:left w:val="none" w:sz="0" w:space="0" w:color="auto"/>
            <w:bottom w:val="none" w:sz="0" w:space="0" w:color="auto"/>
            <w:right w:val="none" w:sz="0" w:space="0" w:color="auto"/>
          </w:divBdr>
        </w:div>
        <w:div w:id="1668630436">
          <w:marLeft w:val="1166"/>
          <w:marRight w:val="0"/>
          <w:marTop w:val="0"/>
          <w:marBottom w:val="0"/>
          <w:divBdr>
            <w:top w:val="none" w:sz="0" w:space="0" w:color="auto"/>
            <w:left w:val="none" w:sz="0" w:space="0" w:color="auto"/>
            <w:bottom w:val="none" w:sz="0" w:space="0" w:color="auto"/>
            <w:right w:val="none" w:sz="0" w:space="0" w:color="auto"/>
          </w:divBdr>
        </w:div>
        <w:div w:id="1671103786">
          <w:marLeft w:val="547"/>
          <w:marRight w:val="0"/>
          <w:marTop w:val="0"/>
          <w:marBottom w:val="0"/>
          <w:divBdr>
            <w:top w:val="none" w:sz="0" w:space="0" w:color="auto"/>
            <w:left w:val="none" w:sz="0" w:space="0" w:color="auto"/>
            <w:bottom w:val="none" w:sz="0" w:space="0" w:color="auto"/>
            <w:right w:val="none" w:sz="0" w:space="0" w:color="auto"/>
          </w:divBdr>
        </w:div>
      </w:divsChild>
    </w:div>
    <w:div w:id="1076510467">
      <w:bodyDiv w:val="1"/>
      <w:marLeft w:val="0"/>
      <w:marRight w:val="0"/>
      <w:marTop w:val="0"/>
      <w:marBottom w:val="0"/>
      <w:divBdr>
        <w:top w:val="none" w:sz="0" w:space="0" w:color="auto"/>
        <w:left w:val="none" w:sz="0" w:space="0" w:color="auto"/>
        <w:bottom w:val="none" w:sz="0" w:space="0" w:color="auto"/>
        <w:right w:val="none" w:sz="0" w:space="0" w:color="auto"/>
      </w:divBdr>
    </w:div>
    <w:div w:id="1081751872">
      <w:bodyDiv w:val="1"/>
      <w:marLeft w:val="0"/>
      <w:marRight w:val="0"/>
      <w:marTop w:val="0"/>
      <w:marBottom w:val="0"/>
      <w:divBdr>
        <w:top w:val="none" w:sz="0" w:space="0" w:color="auto"/>
        <w:left w:val="none" w:sz="0" w:space="0" w:color="auto"/>
        <w:bottom w:val="none" w:sz="0" w:space="0" w:color="auto"/>
        <w:right w:val="none" w:sz="0" w:space="0" w:color="auto"/>
      </w:divBdr>
    </w:div>
    <w:div w:id="1096439767">
      <w:bodyDiv w:val="1"/>
      <w:marLeft w:val="0"/>
      <w:marRight w:val="0"/>
      <w:marTop w:val="0"/>
      <w:marBottom w:val="0"/>
      <w:divBdr>
        <w:top w:val="none" w:sz="0" w:space="0" w:color="auto"/>
        <w:left w:val="none" w:sz="0" w:space="0" w:color="auto"/>
        <w:bottom w:val="none" w:sz="0" w:space="0" w:color="auto"/>
        <w:right w:val="none" w:sz="0" w:space="0" w:color="auto"/>
      </w:divBdr>
    </w:div>
    <w:div w:id="1209148368">
      <w:bodyDiv w:val="1"/>
      <w:marLeft w:val="0"/>
      <w:marRight w:val="0"/>
      <w:marTop w:val="0"/>
      <w:marBottom w:val="0"/>
      <w:divBdr>
        <w:top w:val="none" w:sz="0" w:space="0" w:color="auto"/>
        <w:left w:val="none" w:sz="0" w:space="0" w:color="auto"/>
        <w:bottom w:val="none" w:sz="0" w:space="0" w:color="auto"/>
        <w:right w:val="none" w:sz="0" w:space="0" w:color="auto"/>
      </w:divBdr>
    </w:div>
    <w:div w:id="1235319520">
      <w:bodyDiv w:val="1"/>
      <w:marLeft w:val="0"/>
      <w:marRight w:val="0"/>
      <w:marTop w:val="0"/>
      <w:marBottom w:val="0"/>
      <w:divBdr>
        <w:top w:val="none" w:sz="0" w:space="0" w:color="auto"/>
        <w:left w:val="none" w:sz="0" w:space="0" w:color="auto"/>
        <w:bottom w:val="none" w:sz="0" w:space="0" w:color="auto"/>
        <w:right w:val="none" w:sz="0" w:space="0" w:color="auto"/>
      </w:divBdr>
    </w:div>
    <w:div w:id="1295408741">
      <w:bodyDiv w:val="1"/>
      <w:marLeft w:val="0"/>
      <w:marRight w:val="0"/>
      <w:marTop w:val="0"/>
      <w:marBottom w:val="0"/>
      <w:divBdr>
        <w:top w:val="none" w:sz="0" w:space="0" w:color="auto"/>
        <w:left w:val="none" w:sz="0" w:space="0" w:color="auto"/>
        <w:bottom w:val="none" w:sz="0" w:space="0" w:color="auto"/>
        <w:right w:val="none" w:sz="0" w:space="0" w:color="auto"/>
      </w:divBdr>
    </w:div>
    <w:div w:id="1307398898">
      <w:bodyDiv w:val="1"/>
      <w:marLeft w:val="0"/>
      <w:marRight w:val="0"/>
      <w:marTop w:val="0"/>
      <w:marBottom w:val="0"/>
      <w:divBdr>
        <w:top w:val="none" w:sz="0" w:space="0" w:color="auto"/>
        <w:left w:val="none" w:sz="0" w:space="0" w:color="auto"/>
        <w:bottom w:val="none" w:sz="0" w:space="0" w:color="auto"/>
        <w:right w:val="none" w:sz="0" w:space="0" w:color="auto"/>
      </w:divBdr>
    </w:div>
    <w:div w:id="1314259425">
      <w:bodyDiv w:val="1"/>
      <w:marLeft w:val="0"/>
      <w:marRight w:val="0"/>
      <w:marTop w:val="0"/>
      <w:marBottom w:val="0"/>
      <w:divBdr>
        <w:top w:val="none" w:sz="0" w:space="0" w:color="auto"/>
        <w:left w:val="none" w:sz="0" w:space="0" w:color="auto"/>
        <w:bottom w:val="none" w:sz="0" w:space="0" w:color="auto"/>
        <w:right w:val="none" w:sz="0" w:space="0" w:color="auto"/>
      </w:divBdr>
    </w:div>
    <w:div w:id="1344671934">
      <w:bodyDiv w:val="1"/>
      <w:marLeft w:val="0"/>
      <w:marRight w:val="0"/>
      <w:marTop w:val="0"/>
      <w:marBottom w:val="0"/>
      <w:divBdr>
        <w:top w:val="none" w:sz="0" w:space="0" w:color="auto"/>
        <w:left w:val="none" w:sz="0" w:space="0" w:color="auto"/>
        <w:bottom w:val="none" w:sz="0" w:space="0" w:color="auto"/>
        <w:right w:val="none" w:sz="0" w:space="0" w:color="auto"/>
      </w:divBdr>
    </w:div>
    <w:div w:id="1351251522">
      <w:bodyDiv w:val="1"/>
      <w:marLeft w:val="0"/>
      <w:marRight w:val="0"/>
      <w:marTop w:val="0"/>
      <w:marBottom w:val="0"/>
      <w:divBdr>
        <w:top w:val="none" w:sz="0" w:space="0" w:color="auto"/>
        <w:left w:val="none" w:sz="0" w:space="0" w:color="auto"/>
        <w:bottom w:val="none" w:sz="0" w:space="0" w:color="auto"/>
        <w:right w:val="none" w:sz="0" w:space="0" w:color="auto"/>
      </w:divBdr>
    </w:div>
    <w:div w:id="1357584091">
      <w:bodyDiv w:val="1"/>
      <w:marLeft w:val="0"/>
      <w:marRight w:val="0"/>
      <w:marTop w:val="0"/>
      <w:marBottom w:val="0"/>
      <w:divBdr>
        <w:top w:val="none" w:sz="0" w:space="0" w:color="auto"/>
        <w:left w:val="none" w:sz="0" w:space="0" w:color="auto"/>
        <w:bottom w:val="none" w:sz="0" w:space="0" w:color="auto"/>
        <w:right w:val="none" w:sz="0" w:space="0" w:color="auto"/>
      </w:divBdr>
    </w:div>
    <w:div w:id="1365599712">
      <w:bodyDiv w:val="1"/>
      <w:marLeft w:val="0"/>
      <w:marRight w:val="0"/>
      <w:marTop w:val="0"/>
      <w:marBottom w:val="0"/>
      <w:divBdr>
        <w:top w:val="none" w:sz="0" w:space="0" w:color="auto"/>
        <w:left w:val="none" w:sz="0" w:space="0" w:color="auto"/>
        <w:bottom w:val="none" w:sz="0" w:space="0" w:color="auto"/>
        <w:right w:val="none" w:sz="0" w:space="0" w:color="auto"/>
      </w:divBdr>
    </w:div>
    <w:div w:id="1397512377">
      <w:bodyDiv w:val="1"/>
      <w:marLeft w:val="0"/>
      <w:marRight w:val="0"/>
      <w:marTop w:val="0"/>
      <w:marBottom w:val="0"/>
      <w:divBdr>
        <w:top w:val="none" w:sz="0" w:space="0" w:color="auto"/>
        <w:left w:val="none" w:sz="0" w:space="0" w:color="auto"/>
        <w:bottom w:val="none" w:sz="0" w:space="0" w:color="auto"/>
        <w:right w:val="none" w:sz="0" w:space="0" w:color="auto"/>
      </w:divBdr>
      <w:divsChild>
        <w:div w:id="282351160">
          <w:marLeft w:val="360"/>
          <w:marRight w:val="0"/>
          <w:marTop w:val="200"/>
          <w:marBottom w:val="0"/>
          <w:divBdr>
            <w:top w:val="none" w:sz="0" w:space="0" w:color="auto"/>
            <w:left w:val="none" w:sz="0" w:space="0" w:color="auto"/>
            <w:bottom w:val="none" w:sz="0" w:space="0" w:color="auto"/>
            <w:right w:val="none" w:sz="0" w:space="0" w:color="auto"/>
          </w:divBdr>
        </w:div>
      </w:divsChild>
    </w:div>
    <w:div w:id="1437554298">
      <w:bodyDiv w:val="1"/>
      <w:marLeft w:val="0"/>
      <w:marRight w:val="0"/>
      <w:marTop w:val="0"/>
      <w:marBottom w:val="0"/>
      <w:divBdr>
        <w:top w:val="none" w:sz="0" w:space="0" w:color="auto"/>
        <w:left w:val="none" w:sz="0" w:space="0" w:color="auto"/>
        <w:bottom w:val="none" w:sz="0" w:space="0" w:color="auto"/>
        <w:right w:val="none" w:sz="0" w:space="0" w:color="auto"/>
      </w:divBdr>
    </w:div>
    <w:div w:id="1447309972">
      <w:bodyDiv w:val="1"/>
      <w:marLeft w:val="0"/>
      <w:marRight w:val="0"/>
      <w:marTop w:val="0"/>
      <w:marBottom w:val="0"/>
      <w:divBdr>
        <w:top w:val="none" w:sz="0" w:space="0" w:color="auto"/>
        <w:left w:val="none" w:sz="0" w:space="0" w:color="auto"/>
        <w:bottom w:val="none" w:sz="0" w:space="0" w:color="auto"/>
        <w:right w:val="none" w:sz="0" w:space="0" w:color="auto"/>
      </w:divBdr>
    </w:div>
    <w:div w:id="1456144390">
      <w:bodyDiv w:val="1"/>
      <w:marLeft w:val="0"/>
      <w:marRight w:val="0"/>
      <w:marTop w:val="0"/>
      <w:marBottom w:val="0"/>
      <w:divBdr>
        <w:top w:val="none" w:sz="0" w:space="0" w:color="auto"/>
        <w:left w:val="none" w:sz="0" w:space="0" w:color="auto"/>
        <w:bottom w:val="none" w:sz="0" w:space="0" w:color="auto"/>
        <w:right w:val="none" w:sz="0" w:space="0" w:color="auto"/>
      </w:divBdr>
    </w:div>
    <w:div w:id="1500581866">
      <w:bodyDiv w:val="1"/>
      <w:marLeft w:val="0"/>
      <w:marRight w:val="0"/>
      <w:marTop w:val="0"/>
      <w:marBottom w:val="0"/>
      <w:divBdr>
        <w:top w:val="none" w:sz="0" w:space="0" w:color="auto"/>
        <w:left w:val="none" w:sz="0" w:space="0" w:color="auto"/>
        <w:bottom w:val="none" w:sz="0" w:space="0" w:color="auto"/>
        <w:right w:val="none" w:sz="0" w:space="0" w:color="auto"/>
      </w:divBdr>
    </w:div>
    <w:div w:id="1501190947">
      <w:bodyDiv w:val="1"/>
      <w:marLeft w:val="0"/>
      <w:marRight w:val="0"/>
      <w:marTop w:val="0"/>
      <w:marBottom w:val="0"/>
      <w:divBdr>
        <w:top w:val="none" w:sz="0" w:space="0" w:color="auto"/>
        <w:left w:val="none" w:sz="0" w:space="0" w:color="auto"/>
        <w:bottom w:val="none" w:sz="0" w:space="0" w:color="auto"/>
        <w:right w:val="none" w:sz="0" w:space="0" w:color="auto"/>
      </w:divBdr>
    </w:div>
    <w:div w:id="1506434676">
      <w:bodyDiv w:val="1"/>
      <w:marLeft w:val="0"/>
      <w:marRight w:val="0"/>
      <w:marTop w:val="0"/>
      <w:marBottom w:val="0"/>
      <w:divBdr>
        <w:top w:val="none" w:sz="0" w:space="0" w:color="auto"/>
        <w:left w:val="none" w:sz="0" w:space="0" w:color="auto"/>
        <w:bottom w:val="none" w:sz="0" w:space="0" w:color="auto"/>
        <w:right w:val="none" w:sz="0" w:space="0" w:color="auto"/>
      </w:divBdr>
    </w:div>
    <w:div w:id="1512718697">
      <w:bodyDiv w:val="1"/>
      <w:marLeft w:val="0"/>
      <w:marRight w:val="0"/>
      <w:marTop w:val="0"/>
      <w:marBottom w:val="0"/>
      <w:divBdr>
        <w:top w:val="none" w:sz="0" w:space="0" w:color="auto"/>
        <w:left w:val="none" w:sz="0" w:space="0" w:color="auto"/>
        <w:bottom w:val="none" w:sz="0" w:space="0" w:color="auto"/>
        <w:right w:val="none" w:sz="0" w:space="0" w:color="auto"/>
      </w:divBdr>
    </w:div>
    <w:div w:id="1514033541">
      <w:bodyDiv w:val="1"/>
      <w:marLeft w:val="0"/>
      <w:marRight w:val="0"/>
      <w:marTop w:val="0"/>
      <w:marBottom w:val="0"/>
      <w:divBdr>
        <w:top w:val="none" w:sz="0" w:space="0" w:color="auto"/>
        <w:left w:val="none" w:sz="0" w:space="0" w:color="auto"/>
        <w:bottom w:val="none" w:sz="0" w:space="0" w:color="auto"/>
        <w:right w:val="none" w:sz="0" w:space="0" w:color="auto"/>
      </w:divBdr>
    </w:div>
    <w:div w:id="1535119114">
      <w:bodyDiv w:val="1"/>
      <w:marLeft w:val="0"/>
      <w:marRight w:val="0"/>
      <w:marTop w:val="0"/>
      <w:marBottom w:val="0"/>
      <w:divBdr>
        <w:top w:val="none" w:sz="0" w:space="0" w:color="auto"/>
        <w:left w:val="none" w:sz="0" w:space="0" w:color="auto"/>
        <w:bottom w:val="none" w:sz="0" w:space="0" w:color="auto"/>
        <w:right w:val="none" w:sz="0" w:space="0" w:color="auto"/>
      </w:divBdr>
    </w:div>
    <w:div w:id="1546217475">
      <w:bodyDiv w:val="1"/>
      <w:marLeft w:val="0"/>
      <w:marRight w:val="0"/>
      <w:marTop w:val="0"/>
      <w:marBottom w:val="0"/>
      <w:divBdr>
        <w:top w:val="none" w:sz="0" w:space="0" w:color="auto"/>
        <w:left w:val="none" w:sz="0" w:space="0" w:color="auto"/>
        <w:bottom w:val="none" w:sz="0" w:space="0" w:color="auto"/>
        <w:right w:val="none" w:sz="0" w:space="0" w:color="auto"/>
      </w:divBdr>
    </w:div>
    <w:div w:id="1589804504">
      <w:bodyDiv w:val="1"/>
      <w:marLeft w:val="0"/>
      <w:marRight w:val="0"/>
      <w:marTop w:val="0"/>
      <w:marBottom w:val="0"/>
      <w:divBdr>
        <w:top w:val="none" w:sz="0" w:space="0" w:color="auto"/>
        <w:left w:val="none" w:sz="0" w:space="0" w:color="auto"/>
        <w:bottom w:val="none" w:sz="0" w:space="0" w:color="auto"/>
        <w:right w:val="none" w:sz="0" w:space="0" w:color="auto"/>
      </w:divBdr>
    </w:div>
    <w:div w:id="1598249710">
      <w:bodyDiv w:val="1"/>
      <w:marLeft w:val="0"/>
      <w:marRight w:val="0"/>
      <w:marTop w:val="0"/>
      <w:marBottom w:val="0"/>
      <w:divBdr>
        <w:top w:val="none" w:sz="0" w:space="0" w:color="auto"/>
        <w:left w:val="none" w:sz="0" w:space="0" w:color="auto"/>
        <w:bottom w:val="none" w:sz="0" w:space="0" w:color="auto"/>
        <w:right w:val="none" w:sz="0" w:space="0" w:color="auto"/>
      </w:divBdr>
    </w:div>
    <w:div w:id="1650204198">
      <w:bodyDiv w:val="1"/>
      <w:marLeft w:val="0"/>
      <w:marRight w:val="0"/>
      <w:marTop w:val="0"/>
      <w:marBottom w:val="0"/>
      <w:divBdr>
        <w:top w:val="none" w:sz="0" w:space="0" w:color="auto"/>
        <w:left w:val="none" w:sz="0" w:space="0" w:color="auto"/>
        <w:bottom w:val="none" w:sz="0" w:space="0" w:color="auto"/>
        <w:right w:val="none" w:sz="0" w:space="0" w:color="auto"/>
      </w:divBdr>
    </w:div>
    <w:div w:id="1664579644">
      <w:bodyDiv w:val="1"/>
      <w:marLeft w:val="0"/>
      <w:marRight w:val="0"/>
      <w:marTop w:val="0"/>
      <w:marBottom w:val="0"/>
      <w:divBdr>
        <w:top w:val="none" w:sz="0" w:space="0" w:color="auto"/>
        <w:left w:val="none" w:sz="0" w:space="0" w:color="auto"/>
        <w:bottom w:val="none" w:sz="0" w:space="0" w:color="auto"/>
        <w:right w:val="none" w:sz="0" w:space="0" w:color="auto"/>
      </w:divBdr>
    </w:div>
    <w:div w:id="1681006519">
      <w:bodyDiv w:val="1"/>
      <w:marLeft w:val="0"/>
      <w:marRight w:val="0"/>
      <w:marTop w:val="0"/>
      <w:marBottom w:val="0"/>
      <w:divBdr>
        <w:top w:val="none" w:sz="0" w:space="0" w:color="auto"/>
        <w:left w:val="none" w:sz="0" w:space="0" w:color="auto"/>
        <w:bottom w:val="none" w:sz="0" w:space="0" w:color="auto"/>
        <w:right w:val="none" w:sz="0" w:space="0" w:color="auto"/>
      </w:divBdr>
    </w:div>
    <w:div w:id="1704330312">
      <w:bodyDiv w:val="1"/>
      <w:marLeft w:val="0"/>
      <w:marRight w:val="0"/>
      <w:marTop w:val="0"/>
      <w:marBottom w:val="0"/>
      <w:divBdr>
        <w:top w:val="none" w:sz="0" w:space="0" w:color="auto"/>
        <w:left w:val="none" w:sz="0" w:space="0" w:color="auto"/>
        <w:bottom w:val="none" w:sz="0" w:space="0" w:color="auto"/>
        <w:right w:val="none" w:sz="0" w:space="0" w:color="auto"/>
      </w:divBdr>
    </w:div>
    <w:div w:id="1707831967">
      <w:bodyDiv w:val="1"/>
      <w:marLeft w:val="0"/>
      <w:marRight w:val="0"/>
      <w:marTop w:val="0"/>
      <w:marBottom w:val="0"/>
      <w:divBdr>
        <w:top w:val="none" w:sz="0" w:space="0" w:color="auto"/>
        <w:left w:val="none" w:sz="0" w:space="0" w:color="auto"/>
        <w:bottom w:val="none" w:sz="0" w:space="0" w:color="auto"/>
        <w:right w:val="none" w:sz="0" w:space="0" w:color="auto"/>
      </w:divBdr>
    </w:div>
    <w:div w:id="1724599414">
      <w:bodyDiv w:val="1"/>
      <w:marLeft w:val="0"/>
      <w:marRight w:val="0"/>
      <w:marTop w:val="0"/>
      <w:marBottom w:val="0"/>
      <w:divBdr>
        <w:top w:val="none" w:sz="0" w:space="0" w:color="auto"/>
        <w:left w:val="none" w:sz="0" w:space="0" w:color="auto"/>
        <w:bottom w:val="none" w:sz="0" w:space="0" w:color="auto"/>
        <w:right w:val="none" w:sz="0" w:space="0" w:color="auto"/>
      </w:divBdr>
    </w:div>
    <w:div w:id="1770925384">
      <w:bodyDiv w:val="1"/>
      <w:marLeft w:val="0"/>
      <w:marRight w:val="0"/>
      <w:marTop w:val="0"/>
      <w:marBottom w:val="0"/>
      <w:divBdr>
        <w:top w:val="none" w:sz="0" w:space="0" w:color="auto"/>
        <w:left w:val="none" w:sz="0" w:space="0" w:color="auto"/>
        <w:bottom w:val="none" w:sz="0" w:space="0" w:color="auto"/>
        <w:right w:val="none" w:sz="0" w:space="0" w:color="auto"/>
      </w:divBdr>
    </w:div>
    <w:div w:id="1784685029">
      <w:bodyDiv w:val="1"/>
      <w:marLeft w:val="0"/>
      <w:marRight w:val="0"/>
      <w:marTop w:val="0"/>
      <w:marBottom w:val="0"/>
      <w:divBdr>
        <w:top w:val="none" w:sz="0" w:space="0" w:color="auto"/>
        <w:left w:val="none" w:sz="0" w:space="0" w:color="auto"/>
        <w:bottom w:val="none" w:sz="0" w:space="0" w:color="auto"/>
        <w:right w:val="none" w:sz="0" w:space="0" w:color="auto"/>
      </w:divBdr>
    </w:div>
    <w:div w:id="1800802416">
      <w:bodyDiv w:val="1"/>
      <w:marLeft w:val="0"/>
      <w:marRight w:val="0"/>
      <w:marTop w:val="0"/>
      <w:marBottom w:val="0"/>
      <w:divBdr>
        <w:top w:val="none" w:sz="0" w:space="0" w:color="auto"/>
        <w:left w:val="none" w:sz="0" w:space="0" w:color="auto"/>
        <w:bottom w:val="none" w:sz="0" w:space="0" w:color="auto"/>
        <w:right w:val="none" w:sz="0" w:space="0" w:color="auto"/>
      </w:divBdr>
    </w:div>
    <w:div w:id="1822381108">
      <w:bodyDiv w:val="1"/>
      <w:marLeft w:val="0"/>
      <w:marRight w:val="0"/>
      <w:marTop w:val="0"/>
      <w:marBottom w:val="0"/>
      <w:divBdr>
        <w:top w:val="none" w:sz="0" w:space="0" w:color="auto"/>
        <w:left w:val="none" w:sz="0" w:space="0" w:color="auto"/>
        <w:bottom w:val="none" w:sz="0" w:space="0" w:color="auto"/>
        <w:right w:val="none" w:sz="0" w:space="0" w:color="auto"/>
      </w:divBdr>
    </w:div>
    <w:div w:id="1839222722">
      <w:bodyDiv w:val="1"/>
      <w:marLeft w:val="0"/>
      <w:marRight w:val="0"/>
      <w:marTop w:val="0"/>
      <w:marBottom w:val="0"/>
      <w:divBdr>
        <w:top w:val="none" w:sz="0" w:space="0" w:color="auto"/>
        <w:left w:val="none" w:sz="0" w:space="0" w:color="auto"/>
        <w:bottom w:val="none" w:sz="0" w:space="0" w:color="auto"/>
        <w:right w:val="none" w:sz="0" w:space="0" w:color="auto"/>
      </w:divBdr>
    </w:div>
    <w:div w:id="1885487749">
      <w:bodyDiv w:val="1"/>
      <w:marLeft w:val="0"/>
      <w:marRight w:val="0"/>
      <w:marTop w:val="0"/>
      <w:marBottom w:val="0"/>
      <w:divBdr>
        <w:top w:val="none" w:sz="0" w:space="0" w:color="auto"/>
        <w:left w:val="none" w:sz="0" w:space="0" w:color="auto"/>
        <w:bottom w:val="none" w:sz="0" w:space="0" w:color="auto"/>
        <w:right w:val="none" w:sz="0" w:space="0" w:color="auto"/>
      </w:divBdr>
      <w:divsChild>
        <w:div w:id="55904283">
          <w:marLeft w:val="0"/>
          <w:marRight w:val="0"/>
          <w:marTop w:val="0"/>
          <w:marBottom w:val="0"/>
          <w:divBdr>
            <w:top w:val="none" w:sz="0" w:space="0" w:color="auto"/>
            <w:left w:val="none" w:sz="0" w:space="0" w:color="auto"/>
            <w:bottom w:val="none" w:sz="0" w:space="0" w:color="auto"/>
            <w:right w:val="none" w:sz="0" w:space="0" w:color="auto"/>
          </w:divBdr>
        </w:div>
        <w:div w:id="497692783">
          <w:marLeft w:val="0"/>
          <w:marRight w:val="0"/>
          <w:marTop w:val="0"/>
          <w:marBottom w:val="0"/>
          <w:divBdr>
            <w:top w:val="none" w:sz="0" w:space="0" w:color="auto"/>
            <w:left w:val="none" w:sz="0" w:space="0" w:color="auto"/>
            <w:bottom w:val="none" w:sz="0" w:space="0" w:color="auto"/>
            <w:right w:val="none" w:sz="0" w:space="0" w:color="auto"/>
          </w:divBdr>
        </w:div>
        <w:div w:id="577372220">
          <w:marLeft w:val="0"/>
          <w:marRight w:val="0"/>
          <w:marTop w:val="0"/>
          <w:marBottom w:val="0"/>
          <w:divBdr>
            <w:top w:val="none" w:sz="0" w:space="0" w:color="auto"/>
            <w:left w:val="none" w:sz="0" w:space="0" w:color="auto"/>
            <w:bottom w:val="none" w:sz="0" w:space="0" w:color="auto"/>
            <w:right w:val="none" w:sz="0" w:space="0" w:color="auto"/>
          </w:divBdr>
        </w:div>
        <w:div w:id="1214924209">
          <w:marLeft w:val="0"/>
          <w:marRight w:val="0"/>
          <w:marTop w:val="0"/>
          <w:marBottom w:val="0"/>
          <w:divBdr>
            <w:top w:val="none" w:sz="0" w:space="0" w:color="auto"/>
            <w:left w:val="none" w:sz="0" w:space="0" w:color="auto"/>
            <w:bottom w:val="none" w:sz="0" w:space="0" w:color="auto"/>
            <w:right w:val="none" w:sz="0" w:space="0" w:color="auto"/>
          </w:divBdr>
        </w:div>
        <w:div w:id="1320620700">
          <w:marLeft w:val="0"/>
          <w:marRight w:val="0"/>
          <w:marTop w:val="0"/>
          <w:marBottom w:val="0"/>
          <w:divBdr>
            <w:top w:val="none" w:sz="0" w:space="0" w:color="auto"/>
            <w:left w:val="none" w:sz="0" w:space="0" w:color="auto"/>
            <w:bottom w:val="none" w:sz="0" w:space="0" w:color="auto"/>
            <w:right w:val="none" w:sz="0" w:space="0" w:color="auto"/>
          </w:divBdr>
        </w:div>
        <w:div w:id="1840148517">
          <w:marLeft w:val="0"/>
          <w:marRight w:val="0"/>
          <w:marTop w:val="0"/>
          <w:marBottom w:val="0"/>
          <w:divBdr>
            <w:top w:val="none" w:sz="0" w:space="0" w:color="auto"/>
            <w:left w:val="none" w:sz="0" w:space="0" w:color="auto"/>
            <w:bottom w:val="none" w:sz="0" w:space="0" w:color="auto"/>
            <w:right w:val="none" w:sz="0" w:space="0" w:color="auto"/>
          </w:divBdr>
        </w:div>
        <w:div w:id="1878930228">
          <w:marLeft w:val="0"/>
          <w:marRight w:val="0"/>
          <w:marTop w:val="0"/>
          <w:marBottom w:val="0"/>
          <w:divBdr>
            <w:top w:val="none" w:sz="0" w:space="0" w:color="auto"/>
            <w:left w:val="none" w:sz="0" w:space="0" w:color="auto"/>
            <w:bottom w:val="none" w:sz="0" w:space="0" w:color="auto"/>
            <w:right w:val="none" w:sz="0" w:space="0" w:color="auto"/>
          </w:divBdr>
        </w:div>
        <w:div w:id="1953397935">
          <w:marLeft w:val="0"/>
          <w:marRight w:val="0"/>
          <w:marTop w:val="0"/>
          <w:marBottom w:val="0"/>
          <w:divBdr>
            <w:top w:val="none" w:sz="0" w:space="0" w:color="auto"/>
            <w:left w:val="none" w:sz="0" w:space="0" w:color="auto"/>
            <w:bottom w:val="none" w:sz="0" w:space="0" w:color="auto"/>
            <w:right w:val="none" w:sz="0" w:space="0" w:color="auto"/>
          </w:divBdr>
        </w:div>
      </w:divsChild>
    </w:div>
    <w:div w:id="1902790459">
      <w:bodyDiv w:val="1"/>
      <w:marLeft w:val="0"/>
      <w:marRight w:val="0"/>
      <w:marTop w:val="0"/>
      <w:marBottom w:val="0"/>
      <w:divBdr>
        <w:top w:val="none" w:sz="0" w:space="0" w:color="auto"/>
        <w:left w:val="none" w:sz="0" w:space="0" w:color="auto"/>
        <w:bottom w:val="none" w:sz="0" w:space="0" w:color="auto"/>
        <w:right w:val="none" w:sz="0" w:space="0" w:color="auto"/>
      </w:divBdr>
    </w:div>
    <w:div w:id="1909029913">
      <w:bodyDiv w:val="1"/>
      <w:marLeft w:val="0"/>
      <w:marRight w:val="0"/>
      <w:marTop w:val="0"/>
      <w:marBottom w:val="0"/>
      <w:divBdr>
        <w:top w:val="none" w:sz="0" w:space="0" w:color="auto"/>
        <w:left w:val="none" w:sz="0" w:space="0" w:color="auto"/>
        <w:bottom w:val="none" w:sz="0" w:space="0" w:color="auto"/>
        <w:right w:val="none" w:sz="0" w:space="0" w:color="auto"/>
      </w:divBdr>
    </w:div>
    <w:div w:id="1909345981">
      <w:bodyDiv w:val="1"/>
      <w:marLeft w:val="0"/>
      <w:marRight w:val="0"/>
      <w:marTop w:val="0"/>
      <w:marBottom w:val="0"/>
      <w:divBdr>
        <w:top w:val="none" w:sz="0" w:space="0" w:color="auto"/>
        <w:left w:val="none" w:sz="0" w:space="0" w:color="auto"/>
        <w:bottom w:val="none" w:sz="0" w:space="0" w:color="auto"/>
        <w:right w:val="none" w:sz="0" w:space="0" w:color="auto"/>
      </w:divBdr>
    </w:div>
    <w:div w:id="1936671630">
      <w:bodyDiv w:val="1"/>
      <w:marLeft w:val="0"/>
      <w:marRight w:val="0"/>
      <w:marTop w:val="0"/>
      <w:marBottom w:val="0"/>
      <w:divBdr>
        <w:top w:val="none" w:sz="0" w:space="0" w:color="auto"/>
        <w:left w:val="none" w:sz="0" w:space="0" w:color="auto"/>
        <w:bottom w:val="none" w:sz="0" w:space="0" w:color="auto"/>
        <w:right w:val="none" w:sz="0" w:space="0" w:color="auto"/>
      </w:divBdr>
    </w:div>
    <w:div w:id="1972595431">
      <w:bodyDiv w:val="1"/>
      <w:marLeft w:val="0"/>
      <w:marRight w:val="0"/>
      <w:marTop w:val="0"/>
      <w:marBottom w:val="0"/>
      <w:divBdr>
        <w:top w:val="none" w:sz="0" w:space="0" w:color="auto"/>
        <w:left w:val="none" w:sz="0" w:space="0" w:color="auto"/>
        <w:bottom w:val="none" w:sz="0" w:space="0" w:color="auto"/>
        <w:right w:val="none" w:sz="0" w:space="0" w:color="auto"/>
      </w:divBdr>
    </w:div>
    <w:div w:id="1987657554">
      <w:bodyDiv w:val="1"/>
      <w:marLeft w:val="0"/>
      <w:marRight w:val="0"/>
      <w:marTop w:val="0"/>
      <w:marBottom w:val="0"/>
      <w:divBdr>
        <w:top w:val="none" w:sz="0" w:space="0" w:color="auto"/>
        <w:left w:val="none" w:sz="0" w:space="0" w:color="auto"/>
        <w:bottom w:val="none" w:sz="0" w:space="0" w:color="auto"/>
        <w:right w:val="none" w:sz="0" w:space="0" w:color="auto"/>
      </w:divBdr>
    </w:div>
    <w:div w:id="2010868969">
      <w:bodyDiv w:val="1"/>
      <w:marLeft w:val="0"/>
      <w:marRight w:val="0"/>
      <w:marTop w:val="0"/>
      <w:marBottom w:val="0"/>
      <w:divBdr>
        <w:top w:val="none" w:sz="0" w:space="0" w:color="auto"/>
        <w:left w:val="none" w:sz="0" w:space="0" w:color="auto"/>
        <w:bottom w:val="none" w:sz="0" w:space="0" w:color="auto"/>
        <w:right w:val="none" w:sz="0" w:space="0" w:color="auto"/>
      </w:divBdr>
    </w:div>
    <w:div w:id="2023819770">
      <w:bodyDiv w:val="1"/>
      <w:marLeft w:val="0"/>
      <w:marRight w:val="0"/>
      <w:marTop w:val="0"/>
      <w:marBottom w:val="0"/>
      <w:divBdr>
        <w:top w:val="none" w:sz="0" w:space="0" w:color="auto"/>
        <w:left w:val="none" w:sz="0" w:space="0" w:color="auto"/>
        <w:bottom w:val="none" w:sz="0" w:space="0" w:color="auto"/>
        <w:right w:val="none" w:sz="0" w:space="0" w:color="auto"/>
      </w:divBdr>
    </w:div>
    <w:div w:id="2064863463">
      <w:bodyDiv w:val="1"/>
      <w:marLeft w:val="0"/>
      <w:marRight w:val="0"/>
      <w:marTop w:val="0"/>
      <w:marBottom w:val="0"/>
      <w:divBdr>
        <w:top w:val="none" w:sz="0" w:space="0" w:color="auto"/>
        <w:left w:val="none" w:sz="0" w:space="0" w:color="auto"/>
        <w:bottom w:val="none" w:sz="0" w:space="0" w:color="auto"/>
        <w:right w:val="none" w:sz="0" w:space="0" w:color="auto"/>
      </w:divBdr>
    </w:div>
    <w:div w:id="2079476578">
      <w:bodyDiv w:val="1"/>
      <w:marLeft w:val="0"/>
      <w:marRight w:val="0"/>
      <w:marTop w:val="0"/>
      <w:marBottom w:val="0"/>
      <w:divBdr>
        <w:top w:val="none" w:sz="0" w:space="0" w:color="auto"/>
        <w:left w:val="none" w:sz="0" w:space="0" w:color="auto"/>
        <w:bottom w:val="none" w:sz="0" w:space="0" w:color="auto"/>
        <w:right w:val="none" w:sz="0" w:space="0" w:color="auto"/>
      </w:divBdr>
    </w:div>
    <w:div w:id="2080440737">
      <w:bodyDiv w:val="1"/>
      <w:marLeft w:val="0"/>
      <w:marRight w:val="0"/>
      <w:marTop w:val="0"/>
      <w:marBottom w:val="0"/>
      <w:divBdr>
        <w:top w:val="none" w:sz="0" w:space="0" w:color="auto"/>
        <w:left w:val="none" w:sz="0" w:space="0" w:color="auto"/>
        <w:bottom w:val="none" w:sz="0" w:space="0" w:color="auto"/>
        <w:right w:val="none" w:sz="0" w:space="0" w:color="auto"/>
      </w:divBdr>
    </w:div>
    <w:div w:id="2103137799">
      <w:bodyDiv w:val="1"/>
      <w:marLeft w:val="0"/>
      <w:marRight w:val="0"/>
      <w:marTop w:val="0"/>
      <w:marBottom w:val="0"/>
      <w:divBdr>
        <w:top w:val="none" w:sz="0" w:space="0" w:color="auto"/>
        <w:left w:val="none" w:sz="0" w:space="0" w:color="auto"/>
        <w:bottom w:val="none" w:sz="0" w:space="0" w:color="auto"/>
        <w:right w:val="none" w:sz="0" w:space="0" w:color="auto"/>
      </w:divBdr>
    </w:div>
    <w:div w:id="212680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disability.org/News/Disability-and-COVID-19.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fat.gov.au/aid/who-we-work-with/value-for-money-principles/Pages/value-for-money-principle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Cook_Islands" TargetMode="External"/><Relationship Id="rId13" Type="http://schemas.openxmlformats.org/officeDocument/2006/relationships/hyperlink" Target="https://en.wikipedia.org/wiki/Kiribati" TargetMode="External"/><Relationship Id="rId18" Type="http://schemas.openxmlformats.org/officeDocument/2006/relationships/hyperlink" Target="https://en.wikipedia.org/wiki/New_Zealand" TargetMode="External"/><Relationship Id="rId26" Type="http://schemas.openxmlformats.org/officeDocument/2006/relationships/hyperlink" Target="https://en.wikipedia.org/wiki/Tokelau" TargetMode="External"/><Relationship Id="rId3" Type="http://schemas.openxmlformats.org/officeDocument/2006/relationships/hyperlink" Target="https://www.dfat.gov.au/publications/minisite/2017-foreign-policy-white-paper" TargetMode="External"/><Relationship Id="rId21" Type="http://schemas.openxmlformats.org/officeDocument/2006/relationships/hyperlink" Target="https://en.wikipedia.org/wiki/Palau" TargetMode="External"/><Relationship Id="rId7" Type="http://schemas.openxmlformats.org/officeDocument/2006/relationships/hyperlink" Target="https://en.wikipedia.org/wiki/Australia" TargetMode="External"/><Relationship Id="rId12" Type="http://schemas.openxmlformats.org/officeDocument/2006/relationships/hyperlink" Target="https://en.wikipedia.org/wiki/Guam" TargetMode="External"/><Relationship Id="rId17" Type="http://schemas.openxmlformats.org/officeDocument/2006/relationships/hyperlink" Target="https://en.wikipedia.org/wiki/New_Caledonia" TargetMode="External"/><Relationship Id="rId25" Type="http://schemas.openxmlformats.org/officeDocument/2006/relationships/hyperlink" Target="https://en.wikipedia.org/wiki/Solomon_Islands" TargetMode="External"/><Relationship Id="rId2" Type="http://schemas.openxmlformats.org/officeDocument/2006/relationships/hyperlink" Target="https://pacificwomen.org/news/womens-groups-lead-response-to-covid-19-crisis/" TargetMode="External"/><Relationship Id="rId16" Type="http://schemas.openxmlformats.org/officeDocument/2006/relationships/hyperlink" Target="https://en.wikipedia.org/wiki/Nauru" TargetMode="External"/><Relationship Id="rId20" Type="http://schemas.openxmlformats.org/officeDocument/2006/relationships/hyperlink" Target="https://en.wikipedia.org/wiki/Northern_Mariana_Islands" TargetMode="External"/><Relationship Id="rId29" Type="http://schemas.openxmlformats.org/officeDocument/2006/relationships/hyperlink" Target="https://en.wikipedia.org/wiki/United_States" TargetMode="External"/><Relationship Id="rId1" Type="http://schemas.openxmlformats.org/officeDocument/2006/relationships/hyperlink" Target="https://burnet.edu.au/news/1314_early_adolescence_central_to_gender_inequality_in_asia_pacific" TargetMode="External"/><Relationship Id="rId6" Type="http://schemas.openxmlformats.org/officeDocument/2006/relationships/hyperlink" Target="https://en.wikipedia.org/wiki/American_Samoa" TargetMode="External"/><Relationship Id="rId11" Type="http://schemas.openxmlformats.org/officeDocument/2006/relationships/hyperlink" Target="https://en.wikipedia.org/wiki/French_Polynesia" TargetMode="External"/><Relationship Id="rId24" Type="http://schemas.openxmlformats.org/officeDocument/2006/relationships/hyperlink" Target="https://en.wikipedia.org/wiki/Samoa" TargetMode="External"/><Relationship Id="rId5" Type="http://schemas.openxmlformats.org/officeDocument/2006/relationships/hyperlink" Target="https://www.dfat.gov.au/publications/minisite/2017-foreign-policy-white-paper" TargetMode="External"/><Relationship Id="rId15" Type="http://schemas.openxmlformats.org/officeDocument/2006/relationships/hyperlink" Target="https://en.wikipedia.org/wiki/Federated_States_of_Micronesia" TargetMode="External"/><Relationship Id="rId23" Type="http://schemas.openxmlformats.org/officeDocument/2006/relationships/hyperlink" Target="https://en.wikipedia.org/wiki/Pitcairn_Islands" TargetMode="External"/><Relationship Id="rId28" Type="http://schemas.openxmlformats.org/officeDocument/2006/relationships/hyperlink" Target="https://en.wikipedia.org/wiki/Tuvalu" TargetMode="External"/><Relationship Id="rId10" Type="http://schemas.openxmlformats.org/officeDocument/2006/relationships/hyperlink" Target="https://en.wikipedia.org/wiki/France" TargetMode="External"/><Relationship Id="rId19" Type="http://schemas.openxmlformats.org/officeDocument/2006/relationships/hyperlink" Target="https://en.wikipedia.org/wiki/Niue" TargetMode="External"/><Relationship Id="rId31" Type="http://schemas.openxmlformats.org/officeDocument/2006/relationships/hyperlink" Target="https://en.wikipedia.org/wiki/Wallis_and_Futuna" TargetMode="External"/><Relationship Id="rId4" Type="http://schemas.openxmlformats.org/officeDocument/2006/relationships/hyperlink" Target="https://www.dfat.gov.au/countries/pacific-step" TargetMode="External"/><Relationship Id="rId9" Type="http://schemas.openxmlformats.org/officeDocument/2006/relationships/hyperlink" Target="https://en.wikipedia.org/wiki/Fiji" TargetMode="External"/><Relationship Id="rId14" Type="http://schemas.openxmlformats.org/officeDocument/2006/relationships/hyperlink" Target="https://en.wikipedia.org/wiki/Marshall_Islands" TargetMode="External"/><Relationship Id="rId22" Type="http://schemas.openxmlformats.org/officeDocument/2006/relationships/hyperlink" Target="https://en.wikipedia.org/wiki/Papua_New_Guinea" TargetMode="External"/><Relationship Id="rId27" Type="http://schemas.openxmlformats.org/officeDocument/2006/relationships/hyperlink" Target="https://en.wikipedia.org/wiki/Tonga" TargetMode="External"/><Relationship Id="rId30" Type="http://schemas.openxmlformats.org/officeDocument/2006/relationships/hyperlink" Target="https://en.wikipedia.org/wiki/Vanuat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7EDF-853A-4AFE-B2CC-B999D277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18399</Words>
  <Characters>106074</Characters>
  <Application>Microsoft Office Word</Application>
  <DocSecurity>4</DocSecurity>
  <Lines>2128</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124400</CharactersWithSpaces>
  <SharedDoc>false</SharedDoc>
  <HLinks>
    <vt:vector size="204" baseType="variant">
      <vt:variant>
        <vt:i4>4390954</vt:i4>
      </vt:variant>
      <vt:variant>
        <vt:i4>6</vt:i4>
      </vt:variant>
      <vt:variant>
        <vt:i4>0</vt:i4>
      </vt:variant>
      <vt:variant>
        <vt:i4>5</vt:i4>
      </vt:variant>
      <vt:variant>
        <vt:lpwstr>mailto:jp.teakeni@gmail.com</vt:lpwstr>
      </vt:variant>
      <vt:variant>
        <vt:lpwstr/>
      </vt:variant>
      <vt:variant>
        <vt:i4>393244</vt:i4>
      </vt:variant>
      <vt:variant>
        <vt:i4>3</vt:i4>
      </vt:variant>
      <vt:variant>
        <vt:i4>0</vt:i4>
      </vt:variant>
      <vt:variant>
        <vt:i4>5</vt:i4>
      </vt:variant>
      <vt:variant>
        <vt:lpwstr>https://www.dfat.gov.au/aid/who-we-work-with/value-for-money-principles/Pages/value-for-money-principles</vt:lpwstr>
      </vt:variant>
      <vt:variant>
        <vt:lpwstr/>
      </vt:variant>
      <vt:variant>
        <vt:i4>6488121</vt:i4>
      </vt:variant>
      <vt:variant>
        <vt:i4>0</vt:i4>
      </vt:variant>
      <vt:variant>
        <vt:i4>0</vt:i4>
      </vt:variant>
      <vt:variant>
        <vt:i4>5</vt:i4>
      </vt:variant>
      <vt:variant>
        <vt:lpwstr>http://www.pacificdisability.org/News/Disability-and-COVID-19.aspx</vt:lpwstr>
      </vt:variant>
      <vt:variant>
        <vt:lpwstr/>
      </vt:variant>
      <vt:variant>
        <vt:i4>2752616</vt:i4>
      </vt:variant>
      <vt:variant>
        <vt:i4>90</vt:i4>
      </vt:variant>
      <vt:variant>
        <vt:i4>0</vt:i4>
      </vt:variant>
      <vt:variant>
        <vt:i4>5</vt:i4>
      </vt:variant>
      <vt:variant>
        <vt:lpwstr>https://en.wikipedia.org/wiki/Wallis_and_Futuna</vt:lpwstr>
      </vt:variant>
      <vt:variant>
        <vt:lpwstr/>
      </vt:variant>
      <vt:variant>
        <vt:i4>5046285</vt:i4>
      </vt:variant>
      <vt:variant>
        <vt:i4>87</vt:i4>
      </vt:variant>
      <vt:variant>
        <vt:i4>0</vt:i4>
      </vt:variant>
      <vt:variant>
        <vt:i4>5</vt:i4>
      </vt:variant>
      <vt:variant>
        <vt:lpwstr>https://en.wikipedia.org/wiki/Vanuatu</vt:lpwstr>
      </vt:variant>
      <vt:variant>
        <vt:lpwstr/>
      </vt:variant>
      <vt:variant>
        <vt:i4>2359378</vt:i4>
      </vt:variant>
      <vt:variant>
        <vt:i4>84</vt:i4>
      </vt:variant>
      <vt:variant>
        <vt:i4>0</vt:i4>
      </vt:variant>
      <vt:variant>
        <vt:i4>5</vt:i4>
      </vt:variant>
      <vt:variant>
        <vt:lpwstr>https://en.wikipedia.org/wiki/United_States</vt:lpwstr>
      </vt:variant>
      <vt:variant>
        <vt:lpwstr/>
      </vt:variant>
      <vt:variant>
        <vt:i4>4980762</vt:i4>
      </vt:variant>
      <vt:variant>
        <vt:i4>81</vt:i4>
      </vt:variant>
      <vt:variant>
        <vt:i4>0</vt:i4>
      </vt:variant>
      <vt:variant>
        <vt:i4>5</vt:i4>
      </vt:variant>
      <vt:variant>
        <vt:lpwstr>https://en.wikipedia.org/wiki/Tuvalu</vt:lpwstr>
      </vt:variant>
      <vt:variant>
        <vt:lpwstr/>
      </vt:variant>
      <vt:variant>
        <vt:i4>2424942</vt:i4>
      </vt:variant>
      <vt:variant>
        <vt:i4>78</vt:i4>
      </vt:variant>
      <vt:variant>
        <vt:i4>0</vt:i4>
      </vt:variant>
      <vt:variant>
        <vt:i4>5</vt:i4>
      </vt:variant>
      <vt:variant>
        <vt:lpwstr>https://en.wikipedia.org/wiki/Tonga</vt:lpwstr>
      </vt:variant>
      <vt:variant>
        <vt:lpwstr/>
      </vt:variant>
      <vt:variant>
        <vt:i4>4587527</vt:i4>
      </vt:variant>
      <vt:variant>
        <vt:i4>75</vt:i4>
      </vt:variant>
      <vt:variant>
        <vt:i4>0</vt:i4>
      </vt:variant>
      <vt:variant>
        <vt:i4>5</vt:i4>
      </vt:variant>
      <vt:variant>
        <vt:lpwstr>https://en.wikipedia.org/wiki/Tokelau</vt:lpwstr>
      </vt:variant>
      <vt:variant>
        <vt:lpwstr/>
      </vt:variant>
      <vt:variant>
        <vt:i4>7012355</vt:i4>
      </vt:variant>
      <vt:variant>
        <vt:i4>72</vt:i4>
      </vt:variant>
      <vt:variant>
        <vt:i4>0</vt:i4>
      </vt:variant>
      <vt:variant>
        <vt:i4>5</vt:i4>
      </vt:variant>
      <vt:variant>
        <vt:lpwstr>https://en.wikipedia.org/wiki/Solomon_Islands</vt:lpwstr>
      </vt:variant>
      <vt:variant>
        <vt:lpwstr/>
      </vt:variant>
      <vt:variant>
        <vt:i4>2293866</vt:i4>
      </vt:variant>
      <vt:variant>
        <vt:i4>69</vt:i4>
      </vt:variant>
      <vt:variant>
        <vt:i4>0</vt:i4>
      </vt:variant>
      <vt:variant>
        <vt:i4>5</vt:i4>
      </vt:variant>
      <vt:variant>
        <vt:lpwstr>https://en.wikipedia.org/wiki/Samoa</vt:lpwstr>
      </vt:variant>
      <vt:variant>
        <vt:lpwstr/>
      </vt:variant>
      <vt:variant>
        <vt:i4>3670090</vt:i4>
      </vt:variant>
      <vt:variant>
        <vt:i4>66</vt:i4>
      </vt:variant>
      <vt:variant>
        <vt:i4>0</vt:i4>
      </vt:variant>
      <vt:variant>
        <vt:i4>5</vt:i4>
      </vt:variant>
      <vt:variant>
        <vt:lpwstr>https://en.wikipedia.org/wiki/Pitcairn_Islands</vt:lpwstr>
      </vt:variant>
      <vt:variant>
        <vt:lpwstr/>
      </vt:variant>
      <vt:variant>
        <vt:i4>2490471</vt:i4>
      </vt:variant>
      <vt:variant>
        <vt:i4>63</vt:i4>
      </vt:variant>
      <vt:variant>
        <vt:i4>0</vt:i4>
      </vt:variant>
      <vt:variant>
        <vt:i4>5</vt:i4>
      </vt:variant>
      <vt:variant>
        <vt:lpwstr>https://en.wikipedia.org/wiki/Papua_New_Guinea</vt:lpwstr>
      </vt:variant>
      <vt:variant>
        <vt:lpwstr/>
      </vt:variant>
      <vt:variant>
        <vt:i4>2949224</vt:i4>
      </vt:variant>
      <vt:variant>
        <vt:i4>60</vt:i4>
      </vt:variant>
      <vt:variant>
        <vt:i4>0</vt:i4>
      </vt:variant>
      <vt:variant>
        <vt:i4>5</vt:i4>
      </vt:variant>
      <vt:variant>
        <vt:lpwstr>https://en.wikipedia.org/wiki/Palau</vt:lpwstr>
      </vt:variant>
      <vt:variant>
        <vt:lpwstr/>
      </vt:variant>
      <vt:variant>
        <vt:i4>3801186</vt:i4>
      </vt:variant>
      <vt:variant>
        <vt:i4>57</vt:i4>
      </vt:variant>
      <vt:variant>
        <vt:i4>0</vt:i4>
      </vt:variant>
      <vt:variant>
        <vt:i4>5</vt:i4>
      </vt:variant>
      <vt:variant>
        <vt:lpwstr>https://en.wikipedia.org/wiki/Northern_Mariana_Islands</vt:lpwstr>
      </vt:variant>
      <vt:variant>
        <vt:lpwstr/>
      </vt:variant>
      <vt:variant>
        <vt:i4>2162799</vt:i4>
      </vt:variant>
      <vt:variant>
        <vt:i4>54</vt:i4>
      </vt:variant>
      <vt:variant>
        <vt:i4>0</vt:i4>
      </vt:variant>
      <vt:variant>
        <vt:i4>5</vt:i4>
      </vt:variant>
      <vt:variant>
        <vt:lpwstr>https://en.wikipedia.org/wiki/Niue</vt:lpwstr>
      </vt:variant>
      <vt:variant>
        <vt:lpwstr/>
      </vt:variant>
      <vt:variant>
        <vt:i4>7340055</vt:i4>
      </vt:variant>
      <vt:variant>
        <vt:i4>51</vt:i4>
      </vt:variant>
      <vt:variant>
        <vt:i4>0</vt:i4>
      </vt:variant>
      <vt:variant>
        <vt:i4>5</vt:i4>
      </vt:variant>
      <vt:variant>
        <vt:lpwstr>https://en.wikipedia.org/wiki/New_Zealand</vt:lpwstr>
      </vt:variant>
      <vt:variant>
        <vt:lpwstr/>
      </vt:variant>
      <vt:variant>
        <vt:i4>1376360</vt:i4>
      </vt:variant>
      <vt:variant>
        <vt:i4>48</vt:i4>
      </vt:variant>
      <vt:variant>
        <vt:i4>0</vt:i4>
      </vt:variant>
      <vt:variant>
        <vt:i4>5</vt:i4>
      </vt:variant>
      <vt:variant>
        <vt:lpwstr>https://en.wikipedia.org/wiki/New_Caledonia</vt:lpwstr>
      </vt:variant>
      <vt:variant>
        <vt:lpwstr/>
      </vt:variant>
      <vt:variant>
        <vt:i4>4063343</vt:i4>
      </vt:variant>
      <vt:variant>
        <vt:i4>45</vt:i4>
      </vt:variant>
      <vt:variant>
        <vt:i4>0</vt:i4>
      </vt:variant>
      <vt:variant>
        <vt:i4>5</vt:i4>
      </vt:variant>
      <vt:variant>
        <vt:lpwstr>https://en.wikipedia.org/wiki/Nauru</vt:lpwstr>
      </vt:variant>
      <vt:variant>
        <vt:lpwstr/>
      </vt:variant>
      <vt:variant>
        <vt:i4>5374007</vt:i4>
      </vt:variant>
      <vt:variant>
        <vt:i4>42</vt:i4>
      </vt:variant>
      <vt:variant>
        <vt:i4>0</vt:i4>
      </vt:variant>
      <vt:variant>
        <vt:i4>5</vt:i4>
      </vt:variant>
      <vt:variant>
        <vt:lpwstr>https://en.wikipedia.org/wiki/Federated_States_of_Micronesia</vt:lpwstr>
      </vt:variant>
      <vt:variant>
        <vt:lpwstr/>
      </vt:variant>
      <vt:variant>
        <vt:i4>2752582</vt:i4>
      </vt:variant>
      <vt:variant>
        <vt:i4>39</vt:i4>
      </vt:variant>
      <vt:variant>
        <vt:i4>0</vt:i4>
      </vt:variant>
      <vt:variant>
        <vt:i4>5</vt:i4>
      </vt:variant>
      <vt:variant>
        <vt:lpwstr>https://en.wikipedia.org/wiki/Marshall_Islands</vt:lpwstr>
      </vt:variant>
      <vt:variant>
        <vt:lpwstr/>
      </vt:variant>
      <vt:variant>
        <vt:i4>2424955</vt:i4>
      </vt:variant>
      <vt:variant>
        <vt:i4>36</vt:i4>
      </vt:variant>
      <vt:variant>
        <vt:i4>0</vt:i4>
      </vt:variant>
      <vt:variant>
        <vt:i4>5</vt:i4>
      </vt:variant>
      <vt:variant>
        <vt:lpwstr>https://en.wikipedia.org/wiki/Kiribati</vt:lpwstr>
      </vt:variant>
      <vt:variant>
        <vt:lpwstr/>
      </vt:variant>
      <vt:variant>
        <vt:i4>3473522</vt:i4>
      </vt:variant>
      <vt:variant>
        <vt:i4>33</vt:i4>
      </vt:variant>
      <vt:variant>
        <vt:i4>0</vt:i4>
      </vt:variant>
      <vt:variant>
        <vt:i4>5</vt:i4>
      </vt:variant>
      <vt:variant>
        <vt:lpwstr>https://en.wikipedia.org/wiki/Guam</vt:lpwstr>
      </vt:variant>
      <vt:variant>
        <vt:lpwstr/>
      </vt:variant>
      <vt:variant>
        <vt:i4>3735633</vt:i4>
      </vt:variant>
      <vt:variant>
        <vt:i4>30</vt:i4>
      </vt:variant>
      <vt:variant>
        <vt:i4>0</vt:i4>
      </vt:variant>
      <vt:variant>
        <vt:i4>5</vt:i4>
      </vt:variant>
      <vt:variant>
        <vt:lpwstr>https://en.wikipedia.org/wiki/French_Polynesia</vt:lpwstr>
      </vt:variant>
      <vt:variant>
        <vt:lpwstr/>
      </vt:variant>
      <vt:variant>
        <vt:i4>5505040</vt:i4>
      </vt:variant>
      <vt:variant>
        <vt:i4>27</vt:i4>
      </vt:variant>
      <vt:variant>
        <vt:i4>0</vt:i4>
      </vt:variant>
      <vt:variant>
        <vt:i4>5</vt:i4>
      </vt:variant>
      <vt:variant>
        <vt:lpwstr>https://en.wikipedia.org/wiki/France</vt:lpwstr>
      </vt:variant>
      <vt:variant>
        <vt:lpwstr/>
      </vt:variant>
      <vt:variant>
        <vt:i4>2949240</vt:i4>
      </vt:variant>
      <vt:variant>
        <vt:i4>24</vt:i4>
      </vt:variant>
      <vt:variant>
        <vt:i4>0</vt:i4>
      </vt:variant>
      <vt:variant>
        <vt:i4>5</vt:i4>
      </vt:variant>
      <vt:variant>
        <vt:lpwstr>https://en.wikipedia.org/wiki/Fiji</vt:lpwstr>
      </vt:variant>
      <vt:variant>
        <vt:lpwstr/>
      </vt:variant>
      <vt:variant>
        <vt:i4>3211345</vt:i4>
      </vt:variant>
      <vt:variant>
        <vt:i4>21</vt:i4>
      </vt:variant>
      <vt:variant>
        <vt:i4>0</vt:i4>
      </vt:variant>
      <vt:variant>
        <vt:i4>5</vt:i4>
      </vt:variant>
      <vt:variant>
        <vt:lpwstr>https://en.wikipedia.org/wiki/Cook_Islands</vt:lpwstr>
      </vt:variant>
      <vt:variant>
        <vt:lpwstr/>
      </vt:variant>
      <vt:variant>
        <vt:i4>2359416</vt:i4>
      </vt:variant>
      <vt:variant>
        <vt:i4>18</vt:i4>
      </vt:variant>
      <vt:variant>
        <vt:i4>0</vt:i4>
      </vt:variant>
      <vt:variant>
        <vt:i4>5</vt:i4>
      </vt:variant>
      <vt:variant>
        <vt:lpwstr>https://en.wikipedia.org/wiki/Australia</vt:lpwstr>
      </vt:variant>
      <vt:variant>
        <vt:lpwstr/>
      </vt:variant>
      <vt:variant>
        <vt:i4>4194345</vt:i4>
      </vt:variant>
      <vt:variant>
        <vt:i4>15</vt:i4>
      </vt:variant>
      <vt:variant>
        <vt:i4>0</vt:i4>
      </vt:variant>
      <vt:variant>
        <vt:i4>5</vt:i4>
      </vt:variant>
      <vt:variant>
        <vt:lpwstr>https://en.wikipedia.org/wiki/American_Samoa</vt:lpwstr>
      </vt:variant>
      <vt:variant>
        <vt:lpwstr/>
      </vt:variant>
      <vt:variant>
        <vt:i4>5177355</vt:i4>
      </vt:variant>
      <vt:variant>
        <vt:i4>12</vt:i4>
      </vt:variant>
      <vt:variant>
        <vt:i4>0</vt:i4>
      </vt:variant>
      <vt:variant>
        <vt:i4>5</vt:i4>
      </vt:variant>
      <vt:variant>
        <vt:lpwstr>https://www.dfat.gov.au/publications/minisite/2017-foreign-policy-white-paper</vt:lpwstr>
      </vt:variant>
      <vt:variant>
        <vt:lpwstr/>
      </vt:variant>
      <vt:variant>
        <vt:i4>7602215</vt:i4>
      </vt:variant>
      <vt:variant>
        <vt:i4>9</vt:i4>
      </vt:variant>
      <vt:variant>
        <vt:i4>0</vt:i4>
      </vt:variant>
      <vt:variant>
        <vt:i4>5</vt:i4>
      </vt:variant>
      <vt:variant>
        <vt:lpwstr>https://www.dfat.gov.au/countries/pacific-step</vt:lpwstr>
      </vt:variant>
      <vt:variant>
        <vt:lpwstr/>
      </vt:variant>
      <vt:variant>
        <vt:i4>5177355</vt:i4>
      </vt:variant>
      <vt:variant>
        <vt:i4>6</vt:i4>
      </vt:variant>
      <vt:variant>
        <vt:i4>0</vt:i4>
      </vt:variant>
      <vt:variant>
        <vt:i4>5</vt:i4>
      </vt:variant>
      <vt:variant>
        <vt:lpwstr>https://www.dfat.gov.au/publications/minisite/2017-foreign-policy-white-paper</vt:lpwstr>
      </vt:variant>
      <vt:variant>
        <vt:lpwstr/>
      </vt:variant>
      <vt:variant>
        <vt:i4>5701634</vt:i4>
      </vt:variant>
      <vt:variant>
        <vt:i4>3</vt:i4>
      </vt:variant>
      <vt:variant>
        <vt:i4>0</vt:i4>
      </vt:variant>
      <vt:variant>
        <vt:i4>5</vt:i4>
      </vt:variant>
      <vt:variant>
        <vt:lpwstr>https://pacificwomen.org/news/womens-groups-lead-response-to-covid-19-crisis/</vt:lpwstr>
      </vt:variant>
      <vt:variant>
        <vt:lpwstr/>
      </vt:variant>
      <vt:variant>
        <vt:i4>3539029</vt:i4>
      </vt:variant>
      <vt:variant>
        <vt:i4>0</vt:i4>
      </vt:variant>
      <vt:variant>
        <vt:i4>0</vt:i4>
      </vt:variant>
      <vt:variant>
        <vt:i4>5</vt:i4>
      </vt:variant>
      <vt:variant>
        <vt:lpwstr>https://burnet.edu.au/news/1314_early_adolescence_central_to_gender_inequality_in_asia_pacific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Women Lead design framework</dc:title>
  <dc:subject/>
  <dc:creator/>
  <cp:keywords/>
  <cp:lastModifiedBy/>
  <cp:revision>1</cp:revision>
  <dcterms:created xsi:type="dcterms:W3CDTF">2021-07-02T02:11:00Z</dcterms:created>
  <dcterms:modified xsi:type="dcterms:W3CDTF">2021-07-02T02:11:00Z</dcterms:modified>
  <cp:category/>
</cp:coreProperties>
</file>