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572" w:tblpY="1417"/>
        <w:tblW w:w="14737" w:type="dxa"/>
        <w:tblLook w:val="04A0" w:firstRow="1" w:lastRow="0" w:firstColumn="1" w:lastColumn="0" w:noHBand="0" w:noVBand="1"/>
      </w:tblPr>
      <w:tblGrid>
        <w:gridCol w:w="6237"/>
        <w:gridCol w:w="1696"/>
        <w:gridCol w:w="3544"/>
        <w:gridCol w:w="3260"/>
      </w:tblGrid>
      <w:tr w:rsidR="00E07DEA" w:rsidRPr="008B1F2E" w14:paraId="6D9FC07D" w14:textId="04221CF4" w:rsidTr="00B673A8">
        <w:trPr>
          <w:tblHeader/>
        </w:trPr>
        <w:tc>
          <w:tcPr>
            <w:tcW w:w="6237" w:type="dxa"/>
            <w:tcBorders>
              <w:bottom w:val="single" w:sz="4" w:space="0" w:color="auto"/>
            </w:tcBorders>
            <w:shd w:val="clear" w:color="auto" w:fill="A5C9EB" w:themeFill="text2" w:themeFillTint="40"/>
          </w:tcPr>
          <w:p w14:paraId="5CD0AB43" w14:textId="2A0D35E1" w:rsidR="00D4043C" w:rsidRPr="008B1F2E" w:rsidRDefault="00D4043C" w:rsidP="0D742DB0">
            <w:pPr>
              <w:rPr>
                <w:b/>
                <w:bCs/>
                <w:sz w:val="18"/>
                <w:szCs w:val="18"/>
              </w:rPr>
            </w:pPr>
            <w:r w:rsidRPr="0D742DB0">
              <w:rPr>
                <w:b/>
                <w:bCs/>
                <w:sz w:val="18"/>
                <w:szCs w:val="18"/>
              </w:rPr>
              <w:t xml:space="preserve">Recommendation </w:t>
            </w:r>
          </w:p>
          <w:p w14:paraId="27405D61" w14:textId="6478CFC9" w:rsidR="00D4043C" w:rsidRPr="002603B0" w:rsidRDefault="0FBB4940" w:rsidP="0D742DB0">
            <w:pPr>
              <w:rPr>
                <w:sz w:val="18"/>
                <w:szCs w:val="18"/>
              </w:rPr>
            </w:pPr>
            <w:r w:rsidRPr="002603B0">
              <w:rPr>
                <w:sz w:val="18"/>
                <w:szCs w:val="18"/>
              </w:rPr>
              <w:t>(summarised)</w:t>
            </w:r>
          </w:p>
        </w:tc>
        <w:tc>
          <w:tcPr>
            <w:tcW w:w="1696" w:type="dxa"/>
            <w:shd w:val="clear" w:color="auto" w:fill="A5C9EB" w:themeFill="text2" w:themeFillTint="40"/>
          </w:tcPr>
          <w:p w14:paraId="1DCD721F" w14:textId="5D979437" w:rsidR="00D4043C" w:rsidRPr="008B1F2E" w:rsidRDefault="00D4043C" w:rsidP="004F4572">
            <w:pPr>
              <w:rPr>
                <w:b/>
                <w:bCs/>
                <w:sz w:val="18"/>
                <w:szCs w:val="18"/>
              </w:rPr>
            </w:pPr>
            <w:r>
              <w:rPr>
                <w:b/>
                <w:bCs/>
                <w:sz w:val="18"/>
                <w:szCs w:val="18"/>
              </w:rPr>
              <w:t>DFAT response</w:t>
            </w:r>
            <w:r w:rsidRPr="008B1F2E">
              <w:rPr>
                <w:b/>
                <w:bCs/>
                <w:sz w:val="18"/>
                <w:szCs w:val="18"/>
              </w:rPr>
              <w:t xml:space="preserve"> </w:t>
            </w:r>
          </w:p>
        </w:tc>
        <w:tc>
          <w:tcPr>
            <w:tcW w:w="3544" w:type="dxa"/>
            <w:shd w:val="clear" w:color="auto" w:fill="A5C9EB" w:themeFill="text2" w:themeFillTint="40"/>
          </w:tcPr>
          <w:p w14:paraId="2D59AFD6" w14:textId="0512A1E6" w:rsidR="00D4043C" w:rsidRDefault="00D4043C" w:rsidP="004F4572">
            <w:pPr>
              <w:rPr>
                <w:b/>
                <w:bCs/>
                <w:sz w:val="18"/>
                <w:szCs w:val="18"/>
              </w:rPr>
            </w:pPr>
            <w:r>
              <w:rPr>
                <w:b/>
                <w:bCs/>
                <w:sz w:val="18"/>
                <w:szCs w:val="18"/>
              </w:rPr>
              <w:t>Explanation</w:t>
            </w:r>
          </w:p>
        </w:tc>
        <w:tc>
          <w:tcPr>
            <w:tcW w:w="3260" w:type="dxa"/>
            <w:shd w:val="clear" w:color="auto" w:fill="A5C9EB" w:themeFill="text2" w:themeFillTint="40"/>
          </w:tcPr>
          <w:p w14:paraId="2BBD8001" w14:textId="42ADF6FE" w:rsidR="00D4043C" w:rsidRDefault="00D4043C" w:rsidP="004F4572">
            <w:pPr>
              <w:rPr>
                <w:b/>
                <w:bCs/>
                <w:sz w:val="18"/>
                <w:szCs w:val="18"/>
              </w:rPr>
            </w:pPr>
            <w:r>
              <w:rPr>
                <w:b/>
                <w:bCs/>
                <w:sz w:val="18"/>
                <w:szCs w:val="18"/>
              </w:rPr>
              <w:t>Action plan</w:t>
            </w:r>
          </w:p>
        </w:tc>
      </w:tr>
      <w:tr w:rsidR="00651B87" w:rsidRPr="008B1F2E" w14:paraId="0E631915" w14:textId="3C64472C" w:rsidTr="00651B87">
        <w:trPr>
          <w:trHeight w:val="1538"/>
        </w:trPr>
        <w:tc>
          <w:tcPr>
            <w:tcW w:w="6237" w:type="dxa"/>
            <w:shd w:val="clear" w:color="auto" w:fill="FFFFFF" w:themeFill="background1"/>
          </w:tcPr>
          <w:p w14:paraId="041601FB" w14:textId="3051B483" w:rsidR="00651B87" w:rsidRPr="00651B87" w:rsidRDefault="00651B87" w:rsidP="004F4572">
            <w:pPr>
              <w:rPr>
                <w:b/>
                <w:bCs/>
                <w:i/>
                <w:iCs/>
                <w:sz w:val="18"/>
                <w:szCs w:val="18"/>
              </w:rPr>
            </w:pPr>
            <w:r w:rsidRPr="00651B87">
              <w:rPr>
                <w:b/>
                <w:bCs/>
                <w:i/>
                <w:iCs/>
                <w:sz w:val="18"/>
                <w:szCs w:val="18"/>
              </w:rPr>
              <w:t>Future program</w:t>
            </w:r>
          </w:p>
          <w:p w14:paraId="7DBDFF9B" w14:textId="77777777" w:rsidR="00651B87" w:rsidRPr="008B1F2E" w:rsidRDefault="00651B87" w:rsidP="004F4572">
            <w:pPr>
              <w:rPr>
                <w:i/>
                <w:iCs/>
                <w:sz w:val="18"/>
                <w:szCs w:val="18"/>
              </w:rPr>
            </w:pPr>
          </w:p>
          <w:p w14:paraId="5B569DA0" w14:textId="77777777" w:rsidR="00651B87" w:rsidRPr="00CF4148" w:rsidRDefault="00651B87" w:rsidP="3CB4F2B5">
            <w:pPr>
              <w:rPr>
                <w:b/>
                <w:bCs/>
                <w:sz w:val="18"/>
                <w:szCs w:val="18"/>
              </w:rPr>
            </w:pPr>
            <w:r w:rsidRPr="5367C22A">
              <w:rPr>
                <w:b/>
                <w:bCs/>
                <w:sz w:val="18"/>
                <w:szCs w:val="18"/>
              </w:rPr>
              <w:t>Recommendation 1: Clarify intended audience and purpose</w:t>
            </w:r>
          </w:p>
          <w:p w14:paraId="24E9D9BE" w14:textId="77777777" w:rsidR="00651B87" w:rsidRPr="00035616" w:rsidRDefault="00651B87" w:rsidP="0D742DB0">
            <w:pPr>
              <w:rPr>
                <w:sz w:val="18"/>
                <w:szCs w:val="18"/>
              </w:rPr>
            </w:pPr>
            <w:r w:rsidRPr="0D742DB0">
              <w:rPr>
                <w:sz w:val="18"/>
                <w:szCs w:val="18"/>
              </w:rPr>
              <w:t>Should a future program be supported, it is critical that DFAT clearly articulates who the program is seeking to benefit- is it primarily intended for DFAT, for Pacific policy makers, or equally for both?</w:t>
            </w:r>
          </w:p>
          <w:p w14:paraId="1346B293" w14:textId="49ADBBEB" w:rsidR="00651B87" w:rsidRPr="008B1F2E" w:rsidRDefault="00651B87">
            <w:pPr>
              <w:rPr>
                <w:i/>
                <w:iCs/>
                <w:sz w:val="18"/>
                <w:szCs w:val="18"/>
              </w:rPr>
            </w:pPr>
          </w:p>
        </w:tc>
        <w:tc>
          <w:tcPr>
            <w:tcW w:w="1696" w:type="dxa"/>
            <w:shd w:val="clear" w:color="auto" w:fill="D9F2D0" w:themeFill="accent6" w:themeFillTint="33"/>
          </w:tcPr>
          <w:p w14:paraId="45454B35" w14:textId="2BEBA362" w:rsidR="00651B87" w:rsidRPr="008B1F2E" w:rsidRDefault="00651B87" w:rsidP="004F4572">
            <w:pPr>
              <w:rPr>
                <w:sz w:val="18"/>
                <w:szCs w:val="18"/>
              </w:rPr>
            </w:pPr>
            <w:r w:rsidRPr="008B1F2E">
              <w:rPr>
                <w:sz w:val="18"/>
                <w:szCs w:val="18"/>
              </w:rPr>
              <w:t xml:space="preserve">Agree </w:t>
            </w:r>
          </w:p>
        </w:tc>
        <w:tc>
          <w:tcPr>
            <w:tcW w:w="3544" w:type="dxa"/>
          </w:tcPr>
          <w:p w14:paraId="4D39E89A" w14:textId="03B60F8A" w:rsidR="00651B87" w:rsidRPr="008B1F2E" w:rsidRDefault="00651B87">
            <w:pPr>
              <w:rPr>
                <w:sz w:val="18"/>
                <w:szCs w:val="18"/>
              </w:rPr>
            </w:pPr>
            <w:r w:rsidRPr="0D742DB0">
              <w:rPr>
                <w:sz w:val="18"/>
                <w:szCs w:val="18"/>
              </w:rPr>
              <w:t>DFAT agrees that there should be greater clarity on the intended audience and purpose of the program. Ensuring this clarity to drive program activities and assess program success will be part of the partner-led design process for any future investment phase.</w:t>
            </w:r>
          </w:p>
        </w:tc>
        <w:tc>
          <w:tcPr>
            <w:tcW w:w="3260" w:type="dxa"/>
          </w:tcPr>
          <w:p w14:paraId="6E0B436A" w14:textId="0FD485FF" w:rsidR="00651B87" w:rsidRPr="008B1F2E" w:rsidRDefault="00651B87" w:rsidP="0D742DB0">
            <w:pPr>
              <w:rPr>
                <w:sz w:val="18"/>
                <w:szCs w:val="18"/>
              </w:rPr>
            </w:pPr>
            <w:r w:rsidRPr="0D742DB0">
              <w:rPr>
                <w:sz w:val="18"/>
                <w:szCs w:val="18"/>
              </w:rPr>
              <w:t xml:space="preserve">DFAT will instruct the successful design partner for a future program to better clarify program purpose and beneficiaries as part of the design. </w:t>
            </w:r>
          </w:p>
        </w:tc>
      </w:tr>
      <w:tr w:rsidR="00651B87" w:rsidRPr="008B1F2E" w14:paraId="7855DA8C" w14:textId="603328ED" w:rsidTr="00651B87">
        <w:trPr>
          <w:trHeight w:val="2637"/>
        </w:trPr>
        <w:tc>
          <w:tcPr>
            <w:tcW w:w="6237" w:type="dxa"/>
            <w:shd w:val="clear" w:color="auto" w:fill="FFFFFF" w:themeFill="background1"/>
          </w:tcPr>
          <w:p w14:paraId="19CA6444" w14:textId="77777777" w:rsidR="00651B87" w:rsidRPr="00651B87" w:rsidRDefault="00651B87" w:rsidP="004F4572">
            <w:pPr>
              <w:rPr>
                <w:b/>
                <w:bCs/>
                <w:i/>
                <w:iCs/>
                <w:sz w:val="18"/>
                <w:szCs w:val="18"/>
              </w:rPr>
            </w:pPr>
            <w:r w:rsidRPr="00651B87">
              <w:rPr>
                <w:b/>
                <w:bCs/>
                <w:i/>
                <w:iCs/>
                <w:sz w:val="18"/>
                <w:szCs w:val="18"/>
              </w:rPr>
              <w:t>Future program</w:t>
            </w:r>
          </w:p>
          <w:p w14:paraId="6B080372" w14:textId="77777777" w:rsidR="00651B87" w:rsidRPr="008B1F2E" w:rsidRDefault="00651B87" w:rsidP="004F4572">
            <w:pPr>
              <w:rPr>
                <w:i/>
                <w:iCs/>
                <w:sz w:val="18"/>
                <w:szCs w:val="18"/>
              </w:rPr>
            </w:pPr>
          </w:p>
          <w:p w14:paraId="04754572" w14:textId="77777777" w:rsidR="00651B87" w:rsidRPr="00CF4148" w:rsidRDefault="00651B87" w:rsidP="004F4572">
            <w:pPr>
              <w:rPr>
                <w:b/>
                <w:bCs/>
                <w:sz w:val="18"/>
                <w:szCs w:val="18"/>
              </w:rPr>
            </w:pPr>
            <w:r w:rsidRPr="0D742DB0">
              <w:rPr>
                <w:b/>
                <w:bCs/>
                <w:sz w:val="18"/>
                <w:szCs w:val="18"/>
              </w:rPr>
              <w:t>Recommendation 2: Deepen Pacific voices and leadership</w:t>
            </w:r>
          </w:p>
          <w:p w14:paraId="21F5D77F" w14:textId="77777777" w:rsidR="00651B87" w:rsidRPr="008B1F2E" w:rsidRDefault="00651B87" w:rsidP="0D742DB0">
            <w:pPr>
              <w:rPr>
                <w:sz w:val="18"/>
                <w:szCs w:val="18"/>
              </w:rPr>
            </w:pPr>
            <w:r w:rsidRPr="0D742DB0">
              <w:rPr>
                <w:sz w:val="18"/>
                <w:szCs w:val="18"/>
              </w:rPr>
              <w:t xml:space="preserve">Any future Pacific program should intentionally include Pacific stakeholders in the design process, including tertiary institutions, regional bodies and policy makers. </w:t>
            </w:r>
          </w:p>
          <w:p w14:paraId="2F8477A7" w14:textId="6F58D5A3" w:rsidR="00651B87" w:rsidRPr="008B1F2E" w:rsidRDefault="00651B87">
            <w:pPr>
              <w:rPr>
                <w:i/>
                <w:iCs/>
                <w:sz w:val="18"/>
                <w:szCs w:val="18"/>
              </w:rPr>
            </w:pPr>
            <w:r w:rsidRPr="0D742DB0">
              <w:rPr>
                <w:sz w:val="18"/>
                <w:szCs w:val="18"/>
              </w:rPr>
              <w:t>The design should also include new or strengthened mechanisms to include Pacific voices throughout the program, for example in identifying new research priorities or partnership opportunities. Diverse Pacific voices, including those from civil society, representative organisations and communities, should be integrated where possible.</w:t>
            </w:r>
          </w:p>
        </w:tc>
        <w:tc>
          <w:tcPr>
            <w:tcW w:w="1696" w:type="dxa"/>
            <w:shd w:val="clear" w:color="auto" w:fill="D9F2D0" w:themeFill="accent6" w:themeFillTint="33"/>
          </w:tcPr>
          <w:p w14:paraId="07EF09C1" w14:textId="7A7ECA31" w:rsidR="00651B87" w:rsidRPr="008B1F2E" w:rsidRDefault="00651B87" w:rsidP="5367C22A">
            <w:r w:rsidRPr="0D742DB0">
              <w:rPr>
                <w:sz w:val="18"/>
                <w:szCs w:val="18"/>
              </w:rPr>
              <w:t>Agree</w:t>
            </w:r>
          </w:p>
        </w:tc>
        <w:tc>
          <w:tcPr>
            <w:tcW w:w="3544" w:type="dxa"/>
          </w:tcPr>
          <w:p w14:paraId="0DC2EEB4" w14:textId="11B32B02" w:rsidR="00651B87" w:rsidRPr="008B1F2E" w:rsidRDefault="00651B87" w:rsidP="0D742DB0">
            <w:pPr>
              <w:rPr>
                <w:sz w:val="18"/>
                <w:szCs w:val="18"/>
              </w:rPr>
            </w:pPr>
            <w:r w:rsidRPr="0D742DB0">
              <w:rPr>
                <w:sz w:val="18"/>
                <w:szCs w:val="18"/>
              </w:rPr>
              <w:t xml:space="preserve">DFAT agrees that a future program should build upon the success of PRP and identify ways to further strengthen Pacific voices and leadership. This </w:t>
            </w:r>
            <w:r w:rsidR="166892A7" w:rsidRPr="30CCF18E">
              <w:rPr>
                <w:sz w:val="18"/>
                <w:szCs w:val="18"/>
              </w:rPr>
              <w:t xml:space="preserve">is </w:t>
            </w:r>
            <w:r w:rsidRPr="0D742DB0">
              <w:rPr>
                <w:sz w:val="18"/>
                <w:szCs w:val="18"/>
              </w:rPr>
              <w:t>in line with Australia’s International Development Policy’s prioritisation of locally led development as well as DFAT’s Pacific Regional Development Partnership Plan. Specific ways of achieving this will be considered as part of the partner-led design process for a future program.</w:t>
            </w:r>
          </w:p>
          <w:p w14:paraId="45188CAA" w14:textId="12E89669" w:rsidR="00651B87" w:rsidRPr="008B1F2E" w:rsidRDefault="00651B87" w:rsidP="5367C22A">
            <w:pPr>
              <w:rPr>
                <w:sz w:val="18"/>
                <w:szCs w:val="18"/>
                <w:highlight w:val="yellow"/>
              </w:rPr>
            </w:pPr>
          </w:p>
        </w:tc>
        <w:tc>
          <w:tcPr>
            <w:tcW w:w="3260" w:type="dxa"/>
          </w:tcPr>
          <w:p w14:paraId="68B28184" w14:textId="02683EAA" w:rsidR="00651B87" w:rsidRPr="008B1F2E" w:rsidRDefault="00651B87" w:rsidP="0247EF33">
            <w:pPr>
              <w:rPr>
                <w:sz w:val="18"/>
                <w:szCs w:val="18"/>
              </w:rPr>
            </w:pPr>
            <w:r w:rsidRPr="0D742DB0">
              <w:rPr>
                <w:sz w:val="18"/>
                <w:szCs w:val="18"/>
              </w:rPr>
              <w:t xml:space="preserve">DFAT will instruct the successful design partner to consult Pacific stakeholders during the design and identify specific ways Pacific voices and leaders will be included in a future program. </w:t>
            </w:r>
          </w:p>
          <w:p w14:paraId="25B5F47A" w14:textId="35A602D9" w:rsidR="00651B87" w:rsidRPr="008B1F2E" w:rsidRDefault="00651B87" w:rsidP="004F4572">
            <w:pPr>
              <w:rPr>
                <w:sz w:val="18"/>
                <w:szCs w:val="18"/>
              </w:rPr>
            </w:pPr>
          </w:p>
        </w:tc>
      </w:tr>
      <w:tr w:rsidR="00483FF5" w:rsidRPr="008B1F2E" w14:paraId="368A1FFF" w14:textId="77949497" w:rsidTr="00B673A8">
        <w:trPr>
          <w:trHeight w:val="2105"/>
        </w:trPr>
        <w:tc>
          <w:tcPr>
            <w:tcW w:w="6237" w:type="dxa"/>
            <w:shd w:val="clear" w:color="auto" w:fill="FFFFFF" w:themeFill="background1"/>
          </w:tcPr>
          <w:p w14:paraId="7501D737" w14:textId="77777777" w:rsidR="00483FF5" w:rsidRPr="00483FF5" w:rsidRDefault="00483FF5" w:rsidP="004F4572">
            <w:pPr>
              <w:rPr>
                <w:b/>
                <w:bCs/>
                <w:i/>
                <w:iCs/>
                <w:sz w:val="18"/>
                <w:szCs w:val="18"/>
              </w:rPr>
            </w:pPr>
            <w:r w:rsidRPr="00483FF5">
              <w:rPr>
                <w:b/>
                <w:bCs/>
                <w:i/>
                <w:iCs/>
                <w:sz w:val="18"/>
                <w:szCs w:val="18"/>
              </w:rPr>
              <w:t>Future program</w:t>
            </w:r>
          </w:p>
          <w:p w14:paraId="65BEC927" w14:textId="77777777" w:rsidR="00483FF5" w:rsidRPr="008B1F2E" w:rsidRDefault="00483FF5" w:rsidP="004F4572">
            <w:pPr>
              <w:rPr>
                <w:i/>
                <w:iCs/>
                <w:sz w:val="18"/>
                <w:szCs w:val="18"/>
              </w:rPr>
            </w:pPr>
          </w:p>
          <w:p w14:paraId="62AA5848" w14:textId="77777777" w:rsidR="00483FF5" w:rsidRPr="00CF4148" w:rsidRDefault="00483FF5" w:rsidP="004F4572">
            <w:pPr>
              <w:rPr>
                <w:b/>
                <w:bCs/>
                <w:sz w:val="18"/>
                <w:szCs w:val="18"/>
              </w:rPr>
            </w:pPr>
            <w:r w:rsidRPr="00CF4148">
              <w:rPr>
                <w:b/>
                <w:bCs/>
                <w:sz w:val="18"/>
                <w:szCs w:val="18"/>
              </w:rPr>
              <w:t>Recommendation 3: Strategic institutional capacity development</w:t>
            </w:r>
          </w:p>
          <w:p w14:paraId="3C09B360" w14:textId="6E4DA380" w:rsidR="00483FF5" w:rsidRDefault="00483FF5" w:rsidP="0D742DB0">
            <w:pPr>
              <w:rPr>
                <w:sz w:val="18"/>
                <w:szCs w:val="18"/>
              </w:rPr>
            </w:pPr>
            <w:r w:rsidRPr="0D742DB0">
              <w:rPr>
                <w:sz w:val="18"/>
                <w:szCs w:val="18"/>
              </w:rPr>
              <w:t>A future phase could include development and resourcing of a multi-year capacity strengthening/sharing plan. The plan should be co-developed and delivered, jointly owned, and where possible, address broader barriers to institutional capacity.</w:t>
            </w:r>
          </w:p>
          <w:p w14:paraId="5E2A537B" w14:textId="5B332EF5" w:rsidR="00483FF5" w:rsidRPr="008B1F2E" w:rsidRDefault="00483FF5">
            <w:pPr>
              <w:rPr>
                <w:i/>
                <w:iCs/>
                <w:sz w:val="18"/>
                <w:szCs w:val="18"/>
              </w:rPr>
            </w:pPr>
            <w:r w:rsidRPr="0D742DB0">
              <w:rPr>
                <w:sz w:val="18"/>
                <w:szCs w:val="18"/>
              </w:rPr>
              <w:t>Development of a baseline study, mapping institutional strengths, gaps and opportunities across the region</w:t>
            </w:r>
            <w:r w:rsidRPr="0D742DB0">
              <w:rPr>
                <w:rFonts w:eastAsiaTheme="minorEastAsia"/>
                <w:sz w:val="18"/>
                <w:szCs w:val="18"/>
              </w:rPr>
              <w:t xml:space="preserve"> could inform planning </w:t>
            </w:r>
            <w:r>
              <w:rPr>
                <w:rFonts w:eastAsiaTheme="minorEastAsia"/>
                <w:sz w:val="18"/>
                <w:szCs w:val="18"/>
              </w:rPr>
              <w:t>and</w:t>
            </w:r>
            <w:r w:rsidRPr="0D742DB0">
              <w:rPr>
                <w:rFonts w:eastAsiaTheme="minorEastAsia"/>
                <w:sz w:val="18"/>
                <w:szCs w:val="18"/>
              </w:rPr>
              <w:t xml:space="preserve"> enable measuring of progress for future phases.</w:t>
            </w:r>
          </w:p>
        </w:tc>
        <w:tc>
          <w:tcPr>
            <w:tcW w:w="1696" w:type="dxa"/>
            <w:shd w:val="clear" w:color="auto" w:fill="F8FCF6"/>
          </w:tcPr>
          <w:p w14:paraId="373CE781" w14:textId="3CC80F28" w:rsidR="00483FF5" w:rsidRPr="008B1F2E" w:rsidRDefault="00483FF5" w:rsidP="004F4572">
            <w:pPr>
              <w:rPr>
                <w:sz w:val="18"/>
                <w:szCs w:val="18"/>
              </w:rPr>
            </w:pPr>
            <w:r w:rsidRPr="0247EF33">
              <w:rPr>
                <w:sz w:val="18"/>
                <w:szCs w:val="18"/>
              </w:rPr>
              <w:t xml:space="preserve">Partially agree  </w:t>
            </w:r>
          </w:p>
        </w:tc>
        <w:tc>
          <w:tcPr>
            <w:tcW w:w="3544" w:type="dxa"/>
          </w:tcPr>
          <w:p w14:paraId="4BD08041" w14:textId="61FA4094" w:rsidR="00483FF5" w:rsidRPr="008B1F2E" w:rsidRDefault="00483FF5" w:rsidP="5367C22A">
            <w:pPr>
              <w:rPr>
                <w:sz w:val="18"/>
                <w:szCs w:val="18"/>
              </w:rPr>
            </w:pPr>
            <w:r w:rsidRPr="0D742DB0">
              <w:rPr>
                <w:sz w:val="18"/>
                <w:szCs w:val="18"/>
              </w:rPr>
              <w:t>DFAT agrees that a future program should have a dedicated focus on institutional capacity development. Specific ways of achieving this will be examined in the partner-led design process.</w:t>
            </w:r>
          </w:p>
          <w:p w14:paraId="4E643569" w14:textId="4D7E8A3E" w:rsidR="00483FF5" w:rsidRPr="008B1F2E" w:rsidRDefault="00483FF5" w:rsidP="5367C22A">
            <w:pPr>
              <w:rPr>
                <w:sz w:val="18"/>
                <w:szCs w:val="18"/>
              </w:rPr>
            </w:pPr>
          </w:p>
          <w:p w14:paraId="1F24B490" w14:textId="1C444D36" w:rsidR="00483FF5" w:rsidRPr="008B1F2E" w:rsidRDefault="00483FF5" w:rsidP="5367C22A">
            <w:pPr>
              <w:rPr>
                <w:sz w:val="18"/>
                <w:szCs w:val="18"/>
                <w:highlight w:val="yellow"/>
              </w:rPr>
            </w:pPr>
          </w:p>
        </w:tc>
        <w:tc>
          <w:tcPr>
            <w:tcW w:w="3260" w:type="dxa"/>
          </w:tcPr>
          <w:p w14:paraId="1A15649C" w14:textId="1AE5EB20" w:rsidR="00483FF5" w:rsidRPr="008B1F2E" w:rsidRDefault="00483FF5">
            <w:pPr>
              <w:rPr>
                <w:sz w:val="18"/>
                <w:szCs w:val="18"/>
              </w:rPr>
            </w:pPr>
            <w:r w:rsidRPr="0D742DB0">
              <w:rPr>
                <w:sz w:val="18"/>
                <w:szCs w:val="18"/>
              </w:rPr>
              <w:t>DFAT has included institutional capacity building as an indicative end of program outcome in the Investment Concept Note for a future program and will work with the successful design partner to consider feasible ways to make progress in this area in a future program.</w:t>
            </w:r>
          </w:p>
        </w:tc>
      </w:tr>
      <w:tr w:rsidR="00483FF5" w:rsidRPr="008B1F2E" w14:paraId="194067D3" w14:textId="2463248A" w:rsidTr="00B673A8">
        <w:trPr>
          <w:trHeight w:val="4694"/>
        </w:trPr>
        <w:tc>
          <w:tcPr>
            <w:tcW w:w="6237" w:type="dxa"/>
            <w:shd w:val="clear" w:color="auto" w:fill="FFFFFF" w:themeFill="background1"/>
          </w:tcPr>
          <w:p w14:paraId="6C915315" w14:textId="77777777" w:rsidR="00483FF5" w:rsidRPr="00483FF5" w:rsidRDefault="00483FF5" w:rsidP="004F4572">
            <w:pPr>
              <w:rPr>
                <w:b/>
                <w:bCs/>
                <w:i/>
                <w:iCs/>
                <w:sz w:val="18"/>
                <w:szCs w:val="18"/>
              </w:rPr>
            </w:pPr>
            <w:r w:rsidRPr="00483FF5">
              <w:rPr>
                <w:b/>
                <w:bCs/>
                <w:i/>
                <w:iCs/>
                <w:sz w:val="18"/>
                <w:szCs w:val="18"/>
              </w:rPr>
              <w:lastRenderedPageBreak/>
              <w:t>Future program</w:t>
            </w:r>
          </w:p>
          <w:p w14:paraId="208869D3" w14:textId="77777777" w:rsidR="00483FF5" w:rsidRPr="008B1F2E" w:rsidRDefault="00483FF5" w:rsidP="004F4572">
            <w:pPr>
              <w:rPr>
                <w:i/>
                <w:iCs/>
                <w:sz w:val="18"/>
                <w:szCs w:val="18"/>
              </w:rPr>
            </w:pPr>
          </w:p>
          <w:p w14:paraId="1E2D2C8A" w14:textId="77777777" w:rsidR="00483FF5" w:rsidRPr="00350E46" w:rsidRDefault="00483FF5" w:rsidP="4BD24D44">
            <w:pPr>
              <w:rPr>
                <w:b/>
                <w:bCs/>
                <w:sz w:val="18"/>
                <w:szCs w:val="18"/>
              </w:rPr>
            </w:pPr>
            <w:r w:rsidRPr="0D742DB0">
              <w:rPr>
                <w:b/>
                <w:bCs/>
                <w:sz w:val="18"/>
                <w:szCs w:val="18"/>
              </w:rPr>
              <w:t xml:space="preserve">Recommendation 4: Scope additional modalities to support Pacific-led research agendas </w:t>
            </w:r>
          </w:p>
          <w:p w14:paraId="461270CA" w14:textId="77777777" w:rsidR="00483FF5" w:rsidRPr="00350E46" w:rsidRDefault="00483FF5" w:rsidP="0D742DB0">
            <w:pPr>
              <w:rPr>
                <w:sz w:val="18"/>
                <w:szCs w:val="18"/>
              </w:rPr>
            </w:pPr>
            <w:r w:rsidRPr="0D742DB0">
              <w:rPr>
                <w:sz w:val="18"/>
                <w:szCs w:val="18"/>
              </w:rPr>
              <w:t>Refinements to the delivery modality should be informed through a detailed co-design process. Should the program remain focussed on deepening research and education partnerships across Australia and the Pacific, and enabling greater reach, impact and sustainability, options for further exploration include:</w:t>
            </w:r>
          </w:p>
          <w:p w14:paraId="4C7DDA3C" w14:textId="77777777" w:rsidR="00483FF5" w:rsidRPr="00350E46" w:rsidRDefault="00483FF5" w:rsidP="5367C22A">
            <w:pPr>
              <w:pStyle w:val="ListParagraph"/>
              <w:numPr>
                <w:ilvl w:val="0"/>
                <w:numId w:val="2"/>
              </w:numPr>
              <w:rPr>
                <w:sz w:val="18"/>
                <w:szCs w:val="18"/>
              </w:rPr>
            </w:pPr>
            <w:r w:rsidRPr="0D742DB0">
              <w:rPr>
                <w:sz w:val="18"/>
                <w:szCs w:val="18"/>
              </w:rPr>
              <w:t xml:space="preserve">Maintaining a similar consortium model to manage activities currently under EOPO2 and 3, while enhancing opportunities for other research and education institutions to provide services currently provided under EOPO1. </w:t>
            </w:r>
          </w:p>
          <w:p w14:paraId="132A1C5F" w14:textId="71A5E69D" w:rsidR="00483FF5" w:rsidRPr="00350E46" w:rsidRDefault="00483FF5" w:rsidP="5367C22A">
            <w:pPr>
              <w:pStyle w:val="ListParagraph"/>
              <w:numPr>
                <w:ilvl w:val="0"/>
                <w:numId w:val="2"/>
              </w:numPr>
              <w:rPr>
                <w:sz w:val="18"/>
                <w:szCs w:val="18"/>
              </w:rPr>
            </w:pPr>
            <w:r w:rsidRPr="0D742DB0">
              <w:rPr>
                <w:sz w:val="18"/>
                <w:szCs w:val="18"/>
              </w:rPr>
              <w:t xml:space="preserve">Broadening the delivery modality to include a greater number </w:t>
            </w:r>
            <w:r w:rsidR="686ADFB6" w:rsidRPr="30CCF18E">
              <w:rPr>
                <w:sz w:val="18"/>
                <w:szCs w:val="18"/>
              </w:rPr>
              <w:t xml:space="preserve">of </w:t>
            </w:r>
            <w:r w:rsidRPr="0D742DB0">
              <w:rPr>
                <w:sz w:val="18"/>
                <w:szCs w:val="18"/>
              </w:rPr>
              <w:t>Australian and Pacific universities for key priority research areas, with funding allocations to enable longer-term institutional partnerships and multi-year workplans.</w:t>
            </w:r>
          </w:p>
          <w:p w14:paraId="518F238E" w14:textId="77777777" w:rsidR="00483FF5" w:rsidRPr="00350E46" w:rsidRDefault="00483FF5" w:rsidP="0D742DB0">
            <w:pPr>
              <w:ind w:left="720"/>
              <w:rPr>
                <w:sz w:val="18"/>
                <w:szCs w:val="18"/>
              </w:rPr>
            </w:pPr>
          </w:p>
          <w:p w14:paraId="12BB9A5A" w14:textId="7B53DD84" w:rsidR="00483FF5" w:rsidRPr="008B1F2E" w:rsidRDefault="00483FF5">
            <w:pPr>
              <w:rPr>
                <w:i/>
                <w:iCs/>
                <w:sz w:val="18"/>
                <w:szCs w:val="18"/>
              </w:rPr>
            </w:pPr>
            <w:r w:rsidRPr="002603B0">
              <w:rPr>
                <w:rFonts w:eastAsiaTheme="minorEastAsia"/>
                <w:sz w:val="18"/>
                <w:szCs w:val="18"/>
              </w:rPr>
              <w:t>Pasifika philosophies embedded within PRP’s teaching and approaches have been a strength and should continue. However, there is a need to also build the knowledge base of research end-users to understand and engage more deeply with Pacific research and frameworks.</w:t>
            </w:r>
          </w:p>
        </w:tc>
        <w:tc>
          <w:tcPr>
            <w:tcW w:w="1696" w:type="dxa"/>
            <w:shd w:val="clear" w:color="auto" w:fill="F8FCF6"/>
          </w:tcPr>
          <w:p w14:paraId="75F37E47" w14:textId="3008FAF9" w:rsidR="00483FF5" w:rsidRPr="008B1F2E" w:rsidRDefault="00483FF5" w:rsidP="5367C22A">
            <w:r w:rsidRPr="5367C22A">
              <w:rPr>
                <w:sz w:val="18"/>
                <w:szCs w:val="18"/>
              </w:rPr>
              <w:t>Partially agree</w:t>
            </w:r>
          </w:p>
        </w:tc>
        <w:tc>
          <w:tcPr>
            <w:tcW w:w="3544" w:type="dxa"/>
          </w:tcPr>
          <w:p w14:paraId="1FAE04A4" w14:textId="35980F93" w:rsidR="00483FF5" w:rsidRPr="008B1F2E" w:rsidRDefault="00483FF5">
            <w:pPr>
              <w:rPr>
                <w:sz w:val="18"/>
                <w:szCs w:val="18"/>
              </w:rPr>
            </w:pPr>
            <w:r w:rsidRPr="0D742DB0">
              <w:rPr>
                <w:sz w:val="18"/>
                <w:szCs w:val="18"/>
              </w:rPr>
              <w:t xml:space="preserve">DFAT will undertake a partner-led design process to inform a future program. While the overarching modality for the program will be a grant to a lead Australian higher education institution, ensuring the program supports a Pacific led research agenda is a core priority. The design process will examine different ways of ensuring this, which may include pursuing different activity modalities to those used in PRP.  </w:t>
            </w:r>
          </w:p>
        </w:tc>
        <w:tc>
          <w:tcPr>
            <w:tcW w:w="3260" w:type="dxa"/>
          </w:tcPr>
          <w:p w14:paraId="0A7D77C9" w14:textId="44C59114" w:rsidR="00483FF5" w:rsidRPr="008B1F2E" w:rsidRDefault="00483FF5" w:rsidP="0D742DB0">
            <w:pPr>
              <w:rPr>
                <w:sz w:val="18"/>
                <w:szCs w:val="18"/>
              </w:rPr>
            </w:pPr>
            <w:r w:rsidRPr="0D742DB0">
              <w:rPr>
                <w:sz w:val="18"/>
                <w:szCs w:val="18"/>
              </w:rPr>
              <w:t xml:space="preserve">DFAT has included an explicit focus on ensuring Pacific Islanders shape the research agenda in the indicative intermediate outcomes in the Investment Concept Note for a future program. DFAT will instruct the successful design partner to examine feasible and innovative ways to achieve this in a future program. </w:t>
            </w:r>
          </w:p>
        </w:tc>
      </w:tr>
      <w:tr w:rsidR="0051584C" w:rsidRPr="008B1F2E" w14:paraId="12833EAD" w14:textId="3B98DE40" w:rsidTr="0051584C">
        <w:trPr>
          <w:trHeight w:val="2288"/>
        </w:trPr>
        <w:tc>
          <w:tcPr>
            <w:tcW w:w="6237" w:type="dxa"/>
            <w:shd w:val="clear" w:color="auto" w:fill="FFFFFF" w:themeFill="background1"/>
          </w:tcPr>
          <w:p w14:paraId="68F80846" w14:textId="2678A7D4" w:rsidR="0051584C" w:rsidRPr="00ED0A72" w:rsidRDefault="00483FF5" w:rsidP="004F4572">
            <w:pPr>
              <w:rPr>
                <w:b/>
                <w:bCs/>
                <w:i/>
                <w:iCs/>
                <w:sz w:val="18"/>
                <w:szCs w:val="18"/>
              </w:rPr>
            </w:pPr>
            <w:r>
              <w:rPr>
                <w:b/>
                <w:bCs/>
                <w:i/>
                <w:iCs/>
                <w:sz w:val="18"/>
                <w:szCs w:val="18"/>
              </w:rPr>
              <w:t>Future</w:t>
            </w:r>
            <w:r w:rsidR="0051584C" w:rsidRPr="00ED0A72">
              <w:rPr>
                <w:b/>
                <w:bCs/>
                <w:i/>
                <w:iCs/>
                <w:sz w:val="18"/>
                <w:szCs w:val="18"/>
              </w:rPr>
              <w:t xml:space="preserve"> program</w:t>
            </w:r>
          </w:p>
          <w:p w14:paraId="0DDABBB6" w14:textId="77777777" w:rsidR="00ED0A72" w:rsidRPr="008B1F2E" w:rsidRDefault="00ED0A72" w:rsidP="004F4572">
            <w:pPr>
              <w:rPr>
                <w:i/>
                <w:iCs/>
                <w:sz w:val="18"/>
                <w:szCs w:val="18"/>
              </w:rPr>
            </w:pPr>
          </w:p>
          <w:p w14:paraId="0E62585F" w14:textId="77777777" w:rsidR="0051584C" w:rsidRPr="00350E46" w:rsidRDefault="0051584C" w:rsidP="004F4572">
            <w:pPr>
              <w:rPr>
                <w:b/>
                <w:bCs/>
                <w:sz w:val="18"/>
                <w:szCs w:val="18"/>
              </w:rPr>
            </w:pPr>
            <w:r w:rsidRPr="0D742DB0">
              <w:rPr>
                <w:b/>
                <w:bCs/>
                <w:sz w:val="18"/>
                <w:szCs w:val="18"/>
              </w:rPr>
              <w:t xml:space="preserve">Recommendation 5: Strengthen GEDSI integration throughout program </w:t>
            </w:r>
          </w:p>
          <w:p w14:paraId="6DE50069" w14:textId="77777777" w:rsidR="0051584C" w:rsidRDefault="0051584C" w:rsidP="0D742DB0">
            <w:pPr>
              <w:rPr>
                <w:sz w:val="18"/>
                <w:szCs w:val="18"/>
              </w:rPr>
            </w:pPr>
            <w:r w:rsidRPr="0D742DB0">
              <w:rPr>
                <w:sz w:val="18"/>
                <w:szCs w:val="18"/>
              </w:rPr>
              <w:t>The next design could:</w:t>
            </w:r>
          </w:p>
          <w:p w14:paraId="054DBC6D" w14:textId="08FC9798" w:rsidR="0051584C" w:rsidRPr="00337762" w:rsidRDefault="0051584C" w:rsidP="00337762">
            <w:pPr>
              <w:pStyle w:val="ListParagraph"/>
              <w:numPr>
                <w:ilvl w:val="0"/>
                <w:numId w:val="9"/>
              </w:numPr>
              <w:rPr>
                <w:sz w:val="18"/>
                <w:szCs w:val="18"/>
              </w:rPr>
            </w:pPr>
            <w:r w:rsidRPr="00337762">
              <w:rPr>
                <w:sz w:val="18"/>
                <w:szCs w:val="18"/>
              </w:rPr>
              <w:t>Strengthen disability equity and inclusion, including</w:t>
            </w:r>
            <w:r w:rsidR="00337762" w:rsidRPr="00337762">
              <w:rPr>
                <w:sz w:val="18"/>
                <w:szCs w:val="18"/>
              </w:rPr>
              <w:t xml:space="preserve"> </w:t>
            </w:r>
            <w:r w:rsidRPr="00337762">
              <w:rPr>
                <w:sz w:val="18"/>
                <w:szCs w:val="18"/>
              </w:rPr>
              <w:t xml:space="preserve">ensuring disability equity is more systematically mainstreamed in implementation. </w:t>
            </w:r>
          </w:p>
          <w:p w14:paraId="124253E1" w14:textId="77777777" w:rsidR="0051584C" w:rsidRPr="00337762" w:rsidRDefault="0051584C" w:rsidP="00337762">
            <w:pPr>
              <w:pStyle w:val="ListParagraph"/>
              <w:numPr>
                <w:ilvl w:val="0"/>
                <w:numId w:val="9"/>
              </w:numPr>
              <w:rPr>
                <w:sz w:val="18"/>
                <w:szCs w:val="18"/>
              </w:rPr>
            </w:pPr>
            <w:r w:rsidRPr="00337762">
              <w:rPr>
                <w:sz w:val="18"/>
                <w:szCs w:val="18"/>
              </w:rPr>
              <w:t>Broaden gender focus and ensure Pacific voices are informing GEDSI research needs.</w:t>
            </w:r>
          </w:p>
          <w:p w14:paraId="644296E5" w14:textId="15988DA5" w:rsidR="0051584C" w:rsidRPr="00337762" w:rsidRDefault="0051584C" w:rsidP="00337762">
            <w:pPr>
              <w:pStyle w:val="ListParagraph"/>
              <w:numPr>
                <w:ilvl w:val="0"/>
                <w:numId w:val="9"/>
              </w:numPr>
              <w:rPr>
                <w:i/>
                <w:iCs/>
                <w:sz w:val="18"/>
                <w:szCs w:val="18"/>
              </w:rPr>
            </w:pPr>
            <w:r w:rsidRPr="00337762">
              <w:rPr>
                <w:sz w:val="18"/>
                <w:szCs w:val="18"/>
              </w:rPr>
              <w:t>Mainstream GEDSI in labour mobility research and continue to integrate GEDSI analysis.</w:t>
            </w:r>
          </w:p>
        </w:tc>
        <w:tc>
          <w:tcPr>
            <w:tcW w:w="1696" w:type="dxa"/>
            <w:shd w:val="clear" w:color="auto" w:fill="F9FFF7"/>
          </w:tcPr>
          <w:p w14:paraId="4B4433C7" w14:textId="146F4374" w:rsidR="0051584C" w:rsidRPr="008B1F2E" w:rsidRDefault="0051584C" w:rsidP="004F4572">
            <w:pPr>
              <w:rPr>
                <w:sz w:val="18"/>
                <w:szCs w:val="18"/>
              </w:rPr>
            </w:pPr>
            <w:r>
              <w:rPr>
                <w:sz w:val="18"/>
                <w:szCs w:val="18"/>
              </w:rPr>
              <w:t>Partially agree</w:t>
            </w:r>
            <w:r w:rsidRPr="008B1F2E">
              <w:rPr>
                <w:sz w:val="18"/>
                <w:szCs w:val="18"/>
              </w:rPr>
              <w:t xml:space="preserve"> </w:t>
            </w:r>
          </w:p>
        </w:tc>
        <w:tc>
          <w:tcPr>
            <w:tcW w:w="3544" w:type="dxa"/>
          </w:tcPr>
          <w:p w14:paraId="7942F00F" w14:textId="776737F4" w:rsidR="0051584C" w:rsidRPr="008B1F2E" w:rsidRDefault="0051584C" w:rsidP="004F4572">
            <w:pPr>
              <w:rPr>
                <w:sz w:val="18"/>
                <w:szCs w:val="18"/>
              </w:rPr>
            </w:pPr>
            <w:r w:rsidRPr="0D742DB0">
              <w:rPr>
                <w:sz w:val="18"/>
                <w:szCs w:val="18"/>
              </w:rPr>
              <w:t xml:space="preserve">DFAT agrees to strengthen GEDSI integration throughout a future program, particularly in relation to disability </w:t>
            </w:r>
            <w:r w:rsidRPr="30CCF18E">
              <w:rPr>
                <w:sz w:val="18"/>
                <w:szCs w:val="18"/>
              </w:rPr>
              <w:t>equ</w:t>
            </w:r>
            <w:r w:rsidR="1C890CD3" w:rsidRPr="30CCF18E">
              <w:rPr>
                <w:sz w:val="18"/>
                <w:szCs w:val="18"/>
              </w:rPr>
              <w:t>ity</w:t>
            </w:r>
            <w:r w:rsidRPr="0D742DB0">
              <w:rPr>
                <w:sz w:val="18"/>
                <w:szCs w:val="18"/>
              </w:rPr>
              <w:t xml:space="preserve"> and inclusion. The inclusion of labour mobility research in a future program will be determined by a partner-led design process. </w:t>
            </w:r>
          </w:p>
        </w:tc>
        <w:tc>
          <w:tcPr>
            <w:tcW w:w="3260" w:type="dxa"/>
          </w:tcPr>
          <w:p w14:paraId="04236EAC" w14:textId="005E4B15" w:rsidR="0051584C" w:rsidRPr="008B1F2E" w:rsidRDefault="0051584C" w:rsidP="004F4572">
            <w:pPr>
              <w:rPr>
                <w:sz w:val="18"/>
                <w:szCs w:val="18"/>
              </w:rPr>
            </w:pPr>
            <w:r w:rsidRPr="206FC64C">
              <w:rPr>
                <w:sz w:val="18"/>
                <w:szCs w:val="18"/>
              </w:rPr>
              <w:t xml:space="preserve">DFAT will ensure GEDSI experts are engaged in the partner-led design of a future program and will include program outcomes related to GEDSI in program design/logic. </w:t>
            </w:r>
          </w:p>
          <w:p w14:paraId="72931AFC" w14:textId="1B98F311" w:rsidR="0051584C" w:rsidRPr="008B1F2E" w:rsidRDefault="0051584C" w:rsidP="004F4572">
            <w:pPr>
              <w:rPr>
                <w:sz w:val="18"/>
                <w:szCs w:val="18"/>
              </w:rPr>
            </w:pPr>
          </w:p>
        </w:tc>
      </w:tr>
      <w:tr w:rsidR="00E54A53" w:rsidRPr="008B1F2E" w14:paraId="6C3F6C01" w14:textId="77777777" w:rsidTr="00B673A8">
        <w:trPr>
          <w:trHeight w:val="1180"/>
        </w:trPr>
        <w:tc>
          <w:tcPr>
            <w:tcW w:w="6237" w:type="dxa"/>
            <w:tcBorders>
              <w:top w:val="single" w:sz="4" w:space="0" w:color="auto"/>
              <w:bottom w:val="single" w:sz="4" w:space="0" w:color="auto"/>
            </w:tcBorders>
          </w:tcPr>
          <w:p w14:paraId="629E38B3" w14:textId="6B53DD15" w:rsidR="005828CF" w:rsidRPr="005828CF" w:rsidRDefault="005828CF" w:rsidP="00C64649">
            <w:pPr>
              <w:rPr>
                <w:b/>
                <w:bCs/>
                <w:i/>
                <w:iCs/>
                <w:sz w:val="18"/>
                <w:szCs w:val="18"/>
              </w:rPr>
            </w:pPr>
            <w:r w:rsidRPr="005828CF">
              <w:rPr>
                <w:b/>
                <w:bCs/>
                <w:i/>
                <w:iCs/>
                <w:sz w:val="18"/>
                <w:szCs w:val="18"/>
              </w:rPr>
              <w:t xml:space="preserve">Current </w:t>
            </w:r>
            <w:r w:rsidR="000E69AC">
              <w:rPr>
                <w:b/>
                <w:bCs/>
                <w:i/>
                <w:iCs/>
                <w:sz w:val="18"/>
                <w:szCs w:val="18"/>
              </w:rPr>
              <w:t xml:space="preserve">and future </w:t>
            </w:r>
            <w:r w:rsidRPr="005828CF">
              <w:rPr>
                <w:b/>
                <w:bCs/>
                <w:i/>
                <w:iCs/>
                <w:sz w:val="18"/>
                <w:szCs w:val="18"/>
              </w:rPr>
              <w:t>program</w:t>
            </w:r>
          </w:p>
          <w:p w14:paraId="6349B7F4" w14:textId="77777777" w:rsidR="005828CF" w:rsidRDefault="005828CF" w:rsidP="00C64649">
            <w:pPr>
              <w:rPr>
                <w:b/>
                <w:bCs/>
                <w:sz w:val="18"/>
                <w:szCs w:val="18"/>
              </w:rPr>
            </w:pPr>
          </w:p>
          <w:p w14:paraId="4CAE930C" w14:textId="4A5BF713" w:rsidR="00C64649" w:rsidRPr="00C64649" w:rsidRDefault="00C64649" w:rsidP="00C64649">
            <w:pPr>
              <w:rPr>
                <w:b/>
                <w:bCs/>
                <w:sz w:val="18"/>
                <w:szCs w:val="18"/>
              </w:rPr>
            </w:pPr>
            <w:r w:rsidRPr="00C64649">
              <w:rPr>
                <w:b/>
                <w:bCs/>
                <w:sz w:val="18"/>
                <w:szCs w:val="18"/>
              </w:rPr>
              <w:t>Recommendation 6: Expand policy engagement approaches and networks</w:t>
            </w:r>
          </w:p>
          <w:p w14:paraId="77F695FB" w14:textId="77777777" w:rsidR="00C64649" w:rsidRPr="00C64649" w:rsidRDefault="00C64649" w:rsidP="00C64649">
            <w:pPr>
              <w:rPr>
                <w:sz w:val="18"/>
                <w:szCs w:val="18"/>
                <w:lang w:val="en-US"/>
              </w:rPr>
            </w:pPr>
            <w:r w:rsidRPr="00C64649">
              <w:rPr>
                <w:sz w:val="18"/>
                <w:szCs w:val="18"/>
              </w:rPr>
              <w:lastRenderedPageBreak/>
              <w:t>Policy engagement networks and approaches should be broadened beyond the focus on Canberra-based policy stakeholders to greater leverage DFAT’s in-country networks</w:t>
            </w:r>
          </w:p>
          <w:p w14:paraId="49E4A97B" w14:textId="77777777" w:rsidR="00C64649" w:rsidRPr="00C64649" w:rsidRDefault="00C64649" w:rsidP="00C64649">
            <w:pPr>
              <w:rPr>
                <w:sz w:val="18"/>
                <w:szCs w:val="18"/>
              </w:rPr>
            </w:pPr>
          </w:p>
          <w:p w14:paraId="6446B1B7" w14:textId="77777777" w:rsidR="00C64649" w:rsidRPr="00C64649" w:rsidRDefault="00C64649" w:rsidP="00C64649">
            <w:pPr>
              <w:rPr>
                <w:sz w:val="18"/>
                <w:szCs w:val="18"/>
                <w:lang w:val="en-US"/>
              </w:rPr>
            </w:pPr>
            <w:r w:rsidRPr="00C64649">
              <w:rPr>
                <w:sz w:val="18"/>
                <w:szCs w:val="18"/>
              </w:rPr>
              <w:t>Prioritise pro-active engagement with Post and their networks for greater coordination and alignment with complementary programs for remainder of program and future phases.</w:t>
            </w:r>
          </w:p>
          <w:p w14:paraId="071CB81D" w14:textId="77777777" w:rsidR="00C64649" w:rsidRPr="00C64649" w:rsidRDefault="00C64649" w:rsidP="00C64649">
            <w:pPr>
              <w:rPr>
                <w:sz w:val="18"/>
                <w:szCs w:val="18"/>
                <w:lang w:val="en-US"/>
              </w:rPr>
            </w:pPr>
          </w:p>
          <w:p w14:paraId="73CFE2F6" w14:textId="77777777" w:rsidR="00C64649" w:rsidRPr="00C64649" w:rsidRDefault="00C64649" w:rsidP="00C64649">
            <w:pPr>
              <w:rPr>
                <w:sz w:val="18"/>
                <w:szCs w:val="18"/>
                <w:lang w:val="en-US"/>
              </w:rPr>
            </w:pPr>
            <w:r w:rsidRPr="00C64649">
              <w:rPr>
                <w:sz w:val="18"/>
                <w:szCs w:val="18"/>
              </w:rPr>
              <w:t>Future phases should evolve policy engagement beyond the focal point network approach to be more tailored to the specific information needs, timelines, forums and networks of policy stakeholders within each thematic area.</w:t>
            </w:r>
          </w:p>
          <w:p w14:paraId="0942DA93" w14:textId="77777777" w:rsidR="00C64649" w:rsidRPr="00C64649" w:rsidRDefault="00C64649" w:rsidP="00C64649">
            <w:pPr>
              <w:rPr>
                <w:sz w:val="18"/>
                <w:szCs w:val="18"/>
              </w:rPr>
            </w:pPr>
          </w:p>
          <w:p w14:paraId="1D1A6BD0" w14:textId="64C7FFC2" w:rsidR="00E54A53" w:rsidRPr="0D742DB0" w:rsidRDefault="00C64649" w:rsidP="00C64649">
            <w:pPr>
              <w:rPr>
                <w:b/>
                <w:bCs/>
                <w:sz w:val="18"/>
                <w:szCs w:val="18"/>
              </w:rPr>
            </w:pPr>
            <w:r w:rsidRPr="00C64649">
              <w:rPr>
                <w:sz w:val="18"/>
                <w:szCs w:val="18"/>
              </w:rPr>
              <w:t>Refresh the format of the Pacific Update and include new policy engagement forums in other Pacific countries.</w:t>
            </w:r>
          </w:p>
        </w:tc>
        <w:tc>
          <w:tcPr>
            <w:tcW w:w="1696" w:type="dxa"/>
            <w:shd w:val="clear" w:color="auto" w:fill="F8FCF6"/>
          </w:tcPr>
          <w:p w14:paraId="19A6D977" w14:textId="2AF07E60" w:rsidR="00E54A53" w:rsidRPr="008B1F2E" w:rsidRDefault="005E7A53" w:rsidP="004F4572">
            <w:pPr>
              <w:rPr>
                <w:sz w:val="18"/>
                <w:szCs w:val="18"/>
              </w:rPr>
            </w:pPr>
            <w:r>
              <w:rPr>
                <w:sz w:val="18"/>
                <w:szCs w:val="18"/>
              </w:rPr>
              <w:lastRenderedPageBreak/>
              <w:t xml:space="preserve">Partially agree </w:t>
            </w:r>
          </w:p>
        </w:tc>
        <w:tc>
          <w:tcPr>
            <w:tcW w:w="3544" w:type="dxa"/>
          </w:tcPr>
          <w:p w14:paraId="30F167F9" w14:textId="5805C084" w:rsidR="00E54A53" w:rsidRPr="008B1F2E" w:rsidRDefault="005E7A53" w:rsidP="004F4572">
            <w:pPr>
              <w:rPr>
                <w:sz w:val="18"/>
                <w:szCs w:val="18"/>
              </w:rPr>
            </w:pPr>
            <w:r w:rsidRPr="005E7A53">
              <w:rPr>
                <w:sz w:val="18"/>
                <w:szCs w:val="18"/>
              </w:rPr>
              <w:t xml:space="preserve">DFAT agrees to focus on expanding policy engagement approaches and networks for the remainder of the program and will consider approaches to broadening policy engagement and networks during the </w:t>
            </w:r>
            <w:r w:rsidRPr="005E7A53">
              <w:rPr>
                <w:sz w:val="18"/>
                <w:szCs w:val="18"/>
              </w:rPr>
              <w:lastRenderedPageBreak/>
              <w:t>partner-led design for a future program. DFAT agrees with the principle of expanding policy engagement opportunities across the Pacific and specific events and activities will be determined through the partner-led design process.</w:t>
            </w:r>
          </w:p>
        </w:tc>
        <w:tc>
          <w:tcPr>
            <w:tcW w:w="3260" w:type="dxa"/>
          </w:tcPr>
          <w:p w14:paraId="382E88B5" w14:textId="1D5301DC" w:rsidR="00E54A53" w:rsidRPr="005828CF" w:rsidRDefault="005828CF" w:rsidP="004F4572">
            <w:pPr>
              <w:rPr>
                <w:sz w:val="18"/>
                <w:szCs w:val="18"/>
                <w:lang w:val="en-US"/>
              </w:rPr>
            </w:pPr>
            <w:r w:rsidRPr="005828CF">
              <w:rPr>
                <w:sz w:val="18"/>
                <w:szCs w:val="18"/>
              </w:rPr>
              <w:lastRenderedPageBreak/>
              <w:t>DFAT and the Australian National University (ANU) to work together to circulate updates and research outputs to relevant Post colleagues for the remainder of the program.</w:t>
            </w:r>
          </w:p>
        </w:tc>
      </w:tr>
      <w:tr w:rsidR="007053F4" w:rsidRPr="008B1F2E" w14:paraId="2CA3B5C4" w14:textId="77777777" w:rsidTr="00B673A8">
        <w:trPr>
          <w:trHeight w:val="1180"/>
        </w:trPr>
        <w:tc>
          <w:tcPr>
            <w:tcW w:w="6237" w:type="dxa"/>
            <w:tcBorders>
              <w:top w:val="single" w:sz="4" w:space="0" w:color="auto"/>
              <w:bottom w:val="single" w:sz="4" w:space="0" w:color="auto"/>
            </w:tcBorders>
          </w:tcPr>
          <w:p w14:paraId="51E3A15C" w14:textId="39A5D8E7" w:rsidR="005828CF" w:rsidRPr="005828CF" w:rsidRDefault="005828CF" w:rsidP="007053F4">
            <w:pPr>
              <w:rPr>
                <w:b/>
                <w:bCs/>
                <w:i/>
                <w:iCs/>
                <w:sz w:val="18"/>
                <w:szCs w:val="18"/>
              </w:rPr>
            </w:pPr>
            <w:r w:rsidRPr="005828CF">
              <w:rPr>
                <w:b/>
                <w:bCs/>
                <w:i/>
                <w:iCs/>
                <w:sz w:val="18"/>
                <w:szCs w:val="18"/>
              </w:rPr>
              <w:t>Current program</w:t>
            </w:r>
          </w:p>
          <w:p w14:paraId="621EE9E8" w14:textId="77777777" w:rsidR="005828CF" w:rsidRDefault="005828CF" w:rsidP="007053F4">
            <w:pPr>
              <w:rPr>
                <w:b/>
                <w:bCs/>
                <w:sz w:val="18"/>
                <w:szCs w:val="18"/>
              </w:rPr>
            </w:pPr>
          </w:p>
          <w:p w14:paraId="0810CAE3" w14:textId="24B22AC1" w:rsidR="007053F4" w:rsidRPr="007053F4" w:rsidRDefault="007053F4" w:rsidP="007053F4">
            <w:pPr>
              <w:rPr>
                <w:sz w:val="18"/>
                <w:szCs w:val="18"/>
                <w:lang w:val="en-US"/>
              </w:rPr>
            </w:pPr>
            <w:r w:rsidRPr="007053F4">
              <w:rPr>
                <w:b/>
                <w:bCs/>
                <w:sz w:val="18"/>
                <w:szCs w:val="18"/>
              </w:rPr>
              <w:t xml:space="preserve">Recommendation 7: </w:t>
            </w:r>
            <w:r w:rsidRPr="007053F4">
              <w:rPr>
                <w:sz w:val="18"/>
                <w:szCs w:val="18"/>
              </w:rPr>
              <w:t>Prioritise resourcing towards addressing gaps in MEL</w:t>
            </w:r>
          </w:p>
          <w:p w14:paraId="07442D5A" w14:textId="77777777" w:rsidR="007053F4" w:rsidRPr="007053F4" w:rsidRDefault="007053F4" w:rsidP="007053F4">
            <w:pPr>
              <w:rPr>
                <w:sz w:val="18"/>
                <w:szCs w:val="18"/>
                <w:lang w:val="en-US"/>
              </w:rPr>
            </w:pPr>
            <w:r w:rsidRPr="007053F4">
              <w:rPr>
                <w:sz w:val="18"/>
                <w:szCs w:val="18"/>
              </w:rPr>
              <w:t>In the last year of delivery, PRP should continue to prioritise MEL, with a focus on comprehensive reporting against the MEL Framework and strengthening program learning. The PRP should consider expanding case studies to capture additional areas of the PRP’s influence, including contributions to gender equality.</w:t>
            </w:r>
          </w:p>
          <w:p w14:paraId="631D08D0" w14:textId="77777777" w:rsidR="007053F4" w:rsidRPr="00C64649" w:rsidRDefault="007053F4" w:rsidP="00C64649">
            <w:pPr>
              <w:rPr>
                <w:b/>
                <w:bCs/>
                <w:sz w:val="18"/>
                <w:szCs w:val="18"/>
              </w:rPr>
            </w:pPr>
          </w:p>
        </w:tc>
        <w:tc>
          <w:tcPr>
            <w:tcW w:w="1696" w:type="dxa"/>
            <w:shd w:val="clear" w:color="auto" w:fill="D9F2D0" w:themeFill="accent6" w:themeFillTint="33"/>
          </w:tcPr>
          <w:p w14:paraId="6BE80AB2" w14:textId="1E99096B" w:rsidR="007053F4" w:rsidRPr="008B1F2E" w:rsidRDefault="008B6C3F" w:rsidP="004F4572">
            <w:pPr>
              <w:rPr>
                <w:sz w:val="18"/>
                <w:szCs w:val="18"/>
              </w:rPr>
            </w:pPr>
            <w:r>
              <w:rPr>
                <w:sz w:val="18"/>
                <w:szCs w:val="18"/>
              </w:rPr>
              <w:t xml:space="preserve">Agree </w:t>
            </w:r>
          </w:p>
        </w:tc>
        <w:tc>
          <w:tcPr>
            <w:tcW w:w="3544" w:type="dxa"/>
          </w:tcPr>
          <w:p w14:paraId="6E93144E" w14:textId="77777777" w:rsidR="00C15A43" w:rsidRPr="00C15A43" w:rsidRDefault="00C15A43" w:rsidP="00C15A43">
            <w:pPr>
              <w:rPr>
                <w:sz w:val="18"/>
                <w:szCs w:val="18"/>
                <w:lang w:val="en-US"/>
              </w:rPr>
            </w:pPr>
            <w:r w:rsidRPr="00C15A43">
              <w:rPr>
                <w:sz w:val="18"/>
                <w:szCs w:val="18"/>
              </w:rPr>
              <w:t>DFAT agrees that MEL should continue to be a priority in the current program, noting that MEL has already been agreed as a core priority for the remainder of the program.</w:t>
            </w:r>
          </w:p>
          <w:p w14:paraId="3FEF4786" w14:textId="77777777" w:rsidR="007053F4" w:rsidRPr="008B1F2E" w:rsidRDefault="007053F4" w:rsidP="004F4572">
            <w:pPr>
              <w:rPr>
                <w:sz w:val="18"/>
                <w:szCs w:val="18"/>
              </w:rPr>
            </w:pPr>
          </w:p>
        </w:tc>
        <w:tc>
          <w:tcPr>
            <w:tcW w:w="3260" w:type="dxa"/>
          </w:tcPr>
          <w:p w14:paraId="5997B911" w14:textId="4241800B" w:rsidR="007053F4" w:rsidRPr="008B1F2E" w:rsidRDefault="008B6C3F" w:rsidP="004F4572">
            <w:pPr>
              <w:rPr>
                <w:sz w:val="18"/>
                <w:szCs w:val="18"/>
                <w:lang w:val="en-US"/>
              </w:rPr>
            </w:pPr>
            <w:r w:rsidRPr="008B6C3F">
              <w:rPr>
                <w:sz w:val="18"/>
                <w:szCs w:val="18"/>
              </w:rPr>
              <w:t>MEL has already been agreed as a core priority for the remainder of the program.</w:t>
            </w:r>
          </w:p>
        </w:tc>
      </w:tr>
    </w:tbl>
    <w:p w14:paraId="53D66B1E" w14:textId="77777777" w:rsidR="00E05615" w:rsidRDefault="00E05615" w:rsidP="00E05615">
      <w:pPr>
        <w:jc w:val="center"/>
      </w:pPr>
    </w:p>
    <w:sectPr w:rsidR="00E05615" w:rsidSect="00CB040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86FA" w14:textId="77777777" w:rsidR="00B95ED4" w:rsidRDefault="00B95ED4" w:rsidP="001B7C44">
      <w:pPr>
        <w:spacing w:after="0" w:line="240" w:lineRule="auto"/>
      </w:pPr>
      <w:r>
        <w:separator/>
      </w:r>
    </w:p>
  </w:endnote>
  <w:endnote w:type="continuationSeparator" w:id="0">
    <w:p w14:paraId="36946E2C" w14:textId="77777777" w:rsidR="00B95ED4" w:rsidRDefault="00B95ED4" w:rsidP="001B7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B371" w14:textId="77777777" w:rsidR="0064516B" w:rsidRDefault="00645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63055548" w14:paraId="47A651BE" w14:textId="77777777" w:rsidTr="63055548">
      <w:trPr>
        <w:trHeight w:val="300"/>
      </w:trPr>
      <w:tc>
        <w:tcPr>
          <w:tcW w:w="4650" w:type="dxa"/>
        </w:tcPr>
        <w:p w14:paraId="4ACB5F80" w14:textId="12DCA640" w:rsidR="63055548" w:rsidRDefault="63055548" w:rsidP="63055548">
          <w:pPr>
            <w:pStyle w:val="Header"/>
            <w:ind w:left="-115"/>
          </w:pPr>
        </w:p>
      </w:tc>
      <w:tc>
        <w:tcPr>
          <w:tcW w:w="4650" w:type="dxa"/>
        </w:tcPr>
        <w:p w14:paraId="5A81EB05" w14:textId="4B05E9B7" w:rsidR="63055548" w:rsidRDefault="63055548" w:rsidP="63055548">
          <w:pPr>
            <w:pStyle w:val="Header"/>
            <w:jc w:val="center"/>
          </w:pPr>
        </w:p>
      </w:tc>
      <w:tc>
        <w:tcPr>
          <w:tcW w:w="4650" w:type="dxa"/>
        </w:tcPr>
        <w:p w14:paraId="0FDEA382" w14:textId="0C0EC710" w:rsidR="63055548" w:rsidRDefault="63055548" w:rsidP="63055548">
          <w:pPr>
            <w:pStyle w:val="Header"/>
            <w:ind w:right="-115"/>
            <w:jc w:val="right"/>
          </w:pPr>
        </w:p>
      </w:tc>
    </w:tr>
  </w:tbl>
  <w:p w14:paraId="46915A8A" w14:textId="4E4C3F0D" w:rsidR="00284EAD" w:rsidRDefault="00284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7BF4" w14:textId="77777777" w:rsidR="0064516B" w:rsidRDefault="00645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C79F" w14:textId="77777777" w:rsidR="00B95ED4" w:rsidRDefault="00B95ED4" w:rsidP="001B7C44">
      <w:pPr>
        <w:spacing w:after="0" w:line="240" w:lineRule="auto"/>
      </w:pPr>
      <w:r>
        <w:separator/>
      </w:r>
    </w:p>
  </w:footnote>
  <w:footnote w:type="continuationSeparator" w:id="0">
    <w:p w14:paraId="351391CB" w14:textId="77777777" w:rsidR="00B95ED4" w:rsidRDefault="00B95ED4" w:rsidP="001B7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6383" w14:textId="77777777" w:rsidR="0064516B" w:rsidRDefault="00645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AA32" w14:textId="282EA207" w:rsidR="0072322F" w:rsidRPr="0072322F" w:rsidRDefault="0072322F" w:rsidP="0072322F">
    <w:pPr>
      <w:jc w:val="center"/>
      <w:rPr>
        <w:b/>
        <w:bCs/>
      </w:rPr>
    </w:pPr>
    <w:r w:rsidRPr="0072322F">
      <w:rPr>
        <w:b/>
        <w:bCs/>
      </w:rPr>
      <w:t>DFAT Management Response to the Independent Evaluation of the Pacific Research Program Phase Two</w:t>
    </w:r>
  </w:p>
  <w:p w14:paraId="0D4F0A87" w14:textId="77777777" w:rsidR="0072322F" w:rsidRDefault="00723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0C28" w14:textId="77777777" w:rsidR="0064516B" w:rsidRDefault="00645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939D"/>
    <w:multiLevelType w:val="hybridMultilevel"/>
    <w:tmpl w:val="FFFFFFFF"/>
    <w:lvl w:ilvl="0" w:tplc="F91C5EF0">
      <w:start w:val="1"/>
      <w:numFmt w:val="bullet"/>
      <w:lvlText w:val="-"/>
      <w:lvlJc w:val="left"/>
      <w:pPr>
        <w:ind w:left="327" w:hanging="360"/>
      </w:pPr>
      <w:rPr>
        <w:rFonts w:ascii="Aptos" w:hAnsi="Aptos" w:hint="default"/>
      </w:rPr>
    </w:lvl>
    <w:lvl w:ilvl="1" w:tplc="8E50248A">
      <w:start w:val="1"/>
      <w:numFmt w:val="bullet"/>
      <w:lvlText w:val="o"/>
      <w:lvlJc w:val="left"/>
      <w:pPr>
        <w:ind w:left="1047" w:hanging="360"/>
      </w:pPr>
      <w:rPr>
        <w:rFonts w:ascii="Courier New" w:hAnsi="Courier New" w:hint="default"/>
      </w:rPr>
    </w:lvl>
    <w:lvl w:ilvl="2" w:tplc="17E40B4A">
      <w:start w:val="1"/>
      <w:numFmt w:val="bullet"/>
      <w:lvlText w:val=""/>
      <w:lvlJc w:val="left"/>
      <w:pPr>
        <w:ind w:left="1767" w:hanging="360"/>
      </w:pPr>
      <w:rPr>
        <w:rFonts w:ascii="Wingdings" w:hAnsi="Wingdings" w:hint="default"/>
      </w:rPr>
    </w:lvl>
    <w:lvl w:ilvl="3" w:tplc="799842FA">
      <w:start w:val="1"/>
      <w:numFmt w:val="bullet"/>
      <w:lvlText w:val=""/>
      <w:lvlJc w:val="left"/>
      <w:pPr>
        <w:ind w:left="2487" w:hanging="360"/>
      </w:pPr>
      <w:rPr>
        <w:rFonts w:ascii="Symbol" w:hAnsi="Symbol" w:hint="default"/>
      </w:rPr>
    </w:lvl>
    <w:lvl w:ilvl="4" w:tplc="DBAE2EA4">
      <w:start w:val="1"/>
      <w:numFmt w:val="bullet"/>
      <w:lvlText w:val="o"/>
      <w:lvlJc w:val="left"/>
      <w:pPr>
        <w:ind w:left="3207" w:hanging="360"/>
      </w:pPr>
      <w:rPr>
        <w:rFonts w:ascii="Courier New" w:hAnsi="Courier New" w:hint="default"/>
      </w:rPr>
    </w:lvl>
    <w:lvl w:ilvl="5" w:tplc="CE449A92">
      <w:start w:val="1"/>
      <w:numFmt w:val="bullet"/>
      <w:lvlText w:val=""/>
      <w:lvlJc w:val="left"/>
      <w:pPr>
        <w:ind w:left="3927" w:hanging="360"/>
      </w:pPr>
      <w:rPr>
        <w:rFonts w:ascii="Wingdings" w:hAnsi="Wingdings" w:hint="default"/>
      </w:rPr>
    </w:lvl>
    <w:lvl w:ilvl="6" w:tplc="66789F04">
      <w:start w:val="1"/>
      <w:numFmt w:val="bullet"/>
      <w:lvlText w:val=""/>
      <w:lvlJc w:val="left"/>
      <w:pPr>
        <w:ind w:left="4647" w:hanging="360"/>
      </w:pPr>
      <w:rPr>
        <w:rFonts w:ascii="Symbol" w:hAnsi="Symbol" w:hint="default"/>
      </w:rPr>
    </w:lvl>
    <w:lvl w:ilvl="7" w:tplc="DD9E73E0">
      <w:start w:val="1"/>
      <w:numFmt w:val="bullet"/>
      <w:lvlText w:val="o"/>
      <w:lvlJc w:val="left"/>
      <w:pPr>
        <w:ind w:left="5367" w:hanging="360"/>
      </w:pPr>
      <w:rPr>
        <w:rFonts w:ascii="Courier New" w:hAnsi="Courier New" w:hint="default"/>
      </w:rPr>
    </w:lvl>
    <w:lvl w:ilvl="8" w:tplc="BFE431E8">
      <w:start w:val="1"/>
      <w:numFmt w:val="bullet"/>
      <w:lvlText w:val=""/>
      <w:lvlJc w:val="left"/>
      <w:pPr>
        <w:ind w:left="6087" w:hanging="360"/>
      </w:pPr>
      <w:rPr>
        <w:rFonts w:ascii="Wingdings" w:hAnsi="Wingdings" w:hint="default"/>
      </w:rPr>
    </w:lvl>
  </w:abstractNum>
  <w:abstractNum w:abstractNumId="1" w15:restartNumberingAfterBreak="0">
    <w:nsid w:val="1E37CFA5"/>
    <w:multiLevelType w:val="hybridMultilevel"/>
    <w:tmpl w:val="FFFFFFFF"/>
    <w:lvl w:ilvl="0" w:tplc="F954D208">
      <w:start w:val="1"/>
      <w:numFmt w:val="bullet"/>
      <w:lvlText w:val="-"/>
      <w:lvlJc w:val="left"/>
      <w:pPr>
        <w:ind w:left="720" w:hanging="360"/>
      </w:pPr>
      <w:rPr>
        <w:rFonts w:ascii="Aptos" w:hAnsi="Aptos" w:hint="default"/>
      </w:rPr>
    </w:lvl>
    <w:lvl w:ilvl="1" w:tplc="3D58BD54">
      <w:start w:val="1"/>
      <w:numFmt w:val="bullet"/>
      <w:lvlText w:val="o"/>
      <w:lvlJc w:val="left"/>
      <w:pPr>
        <w:ind w:left="1440" w:hanging="360"/>
      </w:pPr>
      <w:rPr>
        <w:rFonts w:ascii="Courier New" w:hAnsi="Courier New" w:hint="default"/>
      </w:rPr>
    </w:lvl>
    <w:lvl w:ilvl="2" w:tplc="DEF4CCA0">
      <w:start w:val="1"/>
      <w:numFmt w:val="bullet"/>
      <w:lvlText w:val=""/>
      <w:lvlJc w:val="left"/>
      <w:pPr>
        <w:ind w:left="2160" w:hanging="360"/>
      </w:pPr>
      <w:rPr>
        <w:rFonts w:ascii="Wingdings" w:hAnsi="Wingdings" w:hint="default"/>
      </w:rPr>
    </w:lvl>
    <w:lvl w:ilvl="3" w:tplc="C7D0FE86">
      <w:start w:val="1"/>
      <w:numFmt w:val="bullet"/>
      <w:lvlText w:val=""/>
      <w:lvlJc w:val="left"/>
      <w:pPr>
        <w:ind w:left="2880" w:hanging="360"/>
      </w:pPr>
      <w:rPr>
        <w:rFonts w:ascii="Symbol" w:hAnsi="Symbol" w:hint="default"/>
      </w:rPr>
    </w:lvl>
    <w:lvl w:ilvl="4" w:tplc="17242EAC">
      <w:start w:val="1"/>
      <w:numFmt w:val="bullet"/>
      <w:lvlText w:val="o"/>
      <w:lvlJc w:val="left"/>
      <w:pPr>
        <w:ind w:left="3600" w:hanging="360"/>
      </w:pPr>
      <w:rPr>
        <w:rFonts w:ascii="Courier New" w:hAnsi="Courier New" w:hint="default"/>
      </w:rPr>
    </w:lvl>
    <w:lvl w:ilvl="5" w:tplc="F988607C">
      <w:start w:val="1"/>
      <w:numFmt w:val="bullet"/>
      <w:lvlText w:val=""/>
      <w:lvlJc w:val="left"/>
      <w:pPr>
        <w:ind w:left="4320" w:hanging="360"/>
      </w:pPr>
      <w:rPr>
        <w:rFonts w:ascii="Wingdings" w:hAnsi="Wingdings" w:hint="default"/>
      </w:rPr>
    </w:lvl>
    <w:lvl w:ilvl="6" w:tplc="1196E41E">
      <w:start w:val="1"/>
      <w:numFmt w:val="bullet"/>
      <w:lvlText w:val=""/>
      <w:lvlJc w:val="left"/>
      <w:pPr>
        <w:ind w:left="5040" w:hanging="360"/>
      </w:pPr>
      <w:rPr>
        <w:rFonts w:ascii="Symbol" w:hAnsi="Symbol" w:hint="default"/>
      </w:rPr>
    </w:lvl>
    <w:lvl w:ilvl="7" w:tplc="E63E564A">
      <w:start w:val="1"/>
      <w:numFmt w:val="bullet"/>
      <w:lvlText w:val="o"/>
      <w:lvlJc w:val="left"/>
      <w:pPr>
        <w:ind w:left="5760" w:hanging="360"/>
      </w:pPr>
      <w:rPr>
        <w:rFonts w:ascii="Courier New" w:hAnsi="Courier New" w:hint="default"/>
      </w:rPr>
    </w:lvl>
    <w:lvl w:ilvl="8" w:tplc="D7742D0E">
      <w:start w:val="1"/>
      <w:numFmt w:val="bullet"/>
      <w:lvlText w:val=""/>
      <w:lvlJc w:val="left"/>
      <w:pPr>
        <w:ind w:left="6480" w:hanging="360"/>
      </w:pPr>
      <w:rPr>
        <w:rFonts w:ascii="Wingdings" w:hAnsi="Wingdings" w:hint="default"/>
      </w:rPr>
    </w:lvl>
  </w:abstractNum>
  <w:abstractNum w:abstractNumId="2" w15:restartNumberingAfterBreak="0">
    <w:nsid w:val="21AA25D6"/>
    <w:multiLevelType w:val="hybridMultilevel"/>
    <w:tmpl w:val="FDD454A6"/>
    <w:lvl w:ilvl="0" w:tplc="DC729FC0">
      <w:start w:val="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C421E1"/>
    <w:multiLevelType w:val="hybridMultilevel"/>
    <w:tmpl w:val="D8DC032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95A176"/>
    <w:multiLevelType w:val="hybridMultilevel"/>
    <w:tmpl w:val="FFFFFFFF"/>
    <w:lvl w:ilvl="0" w:tplc="DE060D7E">
      <w:start w:val="1"/>
      <w:numFmt w:val="bullet"/>
      <w:lvlText w:val="-"/>
      <w:lvlJc w:val="left"/>
      <w:pPr>
        <w:ind w:left="720" w:hanging="360"/>
      </w:pPr>
      <w:rPr>
        <w:rFonts w:ascii="Aptos" w:hAnsi="Aptos" w:hint="default"/>
      </w:rPr>
    </w:lvl>
    <w:lvl w:ilvl="1" w:tplc="F960A140">
      <w:start w:val="1"/>
      <w:numFmt w:val="bullet"/>
      <w:lvlText w:val="o"/>
      <w:lvlJc w:val="left"/>
      <w:pPr>
        <w:ind w:left="1440" w:hanging="360"/>
      </w:pPr>
      <w:rPr>
        <w:rFonts w:ascii="Courier New" w:hAnsi="Courier New" w:hint="default"/>
      </w:rPr>
    </w:lvl>
    <w:lvl w:ilvl="2" w:tplc="A97C722C">
      <w:start w:val="1"/>
      <w:numFmt w:val="bullet"/>
      <w:lvlText w:val=""/>
      <w:lvlJc w:val="left"/>
      <w:pPr>
        <w:ind w:left="2160" w:hanging="360"/>
      </w:pPr>
      <w:rPr>
        <w:rFonts w:ascii="Wingdings" w:hAnsi="Wingdings" w:hint="default"/>
      </w:rPr>
    </w:lvl>
    <w:lvl w:ilvl="3" w:tplc="6C7407E6">
      <w:start w:val="1"/>
      <w:numFmt w:val="bullet"/>
      <w:lvlText w:val=""/>
      <w:lvlJc w:val="left"/>
      <w:pPr>
        <w:ind w:left="2880" w:hanging="360"/>
      </w:pPr>
      <w:rPr>
        <w:rFonts w:ascii="Symbol" w:hAnsi="Symbol" w:hint="default"/>
      </w:rPr>
    </w:lvl>
    <w:lvl w:ilvl="4" w:tplc="7A2ECB62">
      <w:start w:val="1"/>
      <w:numFmt w:val="bullet"/>
      <w:lvlText w:val="o"/>
      <w:lvlJc w:val="left"/>
      <w:pPr>
        <w:ind w:left="3600" w:hanging="360"/>
      </w:pPr>
      <w:rPr>
        <w:rFonts w:ascii="Courier New" w:hAnsi="Courier New" w:hint="default"/>
      </w:rPr>
    </w:lvl>
    <w:lvl w:ilvl="5" w:tplc="F6387D38">
      <w:start w:val="1"/>
      <w:numFmt w:val="bullet"/>
      <w:lvlText w:val=""/>
      <w:lvlJc w:val="left"/>
      <w:pPr>
        <w:ind w:left="4320" w:hanging="360"/>
      </w:pPr>
      <w:rPr>
        <w:rFonts w:ascii="Wingdings" w:hAnsi="Wingdings" w:hint="default"/>
      </w:rPr>
    </w:lvl>
    <w:lvl w:ilvl="6" w:tplc="43F456FE">
      <w:start w:val="1"/>
      <w:numFmt w:val="bullet"/>
      <w:lvlText w:val=""/>
      <w:lvlJc w:val="left"/>
      <w:pPr>
        <w:ind w:left="5040" w:hanging="360"/>
      </w:pPr>
      <w:rPr>
        <w:rFonts w:ascii="Symbol" w:hAnsi="Symbol" w:hint="default"/>
      </w:rPr>
    </w:lvl>
    <w:lvl w:ilvl="7" w:tplc="C056165A">
      <w:start w:val="1"/>
      <w:numFmt w:val="bullet"/>
      <w:lvlText w:val="o"/>
      <w:lvlJc w:val="left"/>
      <w:pPr>
        <w:ind w:left="5760" w:hanging="360"/>
      </w:pPr>
      <w:rPr>
        <w:rFonts w:ascii="Courier New" w:hAnsi="Courier New" w:hint="default"/>
      </w:rPr>
    </w:lvl>
    <w:lvl w:ilvl="8" w:tplc="FBB25EE6">
      <w:start w:val="1"/>
      <w:numFmt w:val="bullet"/>
      <w:lvlText w:val=""/>
      <w:lvlJc w:val="left"/>
      <w:pPr>
        <w:ind w:left="6480" w:hanging="360"/>
      </w:pPr>
      <w:rPr>
        <w:rFonts w:ascii="Wingdings" w:hAnsi="Wingdings" w:hint="default"/>
      </w:rPr>
    </w:lvl>
  </w:abstractNum>
  <w:abstractNum w:abstractNumId="5" w15:restartNumberingAfterBreak="0">
    <w:nsid w:val="6D2EA063"/>
    <w:multiLevelType w:val="hybridMultilevel"/>
    <w:tmpl w:val="FFFFFFFF"/>
    <w:lvl w:ilvl="0" w:tplc="755A8536">
      <w:start w:val="1"/>
      <w:numFmt w:val="bullet"/>
      <w:lvlText w:val="-"/>
      <w:lvlJc w:val="left"/>
      <w:pPr>
        <w:ind w:left="720" w:hanging="360"/>
      </w:pPr>
      <w:rPr>
        <w:rFonts w:ascii="Aptos" w:hAnsi="Aptos" w:hint="default"/>
      </w:rPr>
    </w:lvl>
    <w:lvl w:ilvl="1" w:tplc="E45C25EA">
      <w:start w:val="1"/>
      <w:numFmt w:val="bullet"/>
      <w:lvlText w:val="o"/>
      <w:lvlJc w:val="left"/>
      <w:pPr>
        <w:ind w:left="1440" w:hanging="360"/>
      </w:pPr>
      <w:rPr>
        <w:rFonts w:ascii="Courier New" w:hAnsi="Courier New" w:hint="default"/>
      </w:rPr>
    </w:lvl>
    <w:lvl w:ilvl="2" w:tplc="03D6A6C6">
      <w:start w:val="1"/>
      <w:numFmt w:val="bullet"/>
      <w:lvlText w:val=""/>
      <w:lvlJc w:val="left"/>
      <w:pPr>
        <w:ind w:left="2160" w:hanging="360"/>
      </w:pPr>
      <w:rPr>
        <w:rFonts w:ascii="Wingdings" w:hAnsi="Wingdings" w:hint="default"/>
      </w:rPr>
    </w:lvl>
    <w:lvl w:ilvl="3" w:tplc="9D205AE0">
      <w:start w:val="1"/>
      <w:numFmt w:val="bullet"/>
      <w:lvlText w:val=""/>
      <w:lvlJc w:val="left"/>
      <w:pPr>
        <w:ind w:left="2880" w:hanging="360"/>
      </w:pPr>
      <w:rPr>
        <w:rFonts w:ascii="Symbol" w:hAnsi="Symbol" w:hint="default"/>
      </w:rPr>
    </w:lvl>
    <w:lvl w:ilvl="4" w:tplc="E11EFBBA">
      <w:start w:val="1"/>
      <w:numFmt w:val="bullet"/>
      <w:lvlText w:val="o"/>
      <w:lvlJc w:val="left"/>
      <w:pPr>
        <w:ind w:left="3600" w:hanging="360"/>
      </w:pPr>
      <w:rPr>
        <w:rFonts w:ascii="Courier New" w:hAnsi="Courier New" w:hint="default"/>
      </w:rPr>
    </w:lvl>
    <w:lvl w:ilvl="5" w:tplc="BE50B07A">
      <w:start w:val="1"/>
      <w:numFmt w:val="bullet"/>
      <w:lvlText w:val=""/>
      <w:lvlJc w:val="left"/>
      <w:pPr>
        <w:ind w:left="4320" w:hanging="360"/>
      </w:pPr>
      <w:rPr>
        <w:rFonts w:ascii="Wingdings" w:hAnsi="Wingdings" w:hint="default"/>
      </w:rPr>
    </w:lvl>
    <w:lvl w:ilvl="6" w:tplc="B5EC9658">
      <w:start w:val="1"/>
      <w:numFmt w:val="bullet"/>
      <w:lvlText w:val=""/>
      <w:lvlJc w:val="left"/>
      <w:pPr>
        <w:ind w:left="5040" w:hanging="360"/>
      </w:pPr>
      <w:rPr>
        <w:rFonts w:ascii="Symbol" w:hAnsi="Symbol" w:hint="default"/>
      </w:rPr>
    </w:lvl>
    <w:lvl w:ilvl="7" w:tplc="1A28ED9E">
      <w:start w:val="1"/>
      <w:numFmt w:val="bullet"/>
      <w:lvlText w:val="o"/>
      <w:lvlJc w:val="left"/>
      <w:pPr>
        <w:ind w:left="5760" w:hanging="360"/>
      </w:pPr>
      <w:rPr>
        <w:rFonts w:ascii="Courier New" w:hAnsi="Courier New" w:hint="default"/>
      </w:rPr>
    </w:lvl>
    <w:lvl w:ilvl="8" w:tplc="755A93BE">
      <w:start w:val="1"/>
      <w:numFmt w:val="bullet"/>
      <w:lvlText w:val=""/>
      <w:lvlJc w:val="left"/>
      <w:pPr>
        <w:ind w:left="6480" w:hanging="360"/>
      </w:pPr>
      <w:rPr>
        <w:rFonts w:ascii="Wingdings" w:hAnsi="Wingdings" w:hint="default"/>
      </w:rPr>
    </w:lvl>
  </w:abstractNum>
  <w:abstractNum w:abstractNumId="6" w15:restartNumberingAfterBreak="0">
    <w:nsid w:val="714A4821"/>
    <w:multiLevelType w:val="hybridMultilevel"/>
    <w:tmpl w:val="99D628C8"/>
    <w:lvl w:ilvl="0" w:tplc="EE4A3162">
      <w:start w:val="1"/>
      <w:numFmt w:val="bullet"/>
      <w:lvlText w:val="o"/>
      <w:lvlJc w:val="left"/>
      <w:pPr>
        <w:ind w:left="643" w:hanging="360"/>
      </w:pPr>
      <w:rPr>
        <w:rFonts w:ascii="Courier New" w:hAnsi="Courier New" w:hint="default"/>
      </w:rPr>
    </w:lvl>
    <w:lvl w:ilvl="1" w:tplc="095E9ABE">
      <w:start w:val="1"/>
      <w:numFmt w:val="bullet"/>
      <w:lvlText w:val="o"/>
      <w:lvlJc w:val="left"/>
      <w:pPr>
        <w:ind w:left="1800" w:hanging="360"/>
      </w:pPr>
      <w:rPr>
        <w:rFonts w:ascii="Courier New" w:hAnsi="Courier New" w:hint="default"/>
      </w:rPr>
    </w:lvl>
    <w:lvl w:ilvl="2" w:tplc="E8B63A9A">
      <w:start w:val="1"/>
      <w:numFmt w:val="bullet"/>
      <w:lvlText w:val=""/>
      <w:lvlJc w:val="left"/>
      <w:pPr>
        <w:ind w:left="2520" w:hanging="360"/>
      </w:pPr>
      <w:rPr>
        <w:rFonts w:ascii="Wingdings" w:hAnsi="Wingdings" w:hint="default"/>
      </w:rPr>
    </w:lvl>
    <w:lvl w:ilvl="3" w:tplc="7B16937A">
      <w:start w:val="1"/>
      <w:numFmt w:val="bullet"/>
      <w:lvlText w:val=""/>
      <w:lvlJc w:val="left"/>
      <w:pPr>
        <w:ind w:left="3240" w:hanging="360"/>
      </w:pPr>
      <w:rPr>
        <w:rFonts w:ascii="Symbol" w:hAnsi="Symbol" w:hint="default"/>
      </w:rPr>
    </w:lvl>
    <w:lvl w:ilvl="4" w:tplc="5A0CE6BA">
      <w:start w:val="1"/>
      <w:numFmt w:val="bullet"/>
      <w:lvlText w:val="o"/>
      <w:lvlJc w:val="left"/>
      <w:pPr>
        <w:ind w:left="3960" w:hanging="360"/>
      </w:pPr>
      <w:rPr>
        <w:rFonts w:ascii="Courier New" w:hAnsi="Courier New" w:hint="default"/>
      </w:rPr>
    </w:lvl>
    <w:lvl w:ilvl="5" w:tplc="F60E2674">
      <w:start w:val="1"/>
      <w:numFmt w:val="bullet"/>
      <w:lvlText w:val=""/>
      <w:lvlJc w:val="left"/>
      <w:pPr>
        <w:ind w:left="4680" w:hanging="360"/>
      </w:pPr>
      <w:rPr>
        <w:rFonts w:ascii="Wingdings" w:hAnsi="Wingdings" w:hint="default"/>
      </w:rPr>
    </w:lvl>
    <w:lvl w:ilvl="6" w:tplc="7A8A7052">
      <w:start w:val="1"/>
      <w:numFmt w:val="bullet"/>
      <w:lvlText w:val=""/>
      <w:lvlJc w:val="left"/>
      <w:pPr>
        <w:ind w:left="5400" w:hanging="360"/>
      </w:pPr>
      <w:rPr>
        <w:rFonts w:ascii="Symbol" w:hAnsi="Symbol" w:hint="default"/>
      </w:rPr>
    </w:lvl>
    <w:lvl w:ilvl="7" w:tplc="89AAE390">
      <w:start w:val="1"/>
      <w:numFmt w:val="bullet"/>
      <w:lvlText w:val="o"/>
      <w:lvlJc w:val="left"/>
      <w:pPr>
        <w:ind w:left="6120" w:hanging="360"/>
      </w:pPr>
      <w:rPr>
        <w:rFonts w:ascii="Courier New" w:hAnsi="Courier New" w:hint="default"/>
      </w:rPr>
    </w:lvl>
    <w:lvl w:ilvl="8" w:tplc="B170A142">
      <w:start w:val="1"/>
      <w:numFmt w:val="bullet"/>
      <w:lvlText w:val=""/>
      <w:lvlJc w:val="left"/>
      <w:pPr>
        <w:ind w:left="6840" w:hanging="360"/>
      </w:pPr>
      <w:rPr>
        <w:rFonts w:ascii="Wingdings" w:hAnsi="Wingdings" w:hint="default"/>
      </w:rPr>
    </w:lvl>
  </w:abstractNum>
  <w:abstractNum w:abstractNumId="7" w15:restartNumberingAfterBreak="0">
    <w:nsid w:val="76A3D569"/>
    <w:multiLevelType w:val="hybridMultilevel"/>
    <w:tmpl w:val="9C6662AA"/>
    <w:lvl w:ilvl="0" w:tplc="B2E23562">
      <w:start w:val="1"/>
      <w:numFmt w:val="bullet"/>
      <w:lvlText w:val="-"/>
      <w:lvlJc w:val="left"/>
      <w:pPr>
        <w:ind w:left="1440" w:hanging="360"/>
      </w:pPr>
      <w:rPr>
        <w:rFonts w:ascii="Aptos" w:hAnsi="Aptos" w:hint="default"/>
      </w:rPr>
    </w:lvl>
    <w:lvl w:ilvl="1" w:tplc="4D32F53E">
      <w:start w:val="1"/>
      <w:numFmt w:val="bullet"/>
      <w:lvlText w:val="o"/>
      <w:lvlJc w:val="left"/>
      <w:pPr>
        <w:ind w:left="2160" w:hanging="360"/>
      </w:pPr>
      <w:rPr>
        <w:rFonts w:ascii="Courier New" w:hAnsi="Courier New" w:hint="default"/>
      </w:rPr>
    </w:lvl>
    <w:lvl w:ilvl="2" w:tplc="1298C160">
      <w:start w:val="1"/>
      <w:numFmt w:val="bullet"/>
      <w:lvlText w:val=""/>
      <w:lvlJc w:val="left"/>
      <w:pPr>
        <w:ind w:left="2880" w:hanging="360"/>
      </w:pPr>
      <w:rPr>
        <w:rFonts w:ascii="Wingdings" w:hAnsi="Wingdings" w:hint="default"/>
      </w:rPr>
    </w:lvl>
    <w:lvl w:ilvl="3" w:tplc="1E90F49A">
      <w:start w:val="1"/>
      <w:numFmt w:val="bullet"/>
      <w:lvlText w:val=""/>
      <w:lvlJc w:val="left"/>
      <w:pPr>
        <w:ind w:left="3600" w:hanging="360"/>
      </w:pPr>
      <w:rPr>
        <w:rFonts w:ascii="Symbol" w:hAnsi="Symbol" w:hint="default"/>
      </w:rPr>
    </w:lvl>
    <w:lvl w:ilvl="4" w:tplc="522021FC">
      <w:start w:val="1"/>
      <w:numFmt w:val="bullet"/>
      <w:lvlText w:val="o"/>
      <w:lvlJc w:val="left"/>
      <w:pPr>
        <w:ind w:left="4320" w:hanging="360"/>
      </w:pPr>
      <w:rPr>
        <w:rFonts w:ascii="Courier New" w:hAnsi="Courier New" w:hint="default"/>
      </w:rPr>
    </w:lvl>
    <w:lvl w:ilvl="5" w:tplc="20A4B2DA">
      <w:start w:val="1"/>
      <w:numFmt w:val="bullet"/>
      <w:lvlText w:val=""/>
      <w:lvlJc w:val="left"/>
      <w:pPr>
        <w:ind w:left="5040" w:hanging="360"/>
      </w:pPr>
      <w:rPr>
        <w:rFonts w:ascii="Wingdings" w:hAnsi="Wingdings" w:hint="default"/>
      </w:rPr>
    </w:lvl>
    <w:lvl w:ilvl="6" w:tplc="F4283ECE">
      <w:start w:val="1"/>
      <w:numFmt w:val="bullet"/>
      <w:lvlText w:val=""/>
      <w:lvlJc w:val="left"/>
      <w:pPr>
        <w:ind w:left="5760" w:hanging="360"/>
      </w:pPr>
      <w:rPr>
        <w:rFonts w:ascii="Symbol" w:hAnsi="Symbol" w:hint="default"/>
      </w:rPr>
    </w:lvl>
    <w:lvl w:ilvl="7" w:tplc="B81C848E">
      <w:start w:val="1"/>
      <w:numFmt w:val="bullet"/>
      <w:lvlText w:val="o"/>
      <w:lvlJc w:val="left"/>
      <w:pPr>
        <w:ind w:left="6480" w:hanging="360"/>
      </w:pPr>
      <w:rPr>
        <w:rFonts w:ascii="Courier New" w:hAnsi="Courier New" w:hint="default"/>
      </w:rPr>
    </w:lvl>
    <w:lvl w:ilvl="8" w:tplc="CE88B666">
      <w:start w:val="1"/>
      <w:numFmt w:val="bullet"/>
      <w:lvlText w:val=""/>
      <w:lvlJc w:val="left"/>
      <w:pPr>
        <w:ind w:left="7200" w:hanging="360"/>
      </w:pPr>
      <w:rPr>
        <w:rFonts w:ascii="Wingdings" w:hAnsi="Wingdings" w:hint="default"/>
      </w:rPr>
    </w:lvl>
  </w:abstractNum>
  <w:abstractNum w:abstractNumId="8" w15:restartNumberingAfterBreak="0">
    <w:nsid w:val="78400DD2"/>
    <w:multiLevelType w:val="hybridMultilevel"/>
    <w:tmpl w:val="DEE80FF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30518609">
    <w:abstractNumId w:val="7"/>
  </w:num>
  <w:num w:numId="2" w16cid:durableId="1163397074">
    <w:abstractNumId w:val="6"/>
  </w:num>
  <w:num w:numId="3" w16cid:durableId="63334049">
    <w:abstractNumId w:val="2"/>
  </w:num>
  <w:num w:numId="4" w16cid:durableId="1466048201">
    <w:abstractNumId w:val="4"/>
  </w:num>
  <w:num w:numId="5" w16cid:durableId="2027364213">
    <w:abstractNumId w:val="5"/>
  </w:num>
  <w:num w:numId="6" w16cid:durableId="379481449">
    <w:abstractNumId w:val="1"/>
  </w:num>
  <w:num w:numId="7" w16cid:durableId="327637154">
    <w:abstractNumId w:val="0"/>
  </w:num>
  <w:num w:numId="8" w16cid:durableId="1196701071">
    <w:abstractNumId w:val="8"/>
  </w:num>
  <w:num w:numId="9" w16cid:durableId="1014310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44"/>
    <w:rsid w:val="00000738"/>
    <w:rsid w:val="00000845"/>
    <w:rsid w:val="000013EA"/>
    <w:rsid w:val="00002C0D"/>
    <w:rsid w:val="00004656"/>
    <w:rsid w:val="00004F4E"/>
    <w:rsid w:val="000057FD"/>
    <w:rsid w:val="0001188B"/>
    <w:rsid w:val="0001576E"/>
    <w:rsid w:val="0001683B"/>
    <w:rsid w:val="0001718F"/>
    <w:rsid w:val="000215E3"/>
    <w:rsid w:val="00023107"/>
    <w:rsid w:val="00025AAD"/>
    <w:rsid w:val="00035517"/>
    <w:rsid w:val="00035616"/>
    <w:rsid w:val="00042FFF"/>
    <w:rsid w:val="00043F5E"/>
    <w:rsid w:val="0004689D"/>
    <w:rsid w:val="00053A85"/>
    <w:rsid w:val="00063D8B"/>
    <w:rsid w:val="00070F04"/>
    <w:rsid w:val="00072FD6"/>
    <w:rsid w:val="00074BC6"/>
    <w:rsid w:val="000776E6"/>
    <w:rsid w:val="000802AA"/>
    <w:rsid w:val="0008082A"/>
    <w:rsid w:val="0008090A"/>
    <w:rsid w:val="00082DA2"/>
    <w:rsid w:val="000865C7"/>
    <w:rsid w:val="000870E1"/>
    <w:rsid w:val="00087551"/>
    <w:rsid w:val="00091E74"/>
    <w:rsid w:val="00092C49"/>
    <w:rsid w:val="00092F51"/>
    <w:rsid w:val="00093875"/>
    <w:rsid w:val="000953DC"/>
    <w:rsid w:val="000954BE"/>
    <w:rsid w:val="000A0E51"/>
    <w:rsid w:val="000A0F19"/>
    <w:rsid w:val="000A17B9"/>
    <w:rsid w:val="000A3E1E"/>
    <w:rsid w:val="000A76BC"/>
    <w:rsid w:val="000B0797"/>
    <w:rsid w:val="000B41FC"/>
    <w:rsid w:val="000B4453"/>
    <w:rsid w:val="000B4E9A"/>
    <w:rsid w:val="000B58CA"/>
    <w:rsid w:val="000B634E"/>
    <w:rsid w:val="000B7973"/>
    <w:rsid w:val="000C0024"/>
    <w:rsid w:val="000C0D4F"/>
    <w:rsid w:val="000C42AC"/>
    <w:rsid w:val="000C5EBB"/>
    <w:rsid w:val="000C6A36"/>
    <w:rsid w:val="000D0BF1"/>
    <w:rsid w:val="000D29DF"/>
    <w:rsid w:val="000D498D"/>
    <w:rsid w:val="000D60A1"/>
    <w:rsid w:val="000D6677"/>
    <w:rsid w:val="000E1B6F"/>
    <w:rsid w:val="000E5DE8"/>
    <w:rsid w:val="000E69AC"/>
    <w:rsid w:val="000E6F1A"/>
    <w:rsid w:val="001046F2"/>
    <w:rsid w:val="001065DB"/>
    <w:rsid w:val="00112792"/>
    <w:rsid w:val="00112B1D"/>
    <w:rsid w:val="00116ECD"/>
    <w:rsid w:val="001207F8"/>
    <w:rsid w:val="001236D4"/>
    <w:rsid w:val="0012540C"/>
    <w:rsid w:val="0013115D"/>
    <w:rsid w:val="00131D04"/>
    <w:rsid w:val="0013567C"/>
    <w:rsid w:val="00141263"/>
    <w:rsid w:val="00143043"/>
    <w:rsid w:val="001442FA"/>
    <w:rsid w:val="00144C4C"/>
    <w:rsid w:val="00146A19"/>
    <w:rsid w:val="001509A1"/>
    <w:rsid w:val="0015235F"/>
    <w:rsid w:val="00156944"/>
    <w:rsid w:val="00157DB0"/>
    <w:rsid w:val="0016038F"/>
    <w:rsid w:val="00161E38"/>
    <w:rsid w:val="00162B1A"/>
    <w:rsid w:val="00166E55"/>
    <w:rsid w:val="00171334"/>
    <w:rsid w:val="001725B0"/>
    <w:rsid w:val="0018008E"/>
    <w:rsid w:val="00180B98"/>
    <w:rsid w:val="0018144F"/>
    <w:rsid w:val="00191728"/>
    <w:rsid w:val="00192A25"/>
    <w:rsid w:val="00196FFF"/>
    <w:rsid w:val="001A05CB"/>
    <w:rsid w:val="001A3706"/>
    <w:rsid w:val="001A4AA8"/>
    <w:rsid w:val="001B04E2"/>
    <w:rsid w:val="001B7C44"/>
    <w:rsid w:val="001C1C5B"/>
    <w:rsid w:val="001D4CCD"/>
    <w:rsid w:val="001E3525"/>
    <w:rsid w:val="001E71F0"/>
    <w:rsid w:val="001F1036"/>
    <w:rsid w:val="001F2B1E"/>
    <w:rsid w:val="001F4F0F"/>
    <w:rsid w:val="00203981"/>
    <w:rsid w:val="00204A47"/>
    <w:rsid w:val="00210516"/>
    <w:rsid w:val="00211065"/>
    <w:rsid w:val="002110E8"/>
    <w:rsid w:val="00212269"/>
    <w:rsid w:val="00213A35"/>
    <w:rsid w:val="002142C3"/>
    <w:rsid w:val="00220CBD"/>
    <w:rsid w:val="0022475C"/>
    <w:rsid w:val="00224ADB"/>
    <w:rsid w:val="00230463"/>
    <w:rsid w:val="00233377"/>
    <w:rsid w:val="002356A8"/>
    <w:rsid w:val="00237060"/>
    <w:rsid w:val="00240A1A"/>
    <w:rsid w:val="002412A0"/>
    <w:rsid w:val="00253CD2"/>
    <w:rsid w:val="00257E06"/>
    <w:rsid w:val="002603B0"/>
    <w:rsid w:val="00262DF9"/>
    <w:rsid w:val="00263473"/>
    <w:rsid w:val="002704D8"/>
    <w:rsid w:val="0027103B"/>
    <w:rsid w:val="00271D9C"/>
    <w:rsid w:val="00272796"/>
    <w:rsid w:val="00272C69"/>
    <w:rsid w:val="00273F50"/>
    <w:rsid w:val="00280CE1"/>
    <w:rsid w:val="00281717"/>
    <w:rsid w:val="00281DB5"/>
    <w:rsid w:val="00282857"/>
    <w:rsid w:val="00284EAD"/>
    <w:rsid w:val="00286E87"/>
    <w:rsid w:val="002873E7"/>
    <w:rsid w:val="00287693"/>
    <w:rsid w:val="00292E7D"/>
    <w:rsid w:val="00295142"/>
    <w:rsid w:val="00296C22"/>
    <w:rsid w:val="002978E0"/>
    <w:rsid w:val="002A005E"/>
    <w:rsid w:val="002A19D4"/>
    <w:rsid w:val="002A3C2E"/>
    <w:rsid w:val="002A4264"/>
    <w:rsid w:val="002A66B8"/>
    <w:rsid w:val="002A7B9E"/>
    <w:rsid w:val="002B0B76"/>
    <w:rsid w:val="002B6988"/>
    <w:rsid w:val="002C1202"/>
    <w:rsid w:val="002C24AD"/>
    <w:rsid w:val="002C3B5C"/>
    <w:rsid w:val="002D0912"/>
    <w:rsid w:val="002D13E9"/>
    <w:rsid w:val="002D2243"/>
    <w:rsid w:val="002D656F"/>
    <w:rsid w:val="002E156D"/>
    <w:rsid w:val="002E4EB1"/>
    <w:rsid w:val="002E5BED"/>
    <w:rsid w:val="002F1085"/>
    <w:rsid w:val="002F22DC"/>
    <w:rsid w:val="002F3328"/>
    <w:rsid w:val="002F3CDF"/>
    <w:rsid w:val="002F4748"/>
    <w:rsid w:val="002F783D"/>
    <w:rsid w:val="003021EC"/>
    <w:rsid w:val="00305A60"/>
    <w:rsid w:val="00310126"/>
    <w:rsid w:val="0031104A"/>
    <w:rsid w:val="00311134"/>
    <w:rsid w:val="003116A9"/>
    <w:rsid w:val="00313277"/>
    <w:rsid w:val="003167F7"/>
    <w:rsid w:val="00322C06"/>
    <w:rsid w:val="0033439E"/>
    <w:rsid w:val="00337762"/>
    <w:rsid w:val="003408BF"/>
    <w:rsid w:val="003430AB"/>
    <w:rsid w:val="00350E46"/>
    <w:rsid w:val="00355B75"/>
    <w:rsid w:val="00366C43"/>
    <w:rsid w:val="00367FEE"/>
    <w:rsid w:val="00372399"/>
    <w:rsid w:val="00373FA7"/>
    <w:rsid w:val="00375560"/>
    <w:rsid w:val="00382F0A"/>
    <w:rsid w:val="00386C20"/>
    <w:rsid w:val="00390594"/>
    <w:rsid w:val="0039479B"/>
    <w:rsid w:val="00397AFE"/>
    <w:rsid w:val="003A0126"/>
    <w:rsid w:val="003A0D46"/>
    <w:rsid w:val="003A140C"/>
    <w:rsid w:val="003A1990"/>
    <w:rsid w:val="003A2B92"/>
    <w:rsid w:val="003A2D75"/>
    <w:rsid w:val="003A5760"/>
    <w:rsid w:val="003A6444"/>
    <w:rsid w:val="003B1D60"/>
    <w:rsid w:val="003B5AF0"/>
    <w:rsid w:val="003B74EC"/>
    <w:rsid w:val="003B7DA9"/>
    <w:rsid w:val="003C64F3"/>
    <w:rsid w:val="003D4E3E"/>
    <w:rsid w:val="003D5413"/>
    <w:rsid w:val="003D763A"/>
    <w:rsid w:val="003E05D2"/>
    <w:rsid w:val="003E2899"/>
    <w:rsid w:val="003E3336"/>
    <w:rsid w:val="003E52AC"/>
    <w:rsid w:val="003E59C8"/>
    <w:rsid w:val="003F023D"/>
    <w:rsid w:val="003F47E1"/>
    <w:rsid w:val="003F4D3F"/>
    <w:rsid w:val="003F6E2C"/>
    <w:rsid w:val="00411EFE"/>
    <w:rsid w:val="00421105"/>
    <w:rsid w:val="0042351E"/>
    <w:rsid w:val="0042364C"/>
    <w:rsid w:val="00435152"/>
    <w:rsid w:val="0043653E"/>
    <w:rsid w:val="00436671"/>
    <w:rsid w:val="00437D24"/>
    <w:rsid w:val="00444DC0"/>
    <w:rsid w:val="0045023B"/>
    <w:rsid w:val="00450849"/>
    <w:rsid w:val="00455694"/>
    <w:rsid w:val="00456FB0"/>
    <w:rsid w:val="00457C88"/>
    <w:rsid w:val="00457CA3"/>
    <w:rsid w:val="00457DBF"/>
    <w:rsid w:val="00463B09"/>
    <w:rsid w:val="00464B3E"/>
    <w:rsid w:val="00465DB5"/>
    <w:rsid w:val="004736E9"/>
    <w:rsid w:val="00473E75"/>
    <w:rsid w:val="00474ACB"/>
    <w:rsid w:val="00475CC5"/>
    <w:rsid w:val="00477A32"/>
    <w:rsid w:val="0048383E"/>
    <w:rsid w:val="00483FF5"/>
    <w:rsid w:val="00486C1F"/>
    <w:rsid w:val="0049402A"/>
    <w:rsid w:val="004A1DC0"/>
    <w:rsid w:val="004A3CB6"/>
    <w:rsid w:val="004A423E"/>
    <w:rsid w:val="004A4752"/>
    <w:rsid w:val="004A556B"/>
    <w:rsid w:val="004A6056"/>
    <w:rsid w:val="004A7D88"/>
    <w:rsid w:val="004B46D0"/>
    <w:rsid w:val="004B5608"/>
    <w:rsid w:val="004C6A68"/>
    <w:rsid w:val="004C6DAD"/>
    <w:rsid w:val="004C6E70"/>
    <w:rsid w:val="004D1BD8"/>
    <w:rsid w:val="004D66AB"/>
    <w:rsid w:val="004D7134"/>
    <w:rsid w:val="004E005C"/>
    <w:rsid w:val="004E09F7"/>
    <w:rsid w:val="004E4780"/>
    <w:rsid w:val="004E797F"/>
    <w:rsid w:val="004F4572"/>
    <w:rsid w:val="004F6C19"/>
    <w:rsid w:val="004F706E"/>
    <w:rsid w:val="005007D4"/>
    <w:rsid w:val="00501EC1"/>
    <w:rsid w:val="00502F14"/>
    <w:rsid w:val="00503A18"/>
    <w:rsid w:val="005044A4"/>
    <w:rsid w:val="00506AC8"/>
    <w:rsid w:val="00510A3B"/>
    <w:rsid w:val="0051140F"/>
    <w:rsid w:val="005114DF"/>
    <w:rsid w:val="00513AF7"/>
    <w:rsid w:val="00515206"/>
    <w:rsid w:val="0051584C"/>
    <w:rsid w:val="00516FB9"/>
    <w:rsid w:val="005213A4"/>
    <w:rsid w:val="005225D2"/>
    <w:rsid w:val="00531BBA"/>
    <w:rsid w:val="00534135"/>
    <w:rsid w:val="00535298"/>
    <w:rsid w:val="005353A1"/>
    <w:rsid w:val="00535C03"/>
    <w:rsid w:val="0054132A"/>
    <w:rsid w:val="00543960"/>
    <w:rsid w:val="00554FAC"/>
    <w:rsid w:val="005574AB"/>
    <w:rsid w:val="00567141"/>
    <w:rsid w:val="005711D9"/>
    <w:rsid w:val="005828CF"/>
    <w:rsid w:val="00584F00"/>
    <w:rsid w:val="005854D4"/>
    <w:rsid w:val="00585DDA"/>
    <w:rsid w:val="00593109"/>
    <w:rsid w:val="00594888"/>
    <w:rsid w:val="005A1B82"/>
    <w:rsid w:val="005A7223"/>
    <w:rsid w:val="005A7F9C"/>
    <w:rsid w:val="005B4A2B"/>
    <w:rsid w:val="005B5969"/>
    <w:rsid w:val="005B61CC"/>
    <w:rsid w:val="005C4D6B"/>
    <w:rsid w:val="005C6F34"/>
    <w:rsid w:val="005D007E"/>
    <w:rsid w:val="005D233C"/>
    <w:rsid w:val="005E0B63"/>
    <w:rsid w:val="005E4769"/>
    <w:rsid w:val="005E7A53"/>
    <w:rsid w:val="005F1D50"/>
    <w:rsid w:val="005F4087"/>
    <w:rsid w:val="005F4D76"/>
    <w:rsid w:val="00603B48"/>
    <w:rsid w:val="0061089F"/>
    <w:rsid w:val="00624815"/>
    <w:rsid w:val="00624F59"/>
    <w:rsid w:val="00630FF8"/>
    <w:rsid w:val="006314DB"/>
    <w:rsid w:val="00636C42"/>
    <w:rsid w:val="0064516B"/>
    <w:rsid w:val="006451CD"/>
    <w:rsid w:val="0064567B"/>
    <w:rsid w:val="00646C44"/>
    <w:rsid w:val="00646DF2"/>
    <w:rsid w:val="0065015B"/>
    <w:rsid w:val="00651B87"/>
    <w:rsid w:val="006615E2"/>
    <w:rsid w:val="006628A8"/>
    <w:rsid w:val="006668CF"/>
    <w:rsid w:val="006708D7"/>
    <w:rsid w:val="00671DC2"/>
    <w:rsid w:val="00674A22"/>
    <w:rsid w:val="00680765"/>
    <w:rsid w:val="00680D63"/>
    <w:rsid w:val="00685C8F"/>
    <w:rsid w:val="00687E81"/>
    <w:rsid w:val="006918A7"/>
    <w:rsid w:val="00696BCC"/>
    <w:rsid w:val="006A37A3"/>
    <w:rsid w:val="006B63E5"/>
    <w:rsid w:val="006C4B1E"/>
    <w:rsid w:val="006C59AB"/>
    <w:rsid w:val="006C6531"/>
    <w:rsid w:val="006E016D"/>
    <w:rsid w:val="006E0BD5"/>
    <w:rsid w:val="006E287D"/>
    <w:rsid w:val="006F0105"/>
    <w:rsid w:val="006F19DB"/>
    <w:rsid w:val="006F46DF"/>
    <w:rsid w:val="006F5F19"/>
    <w:rsid w:val="006F618E"/>
    <w:rsid w:val="006F7B82"/>
    <w:rsid w:val="007018F7"/>
    <w:rsid w:val="0070471C"/>
    <w:rsid w:val="00704952"/>
    <w:rsid w:val="007053F4"/>
    <w:rsid w:val="00706E02"/>
    <w:rsid w:val="00710275"/>
    <w:rsid w:val="00713F8E"/>
    <w:rsid w:val="00716274"/>
    <w:rsid w:val="007202F8"/>
    <w:rsid w:val="007208D8"/>
    <w:rsid w:val="0072322F"/>
    <w:rsid w:val="00727B3B"/>
    <w:rsid w:val="00731D95"/>
    <w:rsid w:val="007357B2"/>
    <w:rsid w:val="00737224"/>
    <w:rsid w:val="0073784E"/>
    <w:rsid w:val="00742105"/>
    <w:rsid w:val="00746514"/>
    <w:rsid w:val="007467AC"/>
    <w:rsid w:val="00746ED1"/>
    <w:rsid w:val="00761575"/>
    <w:rsid w:val="007620FD"/>
    <w:rsid w:val="00763A32"/>
    <w:rsid w:val="00765D29"/>
    <w:rsid w:val="007673BF"/>
    <w:rsid w:val="0077007F"/>
    <w:rsid w:val="00772737"/>
    <w:rsid w:val="007729A2"/>
    <w:rsid w:val="007744B8"/>
    <w:rsid w:val="00775466"/>
    <w:rsid w:val="00777560"/>
    <w:rsid w:val="00780761"/>
    <w:rsid w:val="00780A28"/>
    <w:rsid w:val="0078433D"/>
    <w:rsid w:val="00784F8C"/>
    <w:rsid w:val="00790ACA"/>
    <w:rsid w:val="0079686A"/>
    <w:rsid w:val="007975A4"/>
    <w:rsid w:val="00797F6A"/>
    <w:rsid w:val="007A64BE"/>
    <w:rsid w:val="007B33F6"/>
    <w:rsid w:val="007B631F"/>
    <w:rsid w:val="007B71AD"/>
    <w:rsid w:val="007C18D5"/>
    <w:rsid w:val="007C354E"/>
    <w:rsid w:val="007C37FB"/>
    <w:rsid w:val="007C4567"/>
    <w:rsid w:val="007C60A6"/>
    <w:rsid w:val="007D6FCC"/>
    <w:rsid w:val="007E1B16"/>
    <w:rsid w:val="007F4A4A"/>
    <w:rsid w:val="007F504F"/>
    <w:rsid w:val="007F65DC"/>
    <w:rsid w:val="00800693"/>
    <w:rsid w:val="00801FB4"/>
    <w:rsid w:val="008079DB"/>
    <w:rsid w:val="00807EF4"/>
    <w:rsid w:val="008108C9"/>
    <w:rsid w:val="00810FB4"/>
    <w:rsid w:val="0081197C"/>
    <w:rsid w:val="008171D9"/>
    <w:rsid w:val="00817B09"/>
    <w:rsid w:val="00821821"/>
    <w:rsid w:val="00822F1F"/>
    <w:rsid w:val="00826284"/>
    <w:rsid w:val="00832AE0"/>
    <w:rsid w:val="00835BF3"/>
    <w:rsid w:val="00844F1E"/>
    <w:rsid w:val="00846F52"/>
    <w:rsid w:val="00847BCE"/>
    <w:rsid w:val="00851425"/>
    <w:rsid w:val="00851C7E"/>
    <w:rsid w:val="008525F3"/>
    <w:rsid w:val="00861BCA"/>
    <w:rsid w:val="00863292"/>
    <w:rsid w:val="00866E09"/>
    <w:rsid w:val="00870D9F"/>
    <w:rsid w:val="008730D0"/>
    <w:rsid w:val="00873F59"/>
    <w:rsid w:val="0087403B"/>
    <w:rsid w:val="008762FA"/>
    <w:rsid w:val="00876B72"/>
    <w:rsid w:val="00881820"/>
    <w:rsid w:val="00882FE6"/>
    <w:rsid w:val="008867D2"/>
    <w:rsid w:val="00891CC0"/>
    <w:rsid w:val="00893FDC"/>
    <w:rsid w:val="008944BC"/>
    <w:rsid w:val="00896ECE"/>
    <w:rsid w:val="00897116"/>
    <w:rsid w:val="00897A51"/>
    <w:rsid w:val="008A607B"/>
    <w:rsid w:val="008A60D7"/>
    <w:rsid w:val="008A76CC"/>
    <w:rsid w:val="008A76D8"/>
    <w:rsid w:val="008B0EA7"/>
    <w:rsid w:val="008B1F2E"/>
    <w:rsid w:val="008B2312"/>
    <w:rsid w:val="008B4E56"/>
    <w:rsid w:val="008B6342"/>
    <w:rsid w:val="008B6C3F"/>
    <w:rsid w:val="008C535C"/>
    <w:rsid w:val="008D05A1"/>
    <w:rsid w:val="008D1D5B"/>
    <w:rsid w:val="008D496B"/>
    <w:rsid w:val="008E1025"/>
    <w:rsid w:val="008E17D1"/>
    <w:rsid w:val="008E3D20"/>
    <w:rsid w:val="008E6614"/>
    <w:rsid w:val="008E7206"/>
    <w:rsid w:val="008E77AA"/>
    <w:rsid w:val="008F0819"/>
    <w:rsid w:val="008F1A02"/>
    <w:rsid w:val="008F7D60"/>
    <w:rsid w:val="009003E7"/>
    <w:rsid w:val="00900935"/>
    <w:rsid w:val="0090412E"/>
    <w:rsid w:val="00912A37"/>
    <w:rsid w:val="00917360"/>
    <w:rsid w:val="00924003"/>
    <w:rsid w:val="00927E0A"/>
    <w:rsid w:val="00930EA4"/>
    <w:rsid w:val="0093167B"/>
    <w:rsid w:val="00932576"/>
    <w:rsid w:val="00932F4C"/>
    <w:rsid w:val="009337C5"/>
    <w:rsid w:val="00944172"/>
    <w:rsid w:val="009459D4"/>
    <w:rsid w:val="00946424"/>
    <w:rsid w:val="009464F0"/>
    <w:rsid w:val="0095113A"/>
    <w:rsid w:val="0095161F"/>
    <w:rsid w:val="0095183A"/>
    <w:rsid w:val="00952E5D"/>
    <w:rsid w:val="00961A12"/>
    <w:rsid w:val="00962DDD"/>
    <w:rsid w:val="0096360A"/>
    <w:rsid w:val="0096394E"/>
    <w:rsid w:val="0096502F"/>
    <w:rsid w:val="00970217"/>
    <w:rsid w:val="009743E2"/>
    <w:rsid w:val="00974EEB"/>
    <w:rsid w:val="0097616F"/>
    <w:rsid w:val="009828F9"/>
    <w:rsid w:val="00984376"/>
    <w:rsid w:val="00985459"/>
    <w:rsid w:val="0098651A"/>
    <w:rsid w:val="009A0FD4"/>
    <w:rsid w:val="009A24D1"/>
    <w:rsid w:val="009A4B7A"/>
    <w:rsid w:val="009A597C"/>
    <w:rsid w:val="009A5F2C"/>
    <w:rsid w:val="009A7B72"/>
    <w:rsid w:val="009B1977"/>
    <w:rsid w:val="009B1F9A"/>
    <w:rsid w:val="009B51F3"/>
    <w:rsid w:val="009B523C"/>
    <w:rsid w:val="009C1E15"/>
    <w:rsid w:val="009C3157"/>
    <w:rsid w:val="009C7D1E"/>
    <w:rsid w:val="009D1324"/>
    <w:rsid w:val="009D52AF"/>
    <w:rsid w:val="009D78B8"/>
    <w:rsid w:val="009E182D"/>
    <w:rsid w:val="009E2D90"/>
    <w:rsid w:val="009E6176"/>
    <w:rsid w:val="009E63B6"/>
    <w:rsid w:val="009F048C"/>
    <w:rsid w:val="009F3E67"/>
    <w:rsid w:val="009F78C2"/>
    <w:rsid w:val="00A00791"/>
    <w:rsid w:val="00A00DBC"/>
    <w:rsid w:val="00A03D78"/>
    <w:rsid w:val="00A03EDA"/>
    <w:rsid w:val="00A20732"/>
    <w:rsid w:val="00A24673"/>
    <w:rsid w:val="00A27F7A"/>
    <w:rsid w:val="00A335FF"/>
    <w:rsid w:val="00A347D5"/>
    <w:rsid w:val="00A367EC"/>
    <w:rsid w:val="00A410FB"/>
    <w:rsid w:val="00A61DDF"/>
    <w:rsid w:val="00A61E49"/>
    <w:rsid w:val="00A6497F"/>
    <w:rsid w:val="00A715B9"/>
    <w:rsid w:val="00A75164"/>
    <w:rsid w:val="00A757A6"/>
    <w:rsid w:val="00A810FD"/>
    <w:rsid w:val="00A821C8"/>
    <w:rsid w:val="00A85E49"/>
    <w:rsid w:val="00A874EA"/>
    <w:rsid w:val="00A90E35"/>
    <w:rsid w:val="00A9421D"/>
    <w:rsid w:val="00A94E10"/>
    <w:rsid w:val="00AA0261"/>
    <w:rsid w:val="00AA1020"/>
    <w:rsid w:val="00AA19CF"/>
    <w:rsid w:val="00AA2EFE"/>
    <w:rsid w:val="00AA48E8"/>
    <w:rsid w:val="00AA54C5"/>
    <w:rsid w:val="00AA7A42"/>
    <w:rsid w:val="00AB4CAB"/>
    <w:rsid w:val="00AB4FC1"/>
    <w:rsid w:val="00AB5E92"/>
    <w:rsid w:val="00AB5F60"/>
    <w:rsid w:val="00AB6DCE"/>
    <w:rsid w:val="00AC2CA4"/>
    <w:rsid w:val="00AC629A"/>
    <w:rsid w:val="00AC774A"/>
    <w:rsid w:val="00AD13CB"/>
    <w:rsid w:val="00AD1882"/>
    <w:rsid w:val="00AD4F37"/>
    <w:rsid w:val="00AD5632"/>
    <w:rsid w:val="00AD5D5E"/>
    <w:rsid w:val="00AE509C"/>
    <w:rsid w:val="00AE7FEC"/>
    <w:rsid w:val="00AF1CA5"/>
    <w:rsid w:val="00AF2751"/>
    <w:rsid w:val="00AF674B"/>
    <w:rsid w:val="00B0039E"/>
    <w:rsid w:val="00B01015"/>
    <w:rsid w:val="00B05240"/>
    <w:rsid w:val="00B07F9F"/>
    <w:rsid w:val="00B10657"/>
    <w:rsid w:val="00B117CE"/>
    <w:rsid w:val="00B12E94"/>
    <w:rsid w:val="00B13902"/>
    <w:rsid w:val="00B201E1"/>
    <w:rsid w:val="00B21BD4"/>
    <w:rsid w:val="00B27AB4"/>
    <w:rsid w:val="00B31F55"/>
    <w:rsid w:val="00B379C8"/>
    <w:rsid w:val="00B431D9"/>
    <w:rsid w:val="00B440F2"/>
    <w:rsid w:val="00B45CD1"/>
    <w:rsid w:val="00B471A2"/>
    <w:rsid w:val="00B533A0"/>
    <w:rsid w:val="00B54E5B"/>
    <w:rsid w:val="00B64327"/>
    <w:rsid w:val="00B65623"/>
    <w:rsid w:val="00B66DE0"/>
    <w:rsid w:val="00B673A8"/>
    <w:rsid w:val="00B7645E"/>
    <w:rsid w:val="00B804E9"/>
    <w:rsid w:val="00B82B53"/>
    <w:rsid w:val="00B95BA2"/>
    <w:rsid w:val="00B95ED4"/>
    <w:rsid w:val="00BA0CA9"/>
    <w:rsid w:val="00BA7DF4"/>
    <w:rsid w:val="00BB6A62"/>
    <w:rsid w:val="00BB7872"/>
    <w:rsid w:val="00BC10F4"/>
    <w:rsid w:val="00BC273F"/>
    <w:rsid w:val="00BC3C0C"/>
    <w:rsid w:val="00BC46C8"/>
    <w:rsid w:val="00BC67E4"/>
    <w:rsid w:val="00BD3EF5"/>
    <w:rsid w:val="00BD43D3"/>
    <w:rsid w:val="00BD4924"/>
    <w:rsid w:val="00BD5CD8"/>
    <w:rsid w:val="00BD7671"/>
    <w:rsid w:val="00BD7D91"/>
    <w:rsid w:val="00BF0BB9"/>
    <w:rsid w:val="00BF1735"/>
    <w:rsid w:val="00BF4491"/>
    <w:rsid w:val="00BF530E"/>
    <w:rsid w:val="00BF6A4A"/>
    <w:rsid w:val="00C00956"/>
    <w:rsid w:val="00C00C88"/>
    <w:rsid w:val="00C01339"/>
    <w:rsid w:val="00C06226"/>
    <w:rsid w:val="00C06292"/>
    <w:rsid w:val="00C062AE"/>
    <w:rsid w:val="00C1502D"/>
    <w:rsid w:val="00C154B6"/>
    <w:rsid w:val="00C154DC"/>
    <w:rsid w:val="00C15A43"/>
    <w:rsid w:val="00C22E19"/>
    <w:rsid w:val="00C302D0"/>
    <w:rsid w:val="00C45916"/>
    <w:rsid w:val="00C60340"/>
    <w:rsid w:val="00C64649"/>
    <w:rsid w:val="00C6628D"/>
    <w:rsid w:val="00C66F52"/>
    <w:rsid w:val="00C748AA"/>
    <w:rsid w:val="00C74F20"/>
    <w:rsid w:val="00C8054E"/>
    <w:rsid w:val="00C943B0"/>
    <w:rsid w:val="00CA30B6"/>
    <w:rsid w:val="00CB0404"/>
    <w:rsid w:val="00CB604F"/>
    <w:rsid w:val="00CC08BE"/>
    <w:rsid w:val="00CC0C40"/>
    <w:rsid w:val="00CC452D"/>
    <w:rsid w:val="00CD31ED"/>
    <w:rsid w:val="00CD4FD1"/>
    <w:rsid w:val="00CD5B27"/>
    <w:rsid w:val="00CE5FB7"/>
    <w:rsid w:val="00CE6527"/>
    <w:rsid w:val="00CE69D9"/>
    <w:rsid w:val="00CE7657"/>
    <w:rsid w:val="00CF0819"/>
    <w:rsid w:val="00CF2578"/>
    <w:rsid w:val="00CF309B"/>
    <w:rsid w:val="00CF4148"/>
    <w:rsid w:val="00CF65DA"/>
    <w:rsid w:val="00D04C06"/>
    <w:rsid w:val="00D0586D"/>
    <w:rsid w:val="00D062E6"/>
    <w:rsid w:val="00D07001"/>
    <w:rsid w:val="00D11782"/>
    <w:rsid w:val="00D1424F"/>
    <w:rsid w:val="00D206FD"/>
    <w:rsid w:val="00D24D08"/>
    <w:rsid w:val="00D2597F"/>
    <w:rsid w:val="00D26A50"/>
    <w:rsid w:val="00D270FE"/>
    <w:rsid w:val="00D305C7"/>
    <w:rsid w:val="00D30CA7"/>
    <w:rsid w:val="00D34CAD"/>
    <w:rsid w:val="00D4043C"/>
    <w:rsid w:val="00D409BB"/>
    <w:rsid w:val="00D43962"/>
    <w:rsid w:val="00D4541B"/>
    <w:rsid w:val="00D55378"/>
    <w:rsid w:val="00D5566D"/>
    <w:rsid w:val="00D62687"/>
    <w:rsid w:val="00D659DC"/>
    <w:rsid w:val="00D66C10"/>
    <w:rsid w:val="00D714BC"/>
    <w:rsid w:val="00D76AC6"/>
    <w:rsid w:val="00D803EF"/>
    <w:rsid w:val="00D86229"/>
    <w:rsid w:val="00D866C8"/>
    <w:rsid w:val="00D91848"/>
    <w:rsid w:val="00D929D3"/>
    <w:rsid w:val="00D947AC"/>
    <w:rsid w:val="00D96F5A"/>
    <w:rsid w:val="00D97F37"/>
    <w:rsid w:val="00DA28DC"/>
    <w:rsid w:val="00DA317A"/>
    <w:rsid w:val="00DA4F2C"/>
    <w:rsid w:val="00DA5B95"/>
    <w:rsid w:val="00DA7B38"/>
    <w:rsid w:val="00DB0B9D"/>
    <w:rsid w:val="00DB3299"/>
    <w:rsid w:val="00DB3668"/>
    <w:rsid w:val="00DC2062"/>
    <w:rsid w:val="00DC5FF3"/>
    <w:rsid w:val="00DC735C"/>
    <w:rsid w:val="00DC79B1"/>
    <w:rsid w:val="00DD1E8E"/>
    <w:rsid w:val="00DD1EE0"/>
    <w:rsid w:val="00DD37ED"/>
    <w:rsid w:val="00DD62AC"/>
    <w:rsid w:val="00DE049D"/>
    <w:rsid w:val="00DE2A22"/>
    <w:rsid w:val="00DE2FB8"/>
    <w:rsid w:val="00DE57DC"/>
    <w:rsid w:val="00DE79C3"/>
    <w:rsid w:val="00DF1610"/>
    <w:rsid w:val="00DF2307"/>
    <w:rsid w:val="00DF37BC"/>
    <w:rsid w:val="00E00986"/>
    <w:rsid w:val="00E05615"/>
    <w:rsid w:val="00E05E83"/>
    <w:rsid w:val="00E05F29"/>
    <w:rsid w:val="00E067E4"/>
    <w:rsid w:val="00E07DEA"/>
    <w:rsid w:val="00E10FF5"/>
    <w:rsid w:val="00E1177A"/>
    <w:rsid w:val="00E15515"/>
    <w:rsid w:val="00E159C0"/>
    <w:rsid w:val="00E252D0"/>
    <w:rsid w:val="00E30A1A"/>
    <w:rsid w:val="00E34247"/>
    <w:rsid w:val="00E344F1"/>
    <w:rsid w:val="00E348B6"/>
    <w:rsid w:val="00E37695"/>
    <w:rsid w:val="00E41E41"/>
    <w:rsid w:val="00E420DE"/>
    <w:rsid w:val="00E450E8"/>
    <w:rsid w:val="00E474E7"/>
    <w:rsid w:val="00E5373A"/>
    <w:rsid w:val="00E54A53"/>
    <w:rsid w:val="00E5519F"/>
    <w:rsid w:val="00E55F7A"/>
    <w:rsid w:val="00E6026C"/>
    <w:rsid w:val="00E6090A"/>
    <w:rsid w:val="00E61949"/>
    <w:rsid w:val="00E64B9A"/>
    <w:rsid w:val="00E655C6"/>
    <w:rsid w:val="00E74547"/>
    <w:rsid w:val="00E745E9"/>
    <w:rsid w:val="00E818EA"/>
    <w:rsid w:val="00E867BB"/>
    <w:rsid w:val="00E87FDF"/>
    <w:rsid w:val="00E92373"/>
    <w:rsid w:val="00E92AC1"/>
    <w:rsid w:val="00E93A9E"/>
    <w:rsid w:val="00E949A2"/>
    <w:rsid w:val="00E94CF7"/>
    <w:rsid w:val="00E965DF"/>
    <w:rsid w:val="00E97EB7"/>
    <w:rsid w:val="00EA3745"/>
    <w:rsid w:val="00EB3723"/>
    <w:rsid w:val="00EB4182"/>
    <w:rsid w:val="00EC1D4C"/>
    <w:rsid w:val="00EC2ADF"/>
    <w:rsid w:val="00EC5B4F"/>
    <w:rsid w:val="00EC771A"/>
    <w:rsid w:val="00ED0A72"/>
    <w:rsid w:val="00ED2CA9"/>
    <w:rsid w:val="00ED366F"/>
    <w:rsid w:val="00ED5169"/>
    <w:rsid w:val="00ED6D3B"/>
    <w:rsid w:val="00EE22A0"/>
    <w:rsid w:val="00EE2A8C"/>
    <w:rsid w:val="00EE41F6"/>
    <w:rsid w:val="00EF5E37"/>
    <w:rsid w:val="00EF62E5"/>
    <w:rsid w:val="00F01482"/>
    <w:rsid w:val="00F06CA8"/>
    <w:rsid w:val="00F07801"/>
    <w:rsid w:val="00F13093"/>
    <w:rsid w:val="00F14E28"/>
    <w:rsid w:val="00F21248"/>
    <w:rsid w:val="00F265AD"/>
    <w:rsid w:val="00F26708"/>
    <w:rsid w:val="00F3635D"/>
    <w:rsid w:val="00F377A8"/>
    <w:rsid w:val="00F41A17"/>
    <w:rsid w:val="00F42BC9"/>
    <w:rsid w:val="00F52162"/>
    <w:rsid w:val="00F534E7"/>
    <w:rsid w:val="00F535E4"/>
    <w:rsid w:val="00F53A5A"/>
    <w:rsid w:val="00F541C1"/>
    <w:rsid w:val="00F56F2F"/>
    <w:rsid w:val="00F607F4"/>
    <w:rsid w:val="00F618B2"/>
    <w:rsid w:val="00F639DF"/>
    <w:rsid w:val="00F640AC"/>
    <w:rsid w:val="00F66269"/>
    <w:rsid w:val="00F71C28"/>
    <w:rsid w:val="00F764EE"/>
    <w:rsid w:val="00F77268"/>
    <w:rsid w:val="00F844AF"/>
    <w:rsid w:val="00F84526"/>
    <w:rsid w:val="00F85163"/>
    <w:rsid w:val="00F86B25"/>
    <w:rsid w:val="00F91308"/>
    <w:rsid w:val="00F9308F"/>
    <w:rsid w:val="00F9475B"/>
    <w:rsid w:val="00F97D77"/>
    <w:rsid w:val="00FA3439"/>
    <w:rsid w:val="00FA4B21"/>
    <w:rsid w:val="00FA648A"/>
    <w:rsid w:val="00FB2993"/>
    <w:rsid w:val="00FB311C"/>
    <w:rsid w:val="00FB71B3"/>
    <w:rsid w:val="00FC1CA5"/>
    <w:rsid w:val="00FC4112"/>
    <w:rsid w:val="00FC6CC0"/>
    <w:rsid w:val="00FD4BFA"/>
    <w:rsid w:val="00FD5018"/>
    <w:rsid w:val="00FE27AE"/>
    <w:rsid w:val="00FE2E25"/>
    <w:rsid w:val="00FE55AD"/>
    <w:rsid w:val="00FE6D85"/>
    <w:rsid w:val="00FF06DF"/>
    <w:rsid w:val="00FF34CC"/>
    <w:rsid w:val="00FF41F6"/>
    <w:rsid w:val="00FF4C7C"/>
    <w:rsid w:val="012975EE"/>
    <w:rsid w:val="0177CF35"/>
    <w:rsid w:val="017CBBF8"/>
    <w:rsid w:val="0190FCA2"/>
    <w:rsid w:val="01C514FD"/>
    <w:rsid w:val="01EDDA23"/>
    <w:rsid w:val="0242726F"/>
    <w:rsid w:val="0247EF33"/>
    <w:rsid w:val="02C52DCC"/>
    <w:rsid w:val="031386C2"/>
    <w:rsid w:val="035162E9"/>
    <w:rsid w:val="035A2BB5"/>
    <w:rsid w:val="0368AC1A"/>
    <w:rsid w:val="03761D32"/>
    <w:rsid w:val="03D2C8A1"/>
    <w:rsid w:val="03E005CC"/>
    <w:rsid w:val="04350A73"/>
    <w:rsid w:val="04F6DE61"/>
    <w:rsid w:val="050E7A9F"/>
    <w:rsid w:val="051E1D4C"/>
    <w:rsid w:val="052F5302"/>
    <w:rsid w:val="0564A8A3"/>
    <w:rsid w:val="05B130AB"/>
    <w:rsid w:val="05B7626E"/>
    <w:rsid w:val="063DC3A5"/>
    <w:rsid w:val="0664B03F"/>
    <w:rsid w:val="0664DA24"/>
    <w:rsid w:val="0690A986"/>
    <w:rsid w:val="0725AFEC"/>
    <w:rsid w:val="08015C16"/>
    <w:rsid w:val="0866F795"/>
    <w:rsid w:val="091A58A5"/>
    <w:rsid w:val="092040D5"/>
    <w:rsid w:val="0928AFED"/>
    <w:rsid w:val="0A83A468"/>
    <w:rsid w:val="0AA0C005"/>
    <w:rsid w:val="0B00D704"/>
    <w:rsid w:val="0B4A2C29"/>
    <w:rsid w:val="0BD953A3"/>
    <w:rsid w:val="0BDD3371"/>
    <w:rsid w:val="0C2D458B"/>
    <w:rsid w:val="0CC41A9C"/>
    <w:rsid w:val="0CDFF61D"/>
    <w:rsid w:val="0CFCED08"/>
    <w:rsid w:val="0D742DB0"/>
    <w:rsid w:val="0DB4F27B"/>
    <w:rsid w:val="0DBFAD99"/>
    <w:rsid w:val="0E18C3D3"/>
    <w:rsid w:val="0E3E2D3C"/>
    <w:rsid w:val="0E761B1E"/>
    <w:rsid w:val="0ED42C45"/>
    <w:rsid w:val="0F07AF94"/>
    <w:rsid w:val="0F36FAAB"/>
    <w:rsid w:val="0F5B32AB"/>
    <w:rsid w:val="0F78EE1D"/>
    <w:rsid w:val="0FA5092F"/>
    <w:rsid w:val="0FBB4940"/>
    <w:rsid w:val="0FDFF105"/>
    <w:rsid w:val="0FFD9369"/>
    <w:rsid w:val="1040D105"/>
    <w:rsid w:val="1057B4CE"/>
    <w:rsid w:val="105E02E9"/>
    <w:rsid w:val="10680EA3"/>
    <w:rsid w:val="10953FE6"/>
    <w:rsid w:val="10968F0C"/>
    <w:rsid w:val="10B78B48"/>
    <w:rsid w:val="10E1821B"/>
    <w:rsid w:val="10EEF3F3"/>
    <w:rsid w:val="112545FC"/>
    <w:rsid w:val="11956B77"/>
    <w:rsid w:val="11CA6A93"/>
    <w:rsid w:val="11D5EBD4"/>
    <w:rsid w:val="11D63C6A"/>
    <w:rsid w:val="11E55C66"/>
    <w:rsid w:val="125958EB"/>
    <w:rsid w:val="12825D9F"/>
    <w:rsid w:val="128EC852"/>
    <w:rsid w:val="12B564D9"/>
    <w:rsid w:val="12E3A9DE"/>
    <w:rsid w:val="1306544D"/>
    <w:rsid w:val="134C82B1"/>
    <w:rsid w:val="135E348A"/>
    <w:rsid w:val="136236CA"/>
    <w:rsid w:val="13811721"/>
    <w:rsid w:val="13AC4C6F"/>
    <w:rsid w:val="13AE0767"/>
    <w:rsid w:val="13CF437E"/>
    <w:rsid w:val="13DD0D42"/>
    <w:rsid w:val="14273F6C"/>
    <w:rsid w:val="1452DB5D"/>
    <w:rsid w:val="14F018CA"/>
    <w:rsid w:val="14FC2291"/>
    <w:rsid w:val="151DCFA2"/>
    <w:rsid w:val="15285D35"/>
    <w:rsid w:val="15C7992B"/>
    <w:rsid w:val="15C883C9"/>
    <w:rsid w:val="15F26031"/>
    <w:rsid w:val="16075235"/>
    <w:rsid w:val="160A88DE"/>
    <w:rsid w:val="162D55CE"/>
    <w:rsid w:val="166892A7"/>
    <w:rsid w:val="16C843BB"/>
    <w:rsid w:val="1751012B"/>
    <w:rsid w:val="176035E4"/>
    <w:rsid w:val="17C42C32"/>
    <w:rsid w:val="17E8A3DE"/>
    <w:rsid w:val="180254A2"/>
    <w:rsid w:val="18883247"/>
    <w:rsid w:val="18A20BCD"/>
    <w:rsid w:val="18BDBAE5"/>
    <w:rsid w:val="18E1117D"/>
    <w:rsid w:val="192B18CC"/>
    <w:rsid w:val="1942B93A"/>
    <w:rsid w:val="19A506E7"/>
    <w:rsid w:val="19A70A5F"/>
    <w:rsid w:val="1A13C004"/>
    <w:rsid w:val="1A39D412"/>
    <w:rsid w:val="1A5D1340"/>
    <w:rsid w:val="1AB43EE9"/>
    <w:rsid w:val="1B1CA44A"/>
    <w:rsid w:val="1B208D71"/>
    <w:rsid w:val="1BAC394B"/>
    <w:rsid w:val="1BC6F3DC"/>
    <w:rsid w:val="1C0FF55E"/>
    <w:rsid w:val="1C23DC27"/>
    <w:rsid w:val="1C269C19"/>
    <w:rsid w:val="1C3FED95"/>
    <w:rsid w:val="1C890CD3"/>
    <w:rsid w:val="1CB5F2B7"/>
    <w:rsid w:val="1D5A1144"/>
    <w:rsid w:val="1D61B264"/>
    <w:rsid w:val="1DA8C583"/>
    <w:rsid w:val="1DFABDDC"/>
    <w:rsid w:val="1E2369A1"/>
    <w:rsid w:val="1E7BE77A"/>
    <w:rsid w:val="1E955FE3"/>
    <w:rsid w:val="1F2C9A50"/>
    <w:rsid w:val="1F5323AA"/>
    <w:rsid w:val="1F9DAA20"/>
    <w:rsid w:val="1FB13BE6"/>
    <w:rsid w:val="206FC64C"/>
    <w:rsid w:val="207DD6E6"/>
    <w:rsid w:val="211730EA"/>
    <w:rsid w:val="215AA8C6"/>
    <w:rsid w:val="21BEC47F"/>
    <w:rsid w:val="22039FBD"/>
    <w:rsid w:val="2224C4A0"/>
    <w:rsid w:val="223848A5"/>
    <w:rsid w:val="22604206"/>
    <w:rsid w:val="228945BF"/>
    <w:rsid w:val="22985C23"/>
    <w:rsid w:val="22B01E8A"/>
    <w:rsid w:val="22E4DF86"/>
    <w:rsid w:val="23587B93"/>
    <w:rsid w:val="246B7AEF"/>
    <w:rsid w:val="24C59C65"/>
    <w:rsid w:val="24DD0FB0"/>
    <w:rsid w:val="2540FB20"/>
    <w:rsid w:val="254B837C"/>
    <w:rsid w:val="25821EF4"/>
    <w:rsid w:val="25C4AB4B"/>
    <w:rsid w:val="25D390A1"/>
    <w:rsid w:val="25EE130C"/>
    <w:rsid w:val="261859AB"/>
    <w:rsid w:val="261E46CB"/>
    <w:rsid w:val="2623CE58"/>
    <w:rsid w:val="2669E076"/>
    <w:rsid w:val="2673B84E"/>
    <w:rsid w:val="26AC1AE7"/>
    <w:rsid w:val="26BB832A"/>
    <w:rsid w:val="27041363"/>
    <w:rsid w:val="27349579"/>
    <w:rsid w:val="27450FFB"/>
    <w:rsid w:val="274865DE"/>
    <w:rsid w:val="27A2431F"/>
    <w:rsid w:val="27F84787"/>
    <w:rsid w:val="283D8236"/>
    <w:rsid w:val="2842A33A"/>
    <w:rsid w:val="28CFC9AA"/>
    <w:rsid w:val="28ED3A52"/>
    <w:rsid w:val="2902EA5C"/>
    <w:rsid w:val="293BB74C"/>
    <w:rsid w:val="29C4B3D8"/>
    <w:rsid w:val="29CA1F93"/>
    <w:rsid w:val="29E2D910"/>
    <w:rsid w:val="29EBCDEE"/>
    <w:rsid w:val="2A5A6446"/>
    <w:rsid w:val="2A61CD7E"/>
    <w:rsid w:val="2AC2174E"/>
    <w:rsid w:val="2AF2DD16"/>
    <w:rsid w:val="2AF4CF23"/>
    <w:rsid w:val="2B1C1727"/>
    <w:rsid w:val="2B7259D2"/>
    <w:rsid w:val="2B81E29D"/>
    <w:rsid w:val="2BC9359E"/>
    <w:rsid w:val="2BEB3C11"/>
    <w:rsid w:val="2C41A96C"/>
    <w:rsid w:val="2D1B0B42"/>
    <w:rsid w:val="2D2DEB3A"/>
    <w:rsid w:val="2D539BA3"/>
    <w:rsid w:val="2D549616"/>
    <w:rsid w:val="2D561605"/>
    <w:rsid w:val="2DB481E4"/>
    <w:rsid w:val="2DCF5D68"/>
    <w:rsid w:val="2DF7C049"/>
    <w:rsid w:val="2E6D6277"/>
    <w:rsid w:val="2E96CC7E"/>
    <w:rsid w:val="2EBE21DB"/>
    <w:rsid w:val="2ED7911C"/>
    <w:rsid w:val="2F63B88F"/>
    <w:rsid w:val="2F83328E"/>
    <w:rsid w:val="2FE81702"/>
    <w:rsid w:val="305DA442"/>
    <w:rsid w:val="30675779"/>
    <w:rsid w:val="3083656A"/>
    <w:rsid w:val="30CCF18E"/>
    <w:rsid w:val="30D58933"/>
    <w:rsid w:val="310EE5E4"/>
    <w:rsid w:val="31B5F4B2"/>
    <w:rsid w:val="31C85257"/>
    <w:rsid w:val="31D80B38"/>
    <w:rsid w:val="31FCE617"/>
    <w:rsid w:val="32140AFF"/>
    <w:rsid w:val="3225E46F"/>
    <w:rsid w:val="322B8789"/>
    <w:rsid w:val="3353A2B6"/>
    <w:rsid w:val="335878DB"/>
    <w:rsid w:val="33FB9803"/>
    <w:rsid w:val="34370047"/>
    <w:rsid w:val="34431048"/>
    <w:rsid w:val="3456A09E"/>
    <w:rsid w:val="34B870DD"/>
    <w:rsid w:val="34BCFF71"/>
    <w:rsid w:val="34E35A25"/>
    <w:rsid w:val="355C10EB"/>
    <w:rsid w:val="355CF89D"/>
    <w:rsid w:val="358C6A34"/>
    <w:rsid w:val="35EF313D"/>
    <w:rsid w:val="35F3A4DA"/>
    <w:rsid w:val="3610E701"/>
    <w:rsid w:val="3640CC93"/>
    <w:rsid w:val="365DF85F"/>
    <w:rsid w:val="36BACCF5"/>
    <w:rsid w:val="36C8FFBA"/>
    <w:rsid w:val="37CD2D61"/>
    <w:rsid w:val="37D6EBB2"/>
    <w:rsid w:val="37DAC241"/>
    <w:rsid w:val="37FF53C2"/>
    <w:rsid w:val="386359F9"/>
    <w:rsid w:val="38FDCED1"/>
    <w:rsid w:val="3972789E"/>
    <w:rsid w:val="398854D0"/>
    <w:rsid w:val="39987BC3"/>
    <w:rsid w:val="39CB3899"/>
    <w:rsid w:val="39E90E81"/>
    <w:rsid w:val="3A219E52"/>
    <w:rsid w:val="3A3431B2"/>
    <w:rsid w:val="3A5177E2"/>
    <w:rsid w:val="3A9D6EDD"/>
    <w:rsid w:val="3AF8CEFE"/>
    <w:rsid w:val="3AFCDA95"/>
    <w:rsid w:val="3B1F4E74"/>
    <w:rsid w:val="3B2BD9C7"/>
    <w:rsid w:val="3B8812F3"/>
    <w:rsid w:val="3B9CE6E0"/>
    <w:rsid w:val="3BAAD0E2"/>
    <w:rsid w:val="3BD31B84"/>
    <w:rsid w:val="3BE0C88F"/>
    <w:rsid w:val="3CB4F2B5"/>
    <w:rsid w:val="3D03A157"/>
    <w:rsid w:val="3D1FE2FC"/>
    <w:rsid w:val="3D305B31"/>
    <w:rsid w:val="3D57D07E"/>
    <w:rsid w:val="3D7F0DCD"/>
    <w:rsid w:val="3E3F4761"/>
    <w:rsid w:val="3E42472E"/>
    <w:rsid w:val="3E78C550"/>
    <w:rsid w:val="3E933A99"/>
    <w:rsid w:val="3FEFF46F"/>
    <w:rsid w:val="4073AFF4"/>
    <w:rsid w:val="40C13B36"/>
    <w:rsid w:val="412DDD6B"/>
    <w:rsid w:val="417CCCFE"/>
    <w:rsid w:val="41EE06A6"/>
    <w:rsid w:val="4207D224"/>
    <w:rsid w:val="42B6E6AB"/>
    <w:rsid w:val="42C76F11"/>
    <w:rsid w:val="430241CE"/>
    <w:rsid w:val="43176EB2"/>
    <w:rsid w:val="434A0C7D"/>
    <w:rsid w:val="436C17D3"/>
    <w:rsid w:val="436EB9B3"/>
    <w:rsid w:val="4389ECF9"/>
    <w:rsid w:val="439287F9"/>
    <w:rsid w:val="43AE75FB"/>
    <w:rsid w:val="4430278E"/>
    <w:rsid w:val="44AC9CA3"/>
    <w:rsid w:val="44F9A998"/>
    <w:rsid w:val="452B5BEF"/>
    <w:rsid w:val="457B54D3"/>
    <w:rsid w:val="4628B376"/>
    <w:rsid w:val="46A17B71"/>
    <w:rsid w:val="470C362F"/>
    <w:rsid w:val="47285F40"/>
    <w:rsid w:val="47E1B211"/>
    <w:rsid w:val="48100271"/>
    <w:rsid w:val="482AC7E4"/>
    <w:rsid w:val="48381783"/>
    <w:rsid w:val="4854BBB3"/>
    <w:rsid w:val="4865537F"/>
    <w:rsid w:val="48A6EBB1"/>
    <w:rsid w:val="48D618A5"/>
    <w:rsid w:val="4973C261"/>
    <w:rsid w:val="49C0CF47"/>
    <w:rsid w:val="49FAC7EA"/>
    <w:rsid w:val="4A0DDC47"/>
    <w:rsid w:val="4A83A8D4"/>
    <w:rsid w:val="4AC05AE7"/>
    <w:rsid w:val="4ADE96AF"/>
    <w:rsid w:val="4B063D46"/>
    <w:rsid w:val="4BCA47AE"/>
    <w:rsid w:val="4BD24D44"/>
    <w:rsid w:val="4BEB2427"/>
    <w:rsid w:val="4C502186"/>
    <w:rsid w:val="4C5EA455"/>
    <w:rsid w:val="4C649A5E"/>
    <w:rsid w:val="4C725B57"/>
    <w:rsid w:val="4C7C77C5"/>
    <w:rsid w:val="4CED2C7C"/>
    <w:rsid w:val="4D24F715"/>
    <w:rsid w:val="4D2DECC6"/>
    <w:rsid w:val="4D474015"/>
    <w:rsid w:val="4D4A3CAF"/>
    <w:rsid w:val="4DFD03CB"/>
    <w:rsid w:val="4E29CB4B"/>
    <w:rsid w:val="4E456AC2"/>
    <w:rsid w:val="4E4DC102"/>
    <w:rsid w:val="4E584ADE"/>
    <w:rsid w:val="4E81D111"/>
    <w:rsid w:val="4EA36A3D"/>
    <w:rsid w:val="4EC8E09B"/>
    <w:rsid w:val="4EDE71DB"/>
    <w:rsid w:val="4F66A25A"/>
    <w:rsid w:val="4FA2552E"/>
    <w:rsid w:val="50165973"/>
    <w:rsid w:val="508131D1"/>
    <w:rsid w:val="51186908"/>
    <w:rsid w:val="51AC5C42"/>
    <w:rsid w:val="51CF6D5B"/>
    <w:rsid w:val="523D426E"/>
    <w:rsid w:val="5277A7E9"/>
    <w:rsid w:val="52BFED1F"/>
    <w:rsid w:val="52F21D0A"/>
    <w:rsid w:val="5367C22A"/>
    <w:rsid w:val="537FCBE3"/>
    <w:rsid w:val="53A0F8A1"/>
    <w:rsid w:val="53A88D34"/>
    <w:rsid w:val="53DD063D"/>
    <w:rsid w:val="542571CC"/>
    <w:rsid w:val="548D4FBF"/>
    <w:rsid w:val="54A31E1E"/>
    <w:rsid w:val="54A382C2"/>
    <w:rsid w:val="54CE357B"/>
    <w:rsid w:val="54F05F02"/>
    <w:rsid w:val="54F12BF6"/>
    <w:rsid w:val="55193DC1"/>
    <w:rsid w:val="556A4DEF"/>
    <w:rsid w:val="5579A942"/>
    <w:rsid w:val="55A7484D"/>
    <w:rsid w:val="55B9B636"/>
    <w:rsid w:val="55E04F4A"/>
    <w:rsid w:val="56F1603B"/>
    <w:rsid w:val="57487632"/>
    <w:rsid w:val="579B2AEF"/>
    <w:rsid w:val="57B6EE12"/>
    <w:rsid w:val="57BD8DF2"/>
    <w:rsid w:val="58122C5C"/>
    <w:rsid w:val="58BA9CD5"/>
    <w:rsid w:val="591A1192"/>
    <w:rsid w:val="59479E4D"/>
    <w:rsid w:val="594F38B5"/>
    <w:rsid w:val="59A47235"/>
    <w:rsid w:val="59DA4963"/>
    <w:rsid w:val="59EDCE81"/>
    <w:rsid w:val="5A090B58"/>
    <w:rsid w:val="5A1D7C38"/>
    <w:rsid w:val="5A50C6C9"/>
    <w:rsid w:val="5ABA8E3A"/>
    <w:rsid w:val="5AD92936"/>
    <w:rsid w:val="5B22A7C4"/>
    <w:rsid w:val="5B696120"/>
    <w:rsid w:val="5B6BA952"/>
    <w:rsid w:val="5C0FA1AD"/>
    <w:rsid w:val="5C4DCD0B"/>
    <w:rsid w:val="5C8D2B60"/>
    <w:rsid w:val="5CF649F9"/>
    <w:rsid w:val="5CFA6D9D"/>
    <w:rsid w:val="5DC9AF4B"/>
    <w:rsid w:val="5DFDB652"/>
    <w:rsid w:val="5E21D346"/>
    <w:rsid w:val="5E3A749D"/>
    <w:rsid w:val="5E6F8BA9"/>
    <w:rsid w:val="5EE9AF48"/>
    <w:rsid w:val="5F54C8A1"/>
    <w:rsid w:val="5F7D81C3"/>
    <w:rsid w:val="5FA2EB9C"/>
    <w:rsid w:val="5FE145A4"/>
    <w:rsid w:val="5FFEA6D4"/>
    <w:rsid w:val="6057D2A7"/>
    <w:rsid w:val="60B920FA"/>
    <w:rsid w:val="60CE88A0"/>
    <w:rsid w:val="60D928D7"/>
    <w:rsid w:val="618122B0"/>
    <w:rsid w:val="619C57D1"/>
    <w:rsid w:val="61B9B5DE"/>
    <w:rsid w:val="624DCEDB"/>
    <w:rsid w:val="6264416C"/>
    <w:rsid w:val="63055548"/>
    <w:rsid w:val="63157730"/>
    <w:rsid w:val="632A2835"/>
    <w:rsid w:val="644712D3"/>
    <w:rsid w:val="645B8B16"/>
    <w:rsid w:val="647BD907"/>
    <w:rsid w:val="648D2556"/>
    <w:rsid w:val="64E1CB11"/>
    <w:rsid w:val="654762BD"/>
    <w:rsid w:val="657689F3"/>
    <w:rsid w:val="65A899D0"/>
    <w:rsid w:val="65D1CD64"/>
    <w:rsid w:val="66074676"/>
    <w:rsid w:val="660CFCCF"/>
    <w:rsid w:val="662565B3"/>
    <w:rsid w:val="6669AE4B"/>
    <w:rsid w:val="6674DDCA"/>
    <w:rsid w:val="674CABC4"/>
    <w:rsid w:val="67525469"/>
    <w:rsid w:val="676253E9"/>
    <w:rsid w:val="67681555"/>
    <w:rsid w:val="67B3C7CE"/>
    <w:rsid w:val="67C19131"/>
    <w:rsid w:val="67DDD09D"/>
    <w:rsid w:val="68161406"/>
    <w:rsid w:val="68177BE5"/>
    <w:rsid w:val="682FB11C"/>
    <w:rsid w:val="686ADFB6"/>
    <w:rsid w:val="68C0F62A"/>
    <w:rsid w:val="68E5AABB"/>
    <w:rsid w:val="69998733"/>
    <w:rsid w:val="69F11AC7"/>
    <w:rsid w:val="6A095513"/>
    <w:rsid w:val="6A2585B5"/>
    <w:rsid w:val="6A7C2562"/>
    <w:rsid w:val="6AA4F361"/>
    <w:rsid w:val="6B614BF5"/>
    <w:rsid w:val="6B768332"/>
    <w:rsid w:val="6B80EBC1"/>
    <w:rsid w:val="6B9EF601"/>
    <w:rsid w:val="6BC3867C"/>
    <w:rsid w:val="6BE5EE35"/>
    <w:rsid w:val="6C2B3ED0"/>
    <w:rsid w:val="6C3EE1B2"/>
    <w:rsid w:val="6C870682"/>
    <w:rsid w:val="6D29827B"/>
    <w:rsid w:val="6D6E0BA6"/>
    <w:rsid w:val="6DA98B4F"/>
    <w:rsid w:val="6DD175C0"/>
    <w:rsid w:val="6DDE1F8F"/>
    <w:rsid w:val="6E41DF38"/>
    <w:rsid w:val="6E8E2DF5"/>
    <w:rsid w:val="6E980F41"/>
    <w:rsid w:val="6EF6BB73"/>
    <w:rsid w:val="6FAEF74E"/>
    <w:rsid w:val="6FCD9F2A"/>
    <w:rsid w:val="6FEDFA73"/>
    <w:rsid w:val="6FF87780"/>
    <w:rsid w:val="70263873"/>
    <w:rsid w:val="70350413"/>
    <w:rsid w:val="70385725"/>
    <w:rsid w:val="705D1644"/>
    <w:rsid w:val="70831FD9"/>
    <w:rsid w:val="708CDC87"/>
    <w:rsid w:val="70A3B22E"/>
    <w:rsid w:val="7113E290"/>
    <w:rsid w:val="719C090F"/>
    <w:rsid w:val="72013B26"/>
    <w:rsid w:val="7240E81F"/>
    <w:rsid w:val="728DCE28"/>
    <w:rsid w:val="730962E9"/>
    <w:rsid w:val="730D1C9C"/>
    <w:rsid w:val="732353AA"/>
    <w:rsid w:val="73242DB5"/>
    <w:rsid w:val="734D50AD"/>
    <w:rsid w:val="73D2D7EF"/>
    <w:rsid w:val="743664FB"/>
    <w:rsid w:val="74BFFCC0"/>
    <w:rsid w:val="74C9B53C"/>
    <w:rsid w:val="752D7B95"/>
    <w:rsid w:val="756C80E2"/>
    <w:rsid w:val="75FAD57B"/>
    <w:rsid w:val="76026402"/>
    <w:rsid w:val="7632DD21"/>
    <w:rsid w:val="76D97272"/>
    <w:rsid w:val="76F778AE"/>
    <w:rsid w:val="7756A592"/>
    <w:rsid w:val="776D8562"/>
    <w:rsid w:val="77DA2F80"/>
    <w:rsid w:val="77E86516"/>
    <w:rsid w:val="78697677"/>
    <w:rsid w:val="786ED584"/>
    <w:rsid w:val="78763ED7"/>
    <w:rsid w:val="7879DED8"/>
    <w:rsid w:val="79530F73"/>
    <w:rsid w:val="7A147851"/>
    <w:rsid w:val="7ACA6CA5"/>
    <w:rsid w:val="7B1005E2"/>
    <w:rsid w:val="7B1D71F3"/>
    <w:rsid w:val="7B1F75F4"/>
    <w:rsid w:val="7B7320CC"/>
    <w:rsid w:val="7BED7264"/>
    <w:rsid w:val="7C963DEB"/>
    <w:rsid w:val="7CDB1C69"/>
    <w:rsid w:val="7D47634A"/>
    <w:rsid w:val="7D4E2E1F"/>
    <w:rsid w:val="7D54F2E6"/>
    <w:rsid w:val="7D70C304"/>
    <w:rsid w:val="7E0C96E4"/>
    <w:rsid w:val="7E142F2C"/>
    <w:rsid w:val="7E25447C"/>
    <w:rsid w:val="7EB43385"/>
    <w:rsid w:val="7F0B8C28"/>
    <w:rsid w:val="7F377E2F"/>
    <w:rsid w:val="7F38E7B1"/>
    <w:rsid w:val="7F3A0B72"/>
    <w:rsid w:val="7F7665CF"/>
    <w:rsid w:val="7F8F24FF"/>
    <w:rsid w:val="7F998201"/>
    <w:rsid w:val="7FA14399"/>
    <w:rsid w:val="7FD9AC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5E27A"/>
  <w15:chartTrackingRefBased/>
  <w15:docId w15:val="{03C24341-F41A-4E4E-9DE0-25ED163E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C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C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C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C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C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C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C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C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C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C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C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C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C44"/>
    <w:rPr>
      <w:rFonts w:eastAsiaTheme="majorEastAsia" w:cstheme="majorBidi"/>
      <w:color w:val="272727" w:themeColor="text1" w:themeTint="D8"/>
    </w:rPr>
  </w:style>
  <w:style w:type="paragraph" w:styleId="Title">
    <w:name w:val="Title"/>
    <w:basedOn w:val="Normal"/>
    <w:next w:val="Normal"/>
    <w:link w:val="TitleChar"/>
    <w:uiPriority w:val="10"/>
    <w:qFormat/>
    <w:rsid w:val="001B7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C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C44"/>
    <w:pPr>
      <w:spacing w:before="160"/>
      <w:jc w:val="center"/>
    </w:pPr>
    <w:rPr>
      <w:i/>
      <w:iCs/>
      <w:color w:val="404040" w:themeColor="text1" w:themeTint="BF"/>
    </w:rPr>
  </w:style>
  <w:style w:type="character" w:customStyle="1" w:styleId="QuoteChar">
    <w:name w:val="Quote Char"/>
    <w:basedOn w:val="DefaultParagraphFont"/>
    <w:link w:val="Quote"/>
    <w:uiPriority w:val="29"/>
    <w:rsid w:val="001B7C44"/>
    <w:rPr>
      <w:i/>
      <w:iCs/>
      <w:color w:val="404040" w:themeColor="text1" w:themeTint="BF"/>
    </w:rPr>
  </w:style>
  <w:style w:type="paragraph" w:styleId="ListParagraph">
    <w:name w:val="List Paragraph"/>
    <w:basedOn w:val="Normal"/>
    <w:uiPriority w:val="34"/>
    <w:qFormat/>
    <w:rsid w:val="001B7C44"/>
    <w:pPr>
      <w:ind w:left="720"/>
      <w:contextualSpacing/>
    </w:pPr>
  </w:style>
  <w:style w:type="character" w:styleId="IntenseEmphasis">
    <w:name w:val="Intense Emphasis"/>
    <w:basedOn w:val="DefaultParagraphFont"/>
    <w:uiPriority w:val="21"/>
    <w:qFormat/>
    <w:rsid w:val="001B7C44"/>
    <w:rPr>
      <w:i/>
      <w:iCs/>
      <w:color w:val="0F4761" w:themeColor="accent1" w:themeShade="BF"/>
    </w:rPr>
  </w:style>
  <w:style w:type="paragraph" w:styleId="IntenseQuote">
    <w:name w:val="Intense Quote"/>
    <w:basedOn w:val="Normal"/>
    <w:next w:val="Normal"/>
    <w:link w:val="IntenseQuoteChar"/>
    <w:uiPriority w:val="30"/>
    <w:qFormat/>
    <w:rsid w:val="001B7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C44"/>
    <w:rPr>
      <w:i/>
      <w:iCs/>
      <w:color w:val="0F4761" w:themeColor="accent1" w:themeShade="BF"/>
    </w:rPr>
  </w:style>
  <w:style w:type="character" w:styleId="IntenseReference">
    <w:name w:val="Intense Reference"/>
    <w:basedOn w:val="DefaultParagraphFont"/>
    <w:uiPriority w:val="32"/>
    <w:qFormat/>
    <w:rsid w:val="001B7C44"/>
    <w:rPr>
      <w:b/>
      <w:bCs/>
      <w:smallCaps/>
      <w:color w:val="0F4761" w:themeColor="accent1" w:themeShade="BF"/>
      <w:spacing w:val="5"/>
    </w:rPr>
  </w:style>
  <w:style w:type="table" w:styleId="TableGrid">
    <w:name w:val="Table Grid"/>
    <w:basedOn w:val="TableNormal"/>
    <w:uiPriority w:val="39"/>
    <w:rsid w:val="001B7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22F"/>
  </w:style>
  <w:style w:type="paragraph" w:styleId="Footer">
    <w:name w:val="footer"/>
    <w:basedOn w:val="Normal"/>
    <w:link w:val="FooterChar"/>
    <w:uiPriority w:val="99"/>
    <w:unhideWhenUsed/>
    <w:rsid w:val="00723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22F"/>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471A2"/>
    <w:pPr>
      <w:spacing w:after="0" w:line="240" w:lineRule="auto"/>
    </w:pPr>
  </w:style>
  <w:style w:type="paragraph" w:styleId="CommentSubject">
    <w:name w:val="annotation subject"/>
    <w:basedOn w:val="CommentText"/>
    <w:next w:val="CommentText"/>
    <w:link w:val="CommentSubjectChar"/>
    <w:uiPriority w:val="99"/>
    <w:semiHidden/>
    <w:unhideWhenUsed/>
    <w:rsid w:val="00B471A2"/>
    <w:rPr>
      <w:b/>
      <w:bCs/>
    </w:rPr>
  </w:style>
  <w:style w:type="character" w:customStyle="1" w:styleId="CommentSubjectChar">
    <w:name w:val="Comment Subject Char"/>
    <w:basedOn w:val="CommentTextChar"/>
    <w:link w:val="CommentSubject"/>
    <w:uiPriority w:val="99"/>
    <w:semiHidden/>
    <w:rsid w:val="00B471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6568</Characters>
  <Application>Microsoft Office Word</Application>
  <DocSecurity>4</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Management Response to the Independent Evaluation of the Pacific Research Program Phase Two</dc:title>
  <dc:subject/>
  <dc:creator>Matilda Day</dc:creator>
  <cp:keywords>[SEC=OFFICIAL]</cp:keywords>
  <dc:description/>
  <cp:lastModifiedBy>Cameron Owers</cp:lastModifiedBy>
  <cp:revision>2</cp:revision>
  <dcterms:created xsi:type="dcterms:W3CDTF">2026-01-29T06:06:00Z</dcterms:created>
  <dcterms:modified xsi:type="dcterms:W3CDTF">2026-01-29T06:06:00Z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v=2022.1;a=SHA256;h=E1E2BBBE82C8D8754FB79EF2E2184D380F2FAB5EFC7054EA60E013BC1AAF7181</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2026-01-21T00:55:10Z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D9F6E5C82DFAF7AB6E3D596D48DD43C72EDFDAB4</vt:lpwstr>
  </property>
  <property fmtid="{D5CDD505-2E9C-101B-9397-08002B2CF9AE}" pid="17" name="PM_Originating_FileId">
    <vt:lpwstr>05B66BA4514F45A5949274323BA93EE7</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3E9DB5AB808CA91EB3E8EC398CDB7F67B110581D6BB28BC88565729DCE387350</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97611FAB8C3264652D71116CD6E8DC1C</vt:lpwstr>
  </property>
  <property fmtid="{D5CDD505-2E9C-101B-9397-08002B2CF9AE}" pid="25" name="PM_Hash_Salt">
    <vt:lpwstr>60995768646EA408982493FAEFAC08E4</vt:lpwstr>
  </property>
  <property fmtid="{D5CDD505-2E9C-101B-9397-08002B2CF9AE}" pid="26" name="PM_Hash_SHA1">
    <vt:lpwstr>06ABD9F50343A22B335E198717AD641527420960</vt:lpwstr>
  </property>
  <property fmtid="{D5CDD505-2E9C-101B-9397-08002B2CF9AE}" pid="27" name="PM_SecurityClassification_Prev">
    <vt:lpwstr>OFFICIAL</vt:lpwstr>
  </property>
  <property fmtid="{D5CDD505-2E9C-101B-9397-08002B2CF9AE}" pid="28" name="PM_Qualifier_Prev">
    <vt:lpwstr/>
  </property>
</Properties>
</file>