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iagrams/data1.xml" ContentType="application/vnd.openxmlformats-officedocument.drawingml.diagramData+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diagrams/colors1.xml" ContentType="application/vnd.openxmlformats-officedocument.drawingml.diagramColors+xml"/>
  <Override PartName="/word/theme/theme1.xml" ContentType="application/vnd.openxmlformats-officedocument.theme+xml"/>
  <Override PartName="/word/diagrams/drawing1.xml" ContentType="application/vnd.ms-office.drawingml.diagramDrawing+xml"/>
  <Override PartName="/word/charts/chart1.xml" ContentType="application/vnd.openxmlformats-officedocument.drawingml.chart+xml"/>
  <Override PartName="/word/diagrams/layout1.xml" ContentType="application/vnd.openxmlformats-officedocument.drawingml.diagramLayout+xml"/>
  <Override PartName="/word/diagrams/quickStyle1.xml" ContentType="application/vnd.openxmlformats-officedocument.drawingml.diagramStyl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19658067"/>
        <w:docPartObj>
          <w:docPartGallery w:val="Cover Pages"/>
          <w:docPartUnique/>
        </w:docPartObj>
      </w:sdtPr>
      <w:sdtEndPr>
        <w:rPr>
          <w:lang w:val="en-US" w:eastAsia="ja-JP"/>
        </w:rPr>
      </w:sdtEndPr>
      <w:sdtContent>
        <w:p w14:paraId="2C7D2F59" w14:textId="77777777" w:rsidR="00A709CB" w:rsidRDefault="00A709CB" w:rsidP="002D53F7"/>
        <w:tbl>
          <w:tblPr>
            <w:tblpPr w:leftFromText="187" w:rightFromText="187" w:vertAnchor="page" w:horzAnchor="margin" w:tblpXSpec="right" w:tblpY="3012"/>
            <w:tblW w:w="0" w:type="auto"/>
            <w:tblBorders>
              <w:top w:val="single" w:sz="36" w:space="0" w:color="990000"/>
              <w:bottom w:val="single" w:sz="36" w:space="0" w:color="990000"/>
              <w:insideH w:val="single" w:sz="36" w:space="0" w:color="990000"/>
              <w:insideV w:val="single" w:sz="36" w:space="0" w:color="CC0000"/>
            </w:tblBorders>
            <w:tblLayout w:type="fixed"/>
            <w:tblCellMar>
              <w:top w:w="360" w:type="dxa"/>
              <w:left w:w="115" w:type="dxa"/>
              <w:bottom w:w="360" w:type="dxa"/>
              <w:right w:w="115" w:type="dxa"/>
            </w:tblCellMar>
            <w:tblLook w:val="04A0" w:firstRow="1" w:lastRow="0" w:firstColumn="1" w:lastColumn="0" w:noHBand="0" w:noVBand="1"/>
          </w:tblPr>
          <w:tblGrid>
            <w:gridCol w:w="5786"/>
          </w:tblGrid>
          <w:tr w:rsidR="00A709CB" w14:paraId="3F8339E0" w14:textId="77777777" w:rsidTr="00AF34CE">
            <w:tc>
              <w:tcPr>
                <w:tcW w:w="5786" w:type="dxa"/>
              </w:tcPr>
              <w:p w14:paraId="598E348F" w14:textId="4E99BF3A" w:rsidR="00A709CB" w:rsidRDefault="00577A64" w:rsidP="00577A64">
                <w:pPr>
                  <w:pStyle w:val="NoSpacing"/>
                  <w:rPr>
                    <w:rFonts w:asciiTheme="majorHAnsi" w:eastAsiaTheme="majorEastAsia" w:hAnsiTheme="majorHAnsi" w:cstheme="majorBidi"/>
                    <w:sz w:val="72"/>
                    <w:szCs w:val="72"/>
                  </w:rPr>
                </w:pPr>
                <w:r>
                  <w:rPr>
                    <w:rFonts w:asciiTheme="majorHAnsi" w:eastAsiaTheme="majorEastAsia" w:hAnsiTheme="majorHAnsi" w:cstheme="majorBidi"/>
                    <w:i/>
                    <w:sz w:val="56"/>
                    <w:szCs w:val="72"/>
                    <w:lang w:val="en-AU"/>
                  </w:rPr>
                  <w:t xml:space="preserve">Strategic </w:t>
                </w:r>
                <w:r w:rsidR="00D50F39">
                  <w:rPr>
                    <w:rFonts w:asciiTheme="majorHAnsi" w:eastAsiaTheme="majorEastAsia" w:hAnsiTheme="majorHAnsi" w:cstheme="majorBidi"/>
                    <w:i/>
                    <w:sz w:val="56"/>
                    <w:szCs w:val="72"/>
                    <w:lang w:val="en-AU"/>
                  </w:rPr>
                  <w:t xml:space="preserve">Review of </w:t>
                </w:r>
                <w:r>
                  <w:rPr>
                    <w:rFonts w:asciiTheme="majorHAnsi" w:eastAsiaTheme="majorEastAsia" w:hAnsiTheme="majorHAnsi" w:cstheme="majorBidi"/>
                    <w:i/>
                    <w:sz w:val="56"/>
                    <w:szCs w:val="72"/>
                    <w:lang w:val="en-AU"/>
                  </w:rPr>
                  <w:t>the Pacific Register of Qualifications and Standards</w:t>
                </w:r>
                <w:r w:rsidR="00D50F39" w:rsidRPr="00C36D52">
                  <w:rPr>
                    <w:rFonts w:asciiTheme="majorHAnsi" w:eastAsiaTheme="majorEastAsia" w:hAnsiTheme="majorHAnsi" w:cstheme="majorBidi"/>
                    <w:i/>
                    <w:sz w:val="56"/>
                    <w:szCs w:val="72"/>
                    <w:lang w:val="en-AU"/>
                  </w:rPr>
                  <w:t xml:space="preserve"> </w:t>
                </w:r>
                <w:r w:rsidR="00932B1A" w:rsidRPr="00C36D52">
                  <w:rPr>
                    <w:rFonts w:asciiTheme="majorHAnsi" w:eastAsiaTheme="majorEastAsia" w:hAnsiTheme="majorHAnsi" w:cstheme="majorBidi"/>
                    <w:i/>
                    <w:sz w:val="56"/>
                    <w:szCs w:val="72"/>
                    <w:lang w:val="en-AU"/>
                  </w:rPr>
                  <w:t xml:space="preserve"> </w:t>
                </w:r>
              </w:p>
            </w:tc>
          </w:tr>
          <w:tr w:rsidR="00A709CB" w14:paraId="2491D3EC" w14:textId="77777777" w:rsidTr="00AF34CE">
            <w:tc>
              <w:tcPr>
                <w:tcW w:w="5786" w:type="dxa"/>
              </w:tcPr>
              <w:p w14:paraId="28501DBE" w14:textId="020F5A83" w:rsidR="00A709CB" w:rsidRDefault="00F04F1D" w:rsidP="00695862">
                <w:pPr>
                  <w:pStyle w:val="NoSpacing"/>
                  <w:rPr>
                    <w:sz w:val="40"/>
                    <w:szCs w:val="40"/>
                  </w:rPr>
                </w:pPr>
                <w:r>
                  <w:rPr>
                    <w:sz w:val="40"/>
                    <w:szCs w:val="40"/>
                    <w:lang w:val="en-AU"/>
                  </w:rPr>
                  <w:t>Report to DFAT</w:t>
                </w:r>
              </w:p>
            </w:tc>
          </w:tr>
          <w:tr w:rsidR="00A709CB" w14:paraId="6D677DFB" w14:textId="77777777" w:rsidTr="00AF34CE">
            <w:tc>
              <w:tcPr>
                <w:tcW w:w="5786" w:type="dxa"/>
              </w:tcPr>
              <w:p w14:paraId="097BCCAB" w14:textId="2116B4FB" w:rsidR="00A709CB" w:rsidRPr="003C2EFD" w:rsidRDefault="00F04F1D" w:rsidP="00725D46">
                <w:pPr>
                  <w:pStyle w:val="NoSpacing"/>
                  <w:rPr>
                    <w:sz w:val="28"/>
                    <w:szCs w:val="28"/>
                  </w:rPr>
                </w:pPr>
                <w:r>
                  <w:rPr>
                    <w:rFonts w:ascii="Calibri" w:hAnsi="Calibri" w:cs="Times New Roman"/>
                    <w:sz w:val="24"/>
                    <w:lang w:val="en-AU" w:eastAsia="en-AU"/>
                  </w:rPr>
                  <w:t>Andrea Bateman, Bateman &amp; Giles Pty Ltd                     Ewen Holstein, Quality Assurance Division, NZQA              Dr Sereana Kubuabola, Planning and Quality Office, USP</w:t>
                </w:r>
              </w:p>
            </w:tc>
          </w:tr>
          <w:tr w:rsidR="00A709CB" w14:paraId="0E658C2A" w14:textId="77777777" w:rsidTr="00AF34CE">
            <w:trPr>
              <w:trHeight w:val="580"/>
            </w:trPr>
            <w:tc>
              <w:tcPr>
                <w:tcW w:w="5786" w:type="dxa"/>
              </w:tcPr>
              <w:p w14:paraId="3658F96D" w14:textId="0642A23B" w:rsidR="00A709CB" w:rsidRPr="006D6774" w:rsidRDefault="001754AB" w:rsidP="00091265">
                <w:pPr>
                  <w:rPr>
                    <w:lang w:eastAsia="ja-JP"/>
                  </w:rPr>
                </w:pPr>
                <w:r>
                  <w:rPr>
                    <w:lang w:eastAsia="ja-JP"/>
                  </w:rPr>
                  <w:t>2</w:t>
                </w:r>
                <w:r w:rsidR="0078285C">
                  <w:rPr>
                    <w:lang w:eastAsia="ja-JP"/>
                  </w:rPr>
                  <w:t>8</w:t>
                </w:r>
                <w:r w:rsidR="00494812">
                  <w:rPr>
                    <w:lang w:eastAsia="ja-JP"/>
                  </w:rPr>
                  <w:t>/0</w:t>
                </w:r>
                <w:r w:rsidR="00FA566D">
                  <w:rPr>
                    <w:lang w:eastAsia="ja-JP"/>
                  </w:rPr>
                  <w:t>9</w:t>
                </w:r>
                <w:r w:rsidR="00494812">
                  <w:rPr>
                    <w:lang w:eastAsia="ja-JP"/>
                  </w:rPr>
                  <w:t>/2016</w:t>
                </w:r>
              </w:p>
            </w:tc>
          </w:tr>
        </w:tbl>
        <w:p w14:paraId="68BED842" w14:textId="77777777" w:rsidR="00A709CB" w:rsidRDefault="000C512A" w:rsidP="002D53F7">
          <w:pPr>
            <w:rPr>
              <w:lang w:val="en-US" w:eastAsia="ja-JP"/>
            </w:rPr>
          </w:pPr>
        </w:p>
      </w:sdtContent>
    </w:sdt>
    <w:p w14:paraId="7C7B543C" w14:textId="77777777" w:rsidR="00B650AD" w:rsidRDefault="00B650AD">
      <w:pPr>
        <w:sectPr w:rsidR="00B650AD" w:rsidSect="00DC3A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276" w:header="708" w:footer="708" w:gutter="0"/>
          <w:cols w:space="708"/>
          <w:docGrid w:linePitch="360"/>
        </w:sectPr>
      </w:pPr>
    </w:p>
    <w:sdt>
      <w:sdtPr>
        <w:rPr>
          <w:rFonts w:asciiTheme="minorHAnsi" w:eastAsiaTheme="minorHAnsi" w:hAnsiTheme="minorHAnsi" w:cstheme="minorBidi"/>
          <w:b w:val="0"/>
          <w:bCs w:val="0"/>
          <w:color w:val="auto"/>
          <w:sz w:val="21"/>
          <w:szCs w:val="21"/>
          <w:lang w:val="en-AU" w:eastAsia="en-US"/>
        </w:rPr>
        <w:id w:val="670993487"/>
        <w:docPartObj>
          <w:docPartGallery w:val="Table of Contents"/>
          <w:docPartUnique/>
        </w:docPartObj>
      </w:sdtPr>
      <w:sdtEndPr>
        <w:rPr>
          <w:noProof/>
        </w:rPr>
      </w:sdtEndPr>
      <w:sdtContent>
        <w:p w14:paraId="0ED16A58" w14:textId="62D4AD0B" w:rsidR="00053789" w:rsidRPr="00BC7A0E" w:rsidRDefault="00053789">
          <w:pPr>
            <w:pStyle w:val="TOCHeading"/>
            <w:rPr>
              <w:color w:val="95050F"/>
              <w:lang w:val="en-AU" w:eastAsia="en-US"/>
            </w:rPr>
          </w:pPr>
          <w:r w:rsidRPr="00BC7A0E">
            <w:rPr>
              <w:color w:val="95050F"/>
              <w:lang w:val="en-AU" w:eastAsia="en-US"/>
            </w:rPr>
            <w:t>Table of Contents</w:t>
          </w:r>
        </w:p>
        <w:p w14:paraId="34AEB118" w14:textId="2BD9E3EE" w:rsidR="0057566D" w:rsidRDefault="00C967AF">
          <w:pPr>
            <w:pStyle w:val="TOC1"/>
            <w:rPr>
              <w:rFonts w:eastAsiaTheme="minorEastAsia"/>
              <w:b w:val="0"/>
              <w:noProof/>
              <w:sz w:val="22"/>
              <w:szCs w:val="22"/>
              <w:lang w:eastAsia="en-AU"/>
            </w:rPr>
          </w:pPr>
          <w:r>
            <w:rPr>
              <w:b w:val="0"/>
            </w:rPr>
            <w:fldChar w:fldCharType="begin"/>
          </w:r>
          <w:r>
            <w:rPr>
              <w:b w:val="0"/>
            </w:rPr>
            <w:instrText xml:space="preserve"> TOC \o "3-3" \h \z \t "Heading 1,1,Heading 2,2" </w:instrText>
          </w:r>
          <w:r>
            <w:rPr>
              <w:b w:val="0"/>
            </w:rPr>
            <w:fldChar w:fldCharType="separate"/>
          </w:r>
          <w:hyperlink w:anchor="_Toc462755545" w:history="1">
            <w:r w:rsidR="0057566D" w:rsidRPr="0070798E">
              <w:rPr>
                <w:rStyle w:val="Hyperlink"/>
                <w:noProof/>
              </w:rPr>
              <w:t>Lists of tables and figures</w:t>
            </w:r>
            <w:r w:rsidR="0057566D">
              <w:rPr>
                <w:noProof/>
                <w:webHidden/>
              </w:rPr>
              <w:tab/>
            </w:r>
            <w:r w:rsidR="0057566D">
              <w:rPr>
                <w:noProof/>
                <w:webHidden/>
              </w:rPr>
              <w:fldChar w:fldCharType="begin"/>
            </w:r>
            <w:r w:rsidR="0057566D">
              <w:rPr>
                <w:noProof/>
                <w:webHidden/>
              </w:rPr>
              <w:instrText xml:space="preserve"> PAGEREF _Toc462755545 \h </w:instrText>
            </w:r>
            <w:r w:rsidR="0057566D">
              <w:rPr>
                <w:noProof/>
                <w:webHidden/>
              </w:rPr>
            </w:r>
            <w:r w:rsidR="0057566D">
              <w:rPr>
                <w:noProof/>
                <w:webHidden/>
              </w:rPr>
              <w:fldChar w:fldCharType="separate"/>
            </w:r>
            <w:r w:rsidR="000C512A">
              <w:rPr>
                <w:noProof/>
                <w:webHidden/>
              </w:rPr>
              <w:t>4</w:t>
            </w:r>
            <w:r w:rsidR="0057566D">
              <w:rPr>
                <w:noProof/>
                <w:webHidden/>
              </w:rPr>
              <w:fldChar w:fldCharType="end"/>
            </w:r>
          </w:hyperlink>
        </w:p>
        <w:p w14:paraId="2CCCB37F" w14:textId="5345F552" w:rsidR="0057566D" w:rsidRDefault="000C512A">
          <w:pPr>
            <w:pStyle w:val="TOC1"/>
            <w:rPr>
              <w:rFonts w:eastAsiaTheme="minorEastAsia"/>
              <w:b w:val="0"/>
              <w:noProof/>
              <w:sz w:val="22"/>
              <w:szCs w:val="22"/>
              <w:lang w:eastAsia="en-AU"/>
            </w:rPr>
          </w:pPr>
          <w:hyperlink w:anchor="_Toc462755546" w:history="1">
            <w:r w:rsidR="0057566D" w:rsidRPr="0070798E">
              <w:rPr>
                <w:rStyle w:val="Hyperlink"/>
                <w:noProof/>
              </w:rPr>
              <w:t>List of acronyms</w:t>
            </w:r>
            <w:r w:rsidR="0057566D">
              <w:rPr>
                <w:noProof/>
                <w:webHidden/>
              </w:rPr>
              <w:tab/>
            </w:r>
            <w:r w:rsidR="0057566D">
              <w:rPr>
                <w:noProof/>
                <w:webHidden/>
              </w:rPr>
              <w:fldChar w:fldCharType="begin"/>
            </w:r>
            <w:r w:rsidR="0057566D">
              <w:rPr>
                <w:noProof/>
                <w:webHidden/>
              </w:rPr>
              <w:instrText xml:space="preserve"> PAGEREF _Toc462755546 \h </w:instrText>
            </w:r>
            <w:r w:rsidR="0057566D">
              <w:rPr>
                <w:noProof/>
                <w:webHidden/>
              </w:rPr>
            </w:r>
            <w:r w:rsidR="0057566D">
              <w:rPr>
                <w:noProof/>
                <w:webHidden/>
              </w:rPr>
              <w:fldChar w:fldCharType="separate"/>
            </w:r>
            <w:r>
              <w:rPr>
                <w:noProof/>
                <w:webHidden/>
              </w:rPr>
              <w:t>5</w:t>
            </w:r>
            <w:r w:rsidR="0057566D">
              <w:rPr>
                <w:noProof/>
                <w:webHidden/>
              </w:rPr>
              <w:fldChar w:fldCharType="end"/>
            </w:r>
          </w:hyperlink>
        </w:p>
        <w:p w14:paraId="440ED771" w14:textId="03CAE932" w:rsidR="0057566D" w:rsidRDefault="000C512A">
          <w:pPr>
            <w:pStyle w:val="TOC1"/>
            <w:rPr>
              <w:rFonts w:eastAsiaTheme="minorEastAsia"/>
              <w:b w:val="0"/>
              <w:noProof/>
              <w:sz w:val="22"/>
              <w:szCs w:val="22"/>
              <w:lang w:eastAsia="en-AU"/>
            </w:rPr>
          </w:pPr>
          <w:hyperlink w:anchor="_Toc462755547" w:history="1">
            <w:r w:rsidR="0057566D" w:rsidRPr="0070798E">
              <w:rPr>
                <w:rStyle w:val="Hyperlink"/>
                <w:noProof/>
              </w:rPr>
              <w:t>Executive summary</w:t>
            </w:r>
            <w:r w:rsidR="0057566D">
              <w:rPr>
                <w:noProof/>
                <w:webHidden/>
              </w:rPr>
              <w:tab/>
            </w:r>
            <w:r w:rsidR="0057566D">
              <w:rPr>
                <w:noProof/>
                <w:webHidden/>
              </w:rPr>
              <w:fldChar w:fldCharType="begin"/>
            </w:r>
            <w:r w:rsidR="0057566D">
              <w:rPr>
                <w:noProof/>
                <w:webHidden/>
              </w:rPr>
              <w:instrText xml:space="preserve"> PAGEREF _Toc462755547 \h </w:instrText>
            </w:r>
            <w:r w:rsidR="0057566D">
              <w:rPr>
                <w:noProof/>
                <w:webHidden/>
              </w:rPr>
            </w:r>
            <w:r w:rsidR="0057566D">
              <w:rPr>
                <w:noProof/>
                <w:webHidden/>
              </w:rPr>
              <w:fldChar w:fldCharType="separate"/>
            </w:r>
            <w:r>
              <w:rPr>
                <w:noProof/>
                <w:webHidden/>
              </w:rPr>
              <w:t>7</w:t>
            </w:r>
            <w:r w:rsidR="0057566D">
              <w:rPr>
                <w:noProof/>
                <w:webHidden/>
              </w:rPr>
              <w:fldChar w:fldCharType="end"/>
            </w:r>
          </w:hyperlink>
        </w:p>
        <w:p w14:paraId="086BEEC2" w14:textId="0FA9E82B" w:rsidR="0057566D" w:rsidRDefault="000C512A">
          <w:pPr>
            <w:pStyle w:val="TOC1"/>
            <w:tabs>
              <w:tab w:val="left" w:pos="420"/>
            </w:tabs>
            <w:rPr>
              <w:rFonts w:eastAsiaTheme="minorEastAsia"/>
              <w:b w:val="0"/>
              <w:noProof/>
              <w:sz w:val="22"/>
              <w:szCs w:val="22"/>
              <w:lang w:eastAsia="en-AU"/>
            </w:rPr>
          </w:pPr>
          <w:hyperlink w:anchor="_Toc462755548" w:history="1">
            <w:r w:rsidR="0057566D" w:rsidRPr="0070798E">
              <w:rPr>
                <w:rStyle w:val="Hyperlink"/>
                <w:noProof/>
              </w:rPr>
              <w:t>1.</w:t>
            </w:r>
            <w:r w:rsidR="0057566D">
              <w:rPr>
                <w:rFonts w:eastAsiaTheme="minorEastAsia"/>
                <w:b w:val="0"/>
                <w:noProof/>
                <w:sz w:val="22"/>
                <w:szCs w:val="22"/>
                <w:lang w:eastAsia="en-AU"/>
              </w:rPr>
              <w:tab/>
            </w:r>
            <w:r w:rsidR="0057566D" w:rsidRPr="0070798E">
              <w:rPr>
                <w:rStyle w:val="Hyperlink"/>
                <w:noProof/>
              </w:rPr>
              <w:t>Background</w:t>
            </w:r>
            <w:r w:rsidR="0057566D">
              <w:rPr>
                <w:noProof/>
                <w:webHidden/>
              </w:rPr>
              <w:tab/>
            </w:r>
            <w:r w:rsidR="0057566D">
              <w:rPr>
                <w:noProof/>
                <w:webHidden/>
              </w:rPr>
              <w:fldChar w:fldCharType="begin"/>
            </w:r>
            <w:r w:rsidR="0057566D">
              <w:rPr>
                <w:noProof/>
                <w:webHidden/>
              </w:rPr>
              <w:instrText xml:space="preserve"> PAGEREF _Toc462755548 \h </w:instrText>
            </w:r>
            <w:r w:rsidR="0057566D">
              <w:rPr>
                <w:noProof/>
                <w:webHidden/>
              </w:rPr>
            </w:r>
            <w:r w:rsidR="0057566D">
              <w:rPr>
                <w:noProof/>
                <w:webHidden/>
              </w:rPr>
              <w:fldChar w:fldCharType="separate"/>
            </w:r>
            <w:r>
              <w:rPr>
                <w:noProof/>
                <w:webHidden/>
              </w:rPr>
              <w:t>13</w:t>
            </w:r>
            <w:r w:rsidR="0057566D">
              <w:rPr>
                <w:noProof/>
                <w:webHidden/>
              </w:rPr>
              <w:fldChar w:fldCharType="end"/>
            </w:r>
          </w:hyperlink>
        </w:p>
        <w:p w14:paraId="2FB340C0" w14:textId="1D99A51A" w:rsidR="0057566D" w:rsidRDefault="000C512A">
          <w:pPr>
            <w:pStyle w:val="TOC2"/>
            <w:rPr>
              <w:rFonts w:eastAsiaTheme="minorEastAsia"/>
              <w:noProof/>
              <w:sz w:val="22"/>
              <w:szCs w:val="22"/>
              <w:lang w:eastAsia="en-AU"/>
            </w:rPr>
          </w:pPr>
          <w:hyperlink w:anchor="_Toc462755549" w:history="1">
            <w:r w:rsidR="0057566D" w:rsidRPr="0070798E">
              <w:rPr>
                <w:rStyle w:val="Hyperlink"/>
                <w:noProof/>
              </w:rPr>
              <w:t>1.1 Purpose of review</w:t>
            </w:r>
            <w:r w:rsidR="0057566D">
              <w:rPr>
                <w:noProof/>
                <w:webHidden/>
              </w:rPr>
              <w:tab/>
            </w:r>
            <w:r w:rsidR="0057566D">
              <w:rPr>
                <w:noProof/>
                <w:webHidden/>
              </w:rPr>
              <w:fldChar w:fldCharType="begin"/>
            </w:r>
            <w:r w:rsidR="0057566D">
              <w:rPr>
                <w:noProof/>
                <w:webHidden/>
              </w:rPr>
              <w:instrText xml:space="preserve"> PAGEREF _Toc462755549 \h </w:instrText>
            </w:r>
            <w:r w:rsidR="0057566D">
              <w:rPr>
                <w:noProof/>
                <w:webHidden/>
              </w:rPr>
            </w:r>
            <w:r w:rsidR="0057566D">
              <w:rPr>
                <w:noProof/>
                <w:webHidden/>
              </w:rPr>
              <w:fldChar w:fldCharType="separate"/>
            </w:r>
            <w:r>
              <w:rPr>
                <w:noProof/>
                <w:webHidden/>
              </w:rPr>
              <w:t>13</w:t>
            </w:r>
            <w:r w:rsidR="0057566D">
              <w:rPr>
                <w:noProof/>
                <w:webHidden/>
              </w:rPr>
              <w:fldChar w:fldCharType="end"/>
            </w:r>
          </w:hyperlink>
        </w:p>
        <w:p w14:paraId="0AC7C90A" w14:textId="2EED2C64" w:rsidR="0057566D" w:rsidRDefault="000C512A">
          <w:pPr>
            <w:pStyle w:val="TOC2"/>
            <w:rPr>
              <w:rFonts w:eastAsiaTheme="minorEastAsia"/>
              <w:noProof/>
              <w:sz w:val="22"/>
              <w:szCs w:val="22"/>
              <w:lang w:eastAsia="en-AU"/>
            </w:rPr>
          </w:pPr>
          <w:hyperlink w:anchor="_Toc462755550" w:history="1">
            <w:r w:rsidR="0057566D" w:rsidRPr="0070798E">
              <w:rPr>
                <w:rStyle w:val="Hyperlink"/>
                <w:noProof/>
              </w:rPr>
              <w:t>1.2 Terminology</w:t>
            </w:r>
            <w:r w:rsidR="0057566D">
              <w:rPr>
                <w:noProof/>
                <w:webHidden/>
              </w:rPr>
              <w:tab/>
            </w:r>
            <w:r w:rsidR="0057566D">
              <w:rPr>
                <w:noProof/>
                <w:webHidden/>
              </w:rPr>
              <w:fldChar w:fldCharType="begin"/>
            </w:r>
            <w:r w:rsidR="0057566D">
              <w:rPr>
                <w:noProof/>
                <w:webHidden/>
              </w:rPr>
              <w:instrText xml:space="preserve"> PAGEREF _Toc462755550 \h </w:instrText>
            </w:r>
            <w:r w:rsidR="0057566D">
              <w:rPr>
                <w:noProof/>
                <w:webHidden/>
              </w:rPr>
            </w:r>
            <w:r w:rsidR="0057566D">
              <w:rPr>
                <w:noProof/>
                <w:webHidden/>
              </w:rPr>
              <w:fldChar w:fldCharType="separate"/>
            </w:r>
            <w:r>
              <w:rPr>
                <w:noProof/>
                <w:webHidden/>
              </w:rPr>
              <w:t>13</w:t>
            </w:r>
            <w:r w:rsidR="0057566D">
              <w:rPr>
                <w:noProof/>
                <w:webHidden/>
              </w:rPr>
              <w:fldChar w:fldCharType="end"/>
            </w:r>
          </w:hyperlink>
        </w:p>
        <w:p w14:paraId="2D783C75" w14:textId="57CAB9C8" w:rsidR="0057566D" w:rsidRDefault="000C512A">
          <w:pPr>
            <w:pStyle w:val="TOC2"/>
            <w:rPr>
              <w:rFonts w:eastAsiaTheme="minorEastAsia"/>
              <w:noProof/>
              <w:sz w:val="22"/>
              <w:szCs w:val="22"/>
              <w:lang w:eastAsia="en-AU"/>
            </w:rPr>
          </w:pPr>
          <w:hyperlink w:anchor="_Toc462755551" w:history="1">
            <w:r w:rsidR="0057566D" w:rsidRPr="0070798E">
              <w:rPr>
                <w:rStyle w:val="Hyperlink"/>
                <w:noProof/>
              </w:rPr>
              <w:t>1.3 The PRQS model</w:t>
            </w:r>
            <w:r w:rsidR="0057566D">
              <w:rPr>
                <w:noProof/>
                <w:webHidden/>
              </w:rPr>
              <w:tab/>
            </w:r>
            <w:r w:rsidR="0057566D">
              <w:rPr>
                <w:noProof/>
                <w:webHidden/>
              </w:rPr>
              <w:fldChar w:fldCharType="begin"/>
            </w:r>
            <w:r w:rsidR="0057566D">
              <w:rPr>
                <w:noProof/>
                <w:webHidden/>
              </w:rPr>
              <w:instrText xml:space="preserve"> PAGEREF _Toc462755551 \h </w:instrText>
            </w:r>
            <w:r w:rsidR="0057566D">
              <w:rPr>
                <w:noProof/>
                <w:webHidden/>
              </w:rPr>
            </w:r>
            <w:r w:rsidR="0057566D">
              <w:rPr>
                <w:noProof/>
                <w:webHidden/>
              </w:rPr>
              <w:fldChar w:fldCharType="separate"/>
            </w:r>
            <w:r>
              <w:rPr>
                <w:noProof/>
                <w:webHidden/>
              </w:rPr>
              <w:t>14</w:t>
            </w:r>
            <w:r w:rsidR="0057566D">
              <w:rPr>
                <w:noProof/>
                <w:webHidden/>
              </w:rPr>
              <w:fldChar w:fldCharType="end"/>
            </w:r>
          </w:hyperlink>
        </w:p>
        <w:p w14:paraId="78B41457" w14:textId="744428AF" w:rsidR="0057566D" w:rsidRDefault="000C512A">
          <w:pPr>
            <w:pStyle w:val="TOC2"/>
            <w:rPr>
              <w:rFonts w:eastAsiaTheme="minorEastAsia"/>
              <w:noProof/>
              <w:sz w:val="22"/>
              <w:szCs w:val="22"/>
              <w:lang w:eastAsia="en-AU"/>
            </w:rPr>
          </w:pPr>
          <w:hyperlink w:anchor="_Toc462755552" w:history="1">
            <w:r w:rsidR="0057566D" w:rsidRPr="0070798E">
              <w:rPr>
                <w:rStyle w:val="Hyperlink"/>
                <w:noProof/>
              </w:rPr>
              <w:t>1.4 International and regional context</w:t>
            </w:r>
            <w:r w:rsidR="0057566D">
              <w:rPr>
                <w:noProof/>
                <w:webHidden/>
              </w:rPr>
              <w:tab/>
            </w:r>
            <w:r w:rsidR="0057566D">
              <w:rPr>
                <w:noProof/>
                <w:webHidden/>
              </w:rPr>
              <w:fldChar w:fldCharType="begin"/>
            </w:r>
            <w:r w:rsidR="0057566D">
              <w:rPr>
                <w:noProof/>
                <w:webHidden/>
              </w:rPr>
              <w:instrText xml:space="preserve"> PAGEREF _Toc462755552 \h </w:instrText>
            </w:r>
            <w:r w:rsidR="0057566D">
              <w:rPr>
                <w:noProof/>
                <w:webHidden/>
              </w:rPr>
            </w:r>
            <w:r w:rsidR="0057566D">
              <w:rPr>
                <w:noProof/>
                <w:webHidden/>
              </w:rPr>
              <w:fldChar w:fldCharType="separate"/>
            </w:r>
            <w:r>
              <w:rPr>
                <w:noProof/>
                <w:webHidden/>
              </w:rPr>
              <w:t>15</w:t>
            </w:r>
            <w:r w:rsidR="0057566D">
              <w:rPr>
                <w:noProof/>
                <w:webHidden/>
              </w:rPr>
              <w:fldChar w:fldCharType="end"/>
            </w:r>
          </w:hyperlink>
        </w:p>
        <w:p w14:paraId="2F7D4485" w14:textId="3F223313" w:rsidR="0057566D" w:rsidRDefault="000C512A">
          <w:pPr>
            <w:pStyle w:val="TOC1"/>
            <w:tabs>
              <w:tab w:val="left" w:pos="420"/>
            </w:tabs>
            <w:rPr>
              <w:rFonts w:eastAsiaTheme="minorEastAsia"/>
              <w:b w:val="0"/>
              <w:noProof/>
              <w:sz w:val="22"/>
              <w:szCs w:val="22"/>
              <w:lang w:eastAsia="en-AU"/>
            </w:rPr>
          </w:pPr>
          <w:hyperlink w:anchor="_Toc462755553" w:history="1">
            <w:r w:rsidR="0057566D" w:rsidRPr="0070798E">
              <w:rPr>
                <w:rStyle w:val="Hyperlink"/>
                <w:noProof/>
              </w:rPr>
              <w:t>2.</w:t>
            </w:r>
            <w:r w:rsidR="0057566D">
              <w:rPr>
                <w:rFonts w:eastAsiaTheme="minorEastAsia"/>
                <w:b w:val="0"/>
                <w:noProof/>
                <w:sz w:val="22"/>
                <w:szCs w:val="22"/>
                <w:lang w:eastAsia="en-AU"/>
              </w:rPr>
              <w:tab/>
            </w:r>
            <w:r w:rsidR="0057566D" w:rsidRPr="0070798E">
              <w:rPr>
                <w:rStyle w:val="Hyperlink"/>
                <w:noProof/>
              </w:rPr>
              <w:t>Findings and analyses</w:t>
            </w:r>
            <w:r w:rsidR="0057566D">
              <w:rPr>
                <w:noProof/>
                <w:webHidden/>
              </w:rPr>
              <w:tab/>
            </w:r>
            <w:r w:rsidR="0057566D">
              <w:rPr>
                <w:noProof/>
                <w:webHidden/>
              </w:rPr>
              <w:fldChar w:fldCharType="begin"/>
            </w:r>
            <w:r w:rsidR="0057566D">
              <w:rPr>
                <w:noProof/>
                <w:webHidden/>
              </w:rPr>
              <w:instrText xml:space="preserve"> PAGEREF _Toc462755553 \h </w:instrText>
            </w:r>
            <w:r w:rsidR="0057566D">
              <w:rPr>
                <w:noProof/>
                <w:webHidden/>
              </w:rPr>
            </w:r>
            <w:r w:rsidR="0057566D">
              <w:rPr>
                <w:noProof/>
                <w:webHidden/>
              </w:rPr>
              <w:fldChar w:fldCharType="separate"/>
            </w:r>
            <w:r>
              <w:rPr>
                <w:noProof/>
                <w:webHidden/>
              </w:rPr>
              <w:t>18</w:t>
            </w:r>
            <w:r w:rsidR="0057566D">
              <w:rPr>
                <w:noProof/>
                <w:webHidden/>
              </w:rPr>
              <w:fldChar w:fldCharType="end"/>
            </w:r>
          </w:hyperlink>
        </w:p>
        <w:p w14:paraId="73BA5FFB" w14:textId="20519C26" w:rsidR="0057566D" w:rsidRDefault="000C512A">
          <w:pPr>
            <w:pStyle w:val="TOC2"/>
            <w:rPr>
              <w:rFonts w:eastAsiaTheme="minorEastAsia"/>
              <w:noProof/>
              <w:sz w:val="22"/>
              <w:szCs w:val="22"/>
              <w:lang w:eastAsia="en-AU"/>
            </w:rPr>
          </w:pPr>
          <w:hyperlink w:anchor="_Toc462755554" w:history="1">
            <w:r w:rsidR="0057566D" w:rsidRPr="0070798E">
              <w:rPr>
                <w:rStyle w:val="Hyperlink"/>
                <w:noProof/>
              </w:rPr>
              <w:t>2.1 Governance and remit of the PRQS</w:t>
            </w:r>
            <w:r w:rsidR="0057566D">
              <w:rPr>
                <w:noProof/>
                <w:webHidden/>
              </w:rPr>
              <w:tab/>
            </w:r>
            <w:r w:rsidR="0057566D">
              <w:rPr>
                <w:noProof/>
                <w:webHidden/>
              </w:rPr>
              <w:fldChar w:fldCharType="begin"/>
            </w:r>
            <w:r w:rsidR="0057566D">
              <w:rPr>
                <w:noProof/>
                <w:webHidden/>
              </w:rPr>
              <w:instrText xml:space="preserve"> PAGEREF _Toc462755554 \h </w:instrText>
            </w:r>
            <w:r w:rsidR="0057566D">
              <w:rPr>
                <w:noProof/>
                <w:webHidden/>
              </w:rPr>
            </w:r>
            <w:r w:rsidR="0057566D">
              <w:rPr>
                <w:noProof/>
                <w:webHidden/>
              </w:rPr>
              <w:fldChar w:fldCharType="separate"/>
            </w:r>
            <w:r>
              <w:rPr>
                <w:noProof/>
                <w:webHidden/>
              </w:rPr>
              <w:t>18</w:t>
            </w:r>
            <w:r w:rsidR="0057566D">
              <w:rPr>
                <w:noProof/>
                <w:webHidden/>
              </w:rPr>
              <w:fldChar w:fldCharType="end"/>
            </w:r>
          </w:hyperlink>
        </w:p>
        <w:p w14:paraId="50010CD4" w14:textId="3395DFB4" w:rsidR="0057566D" w:rsidRDefault="000C512A">
          <w:pPr>
            <w:pStyle w:val="TOC2"/>
            <w:rPr>
              <w:rFonts w:eastAsiaTheme="minorEastAsia"/>
              <w:noProof/>
              <w:sz w:val="22"/>
              <w:szCs w:val="22"/>
              <w:lang w:eastAsia="en-AU"/>
            </w:rPr>
          </w:pPr>
          <w:hyperlink w:anchor="_Toc462755555" w:history="1">
            <w:r w:rsidR="0057566D" w:rsidRPr="0070798E">
              <w:rPr>
                <w:rStyle w:val="Hyperlink"/>
                <w:noProof/>
              </w:rPr>
              <w:t>2.2 PRQS model and quality assurance</w:t>
            </w:r>
            <w:r w:rsidR="0057566D">
              <w:rPr>
                <w:noProof/>
                <w:webHidden/>
              </w:rPr>
              <w:tab/>
            </w:r>
            <w:r w:rsidR="0057566D">
              <w:rPr>
                <w:noProof/>
                <w:webHidden/>
              </w:rPr>
              <w:fldChar w:fldCharType="begin"/>
            </w:r>
            <w:r w:rsidR="0057566D">
              <w:rPr>
                <w:noProof/>
                <w:webHidden/>
              </w:rPr>
              <w:instrText xml:space="preserve"> PAGEREF _Toc462755555 \h </w:instrText>
            </w:r>
            <w:r w:rsidR="0057566D">
              <w:rPr>
                <w:noProof/>
                <w:webHidden/>
              </w:rPr>
            </w:r>
            <w:r w:rsidR="0057566D">
              <w:rPr>
                <w:noProof/>
                <w:webHidden/>
              </w:rPr>
              <w:fldChar w:fldCharType="separate"/>
            </w:r>
            <w:r>
              <w:rPr>
                <w:noProof/>
                <w:webHidden/>
              </w:rPr>
              <w:t>19</w:t>
            </w:r>
            <w:r w:rsidR="0057566D">
              <w:rPr>
                <w:noProof/>
                <w:webHidden/>
              </w:rPr>
              <w:fldChar w:fldCharType="end"/>
            </w:r>
          </w:hyperlink>
        </w:p>
        <w:p w14:paraId="53560964" w14:textId="6831727C" w:rsidR="0057566D" w:rsidRDefault="000C512A">
          <w:pPr>
            <w:pStyle w:val="TOC2"/>
            <w:rPr>
              <w:rFonts w:eastAsiaTheme="minorEastAsia"/>
              <w:noProof/>
              <w:sz w:val="22"/>
              <w:szCs w:val="22"/>
              <w:lang w:eastAsia="en-AU"/>
            </w:rPr>
          </w:pPr>
          <w:hyperlink w:anchor="_Toc462755556" w:history="1">
            <w:r w:rsidR="0057566D" w:rsidRPr="0070798E">
              <w:rPr>
                <w:rStyle w:val="Hyperlink"/>
                <w:noProof/>
              </w:rPr>
              <w:t>2.3 Implementation of the PRQS</w:t>
            </w:r>
            <w:r w:rsidR="0057566D">
              <w:rPr>
                <w:noProof/>
                <w:webHidden/>
              </w:rPr>
              <w:tab/>
            </w:r>
            <w:r w:rsidR="0057566D">
              <w:rPr>
                <w:noProof/>
                <w:webHidden/>
              </w:rPr>
              <w:fldChar w:fldCharType="begin"/>
            </w:r>
            <w:r w:rsidR="0057566D">
              <w:rPr>
                <w:noProof/>
                <w:webHidden/>
              </w:rPr>
              <w:instrText xml:space="preserve"> PAGEREF _Toc462755556 \h </w:instrText>
            </w:r>
            <w:r w:rsidR="0057566D">
              <w:rPr>
                <w:noProof/>
                <w:webHidden/>
              </w:rPr>
            </w:r>
            <w:r w:rsidR="0057566D">
              <w:rPr>
                <w:noProof/>
                <w:webHidden/>
              </w:rPr>
              <w:fldChar w:fldCharType="separate"/>
            </w:r>
            <w:r>
              <w:rPr>
                <w:noProof/>
                <w:webHidden/>
              </w:rPr>
              <w:t>21</w:t>
            </w:r>
            <w:r w:rsidR="0057566D">
              <w:rPr>
                <w:noProof/>
                <w:webHidden/>
              </w:rPr>
              <w:fldChar w:fldCharType="end"/>
            </w:r>
          </w:hyperlink>
        </w:p>
        <w:p w14:paraId="26B31C25" w14:textId="0073F0EA" w:rsidR="0057566D" w:rsidRDefault="000C512A">
          <w:pPr>
            <w:pStyle w:val="TOC2"/>
            <w:rPr>
              <w:rFonts w:eastAsiaTheme="minorEastAsia"/>
              <w:noProof/>
              <w:sz w:val="22"/>
              <w:szCs w:val="22"/>
              <w:lang w:eastAsia="en-AU"/>
            </w:rPr>
          </w:pPr>
          <w:hyperlink w:anchor="_Toc462755557" w:history="1">
            <w:r w:rsidR="0057566D" w:rsidRPr="0070798E">
              <w:rPr>
                <w:rStyle w:val="Hyperlink"/>
                <w:noProof/>
              </w:rPr>
              <w:t>2.4 Focus of PRQS activity</w:t>
            </w:r>
            <w:r w:rsidR="0057566D">
              <w:rPr>
                <w:noProof/>
                <w:webHidden/>
              </w:rPr>
              <w:tab/>
            </w:r>
            <w:r w:rsidR="0057566D">
              <w:rPr>
                <w:noProof/>
                <w:webHidden/>
              </w:rPr>
              <w:fldChar w:fldCharType="begin"/>
            </w:r>
            <w:r w:rsidR="0057566D">
              <w:rPr>
                <w:noProof/>
                <w:webHidden/>
              </w:rPr>
              <w:instrText xml:space="preserve"> PAGEREF _Toc462755557 \h </w:instrText>
            </w:r>
            <w:r w:rsidR="0057566D">
              <w:rPr>
                <w:noProof/>
                <w:webHidden/>
              </w:rPr>
            </w:r>
            <w:r w:rsidR="0057566D">
              <w:rPr>
                <w:noProof/>
                <w:webHidden/>
              </w:rPr>
              <w:fldChar w:fldCharType="separate"/>
            </w:r>
            <w:r>
              <w:rPr>
                <w:noProof/>
                <w:webHidden/>
              </w:rPr>
              <w:t>25</w:t>
            </w:r>
            <w:r w:rsidR="0057566D">
              <w:rPr>
                <w:noProof/>
                <w:webHidden/>
              </w:rPr>
              <w:fldChar w:fldCharType="end"/>
            </w:r>
          </w:hyperlink>
        </w:p>
        <w:p w14:paraId="404B709D" w14:textId="141F9DDD" w:rsidR="0057566D" w:rsidRDefault="000C512A">
          <w:pPr>
            <w:pStyle w:val="TOC2"/>
            <w:rPr>
              <w:rFonts w:eastAsiaTheme="minorEastAsia"/>
              <w:noProof/>
              <w:sz w:val="22"/>
              <w:szCs w:val="22"/>
              <w:lang w:eastAsia="en-AU"/>
            </w:rPr>
          </w:pPr>
          <w:hyperlink w:anchor="_Toc462755558" w:history="1">
            <w:r w:rsidR="0057566D" w:rsidRPr="0070798E">
              <w:rPr>
                <w:rStyle w:val="Hyperlink"/>
                <w:noProof/>
              </w:rPr>
              <w:t>2.5 Ownership and engagement of stakeholders</w:t>
            </w:r>
            <w:r w:rsidR="0057566D">
              <w:rPr>
                <w:noProof/>
                <w:webHidden/>
              </w:rPr>
              <w:tab/>
            </w:r>
            <w:r w:rsidR="0057566D">
              <w:rPr>
                <w:noProof/>
                <w:webHidden/>
              </w:rPr>
              <w:fldChar w:fldCharType="begin"/>
            </w:r>
            <w:r w:rsidR="0057566D">
              <w:rPr>
                <w:noProof/>
                <w:webHidden/>
              </w:rPr>
              <w:instrText xml:space="preserve"> PAGEREF _Toc462755558 \h </w:instrText>
            </w:r>
            <w:r w:rsidR="0057566D">
              <w:rPr>
                <w:noProof/>
                <w:webHidden/>
              </w:rPr>
            </w:r>
            <w:r w:rsidR="0057566D">
              <w:rPr>
                <w:noProof/>
                <w:webHidden/>
              </w:rPr>
              <w:fldChar w:fldCharType="separate"/>
            </w:r>
            <w:r>
              <w:rPr>
                <w:noProof/>
                <w:webHidden/>
              </w:rPr>
              <w:t>26</w:t>
            </w:r>
            <w:r w:rsidR="0057566D">
              <w:rPr>
                <w:noProof/>
                <w:webHidden/>
              </w:rPr>
              <w:fldChar w:fldCharType="end"/>
            </w:r>
          </w:hyperlink>
        </w:p>
        <w:p w14:paraId="292C0137" w14:textId="0FA4301A" w:rsidR="0057566D" w:rsidRDefault="000C512A">
          <w:pPr>
            <w:pStyle w:val="TOC2"/>
            <w:rPr>
              <w:rFonts w:eastAsiaTheme="minorEastAsia"/>
              <w:noProof/>
              <w:sz w:val="22"/>
              <w:szCs w:val="22"/>
              <w:lang w:eastAsia="en-AU"/>
            </w:rPr>
          </w:pPr>
          <w:hyperlink w:anchor="_Toc462755559" w:history="1">
            <w:r w:rsidR="0057566D" w:rsidRPr="0070798E">
              <w:rPr>
                <w:rStyle w:val="Hyperlink"/>
                <w:noProof/>
              </w:rPr>
              <w:t>2.6 Trust and common understanding</w:t>
            </w:r>
            <w:r w:rsidR="0057566D">
              <w:rPr>
                <w:noProof/>
                <w:webHidden/>
              </w:rPr>
              <w:tab/>
            </w:r>
            <w:r w:rsidR="0057566D">
              <w:rPr>
                <w:noProof/>
                <w:webHidden/>
              </w:rPr>
              <w:fldChar w:fldCharType="begin"/>
            </w:r>
            <w:r w:rsidR="0057566D">
              <w:rPr>
                <w:noProof/>
                <w:webHidden/>
              </w:rPr>
              <w:instrText xml:space="preserve"> PAGEREF _Toc462755559 \h </w:instrText>
            </w:r>
            <w:r w:rsidR="0057566D">
              <w:rPr>
                <w:noProof/>
                <w:webHidden/>
              </w:rPr>
            </w:r>
            <w:r w:rsidR="0057566D">
              <w:rPr>
                <w:noProof/>
                <w:webHidden/>
              </w:rPr>
              <w:fldChar w:fldCharType="separate"/>
            </w:r>
            <w:r>
              <w:rPr>
                <w:noProof/>
                <w:webHidden/>
              </w:rPr>
              <w:t>26</w:t>
            </w:r>
            <w:r w:rsidR="0057566D">
              <w:rPr>
                <w:noProof/>
                <w:webHidden/>
              </w:rPr>
              <w:fldChar w:fldCharType="end"/>
            </w:r>
          </w:hyperlink>
        </w:p>
        <w:p w14:paraId="18376E14" w14:textId="3443ECE0" w:rsidR="0057566D" w:rsidRDefault="000C512A">
          <w:pPr>
            <w:pStyle w:val="TOC2"/>
            <w:rPr>
              <w:rFonts w:eastAsiaTheme="minorEastAsia"/>
              <w:noProof/>
              <w:sz w:val="22"/>
              <w:szCs w:val="22"/>
              <w:lang w:eastAsia="en-AU"/>
            </w:rPr>
          </w:pPr>
          <w:hyperlink w:anchor="_Toc462755560" w:history="1">
            <w:r w:rsidR="0057566D" w:rsidRPr="0070798E">
              <w:rPr>
                <w:rStyle w:val="Hyperlink"/>
                <w:noProof/>
              </w:rPr>
              <w:t>2.7 Mechanisms to support recognition of qualifications</w:t>
            </w:r>
            <w:r w:rsidR="0057566D">
              <w:rPr>
                <w:noProof/>
                <w:webHidden/>
              </w:rPr>
              <w:tab/>
            </w:r>
            <w:r w:rsidR="0057566D">
              <w:rPr>
                <w:noProof/>
                <w:webHidden/>
              </w:rPr>
              <w:fldChar w:fldCharType="begin"/>
            </w:r>
            <w:r w:rsidR="0057566D">
              <w:rPr>
                <w:noProof/>
                <w:webHidden/>
              </w:rPr>
              <w:instrText xml:space="preserve"> PAGEREF _Toc462755560 \h </w:instrText>
            </w:r>
            <w:r w:rsidR="0057566D">
              <w:rPr>
                <w:noProof/>
                <w:webHidden/>
              </w:rPr>
            </w:r>
            <w:r w:rsidR="0057566D">
              <w:rPr>
                <w:noProof/>
                <w:webHidden/>
              </w:rPr>
              <w:fldChar w:fldCharType="separate"/>
            </w:r>
            <w:r>
              <w:rPr>
                <w:noProof/>
                <w:webHidden/>
              </w:rPr>
              <w:t>28</w:t>
            </w:r>
            <w:r w:rsidR="0057566D">
              <w:rPr>
                <w:noProof/>
                <w:webHidden/>
              </w:rPr>
              <w:fldChar w:fldCharType="end"/>
            </w:r>
          </w:hyperlink>
        </w:p>
        <w:p w14:paraId="2186B99A" w14:textId="205BC68D" w:rsidR="0057566D" w:rsidRDefault="000C512A">
          <w:pPr>
            <w:pStyle w:val="TOC2"/>
            <w:rPr>
              <w:rFonts w:eastAsiaTheme="minorEastAsia"/>
              <w:noProof/>
              <w:sz w:val="22"/>
              <w:szCs w:val="22"/>
              <w:lang w:eastAsia="en-AU"/>
            </w:rPr>
          </w:pPr>
          <w:hyperlink w:anchor="_Toc462755561" w:history="1">
            <w:r w:rsidR="0057566D" w:rsidRPr="0070798E">
              <w:rPr>
                <w:rStyle w:val="Hyperlink"/>
                <w:noProof/>
              </w:rPr>
              <w:t>2.8 Sustainability</w:t>
            </w:r>
            <w:r w:rsidR="0057566D">
              <w:rPr>
                <w:noProof/>
                <w:webHidden/>
              </w:rPr>
              <w:tab/>
            </w:r>
            <w:r w:rsidR="0057566D">
              <w:rPr>
                <w:noProof/>
                <w:webHidden/>
              </w:rPr>
              <w:fldChar w:fldCharType="begin"/>
            </w:r>
            <w:r w:rsidR="0057566D">
              <w:rPr>
                <w:noProof/>
                <w:webHidden/>
              </w:rPr>
              <w:instrText xml:space="preserve"> PAGEREF _Toc462755561 \h </w:instrText>
            </w:r>
            <w:r w:rsidR="0057566D">
              <w:rPr>
                <w:noProof/>
                <w:webHidden/>
              </w:rPr>
            </w:r>
            <w:r w:rsidR="0057566D">
              <w:rPr>
                <w:noProof/>
                <w:webHidden/>
              </w:rPr>
              <w:fldChar w:fldCharType="separate"/>
            </w:r>
            <w:r>
              <w:rPr>
                <w:noProof/>
                <w:webHidden/>
              </w:rPr>
              <w:t>30</w:t>
            </w:r>
            <w:r w:rsidR="0057566D">
              <w:rPr>
                <w:noProof/>
                <w:webHidden/>
              </w:rPr>
              <w:fldChar w:fldCharType="end"/>
            </w:r>
          </w:hyperlink>
        </w:p>
        <w:p w14:paraId="488B1599" w14:textId="64282505" w:rsidR="0057566D" w:rsidRDefault="000C512A">
          <w:pPr>
            <w:pStyle w:val="TOC1"/>
            <w:tabs>
              <w:tab w:val="left" w:pos="420"/>
            </w:tabs>
            <w:rPr>
              <w:rFonts w:eastAsiaTheme="minorEastAsia"/>
              <w:b w:val="0"/>
              <w:noProof/>
              <w:sz w:val="22"/>
              <w:szCs w:val="22"/>
              <w:lang w:eastAsia="en-AU"/>
            </w:rPr>
          </w:pPr>
          <w:hyperlink w:anchor="_Toc462755562" w:history="1">
            <w:r w:rsidR="0057566D" w:rsidRPr="0070798E">
              <w:rPr>
                <w:rStyle w:val="Hyperlink"/>
                <w:noProof/>
              </w:rPr>
              <w:t>3.</w:t>
            </w:r>
            <w:r w:rsidR="0057566D">
              <w:rPr>
                <w:rFonts w:eastAsiaTheme="minorEastAsia"/>
                <w:b w:val="0"/>
                <w:noProof/>
                <w:sz w:val="22"/>
                <w:szCs w:val="22"/>
                <w:lang w:eastAsia="en-AU"/>
              </w:rPr>
              <w:tab/>
            </w:r>
            <w:r w:rsidR="0057566D" w:rsidRPr="0070798E">
              <w:rPr>
                <w:rStyle w:val="Hyperlink"/>
                <w:noProof/>
              </w:rPr>
              <w:t>Conclusion, recommendations and proposed model</w:t>
            </w:r>
            <w:r w:rsidR="0057566D">
              <w:rPr>
                <w:noProof/>
                <w:webHidden/>
              </w:rPr>
              <w:tab/>
            </w:r>
            <w:r w:rsidR="0057566D">
              <w:rPr>
                <w:noProof/>
                <w:webHidden/>
              </w:rPr>
              <w:fldChar w:fldCharType="begin"/>
            </w:r>
            <w:r w:rsidR="0057566D">
              <w:rPr>
                <w:noProof/>
                <w:webHidden/>
              </w:rPr>
              <w:instrText xml:space="preserve"> PAGEREF _Toc462755562 \h </w:instrText>
            </w:r>
            <w:r w:rsidR="0057566D">
              <w:rPr>
                <w:noProof/>
                <w:webHidden/>
              </w:rPr>
            </w:r>
            <w:r w:rsidR="0057566D">
              <w:rPr>
                <w:noProof/>
                <w:webHidden/>
              </w:rPr>
              <w:fldChar w:fldCharType="separate"/>
            </w:r>
            <w:r>
              <w:rPr>
                <w:noProof/>
                <w:webHidden/>
              </w:rPr>
              <w:t>32</w:t>
            </w:r>
            <w:r w:rsidR="0057566D">
              <w:rPr>
                <w:noProof/>
                <w:webHidden/>
              </w:rPr>
              <w:fldChar w:fldCharType="end"/>
            </w:r>
          </w:hyperlink>
        </w:p>
        <w:p w14:paraId="1AC86175" w14:textId="56159B87" w:rsidR="0057566D" w:rsidRDefault="000C512A">
          <w:pPr>
            <w:pStyle w:val="TOC2"/>
            <w:rPr>
              <w:rFonts w:eastAsiaTheme="minorEastAsia"/>
              <w:noProof/>
              <w:sz w:val="22"/>
              <w:szCs w:val="22"/>
              <w:lang w:eastAsia="en-AU"/>
            </w:rPr>
          </w:pPr>
          <w:hyperlink w:anchor="_Toc462755563" w:history="1">
            <w:r w:rsidR="0057566D" w:rsidRPr="0070798E">
              <w:rPr>
                <w:rStyle w:val="Hyperlink"/>
                <w:noProof/>
              </w:rPr>
              <w:t>3.1 Need for a Pacific model that is trusted and valued</w:t>
            </w:r>
            <w:r w:rsidR="0057566D">
              <w:rPr>
                <w:noProof/>
                <w:webHidden/>
              </w:rPr>
              <w:tab/>
            </w:r>
            <w:r w:rsidR="0057566D">
              <w:rPr>
                <w:noProof/>
                <w:webHidden/>
              </w:rPr>
              <w:fldChar w:fldCharType="begin"/>
            </w:r>
            <w:r w:rsidR="0057566D">
              <w:rPr>
                <w:noProof/>
                <w:webHidden/>
              </w:rPr>
              <w:instrText xml:space="preserve"> PAGEREF _Toc462755563 \h </w:instrText>
            </w:r>
            <w:r w:rsidR="0057566D">
              <w:rPr>
                <w:noProof/>
                <w:webHidden/>
              </w:rPr>
            </w:r>
            <w:r w:rsidR="0057566D">
              <w:rPr>
                <w:noProof/>
                <w:webHidden/>
              </w:rPr>
              <w:fldChar w:fldCharType="separate"/>
            </w:r>
            <w:r>
              <w:rPr>
                <w:noProof/>
                <w:webHidden/>
              </w:rPr>
              <w:t>32</w:t>
            </w:r>
            <w:r w:rsidR="0057566D">
              <w:rPr>
                <w:noProof/>
                <w:webHidden/>
              </w:rPr>
              <w:fldChar w:fldCharType="end"/>
            </w:r>
          </w:hyperlink>
        </w:p>
        <w:p w14:paraId="144F74F0" w14:textId="128FF8BD" w:rsidR="0057566D" w:rsidRDefault="000C512A">
          <w:pPr>
            <w:pStyle w:val="TOC2"/>
            <w:rPr>
              <w:rFonts w:eastAsiaTheme="minorEastAsia"/>
              <w:noProof/>
              <w:sz w:val="22"/>
              <w:szCs w:val="22"/>
              <w:lang w:eastAsia="en-AU"/>
            </w:rPr>
          </w:pPr>
          <w:hyperlink w:anchor="_Toc462755564" w:history="1">
            <w:r w:rsidR="0057566D" w:rsidRPr="0070798E">
              <w:rPr>
                <w:rStyle w:val="Hyperlink"/>
                <w:noProof/>
              </w:rPr>
              <w:t>3.2 Proposed model</w:t>
            </w:r>
            <w:r w:rsidR="0057566D">
              <w:rPr>
                <w:noProof/>
                <w:webHidden/>
              </w:rPr>
              <w:tab/>
            </w:r>
            <w:r w:rsidR="0057566D">
              <w:rPr>
                <w:noProof/>
                <w:webHidden/>
              </w:rPr>
              <w:fldChar w:fldCharType="begin"/>
            </w:r>
            <w:r w:rsidR="0057566D">
              <w:rPr>
                <w:noProof/>
                <w:webHidden/>
              </w:rPr>
              <w:instrText xml:space="preserve"> PAGEREF _Toc462755564 \h </w:instrText>
            </w:r>
            <w:r w:rsidR="0057566D">
              <w:rPr>
                <w:noProof/>
                <w:webHidden/>
              </w:rPr>
            </w:r>
            <w:r w:rsidR="0057566D">
              <w:rPr>
                <w:noProof/>
                <w:webHidden/>
              </w:rPr>
              <w:fldChar w:fldCharType="separate"/>
            </w:r>
            <w:r>
              <w:rPr>
                <w:noProof/>
                <w:webHidden/>
              </w:rPr>
              <w:t>33</w:t>
            </w:r>
            <w:r w:rsidR="0057566D">
              <w:rPr>
                <w:noProof/>
                <w:webHidden/>
              </w:rPr>
              <w:fldChar w:fldCharType="end"/>
            </w:r>
          </w:hyperlink>
        </w:p>
        <w:p w14:paraId="4745CDD7" w14:textId="73894732" w:rsidR="0057566D" w:rsidRDefault="000C512A">
          <w:pPr>
            <w:pStyle w:val="TOC2"/>
            <w:rPr>
              <w:rFonts w:eastAsiaTheme="minorEastAsia"/>
              <w:noProof/>
              <w:sz w:val="22"/>
              <w:szCs w:val="22"/>
              <w:lang w:eastAsia="en-AU"/>
            </w:rPr>
          </w:pPr>
          <w:hyperlink w:anchor="_Toc462755565" w:history="1">
            <w:r w:rsidR="0057566D" w:rsidRPr="0070798E">
              <w:rPr>
                <w:rStyle w:val="Hyperlink"/>
                <w:noProof/>
              </w:rPr>
              <w:t>3.3 Pre-conditions to the model</w:t>
            </w:r>
            <w:r w:rsidR="0057566D">
              <w:rPr>
                <w:noProof/>
                <w:webHidden/>
              </w:rPr>
              <w:tab/>
            </w:r>
            <w:r w:rsidR="0057566D">
              <w:rPr>
                <w:noProof/>
                <w:webHidden/>
              </w:rPr>
              <w:fldChar w:fldCharType="begin"/>
            </w:r>
            <w:r w:rsidR="0057566D">
              <w:rPr>
                <w:noProof/>
                <w:webHidden/>
              </w:rPr>
              <w:instrText xml:space="preserve"> PAGEREF _Toc462755565 \h </w:instrText>
            </w:r>
            <w:r w:rsidR="0057566D">
              <w:rPr>
                <w:noProof/>
                <w:webHidden/>
              </w:rPr>
            </w:r>
            <w:r w:rsidR="0057566D">
              <w:rPr>
                <w:noProof/>
                <w:webHidden/>
              </w:rPr>
              <w:fldChar w:fldCharType="separate"/>
            </w:r>
            <w:r>
              <w:rPr>
                <w:noProof/>
                <w:webHidden/>
              </w:rPr>
              <w:t>34</w:t>
            </w:r>
            <w:r w:rsidR="0057566D">
              <w:rPr>
                <w:noProof/>
                <w:webHidden/>
              </w:rPr>
              <w:fldChar w:fldCharType="end"/>
            </w:r>
          </w:hyperlink>
        </w:p>
        <w:p w14:paraId="5BF682DA" w14:textId="052F7001" w:rsidR="0057566D" w:rsidRDefault="000C512A">
          <w:pPr>
            <w:pStyle w:val="TOC2"/>
            <w:rPr>
              <w:rFonts w:eastAsiaTheme="minorEastAsia"/>
              <w:noProof/>
              <w:sz w:val="22"/>
              <w:szCs w:val="22"/>
              <w:lang w:eastAsia="en-AU"/>
            </w:rPr>
          </w:pPr>
          <w:hyperlink w:anchor="_Toc462755566" w:history="1">
            <w:r w:rsidR="0057566D" w:rsidRPr="0070798E">
              <w:rPr>
                <w:rStyle w:val="Hyperlink"/>
                <w:noProof/>
              </w:rPr>
              <w:t>3.4 Support to the model</w:t>
            </w:r>
            <w:r w:rsidR="0057566D">
              <w:rPr>
                <w:noProof/>
                <w:webHidden/>
              </w:rPr>
              <w:tab/>
            </w:r>
            <w:r w:rsidR="0057566D">
              <w:rPr>
                <w:noProof/>
                <w:webHidden/>
              </w:rPr>
              <w:fldChar w:fldCharType="begin"/>
            </w:r>
            <w:r w:rsidR="0057566D">
              <w:rPr>
                <w:noProof/>
                <w:webHidden/>
              </w:rPr>
              <w:instrText xml:space="preserve"> PAGEREF _Toc462755566 \h </w:instrText>
            </w:r>
            <w:r w:rsidR="0057566D">
              <w:rPr>
                <w:noProof/>
                <w:webHidden/>
              </w:rPr>
            </w:r>
            <w:r w:rsidR="0057566D">
              <w:rPr>
                <w:noProof/>
                <w:webHidden/>
              </w:rPr>
              <w:fldChar w:fldCharType="separate"/>
            </w:r>
            <w:r>
              <w:rPr>
                <w:noProof/>
                <w:webHidden/>
              </w:rPr>
              <w:t>36</w:t>
            </w:r>
            <w:r w:rsidR="0057566D">
              <w:rPr>
                <w:noProof/>
                <w:webHidden/>
              </w:rPr>
              <w:fldChar w:fldCharType="end"/>
            </w:r>
          </w:hyperlink>
        </w:p>
        <w:p w14:paraId="1B06C58E" w14:textId="7D8CDF54" w:rsidR="0057566D" w:rsidRDefault="000C512A">
          <w:pPr>
            <w:pStyle w:val="TOC2"/>
            <w:rPr>
              <w:rFonts w:eastAsiaTheme="minorEastAsia"/>
              <w:noProof/>
              <w:sz w:val="22"/>
              <w:szCs w:val="22"/>
              <w:lang w:eastAsia="en-AU"/>
            </w:rPr>
          </w:pPr>
          <w:hyperlink w:anchor="_Toc462755567" w:history="1">
            <w:r w:rsidR="0057566D" w:rsidRPr="0070798E">
              <w:rPr>
                <w:rStyle w:val="Hyperlink"/>
                <w:noProof/>
              </w:rPr>
              <w:t>3.5 Funding and sustainability</w:t>
            </w:r>
            <w:r w:rsidR="0057566D">
              <w:rPr>
                <w:noProof/>
                <w:webHidden/>
              </w:rPr>
              <w:tab/>
            </w:r>
            <w:r w:rsidR="0057566D">
              <w:rPr>
                <w:noProof/>
                <w:webHidden/>
              </w:rPr>
              <w:fldChar w:fldCharType="begin"/>
            </w:r>
            <w:r w:rsidR="0057566D">
              <w:rPr>
                <w:noProof/>
                <w:webHidden/>
              </w:rPr>
              <w:instrText xml:space="preserve"> PAGEREF _Toc462755567 \h </w:instrText>
            </w:r>
            <w:r w:rsidR="0057566D">
              <w:rPr>
                <w:noProof/>
                <w:webHidden/>
              </w:rPr>
            </w:r>
            <w:r w:rsidR="0057566D">
              <w:rPr>
                <w:noProof/>
                <w:webHidden/>
              </w:rPr>
              <w:fldChar w:fldCharType="separate"/>
            </w:r>
            <w:r>
              <w:rPr>
                <w:noProof/>
                <w:webHidden/>
              </w:rPr>
              <w:t>37</w:t>
            </w:r>
            <w:r w:rsidR="0057566D">
              <w:rPr>
                <w:noProof/>
                <w:webHidden/>
              </w:rPr>
              <w:fldChar w:fldCharType="end"/>
            </w:r>
          </w:hyperlink>
        </w:p>
        <w:p w14:paraId="6DD5A2B0" w14:textId="3374CAEC" w:rsidR="0057566D" w:rsidRDefault="000C512A">
          <w:pPr>
            <w:pStyle w:val="TOC2"/>
            <w:rPr>
              <w:rFonts w:eastAsiaTheme="minorEastAsia"/>
              <w:noProof/>
              <w:sz w:val="22"/>
              <w:szCs w:val="22"/>
              <w:lang w:eastAsia="en-AU"/>
            </w:rPr>
          </w:pPr>
          <w:hyperlink w:anchor="_Toc462755568" w:history="1">
            <w:r w:rsidR="0057566D" w:rsidRPr="0070798E">
              <w:rPr>
                <w:rStyle w:val="Hyperlink"/>
                <w:noProof/>
              </w:rPr>
              <w:t>3.6 Recommendations</w:t>
            </w:r>
            <w:r w:rsidR="0057566D">
              <w:rPr>
                <w:noProof/>
                <w:webHidden/>
              </w:rPr>
              <w:tab/>
            </w:r>
            <w:r w:rsidR="0057566D">
              <w:rPr>
                <w:noProof/>
                <w:webHidden/>
              </w:rPr>
              <w:fldChar w:fldCharType="begin"/>
            </w:r>
            <w:r w:rsidR="0057566D">
              <w:rPr>
                <w:noProof/>
                <w:webHidden/>
              </w:rPr>
              <w:instrText xml:space="preserve"> PAGEREF _Toc462755568 \h </w:instrText>
            </w:r>
            <w:r w:rsidR="0057566D">
              <w:rPr>
                <w:noProof/>
                <w:webHidden/>
              </w:rPr>
            </w:r>
            <w:r w:rsidR="0057566D">
              <w:rPr>
                <w:noProof/>
                <w:webHidden/>
              </w:rPr>
              <w:fldChar w:fldCharType="separate"/>
            </w:r>
            <w:r>
              <w:rPr>
                <w:noProof/>
                <w:webHidden/>
              </w:rPr>
              <w:t>38</w:t>
            </w:r>
            <w:r w:rsidR="0057566D">
              <w:rPr>
                <w:noProof/>
                <w:webHidden/>
              </w:rPr>
              <w:fldChar w:fldCharType="end"/>
            </w:r>
          </w:hyperlink>
        </w:p>
        <w:p w14:paraId="37CF2C6E" w14:textId="77246AE9" w:rsidR="0057566D" w:rsidRDefault="000C512A">
          <w:pPr>
            <w:pStyle w:val="TOC1"/>
            <w:rPr>
              <w:rFonts w:eastAsiaTheme="minorEastAsia"/>
              <w:b w:val="0"/>
              <w:noProof/>
              <w:sz w:val="22"/>
              <w:szCs w:val="22"/>
              <w:lang w:eastAsia="en-AU"/>
            </w:rPr>
          </w:pPr>
          <w:hyperlink w:anchor="_Toc462755569" w:history="1">
            <w:r w:rsidR="0057566D" w:rsidRPr="0070798E">
              <w:rPr>
                <w:rStyle w:val="Hyperlink"/>
                <w:noProof/>
              </w:rPr>
              <w:t>Appendix 1: Terms of Reference</w:t>
            </w:r>
            <w:r w:rsidR="0057566D">
              <w:rPr>
                <w:noProof/>
                <w:webHidden/>
              </w:rPr>
              <w:tab/>
            </w:r>
            <w:r w:rsidR="0057566D">
              <w:rPr>
                <w:noProof/>
                <w:webHidden/>
              </w:rPr>
              <w:fldChar w:fldCharType="begin"/>
            </w:r>
            <w:r w:rsidR="0057566D">
              <w:rPr>
                <w:noProof/>
                <w:webHidden/>
              </w:rPr>
              <w:instrText xml:space="preserve"> PAGEREF _Toc462755569 \h </w:instrText>
            </w:r>
            <w:r w:rsidR="0057566D">
              <w:rPr>
                <w:noProof/>
                <w:webHidden/>
              </w:rPr>
            </w:r>
            <w:r w:rsidR="0057566D">
              <w:rPr>
                <w:noProof/>
                <w:webHidden/>
              </w:rPr>
              <w:fldChar w:fldCharType="separate"/>
            </w:r>
            <w:r>
              <w:rPr>
                <w:noProof/>
                <w:webHidden/>
              </w:rPr>
              <w:t>40</w:t>
            </w:r>
            <w:r w:rsidR="0057566D">
              <w:rPr>
                <w:noProof/>
                <w:webHidden/>
              </w:rPr>
              <w:fldChar w:fldCharType="end"/>
            </w:r>
          </w:hyperlink>
        </w:p>
        <w:p w14:paraId="21E8406B" w14:textId="1BD73668" w:rsidR="0057566D" w:rsidRDefault="000C512A">
          <w:pPr>
            <w:pStyle w:val="TOC2"/>
            <w:rPr>
              <w:rFonts w:eastAsiaTheme="minorEastAsia"/>
              <w:noProof/>
              <w:sz w:val="22"/>
              <w:szCs w:val="22"/>
              <w:lang w:eastAsia="en-AU"/>
            </w:rPr>
          </w:pPr>
          <w:hyperlink w:anchor="_Toc462755570" w:history="1">
            <w:r w:rsidR="0057566D" w:rsidRPr="0070798E">
              <w:rPr>
                <w:rStyle w:val="Hyperlink"/>
                <w:noProof/>
              </w:rPr>
              <w:t>Key Evaluation Questions (KEQ)</w:t>
            </w:r>
            <w:r w:rsidR="0057566D">
              <w:rPr>
                <w:noProof/>
                <w:webHidden/>
              </w:rPr>
              <w:tab/>
            </w:r>
            <w:r w:rsidR="0057566D">
              <w:rPr>
                <w:noProof/>
                <w:webHidden/>
              </w:rPr>
              <w:fldChar w:fldCharType="begin"/>
            </w:r>
            <w:r w:rsidR="0057566D">
              <w:rPr>
                <w:noProof/>
                <w:webHidden/>
              </w:rPr>
              <w:instrText xml:space="preserve"> PAGEREF _Toc462755570 \h </w:instrText>
            </w:r>
            <w:r w:rsidR="0057566D">
              <w:rPr>
                <w:noProof/>
                <w:webHidden/>
              </w:rPr>
            </w:r>
            <w:r w:rsidR="0057566D">
              <w:rPr>
                <w:noProof/>
                <w:webHidden/>
              </w:rPr>
              <w:fldChar w:fldCharType="separate"/>
            </w:r>
            <w:r>
              <w:rPr>
                <w:noProof/>
                <w:webHidden/>
              </w:rPr>
              <w:t>40</w:t>
            </w:r>
            <w:r w:rsidR="0057566D">
              <w:rPr>
                <w:noProof/>
                <w:webHidden/>
              </w:rPr>
              <w:fldChar w:fldCharType="end"/>
            </w:r>
          </w:hyperlink>
        </w:p>
        <w:p w14:paraId="65FC1525" w14:textId="32B9A1BE" w:rsidR="0057566D" w:rsidRDefault="000C512A">
          <w:pPr>
            <w:pStyle w:val="TOC2"/>
            <w:rPr>
              <w:rFonts w:eastAsiaTheme="minorEastAsia"/>
              <w:noProof/>
              <w:sz w:val="22"/>
              <w:szCs w:val="22"/>
              <w:lang w:eastAsia="en-AU"/>
            </w:rPr>
          </w:pPr>
          <w:hyperlink w:anchor="_Toc462755571" w:history="1">
            <w:r w:rsidR="0057566D" w:rsidRPr="0070798E">
              <w:rPr>
                <w:rStyle w:val="Hyperlink"/>
                <w:noProof/>
              </w:rPr>
              <w:t>Additional Evaluation Questions</w:t>
            </w:r>
            <w:r w:rsidR="0057566D">
              <w:rPr>
                <w:noProof/>
                <w:webHidden/>
              </w:rPr>
              <w:tab/>
            </w:r>
            <w:r w:rsidR="0057566D">
              <w:rPr>
                <w:noProof/>
                <w:webHidden/>
              </w:rPr>
              <w:fldChar w:fldCharType="begin"/>
            </w:r>
            <w:r w:rsidR="0057566D">
              <w:rPr>
                <w:noProof/>
                <w:webHidden/>
              </w:rPr>
              <w:instrText xml:space="preserve"> PAGEREF _Toc462755571 \h </w:instrText>
            </w:r>
            <w:r w:rsidR="0057566D">
              <w:rPr>
                <w:noProof/>
                <w:webHidden/>
              </w:rPr>
            </w:r>
            <w:r w:rsidR="0057566D">
              <w:rPr>
                <w:noProof/>
                <w:webHidden/>
              </w:rPr>
              <w:fldChar w:fldCharType="separate"/>
            </w:r>
            <w:r>
              <w:rPr>
                <w:noProof/>
                <w:webHidden/>
              </w:rPr>
              <w:t>40</w:t>
            </w:r>
            <w:r w:rsidR="0057566D">
              <w:rPr>
                <w:noProof/>
                <w:webHidden/>
              </w:rPr>
              <w:fldChar w:fldCharType="end"/>
            </w:r>
          </w:hyperlink>
        </w:p>
        <w:p w14:paraId="12C42933" w14:textId="1608305A" w:rsidR="0057566D" w:rsidRDefault="000C512A">
          <w:pPr>
            <w:pStyle w:val="TOC2"/>
            <w:rPr>
              <w:rFonts w:eastAsiaTheme="minorEastAsia"/>
              <w:noProof/>
              <w:sz w:val="22"/>
              <w:szCs w:val="22"/>
              <w:lang w:eastAsia="en-AU"/>
            </w:rPr>
          </w:pPr>
          <w:hyperlink w:anchor="_Toc462755572" w:history="1">
            <w:r w:rsidR="0057566D" w:rsidRPr="0070798E">
              <w:rPr>
                <w:rStyle w:val="Hyperlink"/>
                <w:noProof/>
              </w:rPr>
              <w:t>Recommendations</w:t>
            </w:r>
            <w:r w:rsidR="0057566D">
              <w:rPr>
                <w:noProof/>
                <w:webHidden/>
              </w:rPr>
              <w:tab/>
            </w:r>
            <w:r w:rsidR="0057566D">
              <w:rPr>
                <w:noProof/>
                <w:webHidden/>
              </w:rPr>
              <w:fldChar w:fldCharType="begin"/>
            </w:r>
            <w:r w:rsidR="0057566D">
              <w:rPr>
                <w:noProof/>
                <w:webHidden/>
              </w:rPr>
              <w:instrText xml:space="preserve"> PAGEREF _Toc462755572 \h </w:instrText>
            </w:r>
            <w:r w:rsidR="0057566D">
              <w:rPr>
                <w:noProof/>
                <w:webHidden/>
              </w:rPr>
            </w:r>
            <w:r w:rsidR="0057566D">
              <w:rPr>
                <w:noProof/>
                <w:webHidden/>
              </w:rPr>
              <w:fldChar w:fldCharType="separate"/>
            </w:r>
            <w:r>
              <w:rPr>
                <w:noProof/>
                <w:webHidden/>
              </w:rPr>
              <w:t>41</w:t>
            </w:r>
            <w:r w:rsidR="0057566D">
              <w:rPr>
                <w:noProof/>
                <w:webHidden/>
              </w:rPr>
              <w:fldChar w:fldCharType="end"/>
            </w:r>
          </w:hyperlink>
        </w:p>
        <w:p w14:paraId="0A6D4D91" w14:textId="0290FBC0" w:rsidR="0057566D" w:rsidRDefault="000C512A">
          <w:pPr>
            <w:pStyle w:val="TOC1"/>
            <w:rPr>
              <w:rFonts w:eastAsiaTheme="minorEastAsia"/>
              <w:b w:val="0"/>
              <w:noProof/>
              <w:sz w:val="22"/>
              <w:szCs w:val="22"/>
              <w:lang w:eastAsia="en-AU"/>
            </w:rPr>
          </w:pPr>
          <w:hyperlink w:anchor="_Toc462755573" w:history="1">
            <w:r w:rsidR="0057566D" w:rsidRPr="0070798E">
              <w:rPr>
                <w:rStyle w:val="Hyperlink"/>
                <w:noProof/>
              </w:rPr>
              <w:t>Appendix 2: Methodology</w:t>
            </w:r>
            <w:r w:rsidR="0057566D">
              <w:rPr>
                <w:noProof/>
                <w:webHidden/>
              </w:rPr>
              <w:tab/>
            </w:r>
            <w:r w:rsidR="0057566D">
              <w:rPr>
                <w:noProof/>
                <w:webHidden/>
              </w:rPr>
              <w:fldChar w:fldCharType="begin"/>
            </w:r>
            <w:r w:rsidR="0057566D">
              <w:rPr>
                <w:noProof/>
                <w:webHidden/>
              </w:rPr>
              <w:instrText xml:space="preserve"> PAGEREF _Toc462755573 \h </w:instrText>
            </w:r>
            <w:r w:rsidR="0057566D">
              <w:rPr>
                <w:noProof/>
                <w:webHidden/>
              </w:rPr>
            </w:r>
            <w:r w:rsidR="0057566D">
              <w:rPr>
                <w:noProof/>
                <w:webHidden/>
              </w:rPr>
              <w:fldChar w:fldCharType="separate"/>
            </w:r>
            <w:r>
              <w:rPr>
                <w:noProof/>
                <w:webHidden/>
              </w:rPr>
              <w:t>42</w:t>
            </w:r>
            <w:r w:rsidR="0057566D">
              <w:rPr>
                <w:noProof/>
                <w:webHidden/>
              </w:rPr>
              <w:fldChar w:fldCharType="end"/>
            </w:r>
          </w:hyperlink>
        </w:p>
        <w:p w14:paraId="1E456475" w14:textId="7268F471" w:rsidR="0057566D" w:rsidRDefault="000C512A">
          <w:pPr>
            <w:pStyle w:val="TOC1"/>
            <w:rPr>
              <w:rFonts w:eastAsiaTheme="minorEastAsia"/>
              <w:b w:val="0"/>
              <w:noProof/>
              <w:sz w:val="22"/>
              <w:szCs w:val="22"/>
              <w:lang w:eastAsia="en-AU"/>
            </w:rPr>
          </w:pPr>
          <w:hyperlink w:anchor="_Toc462755574" w:history="1">
            <w:r w:rsidR="0057566D" w:rsidRPr="0070798E">
              <w:rPr>
                <w:rStyle w:val="Hyperlink"/>
                <w:noProof/>
              </w:rPr>
              <w:t>Appendix 3: Interviewees</w:t>
            </w:r>
            <w:r w:rsidR="0057566D">
              <w:rPr>
                <w:noProof/>
                <w:webHidden/>
              </w:rPr>
              <w:tab/>
            </w:r>
            <w:r w:rsidR="0057566D">
              <w:rPr>
                <w:noProof/>
                <w:webHidden/>
              </w:rPr>
              <w:fldChar w:fldCharType="begin"/>
            </w:r>
            <w:r w:rsidR="0057566D">
              <w:rPr>
                <w:noProof/>
                <w:webHidden/>
              </w:rPr>
              <w:instrText xml:space="preserve"> PAGEREF _Toc462755574 \h </w:instrText>
            </w:r>
            <w:r w:rsidR="0057566D">
              <w:rPr>
                <w:noProof/>
                <w:webHidden/>
              </w:rPr>
            </w:r>
            <w:r w:rsidR="0057566D">
              <w:rPr>
                <w:noProof/>
                <w:webHidden/>
              </w:rPr>
              <w:fldChar w:fldCharType="separate"/>
            </w:r>
            <w:r>
              <w:rPr>
                <w:noProof/>
                <w:webHidden/>
              </w:rPr>
              <w:t>43</w:t>
            </w:r>
            <w:r w:rsidR="0057566D">
              <w:rPr>
                <w:noProof/>
                <w:webHidden/>
              </w:rPr>
              <w:fldChar w:fldCharType="end"/>
            </w:r>
          </w:hyperlink>
        </w:p>
        <w:p w14:paraId="672B997E" w14:textId="40F0CDE6" w:rsidR="0057566D" w:rsidRDefault="000C512A">
          <w:pPr>
            <w:pStyle w:val="TOC1"/>
            <w:rPr>
              <w:rFonts w:eastAsiaTheme="minorEastAsia"/>
              <w:b w:val="0"/>
              <w:noProof/>
              <w:sz w:val="22"/>
              <w:szCs w:val="22"/>
              <w:lang w:eastAsia="en-AU"/>
            </w:rPr>
          </w:pPr>
          <w:hyperlink w:anchor="_Toc462755575" w:history="1">
            <w:r w:rsidR="0057566D" w:rsidRPr="0070798E">
              <w:rPr>
                <w:rStyle w:val="Hyperlink"/>
                <w:noProof/>
              </w:rPr>
              <w:t>Appendix 4: The PRQS model</w:t>
            </w:r>
            <w:r w:rsidR="0057566D">
              <w:rPr>
                <w:noProof/>
                <w:webHidden/>
              </w:rPr>
              <w:tab/>
            </w:r>
            <w:r w:rsidR="0057566D">
              <w:rPr>
                <w:noProof/>
                <w:webHidden/>
              </w:rPr>
              <w:fldChar w:fldCharType="begin"/>
            </w:r>
            <w:r w:rsidR="0057566D">
              <w:rPr>
                <w:noProof/>
                <w:webHidden/>
              </w:rPr>
              <w:instrText xml:space="preserve"> PAGEREF _Toc462755575 \h </w:instrText>
            </w:r>
            <w:r w:rsidR="0057566D">
              <w:rPr>
                <w:noProof/>
                <w:webHidden/>
              </w:rPr>
            </w:r>
            <w:r w:rsidR="0057566D">
              <w:rPr>
                <w:noProof/>
                <w:webHidden/>
              </w:rPr>
              <w:fldChar w:fldCharType="separate"/>
            </w:r>
            <w:r>
              <w:rPr>
                <w:noProof/>
                <w:webHidden/>
              </w:rPr>
              <w:t>46</w:t>
            </w:r>
            <w:r w:rsidR="0057566D">
              <w:rPr>
                <w:noProof/>
                <w:webHidden/>
              </w:rPr>
              <w:fldChar w:fldCharType="end"/>
            </w:r>
          </w:hyperlink>
        </w:p>
        <w:p w14:paraId="0EAC716F" w14:textId="372148DC" w:rsidR="0057566D" w:rsidRDefault="000C512A">
          <w:pPr>
            <w:pStyle w:val="TOC2"/>
            <w:rPr>
              <w:rFonts w:eastAsiaTheme="minorEastAsia"/>
              <w:noProof/>
              <w:sz w:val="22"/>
              <w:szCs w:val="22"/>
              <w:lang w:eastAsia="en-AU"/>
            </w:rPr>
          </w:pPr>
          <w:hyperlink w:anchor="_Toc462755576" w:history="1">
            <w:r w:rsidR="0057566D" w:rsidRPr="0070798E">
              <w:rPr>
                <w:rStyle w:val="Hyperlink"/>
                <w:noProof/>
              </w:rPr>
              <w:t>Purpose of the PRQS</w:t>
            </w:r>
            <w:r w:rsidR="0057566D">
              <w:rPr>
                <w:noProof/>
                <w:webHidden/>
              </w:rPr>
              <w:tab/>
            </w:r>
            <w:r w:rsidR="0057566D">
              <w:rPr>
                <w:noProof/>
                <w:webHidden/>
              </w:rPr>
              <w:fldChar w:fldCharType="begin"/>
            </w:r>
            <w:r w:rsidR="0057566D">
              <w:rPr>
                <w:noProof/>
                <w:webHidden/>
              </w:rPr>
              <w:instrText xml:space="preserve"> PAGEREF _Toc462755576 \h </w:instrText>
            </w:r>
            <w:r w:rsidR="0057566D">
              <w:rPr>
                <w:noProof/>
                <w:webHidden/>
              </w:rPr>
            </w:r>
            <w:r w:rsidR="0057566D">
              <w:rPr>
                <w:noProof/>
                <w:webHidden/>
              </w:rPr>
              <w:fldChar w:fldCharType="separate"/>
            </w:r>
            <w:r>
              <w:rPr>
                <w:noProof/>
                <w:webHidden/>
              </w:rPr>
              <w:t>46</w:t>
            </w:r>
            <w:r w:rsidR="0057566D">
              <w:rPr>
                <w:noProof/>
                <w:webHidden/>
              </w:rPr>
              <w:fldChar w:fldCharType="end"/>
            </w:r>
          </w:hyperlink>
        </w:p>
        <w:p w14:paraId="08887011" w14:textId="57642A72" w:rsidR="0057566D" w:rsidRDefault="000C512A">
          <w:pPr>
            <w:pStyle w:val="TOC2"/>
            <w:rPr>
              <w:rFonts w:eastAsiaTheme="minorEastAsia"/>
              <w:noProof/>
              <w:sz w:val="22"/>
              <w:szCs w:val="22"/>
              <w:lang w:eastAsia="en-AU"/>
            </w:rPr>
          </w:pPr>
          <w:hyperlink w:anchor="_Toc462755577" w:history="1">
            <w:r w:rsidR="0057566D" w:rsidRPr="0070798E">
              <w:rPr>
                <w:rStyle w:val="Hyperlink"/>
                <w:noProof/>
              </w:rPr>
              <w:t>History of the PRQS model</w:t>
            </w:r>
            <w:r w:rsidR="0057566D">
              <w:rPr>
                <w:noProof/>
                <w:webHidden/>
              </w:rPr>
              <w:tab/>
            </w:r>
            <w:r w:rsidR="0057566D">
              <w:rPr>
                <w:noProof/>
                <w:webHidden/>
              </w:rPr>
              <w:fldChar w:fldCharType="begin"/>
            </w:r>
            <w:r w:rsidR="0057566D">
              <w:rPr>
                <w:noProof/>
                <w:webHidden/>
              </w:rPr>
              <w:instrText xml:space="preserve"> PAGEREF _Toc462755577 \h </w:instrText>
            </w:r>
            <w:r w:rsidR="0057566D">
              <w:rPr>
                <w:noProof/>
                <w:webHidden/>
              </w:rPr>
            </w:r>
            <w:r w:rsidR="0057566D">
              <w:rPr>
                <w:noProof/>
                <w:webHidden/>
              </w:rPr>
              <w:fldChar w:fldCharType="separate"/>
            </w:r>
            <w:r>
              <w:rPr>
                <w:noProof/>
                <w:webHidden/>
              </w:rPr>
              <w:t>46</w:t>
            </w:r>
            <w:r w:rsidR="0057566D">
              <w:rPr>
                <w:noProof/>
                <w:webHidden/>
              </w:rPr>
              <w:fldChar w:fldCharType="end"/>
            </w:r>
          </w:hyperlink>
        </w:p>
        <w:p w14:paraId="753FED40" w14:textId="50D77117" w:rsidR="0057566D" w:rsidRDefault="000C512A">
          <w:pPr>
            <w:pStyle w:val="TOC2"/>
            <w:rPr>
              <w:rFonts w:eastAsiaTheme="minorEastAsia"/>
              <w:noProof/>
              <w:sz w:val="22"/>
              <w:szCs w:val="22"/>
              <w:lang w:eastAsia="en-AU"/>
            </w:rPr>
          </w:pPr>
          <w:hyperlink w:anchor="_Toc462755578" w:history="1">
            <w:r w:rsidR="0057566D" w:rsidRPr="0070798E">
              <w:rPr>
                <w:rStyle w:val="Hyperlink"/>
                <w:noProof/>
              </w:rPr>
              <w:t>PRQS model</w:t>
            </w:r>
            <w:r w:rsidR="0057566D">
              <w:rPr>
                <w:noProof/>
                <w:webHidden/>
              </w:rPr>
              <w:tab/>
            </w:r>
            <w:r w:rsidR="0057566D">
              <w:rPr>
                <w:noProof/>
                <w:webHidden/>
              </w:rPr>
              <w:fldChar w:fldCharType="begin"/>
            </w:r>
            <w:r w:rsidR="0057566D">
              <w:rPr>
                <w:noProof/>
                <w:webHidden/>
              </w:rPr>
              <w:instrText xml:space="preserve"> PAGEREF _Toc462755578 \h </w:instrText>
            </w:r>
            <w:r w:rsidR="0057566D">
              <w:rPr>
                <w:noProof/>
                <w:webHidden/>
              </w:rPr>
            </w:r>
            <w:r w:rsidR="0057566D">
              <w:rPr>
                <w:noProof/>
                <w:webHidden/>
              </w:rPr>
              <w:fldChar w:fldCharType="separate"/>
            </w:r>
            <w:r>
              <w:rPr>
                <w:noProof/>
                <w:webHidden/>
              </w:rPr>
              <w:t>47</w:t>
            </w:r>
            <w:r w:rsidR="0057566D">
              <w:rPr>
                <w:noProof/>
                <w:webHidden/>
              </w:rPr>
              <w:fldChar w:fldCharType="end"/>
            </w:r>
          </w:hyperlink>
        </w:p>
        <w:p w14:paraId="307DAF7B" w14:textId="327D9D98" w:rsidR="0057566D" w:rsidRDefault="000C512A">
          <w:pPr>
            <w:pStyle w:val="TOC2"/>
            <w:rPr>
              <w:rFonts w:eastAsiaTheme="minorEastAsia"/>
              <w:noProof/>
              <w:sz w:val="22"/>
              <w:szCs w:val="22"/>
              <w:lang w:eastAsia="en-AU"/>
            </w:rPr>
          </w:pPr>
          <w:hyperlink w:anchor="_Toc462755579" w:history="1">
            <w:r w:rsidR="0057566D" w:rsidRPr="0070798E">
              <w:rPr>
                <w:rStyle w:val="Hyperlink"/>
                <w:noProof/>
              </w:rPr>
              <w:t>Funding and staffing of the PRQS</w:t>
            </w:r>
            <w:r w:rsidR="0057566D">
              <w:rPr>
                <w:noProof/>
                <w:webHidden/>
              </w:rPr>
              <w:tab/>
            </w:r>
            <w:r w:rsidR="0057566D">
              <w:rPr>
                <w:noProof/>
                <w:webHidden/>
              </w:rPr>
              <w:fldChar w:fldCharType="begin"/>
            </w:r>
            <w:r w:rsidR="0057566D">
              <w:rPr>
                <w:noProof/>
                <w:webHidden/>
              </w:rPr>
              <w:instrText xml:space="preserve"> PAGEREF _Toc462755579 \h </w:instrText>
            </w:r>
            <w:r w:rsidR="0057566D">
              <w:rPr>
                <w:noProof/>
                <w:webHidden/>
              </w:rPr>
            </w:r>
            <w:r w:rsidR="0057566D">
              <w:rPr>
                <w:noProof/>
                <w:webHidden/>
              </w:rPr>
              <w:fldChar w:fldCharType="separate"/>
            </w:r>
            <w:r>
              <w:rPr>
                <w:noProof/>
                <w:webHidden/>
              </w:rPr>
              <w:t>48</w:t>
            </w:r>
            <w:r w:rsidR="0057566D">
              <w:rPr>
                <w:noProof/>
                <w:webHidden/>
              </w:rPr>
              <w:fldChar w:fldCharType="end"/>
            </w:r>
          </w:hyperlink>
        </w:p>
        <w:p w14:paraId="60C1C57E" w14:textId="454D54AC" w:rsidR="0057566D" w:rsidRDefault="000C512A">
          <w:pPr>
            <w:pStyle w:val="TOC2"/>
            <w:rPr>
              <w:rFonts w:eastAsiaTheme="minorEastAsia"/>
              <w:noProof/>
              <w:sz w:val="22"/>
              <w:szCs w:val="22"/>
              <w:lang w:eastAsia="en-AU"/>
            </w:rPr>
          </w:pPr>
          <w:hyperlink w:anchor="_Toc462755580" w:history="1">
            <w:r w:rsidR="0057566D" w:rsidRPr="0070798E">
              <w:rPr>
                <w:rStyle w:val="Hyperlink"/>
                <w:noProof/>
              </w:rPr>
              <w:t>Progress to date</w:t>
            </w:r>
            <w:r w:rsidR="0057566D">
              <w:rPr>
                <w:noProof/>
                <w:webHidden/>
              </w:rPr>
              <w:tab/>
            </w:r>
            <w:r w:rsidR="0057566D">
              <w:rPr>
                <w:noProof/>
                <w:webHidden/>
              </w:rPr>
              <w:fldChar w:fldCharType="begin"/>
            </w:r>
            <w:r w:rsidR="0057566D">
              <w:rPr>
                <w:noProof/>
                <w:webHidden/>
              </w:rPr>
              <w:instrText xml:space="preserve"> PAGEREF _Toc462755580 \h </w:instrText>
            </w:r>
            <w:r w:rsidR="0057566D">
              <w:rPr>
                <w:noProof/>
                <w:webHidden/>
              </w:rPr>
            </w:r>
            <w:r w:rsidR="0057566D">
              <w:rPr>
                <w:noProof/>
                <w:webHidden/>
              </w:rPr>
              <w:fldChar w:fldCharType="separate"/>
            </w:r>
            <w:r>
              <w:rPr>
                <w:noProof/>
                <w:webHidden/>
              </w:rPr>
              <w:t>50</w:t>
            </w:r>
            <w:r w:rsidR="0057566D">
              <w:rPr>
                <w:noProof/>
                <w:webHidden/>
              </w:rPr>
              <w:fldChar w:fldCharType="end"/>
            </w:r>
          </w:hyperlink>
        </w:p>
        <w:p w14:paraId="04C25B61" w14:textId="62348375" w:rsidR="0057566D" w:rsidRDefault="000C512A">
          <w:pPr>
            <w:pStyle w:val="TOC1"/>
            <w:rPr>
              <w:rFonts w:eastAsiaTheme="minorEastAsia"/>
              <w:b w:val="0"/>
              <w:noProof/>
              <w:sz w:val="22"/>
              <w:szCs w:val="22"/>
              <w:lang w:eastAsia="en-AU"/>
            </w:rPr>
          </w:pPr>
          <w:hyperlink w:anchor="_Toc462755581" w:history="1">
            <w:r w:rsidR="0057566D" w:rsidRPr="0070798E">
              <w:rPr>
                <w:rStyle w:val="Hyperlink"/>
                <w:noProof/>
              </w:rPr>
              <w:t>Appendix 5: International context</w:t>
            </w:r>
            <w:r w:rsidR="0057566D">
              <w:rPr>
                <w:noProof/>
                <w:webHidden/>
              </w:rPr>
              <w:tab/>
            </w:r>
            <w:r w:rsidR="0057566D">
              <w:rPr>
                <w:noProof/>
                <w:webHidden/>
              </w:rPr>
              <w:fldChar w:fldCharType="begin"/>
            </w:r>
            <w:r w:rsidR="0057566D">
              <w:rPr>
                <w:noProof/>
                <w:webHidden/>
              </w:rPr>
              <w:instrText xml:space="preserve"> PAGEREF _Toc462755581 \h </w:instrText>
            </w:r>
            <w:r w:rsidR="0057566D">
              <w:rPr>
                <w:noProof/>
                <w:webHidden/>
              </w:rPr>
            </w:r>
            <w:r w:rsidR="0057566D">
              <w:rPr>
                <w:noProof/>
                <w:webHidden/>
              </w:rPr>
              <w:fldChar w:fldCharType="separate"/>
            </w:r>
            <w:r>
              <w:rPr>
                <w:noProof/>
                <w:webHidden/>
              </w:rPr>
              <w:t>53</w:t>
            </w:r>
            <w:r w:rsidR="0057566D">
              <w:rPr>
                <w:noProof/>
                <w:webHidden/>
              </w:rPr>
              <w:fldChar w:fldCharType="end"/>
            </w:r>
          </w:hyperlink>
        </w:p>
        <w:p w14:paraId="2F383B3B" w14:textId="18DA4604" w:rsidR="0057566D" w:rsidRDefault="000C512A">
          <w:pPr>
            <w:pStyle w:val="TOC1"/>
            <w:rPr>
              <w:rFonts w:eastAsiaTheme="minorEastAsia"/>
              <w:b w:val="0"/>
              <w:noProof/>
              <w:sz w:val="22"/>
              <w:szCs w:val="22"/>
              <w:lang w:eastAsia="en-AU"/>
            </w:rPr>
          </w:pPr>
          <w:hyperlink w:anchor="_Toc462755582" w:history="1">
            <w:r w:rsidR="0057566D" w:rsidRPr="0070798E">
              <w:rPr>
                <w:rStyle w:val="Hyperlink"/>
                <w:noProof/>
              </w:rPr>
              <w:t>Appendix 6: Regional context</w:t>
            </w:r>
            <w:r w:rsidR="0057566D">
              <w:rPr>
                <w:noProof/>
                <w:webHidden/>
              </w:rPr>
              <w:tab/>
            </w:r>
            <w:r w:rsidR="0057566D">
              <w:rPr>
                <w:noProof/>
                <w:webHidden/>
              </w:rPr>
              <w:fldChar w:fldCharType="begin"/>
            </w:r>
            <w:r w:rsidR="0057566D">
              <w:rPr>
                <w:noProof/>
                <w:webHidden/>
              </w:rPr>
              <w:instrText xml:space="preserve"> PAGEREF _Toc462755582 \h </w:instrText>
            </w:r>
            <w:r w:rsidR="0057566D">
              <w:rPr>
                <w:noProof/>
                <w:webHidden/>
              </w:rPr>
            </w:r>
            <w:r w:rsidR="0057566D">
              <w:rPr>
                <w:noProof/>
                <w:webHidden/>
              </w:rPr>
              <w:fldChar w:fldCharType="separate"/>
            </w:r>
            <w:r>
              <w:rPr>
                <w:noProof/>
                <w:webHidden/>
              </w:rPr>
              <w:t>55</w:t>
            </w:r>
            <w:r w:rsidR="0057566D">
              <w:rPr>
                <w:noProof/>
                <w:webHidden/>
              </w:rPr>
              <w:fldChar w:fldCharType="end"/>
            </w:r>
          </w:hyperlink>
        </w:p>
        <w:p w14:paraId="1B45199B" w14:textId="4ECBA68F" w:rsidR="0057566D" w:rsidRDefault="000C512A">
          <w:pPr>
            <w:pStyle w:val="TOC1"/>
            <w:rPr>
              <w:rFonts w:eastAsiaTheme="minorEastAsia"/>
              <w:b w:val="0"/>
              <w:noProof/>
              <w:sz w:val="22"/>
              <w:szCs w:val="22"/>
              <w:lang w:eastAsia="en-AU"/>
            </w:rPr>
          </w:pPr>
          <w:hyperlink w:anchor="_Toc462755583" w:history="1">
            <w:r w:rsidR="0057566D" w:rsidRPr="0070798E">
              <w:rPr>
                <w:rStyle w:val="Hyperlink"/>
                <w:noProof/>
              </w:rPr>
              <w:t>Appendix 7: AQRF referencing criteria</w:t>
            </w:r>
            <w:r w:rsidR="0057566D">
              <w:rPr>
                <w:noProof/>
                <w:webHidden/>
              </w:rPr>
              <w:tab/>
            </w:r>
            <w:r w:rsidR="0057566D">
              <w:rPr>
                <w:noProof/>
                <w:webHidden/>
              </w:rPr>
              <w:fldChar w:fldCharType="begin"/>
            </w:r>
            <w:r w:rsidR="0057566D">
              <w:rPr>
                <w:noProof/>
                <w:webHidden/>
              </w:rPr>
              <w:instrText xml:space="preserve"> PAGEREF _Toc462755583 \h </w:instrText>
            </w:r>
            <w:r w:rsidR="0057566D">
              <w:rPr>
                <w:noProof/>
                <w:webHidden/>
              </w:rPr>
            </w:r>
            <w:r w:rsidR="0057566D">
              <w:rPr>
                <w:noProof/>
                <w:webHidden/>
              </w:rPr>
              <w:fldChar w:fldCharType="separate"/>
            </w:r>
            <w:r>
              <w:rPr>
                <w:noProof/>
                <w:webHidden/>
              </w:rPr>
              <w:t>64</w:t>
            </w:r>
            <w:r w:rsidR="0057566D">
              <w:rPr>
                <w:noProof/>
                <w:webHidden/>
              </w:rPr>
              <w:fldChar w:fldCharType="end"/>
            </w:r>
          </w:hyperlink>
        </w:p>
        <w:p w14:paraId="44F41A9D" w14:textId="1F48B04C" w:rsidR="0057566D" w:rsidRDefault="000C512A">
          <w:pPr>
            <w:pStyle w:val="TOC1"/>
            <w:rPr>
              <w:rFonts w:eastAsiaTheme="minorEastAsia"/>
              <w:b w:val="0"/>
              <w:noProof/>
              <w:sz w:val="22"/>
              <w:szCs w:val="22"/>
              <w:lang w:eastAsia="en-AU"/>
            </w:rPr>
          </w:pPr>
          <w:hyperlink w:anchor="_Toc462755584" w:history="1">
            <w:r w:rsidR="0057566D" w:rsidRPr="0070798E">
              <w:rPr>
                <w:rStyle w:val="Hyperlink"/>
                <w:noProof/>
              </w:rPr>
              <w:t>Appendix 8: Future model</w:t>
            </w:r>
            <w:r w:rsidR="0057566D">
              <w:rPr>
                <w:noProof/>
                <w:webHidden/>
              </w:rPr>
              <w:tab/>
            </w:r>
            <w:r w:rsidR="0057566D">
              <w:rPr>
                <w:noProof/>
                <w:webHidden/>
              </w:rPr>
              <w:fldChar w:fldCharType="begin"/>
            </w:r>
            <w:r w:rsidR="0057566D">
              <w:rPr>
                <w:noProof/>
                <w:webHidden/>
              </w:rPr>
              <w:instrText xml:space="preserve"> PAGEREF _Toc462755584 \h </w:instrText>
            </w:r>
            <w:r w:rsidR="0057566D">
              <w:rPr>
                <w:noProof/>
                <w:webHidden/>
              </w:rPr>
            </w:r>
            <w:r w:rsidR="0057566D">
              <w:rPr>
                <w:noProof/>
                <w:webHidden/>
              </w:rPr>
              <w:fldChar w:fldCharType="separate"/>
            </w:r>
            <w:r>
              <w:rPr>
                <w:noProof/>
                <w:webHidden/>
              </w:rPr>
              <w:t>65</w:t>
            </w:r>
            <w:r w:rsidR="0057566D">
              <w:rPr>
                <w:noProof/>
                <w:webHidden/>
              </w:rPr>
              <w:fldChar w:fldCharType="end"/>
            </w:r>
          </w:hyperlink>
        </w:p>
        <w:p w14:paraId="63ADC190" w14:textId="13618475" w:rsidR="0057566D" w:rsidRDefault="000C512A">
          <w:pPr>
            <w:pStyle w:val="TOC1"/>
            <w:rPr>
              <w:rFonts w:eastAsiaTheme="minorEastAsia"/>
              <w:b w:val="0"/>
              <w:noProof/>
              <w:sz w:val="22"/>
              <w:szCs w:val="22"/>
              <w:lang w:eastAsia="en-AU"/>
            </w:rPr>
          </w:pPr>
          <w:hyperlink w:anchor="_Toc462755585" w:history="1">
            <w:r w:rsidR="0057566D" w:rsidRPr="0070798E">
              <w:rPr>
                <w:rStyle w:val="Hyperlink"/>
                <w:noProof/>
              </w:rPr>
              <w:t>Appendix 9: Glossary</w:t>
            </w:r>
            <w:r w:rsidR="0057566D">
              <w:rPr>
                <w:noProof/>
                <w:webHidden/>
              </w:rPr>
              <w:tab/>
            </w:r>
            <w:r w:rsidR="0057566D">
              <w:rPr>
                <w:noProof/>
                <w:webHidden/>
              </w:rPr>
              <w:fldChar w:fldCharType="begin"/>
            </w:r>
            <w:r w:rsidR="0057566D">
              <w:rPr>
                <w:noProof/>
                <w:webHidden/>
              </w:rPr>
              <w:instrText xml:space="preserve"> PAGEREF _Toc462755585 \h </w:instrText>
            </w:r>
            <w:r w:rsidR="0057566D">
              <w:rPr>
                <w:noProof/>
                <w:webHidden/>
              </w:rPr>
            </w:r>
            <w:r w:rsidR="0057566D">
              <w:rPr>
                <w:noProof/>
                <w:webHidden/>
              </w:rPr>
              <w:fldChar w:fldCharType="separate"/>
            </w:r>
            <w:r>
              <w:rPr>
                <w:noProof/>
                <w:webHidden/>
              </w:rPr>
              <w:t>77</w:t>
            </w:r>
            <w:r w:rsidR="0057566D">
              <w:rPr>
                <w:noProof/>
                <w:webHidden/>
              </w:rPr>
              <w:fldChar w:fldCharType="end"/>
            </w:r>
          </w:hyperlink>
        </w:p>
        <w:p w14:paraId="1BE7AAEC" w14:textId="237047CE" w:rsidR="0057566D" w:rsidRDefault="000C512A">
          <w:pPr>
            <w:pStyle w:val="TOC1"/>
            <w:rPr>
              <w:rFonts w:eastAsiaTheme="minorEastAsia"/>
              <w:b w:val="0"/>
              <w:noProof/>
              <w:sz w:val="22"/>
              <w:szCs w:val="22"/>
              <w:lang w:eastAsia="en-AU"/>
            </w:rPr>
          </w:pPr>
          <w:hyperlink w:anchor="_Toc462755586" w:history="1">
            <w:r w:rsidR="0057566D" w:rsidRPr="0070798E">
              <w:rPr>
                <w:rStyle w:val="Hyperlink"/>
                <w:noProof/>
              </w:rPr>
              <w:t>References</w:t>
            </w:r>
            <w:r w:rsidR="0057566D">
              <w:rPr>
                <w:noProof/>
                <w:webHidden/>
              </w:rPr>
              <w:tab/>
            </w:r>
            <w:r w:rsidR="0057566D">
              <w:rPr>
                <w:noProof/>
                <w:webHidden/>
              </w:rPr>
              <w:fldChar w:fldCharType="begin"/>
            </w:r>
            <w:r w:rsidR="0057566D">
              <w:rPr>
                <w:noProof/>
                <w:webHidden/>
              </w:rPr>
              <w:instrText xml:space="preserve"> PAGEREF _Toc462755586 \h </w:instrText>
            </w:r>
            <w:r w:rsidR="0057566D">
              <w:rPr>
                <w:noProof/>
                <w:webHidden/>
              </w:rPr>
            </w:r>
            <w:r w:rsidR="0057566D">
              <w:rPr>
                <w:noProof/>
                <w:webHidden/>
              </w:rPr>
              <w:fldChar w:fldCharType="separate"/>
            </w:r>
            <w:r>
              <w:rPr>
                <w:noProof/>
                <w:webHidden/>
              </w:rPr>
              <w:t>79</w:t>
            </w:r>
            <w:r w:rsidR="0057566D">
              <w:rPr>
                <w:noProof/>
                <w:webHidden/>
              </w:rPr>
              <w:fldChar w:fldCharType="end"/>
            </w:r>
          </w:hyperlink>
        </w:p>
        <w:p w14:paraId="12E9740F" w14:textId="1D56F1EA" w:rsidR="00053789" w:rsidRDefault="00C967AF">
          <w:r>
            <w:rPr>
              <w:b/>
            </w:rPr>
            <w:fldChar w:fldCharType="end"/>
          </w:r>
        </w:p>
      </w:sdtContent>
    </w:sdt>
    <w:p w14:paraId="2D066BC5" w14:textId="3A2C55DA" w:rsidR="00B642C5" w:rsidRPr="00203571" w:rsidRDefault="00B642C5" w:rsidP="00203571">
      <w:r w:rsidRPr="007C6443">
        <w:rPr>
          <w:color w:val="95050F"/>
          <w:sz w:val="20"/>
          <w:szCs w:val="20"/>
        </w:rPr>
        <w:br w:type="page"/>
      </w:r>
    </w:p>
    <w:p w14:paraId="35196F8F" w14:textId="3AFF5194" w:rsidR="0095333B" w:rsidRDefault="00203571" w:rsidP="00203571">
      <w:pPr>
        <w:pStyle w:val="Heading1"/>
        <w:rPr>
          <w:color w:val="95050F"/>
        </w:rPr>
      </w:pPr>
      <w:bookmarkStart w:id="1" w:name="_Toc458938566"/>
      <w:bookmarkStart w:id="2" w:name="_Toc462755545"/>
      <w:bookmarkStart w:id="3" w:name="_Toc438152234"/>
      <w:bookmarkStart w:id="4" w:name="_Toc450811707"/>
      <w:r>
        <w:rPr>
          <w:color w:val="95050F"/>
        </w:rPr>
        <w:lastRenderedPageBreak/>
        <w:t>List</w:t>
      </w:r>
      <w:r w:rsidR="007008FB">
        <w:rPr>
          <w:color w:val="95050F"/>
        </w:rPr>
        <w:t>s</w:t>
      </w:r>
      <w:r>
        <w:rPr>
          <w:color w:val="95050F"/>
        </w:rPr>
        <w:t xml:space="preserve"> of tables and f</w:t>
      </w:r>
      <w:r w:rsidR="0095333B">
        <w:rPr>
          <w:color w:val="95050F"/>
        </w:rPr>
        <w:t>igures</w:t>
      </w:r>
      <w:bookmarkEnd w:id="1"/>
      <w:bookmarkEnd w:id="2"/>
    </w:p>
    <w:p w14:paraId="784FA894" w14:textId="77777777" w:rsidR="00E21B4D" w:rsidRDefault="00184286">
      <w:pPr>
        <w:pStyle w:val="TableofFigures"/>
        <w:tabs>
          <w:tab w:val="right" w:leader="dot" w:pos="9180"/>
        </w:tabs>
        <w:rPr>
          <w:b/>
          <w:color w:val="C00000"/>
          <w:sz w:val="22"/>
        </w:rPr>
      </w:pPr>
      <w:r w:rsidRPr="00184286">
        <w:rPr>
          <w:b/>
          <w:color w:val="C00000"/>
          <w:sz w:val="22"/>
        </w:rPr>
        <w:t>List of tables</w:t>
      </w:r>
    </w:p>
    <w:p w14:paraId="4F12816C" w14:textId="77507F88" w:rsidR="00871913" w:rsidRPr="00871913" w:rsidRDefault="00871913">
      <w:pPr>
        <w:pStyle w:val="TableofFigures"/>
        <w:tabs>
          <w:tab w:val="right" w:leader="dot" w:pos="9180"/>
        </w:tabs>
        <w:rPr>
          <w:rFonts w:eastAsiaTheme="minorEastAsia"/>
          <w:noProof/>
          <w:sz w:val="22"/>
          <w:szCs w:val="22"/>
          <w:lang w:eastAsia="en-AU"/>
        </w:rPr>
      </w:pPr>
      <w:r>
        <w:rPr>
          <w:b/>
        </w:rPr>
        <w:fldChar w:fldCharType="begin"/>
      </w:r>
      <w:r>
        <w:rPr>
          <w:b/>
        </w:rPr>
        <w:instrText xml:space="preserve"> TOC \h \z \c "Table" </w:instrText>
      </w:r>
      <w:r>
        <w:rPr>
          <w:b/>
        </w:rPr>
        <w:fldChar w:fldCharType="separate"/>
      </w:r>
      <w:hyperlink w:anchor="_Toc458892556" w:history="1">
        <w:r w:rsidRPr="00871913">
          <w:rPr>
            <w:rStyle w:val="Hyperlink"/>
            <w:noProof/>
          </w:rPr>
          <w:t>Table 1: Groupings of Pacific countries and territories</w:t>
        </w:r>
        <w:r w:rsidRPr="00871913">
          <w:rPr>
            <w:noProof/>
            <w:webHidden/>
          </w:rPr>
          <w:tab/>
        </w:r>
        <w:r w:rsidRPr="00871913">
          <w:rPr>
            <w:noProof/>
            <w:webHidden/>
          </w:rPr>
          <w:fldChar w:fldCharType="begin"/>
        </w:r>
        <w:r w:rsidRPr="00871913">
          <w:rPr>
            <w:noProof/>
            <w:webHidden/>
          </w:rPr>
          <w:instrText xml:space="preserve"> PAGEREF _Toc458892556 \h </w:instrText>
        </w:r>
        <w:r w:rsidRPr="00871913">
          <w:rPr>
            <w:noProof/>
            <w:webHidden/>
          </w:rPr>
        </w:r>
        <w:r w:rsidRPr="00871913">
          <w:rPr>
            <w:noProof/>
            <w:webHidden/>
          </w:rPr>
          <w:fldChar w:fldCharType="separate"/>
        </w:r>
        <w:r w:rsidR="000C512A">
          <w:rPr>
            <w:noProof/>
            <w:webHidden/>
          </w:rPr>
          <w:t>25</w:t>
        </w:r>
        <w:r w:rsidRPr="00871913">
          <w:rPr>
            <w:noProof/>
            <w:webHidden/>
          </w:rPr>
          <w:fldChar w:fldCharType="end"/>
        </w:r>
      </w:hyperlink>
    </w:p>
    <w:p w14:paraId="13FBE387" w14:textId="44540C71" w:rsidR="00871913" w:rsidRPr="00871913" w:rsidRDefault="000C512A">
      <w:pPr>
        <w:pStyle w:val="TableofFigures"/>
        <w:tabs>
          <w:tab w:val="right" w:leader="dot" w:pos="9180"/>
        </w:tabs>
        <w:rPr>
          <w:rFonts w:eastAsiaTheme="minorEastAsia"/>
          <w:noProof/>
          <w:sz w:val="22"/>
          <w:szCs w:val="22"/>
          <w:lang w:eastAsia="en-AU"/>
        </w:rPr>
      </w:pPr>
      <w:hyperlink w:anchor="_Toc458892557" w:history="1">
        <w:r w:rsidR="00871913" w:rsidRPr="00871913">
          <w:rPr>
            <w:rStyle w:val="Hyperlink"/>
            <w:noProof/>
          </w:rPr>
          <w:t>Table 2: PRQS budget</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_Toc458892557 \h </w:instrText>
        </w:r>
        <w:r w:rsidR="00871913" w:rsidRPr="00871913">
          <w:rPr>
            <w:noProof/>
            <w:webHidden/>
          </w:rPr>
        </w:r>
        <w:r w:rsidR="00871913" w:rsidRPr="00871913">
          <w:rPr>
            <w:noProof/>
            <w:webHidden/>
          </w:rPr>
          <w:fldChar w:fldCharType="separate"/>
        </w:r>
        <w:r>
          <w:rPr>
            <w:noProof/>
            <w:webHidden/>
          </w:rPr>
          <w:t>49</w:t>
        </w:r>
        <w:r w:rsidR="00871913" w:rsidRPr="00871913">
          <w:rPr>
            <w:noProof/>
            <w:webHidden/>
          </w:rPr>
          <w:fldChar w:fldCharType="end"/>
        </w:r>
      </w:hyperlink>
    </w:p>
    <w:p w14:paraId="41547CF9" w14:textId="061D00EE" w:rsidR="00871913" w:rsidRPr="00871913" w:rsidRDefault="000C512A">
      <w:pPr>
        <w:pStyle w:val="TableofFigures"/>
        <w:tabs>
          <w:tab w:val="right" w:leader="dot" w:pos="9180"/>
        </w:tabs>
        <w:rPr>
          <w:rFonts w:eastAsiaTheme="minorEastAsia"/>
          <w:noProof/>
          <w:sz w:val="22"/>
          <w:szCs w:val="22"/>
          <w:lang w:eastAsia="en-AU"/>
        </w:rPr>
      </w:pPr>
      <w:hyperlink w:anchor="_Toc458892558" w:history="1">
        <w:r w:rsidR="00871913" w:rsidRPr="00871913">
          <w:rPr>
            <w:rStyle w:val="Hyperlink"/>
            <w:noProof/>
          </w:rPr>
          <w:t>Table 3: PRQS qualifications entries</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_Toc458892558 \h </w:instrText>
        </w:r>
        <w:r w:rsidR="00871913" w:rsidRPr="00871913">
          <w:rPr>
            <w:noProof/>
            <w:webHidden/>
          </w:rPr>
        </w:r>
        <w:r w:rsidR="00871913" w:rsidRPr="00871913">
          <w:rPr>
            <w:noProof/>
            <w:webHidden/>
          </w:rPr>
          <w:fldChar w:fldCharType="separate"/>
        </w:r>
        <w:r>
          <w:rPr>
            <w:noProof/>
            <w:webHidden/>
          </w:rPr>
          <w:t>51</w:t>
        </w:r>
        <w:r w:rsidR="00871913" w:rsidRPr="00871913">
          <w:rPr>
            <w:noProof/>
            <w:webHidden/>
          </w:rPr>
          <w:fldChar w:fldCharType="end"/>
        </w:r>
      </w:hyperlink>
    </w:p>
    <w:p w14:paraId="614B2882" w14:textId="5D364A4D" w:rsidR="00871913" w:rsidRPr="00871913" w:rsidRDefault="000C512A">
      <w:pPr>
        <w:pStyle w:val="TableofFigures"/>
        <w:tabs>
          <w:tab w:val="right" w:leader="dot" w:pos="9180"/>
        </w:tabs>
        <w:rPr>
          <w:rFonts w:eastAsiaTheme="minorEastAsia"/>
          <w:noProof/>
          <w:sz w:val="22"/>
          <w:szCs w:val="22"/>
          <w:lang w:eastAsia="en-AU"/>
        </w:rPr>
      </w:pPr>
      <w:hyperlink w:anchor="_Toc458892559" w:history="1">
        <w:r w:rsidR="00871913" w:rsidRPr="00871913">
          <w:rPr>
            <w:rStyle w:val="Hyperlink"/>
            <w:noProof/>
          </w:rPr>
          <w:t>Table 4: PRQS qualifications by sector and level</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_Toc458892559 \h </w:instrText>
        </w:r>
        <w:r w:rsidR="00871913" w:rsidRPr="00871913">
          <w:rPr>
            <w:noProof/>
            <w:webHidden/>
          </w:rPr>
        </w:r>
        <w:r w:rsidR="00871913" w:rsidRPr="00871913">
          <w:rPr>
            <w:noProof/>
            <w:webHidden/>
          </w:rPr>
          <w:fldChar w:fldCharType="separate"/>
        </w:r>
        <w:r>
          <w:rPr>
            <w:noProof/>
            <w:webHidden/>
          </w:rPr>
          <w:t>51</w:t>
        </w:r>
        <w:r w:rsidR="00871913" w:rsidRPr="00871913">
          <w:rPr>
            <w:noProof/>
            <w:webHidden/>
          </w:rPr>
          <w:fldChar w:fldCharType="end"/>
        </w:r>
      </w:hyperlink>
    </w:p>
    <w:p w14:paraId="1B5DEB14" w14:textId="0DA85AF8" w:rsidR="00871913" w:rsidRPr="00871913" w:rsidRDefault="000C512A">
      <w:pPr>
        <w:pStyle w:val="TableofFigures"/>
        <w:tabs>
          <w:tab w:val="right" w:leader="dot" w:pos="9180"/>
        </w:tabs>
        <w:rPr>
          <w:rFonts w:eastAsiaTheme="minorEastAsia"/>
          <w:noProof/>
          <w:sz w:val="22"/>
          <w:szCs w:val="22"/>
          <w:lang w:eastAsia="en-AU"/>
        </w:rPr>
      </w:pPr>
      <w:hyperlink w:anchor="_Toc458892560" w:history="1">
        <w:r w:rsidR="00871913" w:rsidRPr="00871913">
          <w:rPr>
            <w:rStyle w:val="Hyperlink"/>
            <w:noProof/>
          </w:rPr>
          <w:t>Table 5: Current status of countries</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_Toc458892560 \h </w:instrText>
        </w:r>
        <w:r w:rsidR="00871913" w:rsidRPr="00871913">
          <w:rPr>
            <w:noProof/>
            <w:webHidden/>
          </w:rPr>
        </w:r>
        <w:r w:rsidR="00871913" w:rsidRPr="00871913">
          <w:rPr>
            <w:noProof/>
            <w:webHidden/>
          </w:rPr>
          <w:fldChar w:fldCharType="separate"/>
        </w:r>
        <w:r>
          <w:rPr>
            <w:noProof/>
            <w:webHidden/>
          </w:rPr>
          <w:t>55</w:t>
        </w:r>
        <w:r w:rsidR="00871913" w:rsidRPr="00871913">
          <w:rPr>
            <w:noProof/>
            <w:webHidden/>
          </w:rPr>
          <w:fldChar w:fldCharType="end"/>
        </w:r>
      </w:hyperlink>
    </w:p>
    <w:p w14:paraId="7D102EA9" w14:textId="0C94C6E1" w:rsidR="00871913" w:rsidRPr="00871913" w:rsidRDefault="000C512A">
      <w:pPr>
        <w:pStyle w:val="TableofFigures"/>
        <w:tabs>
          <w:tab w:val="left" w:pos="8542"/>
          <w:tab w:val="right" w:leader="dot" w:pos="9180"/>
        </w:tabs>
        <w:rPr>
          <w:rFonts w:eastAsiaTheme="minorEastAsia"/>
          <w:noProof/>
          <w:sz w:val="22"/>
          <w:szCs w:val="22"/>
          <w:lang w:eastAsia="en-AU"/>
        </w:rPr>
      </w:pPr>
      <w:hyperlink w:anchor="_Toc458892561" w:history="1">
        <w:r w:rsidR="00871913" w:rsidRPr="00871913">
          <w:rPr>
            <w:rStyle w:val="Hyperlink"/>
            <w:noProof/>
          </w:rPr>
          <w:t>Table 6: Total outbound internationally mobile tertiary students studying abroad, all countries, both   sexes (number)</w:t>
        </w:r>
        <w:r w:rsidR="00871913" w:rsidRPr="00871913">
          <w:rPr>
            <w:noProof/>
            <w:webHidden/>
          </w:rPr>
          <w:tab/>
        </w:r>
        <w:r w:rsidR="00871913">
          <w:rPr>
            <w:noProof/>
            <w:webHidden/>
          </w:rPr>
          <w:tab/>
        </w:r>
        <w:r w:rsidR="00871913" w:rsidRPr="00871913">
          <w:rPr>
            <w:noProof/>
            <w:webHidden/>
          </w:rPr>
          <w:fldChar w:fldCharType="begin"/>
        </w:r>
        <w:r w:rsidR="00871913" w:rsidRPr="00871913">
          <w:rPr>
            <w:noProof/>
            <w:webHidden/>
          </w:rPr>
          <w:instrText xml:space="preserve"> PAGEREF _Toc458892561 \h </w:instrText>
        </w:r>
        <w:r w:rsidR="00871913" w:rsidRPr="00871913">
          <w:rPr>
            <w:noProof/>
            <w:webHidden/>
          </w:rPr>
        </w:r>
        <w:r w:rsidR="00871913" w:rsidRPr="00871913">
          <w:rPr>
            <w:noProof/>
            <w:webHidden/>
          </w:rPr>
          <w:fldChar w:fldCharType="separate"/>
        </w:r>
        <w:r>
          <w:rPr>
            <w:noProof/>
            <w:webHidden/>
          </w:rPr>
          <w:t>57</w:t>
        </w:r>
        <w:r w:rsidR="00871913" w:rsidRPr="00871913">
          <w:rPr>
            <w:noProof/>
            <w:webHidden/>
          </w:rPr>
          <w:fldChar w:fldCharType="end"/>
        </w:r>
      </w:hyperlink>
    </w:p>
    <w:p w14:paraId="70DB05C6" w14:textId="4F8F47A0" w:rsidR="00871913" w:rsidRPr="00871913" w:rsidRDefault="000C512A">
      <w:pPr>
        <w:pStyle w:val="TableofFigures"/>
        <w:tabs>
          <w:tab w:val="right" w:leader="dot" w:pos="9180"/>
        </w:tabs>
        <w:rPr>
          <w:rFonts w:eastAsiaTheme="minorEastAsia"/>
          <w:noProof/>
          <w:sz w:val="22"/>
          <w:szCs w:val="22"/>
          <w:lang w:eastAsia="en-AU"/>
        </w:rPr>
      </w:pPr>
      <w:hyperlink w:anchor="_Toc458892562" w:history="1">
        <w:r w:rsidR="00871913" w:rsidRPr="00871913">
          <w:rPr>
            <w:rStyle w:val="Hyperlink"/>
            <w:noProof/>
          </w:rPr>
          <w:t>Table 7: Headcount of international students in USP campuses (number)</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_Toc458892562 \h </w:instrText>
        </w:r>
        <w:r w:rsidR="00871913" w:rsidRPr="00871913">
          <w:rPr>
            <w:noProof/>
            <w:webHidden/>
          </w:rPr>
        </w:r>
        <w:r w:rsidR="00871913" w:rsidRPr="00871913">
          <w:rPr>
            <w:noProof/>
            <w:webHidden/>
          </w:rPr>
          <w:fldChar w:fldCharType="separate"/>
        </w:r>
        <w:r>
          <w:rPr>
            <w:noProof/>
            <w:webHidden/>
          </w:rPr>
          <w:t>58</w:t>
        </w:r>
        <w:r w:rsidR="00871913" w:rsidRPr="00871913">
          <w:rPr>
            <w:noProof/>
            <w:webHidden/>
          </w:rPr>
          <w:fldChar w:fldCharType="end"/>
        </w:r>
      </w:hyperlink>
    </w:p>
    <w:p w14:paraId="1D796ADA" w14:textId="2971BD03" w:rsidR="00871913" w:rsidRPr="00871913" w:rsidRDefault="000C512A">
      <w:pPr>
        <w:pStyle w:val="TableofFigures"/>
        <w:tabs>
          <w:tab w:val="right" w:leader="dot" w:pos="9180"/>
        </w:tabs>
        <w:rPr>
          <w:rFonts w:eastAsiaTheme="minorEastAsia"/>
          <w:noProof/>
          <w:sz w:val="22"/>
          <w:szCs w:val="22"/>
          <w:lang w:eastAsia="en-AU"/>
        </w:rPr>
      </w:pPr>
      <w:hyperlink w:anchor="_Toc458892563" w:history="1">
        <w:r w:rsidR="00871913" w:rsidRPr="00871913">
          <w:rPr>
            <w:rStyle w:val="Hyperlink"/>
            <w:noProof/>
          </w:rPr>
          <w:t>Table 8: Applications for qualifications assessment – Fiji Higher Education Commission</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_Toc458892563 \h </w:instrText>
        </w:r>
        <w:r w:rsidR="00871913" w:rsidRPr="00871913">
          <w:rPr>
            <w:noProof/>
            <w:webHidden/>
          </w:rPr>
        </w:r>
        <w:r w:rsidR="00871913" w:rsidRPr="00871913">
          <w:rPr>
            <w:noProof/>
            <w:webHidden/>
          </w:rPr>
          <w:fldChar w:fldCharType="separate"/>
        </w:r>
        <w:r>
          <w:rPr>
            <w:noProof/>
            <w:webHidden/>
          </w:rPr>
          <w:t>58</w:t>
        </w:r>
        <w:r w:rsidR="00871913" w:rsidRPr="00871913">
          <w:rPr>
            <w:noProof/>
            <w:webHidden/>
          </w:rPr>
          <w:fldChar w:fldCharType="end"/>
        </w:r>
      </w:hyperlink>
    </w:p>
    <w:p w14:paraId="5604F2A7" w14:textId="6CAAEE12" w:rsidR="00871913" w:rsidRPr="00871913" w:rsidRDefault="000C512A">
      <w:pPr>
        <w:pStyle w:val="TableofFigures"/>
        <w:tabs>
          <w:tab w:val="right" w:leader="dot" w:pos="9180"/>
        </w:tabs>
        <w:rPr>
          <w:rFonts w:eastAsiaTheme="minorEastAsia"/>
          <w:noProof/>
          <w:sz w:val="22"/>
          <w:szCs w:val="22"/>
          <w:lang w:eastAsia="en-AU"/>
        </w:rPr>
      </w:pPr>
      <w:hyperlink w:anchor="_Toc458892564" w:history="1">
        <w:r w:rsidR="00871913" w:rsidRPr="00871913">
          <w:rPr>
            <w:rStyle w:val="Hyperlink"/>
            <w:noProof/>
          </w:rPr>
          <w:t>Table 9: Applications for qualifications assessment – NZQA Qualifications Recognition Services</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_Toc458892564 \h </w:instrText>
        </w:r>
        <w:r w:rsidR="00871913" w:rsidRPr="00871913">
          <w:rPr>
            <w:noProof/>
            <w:webHidden/>
          </w:rPr>
        </w:r>
        <w:r w:rsidR="00871913" w:rsidRPr="00871913">
          <w:rPr>
            <w:noProof/>
            <w:webHidden/>
          </w:rPr>
          <w:fldChar w:fldCharType="separate"/>
        </w:r>
        <w:r>
          <w:rPr>
            <w:noProof/>
            <w:webHidden/>
          </w:rPr>
          <w:t>59</w:t>
        </w:r>
        <w:r w:rsidR="00871913" w:rsidRPr="00871913">
          <w:rPr>
            <w:noProof/>
            <w:webHidden/>
          </w:rPr>
          <w:fldChar w:fldCharType="end"/>
        </w:r>
      </w:hyperlink>
    </w:p>
    <w:p w14:paraId="16DDD91F" w14:textId="5A8CEED6" w:rsidR="00871913" w:rsidRDefault="000C512A">
      <w:pPr>
        <w:pStyle w:val="TableofFigures"/>
        <w:tabs>
          <w:tab w:val="right" w:leader="dot" w:pos="9180"/>
        </w:tabs>
        <w:rPr>
          <w:rFonts w:eastAsiaTheme="minorEastAsia"/>
          <w:noProof/>
          <w:sz w:val="22"/>
          <w:szCs w:val="22"/>
          <w:lang w:eastAsia="en-AU"/>
        </w:rPr>
      </w:pPr>
      <w:hyperlink w:anchor="_Toc458892565" w:history="1">
        <w:r w:rsidR="00871913" w:rsidRPr="007E20DB">
          <w:rPr>
            <w:rStyle w:val="Hyperlink"/>
            <w:noProof/>
            <w:lang w:bidi="en-US"/>
          </w:rPr>
          <w:t>Table 10: Work and student visas on arrival, New Zealand, 2013 - 2016</w:t>
        </w:r>
        <w:r w:rsidR="00871913">
          <w:rPr>
            <w:noProof/>
            <w:webHidden/>
          </w:rPr>
          <w:tab/>
        </w:r>
        <w:r w:rsidR="00871913">
          <w:rPr>
            <w:noProof/>
            <w:webHidden/>
          </w:rPr>
          <w:fldChar w:fldCharType="begin"/>
        </w:r>
        <w:r w:rsidR="00871913">
          <w:rPr>
            <w:noProof/>
            <w:webHidden/>
          </w:rPr>
          <w:instrText xml:space="preserve"> PAGEREF _Toc458892565 \h </w:instrText>
        </w:r>
        <w:r w:rsidR="00871913">
          <w:rPr>
            <w:noProof/>
            <w:webHidden/>
          </w:rPr>
        </w:r>
        <w:r w:rsidR="00871913">
          <w:rPr>
            <w:noProof/>
            <w:webHidden/>
          </w:rPr>
          <w:fldChar w:fldCharType="separate"/>
        </w:r>
        <w:r>
          <w:rPr>
            <w:noProof/>
            <w:webHidden/>
          </w:rPr>
          <w:t>60</w:t>
        </w:r>
        <w:r w:rsidR="00871913">
          <w:rPr>
            <w:noProof/>
            <w:webHidden/>
          </w:rPr>
          <w:fldChar w:fldCharType="end"/>
        </w:r>
      </w:hyperlink>
    </w:p>
    <w:p w14:paraId="57DF35AE" w14:textId="5BD5E13F" w:rsidR="00871913" w:rsidRDefault="000C512A">
      <w:pPr>
        <w:pStyle w:val="TableofFigures"/>
        <w:tabs>
          <w:tab w:val="right" w:leader="dot" w:pos="9180"/>
        </w:tabs>
        <w:rPr>
          <w:rFonts w:eastAsiaTheme="minorEastAsia"/>
          <w:noProof/>
          <w:sz w:val="22"/>
          <w:szCs w:val="22"/>
          <w:lang w:eastAsia="en-AU"/>
        </w:rPr>
      </w:pPr>
      <w:hyperlink w:anchor="_Toc458892566" w:history="1">
        <w:r w:rsidR="00871913" w:rsidRPr="007E20DB">
          <w:rPr>
            <w:rStyle w:val="Hyperlink"/>
            <w:noProof/>
            <w:lang w:bidi="en-US"/>
          </w:rPr>
          <w:t>Table 11: Timelines and actions</w:t>
        </w:r>
        <w:r w:rsidR="00871913">
          <w:rPr>
            <w:noProof/>
            <w:webHidden/>
          </w:rPr>
          <w:tab/>
        </w:r>
        <w:r w:rsidR="00871913">
          <w:rPr>
            <w:noProof/>
            <w:webHidden/>
          </w:rPr>
          <w:fldChar w:fldCharType="begin"/>
        </w:r>
        <w:r w:rsidR="00871913">
          <w:rPr>
            <w:noProof/>
            <w:webHidden/>
          </w:rPr>
          <w:instrText xml:space="preserve"> PAGEREF _Toc458892566 \h </w:instrText>
        </w:r>
        <w:r w:rsidR="00871913">
          <w:rPr>
            <w:noProof/>
            <w:webHidden/>
          </w:rPr>
        </w:r>
        <w:r w:rsidR="00871913">
          <w:rPr>
            <w:noProof/>
            <w:webHidden/>
          </w:rPr>
          <w:fldChar w:fldCharType="separate"/>
        </w:r>
        <w:r>
          <w:rPr>
            <w:noProof/>
            <w:webHidden/>
          </w:rPr>
          <w:t>74</w:t>
        </w:r>
        <w:r w:rsidR="00871913">
          <w:rPr>
            <w:noProof/>
            <w:webHidden/>
          </w:rPr>
          <w:fldChar w:fldCharType="end"/>
        </w:r>
      </w:hyperlink>
    </w:p>
    <w:p w14:paraId="619FE19A" w14:textId="5A028E95" w:rsidR="00184286" w:rsidRPr="00203571" w:rsidRDefault="00871913" w:rsidP="00FC0D1F">
      <w:r>
        <w:rPr>
          <w:b/>
        </w:rPr>
        <w:fldChar w:fldCharType="end"/>
      </w:r>
    </w:p>
    <w:p w14:paraId="202911BA" w14:textId="77777777" w:rsidR="00184286" w:rsidRDefault="00184286" w:rsidP="00FC0D1F"/>
    <w:p w14:paraId="6299C630" w14:textId="53A4FE71" w:rsidR="00184286" w:rsidRPr="00184286" w:rsidRDefault="00184286" w:rsidP="00FC0D1F">
      <w:pPr>
        <w:rPr>
          <w:b/>
          <w:color w:val="C00000"/>
          <w:sz w:val="22"/>
        </w:rPr>
      </w:pPr>
      <w:r w:rsidRPr="00184286">
        <w:rPr>
          <w:b/>
          <w:color w:val="C00000"/>
          <w:sz w:val="22"/>
        </w:rPr>
        <w:t>List of figures</w:t>
      </w:r>
    </w:p>
    <w:p w14:paraId="0001702D" w14:textId="26530DB0" w:rsidR="00871913" w:rsidRPr="00871913" w:rsidRDefault="00871913">
      <w:pPr>
        <w:pStyle w:val="TableofFigures"/>
        <w:tabs>
          <w:tab w:val="right" w:leader="dot" w:pos="9180"/>
        </w:tabs>
        <w:rPr>
          <w:rFonts w:eastAsiaTheme="minorEastAsia"/>
          <w:noProof/>
          <w:sz w:val="22"/>
          <w:szCs w:val="22"/>
          <w:lang w:eastAsia="en-AU"/>
        </w:rPr>
      </w:pPr>
      <w:r w:rsidRPr="00871913">
        <w:fldChar w:fldCharType="begin"/>
      </w:r>
      <w:r w:rsidRPr="00871913">
        <w:instrText xml:space="preserve"> TOC \h \z \c "Figure" </w:instrText>
      </w:r>
      <w:r w:rsidRPr="00871913">
        <w:fldChar w:fldCharType="separate"/>
      </w:r>
      <w:hyperlink w:anchor="_Toc458892552" w:history="1">
        <w:r w:rsidRPr="00871913">
          <w:rPr>
            <w:rStyle w:val="Hyperlink"/>
            <w:noProof/>
          </w:rPr>
          <w:t>Figure 1: Allocation of expenditure</w:t>
        </w:r>
        <w:r w:rsidRPr="00871913">
          <w:rPr>
            <w:noProof/>
            <w:webHidden/>
          </w:rPr>
          <w:tab/>
        </w:r>
        <w:r w:rsidRPr="00871913">
          <w:rPr>
            <w:noProof/>
            <w:webHidden/>
          </w:rPr>
          <w:fldChar w:fldCharType="begin"/>
        </w:r>
        <w:r w:rsidRPr="00871913">
          <w:rPr>
            <w:noProof/>
            <w:webHidden/>
          </w:rPr>
          <w:instrText xml:space="preserve"> PAGEREF _Toc458892552 \h </w:instrText>
        </w:r>
        <w:r w:rsidRPr="00871913">
          <w:rPr>
            <w:noProof/>
            <w:webHidden/>
          </w:rPr>
        </w:r>
        <w:r w:rsidRPr="00871913">
          <w:rPr>
            <w:noProof/>
            <w:webHidden/>
          </w:rPr>
          <w:fldChar w:fldCharType="separate"/>
        </w:r>
        <w:r w:rsidR="000C512A">
          <w:rPr>
            <w:noProof/>
            <w:webHidden/>
          </w:rPr>
          <w:t>49</w:t>
        </w:r>
        <w:r w:rsidRPr="00871913">
          <w:rPr>
            <w:noProof/>
            <w:webHidden/>
          </w:rPr>
          <w:fldChar w:fldCharType="end"/>
        </w:r>
      </w:hyperlink>
    </w:p>
    <w:p w14:paraId="52391935" w14:textId="61C07B3A" w:rsidR="00871913" w:rsidRPr="00871913" w:rsidRDefault="000C512A">
      <w:pPr>
        <w:pStyle w:val="TableofFigures"/>
        <w:tabs>
          <w:tab w:val="right" w:leader="dot" w:pos="9180"/>
        </w:tabs>
        <w:rPr>
          <w:rFonts w:eastAsiaTheme="minorEastAsia"/>
          <w:noProof/>
          <w:sz w:val="22"/>
          <w:szCs w:val="22"/>
          <w:lang w:eastAsia="en-AU"/>
        </w:rPr>
      </w:pPr>
      <w:hyperlink w:anchor="_Toc458892553" w:history="1">
        <w:r w:rsidR="00871913" w:rsidRPr="00871913">
          <w:rPr>
            <w:rStyle w:val="Hyperlink"/>
            <w:noProof/>
          </w:rPr>
          <w:t>Figure 2: Proposed Greater Pacific Qualifications Framework</w:t>
        </w:r>
        <w:r w:rsidR="00871913" w:rsidRPr="00871913">
          <w:rPr>
            <w:noProof/>
            <w:webHidden/>
          </w:rPr>
          <w:tab/>
        </w:r>
        <w:r w:rsidR="00871913" w:rsidRPr="00871913">
          <w:rPr>
            <w:noProof/>
            <w:webHidden/>
          </w:rPr>
          <w:fldChar w:fldCharType="begin"/>
        </w:r>
        <w:r w:rsidR="00871913" w:rsidRPr="00871913">
          <w:rPr>
            <w:noProof/>
            <w:webHidden/>
          </w:rPr>
          <w:instrText xml:space="preserve"> PAGEREF _Toc458892553 \h </w:instrText>
        </w:r>
        <w:r w:rsidR="00871913" w:rsidRPr="00871913">
          <w:rPr>
            <w:noProof/>
            <w:webHidden/>
          </w:rPr>
        </w:r>
        <w:r w:rsidR="00871913" w:rsidRPr="00871913">
          <w:rPr>
            <w:noProof/>
            <w:webHidden/>
          </w:rPr>
          <w:fldChar w:fldCharType="separate"/>
        </w:r>
        <w:r>
          <w:rPr>
            <w:noProof/>
            <w:webHidden/>
          </w:rPr>
          <w:t>72</w:t>
        </w:r>
        <w:r w:rsidR="00871913" w:rsidRPr="00871913">
          <w:rPr>
            <w:noProof/>
            <w:webHidden/>
          </w:rPr>
          <w:fldChar w:fldCharType="end"/>
        </w:r>
      </w:hyperlink>
    </w:p>
    <w:p w14:paraId="4055136D" w14:textId="4B9BE544" w:rsidR="00184286" w:rsidRDefault="00871913" w:rsidP="00203571">
      <w:r w:rsidRPr="00871913">
        <w:fldChar w:fldCharType="end"/>
      </w:r>
    </w:p>
    <w:p w14:paraId="498D0C76" w14:textId="77777777" w:rsidR="00184286" w:rsidRPr="00FC0D1F" w:rsidRDefault="00184286" w:rsidP="00FC0D1F"/>
    <w:p w14:paraId="5B6503AC" w14:textId="2BD9940C" w:rsidR="0095333B" w:rsidRDefault="0095333B">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6A613C01" w14:textId="225614B4" w:rsidR="00C433D7" w:rsidRDefault="00C433D7" w:rsidP="00C433D7">
      <w:pPr>
        <w:pStyle w:val="Heading1"/>
        <w:rPr>
          <w:color w:val="95050F"/>
        </w:rPr>
      </w:pPr>
      <w:bookmarkStart w:id="5" w:name="_Toc458938567"/>
      <w:bookmarkStart w:id="6" w:name="_Toc462755546"/>
      <w:r>
        <w:rPr>
          <w:color w:val="95050F"/>
        </w:rPr>
        <w:lastRenderedPageBreak/>
        <w:t>List of acronyms</w:t>
      </w:r>
      <w:bookmarkEnd w:id="3"/>
      <w:bookmarkEnd w:id="4"/>
      <w:bookmarkEnd w:id="5"/>
      <w:bookmarkEnd w:id="6"/>
    </w:p>
    <w:tbl>
      <w:tblPr>
        <w:tblStyle w:val="TableGrid"/>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910"/>
        <w:gridCol w:w="7270"/>
      </w:tblGrid>
      <w:tr w:rsidR="004D1303" w:rsidRPr="004554CB" w14:paraId="0BE26A6E" w14:textId="77777777" w:rsidTr="008B438E">
        <w:tc>
          <w:tcPr>
            <w:tcW w:w="1910" w:type="dxa"/>
          </w:tcPr>
          <w:p w14:paraId="21649EAB" w14:textId="0819AAB2" w:rsidR="004D1303" w:rsidRPr="004554CB" w:rsidRDefault="004D1303" w:rsidP="00730F5E">
            <w:pPr>
              <w:spacing w:line="240" w:lineRule="auto"/>
              <w:rPr>
                <w:rFonts w:cs="Arial"/>
                <w:sz w:val="20"/>
                <w:szCs w:val="20"/>
              </w:rPr>
            </w:pPr>
            <w:r w:rsidRPr="004554CB">
              <w:rPr>
                <w:rFonts w:cs="Arial"/>
                <w:sz w:val="20"/>
                <w:szCs w:val="20"/>
              </w:rPr>
              <w:t>APQN</w:t>
            </w:r>
          </w:p>
        </w:tc>
        <w:tc>
          <w:tcPr>
            <w:tcW w:w="7270" w:type="dxa"/>
          </w:tcPr>
          <w:p w14:paraId="2C27BF4B" w14:textId="67C90089" w:rsidR="004D1303" w:rsidRPr="004554CB" w:rsidRDefault="004D1303" w:rsidP="00730F5E">
            <w:pPr>
              <w:spacing w:line="240" w:lineRule="auto"/>
              <w:rPr>
                <w:rFonts w:cs="Arial"/>
                <w:sz w:val="20"/>
                <w:szCs w:val="20"/>
              </w:rPr>
            </w:pPr>
            <w:r w:rsidRPr="004554CB">
              <w:rPr>
                <w:rFonts w:cs="Arial"/>
                <w:sz w:val="20"/>
                <w:szCs w:val="20"/>
              </w:rPr>
              <w:t>Asia Pacific Quality Network</w:t>
            </w:r>
          </w:p>
        </w:tc>
      </w:tr>
      <w:tr w:rsidR="00732E36" w:rsidRPr="004554CB" w14:paraId="4902AD25" w14:textId="77777777" w:rsidTr="008B438E">
        <w:tc>
          <w:tcPr>
            <w:tcW w:w="1910" w:type="dxa"/>
          </w:tcPr>
          <w:p w14:paraId="2F47F198" w14:textId="77777777" w:rsidR="00732E36" w:rsidRPr="004554CB" w:rsidRDefault="00732E36" w:rsidP="00730F5E">
            <w:pPr>
              <w:spacing w:line="240" w:lineRule="auto"/>
              <w:rPr>
                <w:rFonts w:cs="Arial"/>
                <w:sz w:val="20"/>
                <w:szCs w:val="20"/>
              </w:rPr>
            </w:pPr>
            <w:r w:rsidRPr="004554CB">
              <w:rPr>
                <w:rFonts w:cs="Arial"/>
                <w:sz w:val="20"/>
                <w:szCs w:val="20"/>
              </w:rPr>
              <w:t>APTC</w:t>
            </w:r>
          </w:p>
        </w:tc>
        <w:tc>
          <w:tcPr>
            <w:tcW w:w="7270" w:type="dxa"/>
          </w:tcPr>
          <w:p w14:paraId="760C1807" w14:textId="77777777" w:rsidR="00732E36" w:rsidRPr="004554CB" w:rsidRDefault="00732E36" w:rsidP="00730F5E">
            <w:pPr>
              <w:spacing w:line="240" w:lineRule="auto"/>
              <w:rPr>
                <w:rFonts w:cs="Arial"/>
                <w:sz w:val="20"/>
                <w:szCs w:val="20"/>
              </w:rPr>
            </w:pPr>
            <w:r w:rsidRPr="004554CB">
              <w:rPr>
                <w:rFonts w:cs="Arial"/>
                <w:sz w:val="20"/>
                <w:szCs w:val="20"/>
              </w:rPr>
              <w:t xml:space="preserve">Australia-Pacific </w:t>
            </w:r>
            <w:r w:rsidR="002A62C8" w:rsidRPr="004554CB">
              <w:rPr>
                <w:rFonts w:cs="Arial"/>
                <w:sz w:val="20"/>
                <w:szCs w:val="20"/>
              </w:rPr>
              <w:t>Technical</w:t>
            </w:r>
            <w:r w:rsidRPr="004554CB">
              <w:rPr>
                <w:rFonts w:cs="Arial"/>
                <w:sz w:val="20"/>
                <w:szCs w:val="20"/>
              </w:rPr>
              <w:t xml:space="preserve"> College</w:t>
            </w:r>
          </w:p>
        </w:tc>
      </w:tr>
      <w:tr w:rsidR="00733F57" w:rsidRPr="004554CB" w14:paraId="7B769B75" w14:textId="77777777" w:rsidTr="008B438E">
        <w:tc>
          <w:tcPr>
            <w:tcW w:w="1910" w:type="dxa"/>
          </w:tcPr>
          <w:p w14:paraId="06B92DCD" w14:textId="77777777" w:rsidR="00733F57" w:rsidRPr="004554CB" w:rsidRDefault="00A77563" w:rsidP="00730F5E">
            <w:pPr>
              <w:spacing w:line="240" w:lineRule="auto"/>
              <w:rPr>
                <w:rFonts w:cs="Arial"/>
                <w:sz w:val="20"/>
                <w:szCs w:val="20"/>
              </w:rPr>
            </w:pPr>
            <w:r w:rsidRPr="004554CB">
              <w:rPr>
                <w:rFonts w:cs="Arial"/>
                <w:sz w:val="20"/>
                <w:szCs w:val="20"/>
              </w:rPr>
              <w:t>AQF</w:t>
            </w:r>
          </w:p>
        </w:tc>
        <w:tc>
          <w:tcPr>
            <w:tcW w:w="7270" w:type="dxa"/>
          </w:tcPr>
          <w:p w14:paraId="091EBE49" w14:textId="77777777" w:rsidR="00733F57" w:rsidRPr="004554CB" w:rsidRDefault="00A77563" w:rsidP="00730F5E">
            <w:pPr>
              <w:spacing w:line="240" w:lineRule="auto"/>
              <w:rPr>
                <w:rFonts w:cs="Arial"/>
                <w:sz w:val="20"/>
                <w:szCs w:val="20"/>
              </w:rPr>
            </w:pPr>
            <w:r w:rsidRPr="004554CB">
              <w:rPr>
                <w:rFonts w:cs="Arial"/>
                <w:sz w:val="20"/>
                <w:szCs w:val="20"/>
              </w:rPr>
              <w:t>Australian Qualifications Framework</w:t>
            </w:r>
          </w:p>
        </w:tc>
      </w:tr>
      <w:tr w:rsidR="00277E72" w:rsidRPr="004554CB" w14:paraId="446C0AB0" w14:textId="77777777" w:rsidTr="008B438E">
        <w:tc>
          <w:tcPr>
            <w:tcW w:w="1910" w:type="dxa"/>
          </w:tcPr>
          <w:p w14:paraId="03FD06F7" w14:textId="7FE2D7BA" w:rsidR="00277E72" w:rsidRPr="004554CB" w:rsidRDefault="00277E72" w:rsidP="00730F5E">
            <w:pPr>
              <w:spacing w:line="240" w:lineRule="auto"/>
              <w:rPr>
                <w:rFonts w:cs="Arial"/>
                <w:sz w:val="20"/>
                <w:szCs w:val="20"/>
              </w:rPr>
            </w:pPr>
            <w:r w:rsidRPr="004554CB">
              <w:rPr>
                <w:rFonts w:cs="Arial"/>
                <w:sz w:val="20"/>
                <w:szCs w:val="20"/>
              </w:rPr>
              <w:t>AQRF</w:t>
            </w:r>
          </w:p>
        </w:tc>
        <w:tc>
          <w:tcPr>
            <w:tcW w:w="7270" w:type="dxa"/>
          </w:tcPr>
          <w:p w14:paraId="1D00D805" w14:textId="3C7AF9F3" w:rsidR="00277E72" w:rsidRPr="004554CB" w:rsidRDefault="00277E72" w:rsidP="00730F5E">
            <w:pPr>
              <w:spacing w:line="240" w:lineRule="auto"/>
              <w:rPr>
                <w:rFonts w:cs="Arial"/>
                <w:sz w:val="20"/>
                <w:szCs w:val="20"/>
              </w:rPr>
            </w:pPr>
            <w:r w:rsidRPr="004554CB">
              <w:rPr>
                <w:rFonts w:cs="Arial"/>
                <w:sz w:val="20"/>
                <w:szCs w:val="20"/>
              </w:rPr>
              <w:t>ASEAN Qualifications Reference Framework</w:t>
            </w:r>
          </w:p>
        </w:tc>
      </w:tr>
      <w:tr w:rsidR="0077403C" w:rsidRPr="004554CB" w14:paraId="5FBB0A23" w14:textId="77777777" w:rsidTr="008B438E">
        <w:tc>
          <w:tcPr>
            <w:tcW w:w="1910" w:type="dxa"/>
          </w:tcPr>
          <w:p w14:paraId="4A705E85" w14:textId="2580D48E" w:rsidR="0077403C" w:rsidRPr="004554CB" w:rsidRDefault="0077403C" w:rsidP="00730F5E">
            <w:pPr>
              <w:spacing w:line="240" w:lineRule="auto"/>
              <w:rPr>
                <w:rFonts w:cs="Arial"/>
                <w:sz w:val="20"/>
                <w:szCs w:val="20"/>
              </w:rPr>
            </w:pPr>
            <w:r w:rsidRPr="004554CB">
              <w:rPr>
                <w:rFonts w:cs="Arial"/>
                <w:sz w:val="20"/>
                <w:szCs w:val="20"/>
              </w:rPr>
              <w:t>ASU</w:t>
            </w:r>
          </w:p>
        </w:tc>
        <w:tc>
          <w:tcPr>
            <w:tcW w:w="7270" w:type="dxa"/>
          </w:tcPr>
          <w:p w14:paraId="53E6FE6A" w14:textId="5A671E61" w:rsidR="0077403C" w:rsidRPr="004554CB" w:rsidRDefault="0077403C" w:rsidP="00730F5E">
            <w:pPr>
              <w:spacing w:line="240" w:lineRule="auto"/>
              <w:rPr>
                <w:rFonts w:cs="Arial"/>
                <w:sz w:val="20"/>
                <w:szCs w:val="20"/>
              </w:rPr>
            </w:pPr>
            <w:r w:rsidRPr="004554CB">
              <w:rPr>
                <w:rFonts w:cs="Arial"/>
                <w:sz w:val="20"/>
                <w:szCs w:val="20"/>
              </w:rPr>
              <w:t>Assessment and Standards Unit</w:t>
            </w:r>
          </w:p>
        </w:tc>
      </w:tr>
      <w:tr w:rsidR="00B41840" w:rsidRPr="004554CB" w14:paraId="1D4E2485" w14:textId="77777777" w:rsidTr="008B438E">
        <w:tc>
          <w:tcPr>
            <w:tcW w:w="1910" w:type="dxa"/>
          </w:tcPr>
          <w:p w14:paraId="2B5D548D" w14:textId="59DBB1F8" w:rsidR="00B41840" w:rsidRPr="004554CB" w:rsidRDefault="00B41840" w:rsidP="00730F5E">
            <w:pPr>
              <w:spacing w:line="240" w:lineRule="auto"/>
              <w:rPr>
                <w:rFonts w:cs="Arial"/>
                <w:sz w:val="20"/>
                <w:szCs w:val="20"/>
              </w:rPr>
            </w:pPr>
            <w:r w:rsidRPr="004554CB">
              <w:rPr>
                <w:rFonts w:cs="Arial"/>
                <w:sz w:val="20"/>
                <w:szCs w:val="20"/>
              </w:rPr>
              <w:t>CARICOM</w:t>
            </w:r>
          </w:p>
        </w:tc>
        <w:tc>
          <w:tcPr>
            <w:tcW w:w="7270" w:type="dxa"/>
          </w:tcPr>
          <w:p w14:paraId="368166B6" w14:textId="704A3AE5" w:rsidR="00B41840" w:rsidRPr="004554CB" w:rsidRDefault="00B40280" w:rsidP="00730F5E">
            <w:pPr>
              <w:spacing w:line="240" w:lineRule="auto"/>
              <w:rPr>
                <w:rFonts w:cs="Arial"/>
                <w:sz w:val="20"/>
                <w:szCs w:val="20"/>
              </w:rPr>
            </w:pPr>
            <w:r w:rsidRPr="004554CB">
              <w:rPr>
                <w:sz w:val="20"/>
                <w:szCs w:val="20"/>
                <w:lang w:val="en-GB"/>
              </w:rPr>
              <w:t>Caribbean Community</w:t>
            </w:r>
          </w:p>
        </w:tc>
      </w:tr>
      <w:tr w:rsidR="00F269B3" w:rsidRPr="004554CB" w14:paraId="778689F6" w14:textId="77777777" w:rsidTr="00F269B3">
        <w:tc>
          <w:tcPr>
            <w:tcW w:w="1910" w:type="dxa"/>
          </w:tcPr>
          <w:p w14:paraId="22E4AD0F" w14:textId="77777777" w:rsidR="00F269B3" w:rsidRPr="004554CB" w:rsidRDefault="00F269B3" w:rsidP="00730F5E">
            <w:pPr>
              <w:spacing w:line="240" w:lineRule="auto"/>
              <w:rPr>
                <w:sz w:val="20"/>
                <w:szCs w:val="20"/>
              </w:rPr>
            </w:pPr>
            <w:r w:rsidRPr="004554CB">
              <w:rPr>
                <w:sz w:val="20"/>
                <w:szCs w:val="20"/>
              </w:rPr>
              <w:t>CRGA</w:t>
            </w:r>
          </w:p>
        </w:tc>
        <w:tc>
          <w:tcPr>
            <w:tcW w:w="7270" w:type="dxa"/>
          </w:tcPr>
          <w:p w14:paraId="39CFE4BA" w14:textId="77777777" w:rsidR="00F269B3" w:rsidRPr="004554CB" w:rsidRDefault="00F269B3" w:rsidP="00730F5E">
            <w:pPr>
              <w:spacing w:line="240" w:lineRule="auto"/>
              <w:rPr>
                <w:sz w:val="20"/>
                <w:szCs w:val="20"/>
              </w:rPr>
            </w:pPr>
            <w:r w:rsidRPr="004554CB">
              <w:rPr>
                <w:sz w:val="20"/>
                <w:szCs w:val="20"/>
              </w:rPr>
              <w:t xml:space="preserve">Committee of Representatives of Governments and Administrations </w:t>
            </w:r>
          </w:p>
        </w:tc>
      </w:tr>
      <w:tr w:rsidR="00135995" w:rsidRPr="004554CB" w14:paraId="68C532A2" w14:textId="77777777" w:rsidTr="008B438E">
        <w:tc>
          <w:tcPr>
            <w:tcW w:w="1910" w:type="dxa"/>
          </w:tcPr>
          <w:p w14:paraId="42CE2BC1" w14:textId="0A5E1840" w:rsidR="00135995" w:rsidRPr="004554CB" w:rsidRDefault="00135995" w:rsidP="00730F5E">
            <w:pPr>
              <w:spacing w:line="240" w:lineRule="auto"/>
              <w:rPr>
                <w:rFonts w:cs="Arial"/>
                <w:sz w:val="20"/>
                <w:szCs w:val="20"/>
              </w:rPr>
            </w:pPr>
            <w:r w:rsidRPr="004554CB">
              <w:rPr>
                <w:sz w:val="20"/>
                <w:szCs w:val="20"/>
              </w:rPr>
              <w:t>CROP</w:t>
            </w:r>
          </w:p>
        </w:tc>
        <w:tc>
          <w:tcPr>
            <w:tcW w:w="7270" w:type="dxa"/>
          </w:tcPr>
          <w:p w14:paraId="7A71548A" w14:textId="56D504D3" w:rsidR="00135995" w:rsidRPr="004554CB" w:rsidRDefault="00135995" w:rsidP="00730F5E">
            <w:pPr>
              <w:spacing w:line="240" w:lineRule="auto"/>
              <w:rPr>
                <w:sz w:val="20"/>
                <w:szCs w:val="20"/>
                <w:lang w:val="en-GB"/>
              </w:rPr>
            </w:pPr>
            <w:r w:rsidRPr="004554CB">
              <w:rPr>
                <w:sz w:val="20"/>
                <w:szCs w:val="20"/>
              </w:rPr>
              <w:t xml:space="preserve">Council of Regional Organisations in the Pacific </w:t>
            </w:r>
          </w:p>
        </w:tc>
      </w:tr>
      <w:tr w:rsidR="00732E36" w:rsidRPr="004554CB" w14:paraId="05A5FE3F" w14:textId="77777777" w:rsidTr="008B438E">
        <w:tc>
          <w:tcPr>
            <w:tcW w:w="1910" w:type="dxa"/>
          </w:tcPr>
          <w:p w14:paraId="1036C667" w14:textId="77777777" w:rsidR="00732E36" w:rsidRPr="004554CB" w:rsidRDefault="00732E36" w:rsidP="00730F5E">
            <w:pPr>
              <w:spacing w:line="240" w:lineRule="auto"/>
              <w:rPr>
                <w:rFonts w:cs="Arial"/>
                <w:sz w:val="20"/>
                <w:szCs w:val="20"/>
              </w:rPr>
            </w:pPr>
            <w:r w:rsidRPr="004554CB">
              <w:rPr>
                <w:rFonts w:cs="Arial"/>
                <w:sz w:val="20"/>
                <w:szCs w:val="20"/>
              </w:rPr>
              <w:t>DFAT</w:t>
            </w:r>
          </w:p>
        </w:tc>
        <w:tc>
          <w:tcPr>
            <w:tcW w:w="7270" w:type="dxa"/>
          </w:tcPr>
          <w:p w14:paraId="20660A4D" w14:textId="0F900528" w:rsidR="00732E36" w:rsidRPr="004554CB" w:rsidRDefault="00732E36" w:rsidP="00730F5E">
            <w:pPr>
              <w:spacing w:line="240" w:lineRule="auto"/>
              <w:rPr>
                <w:rFonts w:cs="Arial"/>
                <w:sz w:val="20"/>
                <w:szCs w:val="20"/>
              </w:rPr>
            </w:pPr>
            <w:r w:rsidRPr="004554CB">
              <w:rPr>
                <w:rFonts w:cs="Arial"/>
                <w:sz w:val="20"/>
                <w:szCs w:val="20"/>
              </w:rPr>
              <w:t>Department of Foreign Affairs</w:t>
            </w:r>
            <w:r w:rsidR="006B7E4C" w:rsidRPr="004554CB">
              <w:rPr>
                <w:rFonts w:cs="Arial"/>
                <w:sz w:val="20"/>
                <w:szCs w:val="20"/>
              </w:rPr>
              <w:t xml:space="preserve"> and Trade</w:t>
            </w:r>
            <w:r w:rsidR="0077403C" w:rsidRPr="004554CB">
              <w:rPr>
                <w:rFonts w:cs="Arial"/>
                <w:sz w:val="20"/>
                <w:szCs w:val="20"/>
              </w:rPr>
              <w:t xml:space="preserve">, Australian Government </w:t>
            </w:r>
          </w:p>
        </w:tc>
      </w:tr>
      <w:tr w:rsidR="00F572E6" w:rsidRPr="004554CB" w14:paraId="551D9B21" w14:textId="77777777" w:rsidTr="008B438E">
        <w:tc>
          <w:tcPr>
            <w:tcW w:w="1910" w:type="dxa"/>
          </w:tcPr>
          <w:p w14:paraId="0328EAE9" w14:textId="6C476818" w:rsidR="00F572E6" w:rsidRPr="004554CB" w:rsidRDefault="00F572E6" w:rsidP="00730F5E">
            <w:pPr>
              <w:spacing w:line="240" w:lineRule="auto"/>
              <w:rPr>
                <w:rFonts w:cs="Arial"/>
                <w:sz w:val="20"/>
                <w:szCs w:val="20"/>
              </w:rPr>
            </w:pPr>
            <w:r w:rsidRPr="004554CB">
              <w:rPr>
                <w:rFonts w:cs="Arial"/>
                <w:sz w:val="20"/>
                <w:szCs w:val="20"/>
              </w:rPr>
              <w:t>EAS TVET QAF</w:t>
            </w:r>
          </w:p>
        </w:tc>
        <w:tc>
          <w:tcPr>
            <w:tcW w:w="7270" w:type="dxa"/>
          </w:tcPr>
          <w:p w14:paraId="53C8B03B" w14:textId="6E7E366A" w:rsidR="00F572E6" w:rsidRPr="004554CB" w:rsidRDefault="00F572E6" w:rsidP="00730F5E">
            <w:pPr>
              <w:spacing w:line="240" w:lineRule="auto"/>
              <w:rPr>
                <w:sz w:val="20"/>
                <w:szCs w:val="20"/>
              </w:rPr>
            </w:pPr>
            <w:r w:rsidRPr="004554CB">
              <w:rPr>
                <w:sz w:val="20"/>
                <w:szCs w:val="20"/>
              </w:rPr>
              <w:t>East Asia Summit Technical and Vocational Education and Training Quality Assurance Framework</w:t>
            </w:r>
          </w:p>
        </w:tc>
      </w:tr>
      <w:tr w:rsidR="009115EA" w:rsidRPr="004554CB" w14:paraId="644A342E" w14:textId="77777777" w:rsidTr="008B438E">
        <w:tc>
          <w:tcPr>
            <w:tcW w:w="1910" w:type="dxa"/>
          </w:tcPr>
          <w:p w14:paraId="4C177B4C" w14:textId="69532385" w:rsidR="009115EA" w:rsidRPr="004554CB" w:rsidRDefault="0077403C" w:rsidP="00730F5E">
            <w:pPr>
              <w:spacing w:line="240" w:lineRule="auto"/>
              <w:rPr>
                <w:rFonts w:cs="Arial"/>
                <w:sz w:val="20"/>
                <w:szCs w:val="20"/>
              </w:rPr>
            </w:pPr>
            <w:r w:rsidRPr="004554CB">
              <w:rPr>
                <w:rFonts w:cs="Arial"/>
                <w:sz w:val="20"/>
                <w:szCs w:val="20"/>
              </w:rPr>
              <w:t>EQAP</w:t>
            </w:r>
          </w:p>
        </w:tc>
        <w:tc>
          <w:tcPr>
            <w:tcW w:w="7270" w:type="dxa"/>
          </w:tcPr>
          <w:p w14:paraId="3BE1E63B" w14:textId="6FF10CB4" w:rsidR="009115EA" w:rsidRPr="004554CB" w:rsidRDefault="0027541F" w:rsidP="00730F5E">
            <w:pPr>
              <w:spacing w:line="240" w:lineRule="auto"/>
              <w:rPr>
                <w:rFonts w:cs="Arial"/>
                <w:sz w:val="20"/>
                <w:szCs w:val="20"/>
              </w:rPr>
            </w:pPr>
            <w:r w:rsidRPr="004554CB">
              <w:rPr>
                <w:sz w:val="20"/>
                <w:szCs w:val="20"/>
              </w:rPr>
              <w:t>Educational Quality and Assessment Programme</w:t>
            </w:r>
          </w:p>
        </w:tc>
      </w:tr>
      <w:tr w:rsidR="00945D12" w:rsidRPr="004554CB" w14:paraId="2AB82439" w14:textId="77777777" w:rsidTr="008B438E">
        <w:tc>
          <w:tcPr>
            <w:tcW w:w="1910" w:type="dxa"/>
          </w:tcPr>
          <w:p w14:paraId="5877F386" w14:textId="75526C08" w:rsidR="00945D12" w:rsidRPr="004554CB" w:rsidRDefault="00945D12" w:rsidP="00730F5E">
            <w:pPr>
              <w:spacing w:line="240" w:lineRule="auto"/>
              <w:rPr>
                <w:rFonts w:cs="Arial"/>
                <w:sz w:val="20"/>
                <w:szCs w:val="20"/>
              </w:rPr>
            </w:pPr>
            <w:r w:rsidRPr="004554CB">
              <w:rPr>
                <w:rFonts w:cs="Arial"/>
                <w:sz w:val="20"/>
                <w:szCs w:val="20"/>
              </w:rPr>
              <w:t>EQF</w:t>
            </w:r>
          </w:p>
        </w:tc>
        <w:tc>
          <w:tcPr>
            <w:tcW w:w="7270" w:type="dxa"/>
          </w:tcPr>
          <w:p w14:paraId="0CC633A6" w14:textId="76075A20" w:rsidR="00945D12" w:rsidRPr="004554CB" w:rsidRDefault="00945D12" w:rsidP="00730F5E">
            <w:pPr>
              <w:spacing w:line="240" w:lineRule="auto"/>
              <w:rPr>
                <w:sz w:val="20"/>
                <w:szCs w:val="20"/>
              </w:rPr>
            </w:pPr>
            <w:r w:rsidRPr="004554CB">
              <w:rPr>
                <w:sz w:val="20"/>
                <w:szCs w:val="20"/>
              </w:rPr>
              <w:t>European Qualifications Framework</w:t>
            </w:r>
          </w:p>
        </w:tc>
      </w:tr>
      <w:tr w:rsidR="001A264D" w:rsidRPr="004554CB" w14:paraId="74B6F1F4" w14:textId="77777777" w:rsidTr="008B438E">
        <w:tc>
          <w:tcPr>
            <w:tcW w:w="1910" w:type="dxa"/>
          </w:tcPr>
          <w:p w14:paraId="33B70282" w14:textId="0BA3F3FD" w:rsidR="001A264D" w:rsidRPr="004554CB" w:rsidRDefault="001A264D" w:rsidP="00730F5E">
            <w:pPr>
              <w:spacing w:line="240" w:lineRule="auto"/>
              <w:rPr>
                <w:rFonts w:cs="Arial"/>
                <w:sz w:val="20"/>
                <w:szCs w:val="20"/>
              </w:rPr>
            </w:pPr>
            <w:r w:rsidRPr="004554CB">
              <w:rPr>
                <w:rFonts w:cs="Arial"/>
                <w:sz w:val="20"/>
                <w:szCs w:val="20"/>
              </w:rPr>
              <w:t>GPQF</w:t>
            </w:r>
          </w:p>
        </w:tc>
        <w:tc>
          <w:tcPr>
            <w:tcW w:w="7270" w:type="dxa"/>
          </w:tcPr>
          <w:p w14:paraId="0EE7FBE3" w14:textId="19E81CAB" w:rsidR="001A264D" w:rsidRPr="004554CB" w:rsidRDefault="001A264D" w:rsidP="00730F5E">
            <w:pPr>
              <w:spacing w:line="240" w:lineRule="auto"/>
              <w:rPr>
                <w:sz w:val="20"/>
                <w:szCs w:val="20"/>
              </w:rPr>
            </w:pPr>
            <w:r w:rsidRPr="004554CB">
              <w:rPr>
                <w:sz w:val="20"/>
                <w:szCs w:val="20"/>
              </w:rPr>
              <w:t>Greater Pacific Qualifications Framework (‘working title’)</w:t>
            </w:r>
          </w:p>
        </w:tc>
      </w:tr>
      <w:tr w:rsidR="004D1303" w:rsidRPr="004554CB" w14:paraId="2B25C725" w14:textId="77777777" w:rsidTr="008B438E">
        <w:tc>
          <w:tcPr>
            <w:tcW w:w="1910" w:type="dxa"/>
          </w:tcPr>
          <w:p w14:paraId="2AE533DA" w14:textId="67D47D49" w:rsidR="004D1303" w:rsidRPr="004554CB" w:rsidRDefault="004D1303" w:rsidP="00730F5E">
            <w:pPr>
              <w:spacing w:line="240" w:lineRule="auto"/>
              <w:rPr>
                <w:rFonts w:cs="Arial"/>
                <w:sz w:val="20"/>
                <w:szCs w:val="20"/>
              </w:rPr>
            </w:pPr>
            <w:r w:rsidRPr="004554CB">
              <w:rPr>
                <w:rFonts w:cs="Arial"/>
                <w:sz w:val="20"/>
                <w:szCs w:val="20"/>
              </w:rPr>
              <w:t>INQAAHE</w:t>
            </w:r>
          </w:p>
        </w:tc>
        <w:tc>
          <w:tcPr>
            <w:tcW w:w="7270" w:type="dxa"/>
          </w:tcPr>
          <w:p w14:paraId="3602F961" w14:textId="76D57518" w:rsidR="004D1303" w:rsidRPr="004554CB" w:rsidRDefault="004D1303" w:rsidP="00730F5E">
            <w:pPr>
              <w:spacing w:line="240" w:lineRule="auto"/>
              <w:rPr>
                <w:sz w:val="20"/>
                <w:szCs w:val="20"/>
              </w:rPr>
            </w:pPr>
            <w:r w:rsidRPr="004554CB">
              <w:rPr>
                <w:sz w:val="20"/>
                <w:szCs w:val="20"/>
              </w:rPr>
              <w:t>International Network for Quality Assuranc</w:t>
            </w:r>
            <w:r w:rsidR="004554CB" w:rsidRPr="004554CB">
              <w:rPr>
                <w:sz w:val="20"/>
                <w:szCs w:val="20"/>
              </w:rPr>
              <w:t xml:space="preserve">e Agencies in Higher Education </w:t>
            </w:r>
          </w:p>
        </w:tc>
      </w:tr>
      <w:tr w:rsidR="00C96F44" w:rsidRPr="004554CB" w14:paraId="1879DEDE" w14:textId="77777777" w:rsidTr="008B438E">
        <w:tc>
          <w:tcPr>
            <w:tcW w:w="1910" w:type="dxa"/>
          </w:tcPr>
          <w:p w14:paraId="32E9BAF3" w14:textId="1667B235" w:rsidR="00C96F44" w:rsidRPr="004554CB" w:rsidRDefault="00C96F44" w:rsidP="00730F5E">
            <w:pPr>
              <w:spacing w:line="240" w:lineRule="auto"/>
              <w:rPr>
                <w:rFonts w:cs="Arial"/>
                <w:sz w:val="20"/>
                <w:szCs w:val="20"/>
              </w:rPr>
            </w:pPr>
            <w:r w:rsidRPr="004554CB">
              <w:rPr>
                <w:rFonts w:cs="Arial"/>
                <w:sz w:val="20"/>
                <w:szCs w:val="20"/>
              </w:rPr>
              <w:t>NQF</w:t>
            </w:r>
          </w:p>
        </w:tc>
        <w:tc>
          <w:tcPr>
            <w:tcW w:w="7270" w:type="dxa"/>
          </w:tcPr>
          <w:p w14:paraId="4BB5CCAD" w14:textId="2F80A9F9" w:rsidR="00C96F44" w:rsidRPr="004554CB" w:rsidRDefault="00C96F44" w:rsidP="00730F5E">
            <w:pPr>
              <w:spacing w:line="240" w:lineRule="auto"/>
              <w:rPr>
                <w:rFonts w:cs="Arial"/>
                <w:sz w:val="20"/>
                <w:szCs w:val="20"/>
              </w:rPr>
            </w:pPr>
            <w:r w:rsidRPr="004554CB">
              <w:rPr>
                <w:rFonts w:cs="Arial"/>
                <w:sz w:val="20"/>
                <w:szCs w:val="20"/>
              </w:rPr>
              <w:t xml:space="preserve">National </w:t>
            </w:r>
            <w:r w:rsidR="00217580" w:rsidRPr="004554CB">
              <w:rPr>
                <w:rFonts w:cs="Arial"/>
                <w:sz w:val="20"/>
                <w:szCs w:val="20"/>
              </w:rPr>
              <w:t>Qualifications Framework</w:t>
            </w:r>
          </w:p>
        </w:tc>
      </w:tr>
      <w:tr w:rsidR="00277E72" w:rsidRPr="004554CB" w14:paraId="79267CC8" w14:textId="77777777" w:rsidTr="008B438E">
        <w:tc>
          <w:tcPr>
            <w:tcW w:w="1910" w:type="dxa"/>
          </w:tcPr>
          <w:p w14:paraId="519CC994" w14:textId="67FE366D" w:rsidR="00277E72" w:rsidRPr="004554CB" w:rsidRDefault="00277E72" w:rsidP="00730F5E">
            <w:pPr>
              <w:spacing w:line="240" w:lineRule="auto"/>
              <w:rPr>
                <w:rFonts w:cs="Arial"/>
                <w:sz w:val="20"/>
                <w:szCs w:val="20"/>
              </w:rPr>
            </w:pPr>
            <w:r w:rsidRPr="004554CB">
              <w:rPr>
                <w:rFonts w:cs="Arial"/>
                <w:sz w:val="20"/>
                <w:szCs w:val="20"/>
              </w:rPr>
              <w:t>NQAF</w:t>
            </w:r>
          </w:p>
        </w:tc>
        <w:tc>
          <w:tcPr>
            <w:tcW w:w="7270" w:type="dxa"/>
          </w:tcPr>
          <w:p w14:paraId="06EE25A2" w14:textId="609DD348" w:rsidR="00277E72" w:rsidRPr="004554CB" w:rsidRDefault="00277E72" w:rsidP="00730F5E">
            <w:pPr>
              <w:spacing w:line="240" w:lineRule="auto"/>
              <w:rPr>
                <w:rFonts w:cs="Arial"/>
                <w:sz w:val="20"/>
                <w:szCs w:val="20"/>
              </w:rPr>
            </w:pPr>
            <w:r w:rsidRPr="004554CB">
              <w:rPr>
                <w:sz w:val="20"/>
                <w:szCs w:val="20"/>
              </w:rPr>
              <w:t>National Quality Assurance Framework</w:t>
            </w:r>
          </w:p>
        </w:tc>
      </w:tr>
      <w:tr w:rsidR="0096339B" w:rsidRPr="004554CB" w14:paraId="6FB6E9ED" w14:textId="77777777" w:rsidTr="008B438E">
        <w:tc>
          <w:tcPr>
            <w:tcW w:w="1910" w:type="dxa"/>
          </w:tcPr>
          <w:p w14:paraId="2B3387DB" w14:textId="075278DB" w:rsidR="0096339B" w:rsidRPr="004554CB" w:rsidRDefault="0077403C" w:rsidP="00730F5E">
            <w:pPr>
              <w:spacing w:line="240" w:lineRule="auto"/>
              <w:rPr>
                <w:rFonts w:cs="Arial"/>
                <w:sz w:val="20"/>
                <w:szCs w:val="20"/>
              </w:rPr>
            </w:pPr>
            <w:r w:rsidRPr="004554CB">
              <w:rPr>
                <w:rFonts w:cs="Arial"/>
                <w:sz w:val="20"/>
                <w:szCs w:val="20"/>
              </w:rPr>
              <w:t>NZQA</w:t>
            </w:r>
          </w:p>
        </w:tc>
        <w:tc>
          <w:tcPr>
            <w:tcW w:w="7270" w:type="dxa"/>
          </w:tcPr>
          <w:p w14:paraId="72EFAC6E" w14:textId="2554B14B" w:rsidR="0096339B" w:rsidRPr="004554CB" w:rsidRDefault="008B438E" w:rsidP="00730F5E">
            <w:pPr>
              <w:spacing w:line="240" w:lineRule="auto"/>
              <w:rPr>
                <w:rFonts w:cs="Arial"/>
                <w:sz w:val="20"/>
                <w:szCs w:val="20"/>
              </w:rPr>
            </w:pPr>
            <w:r w:rsidRPr="004554CB">
              <w:rPr>
                <w:rFonts w:cs="Arial"/>
                <w:sz w:val="20"/>
                <w:szCs w:val="20"/>
              </w:rPr>
              <w:t xml:space="preserve">New Zealand Qualifications Authority </w:t>
            </w:r>
            <w:r w:rsidR="00C87539" w:rsidRPr="004554CB">
              <w:rPr>
                <w:rFonts w:cs="Arial"/>
                <w:sz w:val="20"/>
                <w:szCs w:val="20"/>
              </w:rPr>
              <w:t xml:space="preserve"> </w:t>
            </w:r>
          </w:p>
        </w:tc>
      </w:tr>
      <w:tr w:rsidR="002101E3" w:rsidRPr="004554CB" w14:paraId="3F203CD0" w14:textId="77777777" w:rsidTr="008B438E">
        <w:tc>
          <w:tcPr>
            <w:tcW w:w="1910" w:type="dxa"/>
          </w:tcPr>
          <w:p w14:paraId="5C8FA946" w14:textId="241CC676" w:rsidR="002101E3" w:rsidRPr="004554CB" w:rsidRDefault="002101E3" w:rsidP="00730F5E">
            <w:pPr>
              <w:spacing w:line="240" w:lineRule="auto"/>
              <w:rPr>
                <w:rFonts w:cs="Arial"/>
                <w:sz w:val="20"/>
                <w:szCs w:val="20"/>
              </w:rPr>
            </w:pPr>
            <w:r w:rsidRPr="004554CB">
              <w:rPr>
                <w:rFonts w:cs="Arial"/>
                <w:sz w:val="20"/>
                <w:szCs w:val="20"/>
              </w:rPr>
              <w:t>OCTA</w:t>
            </w:r>
          </w:p>
        </w:tc>
        <w:tc>
          <w:tcPr>
            <w:tcW w:w="7270" w:type="dxa"/>
          </w:tcPr>
          <w:p w14:paraId="0E5DCA22" w14:textId="52C9D5D2" w:rsidR="002101E3" w:rsidRPr="004554CB" w:rsidRDefault="002101E3" w:rsidP="00730F5E">
            <w:pPr>
              <w:spacing w:line="240" w:lineRule="auto"/>
              <w:rPr>
                <w:rFonts w:cs="Arial"/>
                <w:sz w:val="20"/>
                <w:szCs w:val="20"/>
              </w:rPr>
            </w:pPr>
            <w:r w:rsidRPr="004554CB">
              <w:rPr>
                <w:sz w:val="20"/>
                <w:szCs w:val="20"/>
              </w:rPr>
              <w:t>Office of the Chief Trade Advisor</w:t>
            </w:r>
          </w:p>
        </w:tc>
      </w:tr>
      <w:tr w:rsidR="002B092A" w:rsidRPr="004554CB" w14:paraId="37776B8B" w14:textId="77777777" w:rsidTr="008B438E">
        <w:tc>
          <w:tcPr>
            <w:tcW w:w="1910" w:type="dxa"/>
          </w:tcPr>
          <w:p w14:paraId="55C97D85" w14:textId="501F0308" w:rsidR="002B092A" w:rsidRPr="004554CB" w:rsidRDefault="002B092A" w:rsidP="00730F5E">
            <w:pPr>
              <w:spacing w:line="240" w:lineRule="auto"/>
              <w:rPr>
                <w:rFonts w:cs="Arial"/>
                <w:sz w:val="20"/>
                <w:szCs w:val="20"/>
              </w:rPr>
            </w:pPr>
            <w:r w:rsidRPr="004554CB">
              <w:rPr>
                <w:rFonts w:cs="Arial"/>
                <w:sz w:val="20"/>
                <w:szCs w:val="20"/>
              </w:rPr>
              <w:t>PACER</w:t>
            </w:r>
          </w:p>
        </w:tc>
        <w:tc>
          <w:tcPr>
            <w:tcW w:w="7270" w:type="dxa"/>
          </w:tcPr>
          <w:p w14:paraId="2DE14DEE" w14:textId="322BA9D4" w:rsidR="002B092A" w:rsidRPr="004554CB" w:rsidRDefault="002B092A" w:rsidP="00730F5E">
            <w:pPr>
              <w:spacing w:line="240" w:lineRule="auto"/>
              <w:rPr>
                <w:sz w:val="20"/>
                <w:szCs w:val="20"/>
              </w:rPr>
            </w:pPr>
            <w:r w:rsidRPr="004554CB">
              <w:rPr>
                <w:sz w:val="20"/>
                <w:szCs w:val="20"/>
                <w:lang w:val="en-US"/>
              </w:rPr>
              <w:t>Pacific Agreement on Closer Economic Relations</w:t>
            </w:r>
          </w:p>
        </w:tc>
      </w:tr>
      <w:tr w:rsidR="00BB5B09" w:rsidRPr="004554CB" w14:paraId="3E6F99F9" w14:textId="77777777" w:rsidTr="008B438E">
        <w:tc>
          <w:tcPr>
            <w:tcW w:w="1910" w:type="dxa"/>
          </w:tcPr>
          <w:p w14:paraId="6A81B8FF" w14:textId="0104828F" w:rsidR="00BB5B09" w:rsidRPr="004554CB" w:rsidRDefault="00BB5B09" w:rsidP="00730F5E">
            <w:pPr>
              <w:spacing w:line="240" w:lineRule="auto"/>
              <w:rPr>
                <w:rFonts w:cs="Arial"/>
                <w:sz w:val="20"/>
                <w:szCs w:val="20"/>
              </w:rPr>
            </w:pPr>
            <w:r w:rsidRPr="004554CB">
              <w:rPr>
                <w:rFonts w:cs="Arial"/>
                <w:sz w:val="20"/>
                <w:szCs w:val="20"/>
              </w:rPr>
              <w:t>PICTA</w:t>
            </w:r>
          </w:p>
        </w:tc>
        <w:tc>
          <w:tcPr>
            <w:tcW w:w="7270" w:type="dxa"/>
          </w:tcPr>
          <w:p w14:paraId="0DA2ED20" w14:textId="2596FA27" w:rsidR="00BB5B09" w:rsidRPr="004554CB" w:rsidRDefault="00BB5B09" w:rsidP="00730F5E">
            <w:pPr>
              <w:spacing w:line="240" w:lineRule="auto"/>
              <w:rPr>
                <w:rFonts w:cs="Arial"/>
                <w:sz w:val="20"/>
                <w:szCs w:val="20"/>
              </w:rPr>
            </w:pPr>
            <w:r w:rsidRPr="004554CB">
              <w:rPr>
                <w:sz w:val="20"/>
                <w:szCs w:val="20"/>
              </w:rPr>
              <w:t xml:space="preserve">Pacific Island Countries Trade Agreement </w:t>
            </w:r>
          </w:p>
        </w:tc>
      </w:tr>
      <w:tr w:rsidR="0077403C" w:rsidRPr="004554CB" w14:paraId="3F097FAA" w14:textId="77777777" w:rsidTr="008B438E">
        <w:tc>
          <w:tcPr>
            <w:tcW w:w="1910" w:type="dxa"/>
          </w:tcPr>
          <w:p w14:paraId="44CEA841" w14:textId="6A736D61" w:rsidR="0077403C" w:rsidRPr="004554CB" w:rsidRDefault="0077403C" w:rsidP="00730F5E">
            <w:pPr>
              <w:spacing w:line="240" w:lineRule="auto"/>
              <w:rPr>
                <w:rFonts w:cs="Arial"/>
                <w:sz w:val="20"/>
                <w:szCs w:val="20"/>
              </w:rPr>
            </w:pPr>
            <w:r w:rsidRPr="004554CB">
              <w:rPr>
                <w:rFonts w:cs="Arial"/>
                <w:sz w:val="20"/>
                <w:szCs w:val="20"/>
              </w:rPr>
              <w:t>PIF</w:t>
            </w:r>
          </w:p>
        </w:tc>
        <w:tc>
          <w:tcPr>
            <w:tcW w:w="7270" w:type="dxa"/>
          </w:tcPr>
          <w:p w14:paraId="4719ACDD" w14:textId="75868BA5" w:rsidR="0077403C" w:rsidRPr="004554CB" w:rsidRDefault="0077403C" w:rsidP="00730F5E">
            <w:pPr>
              <w:spacing w:line="240" w:lineRule="auto"/>
              <w:rPr>
                <w:rFonts w:cs="Arial"/>
                <w:sz w:val="20"/>
                <w:szCs w:val="20"/>
              </w:rPr>
            </w:pPr>
            <w:r w:rsidRPr="004554CB">
              <w:rPr>
                <w:rFonts w:cs="Arial"/>
                <w:sz w:val="20"/>
                <w:szCs w:val="20"/>
              </w:rPr>
              <w:t>Pacific Island Forum</w:t>
            </w:r>
          </w:p>
        </w:tc>
      </w:tr>
      <w:tr w:rsidR="0077403C" w:rsidRPr="004554CB" w14:paraId="5F0F1594" w14:textId="77777777" w:rsidTr="008B438E">
        <w:tc>
          <w:tcPr>
            <w:tcW w:w="1910" w:type="dxa"/>
          </w:tcPr>
          <w:p w14:paraId="22F7CD78" w14:textId="60BBAFDF" w:rsidR="0077403C" w:rsidRPr="004554CB" w:rsidRDefault="0077403C" w:rsidP="00730F5E">
            <w:pPr>
              <w:spacing w:line="240" w:lineRule="auto"/>
              <w:rPr>
                <w:rFonts w:cs="Arial"/>
                <w:sz w:val="20"/>
                <w:szCs w:val="20"/>
              </w:rPr>
            </w:pPr>
            <w:r w:rsidRPr="004554CB">
              <w:rPr>
                <w:rFonts w:cs="Arial"/>
                <w:sz w:val="20"/>
                <w:szCs w:val="20"/>
              </w:rPr>
              <w:t>PIFS</w:t>
            </w:r>
          </w:p>
        </w:tc>
        <w:tc>
          <w:tcPr>
            <w:tcW w:w="7270" w:type="dxa"/>
          </w:tcPr>
          <w:p w14:paraId="1792352F" w14:textId="513C024C" w:rsidR="0077403C" w:rsidRPr="004554CB" w:rsidRDefault="0077403C" w:rsidP="00730F5E">
            <w:pPr>
              <w:spacing w:line="240" w:lineRule="auto"/>
              <w:rPr>
                <w:rFonts w:cs="Arial"/>
                <w:sz w:val="20"/>
                <w:szCs w:val="20"/>
              </w:rPr>
            </w:pPr>
            <w:r w:rsidRPr="004554CB">
              <w:rPr>
                <w:rFonts w:cs="Arial"/>
                <w:sz w:val="20"/>
                <w:szCs w:val="20"/>
              </w:rPr>
              <w:t xml:space="preserve">Pacific Island Forum Secretariat </w:t>
            </w:r>
          </w:p>
        </w:tc>
      </w:tr>
      <w:tr w:rsidR="00943AEF" w:rsidRPr="004554CB" w14:paraId="64223E44" w14:textId="77777777" w:rsidTr="008B438E">
        <w:tc>
          <w:tcPr>
            <w:tcW w:w="1910" w:type="dxa"/>
          </w:tcPr>
          <w:p w14:paraId="02F79DEC" w14:textId="1EA270A0" w:rsidR="00943AEF" w:rsidRPr="004554CB" w:rsidRDefault="00943AEF" w:rsidP="00730F5E">
            <w:pPr>
              <w:spacing w:line="240" w:lineRule="auto"/>
              <w:rPr>
                <w:rFonts w:cs="Arial"/>
                <w:sz w:val="20"/>
                <w:szCs w:val="20"/>
              </w:rPr>
            </w:pPr>
            <w:r w:rsidRPr="004554CB">
              <w:rPr>
                <w:rFonts w:cs="Arial"/>
                <w:sz w:val="20"/>
                <w:szCs w:val="20"/>
              </w:rPr>
              <w:t>PQF</w:t>
            </w:r>
          </w:p>
        </w:tc>
        <w:tc>
          <w:tcPr>
            <w:tcW w:w="7270" w:type="dxa"/>
          </w:tcPr>
          <w:p w14:paraId="7072187C" w14:textId="75DCD1E7" w:rsidR="00943AEF" w:rsidRPr="004554CB" w:rsidRDefault="00943AEF" w:rsidP="00730F5E">
            <w:pPr>
              <w:spacing w:line="240" w:lineRule="auto"/>
              <w:rPr>
                <w:rFonts w:cs="Arial"/>
                <w:sz w:val="20"/>
                <w:szCs w:val="20"/>
              </w:rPr>
            </w:pPr>
            <w:r w:rsidRPr="004554CB">
              <w:rPr>
                <w:rFonts w:cs="Arial"/>
                <w:sz w:val="20"/>
                <w:szCs w:val="20"/>
              </w:rPr>
              <w:t xml:space="preserve">Pacific Qualifications Framework </w:t>
            </w:r>
          </w:p>
        </w:tc>
      </w:tr>
      <w:tr w:rsidR="00943AEF" w:rsidRPr="004554CB" w14:paraId="66567A65" w14:textId="77777777" w:rsidTr="008B438E">
        <w:tc>
          <w:tcPr>
            <w:tcW w:w="1910" w:type="dxa"/>
          </w:tcPr>
          <w:p w14:paraId="6DC511BA" w14:textId="58C76E3C" w:rsidR="00943AEF" w:rsidRPr="004554CB" w:rsidRDefault="00943AEF" w:rsidP="00730F5E">
            <w:pPr>
              <w:spacing w:line="240" w:lineRule="auto"/>
              <w:rPr>
                <w:rFonts w:cs="Arial"/>
                <w:sz w:val="20"/>
                <w:szCs w:val="20"/>
              </w:rPr>
            </w:pPr>
            <w:r w:rsidRPr="004554CB">
              <w:rPr>
                <w:rFonts w:cs="Arial"/>
                <w:sz w:val="20"/>
                <w:szCs w:val="20"/>
              </w:rPr>
              <w:t>PQAF</w:t>
            </w:r>
          </w:p>
        </w:tc>
        <w:tc>
          <w:tcPr>
            <w:tcW w:w="7270" w:type="dxa"/>
          </w:tcPr>
          <w:p w14:paraId="3C460C66" w14:textId="664B23B2" w:rsidR="00943AEF" w:rsidRPr="004554CB" w:rsidRDefault="00943AEF" w:rsidP="00730F5E">
            <w:pPr>
              <w:spacing w:line="240" w:lineRule="auto"/>
              <w:rPr>
                <w:rFonts w:cs="Arial"/>
                <w:sz w:val="20"/>
                <w:szCs w:val="20"/>
              </w:rPr>
            </w:pPr>
            <w:r w:rsidRPr="004554CB">
              <w:rPr>
                <w:rFonts w:cs="Arial"/>
                <w:sz w:val="20"/>
                <w:szCs w:val="20"/>
              </w:rPr>
              <w:t>Pacific Quality Assurance Framework</w:t>
            </w:r>
          </w:p>
        </w:tc>
      </w:tr>
      <w:tr w:rsidR="00F572E6" w:rsidRPr="004554CB" w14:paraId="0BA68681" w14:textId="77777777" w:rsidTr="00203571">
        <w:tc>
          <w:tcPr>
            <w:tcW w:w="1910" w:type="dxa"/>
          </w:tcPr>
          <w:p w14:paraId="2100F85C" w14:textId="77777777" w:rsidR="00F572E6" w:rsidRPr="004554CB" w:rsidRDefault="00F572E6" w:rsidP="00730F5E">
            <w:pPr>
              <w:spacing w:line="240" w:lineRule="auto"/>
              <w:rPr>
                <w:rFonts w:cs="Arial"/>
                <w:sz w:val="20"/>
                <w:szCs w:val="20"/>
              </w:rPr>
            </w:pPr>
            <w:r w:rsidRPr="004554CB">
              <w:rPr>
                <w:rFonts w:cs="Arial"/>
                <w:sz w:val="20"/>
                <w:szCs w:val="20"/>
              </w:rPr>
              <w:t>PRQS</w:t>
            </w:r>
          </w:p>
        </w:tc>
        <w:tc>
          <w:tcPr>
            <w:tcW w:w="7270" w:type="dxa"/>
          </w:tcPr>
          <w:p w14:paraId="3D4498CB" w14:textId="77777777" w:rsidR="00F572E6" w:rsidRPr="004554CB" w:rsidRDefault="00F572E6" w:rsidP="00730F5E">
            <w:pPr>
              <w:spacing w:line="240" w:lineRule="auto"/>
              <w:rPr>
                <w:rFonts w:cs="Arial"/>
                <w:sz w:val="20"/>
                <w:szCs w:val="20"/>
              </w:rPr>
            </w:pPr>
            <w:r w:rsidRPr="004554CB">
              <w:rPr>
                <w:rFonts w:cs="Arial"/>
                <w:sz w:val="20"/>
                <w:szCs w:val="20"/>
              </w:rPr>
              <w:t xml:space="preserve">Pacific Register of Qualifications and Standards </w:t>
            </w:r>
          </w:p>
        </w:tc>
      </w:tr>
      <w:tr w:rsidR="00C96F44" w:rsidRPr="004554CB" w14:paraId="2697C81D" w14:textId="77777777" w:rsidTr="008B438E">
        <w:tc>
          <w:tcPr>
            <w:tcW w:w="1910" w:type="dxa"/>
          </w:tcPr>
          <w:p w14:paraId="721785B7" w14:textId="27E4B9A2" w:rsidR="00C96F44" w:rsidRPr="004554CB" w:rsidRDefault="00C96F44" w:rsidP="00730F5E">
            <w:pPr>
              <w:spacing w:line="240" w:lineRule="auto"/>
              <w:rPr>
                <w:rFonts w:cs="Arial"/>
                <w:sz w:val="20"/>
                <w:szCs w:val="20"/>
              </w:rPr>
            </w:pPr>
            <w:r w:rsidRPr="004554CB">
              <w:rPr>
                <w:rFonts w:cs="Arial"/>
                <w:sz w:val="20"/>
                <w:szCs w:val="20"/>
              </w:rPr>
              <w:t>RQF</w:t>
            </w:r>
          </w:p>
        </w:tc>
        <w:tc>
          <w:tcPr>
            <w:tcW w:w="7270" w:type="dxa"/>
          </w:tcPr>
          <w:p w14:paraId="0B71C4CE" w14:textId="68504291" w:rsidR="00C96F44" w:rsidRPr="004554CB" w:rsidRDefault="00C96F44" w:rsidP="00730F5E">
            <w:pPr>
              <w:spacing w:line="240" w:lineRule="auto"/>
              <w:rPr>
                <w:rFonts w:cs="Arial"/>
                <w:sz w:val="20"/>
                <w:szCs w:val="20"/>
              </w:rPr>
            </w:pPr>
            <w:r w:rsidRPr="004554CB">
              <w:rPr>
                <w:rFonts w:cs="Arial"/>
                <w:sz w:val="20"/>
                <w:szCs w:val="20"/>
              </w:rPr>
              <w:t xml:space="preserve">Regional </w:t>
            </w:r>
            <w:r w:rsidR="006B7E4C" w:rsidRPr="004554CB">
              <w:rPr>
                <w:rFonts w:cs="Arial"/>
                <w:sz w:val="20"/>
                <w:szCs w:val="20"/>
              </w:rPr>
              <w:t>Qualifications Framework</w:t>
            </w:r>
          </w:p>
        </w:tc>
      </w:tr>
      <w:tr w:rsidR="00580280" w:rsidRPr="004554CB" w14:paraId="6D2D5CB4" w14:textId="77777777" w:rsidTr="008B438E">
        <w:tc>
          <w:tcPr>
            <w:tcW w:w="1910" w:type="dxa"/>
          </w:tcPr>
          <w:p w14:paraId="217C6B5E" w14:textId="004A47ED" w:rsidR="00580280" w:rsidRPr="004554CB" w:rsidRDefault="00580280" w:rsidP="00730F5E">
            <w:pPr>
              <w:spacing w:line="240" w:lineRule="auto"/>
              <w:rPr>
                <w:rFonts w:cs="Arial"/>
                <w:sz w:val="20"/>
                <w:szCs w:val="20"/>
              </w:rPr>
            </w:pPr>
            <w:r>
              <w:rPr>
                <w:rFonts w:cs="Arial"/>
                <w:sz w:val="20"/>
                <w:szCs w:val="20"/>
              </w:rPr>
              <w:lastRenderedPageBreak/>
              <w:t>QA</w:t>
            </w:r>
          </w:p>
        </w:tc>
        <w:tc>
          <w:tcPr>
            <w:tcW w:w="7270" w:type="dxa"/>
          </w:tcPr>
          <w:p w14:paraId="3D2FC88B" w14:textId="3CB5FD2E" w:rsidR="00580280" w:rsidRPr="004554CB" w:rsidRDefault="00580280" w:rsidP="00730F5E">
            <w:pPr>
              <w:spacing w:line="240" w:lineRule="auto"/>
              <w:rPr>
                <w:rFonts w:cs="Arial"/>
                <w:sz w:val="20"/>
                <w:szCs w:val="20"/>
              </w:rPr>
            </w:pPr>
            <w:r>
              <w:rPr>
                <w:rFonts w:cs="Arial"/>
                <w:sz w:val="20"/>
                <w:szCs w:val="20"/>
              </w:rPr>
              <w:t>Quality assurance</w:t>
            </w:r>
          </w:p>
        </w:tc>
      </w:tr>
      <w:tr w:rsidR="001D2D73" w:rsidRPr="004554CB" w14:paraId="011B08CF" w14:textId="77777777" w:rsidTr="008B438E">
        <w:tc>
          <w:tcPr>
            <w:tcW w:w="1910" w:type="dxa"/>
          </w:tcPr>
          <w:p w14:paraId="0D74A2FB" w14:textId="419F685A" w:rsidR="001D2D73" w:rsidRPr="004554CB" w:rsidRDefault="001D2D73" w:rsidP="00730F5E">
            <w:pPr>
              <w:spacing w:line="240" w:lineRule="auto"/>
              <w:rPr>
                <w:rFonts w:cs="Arial"/>
                <w:sz w:val="20"/>
                <w:szCs w:val="20"/>
              </w:rPr>
            </w:pPr>
            <w:r w:rsidRPr="004554CB">
              <w:rPr>
                <w:rFonts w:cs="Arial"/>
                <w:sz w:val="20"/>
                <w:szCs w:val="20"/>
              </w:rPr>
              <w:t>SPBEA</w:t>
            </w:r>
          </w:p>
        </w:tc>
        <w:tc>
          <w:tcPr>
            <w:tcW w:w="7270" w:type="dxa"/>
          </w:tcPr>
          <w:p w14:paraId="4E9D3C31" w14:textId="052D9AFC" w:rsidR="001D2D73" w:rsidRPr="004554CB" w:rsidRDefault="001D2D73" w:rsidP="00730F5E">
            <w:pPr>
              <w:spacing w:line="240" w:lineRule="auto"/>
              <w:rPr>
                <w:rFonts w:cs="Arial"/>
                <w:sz w:val="20"/>
                <w:szCs w:val="20"/>
              </w:rPr>
            </w:pPr>
            <w:r w:rsidRPr="004554CB">
              <w:rPr>
                <w:sz w:val="20"/>
                <w:szCs w:val="20"/>
              </w:rPr>
              <w:t>Secretariat of the Pacific Board of Educational Assessment</w:t>
            </w:r>
          </w:p>
        </w:tc>
      </w:tr>
      <w:tr w:rsidR="0096339B" w:rsidRPr="004554CB" w14:paraId="74E4A7A7" w14:textId="77777777" w:rsidTr="008B438E">
        <w:tc>
          <w:tcPr>
            <w:tcW w:w="1910" w:type="dxa"/>
          </w:tcPr>
          <w:p w14:paraId="57390D93" w14:textId="0044C556" w:rsidR="0096339B" w:rsidRPr="004554CB" w:rsidRDefault="0077403C" w:rsidP="00730F5E">
            <w:pPr>
              <w:spacing w:line="240" w:lineRule="auto"/>
              <w:rPr>
                <w:rFonts w:cs="Arial"/>
                <w:sz w:val="20"/>
                <w:szCs w:val="20"/>
              </w:rPr>
            </w:pPr>
            <w:r w:rsidRPr="004554CB">
              <w:rPr>
                <w:rFonts w:cs="Arial"/>
                <w:sz w:val="20"/>
                <w:szCs w:val="20"/>
              </w:rPr>
              <w:t>SPC</w:t>
            </w:r>
          </w:p>
        </w:tc>
        <w:tc>
          <w:tcPr>
            <w:tcW w:w="7270" w:type="dxa"/>
          </w:tcPr>
          <w:p w14:paraId="42CAB092" w14:textId="1BA9A301" w:rsidR="0096339B" w:rsidRPr="004554CB" w:rsidRDefault="0077403C" w:rsidP="00730F5E">
            <w:pPr>
              <w:spacing w:line="240" w:lineRule="auto"/>
              <w:rPr>
                <w:rFonts w:cs="Arial"/>
                <w:sz w:val="20"/>
                <w:szCs w:val="20"/>
              </w:rPr>
            </w:pPr>
            <w:r w:rsidRPr="004554CB">
              <w:rPr>
                <w:rFonts w:cs="Arial"/>
                <w:sz w:val="20"/>
                <w:szCs w:val="20"/>
              </w:rPr>
              <w:t xml:space="preserve">Secretariat of the Pacific Community </w:t>
            </w:r>
          </w:p>
        </w:tc>
      </w:tr>
      <w:tr w:rsidR="0054671E" w:rsidRPr="004554CB" w14:paraId="53A2C9F5" w14:textId="77777777" w:rsidTr="008B438E">
        <w:tc>
          <w:tcPr>
            <w:tcW w:w="1910" w:type="dxa"/>
          </w:tcPr>
          <w:p w14:paraId="0DC0C53F" w14:textId="71797B04" w:rsidR="0054671E" w:rsidRPr="004554CB" w:rsidRDefault="0096339B" w:rsidP="00730F5E">
            <w:pPr>
              <w:spacing w:line="240" w:lineRule="auto"/>
              <w:rPr>
                <w:rFonts w:cs="Arial"/>
                <w:sz w:val="20"/>
                <w:szCs w:val="20"/>
              </w:rPr>
            </w:pPr>
            <w:r w:rsidRPr="004554CB">
              <w:rPr>
                <w:rFonts w:cs="Arial"/>
                <w:sz w:val="20"/>
                <w:szCs w:val="20"/>
              </w:rPr>
              <w:t xml:space="preserve">USP </w:t>
            </w:r>
          </w:p>
        </w:tc>
        <w:tc>
          <w:tcPr>
            <w:tcW w:w="7270" w:type="dxa"/>
          </w:tcPr>
          <w:p w14:paraId="375BB104" w14:textId="381B5862" w:rsidR="0054671E" w:rsidRPr="004554CB" w:rsidRDefault="0096339B" w:rsidP="00730F5E">
            <w:pPr>
              <w:spacing w:line="240" w:lineRule="auto"/>
              <w:rPr>
                <w:rFonts w:cs="Arial"/>
                <w:sz w:val="20"/>
                <w:szCs w:val="20"/>
              </w:rPr>
            </w:pPr>
            <w:r w:rsidRPr="004554CB">
              <w:rPr>
                <w:rFonts w:cs="Arial"/>
                <w:sz w:val="20"/>
                <w:szCs w:val="20"/>
              </w:rPr>
              <w:t>University of the South Pacific</w:t>
            </w:r>
          </w:p>
        </w:tc>
      </w:tr>
      <w:tr w:rsidR="00733F57" w:rsidRPr="004554CB" w14:paraId="49DAFF39" w14:textId="77777777" w:rsidTr="008B438E">
        <w:tc>
          <w:tcPr>
            <w:tcW w:w="1910" w:type="dxa"/>
          </w:tcPr>
          <w:p w14:paraId="272A9E3D" w14:textId="29A4B86F" w:rsidR="00733F57" w:rsidRPr="004554CB" w:rsidRDefault="004A70CE" w:rsidP="00730F5E">
            <w:pPr>
              <w:spacing w:line="240" w:lineRule="auto"/>
              <w:rPr>
                <w:rFonts w:cs="Arial"/>
                <w:sz w:val="20"/>
                <w:szCs w:val="20"/>
              </w:rPr>
            </w:pPr>
            <w:r>
              <w:rPr>
                <w:rFonts w:cs="Arial"/>
                <w:sz w:val="20"/>
                <w:szCs w:val="20"/>
              </w:rPr>
              <w:t>T</w:t>
            </w:r>
            <w:r w:rsidR="0054671E" w:rsidRPr="004554CB">
              <w:rPr>
                <w:rFonts w:cs="Arial"/>
                <w:sz w:val="20"/>
                <w:szCs w:val="20"/>
              </w:rPr>
              <w:t>VET</w:t>
            </w:r>
          </w:p>
        </w:tc>
        <w:tc>
          <w:tcPr>
            <w:tcW w:w="7270" w:type="dxa"/>
          </w:tcPr>
          <w:p w14:paraId="290542A8" w14:textId="25C42764" w:rsidR="00733F57" w:rsidRPr="004554CB" w:rsidRDefault="004A70CE" w:rsidP="00730F5E">
            <w:pPr>
              <w:spacing w:line="240" w:lineRule="auto"/>
              <w:rPr>
                <w:rFonts w:cs="Arial"/>
                <w:sz w:val="20"/>
                <w:szCs w:val="20"/>
              </w:rPr>
            </w:pPr>
            <w:r>
              <w:rPr>
                <w:rFonts w:cs="Arial"/>
                <w:sz w:val="20"/>
                <w:szCs w:val="20"/>
              </w:rPr>
              <w:t xml:space="preserve">Technical </w:t>
            </w:r>
            <w:r w:rsidR="0054671E" w:rsidRPr="004554CB">
              <w:rPr>
                <w:rFonts w:cs="Arial"/>
                <w:sz w:val="20"/>
                <w:szCs w:val="20"/>
              </w:rPr>
              <w:t>Vocational Education and Training</w:t>
            </w:r>
          </w:p>
        </w:tc>
      </w:tr>
    </w:tbl>
    <w:p w14:paraId="42901258" w14:textId="77777777" w:rsidR="00F269B3" w:rsidRDefault="00F269B3" w:rsidP="00F269B3">
      <w:pPr>
        <w:spacing w:line="240" w:lineRule="auto"/>
      </w:pPr>
      <w:bookmarkStart w:id="7" w:name="_Toc450811708"/>
    </w:p>
    <w:p w14:paraId="070A5F69" w14:textId="77777777" w:rsidR="00F269B3" w:rsidRDefault="00F269B3" w:rsidP="00F269B3">
      <w:pPr>
        <w:spacing w:line="240" w:lineRule="auto"/>
      </w:pPr>
    </w:p>
    <w:p w14:paraId="60CF2D51" w14:textId="77777777" w:rsidR="00F269B3" w:rsidRDefault="00F269B3">
      <w:pPr>
        <w:spacing w:before="0" w:after="200" w:line="276" w:lineRule="auto"/>
        <w:rPr>
          <w:rFonts w:asciiTheme="majorHAnsi" w:eastAsiaTheme="majorEastAsia" w:hAnsiTheme="majorHAnsi" w:cstheme="majorBidi"/>
          <w:b/>
          <w:bCs/>
          <w:color w:val="95050F"/>
          <w:sz w:val="32"/>
          <w:szCs w:val="28"/>
        </w:rPr>
      </w:pPr>
      <w:r>
        <w:br w:type="page"/>
      </w:r>
    </w:p>
    <w:p w14:paraId="64404888" w14:textId="2C1C9D66" w:rsidR="00960E60" w:rsidRPr="00453ADC" w:rsidRDefault="00960E60" w:rsidP="00453ADC">
      <w:pPr>
        <w:pStyle w:val="Heading1"/>
        <w:rPr>
          <w:color w:val="95050F"/>
        </w:rPr>
      </w:pPr>
      <w:bookmarkStart w:id="8" w:name="_Toc458938568"/>
      <w:bookmarkStart w:id="9" w:name="_Toc462755547"/>
      <w:r w:rsidRPr="00453ADC">
        <w:rPr>
          <w:color w:val="95050F"/>
        </w:rPr>
        <w:lastRenderedPageBreak/>
        <w:t>Executive summary</w:t>
      </w:r>
      <w:bookmarkEnd w:id="8"/>
      <w:bookmarkEnd w:id="9"/>
    </w:p>
    <w:p w14:paraId="17CBB3F1" w14:textId="65E57C2B" w:rsidR="00602D8F" w:rsidRDefault="00806439" w:rsidP="00371382">
      <w:pPr>
        <w:spacing w:line="240" w:lineRule="auto"/>
      </w:pPr>
      <w:r>
        <w:t xml:space="preserve">The </w:t>
      </w:r>
      <w:r w:rsidR="0027343E">
        <w:t xml:space="preserve">Australian </w:t>
      </w:r>
      <w:r w:rsidR="00602D8F">
        <w:t>D</w:t>
      </w:r>
      <w:r>
        <w:t xml:space="preserve">epartment of </w:t>
      </w:r>
      <w:r w:rsidR="00602D8F">
        <w:t>F</w:t>
      </w:r>
      <w:r>
        <w:t xml:space="preserve">oreign </w:t>
      </w:r>
      <w:r w:rsidR="00602D8F">
        <w:t>A</w:t>
      </w:r>
      <w:r>
        <w:t xml:space="preserve">ffairs and </w:t>
      </w:r>
      <w:r w:rsidR="00602D8F">
        <w:t>T</w:t>
      </w:r>
      <w:r>
        <w:t>rade</w:t>
      </w:r>
      <w:r w:rsidR="00602D8F">
        <w:t xml:space="preserve"> </w:t>
      </w:r>
      <w:r>
        <w:t xml:space="preserve">(DFAT) </w:t>
      </w:r>
      <w:r w:rsidR="00602D8F">
        <w:t>commissioned a strategic review of the Pacific Register of Qualifications and Standards (PRQS) to</w:t>
      </w:r>
      <w:r w:rsidR="00653EE0">
        <w:t>:</w:t>
      </w:r>
    </w:p>
    <w:p w14:paraId="7CC2E715" w14:textId="22321401" w:rsidR="00602D8F" w:rsidRPr="00037E8B" w:rsidRDefault="00602D8F" w:rsidP="00456131">
      <w:pPr>
        <w:pStyle w:val="ListParagraph"/>
        <w:numPr>
          <w:ilvl w:val="0"/>
          <w:numId w:val="11"/>
        </w:numPr>
      </w:pPr>
      <w:r w:rsidRPr="00037E8B">
        <w:t xml:space="preserve">Identify lessons learned from </w:t>
      </w:r>
      <w:r w:rsidR="00DE2607">
        <w:t>the PRQS’s</w:t>
      </w:r>
      <w:r w:rsidRPr="00037E8B">
        <w:t xml:space="preserve"> efforts to facilitate the benchmarking of Pacific qualifications against international standards and to facilitate Paci</w:t>
      </w:r>
      <w:r w:rsidR="00F55A3D">
        <w:t>fic learner and labour mobility</w:t>
      </w:r>
    </w:p>
    <w:p w14:paraId="5C281C38" w14:textId="438F326A" w:rsidR="00602D8F" w:rsidRPr="00037E8B" w:rsidRDefault="00602D8F" w:rsidP="00456131">
      <w:pPr>
        <w:pStyle w:val="ListParagraph"/>
        <w:numPr>
          <w:ilvl w:val="0"/>
          <w:numId w:val="11"/>
        </w:numPr>
      </w:pPr>
      <w:r w:rsidRPr="00037E8B">
        <w:t>Recommend to D</w:t>
      </w:r>
      <w:r w:rsidR="00DE2607">
        <w:t>FAT</w:t>
      </w:r>
      <w:r w:rsidRPr="00037E8B">
        <w:t xml:space="preserve"> a future model of support that will promote greater institutional and </w:t>
      </w:r>
      <w:r w:rsidRPr="0078285C">
        <w:t>program compliance with quality standards, foster international recognition of qualifications, and facilitate Pacific learner and labour mobility.</w:t>
      </w:r>
    </w:p>
    <w:p w14:paraId="68F2B1CD" w14:textId="2D90CD87" w:rsidR="00131BA3" w:rsidRDefault="00131BA3" w:rsidP="00B61FA5">
      <w:pPr>
        <w:spacing w:line="240" w:lineRule="auto"/>
      </w:pPr>
      <w:r>
        <w:t xml:space="preserve">The PRQS program became operational </w:t>
      </w:r>
      <w:r w:rsidR="00B44EEF">
        <w:t xml:space="preserve">in </w:t>
      </w:r>
      <w:r>
        <w:t xml:space="preserve">February 2009. Australia has funded the PRQS from its inception and to the end of December 2016. Funding allocation over this period </w:t>
      </w:r>
      <w:r w:rsidR="00010641">
        <w:t>has been</w:t>
      </w:r>
      <w:r w:rsidRPr="00131BA3">
        <w:t xml:space="preserve"> </w:t>
      </w:r>
      <w:r w:rsidR="00010641">
        <w:t>AUD</w:t>
      </w:r>
      <w:r w:rsidRPr="00131BA3">
        <w:t>$</w:t>
      </w:r>
      <w:r w:rsidRPr="00131BA3">
        <w:fldChar w:fldCharType="begin"/>
      </w:r>
      <w:r w:rsidRPr="00131BA3">
        <w:instrText xml:space="preserve"> =SUM(ABOVE) </w:instrText>
      </w:r>
      <w:r w:rsidRPr="00131BA3">
        <w:fldChar w:fldCharType="separate"/>
      </w:r>
      <w:r w:rsidRPr="00131BA3">
        <w:t>3,058,399</w:t>
      </w:r>
      <w:r w:rsidRPr="00131BA3">
        <w:fldChar w:fldCharType="end"/>
      </w:r>
      <w:r w:rsidR="00894AF2">
        <w:t xml:space="preserve">, with </w:t>
      </w:r>
      <w:r w:rsidR="00894AF2" w:rsidRPr="00053789">
        <w:t>staffing salaries and benefits</w:t>
      </w:r>
      <w:r w:rsidR="00894AF2">
        <w:t xml:space="preserve"> (74%)</w:t>
      </w:r>
      <w:r w:rsidR="00894AF2" w:rsidRPr="00053789">
        <w:t>, and workshops/meetings and consultancy fees</w:t>
      </w:r>
      <w:r w:rsidR="00894AF2">
        <w:t xml:space="preserve"> (21%)</w:t>
      </w:r>
      <w:r>
        <w:t xml:space="preserve"> </w:t>
      </w:r>
      <w:r w:rsidR="00894AF2">
        <w:t xml:space="preserve">being the two largest costs. </w:t>
      </w:r>
      <w:r>
        <w:t xml:space="preserve"> </w:t>
      </w:r>
      <w:r w:rsidR="0005533F">
        <w:t xml:space="preserve">A small team, the Accreditation and Standards Unit (ASU), based within </w:t>
      </w:r>
      <w:r w:rsidR="00F55A3D">
        <w:t xml:space="preserve">the </w:t>
      </w:r>
      <w:r w:rsidR="0005533F">
        <w:t>Educational Quality and Assessment Programme (EQAP), leads the PRQS</w:t>
      </w:r>
      <w:r>
        <w:t xml:space="preserve">. </w:t>
      </w:r>
    </w:p>
    <w:p w14:paraId="3E677F13" w14:textId="0545429E" w:rsidR="0073030C" w:rsidRPr="00037E8B" w:rsidRDefault="00371382" w:rsidP="00B61FA5">
      <w:pPr>
        <w:spacing w:line="240" w:lineRule="auto"/>
      </w:pPr>
      <w:r w:rsidRPr="00037E8B">
        <w:t xml:space="preserve">The PRQS model is </w:t>
      </w:r>
      <w:r w:rsidR="005859D8">
        <w:t xml:space="preserve">both complex and multi-faceted </w:t>
      </w:r>
      <w:r w:rsidR="0096293D">
        <w:t xml:space="preserve">and </w:t>
      </w:r>
      <w:r w:rsidR="00602D8F" w:rsidRPr="00037E8B">
        <w:t xml:space="preserve">links a regional qualifications framework and a regional quality assurance framework to that of a register of recognised agencies, approved qualifications and providers. </w:t>
      </w:r>
      <w:r w:rsidR="0073030C" w:rsidRPr="00037E8B">
        <w:t>The PRQS aim</w:t>
      </w:r>
      <w:r w:rsidR="00342888" w:rsidRPr="00037E8B">
        <w:t>ed</w:t>
      </w:r>
      <w:r w:rsidR="0073030C" w:rsidRPr="00037E8B">
        <w:t xml:space="preserve"> to:</w:t>
      </w:r>
    </w:p>
    <w:p w14:paraId="2382BF31" w14:textId="6CBA9EBF" w:rsidR="0073030C" w:rsidRPr="00037E8B" w:rsidRDefault="0073030C" w:rsidP="00456131">
      <w:pPr>
        <w:pStyle w:val="ListParagraph"/>
        <w:numPr>
          <w:ilvl w:val="0"/>
          <w:numId w:val="11"/>
        </w:numPr>
      </w:pPr>
      <w:r w:rsidRPr="00037E8B">
        <w:t>Support the mobility of Pacific learners and labour</w:t>
      </w:r>
      <w:r w:rsidR="005859D8">
        <w:t>,</w:t>
      </w:r>
      <w:r w:rsidRPr="00037E8B">
        <w:t xml:space="preserve"> </w:t>
      </w:r>
      <w:r w:rsidR="005859D8">
        <w:t xml:space="preserve">and </w:t>
      </w:r>
      <w:r w:rsidRPr="00037E8B">
        <w:t>foster an</w:t>
      </w:r>
      <w:r w:rsidR="00F55A3D">
        <w:t>d sustain regional integration</w:t>
      </w:r>
    </w:p>
    <w:p w14:paraId="69ED729F" w14:textId="77777777" w:rsidR="0073030C" w:rsidRPr="00037E8B" w:rsidRDefault="0073030C" w:rsidP="00456131">
      <w:pPr>
        <w:pStyle w:val="ListParagraph"/>
        <w:numPr>
          <w:ilvl w:val="0"/>
          <w:numId w:val="11"/>
        </w:numPr>
      </w:pPr>
      <w:r w:rsidRPr="00037E8B">
        <w:t>Facilitate informed decisions and choices about comparable and recognised qualifications, accrediting agencies, education and training institutions, professional status of workers, and regional occupational standards in the Pacific region.</w:t>
      </w:r>
      <w:r w:rsidRPr="00037E8B">
        <w:rPr>
          <w:rStyle w:val="FootnoteReference"/>
        </w:rPr>
        <w:footnoteReference w:id="1"/>
      </w:r>
      <w:r w:rsidRPr="00037E8B">
        <w:t xml:space="preserve"> </w:t>
      </w:r>
    </w:p>
    <w:p w14:paraId="1CFB61A5" w14:textId="2F805445" w:rsidR="00CD2D69" w:rsidRDefault="00CD2D69" w:rsidP="00E96D60">
      <w:pPr>
        <w:spacing w:line="240" w:lineRule="auto"/>
      </w:pPr>
      <w:r w:rsidRPr="005F4A58">
        <w:t xml:space="preserve">To what extent the PRQS program </w:t>
      </w:r>
      <w:r w:rsidR="0096293D" w:rsidRPr="005F4A58">
        <w:t xml:space="preserve">has </w:t>
      </w:r>
      <w:r w:rsidRPr="005F4A58">
        <w:t>facilitated the benchmarking of Pacific qualifications against international standards, and Pacific learner and labour mobility into further educational opportunities or entry into the global labour market, is a critical aspect of the review.</w:t>
      </w:r>
    </w:p>
    <w:p w14:paraId="6DDF1901" w14:textId="4D2DD611" w:rsidR="002411ED" w:rsidRDefault="008515CB" w:rsidP="00B90269">
      <w:pPr>
        <w:spacing w:line="240" w:lineRule="auto"/>
      </w:pPr>
      <w:r w:rsidRPr="00037E8B">
        <w:t xml:space="preserve">The PRQS relies on other competent bodies (i.e. national </w:t>
      </w:r>
      <w:r w:rsidR="00091265">
        <w:t xml:space="preserve">quality assurance [QA] </w:t>
      </w:r>
      <w:r w:rsidRPr="00037E8B">
        <w:t xml:space="preserve">agencies), regional professional associations or other regional initiatives to be able to populate the register. </w:t>
      </w:r>
      <w:r w:rsidR="00373BBB">
        <w:t>T</w:t>
      </w:r>
      <w:r w:rsidR="00FC144D">
        <w:t xml:space="preserve">he </w:t>
      </w:r>
      <w:r w:rsidR="0005533F">
        <w:t xml:space="preserve">current </w:t>
      </w:r>
      <w:r w:rsidR="00FC144D">
        <w:t xml:space="preserve">PRQS </w:t>
      </w:r>
      <w:r w:rsidR="00010641">
        <w:t>progress</w:t>
      </w:r>
      <w:r w:rsidR="0005533F">
        <w:t xml:space="preserve"> </w:t>
      </w:r>
      <w:r w:rsidR="00FC144D">
        <w:t xml:space="preserve">reflects </w:t>
      </w:r>
      <w:r w:rsidR="0005533F">
        <w:t xml:space="preserve">the </w:t>
      </w:r>
      <w:r w:rsidR="00373BBB">
        <w:t xml:space="preserve">member countries’ </w:t>
      </w:r>
      <w:r w:rsidR="00FC144D">
        <w:t xml:space="preserve">progress </w:t>
      </w:r>
      <w:r w:rsidR="0005533F">
        <w:t xml:space="preserve">of </w:t>
      </w:r>
      <w:r w:rsidR="00B74B99">
        <w:t xml:space="preserve">establishing </w:t>
      </w:r>
      <w:r w:rsidR="000A1032" w:rsidRPr="0078285C">
        <w:t>National Qualifications Frameworks</w:t>
      </w:r>
      <w:r w:rsidR="000A1032">
        <w:rPr>
          <w:rFonts w:cs="Arial"/>
          <w:sz w:val="20"/>
          <w:szCs w:val="20"/>
        </w:rPr>
        <w:t xml:space="preserve"> (</w:t>
      </w:r>
      <w:r w:rsidR="0005533F">
        <w:t>NQFs</w:t>
      </w:r>
      <w:r w:rsidR="000A1032">
        <w:t>)</w:t>
      </w:r>
      <w:r w:rsidR="0005533F">
        <w:t xml:space="preserve">, </w:t>
      </w:r>
      <w:r w:rsidR="00FC144D">
        <w:t xml:space="preserve">quality assurance </w:t>
      </w:r>
      <w:r w:rsidR="00373BBB">
        <w:t>and governance arrangements</w:t>
      </w:r>
      <w:r w:rsidR="00FC144D">
        <w:t xml:space="preserve">. </w:t>
      </w:r>
      <w:r w:rsidR="00D60780">
        <w:t xml:space="preserve">The </w:t>
      </w:r>
      <w:r w:rsidR="00A71025">
        <w:t xml:space="preserve">progress </w:t>
      </w:r>
      <w:r w:rsidR="00D60780">
        <w:t xml:space="preserve">to </w:t>
      </w:r>
      <w:r w:rsidR="00A71025">
        <w:t xml:space="preserve">date includes </w:t>
      </w:r>
      <w:r w:rsidR="00D60780">
        <w:t xml:space="preserve">the PRQS </w:t>
      </w:r>
      <w:r w:rsidR="009B44A0">
        <w:t>recognising</w:t>
      </w:r>
      <w:r w:rsidR="009E2DE7">
        <w:t xml:space="preserve"> and listing</w:t>
      </w:r>
      <w:r w:rsidR="00B90269">
        <w:t xml:space="preserve"> </w:t>
      </w:r>
      <w:r w:rsidR="00B90269" w:rsidRPr="00037E8B">
        <w:t xml:space="preserve">six national agencies, one regional agency for USA aligned </w:t>
      </w:r>
      <w:r w:rsidR="002411ED">
        <w:t>education systems</w:t>
      </w:r>
      <w:r w:rsidR="00B90269" w:rsidRPr="00037E8B">
        <w:t>, two sectoral agencies</w:t>
      </w:r>
      <w:r w:rsidR="0027343E">
        <w:t>,</w:t>
      </w:r>
      <w:r w:rsidR="002411ED">
        <w:rPr>
          <w:rStyle w:val="FootnoteReference"/>
        </w:rPr>
        <w:footnoteReference w:id="2"/>
      </w:r>
      <w:r w:rsidR="00B90269">
        <w:t xml:space="preserve"> 1</w:t>
      </w:r>
      <w:r w:rsidR="00B90269" w:rsidRPr="00037E8B">
        <w:t>24 quality</w:t>
      </w:r>
      <w:r w:rsidR="000A1032">
        <w:t>-</w:t>
      </w:r>
      <w:r w:rsidR="00B90269" w:rsidRPr="00037E8B">
        <w:t>assur</w:t>
      </w:r>
      <w:r w:rsidR="009B44A0">
        <w:t>ed</w:t>
      </w:r>
      <w:r w:rsidR="00B90269" w:rsidRPr="00037E8B">
        <w:t xml:space="preserve"> qualifications</w:t>
      </w:r>
      <w:r w:rsidR="00CF0EA1">
        <w:t>, and three</w:t>
      </w:r>
      <w:r w:rsidR="00B90269">
        <w:t xml:space="preserve"> </w:t>
      </w:r>
      <w:r w:rsidR="00B90269" w:rsidRPr="00037E8B">
        <w:t>regional benchmarks</w:t>
      </w:r>
      <w:r w:rsidR="00B90269">
        <w:t>.</w:t>
      </w:r>
      <w:r w:rsidR="00FC144D">
        <w:t xml:space="preserve"> T</w:t>
      </w:r>
      <w:r w:rsidR="00B90269">
        <w:t xml:space="preserve">here </w:t>
      </w:r>
      <w:r w:rsidR="00185CF5">
        <w:t xml:space="preserve">have </w:t>
      </w:r>
      <w:r w:rsidR="00B90269">
        <w:t xml:space="preserve">been no </w:t>
      </w:r>
      <w:r w:rsidR="00803AC0">
        <w:t>items listed</w:t>
      </w:r>
      <w:r w:rsidR="00B90269" w:rsidRPr="00037E8B">
        <w:t xml:space="preserve"> in the professional licensing and occupational standards </w:t>
      </w:r>
      <w:r w:rsidR="00B90269">
        <w:t xml:space="preserve">or the </w:t>
      </w:r>
      <w:r w:rsidR="00B90269" w:rsidRPr="00037E8B">
        <w:t xml:space="preserve">traditional knowledge and indigenous skills </w:t>
      </w:r>
      <w:r w:rsidR="002411ED">
        <w:t>domain</w:t>
      </w:r>
      <w:r w:rsidR="00077F48">
        <w:t>s</w:t>
      </w:r>
      <w:r w:rsidR="00B90269" w:rsidRPr="00037E8B">
        <w:t>.</w:t>
      </w:r>
      <w:r w:rsidR="00A71025">
        <w:t xml:space="preserve"> </w:t>
      </w:r>
    </w:p>
    <w:p w14:paraId="403EB9D1" w14:textId="01C21F76" w:rsidR="00CF0EA1" w:rsidRDefault="00131BA3" w:rsidP="00B90269">
      <w:pPr>
        <w:spacing w:line="240" w:lineRule="auto"/>
      </w:pPr>
      <w:r>
        <w:t>It is</w:t>
      </w:r>
      <w:r w:rsidR="009B44A0">
        <w:t xml:space="preserve"> consider</w:t>
      </w:r>
      <w:r w:rsidR="009E2DE7">
        <w:t>ed</w:t>
      </w:r>
      <w:r w:rsidR="009B44A0">
        <w:t xml:space="preserve"> that t</w:t>
      </w:r>
      <w:r w:rsidR="00A71025">
        <w:t xml:space="preserve">he </w:t>
      </w:r>
      <w:r w:rsidR="00AD55BC">
        <w:t xml:space="preserve">current </w:t>
      </w:r>
      <w:r w:rsidR="00A71025">
        <w:t xml:space="preserve">quality assurance arrangements </w:t>
      </w:r>
      <w:r w:rsidR="00910F6A">
        <w:t xml:space="preserve">of the PRQS </w:t>
      </w:r>
      <w:r w:rsidR="00A71025">
        <w:t xml:space="preserve">have not engendered trust or high accountability of its members, </w:t>
      </w:r>
      <w:r w:rsidR="00D43182">
        <w:t xml:space="preserve">possibly due to the lack of rigour of quality review of agencies and </w:t>
      </w:r>
      <w:r w:rsidR="000A1032">
        <w:br/>
      </w:r>
      <w:r w:rsidR="00910F6A">
        <w:t xml:space="preserve">effective </w:t>
      </w:r>
      <w:r w:rsidR="00D43182">
        <w:t>self</w:t>
      </w:r>
      <w:r w:rsidR="000A1032">
        <w:t>-</w:t>
      </w:r>
      <w:r w:rsidR="00D43182">
        <w:t>assessment activities</w:t>
      </w:r>
      <w:r w:rsidR="00CF0EA1">
        <w:t xml:space="preserve">. In addition, the lack of benchmarking or harmonisation of agency processes has meant that there </w:t>
      </w:r>
      <w:r w:rsidR="00BC51BC">
        <w:t>have been</w:t>
      </w:r>
      <w:r w:rsidR="00CF0EA1">
        <w:t xml:space="preserve"> very </w:t>
      </w:r>
      <w:r w:rsidR="00BC51BC">
        <w:t xml:space="preserve">few </w:t>
      </w:r>
      <w:r w:rsidR="00CF0EA1">
        <w:t xml:space="preserve">gains in recognising agency decisions in terms of accreditation of qualifications and registration of providers across borders. </w:t>
      </w:r>
      <w:r w:rsidR="005949B0">
        <w:t>In addition, the inclusion of sectoral agencies poses a level of risk that has not yet been realised.</w:t>
      </w:r>
      <w:r w:rsidR="00AD55BC" w:rsidRPr="00AD55BC">
        <w:t xml:space="preserve"> </w:t>
      </w:r>
      <w:r w:rsidR="00AD55BC">
        <w:t xml:space="preserve">Other strategies to promote harmonisation of processes </w:t>
      </w:r>
      <w:r w:rsidR="000A1032">
        <w:t>(</w:t>
      </w:r>
      <w:r w:rsidR="00AD55BC">
        <w:t>e.g. implementing a regional model for a Diploma Supplement, and developing regional occupational standards</w:t>
      </w:r>
      <w:r w:rsidR="000A1032">
        <w:t>)</w:t>
      </w:r>
      <w:r w:rsidR="00AD55BC">
        <w:t xml:space="preserve"> are only emerging. </w:t>
      </w:r>
    </w:p>
    <w:p w14:paraId="04D20DBD" w14:textId="272453A8" w:rsidR="00D43182" w:rsidRDefault="00077F48" w:rsidP="00B90269">
      <w:pPr>
        <w:spacing w:line="240" w:lineRule="auto"/>
      </w:pPr>
      <w:r>
        <w:t>The</w:t>
      </w:r>
      <w:r w:rsidR="00CF0EA1">
        <w:t xml:space="preserve"> duplication of qualifications on the register has not prompted benchmarking activities, </w:t>
      </w:r>
      <w:r w:rsidR="00D43182">
        <w:t>and the lack of transparency of qualification details on the database</w:t>
      </w:r>
      <w:r w:rsidR="00CF0EA1">
        <w:t xml:space="preserve"> does not enable any benchmarking or comparisons </w:t>
      </w:r>
      <w:r w:rsidR="00CF0EA1">
        <w:lastRenderedPageBreak/>
        <w:t>by countries of these qualifications</w:t>
      </w:r>
      <w:r w:rsidR="00D43182">
        <w:t xml:space="preserve">. </w:t>
      </w:r>
      <w:r w:rsidR="00BC51BC">
        <w:t xml:space="preserve">The register </w:t>
      </w:r>
      <w:r w:rsidR="00CF0EA1">
        <w:t xml:space="preserve">only includes qualifications, and does not enable short course or skills sets </w:t>
      </w:r>
      <w:r w:rsidR="00BC51BC">
        <w:t xml:space="preserve">that could </w:t>
      </w:r>
      <w:r w:rsidR="00CF0EA1">
        <w:t>be recognised</w:t>
      </w:r>
      <w:r w:rsidR="000A1032">
        <w:t>,</w:t>
      </w:r>
      <w:r w:rsidR="005949B0">
        <w:t xml:space="preserve"> which would further the flexibility of the register</w:t>
      </w:r>
      <w:r w:rsidR="00CF0EA1">
        <w:t>.</w:t>
      </w:r>
    </w:p>
    <w:p w14:paraId="59AA06A6" w14:textId="0F3D947D" w:rsidR="00CF0EA1" w:rsidRDefault="00BC51BC" w:rsidP="00B90269">
      <w:pPr>
        <w:spacing w:line="240" w:lineRule="auto"/>
      </w:pPr>
      <w:r>
        <w:t>The</w:t>
      </w:r>
      <w:r w:rsidR="00D43182">
        <w:t xml:space="preserve"> lack of ownership and engagement of </w:t>
      </w:r>
      <w:r w:rsidR="008F21CA">
        <w:t xml:space="preserve">key </w:t>
      </w:r>
      <w:r w:rsidR="00D43182">
        <w:t xml:space="preserve">stakeholders </w:t>
      </w:r>
      <w:r w:rsidR="005949B0">
        <w:t xml:space="preserve">of the PRQS </w:t>
      </w:r>
      <w:r w:rsidR="00FC144D">
        <w:t xml:space="preserve">and its profile across the region </w:t>
      </w:r>
      <w:r w:rsidR="0078285C">
        <w:t>is</w:t>
      </w:r>
      <w:r w:rsidR="00D43182">
        <w:t xml:space="preserve"> concern</w:t>
      </w:r>
      <w:r w:rsidR="008F21CA">
        <w:t>ing.</w:t>
      </w:r>
      <w:r w:rsidR="00D43182">
        <w:t xml:space="preserve"> The governance arrangements of the relevant boards or committees has not promoted engagement across </w:t>
      </w:r>
      <w:r>
        <w:t>the</w:t>
      </w:r>
      <w:r w:rsidR="00D43182">
        <w:t xml:space="preserve"> membership </w:t>
      </w:r>
      <w:r w:rsidR="00910F6A">
        <w:t xml:space="preserve">of the PRQS </w:t>
      </w:r>
      <w:r w:rsidR="00D43182">
        <w:t xml:space="preserve">or extended opportunities to the broader Pacific countries and territories. </w:t>
      </w:r>
      <w:r w:rsidR="006E67AD" w:rsidRPr="00373BBB">
        <w:t>The lack of visibility of the PRQS</w:t>
      </w:r>
      <w:r w:rsidR="006E67AD">
        <w:t xml:space="preserve"> beyond that of national agencies </w:t>
      </w:r>
      <w:r w:rsidR="0078285C">
        <w:t>is</w:t>
      </w:r>
      <w:r w:rsidR="006E67AD">
        <w:t xml:space="preserve"> concerning. </w:t>
      </w:r>
      <w:r w:rsidR="00FC144D">
        <w:t>T</w:t>
      </w:r>
      <w:r w:rsidR="00A71025">
        <w:t xml:space="preserve">he top down approach to quality assurance is potentially alienating to the member countries and places the locus of control with EQAP rather than with the broader Pacific community. </w:t>
      </w:r>
      <w:r w:rsidR="005859D8">
        <w:t xml:space="preserve">Finally, the </w:t>
      </w:r>
      <w:r w:rsidR="00DE2607">
        <w:t xml:space="preserve">review team questioned </w:t>
      </w:r>
      <w:r w:rsidR="005859D8">
        <w:t>EQAP</w:t>
      </w:r>
      <w:r w:rsidR="00DE2607">
        <w:t>’s remit</w:t>
      </w:r>
      <w:r w:rsidR="005859D8">
        <w:t xml:space="preserve"> to </w:t>
      </w:r>
      <w:r w:rsidR="00DE2607">
        <w:t xml:space="preserve">be able to </w:t>
      </w:r>
      <w:r w:rsidR="005859D8">
        <w:t xml:space="preserve">accredit qualifications and register providers across borders, given </w:t>
      </w:r>
      <w:r w:rsidR="0096293D">
        <w:t xml:space="preserve">the </w:t>
      </w:r>
      <w:r w:rsidR="005859D8">
        <w:t xml:space="preserve">national context of legal obligations. </w:t>
      </w:r>
    </w:p>
    <w:p w14:paraId="36FB74B1" w14:textId="5EEF6468" w:rsidR="00635208" w:rsidRPr="00B44EEF" w:rsidRDefault="005859D8" w:rsidP="00635208">
      <w:pPr>
        <w:spacing w:line="240" w:lineRule="auto"/>
      </w:pPr>
      <w:r>
        <w:t xml:space="preserve">However, </w:t>
      </w:r>
      <w:r w:rsidR="009B44A0" w:rsidRPr="004E2DDE">
        <w:t>within the context of increasing globalisation, the international development of regional qualifications and quality assurance frameworks, means that there is still a need</w:t>
      </w:r>
      <w:r w:rsidR="00FD1E17">
        <w:t>,</w:t>
      </w:r>
      <w:r w:rsidR="009B44A0" w:rsidRPr="004E2DDE">
        <w:t xml:space="preserve"> </w:t>
      </w:r>
      <w:r w:rsidR="00910F6A">
        <w:t>or even a greater need</w:t>
      </w:r>
      <w:r w:rsidR="00FD1E17">
        <w:t>,</w:t>
      </w:r>
      <w:r w:rsidR="00910F6A">
        <w:t xml:space="preserve"> </w:t>
      </w:r>
      <w:r w:rsidR="009B44A0" w:rsidRPr="004E2DDE">
        <w:t xml:space="preserve">for a </w:t>
      </w:r>
      <w:r w:rsidR="009B44A0" w:rsidRPr="00B44EEF">
        <w:t>Pacific model</w:t>
      </w:r>
      <w:r w:rsidR="00635208" w:rsidRPr="00B44EEF">
        <w:t>. The PRQS</w:t>
      </w:r>
      <w:r w:rsidR="00B44EEF" w:rsidRPr="00B44EEF">
        <w:t>, as</w:t>
      </w:r>
      <w:r w:rsidR="00635208" w:rsidRPr="00B44EEF">
        <w:t xml:space="preserve"> a key regional initiative</w:t>
      </w:r>
      <w:r w:rsidR="00B44EEF" w:rsidRPr="00B44EEF">
        <w:t>,</w:t>
      </w:r>
      <w:r w:rsidR="00635208" w:rsidRPr="00B44EEF">
        <w:t xml:space="preserve"> </w:t>
      </w:r>
      <w:r w:rsidR="0078285C">
        <w:t xml:space="preserve">can </w:t>
      </w:r>
      <w:r w:rsidR="00635208" w:rsidRPr="00B44EEF">
        <w:t>provide a forum for any regional consultations in relation to qualifications</w:t>
      </w:r>
      <w:r w:rsidR="0058504A">
        <w:t xml:space="preserve"> </w:t>
      </w:r>
      <w:r w:rsidR="0058504A" w:rsidRPr="005108DB">
        <w:t>and quality assurance</w:t>
      </w:r>
      <w:r w:rsidR="00635208" w:rsidRPr="00B44EEF">
        <w:t>; foster common understanding and trust</w:t>
      </w:r>
      <w:r w:rsidR="00EB5B13">
        <w:t>;</w:t>
      </w:r>
      <w:r w:rsidR="00635208" w:rsidRPr="00B44EEF">
        <w:t xml:space="preserve"> and</w:t>
      </w:r>
      <w:r w:rsidR="00EB5B13">
        <w:t>,</w:t>
      </w:r>
      <w:r w:rsidR="00635208" w:rsidRPr="00B44EEF">
        <w:t xml:space="preserve"> develop national capacities in terms of recognition of qualifications. </w:t>
      </w:r>
    </w:p>
    <w:p w14:paraId="2A3830B9" w14:textId="20DDC50F" w:rsidR="00DE2607" w:rsidRPr="00B44EEF" w:rsidRDefault="00635208" w:rsidP="009B44A0">
      <w:pPr>
        <w:spacing w:line="240" w:lineRule="auto"/>
      </w:pPr>
      <w:r w:rsidRPr="00B44EEF">
        <w:t xml:space="preserve">Within the region a recent driver for enhanced labour mobility, </w:t>
      </w:r>
      <w:r w:rsidR="0058504A">
        <w:t xml:space="preserve">the </w:t>
      </w:r>
      <w:r w:rsidRPr="00B44EEF">
        <w:t>Pacific Agreement on Closer Economic Relations (PACER) Plus, has increased the focus on skilled occupation mobility and how the PRQS could support the movement of learner and labour mobility. The implications of the PACER Plus agreement on the future role of the PRQS are significant. The PRQS also has the potential to support other regional initiatives, such as Revised Asia-Pacific Regional Convention on the Recognition of Qualifications in Higher Education 2011, which provides general guidelines intended to facilitate the implementation of regional cooperation regarding recognition of qualifications in the higher education/TVET sector</w:t>
      </w:r>
      <w:r w:rsidR="00B44EEF" w:rsidRPr="00B44EEF">
        <w:t>.</w:t>
      </w:r>
    </w:p>
    <w:p w14:paraId="40A8FF2C" w14:textId="2B6181AC" w:rsidR="00E9304B" w:rsidRDefault="009B44A0" w:rsidP="009B44A0">
      <w:pPr>
        <w:spacing w:line="240" w:lineRule="auto"/>
      </w:pPr>
      <w:r w:rsidRPr="005D3092">
        <w:t>If learner and labour mobi</w:t>
      </w:r>
      <w:r w:rsidRPr="00F64596">
        <w:t>lity is of critical importance to the region, then recognition of qualifi</w:t>
      </w:r>
      <w:r w:rsidRPr="004F1A08">
        <w:t xml:space="preserve">cations and skills is a key strategy to facilitate this mobility. </w:t>
      </w:r>
      <w:r w:rsidR="00E9304B" w:rsidRPr="004F1A08">
        <w:t>The Pac</w:t>
      </w:r>
      <w:r w:rsidR="003A0826" w:rsidRPr="004F1A08">
        <w:t>ific model, being a</w:t>
      </w:r>
      <w:r w:rsidR="003A0826">
        <w:t xml:space="preserve"> </w:t>
      </w:r>
      <w:r w:rsidR="003A0826" w:rsidRPr="00B44EEF">
        <w:t xml:space="preserve">regional </w:t>
      </w:r>
      <w:r w:rsidR="00B44EEF" w:rsidRPr="00B44EEF">
        <w:t>initiative</w:t>
      </w:r>
      <w:r w:rsidR="003A0826" w:rsidRPr="00B44EEF">
        <w:t>, could</w:t>
      </w:r>
      <w:r w:rsidR="003A0826">
        <w:t xml:space="preserve"> be a key catalyst for change </w:t>
      </w:r>
      <w:r w:rsidR="00091265">
        <w:t xml:space="preserve">and </w:t>
      </w:r>
      <w:r w:rsidR="00A45553">
        <w:t xml:space="preserve">be </w:t>
      </w:r>
      <w:r w:rsidR="003A0826" w:rsidRPr="004E2DDE">
        <w:t xml:space="preserve">paramount </w:t>
      </w:r>
      <w:r w:rsidR="00EB5B13">
        <w:t>in</w:t>
      </w:r>
      <w:r w:rsidR="003A0826" w:rsidRPr="004E2DDE">
        <w:t xml:space="preserve"> support</w:t>
      </w:r>
      <w:r w:rsidR="003A0826">
        <w:t>ing</w:t>
      </w:r>
      <w:r w:rsidR="003A0826" w:rsidRPr="004E2DDE">
        <w:t xml:space="preserve"> recognition and </w:t>
      </w:r>
      <w:r w:rsidR="00A45553">
        <w:t>in turn facilitat</w:t>
      </w:r>
      <w:r w:rsidR="00EB5B13">
        <w:t>ing</w:t>
      </w:r>
      <w:r w:rsidR="00A45553">
        <w:t xml:space="preserve"> learner and labour mobility</w:t>
      </w:r>
      <w:r w:rsidR="003A0826" w:rsidRPr="004E2DDE">
        <w:t>.</w:t>
      </w:r>
      <w:r w:rsidR="006E67AD" w:rsidRPr="006E67AD">
        <w:t xml:space="preserve"> </w:t>
      </w:r>
      <w:r w:rsidR="006E67AD">
        <w:t>The PRQS has developed out of an educational context, which is similar to other regional qualifications frameworks. However, as the push for greater connectivity with labour and trade priorities (e.g. trade agreements, labour mobility) increases, it is natural that additional stakeholder groups need to be engaged.</w:t>
      </w:r>
    </w:p>
    <w:p w14:paraId="2FBD7287" w14:textId="6F168C2F" w:rsidR="00E9304B" w:rsidRDefault="00E9304B" w:rsidP="009B44A0">
      <w:pPr>
        <w:spacing w:line="240" w:lineRule="auto"/>
      </w:pPr>
      <w:r w:rsidRPr="004E2DDE">
        <w:t xml:space="preserve">Given the current context, it </w:t>
      </w:r>
      <w:r>
        <w:t>is</w:t>
      </w:r>
      <w:r w:rsidRPr="004E2DDE">
        <w:t xml:space="preserve"> timely to review the current PRQS model and propose an enhanced model to provide a clear focus and purpose and </w:t>
      </w:r>
      <w:r w:rsidR="00B44EEF">
        <w:t>to</w:t>
      </w:r>
      <w:r w:rsidRPr="004E2DDE">
        <w:t xml:space="preserve"> provide stability </w:t>
      </w:r>
      <w:r>
        <w:t xml:space="preserve">and sustainability </w:t>
      </w:r>
      <w:r w:rsidRPr="004E2DDE">
        <w:t xml:space="preserve">over </w:t>
      </w:r>
      <w:r w:rsidRPr="00535C56">
        <w:t xml:space="preserve">the longer term. </w:t>
      </w:r>
      <w:r w:rsidR="00EB5B13">
        <w:br/>
      </w:r>
      <w:r w:rsidR="005108DB">
        <w:t>The</w:t>
      </w:r>
      <w:r w:rsidR="00A45553">
        <w:t xml:space="preserve"> </w:t>
      </w:r>
      <w:r w:rsidR="0058504A">
        <w:t xml:space="preserve">details of a </w:t>
      </w:r>
      <w:r w:rsidR="004F1A08">
        <w:t xml:space="preserve">proposed </w:t>
      </w:r>
      <w:r w:rsidR="00A45553">
        <w:t xml:space="preserve">future Pacific model </w:t>
      </w:r>
      <w:r w:rsidR="0058504A">
        <w:t xml:space="preserve">are </w:t>
      </w:r>
      <w:r w:rsidR="004F1A08">
        <w:t>included</w:t>
      </w:r>
      <w:r w:rsidR="00A45553">
        <w:t xml:space="preserve"> in Appendix 8. </w:t>
      </w:r>
    </w:p>
    <w:p w14:paraId="03C284A3" w14:textId="4F0CDF7C" w:rsidR="009B44A0" w:rsidRPr="00535C56" w:rsidRDefault="009B44A0" w:rsidP="009B44A0">
      <w:pPr>
        <w:spacing w:line="240" w:lineRule="auto"/>
      </w:pPr>
      <w:r w:rsidRPr="004E2DDE">
        <w:t xml:space="preserve">A future Pacific model </w:t>
      </w:r>
      <w:r w:rsidR="00E9304B">
        <w:t xml:space="preserve">needs to </w:t>
      </w:r>
      <w:r w:rsidRPr="004E2DDE">
        <w:t>focus on building trust across the broader Pacific region</w:t>
      </w:r>
      <w:r w:rsidR="00E9304B">
        <w:t>, on</w:t>
      </w:r>
      <w:r w:rsidR="00E9304B" w:rsidRPr="004E2DDE">
        <w:t xml:space="preserve"> harmoni</w:t>
      </w:r>
      <w:r w:rsidR="00ED1337">
        <w:t>s</w:t>
      </w:r>
      <w:r w:rsidR="00E9304B">
        <w:t>ing</w:t>
      </w:r>
      <w:r w:rsidR="00C415CF">
        <w:rPr>
          <w:rStyle w:val="FootnoteReference"/>
        </w:rPr>
        <w:footnoteReference w:id="3"/>
      </w:r>
      <w:r w:rsidR="00E9304B">
        <w:t xml:space="preserve"> recognition processes, and </w:t>
      </w:r>
      <w:r w:rsidR="0058504A">
        <w:t xml:space="preserve">to </w:t>
      </w:r>
      <w:r w:rsidR="00E9304B">
        <w:t>tak</w:t>
      </w:r>
      <w:r w:rsidR="0058504A">
        <w:t>e</w:t>
      </w:r>
      <w:r w:rsidR="00E9304B">
        <w:t xml:space="preserve"> a proactive role in developing regional mechanisms to support recognition, </w:t>
      </w:r>
      <w:r w:rsidR="00EB5B13">
        <w:t xml:space="preserve">for example, </w:t>
      </w:r>
      <w:r w:rsidR="00E9304B">
        <w:t>regional occupational standards and qualifications</w:t>
      </w:r>
      <w:r w:rsidR="00B44EEF">
        <w:t>.</w:t>
      </w:r>
    </w:p>
    <w:p w14:paraId="1AE0B4AF" w14:textId="5C90E463" w:rsidR="001214B4" w:rsidRDefault="00370371" w:rsidP="001214B4">
      <w:pPr>
        <w:spacing w:line="240" w:lineRule="auto"/>
      </w:pPr>
      <w:r>
        <w:t>To</w:t>
      </w:r>
      <w:r w:rsidR="001214B4">
        <w:t xml:space="preserve"> foster a high level of trust and accountability by its members the following should be undertaken:</w:t>
      </w:r>
    </w:p>
    <w:p w14:paraId="2B2CA168" w14:textId="524C5B98" w:rsidR="001214B4" w:rsidRDefault="001214B4" w:rsidP="00456131">
      <w:pPr>
        <w:pStyle w:val="ListParagraph"/>
        <w:numPr>
          <w:ilvl w:val="0"/>
          <w:numId w:val="11"/>
        </w:numPr>
      </w:pPr>
      <w:r>
        <w:t>A robust referencing</w:t>
      </w:r>
      <w:r w:rsidR="0078285C">
        <w:t>, that includes engagement by relevant stakeholders,</w:t>
      </w:r>
      <w:r>
        <w:t xml:space="preserve"> of </w:t>
      </w:r>
      <w:r w:rsidRPr="00816EBE">
        <w:t>NQFs and NQAFs to the PQF and PQAF</w:t>
      </w:r>
      <w:r>
        <w:t>,</w:t>
      </w:r>
      <w:r w:rsidRPr="00816EBE">
        <w:t xml:space="preserve"> which is fit-for-purpose, given the size and scope of the qualifications systems</w:t>
      </w:r>
    </w:p>
    <w:p w14:paraId="191F1755" w14:textId="240AE27C" w:rsidR="001214B4" w:rsidRDefault="001214B4" w:rsidP="00456131">
      <w:pPr>
        <w:pStyle w:val="ListParagraph"/>
        <w:numPr>
          <w:ilvl w:val="0"/>
          <w:numId w:val="11"/>
        </w:numPr>
      </w:pPr>
      <w:r>
        <w:t>Develop</w:t>
      </w:r>
      <w:r w:rsidR="00BC51BC">
        <w:t xml:space="preserve">ment of </w:t>
      </w:r>
      <w:r>
        <w:t xml:space="preserve">clear and unambiguous agreed quality assurance processes, including robust </w:t>
      </w:r>
      <w:r w:rsidR="00EB5B13">
        <w:br/>
      </w:r>
      <w:r>
        <w:t xml:space="preserve">self-assessment </w:t>
      </w:r>
      <w:r w:rsidR="0027343E">
        <w:t>by competent bodies</w:t>
      </w:r>
      <w:r>
        <w:t xml:space="preserve"> for entry onto the register, strengthening internal </w:t>
      </w:r>
      <w:r w:rsidR="00EB5B13">
        <w:br/>
      </w:r>
      <w:r>
        <w:t>self-review and evaluation of competen</w:t>
      </w:r>
      <w:r w:rsidR="005949B0">
        <w:t xml:space="preserve">t bodies, and </w:t>
      </w:r>
      <w:r>
        <w:t>requiring external quality evaluations</w:t>
      </w:r>
      <w:r w:rsidR="00EB5B13">
        <w:t xml:space="preserve"> on a periodic basis</w:t>
      </w:r>
    </w:p>
    <w:p w14:paraId="61DAD688" w14:textId="091C2B8C" w:rsidR="001214B4" w:rsidRPr="00816EBE" w:rsidRDefault="005949B0" w:rsidP="00456131">
      <w:pPr>
        <w:pStyle w:val="ListParagraph"/>
        <w:numPr>
          <w:ilvl w:val="0"/>
          <w:numId w:val="11"/>
        </w:numPr>
      </w:pPr>
      <w:r>
        <w:t>A f</w:t>
      </w:r>
      <w:r w:rsidR="001214B4">
        <w:t>ocus on supporting mutual recognition of competent body decisions through h</w:t>
      </w:r>
      <w:r w:rsidR="001214B4" w:rsidRPr="00816EBE">
        <w:t>armoni</w:t>
      </w:r>
      <w:r w:rsidR="00ED1337">
        <w:t>s</w:t>
      </w:r>
      <w:r w:rsidR="001214B4" w:rsidRPr="00816EBE">
        <w:t xml:space="preserve">ing processes </w:t>
      </w:r>
      <w:r>
        <w:t>of</w:t>
      </w:r>
      <w:r w:rsidR="001214B4" w:rsidRPr="00816EBE">
        <w:t xml:space="preserve"> accreditation of qualifications, registration of providers</w:t>
      </w:r>
      <w:r w:rsidR="00AD55BC">
        <w:t xml:space="preserve">, </w:t>
      </w:r>
      <w:r w:rsidR="001214B4">
        <w:t xml:space="preserve">through </w:t>
      </w:r>
      <w:r w:rsidR="001214B4" w:rsidRPr="00816EBE">
        <w:t xml:space="preserve">benchmarking </w:t>
      </w:r>
      <w:r w:rsidR="00AD55BC">
        <w:t xml:space="preserve">qualifications </w:t>
      </w:r>
      <w:r w:rsidR="001214B4" w:rsidRPr="00816EBE">
        <w:t xml:space="preserve">and recognition of </w:t>
      </w:r>
      <w:r w:rsidR="00AD55BC">
        <w:t xml:space="preserve">foreign </w:t>
      </w:r>
      <w:r w:rsidR="001214B4" w:rsidRPr="00816EBE">
        <w:t>qualification</w:t>
      </w:r>
      <w:r w:rsidR="0096293D">
        <w:t>s</w:t>
      </w:r>
      <w:r w:rsidR="001214B4" w:rsidRPr="00816EBE">
        <w:t xml:space="preserve">. </w:t>
      </w:r>
    </w:p>
    <w:p w14:paraId="70B09C89" w14:textId="03DE41E3" w:rsidR="00F05E35" w:rsidRDefault="00314F3E" w:rsidP="00314F3E">
      <w:pPr>
        <w:spacing w:line="240" w:lineRule="auto"/>
      </w:pPr>
      <w:r>
        <w:lastRenderedPageBreak/>
        <w:t xml:space="preserve">Any future Pacific model should </w:t>
      </w:r>
      <w:r w:rsidR="00A45553">
        <w:t>promote</w:t>
      </w:r>
      <w:r>
        <w:t xml:space="preserve"> </w:t>
      </w:r>
      <w:r w:rsidR="00A45553">
        <w:t xml:space="preserve">the quality of </w:t>
      </w:r>
      <w:r>
        <w:t xml:space="preserve">qualifications, </w:t>
      </w:r>
      <w:r w:rsidR="00785F15">
        <w:t>through a</w:t>
      </w:r>
      <w:r w:rsidR="00010641">
        <w:t xml:space="preserve"> </w:t>
      </w:r>
      <w:r>
        <w:t xml:space="preserve">focus on the development of regional </w:t>
      </w:r>
      <w:r w:rsidR="00CD54D8">
        <w:t>qualifications (</w:t>
      </w:r>
      <w:r w:rsidR="00785F15">
        <w:t>occupational and assessment standards</w:t>
      </w:r>
      <w:r w:rsidR="00CD54D8">
        <w:t xml:space="preserve">, qualification </w:t>
      </w:r>
      <w:r w:rsidR="00785F15">
        <w:t>completion</w:t>
      </w:r>
      <w:r w:rsidR="005108DB">
        <w:t xml:space="preserve"> </w:t>
      </w:r>
      <w:r w:rsidR="00785F15">
        <w:t>rules</w:t>
      </w:r>
      <w:r w:rsidR="00CD54D8">
        <w:t>, PQF level</w:t>
      </w:r>
      <w:r w:rsidR="00785F15">
        <w:t>)</w:t>
      </w:r>
      <w:r>
        <w:t xml:space="preserve"> </w:t>
      </w:r>
      <w:r w:rsidR="00373BBB">
        <w:t>or co-opting national qualifications</w:t>
      </w:r>
      <w:r w:rsidR="00785F15">
        <w:t xml:space="preserve"> for regional qualifications so</w:t>
      </w:r>
      <w:r w:rsidR="00373BBB">
        <w:t xml:space="preserve"> </w:t>
      </w:r>
      <w:r>
        <w:t xml:space="preserve">to facilitate benchmarking and recognition of occupations and skills across the Pacific and beyond. </w:t>
      </w:r>
      <w:r w:rsidR="00304E38">
        <w:t>Shifting the focus makes the Pacific model less reliant on national progress</w:t>
      </w:r>
      <w:r w:rsidR="00785F15">
        <w:t xml:space="preserve"> of agencies</w:t>
      </w:r>
      <w:r w:rsidR="00304E38">
        <w:t xml:space="preserve">. </w:t>
      </w:r>
    </w:p>
    <w:p w14:paraId="46210569" w14:textId="4D7E54E3" w:rsidR="00314F3E" w:rsidRPr="00F96A24" w:rsidRDefault="008A0289" w:rsidP="00314F3E">
      <w:pPr>
        <w:spacing w:line="240" w:lineRule="auto"/>
      </w:pPr>
      <w:r>
        <w:t>The</w:t>
      </w:r>
      <w:r w:rsidR="00F05E35">
        <w:t xml:space="preserve"> future Pacific model </w:t>
      </w:r>
      <w:r w:rsidR="00314F3E">
        <w:t xml:space="preserve">should also </w:t>
      </w:r>
      <w:r w:rsidR="00314F3E" w:rsidRPr="00780D47">
        <w:t xml:space="preserve">continue to strengthen its relationship with other Regional </w:t>
      </w:r>
      <w:r w:rsidR="00314F3E" w:rsidRPr="00F96A24">
        <w:t xml:space="preserve">Qualifications Frameworks, and with national qualifications frameworks of key receiving countries (e.g. Australia and New Zealand). </w:t>
      </w:r>
    </w:p>
    <w:p w14:paraId="59F430B8" w14:textId="5662BB4C" w:rsidR="00803AC0" w:rsidRPr="00F96A24" w:rsidRDefault="00E67A14" w:rsidP="00803AC0">
      <w:pPr>
        <w:spacing w:line="240" w:lineRule="auto"/>
      </w:pPr>
      <w:r w:rsidRPr="00F96A24">
        <w:t>If</w:t>
      </w:r>
      <w:r w:rsidR="00803AC0" w:rsidRPr="00F96A24">
        <w:t xml:space="preserve"> </w:t>
      </w:r>
      <w:r w:rsidR="00803AC0" w:rsidRPr="0058504A">
        <w:t xml:space="preserve">the Pacific model is to be maintained and </w:t>
      </w:r>
      <w:r w:rsidR="00E104AB" w:rsidRPr="0058504A">
        <w:t>strengthened,</w:t>
      </w:r>
      <w:r w:rsidR="00803AC0" w:rsidRPr="0058504A">
        <w:t xml:space="preserve"> it needs to have ownership by the </w:t>
      </w:r>
      <w:r w:rsidR="000C6812" w:rsidRPr="0058504A">
        <w:t>Pacific Island Forum (</w:t>
      </w:r>
      <w:r w:rsidR="00803AC0" w:rsidRPr="0058504A">
        <w:t>PIF</w:t>
      </w:r>
      <w:r w:rsidR="000C6812" w:rsidRPr="0058504A">
        <w:t>)</w:t>
      </w:r>
      <w:r w:rsidR="00803AC0" w:rsidRPr="0058504A">
        <w:t xml:space="preserve"> countries</w:t>
      </w:r>
      <w:r w:rsidR="00803AC0" w:rsidRPr="00F96A24">
        <w:t xml:space="preserve"> and territories, have clear and identifiable benefits to them and be incorporated into other regional and international initiatives and agreements. Without </w:t>
      </w:r>
      <w:r w:rsidR="0058504A">
        <w:t>these</w:t>
      </w:r>
      <w:r w:rsidR="000C6812" w:rsidRPr="00F96A24">
        <w:t>,</w:t>
      </w:r>
      <w:r w:rsidR="00803AC0" w:rsidRPr="00F96A24">
        <w:t xml:space="preserve"> the Pacific model will surely falter. To strengthen the engagement and ownership of a future Pacific model the model’s governance arrangements should include:</w:t>
      </w:r>
    </w:p>
    <w:p w14:paraId="07FDE90D" w14:textId="4AB076CC" w:rsidR="00803AC0" w:rsidRPr="00F96A24" w:rsidRDefault="00803AC0" w:rsidP="00456131">
      <w:pPr>
        <w:pStyle w:val="ListParagraph"/>
        <w:numPr>
          <w:ilvl w:val="0"/>
          <w:numId w:val="11"/>
        </w:numPr>
      </w:pPr>
      <w:r w:rsidRPr="00F96A24">
        <w:t xml:space="preserve">The establishment of a governing committee that includes all PIF countries with equal voting status, with </w:t>
      </w:r>
      <w:r w:rsidR="000C6812" w:rsidRPr="00F96A24">
        <w:t>a</w:t>
      </w:r>
      <w:r w:rsidRPr="00F96A24">
        <w:t>n intent to engage other countries in the greater Pacific regio</w:t>
      </w:r>
      <w:r w:rsidR="000C6812" w:rsidRPr="00F96A24">
        <w:t>n</w:t>
      </w:r>
      <w:r w:rsidRPr="00F96A24">
        <w:t xml:space="preserve"> and that distances donors from the management and operations of the initiative </w:t>
      </w:r>
    </w:p>
    <w:p w14:paraId="32E241E9" w14:textId="4DE92145" w:rsidR="00803AC0" w:rsidRPr="00F96A24" w:rsidRDefault="00803AC0" w:rsidP="00456131">
      <w:pPr>
        <w:pStyle w:val="ListParagraph"/>
        <w:numPr>
          <w:ilvl w:val="0"/>
          <w:numId w:val="11"/>
        </w:numPr>
      </w:pPr>
      <w:r w:rsidRPr="00F96A24">
        <w:t>Acceptance and confirmation of a revised Pacific model by PIF education ministers, trade ministers and economic ministers</w:t>
      </w:r>
      <w:r w:rsidR="00F96A24">
        <w:t>,</w:t>
      </w:r>
      <w:r w:rsidRPr="00F96A24">
        <w:t xml:space="preserve"> and reporting to</w:t>
      </w:r>
      <w:r w:rsidR="00E23646" w:rsidRPr="00F96A24">
        <w:t xml:space="preserve"> </w:t>
      </w:r>
      <w:r w:rsidRPr="00F96A24">
        <w:t>the three sets of ministers.</w:t>
      </w:r>
    </w:p>
    <w:p w14:paraId="0819D2EC" w14:textId="77777777" w:rsidR="00AD55BC" w:rsidRPr="00F96A24" w:rsidRDefault="00AD55BC" w:rsidP="00A71025">
      <w:pPr>
        <w:spacing w:line="240" w:lineRule="auto"/>
      </w:pPr>
      <w:r w:rsidRPr="00F96A24">
        <w:t>Other strategies to s</w:t>
      </w:r>
      <w:r w:rsidR="001214B4" w:rsidRPr="00F96A24">
        <w:t xml:space="preserve">trengthen the use of the future Pacific model (especially the PQF) </w:t>
      </w:r>
      <w:r w:rsidRPr="00F96A24">
        <w:t>could be through:</w:t>
      </w:r>
    </w:p>
    <w:p w14:paraId="2EAE058E" w14:textId="77777777" w:rsidR="0096293D" w:rsidRPr="00F96A24" w:rsidRDefault="00AD55BC" w:rsidP="00456131">
      <w:pPr>
        <w:pStyle w:val="ListParagraph"/>
        <w:numPr>
          <w:ilvl w:val="0"/>
          <w:numId w:val="11"/>
        </w:numPr>
      </w:pPr>
      <w:r w:rsidRPr="00F96A24">
        <w:t>Promoting the</w:t>
      </w:r>
      <w:r w:rsidR="001214B4" w:rsidRPr="00F96A24">
        <w:t xml:space="preserve"> inclusion </w:t>
      </w:r>
      <w:r w:rsidRPr="00F96A24">
        <w:t xml:space="preserve">of the Pacific model </w:t>
      </w:r>
      <w:r w:rsidR="001214B4" w:rsidRPr="00F96A24">
        <w:t>in bilateral or multilateral agreements related to occupations or occupational standards</w:t>
      </w:r>
    </w:p>
    <w:p w14:paraId="716CD4E6" w14:textId="77F2CC83" w:rsidR="001214B4" w:rsidRPr="00F96A24" w:rsidRDefault="0096293D" w:rsidP="00456131">
      <w:pPr>
        <w:pStyle w:val="ListParagraph"/>
        <w:numPr>
          <w:ilvl w:val="0"/>
          <w:numId w:val="11"/>
        </w:numPr>
      </w:pPr>
      <w:r w:rsidRPr="00F96A24">
        <w:t>B</w:t>
      </w:r>
      <w:r w:rsidR="001214B4" w:rsidRPr="00F96A24">
        <w:t xml:space="preserve">enchmarking of qualification activities regionally </w:t>
      </w:r>
      <w:r w:rsidRPr="00F96A24">
        <w:t>and/</w:t>
      </w:r>
      <w:r w:rsidR="001214B4" w:rsidRPr="00F96A24">
        <w:t>or internationally</w:t>
      </w:r>
    </w:p>
    <w:p w14:paraId="3BF7246C" w14:textId="5C6DB60C" w:rsidR="00373BBB" w:rsidRDefault="001214B4" w:rsidP="00456131">
      <w:pPr>
        <w:pStyle w:val="ListParagraph"/>
        <w:numPr>
          <w:ilvl w:val="0"/>
          <w:numId w:val="11"/>
        </w:numPr>
      </w:pPr>
      <w:r w:rsidRPr="00F96A24">
        <w:t>Hav</w:t>
      </w:r>
      <w:r w:rsidR="000C6812" w:rsidRPr="00F96A24">
        <w:t>ing</w:t>
      </w:r>
      <w:r w:rsidRPr="00F96A24">
        <w:t xml:space="preserve"> strategies for badging and </w:t>
      </w:r>
      <w:r w:rsidR="00314F3E" w:rsidRPr="00F96A24">
        <w:t>promoting</w:t>
      </w:r>
      <w:r w:rsidRPr="00F96A24">
        <w:t xml:space="preserve"> the revised Pacific</w:t>
      </w:r>
      <w:r w:rsidRPr="00AD3506">
        <w:t xml:space="preserve"> model to </w:t>
      </w:r>
      <w:r w:rsidR="00AD55BC">
        <w:t>raise</w:t>
      </w:r>
      <w:r w:rsidRPr="00AD3506">
        <w:t xml:space="preserve"> its profile </w:t>
      </w:r>
      <w:r w:rsidR="00803AC0" w:rsidRPr="00AD3506">
        <w:t xml:space="preserve">beyond </w:t>
      </w:r>
      <w:r w:rsidR="00E67A14">
        <w:t>it members</w:t>
      </w:r>
      <w:r w:rsidR="00803AC0">
        <w:t>,</w:t>
      </w:r>
      <w:r w:rsidR="00803AC0" w:rsidRPr="00AD3506">
        <w:t xml:space="preserve"> </w:t>
      </w:r>
      <w:r w:rsidRPr="00AD3506">
        <w:t>across the Pacific and internationally</w:t>
      </w:r>
    </w:p>
    <w:p w14:paraId="6D7A469A" w14:textId="4E92A3F4" w:rsidR="00A45553" w:rsidRDefault="00A45553" w:rsidP="00456131">
      <w:pPr>
        <w:pStyle w:val="ListParagraph"/>
        <w:numPr>
          <w:ilvl w:val="0"/>
          <w:numId w:val="11"/>
        </w:numPr>
      </w:pPr>
      <w:r>
        <w:t>Increas</w:t>
      </w:r>
      <w:r w:rsidR="000C6812">
        <w:t>ing</w:t>
      </w:r>
      <w:r>
        <w:t xml:space="preserve"> transparency of information provided </w:t>
      </w:r>
      <w:r w:rsidR="006D724A">
        <w:t>on</w:t>
      </w:r>
      <w:r>
        <w:t xml:space="preserve"> the register</w:t>
      </w:r>
      <w:r w:rsidR="008A0289">
        <w:t xml:space="preserve"> to enable benchmarking of qualifications</w:t>
      </w:r>
    </w:p>
    <w:p w14:paraId="773082CC" w14:textId="64A8EF6E" w:rsidR="001214B4" w:rsidRPr="00816EBE" w:rsidRDefault="00373BBB" w:rsidP="00456131">
      <w:pPr>
        <w:pStyle w:val="ListParagraph"/>
        <w:numPr>
          <w:ilvl w:val="0"/>
          <w:numId w:val="11"/>
        </w:numPr>
      </w:pPr>
      <w:r>
        <w:t xml:space="preserve">Linking </w:t>
      </w:r>
      <w:r w:rsidR="00304E38">
        <w:t>this</w:t>
      </w:r>
      <w:r>
        <w:t xml:space="preserve"> regional initiative to national </w:t>
      </w:r>
      <w:r w:rsidR="000E09B9">
        <w:t xml:space="preserve">bilateral </w:t>
      </w:r>
      <w:r w:rsidR="00E104AB">
        <w:t>programs</w:t>
      </w:r>
      <w:r w:rsidR="000C6812">
        <w:t xml:space="preserve">, for example, </w:t>
      </w:r>
      <w:r w:rsidR="00534E36">
        <w:t xml:space="preserve">incentivise the uptake </w:t>
      </w:r>
      <w:r w:rsidR="00F01750">
        <w:t xml:space="preserve">and provision </w:t>
      </w:r>
      <w:r w:rsidR="00534E36">
        <w:t>of regional occupational standards (and qualifications)</w:t>
      </w:r>
      <w:r w:rsidR="00F01750">
        <w:t xml:space="preserve"> at a national level</w:t>
      </w:r>
      <w:r w:rsidR="001214B4" w:rsidRPr="00AD3506">
        <w:t xml:space="preserve">. </w:t>
      </w:r>
    </w:p>
    <w:p w14:paraId="16543832" w14:textId="0618AF24" w:rsidR="00E70871" w:rsidRDefault="00E70871" w:rsidP="00E70871">
      <w:pPr>
        <w:spacing w:line="240" w:lineRule="auto"/>
      </w:pPr>
      <w:r>
        <w:t>However,</w:t>
      </w:r>
      <w:r w:rsidR="000C6DB1">
        <w:t xml:space="preserve"> the progress of the PRQS is linked to </w:t>
      </w:r>
      <w:r w:rsidR="00885719">
        <w:t xml:space="preserve">each Pacific Nation’s </w:t>
      </w:r>
      <w:r w:rsidR="000C6DB1">
        <w:t>progress with quality ass</w:t>
      </w:r>
      <w:r w:rsidR="00885719">
        <w:t>ur</w:t>
      </w:r>
      <w:r w:rsidR="00D20BCE">
        <w:t>ing qualifications</w:t>
      </w:r>
      <w:r>
        <w:t xml:space="preserve">. </w:t>
      </w:r>
      <w:r w:rsidR="00910F6A">
        <w:t>The following pre-conditions are crucial to the success of the future Pacific mode</w:t>
      </w:r>
      <w:r w:rsidR="00074E5D">
        <w:t>l</w:t>
      </w:r>
      <w:r w:rsidR="00910F6A">
        <w:t xml:space="preserve">. </w:t>
      </w:r>
      <w:r w:rsidR="000C6812">
        <w:t>P</w:t>
      </w:r>
      <w:r>
        <w:t>acific Nations need to have:</w:t>
      </w:r>
    </w:p>
    <w:p w14:paraId="42B42D12" w14:textId="799EFB2B" w:rsidR="000C6DB1" w:rsidRDefault="000C6DB1" w:rsidP="00456131">
      <w:pPr>
        <w:pStyle w:val="ListParagraph"/>
        <w:numPr>
          <w:ilvl w:val="0"/>
          <w:numId w:val="11"/>
        </w:numPr>
      </w:pPr>
      <w:r>
        <w:t>The legal remit to quality assure TVET and Higher Education sectors</w:t>
      </w:r>
    </w:p>
    <w:p w14:paraId="1531EB13" w14:textId="63168745" w:rsidR="000C6DB1" w:rsidRDefault="00461207" w:rsidP="00456131">
      <w:pPr>
        <w:pStyle w:val="ListParagraph"/>
        <w:numPr>
          <w:ilvl w:val="0"/>
          <w:numId w:val="11"/>
        </w:numPr>
      </w:pPr>
      <w:r>
        <w:t>The</w:t>
      </w:r>
      <w:r w:rsidR="000C6DB1">
        <w:t xml:space="preserve"> associated processes to undertake the key functions</w:t>
      </w:r>
      <w:r w:rsidR="00D20BCE">
        <w:t xml:space="preserve"> (accreditation of qualifications and registration [approval and monitoring] of providers</w:t>
      </w:r>
      <w:r w:rsidR="000C6DB1">
        <w:t xml:space="preserve">, e.g. documented in regulations, policies and procedures </w:t>
      </w:r>
      <w:r w:rsidR="00D20BCE">
        <w:t>as well as</w:t>
      </w:r>
      <w:r w:rsidR="000C6DB1">
        <w:t>, costing schedules, c</w:t>
      </w:r>
      <w:r>
        <w:t>omplaints and appeals processes</w:t>
      </w:r>
    </w:p>
    <w:p w14:paraId="37140215" w14:textId="6EB8CF51" w:rsidR="000C6DB1" w:rsidRDefault="00461207" w:rsidP="00456131">
      <w:pPr>
        <w:pStyle w:val="ListParagraph"/>
        <w:numPr>
          <w:ilvl w:val="0"/>
          <w:numId w:val="11"/>
        </w:numPr>
      </w:pPr>
      <w:r>
        <w:t>P</w:t>
      </w:r>
      <w:r w:rsidR="000C6DB1">
        <w:t>ersonnel to manage the key functions and make accreditation and registration decisions</w:t>
      </w:r>
      <w:r w:rsidR="00885719" w:rsidRPr="000C6812">
        <w:rPr>
          <w:rStyle w:val="FootnoteReference"/>
          <w:rFonts w:eastAsiaTheme="minorHAnsi" w:cstheme="minorBidi"/>
        </w:rPr>
        <w:footnoteReference w:id="4"/>
      </w:r>
    </w:p>
    <w:p w14:paraId="15A0B2BA" w14:textId="0FFC4C92" w:rsidR="000C6DB1" w:rsidRDefault="00461207" w:rsidP="00456131">
      <w:pPr>
        <w:pStyle w:val="ListParagraph"/>
        <w:numPr>
          <w:ilvl w:val="0"/>
          <w:numId w:val="11"/>
        </w:numPr>
      </w:pPr>
      <w:r>
        <w:t>T</w:t>
      </w:r>
      <w:r w:rsidR="000C6DB1">
        <w:t>he capacity to outsource technical services through a third party to undertake the work</w:t>
      </w:r>
    </w:p>
    <w:p w14:paraId="50F54DE7" w14:textId="46465926" w:rsidR="000C6DB1" w:rsidRDefault="00461207" w:rsidP="00456131">
      <w:pPr>
        <w:pStyle w:val="ListParagraph"/>
        <w:numPr>
          <w:ilvl w:val="0"/>
          <w:numId w:val="11"/>
        </w:numPr>
      </w:pPr>
      <w:r>
        <w:t>T</w:t>
      </w:r>
      <w:r w:rsidR="000C6DB1">
        <w:t xml:space="preserve">he capacity to undertake rigorous internal quality assurance and review of its own processes. </w:t>
      </w:r>
    </w:p>
    <w:p w14:paraId="12BC08DC" w14:textId="7C03B571" w:rsidR="005D2DA0" w:rsidRDefault="005D2DA0" w:rsidP="005D2DA0">
      <w:pPr>
        <w:spacing w:line="240" w:lineRule="auto"/>
      </w:pPr>
      <w:r>
        <w:t xml:space="preserve">These pre-conditions </w:t>
      </w:r>
      <w:r w:rsidRPr="00124F2B">
        <w:t xml:space="preserve">are relevant to </w:t>
      </w:r>
      <w:r w:rsidR="0058504A">
        <w:t xml:space="preserve">all </w:t>
      </w:r>
      <w:r w:rsidRPr="00124F2B">
        <w:t>Pacific Nations with emerging QA processes</w:t>
      </w:r>
      <w:r w:rsidR="00D649D7">
        <w:t xml:space="preserve">, </w:t>
      </w:r>
      <w:r w:rsidR="00F81267">
        <w:t xml:space="preserve">and </w:t>
      </w:r>
      <w:r>
        <w:t xml:space="preserve">is </w:t>
      </w:r>
      <w:r w:rsidRPr="00124F2B">
        <w:t>especially relevant where work is underway in current bilateral development programs and where the legal remit</w:t>
      </w:r>
      <w:r>
        <w:t xml:space="preserve"> and the competent QA body capacity </w:t>
      </w:r>
      <w:r w:rsidR="00CA4A5C">
        <w:t>are</w:t>
      </w:r>
      <w:r>
        <w:t xml:space="preserve"> not evident</w:t>
      </w:r>
      <w:r w:rsidRPr="006B766D">
        <w:t>.</w:t>
      </w:r>
    </w:p>
    <w:p w14:paraId="52AC8B14" w14:textId="347BEB78" w:rsidR="005D2DA0" w:rsidRDefault="005D2DA0" w:rsidP="005D2DA0">
      <w:pPr>
        <w:spacing w:line="240" w:lineRule="auto"/>
      </w:pPr>
      <w:r>
        <w:lastRenderedPageBreak/>
        <w:t>Pacific Nations also need to have in place individual providers that have the capacity to deliver quality education and training</w:t>
      </w:r>
      <w:r w:rsidR="00D649D7">
        <w:t xml:space="preserve"> (e.g. access to curriculum, equipment, facilities, qualified trainers and assessors</w:t>
      </w:r>
      <w:r>
        <w:t xml:space="preserve">, </w:t>
      </w:r>
      <w:r w:rsidR="00D649D7">
        <w:t>and management systems</w:t>
      </w:r>
      <w:r w:rsidR="00D20BCE">
        <w:t>)</w:t>
      </w:r>
      <w:r w:rsidR="00D649D7">
        <w:t xml:space="preserve">, </w:t>
      </w:r>
      <w:r>
        <w:t xml:space="preserve">and to undertake robust internal quality assurance </w:t>
      </w:r>
      <w:r w:rsidR="00D649D7">
        <w:t xml:space="preserve">and review </w:t>
      </w:r>
      <w:r>
        <w:t xml:space="preserve">processes. </w:t>
      </w:r>
    </w:p>
    <w:p w14:paraId="5F5E7DD0" w14:textId="2FB4446A" w:rsidR="00091265" w:rsidRPr="00091265" w:rsidRDefault="005D2DA0" w:rsidP="00E96D60">
      <w:pPr>
        <w:spacing w:line="240" w:lineRule="auto"/>
      </w:pPr>
      <w:r>
        <w:t xml:space="preserve">Support for these </w:t>
      </w:r>
      <w:r w:rsidR="00CA4A5C">
        <w:t>pre-conditions could</w:t>
      </w:r>
      <w:r>
        <w:t xml:space="preserve"> take a range of forms</w:t>
      </w:r>
      <w:r w:rsidR="00CA4A5C">
        <w:t>,</w:t>
      </w:r>
      <w:r w:rsidR="003D1382">
        <w:t xml:space="preserve"> such as</w:t>
      </w:r>
      <w:r>
        <w:t xml:space="preserve"> a focus </w:t>
      </w:r>
      <w:r w:rsidR="002E6F02">
        <w:t xml:space="preserve">on </w:t>
      </w:r>
      <w:r>
        <w:t xml:space="preserve">bilateral support programs </w:t>
      </w:r>
      <w:r w:rsidR="00074E5D">
        <w:t xml:space="preserve">to </w:t>
      </w:r>
      <w:r>
        <w:t xml:space="preserve">ensure the legal framework, structures and processes are in place for </w:t>
      </w:r>
      <w:r w:rsidR="00074E5D">
        <w:t xml:space="preserve">quality assuring </w:t>
      </w:r>
      <w:r>
        <w:t>education and training</w:t>
      </w:r>
      <w:r w:rsidR="00074E5D">
        <w:t>;</w:t>
      </w:r>
      <w:r w:rsidR="00CA4A5C">
        <w:t xml:space="preserve"> or </w:t>
      </w:r>
      <w:r w:rsidR="002E6F02">
        <w:t xml:space="preserve">using </w:t>
      </w:r>
      <w:r>
        <w:t>regional initiatives</w:t>
      </w:r>
      <w:r w:rsidR="00CA4A5C">
        <w:t>,</w:t>
      </w:r>
      <w:r>
        <w:t xml:space="preserve"> such as APTC and USP </w:t>
      </w:r>
      <w:r w:rsidR="002E6F02">
        <w:t xml:space="preserve">to </w:t>
      </w:r>
      <w:r>
        <w:t>provide support to both TVET and Higher Education sectors in terms of provider capacity</w:t>
      </w:r>
      <w:r w:rsidR="00CA4A5C">
        <w:t>. O</w:t>
      </w:r>
      <w:r>
        <w:t xml:space="preserve">ther Pacific QA bodies could also provide assistance to emerging QA bodies. </w:t>
      </w:r>
    </w:p>
    <w:p w14:paraId="7DC4E741" w14:textId="2B2E00EB" w:rsidR="00635208" w:rsidRDefault="00DB3B54" w:rsidP="00E96D60">
      <w:pPr>
        <w:spacing w:line="240" w:lineRule="auto"/>
      </w:pPr>
      <w:r>
        <w:t xml:space="preserve">Once the future model is agreed then </w:t>
      </w:r>
      <w:r w:rsidR="002E6F02">
        <w:t xml:space="preserve">the number of </w:t>
      </w:r>
      <w:r w:rsidR="00074E5D">
        <w:t xml:space="preserve">secretariat </w:t>
      </w:r>
      <w:r w:rsidR="002E6F02">
        <w:t>staff can be determined</w:t>
      </w:r>
      <w:r w:rsidR="00CA4A5C">
        <w:t>;</w:t>
      </w:r>
      <w:r>
        <w:t xml:space="preserve"> however</w:t>
      </w:r>
      <w:r w:rsidR="00CA4A5C">
        <w:t>,</w:t>
      </w:r>
      <w:r>
        <w:t xml:space="preserve"> the likelihood would be no more than two staff members.  The secretariat staff will need a strong understanding of qualifications frameworks, regional frameworks, quality assurance and </w:t>
      </w:r>
      <w:r w:rsidRPr="00DB3B54">
        <w:t xml:space="preserve">recognition. A </w:t>
      </w:r>
      <w:r w:rsidR="00A71025" w:rsidRPr="00DB3B54">
        <w:t xml:space="preserve">model </w:t>
      </w:r>
      <w:r w:rsidR="002411ED" w:rsidRPr="00DB3B54">
        <w:t xml:space="preserve">of </w:t>
      </w:r>
      <w:r w:rsidR="00A71025" w:rsidRPr="00DB3B54">
        <w:t xml:space="preserve">support </w:t>
      </w:r>
      <w:r w:rsidR="002411ED" w:rsidRPr="00DB3B54">
        <w:t xml:space="preserve">for the </w:t>
      </w:r>
      <w:r w:rsidRPr="00DB3B54">
        <w:t xml:space="preserve">secretariat </w:t>
      </w:r>
      <w:r w:rsidR="00E716CF" w:rsidRPr="00DB3B54">
        <w:t>should</w:t>
      </w:r>
      <w:r w:rsidR="005859D8" w:rsidRPr="00DB3B54">
        <w:t xml:space="preserve"> include</w:t>
      </w:r>
      <w:r w:rsidR="002411ED" w:rsidRPr="00DB3B54">
        <w:t xml:space="preserve"> </w:t>
      </w:r>
      <w:r w:rsidR="00A71025" w:rsidRPr="00DB3B54">
        <w:t>a technical advisory group. The technical advisory group could provide mentoring</w:t>
      </w:r>
      <w:r w:rsidR="00074E5D">
        <w:t xml:space="preserve"> support</w:t>
      </w:r>
      <w:r w:rsidR="00A71025" w:rsidRPr="00DB3B54">
        <w:t xml:space="preserve">, strategic advice, and specialist services to assist in </w:t>
      </w:r>
      <w:r w:rsidR="00074E5D">
        <w:t xml:space="preserve">developing key documents, </w:t>
      </w:r>
      <w:r w:rsidR="00A71025" w:rsidRPr="00DB3B54">
        <w:t>operationalising benchmarking and referencing activities and assist in workshops and meetings</w:t>
      </w:r>
      <w:r w:rsidR="00074E5D">
        <w:t xml:space="preserve">, including </w:t>
      </w:r>
      <w:r w:rsidRPr="00B15A7C">
        <w:t>i</w:t>
      </w:r>
      <w:r>
        <w:t xml:space="preserve">nformation </w:t>
      </w:r>
      <w:r w:rsidRPr="00B15A7C">
        <w:t>t</w:t>
      </w:r>
      <w:r>
        <w:t>echnology</w:t>
      </w:r>
      <w:r w:rsidRPr="00B15A7C">
        <w:t xml:space="preserve"> </w:t>
      </w:r>
      <w:r w:rsidR="00074E5D">
        <w:t>support</w:t>
      </w:r>
      <w:r w:rsidR="00074E5D" w:rsidRPr="00B15A7C">
        <w:t xml:space="preserve"> </w:t>
      </w:r>
      <w:r w:rsidRPr="00B15A7C">
        <w:t xml:space="preserve">to assist in the </w:t>
      </w:r>
      <w:r>
        <w:t>enhancement</w:t>
      </w:r>
      <w:r w:rsidRPr="00B15A7C">
        <w:t xml:space="preserve"> of the register</w:t>
      </w:r>
      <w:r w:rsidR="00074E5D">
        <w:t>.</w:t>
      </w:r>
    </w:p>
    <w:p w14:paraId="55008CFC" w14:textId="7DB46912" w:rsidR="00415327" w:rsidRDefault="00DB3B54" w:rsidP="00415327">
      <w:pPr>
        <w:spacing w:line="240" w:lineRule="auto"/>
      </w:pPr>
      <w:r>
        <w:t>Funding to the future Pacific model is required for the next 3</w:t>
      </w:r>
      <w:r w:rsidR="00CA4A5C">
        <w:t>–</w:t>
      </w:r>
      <w:r>
        <w:t xml:space="preserve">5 years. Any proposal for funding the future Pacific model is predicated on the aim that the model is </w:t>
      </w:r>
      <w:r w:rsidR="00CA4A5C">
        <w:t>self-funding</w:t>
      </w:r>
      <w:r>
        <w:t xml:space="preserve"> after 8 years, through Pacific Nation financial contributions and any fee for service activity. </w:t>
      </w:r>
      <w:r w:rsidR="00415327">
        <w:t>In the immediate future, Australia DFAT could seek additional</w:t>
      </w:r>
      <w:r w:rsidR="00415327" w:rsidRPr="00780D47">
        <w:t xml:space="preserve"> donor partners </w:t>
      </w:r>
      <w:r w:rsidR="00415327">
        <w:t>for</w:t>
      </w:r>
      <w:r w:rsidR="00415327" w:rsidRPr="00780D47">
        <w:t xml:space="preserve"> the support of the future Pacific model. For Australia, the most logical choice for a donor partner is New Zealand</w:t>
      </w:r>
      <w:r w:rsidR="00F81267">
        <w:t>.</w:t>
      </w:r>
    </w:p>
    <w:p w14:paraId="212DD836" w14:textId="6965EBE2" w:rsidR="00DB3B54" w:rsidRDefault="00453ADC" w:rsidP="00DB3B54">
      <w:pPr>
        <w:spacing w:line="240" w:lineRule="auto"/>
      </w:pPr>
      <w:r>
        <w:t>Transitioning to a new model</w:t>
      </w:r>
      <w:r w:rsidR="00CA4A5C">
        <w:t xml:space="preserve"> </w:t>
      </w:r>
      <w:r>
        <w:t xml:space="preserve">will require a concentrated input over the next 3–5 years. Initially, efforts should focus on </w:t>
      </w:r>
      <w:r w:rsidR="00074E5D">
        <w:t xml:space="preserve">confirming </w:t>
      </w:r>
      <w:r>
        <w:t xml:space="preserve">a revised model design with the Pacific Nations and on the establishment of governing </w:t>
      </w:r>
      <w:r w:rsidR="00FD1E17">
        <w:t>arrangements</w:t>
      </w:r>
      <w:r>
        <w:t>. Once established</w:t>
      </w:r>
      <w:r w:rsidR="00CA4A5C">
        <w:t>,</w:t>
      </w:r>
      <w:r>
        <w:t xml:space="preserve"> the focus should be on increasing the portability of qualifications and occupations through the development of agreed regional qualifications, and benchmarking of existing national qualifications to the</w:t>
      </w:r>
      <w:r w:rsidR="00FD1E17">
        <w:t>se</w:t>
      </w:r>
      <w:r>
        <w:t xml:space="preserve"> regional qualifications. </w:t>
      </w:r>
      <w:r w:rsidR="00FD1E17">
        <w:t>In addition, p</w:t>
      </w:r>
      <w:r>
        <w:t>romoting internal and external review of the competent QA bodies</w:t>
      </w:r>
      <w:r w:rsidR="005108DB">
        <w:t xml:space="preserve"> by recognised agencies and/or experienced personnel</w:t>
      </w:r>
      <w:r>
        <w:t>, and promoting harmonisation processes (including referencing NQFs and benchmarking quality assurance processes) should assist in enhancing trust and common understanding.</w:t>
      </w:r>
    </w:p>
    <w:p w14:paraId="3FB8682C" w14:textId="6DCDFBC7" w:rsidR="00453ADC" w:rsidRPr="00B42FC1" w:rsidRDefault="00453ADC" w:rsidP="00453ADC">
      <w:pPr>
        <w:spacing w:line="240" w:lineRule="auto"/>
      </w:pPr>
      <w:r w:rsidRPr="00B42FC1">
        <w:t>The</w:t>
      </w:r>
      <w:r>
        <w:t xml:space="preserve"> review concluded that the</w:t>
      </w:r>
      <w:r w:rsidRPr="00B42FC1">
        <w:t>re is still a need</w:t>
      </w:r>
      <w:r w:rsidR="00FD1E17">
        <w:t>,</w:t>
      </w:r>
      <w:r w:rsidRPr="00B42FC1">
        <w:t xml:space="preserve"> </w:t>
      </w:r>
      <w:r w:rsidR="00083F7A">
        <w:t>or even a greater need</w:t>
      </w:r>
      <w:r w:rsidR="00FD1E17">
        <w:t>,</w:t>
      </w:r>
      <w:r w:rsidR="00083F7A">
        <w:t xml:space="preserve"> </w:t>
      </w:r>
      <w:r w:rsidRPr="00B42FC1">
        <w:t xml:space="preserve">for a future Pacific model and that the full potential of the current PRQS has not been realised. </w:t>
      </w:r>
      <w:r>
        <w:t>It</w:t>
      </w:r>
      <w:r w:rsidRPr="00B42FC1">
        <w:t xml:space="preserve"> is timely to review </w:t>
      </w:r>
      <w:r>
        <w:t xml:space="preserve">and shift </w:t>
      </w:r>
      <w:r w:rsidR="005108DB">
        <w:t>the</w:t>
      </w:r>
      <w:r w:rsidR="005108DB" w:rsidRPr="00B42FC1">
        <w:t xml:space="preserve"> </w:t>
      </w:r>
      <w:r w:rsidRPr="00B42FC1">
        <w:t xml:space="preserve">focus </w:t>
      </w:r>
      <w:r w:rsidR="005108DB">
        <w:t xml:space="preserve">of the PRQS </w:t>
      </w:r>
      <w:r w:rsidRPr="00B42FC1">
        <w:t xml:space="preserve">and provide some stability and clear direction for the next 3–5 years. </w:t>
      </w:r>
    </w:p>
    <w:p w14:paraId="208137E1" w14:textId="77777777" w:rsidR="00453ADC" w:rsidRDefault="00453ADC" w:rsidP="00453ADC">
      <w:r>
        <w:t>It is recommended that DFAT:</w:t>
      </w:r>
    </w:p>
    <w:p w14:paraId="184968B0" w14:textId="1A4B735A" w:rsidR="00453ADC" w:rsidRDefault="00453ADC" w:rsidP="00456131">
      <w:pPr>
        <w:pStyle w:val="ListParagraph"/>
        <w:numPr>
          <w:ilvl w:val="0"/>
          <w:numId w:val="75"/>
        </w:numPr>
      </w:pPr>
      <w:r>
        <w:t>Commit to funding a future Pacific model for the next 3–5 years, and to seeking support from New Zealand as a donor partner</w:t>
      </w:r>
    </w:p>
    <w:p w14:paraId="5341F962" w14:textId="5B95130B" w:rsidR="00453ADC" w:rsidRDefault="00453ADC" w:rsidP="00456131">
      <w:pPr>
        <w:pStyle w:val="ListParagraph"/>
        <w:numPr>
          <w:ilvl w:val="0"/>
          <w:numId w:val="75"/>
        </w:numPr>
      </w:pPr>
      <w:r>
        <w:t>Confirm with the Pacific Nations a revised model that includes</w:t>
      </w:r>
      <w:r w:rsidR="00CA4A5C">
        <w:t>:</w:t>
      </w:r>
    </w:p>
    <w:p w14:paraId="25090F74" w14:textId="77777777" w:rsidR="00453ADC" w:rsidRDefault="00453ADC" w:rsidP="00456131">
      <w:pPr>
        <w:pStyle w:val="ListParagraph"/>
        <w:numPr>
          <w:ilvl w:val="1"/>
          <w:numId w:val="75"/>
        </w:numPr>
      </w:pPr>
      <w:r>
        <w:t>Development of regional qualifications (occupational standards, assessment standards, and qualification completion rules, PQF level) to facilitate benchmarking and recognition of qualifications, occupations and skills across the Pacific and beyond</w:t>
      </w:r>
      <w:r>
        <w:rPr>
          <w:rStyle w:val="FootnoteReference"/>
        </w:rPr>
        <w:footnoteReference w:id="5"/>
      </w:r>
    </w:p>
    <w:p w14:paraId="67A2895D" w14:textId="7FF150AE" w:rsidR="00453ADC" w:rsidRDefault="00453ADC" w:rsidP="00456131">
      <w:pPr>
        <w:pStyle w:val="ListParagraph"/>
        <w:numPr>
          <w:ilvl w:val="1"/>
          <w:numId w:val="75"/>
        </w:numPr>
      </w:pPr>
      <w:r>
        <w:t xml:space="preserve">Fostering a high level of trust and accountability by its members by referencing </w:t>
      </w:r>
      <w:r w:rsidRPr="00816EBE">
        <w:t>NQFs and NQAFs to the PQF and PQAF</w:t>
      </w:r>
      <w:r>
        <w:t>,</w:t>
      </w:r>
      <w:r w:rsidRPr="00816EBE">
        <w:t xml:space="preserve"> </w:t>
      </w:r>
      <w:r w:rsidR="005108DB">
        <w:t xml:space="preserve">and </w:t>
      </w:r>
      <w:r w:rsidRPr="00816EBE">
        <w:t>which is fit-for-purpose, given the size and scope of the qualifications systems and appropriate level of engagement by relevant stakeholders</w:t>
      </w:r>
      <w:r>
        <w:t xml:space="preserve"> </w:t>
      </w:r>
    </w:p>
    <w:p w14:paraId="617CA5C6" w14:textId="77777777" w:rsidR="00453ADC" w:rsidRDefault="00453ADC" w:rsidP="00456131">
      <w:pPr>
        <w:pStyle w:val="ListParagraph"/>
        <w:numPr>
          <w:ilvl w:val="1"/>
          <w:numId w:val="75"/>
        </w:numPr>
      </w:pPr>
      <w:r>
        <w:lastRenderedPageBreak/>
        <w:t>Fostering a high level of trust and accountability by its members to be facilitated by clear and unambiguous agreed quality assurance processes, including:</w:t>
      </w:r>
    </w:p>
    <w:p w14:paraId="05F099D7" w14:textId="77777777" w:rsidR="00453ADC" w:rsidRDefault="00453ADC" w:rsidP="00456131">
      <w:pPr>
        <w:pStyle w:val="ListParagraph"/>
        <w:numPr>
          <w:ilvl w:val="2"/>
          <w:numId w:val="75"/>
        </w:numPr>
      </w:pPr>
      <w:r>
        <w:t>A robust self-assessment process for competent QA body recognition for entry onto the register</w:t>
      </w:r>
    </w:p>
    <w:p w14:paraId="7A4A78B6" w14:textId="2F3A2073" w:rsidR="00453ADC" w:rsidRDefault="00453ADC" w:rsidP="00456131">
      <w:pPr>
        <w:pStyle w:val="ListParagraph"/>
        <w:numPr>
          <w:ilvl w:val="2"/>
          <w:numId w:val="75"/>
        </w:numPr>
      </w:pPr>
      <w:r>
        <w:t>Strengthening internal self-review and evaluation of competent QA bodies and requiring external quality evaluations on a periodic basis.</w:t>
      </w:r>
    </w:p>
    <w:p w14:paraId="1605D362" w14:textId="77777777" w:rsidR="00453ADC" w:rsidRDefault="00453ADC" w:rsidP="00456131">
      <w:pPr>
        <w:pStyle w:val="ListParagraph"/>
        <w:numPr>
          <w:ilvl w:val="1"/>
          <w:numId w:val="75"/>
        </w:numPr>
      </w:pPr>
      <w:r>
        <w:t>Supporting mutual recognition of competent QA body decisions through:</w:t>
      </w:r>
    </w:p>
    <w:p w14:paraId="788B146A" w14:textId="77777777" w:rsidR="00453ADC" w:rsidRPr="00816EBE" w:rsidRDefault="00453ADC" w:rsidP="00456131">
      <w:pPr>
        <w:pStyle w:val="ListParagraph"/>
        <w:numPr>
          <w:ilvl w:val="2"/>
          <w:numId w:val="75"/>
        </w:numPr>
      </w:pPr>
      <w:r w:rsidRPr="00816EBE">
        <w:t>Harmoni</w:t>
      </w:r>
      <w:r>
        <w:t>s</w:t>
      </w:r>
      <w:r w:rsidRPr="00816EBE">
        <w:t xml:space="preserve">ing processes in regards to accreditation of qualifications, registration of providers and approval to deliver processes across countries </w:t>
      </w:r>
    </w:p>
    <w:p w14:paraId="0A9B2118" w14:textId="77777777" w:rsidR="00453ADC" w:rsidRPr="00816EBE" w:rsidRDefault="00453ADC" w:rsidP="00456131">
      <w:pPr>
        <w:pStyle w:val="ListParagraph"/>
        <w:numPr>
          <w:ilvl w:val="2"/>
          <w:numId w:val="75"/>
        </w:numPr>
      </w:pPr>
      <w:r w:rsidRPr="00816EBE">
        <w:t>Harmoni</w:t>
      </w:r>
      <w:r>
        <w:t>s</w:t>
      </w:r>
      <w:r w:rsidRPr="00816EBE">
        <w:t xml:space="preserve">ing benchmarking and recognition of qualification processes. </w:t>
      </w:r>
    </w:p>
    <w:p w14:paraId="7C514F7C" w14:textId="310D45B5" w:rsidR="00453ADC" w:rsidRPr="00816EBE" w:rsidRDefault="00453ADC" w:rsidP="00456131">
      <w:pPr>
        <w:pStyle w:val="ListParagraph"/>
        <w:numPr>
          <w:ilvl w:val="1"/>
          <w:numId w:val="75"/>
        </w:numPr>
      </w:pPr>
      <w:r w:rsidRPr="00B15A7C">
        <w:t>Hav</w:t>
      </w:r>
      <w:r>
        <w:t>ing</w:t>
      </w:r>
      <w:r w:rsidRPr="00B15A7C">
        <w:t xml:space="preserve"> strategies for badging and promotion </w:t>
      </w:r>
      <w:r w:rsidRPr="00AD3506">
        <w:t>of the revised Pacific model to strengthen its profile across the Pacific and internationally</w:t>
      </w:r>
      <w:r w:rsidR="00470A4A">
        <w:t>,</w:t>
      </w:r>
      <w:r w:rsidRPr="00AD3506">
        <w:t xml:space="preserve"> beyond the key stakeholders. This may </w:t>
      </w:r>
      <w:r w:rsidRPr="00816EBE">
        <w:t xml:space="preserve">include (but is not limited to) using a Diploma Supplement model and/or logo on qualifications based on regional occupational standards.  </w:t>
      </w:r>
    </w:p>
    <w:p w14:paraId="566349F9" w14:textId="77777777" w:rsidR="00453ADC" w:rsidRDefault="00453ADC" w:rsidP="00456131">
      <w:pPr>
        <w:pStyle w:val="ListParagraph"/>
        <w:numPr>
          <w:ilvl w:val="0"/>
          <w:numId w:val="75"/>
        </w:numPr>
      </w:pPr>
      <w:r>
        <w:t>Work with participating Pacific Nations to confirm revised governance arrangements:</w:t>
      </w:r>
    </w:p>
    <w:p w14:paraId="3A19AE19" w14:textId="77777777" w:rsidR="00453ADC" w:rsidRPr="00C06DE5" w:rsidRDefault="00453ADC" w:rsidP="00456131">
      <w:pPr>
        <w:pStyle w:val="ListParagraph"/>
        <w:numPr>
          <w:ilvl w:val="1"/>
          <w:numId w:val="75"/>
        </w:numPr>
      </w:pPr>
      <w:r w:rsidRPr="00C06DE5">
        <w:t>Whereby a governing committee is established, with all PIF countries and territories members having equal voting status, to foster ownership and engagement</w:t>
      </w:r>
      <w:r w:rsidRPr="00470A4A">
        <w:rPr>
          <w:rStyle w:val="FootnoteReference"/>
          <w:rFonts w:eastAsiaTheme="minorHAnsi" w:cstheme="minorBidi"/>
        </w:rPr>
        <w:footnoteReference w:id="6"/>
      </w:r>
      <w:r w:rsidRPr="00470A4A">
        <w:rPr>
          <w:rStyle w:val="FootnoteReference"/>
          <w:rFonts w:eastAsiaTheme="minorHAnsi" w:cstheme="minorBidi"/>
        </w:rPr>
        <w:t xml:space="preserve"> </w:t>
      </w:r>
    </w:p>
    <w:p w14:paraId="0638CA5B" w14:textId="77777777" w:rsidR="00453ADC" w:rsidRPr="00C06DE5" w:rsidRDefault="00453ADC" w:rsidP="00456131">
      <w:pPr>
        <w:pStyle w:val="ListParagraph"/>
        <w:numPr>
          <w:ilvl w:val="1"/>
          <w:numId w:val="75"/>
        </w:numPr>
      </w:pPr>
      <w:r w:rsidRPr="00C06DE5">
        <w:t>With an intent to engage other countries in the greater Pacific region by encouraging observer status</w:t>
      </w:r>
    </w:p>
    <w:p w14:paraId="4BB7AD4B" w14:textId="77777777" w:rsidR="00453ADC" w:rsidRDefault="00453ADC" w:rsidP="00456131">
      <w:pPr>
        <w:pStyle w:val="ListParagraph"/>
        <w:numPr>
          <w:ilvl w:val="1"/>
          <w:numId w:val="75"/>
        </w:numPr>
      </w:pPr>
      <w:r w:rsidRPr="00C06DE5">
        <w:t>That distances donors from the management and operations of the initiative</w:t>
      </w:r>
    </w:p>
    <w:p w14:paraId="608004D7" w14:textId="2F5A454B" w:rsidR="00453ADC" w:rsidRDefault="00453ADC" w:rsidP="00456131">
      <w:pPr>
        <w:pStyle w:val="ListParagraph"/>
        <w:numPr>
          <w:ilvl w:val="1"/>
          <w:numId w:val="75"/>
        </w:numPr>
      </w:pPr>
      <w:r>
        <w:t xml:space="preserve">That </w:t>
      </w:r>
      <w:r w:rsidR="005108DB">
        <w:t xml:space="preserve">are </w:t>
      </w:r>
      <w:r w:rsidRPr="00780D47">
        <w:t xml:space="preserve">supported by a </w:t>
      </w:r>
      <w:r>
        <w:t xml:space="preserve">small </w:t>
      </w:r>
      <w:r w:rsidRPr="00780D47">
        <w:t xml:space="preserve">secretariat to provide strategic focus and operational </w:t>
      </w:r>
      <w:r>
        <w:t>assistance</w:t>
      </w:r>
      <w:r w:rsidRPr="00780D47">
        <w:t>.</w:t>
      </w:r>
    </w:p>
    <w:p w14:paraId="2A4689D8" w14:textId="77777777" w:rsidR="00453ADC" w:rsidRDefault="00453ADC" w:rsidP="00456131">
      <w:pPr>
        <w:pStyle w:val="ListParagraph"/>
        <w:numPr>
          <w:ilvl w:val="0"/>
          <w:numId w:val="75"/>
        </w:numPr>
      </w:pPr>
      <w:r>
        <w:t>Ensure that the future Pacific model:</w:t>
      </w:r>
    </w:p>
    <w:p w14:paraId="6F22DFDC" w14:textId="77777777" w:rsidR="00453ADC" w:rsidRDefault="00453ADC" w:rsidP="00456131">
      <w:pPr>
        <w:pStyle w:val="ListParagraph"/>
        <w:numPr>
          <w:ilvl w:val="1"/>
          <w:numId w:val="75"/>
        </w:numPr>
      </w:pPr>
      <w:r>
        <w:t>Is documented in a briefing paper that outlines the scope, purpose and structure of the model, as well as competent body obligations, governing committee roles and functions, and secretariat roles and functions</w:t>
      </w:r>
    </w:p>
    <w:p w14:paraId="27F2E433" w14:textId="77777777" w:rsidR="00453ADC" w:rsidRDefault="00453ADC" w:rsidP="00456131">
      <w:pPr>
        <w:pStyle w:val="ListParagraph"/>
        <w:numPr>
          <w:ilvl w:val="1"/>
          <w:numId w:val="75"/>
        </w:numPr>
      </w:pPr>
      <w:r>
        <w:t>Is designed and agreed by PIF countries and territories’ competent QA body representatives as members of the governing committee</w:t>
      </w:r>
    </w:p>
    <w:p w14:paraId="2C2933F2" w14:textId="11E77D7A" w:rsidR="00453ADC" w:rsidRPr="00780D47" w:rsidRDefault="00453ADC" w:rsidP="00456131">
      <w:pPr>
        <w:pStyle w:val="ListParagraph"/>
        <w:numPr>
          <w:ilvl w:val="1"/>
          <w:numId w:val="75"/>
        </w:numPr>
      </w:pPr>
      <w:r>
        <w:t>Has</w:t>
      </w:r>
      <w:r w:rsidRPr="00B42FC1">
        <w:t xml:space="preserve"> a 3</w:t>
      </w:r>
      <w:r w:rsidR="00470A4A">
        <w:t>-</w:t>
      </w:r>
      <w:r w:rsidRPr="00B42FC1">
        <w:t>, 5</w:t>
      </w:r>
      <w:r w:rsidR="00470A4A">
        <w:t>-</w:t>
      </w:r>
      <w:r w:rsidRPr="00B42FC1">
        <w:t xml:space="preserve"> and 8</w:t>
      </w:r>
      <w:r w:rsidR="00470A4A">
        <w:t>-</w:t>
      </w:r>
      <w:r w:rsidRPr="00B42FC1">
        <w:t xml:space="preserve">year plan </w:t>
      </w:r>
      <w:r>
        <w:t>with final</w:t>
      </w:r>
      <w:r w:rsidRPr="00B42FC1">
        <w:t xml:space="preserve"> transition from a donor</w:t>
      </w:r>
      <w:r w:rsidR="00470A4A">
        <w:t>-</w:t>
      </w:r>
      <w:r w:rsidRPr="00B42FC1">
        <w:t xml:space="preserve">funded program to </w:t>
      </w:r>
      <w:r>
        <w:t>being supported by the broader Pacific region and supplemented</w:t>
      </w:r>
      <w:r w:rsidR="00CE1493">
        <w:t xml:space="preserve"> by fee for service activities</w:t>
      </w:r>
    </w:p>
    <w:p w14:paraId="43BAA654" w14:textId="547600E1" w:rsidR="00453ADC" w:rsidRPr="00780D47" w:rsidRDefault="005108DB" w:rsidP="00456131">
      <w:pPr>
        <w:pStyle w:val="ListParagraph"/>
        <w:numPr>
          <w:ilvl w:val="1"/>
          <w:numId w:val="75"/>
        </w:numPr>
      </w:pPr>
      <w:r>
        <w:t>Is</w:t>
      </w:r>
      <w:r w:rsidR="00453ADC" w:rsidRPr="00780D47">
        <w:t xml:space="preserve"> accepted and confirmed by PIF education ministers, trade ministers and economic ministers, </w:t>
      </w:r>
      <w:r w:rsidR="00453ADC">
        <w:t>with</w:t>
      </w:r>
      <w:r w:rsidR="00453ADC" w:rsidRPr="00780D47">
        <w:t xml:space="preserve"> the governance arrangements </w:t>
      </w:r>
      <w:r w:rsidR="00453ADC">
        <w:t>requiring</w:t>
      </w:r>
      <w:r w:rsidR="00453ADC" w:rsidRPr="00780D47">
        <w:t xml:space="preserve"> reporting to the three sets of ministers. </w:t>
      </w:r>
    </w:p>
    <w:p w14:paraId="6A8BAF11" w14:textId="03795885" w:rsidR="00453ADC" w:rsidRDefault="00453ADC" w:rsidP="00456131">
      <w:pPr>
        <w:pStyle w:val="ListParagraph"/>
        <w:numPr>
          <w:ilvl w:val="0"/>
          <w:numId w:val="75"/>
        </w:numPr>
      </w:pPr>
      <w:r>
        <w:t>Confirm funding for</w:t>
      </w:r>
      <w:r w:rsidRPr="00780D47">
        <w:t xml:space="preserve"> a technical advisory team to assist in fine tuning the design and providing support and advice to the Secretariat and governing</w:t>
      </w:r>
      <w:r w:rsidR="00470A4A">
        <w:t xml:space="preserve"> committee over the longer term</w:t>
      </w:r>
    </w:p>
    <w:p w14:paraId="0BC8151E" w14:textId="77777777" w:rsidR="00453ADC" w:rsidRPr="00780D47" w:rsidRDefault="00453ADC" w:rsidP="00456131">
      <w:pPr>
        <w:pStyle w:val="ListParagraph"/>
        <w:numPr>
          <w:ilvl w:val="0"/>
          <w:numId w:val="75"/>
        </w:numPr>
      </w:pPr>
      <w:r w:rsidRPr="00816EBE">
        <w:t>Strengthen the use of the future Pacific model (especially the PQF</w:t>
      </w:r>
      <w:r>
        <w:t xml:space="preserve"> and PQAF</w:t>
      </w:r>
      <w:r w:rsidRPr="00816EBE">
        <w:t>) through inclusion in bilateral or multilateral agreements related to occupations or occupational standards (e.g. mutual recognition agreements) or in benchmarking of qualification activities (either regionally or internationally)</w:t>
      </w:r>
      <w:r>
        <w:t>.</w:t>
      </w:r>
    </w:p>
    <w:p w14:paraId="15DECFA1" w14:textId="77777777" w:rsidR="00453ADC" w:rsidRDefault="00453ADC" w:rsidP="00453ADC">
      <w:r>
        <w:t>In addition, DFAT should promote associated pre-conditions required within Pacific Nations, by:</w:t>
      </w:r>
    </w:p>
    <w:p w14:paraId="1FD02204" w14:textId="534DCB88" w:rsidR="00453ADC" w:rsidRPr="009F4417" w:rsidRDefault="00453ADC" w:rsidP="00456131">
      <w:pPr>
        <w:pStyle w:val="ListParagraph"/>
        <w:numPr>
          <w:ilvl w:val="0"/>
          <w:numId w:val="75"/>
        </w:numPr>
      </w:pPr>
      <w:r w:rsidRPr="009F4417">
        <w:lastRenderedPageBreak/>
        <w:t>Working with Australia Posts in the Pacific and bilateral programs to establish the pre-conditions</w:t>
      </w:r>
      <w:r w:rsidR="009F4417" w:rsidRPr="009F4417">
        <w:t>,</w:t>
      </w:r>
      <w:r w:rsidRPr="009F4417">
        <w:t xml:space="preserve"> such as ensuring country competent QA bodies have the legal remit to quality assure </w:t>
      </w:r>
      <w:r w:rsidR="009F4417" w:rsidRPr="009F4417">
        <w:br/>
      </w:r>
      <w:r w:rsidR="00F55A3D" w:rsidRPr="009F4417">
        <w:t>post-secondary</w:t>
      </w:r>
      <w:r w:rsidRPr="009F4417">
        <w:t xml:space="preserve"> sector, have the capacity to implement processes and manage the key functions and to undertake rigorous internal quality assurance and review of </w:t>
      </w:r>
      <w:r w:rsidR="002E6F02">
        <w:t>their</w:t>
      </w:r>
      <w:r w:rsidR="002E6F02" w:rsidRPr="009F4417">
        <w:t xml:space="preserve"> </w:t>
      </w:r>
      <w:r w:rsidR="00CE1493">
        <w:t>own processes</w:t>
      </w:r>
    </w:p>
    <w:p w14:paraId="0EB5B4B8" w14:textId="6A86034F" w:rsidR="00453ADC" w:rsidRPr="009F4417" w:rsidRDefault="00453ADC" w:rsidP="00456131">
      <w:pPr>
        <w:pStyle w:val="ListParagraph"/>
        <w:numPr>
          <w:ilvl w:val="0"/>
          <w:numId w:val="75"/>
        </w:numPr>
      </w:pPr>
      <w:r w:rsidRPr="009F4417">
        <w:t>Working with APTC to support key or strategic providers to improve their capacity to deliver quality training and assessment, and m</w:t>
      </w:r>
      <w:r w:rsidR="00CE1493">
        <w:t>eet external quality standards</w:t>
      </w:r>
    </w:p>
    <w:p w14:paraId="6BE2B256" w14:textId="77777777" w:rsidR="00453ADC" w:rsidRPr="009F4417" w:rsidRDefault="00453ADC" w:rsidP="00456131">
      <w:pPr>
        <w:pStyle w:val="ListParagraph"/>
        <w:numPr>
          <w:ilvl w:val="0"/>
          <w:numId w:val="75"/>
        </w:numPr>
      </w:pPr>
      <w:r w:rsidRPr="009F4417">
        <w:t>Considering funding to USP to assist higher education institutions in Pacific Nations to improve internal quality assurance and curriculum accreditation arrangements</w:t>
      </w:r>
    </w:p>
    <w:p w14:paraId="43B32974" w14:textId="3A9EA3CC" w:rsidR="009F4417" w:rsidRPr="009F4417" w:rsidRDefault="00453ADC" w:rsidP="00456131">
      <w:pPr>
        <w:pStyle w:val="ListParagraph"/>
        <w:numPr>
          <w:ilvl w:val="0"/>
          <w:numId w:val="75"/>
        </w:numPr>
      </w:pPr>
      <w:r w:rsidRPr="009F4417">
        <w:t>Working with bilateral programs to coordinate and rationalise the development of national qualifications to avoid duplication, promote sharing and using the protocols for developing regional qualifications so there is an agreement of minimum requirements for an occupation or qualific</w:t>
      </w:r>
      <w:r w:rsidR="00CE1493">
        <w:t>ation outcome</w:t>
      </w:r>
      <w:r w:rsidR="005108DB">
        <w:t>s</w:t>
      </w:r>
      <w:r w:rsidR="00CE1493">
        <w:t xml:space="preserve"> across the region</w:t>
      </w:r>
    </w:p>
    <w:p w14:paraId="272713A2" w14:textId="4B4A1D62" w:rsidR="00453ADC" w:rsidRPr="009F4417" w:rsidRDefault="00453ADC" w:rsidP="00456131">
      <w:pPr>
        <w:pStyle w:val="ListParagraph"/>
        <w:numPr>
          <w:ilvl w:val="0"/>
          <w:numId w:val="75"/>
        </w:numPr>
      </w:pPr>
      <w:r w:rsidRPr="009F4417">
        <w:t xml:space="preserve">Working with bilateral programs to incentivise uptake of regional qualifications. </w:t>
      </w:r>
    </w:p>
    <w:p w14:paraId="3D125BAA" w14:textId="77777777" w:rsidR="00453ADC" w:rsidRPr="009F4417" w:rsidRDefault="00453ADC" w:rsidP="00DB3B54">
      <w:pPr>
        <w:spacing w:line="240" w:lineRule="auto"/>
      </w:pPr>
    </w:p>
    <w:p w14:paraId="2DA313ED" w14:textId="1D4E8D81" w:rsidR="00960E60" w:rsidRDefault="00960E60" w:rsidP="00E96D60">
      <w:pPr>
        <w:spacing w:line="240" w:lineRule="auto"/>
        <w:rPr>
          <w:rFonts w:asciiTheme="majorHAnsi" w:eastAsiaTheme="majorEastAsia" w:hAnsiTheme="majorHAnsi" w:cstheme="majorBidi"/>
          <w:b/>
          <w:bCs/>
          <w:color w:val="95050F"/>
          <w:sz w:val="32"/>
          <w:szCs w:val="28"/>
        </w:rPr>
      </w:pPr>
      <w:r>
        <w:rPr>
          <w:color w:val="95050F"/>
        </w:rPr>
        <w:br w:type="page"/>
      </w:r>
    </w:p>
    <w:p w14:paraId="762B1159" w14:textId="4F8BDB52" w:rsidR="00BB2982" w:rsidRPr="00405061" w:rsidRDefault="0005394F" w:rsidP="00C0288B">
      <w:pPr>
        <w:pStyle w:val="Heading1"/>
        <w:numPr>
          <w:ilvl w:val="0"/>
          <w:numId w:val="36"/>
        </w:numPr>
        <w:rPr>
          <w:color w:val="95050F"/>
        </w:rPr>
      </w:pPr>
      <w:bookmarkStart w:id="10" w:name="_Toc458938569"/>
      <w:bookmarkStart w:id="11" w:name="_Toc462755548"/>
      <w:bookmarkEnd w:id="7"/>
      <w:r>
        <w:rPr>
          <w:color w:val="95050F"/>
        </w:rPr>
        <w:lastRenderedPageBreak/>
        <w:t>Background</w:t>
      </w:r>
      <w:bookmarkEnd w:id="10"/>
      <w:bookmarkEnd w:id="11"/>
    </w:p>
    <w:p w14:paraId="578403A2" w14:textId="6D096195" w:rsidR="00247988" w:rsidRDefault="005045FF" w:rsidP="00D50F39">
      <w:pPr>
        <w:pStyle w:val="Heading2"/>
        <w:rPr>
          <w:color w:val="95050F"/>
        </w:rPr>
      </w:pPr>
      <w:bookmarkStart w:id="12" w:name="_Toc458938570"/>
      <w:bookmarkStart w:id="13" w:name="_Toc462755549"/>
      <w:bookmarkStart w:id="14" w:name="_Toc450811709"/>
      <w:bookmarkStart w:id="15" w:name="_Toc308618534"/>
      <w:bookmarkStart w:id="16" w:name="_Toc308618537"/>
      <w:r>
        <w:rPr>
          <w:color w:val="95050F"/>
        </w:rPr>
        <w:t xml:space="preserve">1.1 </w:t>
      </w:r>
      <w:r w:rsidR="00247988">
        <w:rPr>
          <w:color w:val="95050F"/>
        </w:rPr>
        <w:t>Purpose of review</w:t>
      </w:r>
      <w:bookmarkEnd w:id="12"/>
      <w:bookmarkEnd w:id="13"/>
    </w:p>
    <w:p w14:paraId="5E791B5F" w14:textId="64ADEB3E" w:rsidR="0023585C" w:rsidRDefault="00A65DF6" w:rsidP="00777080">
      <w:pPr>
        <w:spacing w:line="240" w:lineRule="auto"/>
      </w:pPr>
      <w:r>
        <w:t xml:space="preserve">The </w:t>
      </w:r>
      <w:r w:rsidR="00FA59B6" w:rsidRPr="0023585C">
        <w:t xml:space="preserve">Australian </w:t>
      </w:r>
      <w:r>
        <w:t xml:space="preserve">Department of Foreign Affairs and Trade (DFAT) </w:t>
      </w:r>
      <w:r w:rsidR="00111A98">
        <w:t xml:space="preserve">commissioned </w:t>
      </w:r>
      <w:r w:rsidR="001D7A3A">
        <w:t>a strategic review of the Pacific Register of Qualifications</w:t>
      </w:r>
      <w:r w:rsidR="00903B27">
        <w:t xml:space="preserve"> and Standards</w:t>
      </w:r>
      <w:r>
        <w:t xml:space="preserve"> </w:t>
      </w:r>
      <w:r w:rsidRPr="0023585C">
        <w:t xml:space="preserve">(PRQS) </w:t>
      </w:r>
      <w:r w:rsidR="00903B27">
        <w:t xml:space="preserve">after </w:t>
      </w:r>
      <w:r w:rsidR="00997B1E">
        <w:t xml:space="preserve">supporting </w:t>
      </w:r>
      <w:r w:rsidR="00BB5E56">
        <w:t>the program</w:t>
      </w:r>
      <w:r w:rsidR="00997B1E">
        <w:t xml:space="preserve"> financially for </w:t>
      </w:r>
      <w:r w:rsidR="00903B27">
        <w:t xml:space="preserve">more than six </w:t>
      </w:r>
      <w:r w:rsidR="001D7A3A">
        <w:t xml:space="preserve">years. </w:t>
      </w:r>
      <w:r w:rsidR="0023585C">
        <w:t>The purpose of the strategic review of the Pacific Register of Qualifications and Standards was to</w:t>
      </w:r>
      <w:r w:rsidR="00F022B9">
        <w:t>:</w:t>
      </w:r>
    </w:p>
    <w:p w14:paraId="43AF4B78" w14:textId="77777777" w:rsidR="00F96A24" w:rsidRPr="00037E8B" w:rsidRDefault="00F96A24" w:rsidP="00456131">
      <w:pPr>
        <w:pStyle w:val="ListParagraph"/>
        <w:numPr>
          <w:ilvl w:val="0"/>
          <w:numId w:val="9"/>
        </w:numPr>
      </w:pPr>
      <w:r w:rsidRPr="00037E8B">
        <w:t xml:space="preserve">Identify lessons learned from </w:t>
      </w:r>
      <w:r>
        <w:t>the PRQS’s</w:t>
      </w:r>
      <w:r w:rsidRPr="00037E8B">
        <w:t xml:space="preserve"> efforts to facilitate the benchmarking of Pacific qualifications against international standards and to facilitate Paci</w:t>
      </w:r>
      <w:r>
        <w:t>fic learner and labour mobility</w:t>
      </w:r>
    </w:p>
    <w:p w14:paraId="3566CC10" w14:textId="2E97A2FC" w:rsidR="00F96A24" w:rsidRDefault="00F96A24" w:rsidP="00456131">
      <w:pPr>
        <w:pStyle w:val="ListParagraph"/>
        <w:numPr>
          <w:ilvl w:val="0"/>
          <w:numId w:val="9"/>
        </w:numPr>
      </w:pPr>
      <w:r w:rsidRPr="00037E8B">
        <w:t>Recommend to D</w:t>
      </w:r>
      <w:r>
        <w:t>FAT</w:t>
      </w:r>
      <w:r w:rsidRPr="00037E8B">
        <w:t xml:space="preserve"> a future model of support that will promote greater institutional and program compliance with quality standards, foster international recognition of qualifications, and </w:t>
      </w:r>
      <w:r w:rsidRPr="002E6F02">
        <w:t>facilitate Pacific learner and labour mobility.</w:t>
      </w:r>
    </w:p>
    <w:p w14:paraId="3FAFD5BB" w14:textId="38FA177B" w:rsidR="001D7A3A" w:rsidRPr="00297257" w:rsidRDefault="001D7A3A" w:rsidP="00777080">
      <w:pPr>
        <w:spacing w:line="240" w:lineRule="auto"/>
      </w:pPr>
      <w:r w:rsidRPr="00297257">
        <w:t>The review was to focus on the following areas:</w:t>
      </w:r>
    </w:p>
    <w:p w14:paraId="47559320" w14:textId="06F81194" w:rsidR="001D7A3A" w:rsidRPr="00297257" w:rsidRDefault="001D7A3A" w:rsidP="00456131">
      <w:pPr>
        <w:pStyle w:val="ListParagraph"/>
        <w:numPr>
          <w:ilvl w:val="0"/>
          <w:numId w:val="30"/>
        </w:numPr>
      </w:pPr>
      <w:r w:rsidRPr="00297257">
        <w:t>What happened</w:t>
      </w:r>
      <w:r w:rsidR="00297257" w:rsidRPr="00297257">
        <w:t>?</w:t>
      </w:r>
      <w:r w:rsidRPr="00297257">
        <w:t xml:space="preserve"> (what worked well or less well, what was achieved?)</w:t>
      </w:r>
    </w:p>
    <w:p w14:paraId="00380819" w14:textId="392CCE6E" w:rsidR="001D7A3A" w:rsidRPr="00297257" w:rsidRDefault="001D7A3A" w:rsidP="00456131">
      <w:pPr>
        <w:pStyle w:val="ListParagraph"/>
        <w:numPr>
          <w:ilvl w:val="0"/>
          <w:numId w:val="30"/>
        </w:numPr>
      </w:pPr>
      <w:r w:rsidRPr="00297257">
        <w:t>So what</w:t>
      </w:r>
      <w:r w:rsidR="00297257" w:rsidRPr="00297257">
        <w:t xml:space="preserve"> else needs to be done?</w:t>
      </w:r>
      <w:r w:rsidRPr="00297257">
        <w:t xml:space="preserve"> (is it enough, relevant</w:t>
      </w:r>
      <w:r w:rsidR="00297257" w:rsidRPr="00297257">
        <w:t>?</w:t>
      </w:r>
      <w:r w:rsidRPr="00297257">
        <w:t>)</w:t>
      </w:r>
    </w:p>
    <w:p w14:paraId="50998252" w14:textId="71B38419" w:rsidR="001D7A3A" w:rsidRPr="00297257" w:rsidRDefault="001D7A3A" w:rsidP="00456131">
      <w:pPr>
        <w:pStyle w:val="ListParagraph"/>
        <w:numPr>
          <w:ilvl w:val="0"/>
          <w:numId w:val="30"/>
        </w:numPr>
      </w:pPr>
      <w:r w:rsidRPr="00297257">
        <w:t>What now</w:t>
      </w:r>
      <w:r w:rsidR="00297257" w:rsidRPr="00297257">
        <w:t>?</w:t>
      </w:r>
      <w:r w:rsidRPr="00297257">
        <w:t xml:space="preserve"> (recommendations). </w:t>
      </w:r>
    </w:p>
    <w:p w14:paraId="6C784CB9" w14:textId="3266482D" w:rsidR="001D7A3A" w:rsidRPr="00297257" w:rsidRDefault="001D7A3A" w:rsidP="00777080">
      <w:pPr>
        <w:spacing w:line="240" w:lineRule="auto"/>
      </w:pPr>
      <w:r w:rsidRPr="00297257">
        <w:t>The key questions to be posed included:</w:t>
      </w:r>
    </w:p>
    <w:p w14:paraId="116031E1" w14:textId="1E05044D" w:rsidR="001D7A3A" w:rsidRPr="00297257" w:rsidRDefault="001D7A3A" w:rsidP="00456131">
      <w:pPr>
        <w:pStyle w:val="ListParagraph"/>
        <w:numPr>
          <w:ilvl w:val="0"/>
          <w:numId w:val="68"/>
        </w:numPr>
      </w:pPr>
      <w:r w:rsidRPr="00297257">
        <w:t>Is the PRQS contributing sufficiently to benchmarking of Pacific qualifications, and is this facilitating improved learner and labour mobility?</w:t>
      </w:r>
    </w:p>
    <w:p w14:paraId="7E84AAFB" w14:textId="0BC46FC1" w:rsidR="001D7A3A" w:rsidRPr="00297257" w:rsidRDefault="001D7A3A" w:rsidP="00456131">
      <w:pPr>
        <w:pStyle w:val="ListParagraph"/>
        <w:numPr>
          <w:ilvl w:val="0"/>
          <w:numId w:val="68"/>
        </w:numPr>
      </w:pPr>
      <w:r w:rsidRPr="00297257">
        <w:t>To what extent, and how, is PRQS relevant to the Pacific context and needs?</w:t>
      </w:r>
    </w:p>
    <w:p w14:paraId="138A5533" w14:textId="6A97ED26" w:rsidR="00CC387A" w:rsidRPr="00297257" w:rsidRDefault="00CC387A" w:rsidP="00777080">
      <w:pPr>
        <w:spacing w:line="240" w:lineRule="auto"/>
      </w:pPr>
      <w:r w:rsidRPr="00297257">
        <w:t xml:space="preserve">The review </w:t>
      </w:r>
      <w:r w:rsidR="005D5E4A">
        <w:t>team included</w:t>
      </w:r>
      <w:r w:rsidRPr="00297257">
        <w:t>:</w:t>
      </w:r>
    </w:p>
    <w:p w14:paraId="3CF34032" w14:textId="77777777" w:rsidR="00CC387A" w:rsidRPr="00297257" w:rsidRDefault="00CC387A" w:rsidP="00456131">
      <w:pPr>
        <w:pStyle w:val="ListParagraph"/>
        <w:numPr>
          <w:ilvl w:val="0"/>
          <w:numId w:val="8"/>
        </w:numPr>
      </w:pPr>
      <w:r w:rsidRPr="00297257">
        <w:t>Andrea Bateman, Bateman &amp; Giles Pty Ltd (Team Leader)</w:t>
      </w:r>
    </w:p>
    <w:p w14:paraId="5AF2A09E" w14:textId="77777777" w:rsidR="00CC387A" w:rsidRPr="00247988" w:rsidRDefault="00CC387A" w:rsidP="00456131">
      <w:pPr>
        <w:pStyle w:val="ListParagraph"/>
        <w:numPr>
          <w:ilvl w:val="0"/>
          <w:numId w:val="8"/>
        </w:numPr>
      </w:pPr>
      <w:r w:rsidRPr="00247988">
        <w:t xml:space="preserve">Ewen Holstein, </w:t>
      </w:r>
      <w:r>
        <w:t xml:space="preserve">Lead Evaluator, External Evaluation and Review, Quality Assurance Division, </w:t>
      </w:r>
      <w:r w:rsidRPr="00247988">
        <w:t>New Zealand Qualifications Authority</w:t>
      </w:r>
    </w:p>
    <w:p w14:paraId="2908C12A" w14:textId="77777777" w:rsidR="00CC387A" w:rsidRPr="00B06243" w:rsidRDefault="00CC387A" w:rsidP="00456131">
      <w:pPr>
        <w:pStyle w:val="ListParagraph"/>
        <w:numPr>
          <w:ilvl w:val="0"/>
          <w:numId w:val="8"/>
        </w:numPr>
      </w:pPr>
      <w:r w:rsidRPr="00B06243">
        <w:t>Dr Sereana Kubuabola, Senior Quality Assurance Coordinator, Planning and Quality Office University of the South Pacific.</w:t>
      </w:r>
    </w:p>
    <w:p w14:paraId="4FE73416" w14:textId="0F7FF29F" w:rsidR="00CC387A" w:rsidRPr="00297257" w:rsidRDefault="00AD0339" w:rsidP="00777080">
      <w:pPr>
        <w:spacing w:line="240" w:lineRule="auto"/>
      </w:pPr>
      <w:r w:rsidRPr="00297257">
        <w:t xml:space="preserve">The </w:t>
      </w:r>
      <w:r w:rsidR="001D7A3A" w:rsidRPr="00297257">
        <w:t xml:space="preserve">complete </w:t>
      </w:r>
      <w:r w:rsidRPr="00297257">
        <w:t xml:space="preserve">Terms of Reference </w:t>
      </w:r>
      <w:r w:rsidR="00297257" w:rsidRPr="00297257">
        <w:t>are</w:t>
      </w:r>
      <w:r w:rsidRPr="00297257">
        <w:t xml:space="preserve"> included in Appendix 1. </w:t>
      </w:r>
      <w:r w:rsidR="00CC387A">
        <w:t xml:space="preserve">A summary of the methodology is included in Appendix </w:t>
      </w:r>
      <w:r w:rsidR="00053789">
        <w:t>2</w:t>
      </w:r>
      <w:r w:rsidR="00E716CF">
        <w:t>, and a list of interviewee</w:t>
      </w:r>
      <w:r w:rsidR="007D33A9">
        <w:t>s is included</w:t>
      </w:r>
      <w:r w:rsidR="00E716CF">
        <w:t xml:space="preserve"> in Appendix </w:t>
      </w:r>
      <w:r w:rsidR="00053789">
        <w:t>3</w:t>
      </w:r>
      <w:r w:rsidR="00E716CF">
        <w:t>.</w:t>
      </w:r>
    </w:p>
    <w:p w14:paraId="669A2F00" w14:textId="49107AFF" w:rsidR="0039690D" w:rsidRPr="00122600" w:rsidRDefault="00122600" w:rsidP="00122600">
      <w:pPr>
        <w:pStyle w:val="Heading2"/>
        <w:rPr>
          <w:color w:val="95050F"/>
        </w:rPr>
      </w:pPr>
      <w:bookmarkStart w:id="17" w:name="_Toc458938571"/>
      <w:bookmarkStart w:id="18" w:name="_Toc462755550"/>
      <w:r>
        <w:rPr>
          <w:color w:val="95050F"/>
        </w:rPr>
        <w:t>1.</w:t>
      </w:r>
      <w:r w:rsidR="0005394F">
        <w:rPr>
          <w:color w:val="95050F"/>
        </w:rPr>
        <w:t>2</w:t>
      </w:r>
      <w:r>
        <w:rPr>
          <w:color w:val="95050F"/>
        </w:rPr>
        <w:t xml:space="preserve"> </w:t>
      </w:r>
      <w:r w:rsidR="0039690D" w:rsidRPr="00122600">
        <w:rPr>
          <w:color w:val="95050F"/>
        </w:rPr>
        <w:t>Terminology</w:t>
      </w:r>
      <w:bookmarkEnd w:id="17"/>
      <w:bookmarkEnd w:id="18"/>
    </w:p>
    <w:p w14:paraId="7AD99CD8" w14:textId="35B76094" w:rsidR="00E71B43" w:rsidRDefault="00E71B43" w:rsidP="00777080">
      <w:pPr>
        <w:spacing w:line="240" w:lineRule="auto"/>
      </w:pPr>
      <w:r>
        <w:t xml:space="preserve">A difficulty faced by the review team was how to identify the various Pacific Island groupings and associations. Pacific Island Forum </w:t>
      </w:r>
      <w:r w:rsidR="00602345">
        <w:t>(P</w:t>
      </w:r>
      <w:r w:rsidR="005B6E11">
        <w:t>I</w:t>
      </w:r>
      <w:r w:rsidR="00602345">
        <w:t xml:space="preserve">F) </w:t>
      </w:r>
      <w:r>
        <w:t>cou</w:t>
      </w:r>
      <w:r w:rsidR="00277E72">
        <w:t xml:space="preserve">ntries and territories include </w:t>
      </w:r>
      <w:r>
        <w:t>Cook I</w:t>
      </w:r>
      <w:r w:rsidRPr="00855799">
        <w:t xml:space="preserve">slands, Fiji, Kiribati, Marshall Islands, Micronesia, Nauru, Niue, Palau, Papua New Guinea, Samoa, </w:t>
      </w:r>
      <w:r>
        <w:t xml:space="preserve">Solomon Islands, </w:t>
      </w:r>
      <w:r w:rsidRPr="00855799">
        <w:t>Tonga, Tuvalu and Vanuatu</w:t>
      </w:r>
      <w:r>
        <w:t>, plus Australia and New Zealand. Associate members include New Caledonia, French Polynesia</w:t>
      </w:r>
      <w:r w:rsidRPr="00146C6D">
        <w:t xml:space="preserve"> </w:t>
      </w:r>
      <w:r>
        <w:t xml:space="preserve">and Tokelau. Pacific island observers include Wallis and Futuna, Guam, American Samoa and Northern Mariana Islands, </w:t>
      </w:r>
      <w:r w:rsidR="005B6E11">
        <w:t xml:space="preserve">and, </w:t>
      </w:r>
      <w:r>
        <w:t>as a special observer</w:t>
      </w:r>
      <w:r w:rsidR="005B6E11">
        <w:t>,</w:t>
      </w:r>
      <w:r>
        <w:t xml:space="preserve"> Timor-Leste. </w:t>
      </w:r>
    </w:p>
    <w:p w14:paraId="096313AB" w14:textId="63334466" w:rsidR="00E71B43" w:rsidRDefault="005B6E11" w:rsidP="00777080">
      <w:pPr>
        <w:spacing w:line="240" w:lineRule="auto"/>
      </w:pPr>
      <w:r>
        <w:rPr>
          <w:rFonts w:cs="Arial"/>
        </w:rPr>
        <w:t>Secretariat of the Pacific Community (</w:t>
      </w:r>
      <w:r w:rsidR="00E71B43">
        <w:t>SPC</w:t>
      </w:r>
      <w:r>
        <w:t>)</w:t>
      </w:r>
      <w:r w:rsidR="00E71B43">
        <w:t xml:space="preserve"> members include PIF countries and territories (including Australia and New Zealand) as well as </w:t>
      </w:r>
      <w:r w:rsidR="00E71B43" w:rsidRPr="00EF31AF">
        <w:t>French Polynesia, Guam, New Caledonia, Northern Mariana Islands, Pitcairn Islands, Tokelau, Wallis and Futuna</w:t>
      </w:r>
      <w:r w:rsidR="00E71B43">
        <w:t xml:space="preserve">, France and United States of America. </w:t>
      </w:r>
    </w:p>
    <w:p w14:paraId="0F22E454" w14:textId="7ACA93A3" w:rsidR="00C73311" w:rsidRDefault="00E71B43" w:rsidP="00777080">
      <w:pPr>
        <w:spacing w:line="240" w:lineRule="auto"/>
      </w:pPr>
      <w:r>
        <w:t>The focus of this review has been on the Pacific island countries and territories</w:t>
      </w:r>
      <w:r w:rsidR="005B6E11">
        <w:t xml:space="preserve"> </w:t>
      </w:r>
      <w:r>
        <w:t>and their engagement with the PRQS. Given this</w:t>
      </w:r>
      <w:r w:rsidR="005B6E11">
        <w:t>,</w:t>
      </w:r>
      <w:r>
        <w:t xml:space="preserve"> as much as possible the term </w:t>
      </w:r>
      <w:r w:rsidR="00602345">
        <w:t>PIFs refer</w:t>
      </w:r>
      <w:r w:rsidR="0096293D">
        <w:t>s</w:t>
      </w:r>
      <w:r w:rsidR="00602345">
        <w:t xml:space="preserve"> to full member countries and territories (excluding Australia and New Zealand unless otherwise stated</w:t>
      </w:r>
      <w:r w:rsidR="004B2DC3">
        <w:t>)</w:t>
      </w:r>
      <w:r w:rsidR="00602345">
        <w:t xml:space="preserve">. </w:t>
      </w:r>
      <w:r w:rsidR="00E23434">
        <w:t>The</w:t>
      </w:r>
      <w:r w:rsidR="005B6E11">
        <w:t xml:space="preserve"> term</w:t>
      </w:r>
      <w:r w:rsidR="00E23434">
        <w:t>,</w:t>
      </w:r>
      <w:r w:rsidR="005B6E11">
        <w:t xml:space="preserve"> </w:t>
      </w:r>
      <w:r w:rsidR="00A11A94">
        <w:t>Pacific Nations</w:t>
      </w:r>
      <w:r w:rsidR="005B6E11">
        <w:t>,</w:t>
      </w:r>
      <w:r>
        <w:t xml:space="preserve"> </w:t>
      </w:r>
      <w:r w:rsidR="008045A1">
        <w:t>is</w:t>
      </w:r>
      <w:r>
        <w:t xml:space="preserve"> used to </w:t>
      </w:r>
      <w:r w:rsidR="00E23434">
        <w:lastRenderedPageBreak/>
        <w:t>describe</w:t>
      </w:r>
      <w:r>
        <w:t xml:space="preserve"> an island grouping broader than that of the PIFs</w:t>
      </w:r>
      <w:r w:rsidR="00D03DE1">
        <w:t xml:space="preserve"> countries and territories</w:t>
      </w:r>
      <w:r>
        <w:t xml:space="preserve"> (excluding Australia and New Zealand). </w:t>
      </w:r>
    </w:p>
    <w:p w14:paraId="56D16CAB" w14:textId="14085B25" w:rsidR="00CC387A" w:rsidRDefault="00E71B43" w:rsidP="00777080">
      <w:pPr>
        <w:spacing w:line="240" w:lineRule="auto"/>
      </w:pPr>
      <w:r>
        <w:t>A glossary of key</w:t>
      </w:r>
      <w:r w:rsidR="00053789">
        <w:t xml:space="preserve"> terms is included in Appendix 9</w:t>
      </w:r>
      <w:r>
        <w:t xml:space="preserve">. </w:t>
      </w:r>
    </w:p>
    <w:p w14:paraId="184B634D" w14:textId="11638D49" w:rsidR="0005394F" w:rsidRPr="0005394F" w:rsidRDefault="0005394F" w:rsidP="0005394F">
      <w:pPr>
        <w:pStyle w:val="Heading2"/>
        <w:rPr>
          <w:color w:val="95050F"/>
        </w:rPr>
      </w:pPr>
      <w:bookmarkStart w:id="19" w:name="_Toc458938572"/>
      <w:bookmarkStart w:id="20" w:name="_Toc462755551"/>
      <w:r>
        <w:rPr>
          <w:color w:val="95050F"/>
        </w:rPr>
        <w:t xml:space="preserve">1.3 </w:t>
      </w:r>
      <w:r w:rsidRPr="0005394F">
        <w:rPr>
          <w:color w:val="95050F"/>
        </w:rPr>
        <w:t>The PRQS model</w:t>
      </w:r>
      <w:bookmarkEnd w:id="19"/>
      <w:bookmarkEnd w:id="20"/>
    </w:p>
    <w:p w14:paraId="670DF92A" w14:textId="77777777" w:rsidR="00DE3DBD" w:rsidRPr="00DE3DBD" w:rsidRDefault="00DE3DBD" w:rsidP="00DE3DBD">
      <w:pPr>
        <w:spacing w:line="276" w:lineRule="auto"/>
        <w:rPr>
          <w:b/>
          <w:color w:val="FF0000"/>
        </w:rPr>
      </w:pPr>
      <w:r w:rsidRPr="00DE3DBD">
        <w:rPr>
          <w:b/>
          <w:color w:val="FF0000"/>
        </w:rPr>
        <w:t>The model</w:t>
      </w:r>
    </w:p>
    <w:p w14:paraId="0E765206" w14:textId="77777777" w:rsidR="00DE3DBD" w:rsidRPr="003860CE" w:rsidRDefault="00DE3DBD" w:rsidP="008C5652">
      <w:pPr>
        <w:spacing w:line="240" w:lineRule="auto"/>
      </w:pPr>
      <w:r w:rsidRPr="003860CE">
        <w:t>The PRQS aim</w:t>
      </w:r>
      <w:r>
        <w:t>s</w:t>
      </w:r>
      <w:r w:rsidRPr="003860CE">
        <w:t xml:space="preserve"> to:</w:t>
      </w:r>
    </w:p>
    <w:p w14:paraId="6C3556C4" w14:textId="77777777" w:rsidR="00DE3DBD" w:rsidRPr="003860CE" w:rsidRDefault="00DE3DBD" w:rsidP="00456131">
      <w:pPr>
        <w:pStyle w:val="ListParagraph"/>
        <w:numPr>
          <w:ilvl w:val="0"/>
          <w:numId w:val="59"/>
        </w:numPr>
      </w:pPr>
      <w:r w:rsidRPr="003860CE">
        <w:t xml:space="preserve">Support the mobility of Pacific learners and labour through a common regional quality standard and recognition arrangement for either qualifications or occupational standards that foster and sustain regional integration. </w:t>
      </w:r>
    </w:p>
    <w:p w14:paraId="554E8BF2" w14:textId="77777777" w:rsidR="00DE3DBD" w:rsidRDefault="00DE3DBD" w:rsidP="00456131">
      <w:pPr>
        <w:pStyle w:val="ListParagraph"/>
        <w:numPr>
          <w:ilvl w:val="0"/>
          <w:numId w:val="59"/>
        </w:numPr>
      </w:pPr>
      <w:r w:rsidRPr="003860CE">
        <w:t>Facilitate informed decisions and choices about comparable and recognised qualifications, accrediting agencies, education and training institutions, professional status of workers, and regional occupational standards in the Pacific region.</w:t>
      </w:r>
      <w:r>
        <w:rPr>
          <w:rStyle w:val="FootnoteReference"/>
        </w:rPr>
        <w:footnoteReference w:id="7"/>
      </w:r>
      <w:r w:rsidRPr="003860CE">
        <w:t xml:space="preserve"> </w:t>
      </w:r>
    </w:p>
    <w:p w14:paraId="415BAEBC" w14:textId="77777777" w:rsidR="00DE3DBD" w:rsidRDefault="00DE3DBD" w:rsidP="008C5652">
      <w:pPr>
        <w:spacing w:line="240" w:lineRule="auto"/>
      </w:pPr>
      <w:r>
        <w:t xml:space="preserve">The PRQS is a database and comprises options to include: </w:t>
      </w:r>
    </w:p>
    <w:p w14:paraId="754B4ABE" w14:textId="77777777" w:rsidR="00DE3DBD" w:rsidRPr="00682419" w:rsidRDefault="00DE3DBD" w:rsidP="00456131">
      <w:pPr>
        <w:pStyle w:val="ListParagraph"/>
        <w:numPr>
          <w:ilvl w:val="0"/>
          <w:numId w:val="11"/>
        </w:numPr>
      </w:pPr>
      <w:r w:rsidRPr="00682419">
        <w:t>Quality assured qualifications</w:t>
      </w:r>
    </w:p>
    <w:p w14:paraId="647F632B" w14:textId="77777777" w:rsidR="00DE3DBD" w:rsidRPr="00682419" w:rsidRDefault="00DE3DBD" w:rsidP="00456131">
      <w:pPr>
        <w:pStyle w:val="ListParagraph"/>
        <w:numPr>
          <w:ilvl w:val="0"/>
          <w:numId w:val="11"/>
        </w:numPr>
      </w:pPr>
      <w:r>
        <w:t>P</w:t>
      </w:r>
      <w:r w:rsidRPr="00682419">
        <w:t xml:space="preserve">acific traditional knowledge and indigenous skills </w:t>
      </w:r>
    </w:p>
    <w:p w14:paraId="060C441D" w14:textId="77777777" w:rsidR="00DE3DBD" w:rsidRPr="00682419" w:rsidRDefault="00DE3DBD" w:rsidP="00456131">
      <w:pPr>
        <w:pStyle w:val="ListParagraph"/>
        <w:numPr>
          <w:ilvl w:val="0"/>
          <w:numId w:val="11"/>
        </w:numPr>
      </w:pPr>
      <w:r w:rsidRPr="00682419">
        <w:t>Professional licen</w:t>
      </w:r>
      <w:r>
        <w:t>s</w:t>
      </w:r>
      <w:r w:rsidRPr="00682419">
        <w:t>ing and occupational standards</w:t>
      </w:r>
    </w:p>
    <w:p w14:paraId="1F9DB7B2" w14:textId="77777777" w:rsidR="00DE3DBD" w:rsidRPr="00682419" w:rsidRDefault="00DE3DBD" w:rsidP="00456131">
      <w:pPr>
        <w:pStyle w:val="ListParagraph"/>
        <w:numPr>
          <w:ilvl w:val="0"/>
          <w:numId w:val="11"/>
        </w:numPr>
      </w:pPr>
      <w:r w:rsidRPr="00682419">
        <w:t>Regional benchmark</w:t>
      </w:r>
      <w:r>
        <w:t>s,</w:t>
      </w:r>
      <w:r w:rsidRPr="00682419">
        <w:t xml:space="preserve"> such as those related to literacy, numeracy and life skills for basic education. </w:t>
      </w:r>
    </w:p>
    <w:p w14:paraId="5281EFB0" w14:textId="038EA100" w:rsidR="00DE3DBD" w:rsidRDefault="00DE3DBD" w:rsidP="008C5652">
      <w:pPr>
        <w:spacing w:line="240" w:lineRule="auto"/>
      </w:pPr>
      <w:r>
        <w:t xml:space="preserve">The database also hosts information on accrediting agencies, </w:t>
      </w:r>
      <w:r w:rsidRPr="000F2B1B">
        <w:t xml:space="preserve">quality assurance instruments used by each country and an overview of the educational systems of each </w:t>
      </w:r>
      <w:r>
        <w:t xml:space="preserve">of the </w:t>
      </w:r>
      <w:r w:rsidRPr="000F2B1B">
        <w:t xml:space="preserve">Pacific </w:t>
      </w:r>
      <w:r w:rsidR="00A11A94">
        <w:t>Nations</w:t>
      </w:r>
      <w:r w:rsidRPr="000F2B1B">
        <w:t>.</w:t>
      </w:r>
      <w:r w:rsidRPr="00233DBE">
        <w:t xml:space="preserve"> </w:t>
      </w:r>
      <w:r>
        <w:t xml:space="preserve">Functionality of the database is limited and information on all these areas is not </w:t>
      </w:r>
      <w:r w:rsidR="00EC4150">
        <w:t xml:space="preserve">readily available </w:t>
      </w:r>
      <w:r>
        <w:t>unless full access rights are provided.</w:t>
      </w:r>
    </w:p>
    <w:p w14:paraId="24A15F70" w14:textId="77777777" w:rsidR="00DE3DBD" w:rsidRPr="00037E8B" w:rsidRDefault="00DE3DBD" w:rsidP="008C5652">
      <w:pPr>
        <w:spacing w:line="240" w:lineRule="auto"/>
      </w:pPr>
      <w:r w:rsidRPr="00037E8B">
        <w:t xml:space="preserve">The PRQS model is both complex and multi-faceted. </w:t>
      </w:r>
      <w:r w:rsidRPr="00037E8B">
        <w:rPr>
          <w:rFonts w:ascii="Corbel" w:hAnsi="Corbel"/>
          <w:lang w:val="en-GB"/>
        </w:rPr>
        <w:t>To promote its aims the PRQS model</w:t>
      </w:r>
      <w:r w:rsidRPr="00037E8B">
        <w:t xml:space="preserve"> is underpinned by two key structures:</w:t>
      </w:r>
    </w:p>
    <w:p w14:paraId="5DD70E13" w14:textId="11C31EA5" w:rsidR="00DE3DBD" w:rsidRPr="00037E8B" w:rsidRDefault="00DE3DBD" w:rsidP="00456131">
      <w:pPr>
        <w:pStyle w:val="ListParagraph"/>
        <w:numPr>
          <w:ilvl w:val="0"/>
          <w:numId w:val="62"/>
        </w:numPr>
      </w:pPr>
      <w:r w:rsidRPr="00037E8B">
        <w:t xml:space="preserve">The Pacific Qualifications Framework (PQF), a common reference framework to link national qualifications frameworks of participating </w:t>
      </w:r>
      <w:r w:rsidR="00A11A94">
        <w:t>Pacific Nations</w:t>
      </w:r>
    </w:p>
    <w:p w14:paraId="1E43C632" w14:textId="7E7B037C" w:rsidR="00DE3DBD" w:rsidRPr="00037E8B" w:rsidRDefault="00DE3DBD" w:rsidP="00456131">
      <w:pPr>
        <w:pStyle w:val="ListParagraph"/>
        <w:numPr>
          <w:ilvl w:val="0"/>
          <w:numId w:val="62"/>
        </w:numPr>
      </w:pPr>
      <w:r w:rsidRPr="00037E8B">
        <w:t>The Pacific Quality Assurance Framework (PQAF</w:t>
      </w:r>
      <w:r w:rsidR="008045A1">
        <w:t>)</w:t>
      </w:r>
      <w:r w:rsidR="008045A1" w:rsidRPr="00037E8B">
        <w:t xml:space="preserve"> which</w:t>
      </w:r>
      <w:r w:rsidRPr="00037E8B">
        <w:t xml:space="preserve"> includes a set of quality assurance standards for agencies (including the registration of providers and accreditation processes of qualifications) and minimum standards for providers.</w:t>
      </w:r>
    </w:p>
    <w:p w14:paraId="07213A34" w14:textId="0F882CF0" w:rsidR="00DE3DBD" w:rsidRDefault="00DE3DBD" w:rsidP="008C5652">
      <w:pPr>
        <w:spacing w:line="240" w:lineRule="auto"/>
      </w:pPr>
      <w:r w:rsidRPr="00037E8B">
        <w:t>The PQF consists of a 10-</w:t>
      </w:r>
      <w:r w:rsidRPr="007C0B98">
        <w:t xml:space="preserve">level framework, and has the capacity to function as a national qualifications framework (NQF). </w:t>
      </w:r>
      <w:r w:rsidR="001447CF" w:rsidRPr="007C0B98">
        <w:t xml:space="preserve">A more detailed overview of the model is included in Appendix </w:t>
      </w:r>
      <w:r w:rsidR="00053789" w:rsidRPr="007C0B98">
        <w:t>4</w:t>
      </w:r>
      <w:r w:rsidR="001447CF" w:rsidRPr="007C0B98">
        <w:t xml:space="preserve">. </w:t>
      </w:r>
      <w:r w:rsidRPr="007C0B98">
        <w:t>The effectiveness of this model is discussed in the findings section of this report.</w:t>
      </w:r>
      <w:r w:rsidRPr="007008FB">
        <w:t xml:space="preserve"> </w:t>
      </w:r>
    </w:p>
    <w:p w14:paraId="3E37B537" w14:textId="4DE269E8" w:rsidR="00721159" w:rsidRPr="00721159" w:rsidRDefault="00721159" w:rsidP="00DE3DBD">
      <w:pPr>
        <w:spacing w:line="276" w:lineRule="auto"/>
        <w:rPr>
          <w:b/>
          <w:color w:val="FF0000"/>
        </w:rPr>
      </w:pPr>
      <w:r w:rsidRPr="00721159">
        <w:rPr>
          <w:b/>
          <w:color w:val="FF0000"/>
        </w:rPr>
        <w:t>PRQS stakeholders</w:t>
      </w:r>
    </w:p>
    <w:p w14:paraId="131A61EB" w14:textId="4877EDB9" w:rsidR="00DE3DBD" w:rsidRDefault="00DE3DBD" w:rsidP="008C5652">
      <w:pPr>
        <w:spacing w:line="240" w:lineRule="auto"/>
      </w:pPr>
      <w:r w:rsidRPr="00037E8B">
        <w:t>The PRQS</w:t>
      </w:r>
      <w:r w:rsidRPr="00037E8B">
        <w:rPr>
          <w:rStyle w:val="FootnoteReference"/>
        </w:rPr>
        <w:footnoteReference w:id="8"/>
      </w:r>
      <w:r w:rsidRPr="00037E8B">
        <w:t xml:space="preserve"> notes its education stakeholders as including Pacific accrediting agencies and Ministries of Education from </w:t>
      </w:r>
      <w:r w:rsidRPr="00037E8B">
        <w:rPr>
          <w:rFonts w:cs="Arial"/>
        </w:rPr>
        <w:t>Pacific Island Forum</w:t>
      </w:r>
      <w:r w:rsidRPr="00037E8B">
        <w:t xml:space="preserve"> (PIF) countries and territories (i.e., Cook Islands, Fiji, Kiribati, Marshall Islands, Micronesia [Federated States of], Nauru, Niue, Palau, Papua New Guinea, Samoa, Solomon Islands, Tonga, Tuvalu and Vanuatu).</w:t>
      </w:r>
      <w:r w:rsidRPr="00037E8B">
        <w:rPr>
          <w:rStyle w:val="FootnoteReference"/>
        </w:rPr>
        <w:footnoteReference w:id="9"/>
      </w:r>
      <w:r w:rsidRPr="00037E8B">
        <w:t xml:space="preserve"> However, the remit of the PRQS is not straightforward. The </w:t>
      </w:r>
      <w:r w:rsidRPr="00037E8B">
        <w:lastRenderedPageBreak/>
        <w:t>Educational Quality and Assessment Programme is within the Pacific Community with a membership of PIF countries and territories as well as French Polynesia, Guam, New Caledonia, Northern Mariana Islands, Pitcairn Islands, Tokelau, and Wallis and Futuna.</w:t>
      </w:r>
      <w:r w:rsidRPr="00037E8B">
        <w:rPr>
          <w:rStyle w:val="FootnoteReference"/>
        </w:rPr>
        <w:footnoteReference w:id="10"/>
      </w:r>
      <w:r w:rsidRPr="00037E8B">
        <w:t xml:space="preserve"> To complicate </w:t>
      </w:r>
      <w:r w:rsidR="004F1A08" w:rsidRPr="00037E8B">
        <w:t xml:space="preserve">further </w:t>
      </w:r>
      <w:r w:rsidRPr="00037E8B">
        <w:t xml:space="preserve">the clarity of a stakeholder group, EQAP contribution paying Pacific island countries (i.e. members) include a smaller group: Fiji, Tonga, Samoa, Tokelau, Vanuatu, Tuvalu, Kiribati, and Solomon Islands. </w:t>
      </w:r>
    </w:p>
    <w:p w14:paraId="460E5100" w14:textId="77777777" w:rsidR="00DE3DBD" w:rsidRPr="00DE3DBD" w:rsidRDefault="00DE3DBD" w:rsidP="00DE3DBD">
      <w:pPr>
        <w:spacing w:line="276" w:lineRule="auto"/>
        <w:rPr>
          <w:b/>
          <w:color w:val="FF0000"/>
        </w:rPr>
      </w:pPr>
      <w:r w:rsidRPr="00DE3DBD">
        <w:rPr>
          <w:b/>
          <w:color w:val="FF0000"/>
        </w:rPr>
        <w:t>Progress to date</w:t>
      </w:r>
    </w:p>
    <w:p w14:paraId="7AA95FC5" w14:textId="50A698DC" w:rsidR="00DE3DBD" w:rsidRPr="00037E8B" w:rsidRDefault="00894AF2" w:rsidP="008C5652">
      <w:pPr>
        <w:spacing w:line="240" w:lineRule="auto"/>
      </w:pPr>
      <w:r w:rsidRPr="00037E8B">
        <w:t xml:space="preserve">The PRQS relies on other competent bodies (i.e. national agencies), regional professional associations or other regional initiatives to be able to populate the register. </w:t>
      </w:r>
      <w:r w:rsidR="00DE3DBD" w:rsidRPr="007B33CD">
        <w:t>Progress to</w:t>
      </w:r>
      <w:r w:rsidR="00DE3DBD" w:rsidRPr="00037E8B">
        <w:t xml:space="preserve"> date has included:</w:t>
      </w:r>
    </w:p>
    <w:p w14:paraId="4ECBF06B" w14:textId="77777777" w:rsidR="00DE3DBD" w:rsidRPr="00037E8B" w:rsidRDefault="00DE3DBD" w:rsidP="00456131">
      <w:pPr>
        <w:pStyle w:val="ListParagraph"/>
        <w:numPr>
          <w:ilvl w:val="0"/>
          <w:numId w:val="44"/>
        </w:numPr>
      </w:pPr>
      <w:r w:rsidRPr="00037E8B">
        <w:t>Recognition of at least six national agencies, one regional agency for USA aligned countries and territories, and two sectoral agencies</w:t>
      </w:r>
    </w:p>
    <w:p w14:paraId="00D3096C" w14:textId="44833A38" w:rsidR="00DE3DBD" w:rsidRPr="00037E8B" w:rsidRDefault="00DE3DBD" w:rsidP="00456131">
      <w:pPr>
        <w:pStyle w:val="ListParagraph"/>
        <w:numPr>
          <w:ilvl w:val="0"/>
          <w:numId w:val="67"/>
        </w:numPr>
      </w:pPr>
      <w:r w:rsidRPr="00037E8B">
        <w:t xml:space="preserve">124 quality </w:t>
      </w:r>
      <w:r w:rsidR="00992080" w:rsidRPr="00037E8B">
        <w:t>assur</w:t>
      </w:r>
      <w:r w:rsidR="00992080">
        <w:t>ed</w:t>
      </w:r>
      <w:r w:rsidRPr="00037E8B">
        <w:t xml:space="preserve"> qualifications listed on the register</w:t>
      </w:r>
    </w:p>
    <w:p w14:paraId="3B1D31D3" w14:textId="6F15F2CC" w:rsidR="00DE3DBD" w:rsidRPr="00037E8B" w:rsidRDefault="00DE3DBD" w:rsidP="00456131">
      <w:pPr>
        <w:pStyle w:val="ListParagraph"/>
        <w:numPr>
          <w:ilvl w:val="0"/>
          <w:numId w:val="67"/>
        </w:numPr>
      </w:pPr>
      <w:r w:rsidRPr="00037E8B">
        <w:t>3 regional benchmarks (i.e. literacy and numeracy, school leaders, school teachers)</w:t>
      </w:r>
    </w:p>
    <w:p w14:paraId="6A0D5154" w14:textId="77777777" w:rsidR="00DE3DBD" w:rsidRPr="00037E8B" w:rsidRDefault="00DE3DBD" w:rsidP="00456131">
      <w:pPr>
        <w:pStyle w:val="ListParagraph"/>
        <w:numPr>
          <w:ilvl w:val="0"/>
          <w:numId w:val="67"/>
        </w:numPr>
      </w:pPr>
      <w:r w:rsidRPr="00037E8B">
        <w:t>No entries in the professional licensing and occupational standards field</w:t>
      </w:r>
    </w:p>
    <w:p w14:paraId="1BF5FB7A" w14:textId="18301821" w:rsidR="00DE3DBD" w:rsidRDefault="00DE3DBD" w:rsidP="00456131">
      <w:pPr>
        <w:pStyle w:val="ListParagraph"/>
        <w:numPr>
          <w:ilvl w:val="0"/>
          <w:numId w:val="67"/>
        </w:numPr>
      </w:pPr>
      <w:r w:rsidRPr="00037E8B">
        <w:t>No entries in the traditional knowledge and indigenous skills field.</w:t>
      </w:r>
    </w:p>
    <w:p w14:paraId="081A7119" w14:textId="025F7339" w:rsidR="007D5F92" w:rsidRDefault="007D5F92" w:rsidP="00456131">
      <w:pPr>
        <w:pStyle w:val="ListParagraph"/>
        <w:numPr>
          <w:ilvl w:val="0"/>
          <w:numId w:val="67"/>
        </w:numPr>
      </w:pPr>
      <w:r>
        <w:t>Acceptance of EQAP as the quality assurance agency by Kiribati and Tuvalu</w:t>
      </w:r>
    </w:p>
    <w:p w14:paraId="22D3F0A8" w14:textId="330C7E95" w:rsidR="007D5F92" w:rsidRPr="00037E8B" w:rsidRDefault="007D5F92" w:rsidP="00456131">
      <w:pPr>
        <w:pStyle w:val="ListParagraph"/>
        <w:numPr>
          <w:ilvl w:val="0"/>
          <w:numId w:val="67"/>
        </w:numPr>
      </w:pPr>
      <w:r>
        <w:t>Development of systems and processes to accredit institutions and qualifications in countries that do not have national quality assurance agencies.</w:t>
      </w:r>
    </w:p>
    <w:p w14:paraId="714798E6" w14:textId="42A9498B" w:rsidR="00DE3DBD" w:rsidRPr="00053789" w:rsidRDefault="00DE3DBD" w:rsidP="008C5652">
      <w:pPr>
        <w:spacing w:line="240" w:lineRule="auto"/>
      </w:pPr>
      <w:r w:rsidRPr="00037E8B">
        <w:t xml:space="preserve">It was not clear whether the processes for populating the register were benchmarked against processes used by other similar regional registers that exist </w:t>
      </w:r>
      <w:r w:rsidRPr="00053789">
        <w:t>internationally e.g. European Tertiary Education Register.</w:t>
      </w:r>
      <w:r w:rsidR="004E06C1" w:rsidRPr="00053789">
        <w:t xml:space="preserve"> </w:t>
      </w:r>
      <w:r w:rsidRPr="00053789">
        <w:t xml:space="preserve">A more detailed </w:t>
      </w:r>
      <w:r w:rsidR="00D126B3" w:rsidRPr="00053789">
        <w:t>summary</w:t>
      </w:r>
      <w:r w:rsidRPr="00053789">
        <w:t xml:space="preserve"> of progress to date is included in Appendix </w:t>
      </w:r>
      <w:r w:rsidR="00053789" w:rsidRPr="00053789">
        <w:t>4</w:t>
      </w:r>
      <w:r w:rsidRPr="00053789">
        <w:t>.</w:t>
      </w:r>
    </w:p>
    <w:p w14:paraId="2C152856" w14:textId="77777777" w:rsidR="00DE3DBD" w:rsidRPr="00053789" w:rsidRDefault="00DE3DBD" w:rsidP="00DE3DBD">
      <w:pPr>
        <w:spacing w:line="276" w:lineRule="auto"/>
        <w:rPr>
          <w:b/>
          <w:color w:val="FF0000"/>
        </w:rPr>
      </w:pPr>
      <w:r w:rsidRPr="00053789">
        <w:rPr>
          <w:b/>
          <w:color w:val="FF0000"/>
        </w:rPr>
        <w:t>Funding and staffing</w:t>
      </w:r>
    </w:p>
    <w:p w14:paraId="5040DD5E" w14:textId="5BB1C9E1" w:rsidR="00DE3DBD" w:rsidRPr="00800231" w:rsidRDefault="00CD2D69" w:rsidP="008C5652">
      <w:pPr>
        <w:spacing w:line="240" w:lineRule="auto"/>
      </w:pPr>
      <w:r w:rsidRPr="00053789">
        <w:t xml:space="preserve">The PRQS program became operational in February 2009. </w:t>
      </w:r>
      <w:r w:rsidR="00373BBB">
        <w:t>A small team leads t</w:t>
      </w:r>
      <w:r w:rsidRPr="00053789">
        <w:t>he PRQS</w:t>
      </w:r>
      <w:r w:rsidR="00373BBB">
        <w:t>,</w:t>
      </w:r>
      <w:r w:rsidRPr="00053789">
        <w:t xml:space="preserve"> the Accreditation and Standards Unit (ASU), based within Educational Quality and Assessment Programme (EQAP). </w:t>
      </w:r>
      <w:r w:rsidR="00DE3DBD" w:rsidRPr="00053789">
        <w:t xml:space="preserve">Australia has funded the PRQS from its inception and has recently extended </w:t>
      </w:r>
      <w:r w:rsidR="00010641">
        <w:t xml:space="preserve">funding </w:t>
      </w:r>
      <w:r w:rsidR="00DE3DBD" w:rsidRPr="00053789">
        <w:t>to the end of December 2016.  From June 2007 to April 2016, AUD$</w:t>
      </w:r>
      <w:r w:rsidR="00DE3DBD" w:rsidRPr="00053789">
        <w:rPr>
          <w:b/>
          <w:sz w:val="20"/>
          <w:szCs w:val="20"/>
        </w:rPr>
        <w:fldChar w:fldCharType="begin"/>
      </w:r>
      <w:r w:rsidR="00DE3DBD" w:rsidRPr="00053789">
        <w:rPr>
          <w:b/>
          <w:sz w:val="20"/>
          <w:szCs w:val="20"/>
        </w:rPr>
        <w:instrText xml:space="preserve"> =SUM(ABOVE) </w:instrText>
      </w:r>
      <w:r w:rsidR="00DE3DBD" w:rsidRPr="00053789">
        <w:rPr>
          <w:b/>
          <w:sz w:val="20"/>
          <w:szCs w:val="20"/>
        </w:rPr>
        <w:fldChar w:fldCharType="separate"/>
      </w:r>
      <w:r w:rsidR="00DE3DBD" w:rsidRPr="00053789">
        <w:rPr>
          <w:b/>
          <w:noProof/>
          <w:sz w:val="20"/>
          <w:szCs w:val="20"/>
        </w:rPr>
        <w:t>3,058,399</w:t>
      </w:r>
      <w:r w:rsidR="00DE3DBD" w:rsidRPr="00053789">
        <w:rPr>
          <w:b/>
          <w:sz w:val="20"/>
          <w:szCs w:val="20"/>
        </w:rPr>
        <w:fldChar w:fldCharType="end"/>
      </w:r>
      <w:r w:rsidR="00DE3DBD" w:rsidRPr="00053789">
        <w:rPr>
          <w:b/>
          <w:sz w:val="20"/>
          <w:szCs w:val="20"/>
        </w:rPr>
        <w:t xml:space="preserve"> </w:t>
      </w:r>
      <w:r w:rsidR="00DE3DBD" w:rsidRPr="00053789">
        <w:t>has been allocated to this program. Over the funding period, the two most significant costs were staffing salaries and benefits</w:t>
      </w:r>
      <w:r w:rsidR="00621F15">
        <w:t xml:space="preserve"> (74%)</w:t>
      </w:r>
      <w:r w:rsidR="00DE3DBD" w:rsidRPr="00053789">
        <w:t>, and workshops/meetings and consultancy fees</w:t>
      </w:r>
      <w:r w:rsidR="00621F15">
        <w:t xml:space="preserve"> (21%)</w:t>
      </w:r>
      <w:r w:rsidR="00DE3DBD" w:rsidRPr="00053789">
        <w:t xml:space="preserve">. A summary of the budget and expenditure </w:t>
      </w:r>
      <w:r w:rsidR="003A4030" w:rsidRPr="00053789">
        <w:t xml:space="preserve">from June 2007 to April 2016 </w:t>
      </w:r>
      <w:r w:rsidR="00DE3DBD" w:rsidRPr="00053789">
        <w:t xml:space="preserve">is included in Appendix </w:t>
      </w:r>
      <w:r w:rsidR="00053789" w:rsidRPr="00053789">
        <w:t>4</w:t>
      </w:r>
      <w:r w:rsidR="00DE3DBD" w:rsidRPr="00053789">
        <w:t>.</w:t>
      </w:r>
    </w:p>
    <w:p w14:paraId="767907DB" w14:textId="701C86BD" w:rsidR="0005394F" w:rsidRDefault="0018284B" w:rsidP="0005394F">
      <w:pPr>
        <w:pStyle w:val="Heading2"/>
      </w:pPr>
      <w:bookmarkStart w:id="21" w:name="_Toc458938573"/>
      <w:bookmarkStart w:id="22" w:name="_Toc462755552"/>
      <w:r>
        <w:rPr>
          <w:color w:val="95050F"/>
        </w:rPr>
        <w:t xml:space="preserve">1.4 </w:t>
      </w:r>
      <w:r w:rsidR="0005394F" w:rsidRPr="0005394F">
        <w:rPr>
          <w:color w:val="95050F"/>
        </w:rPr>
        <w:t>International and regional context</w:t>
      </w:r>
      <w:bookmarkEnd w:id="21"/>
      <w:bookmarkEnd w:id="22"/>
    </w:p>
    <w:p w14:paraId="18988359" w14:textId="19CC9321" w:rsidR="0005394F" w:rsidRPr="009507B8" w:rsidRDefault="009507B8" w:rsidP="009507B8">
      <w:pPr>
        <w:spacing w:line="276" w:lineRule="auto"/>
        <w:rPr>
          <w:b/>
          <w:color w:val="FF0000"/>
        </w:rPr>
      </w:pPr>
      <w:r w:rsidRPr="009507B8">
        <w:rPr>
          <w:b/>
          <w:color w:val="FF0000"/>
        </w:rPr>
        <w:t>International frameworks and linkages</w:t>
      </w:r>
    </w:p>
    <w:p w14:paraId="0AA23551" w14:textId="6D3B9D1E" w:rsidR="002F722F" w:rsidRDefault="002F722F" w:rsidP="0081289D">
      <w:pPr>
        <w:spacing w:line="240" w:lineRule="auto"/>
      </w:pPr>
      <w:r w:rsidRPr="00EB402B">
        <w:t>Co</w:t>
      </w:r>
      <w:r>
        <w:t xml:space="preserve">untries that have a </w:t>
      </w:r>
      <w:r w:rsidRPr="00D40DAC">
        <w:t>regional, economic or social identity, or wish to see one develop, have cooperated</w:t>
      </w:r>
      <w:r>
        <w:t xml:space="preserve"> in</w:t>
      </w:r>
      <w:r w:rsidRPr="00EB402B">
        <w:t xml:space="preserve"> the development of regional </w:t>
      </w:r>
      <w:r>
        <w:t>qualifications frameworks and regional quality assurance frameworks</w:t>
      </w:r>
      <w:r w:rsidRPr="00EB402B">
        <w:t xml:space="preserve">. </w:t>
      </w:r>
      <w:r>
        <w:t xml:space="preserve">Regional frameworks work differently to national frameworks and their purpose and processes should not be confused. </w:t>
      </w:r>
      <w:r w:rsidR="00BC0530">
        <w:t xml:space="preserve">Refer to Appendix </w:t>
      </w:r>
      <w:r w:rsidR="00053789">
        <w:t>5</w:t>
      </w:r>
      <w:r w:rsidR="00BC0530">
        <w:t xml:space="preserve"> for a </w:t>
      </w:r>
      <w:r w:rsidR="006A0080">
        <w:t>summary of the purpose</w:t>
      </w:r>
      <w:r w:rsidR="0081289D">
        <w:t>s</w:t>
      </w:r>
      <w:r w:rsidR="006A0080">
        <w:t xml:space="preserve"> and examples </w:t>
      </w:r>
      <w:r w:rsidR="0081289D">
        <w:t>of regional framework</w:t>
      </w:r>
      <w:r w:rsidR="00E3786C">
        <w:t>s</w:t>
      </w:r>
      <w:r w:rsidR="006A0080">
        <w:t xml:space="preserve">. </w:t>
      </w:r>
    </w:p>
    <w:p w14:paraId="4BC47F9F" w14:textId="4E9A98F9" w:rsidR="0081289D" w:rsidRDefault="006A0080" w:rsidP="0081289D">
      <w:pPr>
        <w:spacing w:line="240" w:lineRule="auto"/>
      </w:pPr>
      <w:r w:rsidRPr="007B52FF">
        <w:rPr>
          <w:rFonts w:cs="Arial"/>
        </w:rPr>
        <w:t>A regional qualifications framework or a common reference framework is ‘a means of enabling one framework of qualifications to relate to others and subsequently for one qualification to relate to others that are normally located in another framework’</w:t>
      </w:r>
      <w:r w:rsidRPr="007B52FF">
        <w:rPr>
          <w:rFonts w:ascii="Corbel" w:hAnsi="Corbel" w:cs="Arial"/>
        </w:rPr>
        <w:t>.</w:t>
      </w:r>
      <w:r w:rsidRPr="007B52FF">
        <w:rPr>
          <w:rStyle w:val="FootnoteReference"/>
          <w:rFonts w:ascii="Corbel" w:hAnsi="Corbel" w:cs="Arial"/>
        </w:rPr>
        <w:footnoteReference w:id="11"/>
      </w:r>
      <w:r w:rsidRPr="007B52FF">
        <w:rPr>
          <w:rFonts w:ascii="Corbel" w:hAnsi="Corbel" w:cs="Arial"/>
        </w:rPr>
        <w:t xml:space="preserve"> </w:t>
      </w:r>
      <w:r w:rsidR="002F722F" w:rsidRPr="007C0B98">
        <w:t>CEDEFOP</w:t>
      </w:r>
      <w:r w:rsidR="002F722F">
        <w:t xml:space="preserve"> (2015) </w:t>
      </w:r>
      <w:r>
        <w:t>identified</w:t>
      </w:r>
      <w:r w:rsidR="002F722F">
        <w:t xml:space="preserve"> </w:t>
      </w:r>
      <w:r w:rsidR="0081289D">
        <w:t>seven</w:t>
      </w:r>
      <w:r w:rsidR="002F722F">
        <w:t xml:space="preserve"> regional </w:t>
      </w:r>
      <w:r>
        <w:t xml:space="preserve">qualifications frameworks, the most relevant </w:t>
      </w:r>
      <w:r w:rsidR="00BC0530">
        <w:t>being</w:t>
      </w:r>
      <w:r>
        <w:t xml:space="preserve"> the European Qualifications Framework, the ASEAN Qualifications Reference Framework (AQRF) and the Caribbean Community (CARICOM) framework. </w:t>
      </w:r>
    </w:p>
    <w:p w14:paraId="45624442" w14:textId="50D20096" w:rsidR="004E06C1" w:rsidRPr="00544D28" w:rsidRDefault="004E06C1" w:rsidP="004E06C1">
      <w:pPr>
        <w:spacing w:after="0" w:line="240" w:lineRule="auto"/>
        <w:rPr>
          <w:rFonts w:ascii="Corbel" w:hAnsi="Corbel" w:cs="Arial"/>
        </w:rPr>
      </w:pPr>
      <w:r>
        <w:lastRenderedPageBreak/>
        <w:t>A</w:t>
      </w:r>
      <w:r w:rsidRPr="00A84771">
        <w:t xml:space="preserve"> key aim of a regional quality assurance framework is to develop mutual understanding </w:t>
      </w:r>
      <w:r>
        <w:t xml:space="preserve">of quality and quality assurance of qualifications </w:t>
      </w:r>
      <w:r w:rsidRPr="00A84771">
        <w:t>amongst member countries.</w:t>
      </w:r>
      <w:r>
        <w:rPr>
          <w:i/>
        </w:rPr>
        <w:t xml:space="preserve"> </w:t>
      </w:r>
      <w:r w:rsidRPr="00544D28">
        <w:rPr>
          <w:rFonts w:ascii="Corbel" w:hAnsi="Corbel" w:cs="Arial"/>
        </w:rPr>
        <w:t xml:space="preserve">Linkages between a regional qualifications framework and regional quality assurance frameworks is most obvious in the ASEAN model, as the AQRF requires benchmarking to quality assurance standards </w:t>
      </w:r>
      <w:r>
        <w:rPr>
          <w:rFonts w:ascii="Corbel" w:hAnsi="Corbel" w:cs="Arial"/>
        </w:rPr>
        <w:t xml:space="preserve">(including the </w:t>
      </w:r>
      <w:r w:rsidRPr="00544D28">
        <w:rPr>
          <w:i/>
        </w:rPr>
        <w:t>East Asia Summit Technical and Vocational Education and Training Quality Assurance Framework (EAS TVET QAF)</w:t>
      </w:r>
      <w:r>
        <w:t xml:space="preserve">) </w:t>
      </w:r>
      <w:r w:rsidRPr="00544D28">
        <w:rPr>
          <w:rFonts w:ascii="Corbel" w:hAnsi="Corbel" w:cs="Arial"/>
        </w:rPr>
        <w:t xml:space="preserve">when undertaking the formal referencing process. </w:t>
      </w:r>
      <w:r w:rsidR="0096293D">
        <w:rPr>
          <w:rFonts w:ascii="Corbel" w:hAnsi="Corbel" w:cs="Arial"/>
        </w:rPr>
        <w:t xml:space="preserve">A formal and robust referencing process </w:t>
      </w:r>
      <w:r w:rsidR="007C0B98">
        <w:rPr>
          <w:rFonts w:ascii="Corbel" w:hAnsi="Corbel" w:cs="Arial"/>
        </w:rPr>
        <w:t xml:space="preserve">that links to the quality assurance framework </w:t>
      </w:r>
      <w:r w:rsidR="00193A42">
        <w:rPr>
          <w:rFonts w:ascii="Corbel" w:hAnsi="Corbel" w:cs="Arial"/>
        </w:rPr>
        <w:t>is yet to be</w:t>
      </w:r>
      <w:r>
        <w:rPr>
          <w:rFonts w:ascii="Corbel" w:hAnsi="Corbel" w:cs="Arial"/>
        </w:rPr>
        <w:t xml:space="preserve"> feature</w:t>
      </w:r>
      <w:r w:rsidR="00193A42">
        <w:rPr>
          <w:rFonts w:ascii="Corbel" w:hAnsi="Corbel" w:cs="Arial"/>
        </w:rPr>
        <w:t xml:space="preserve">d on the </w:t>
      </w:r>
      <w:r>
        <w:rPr>
          <w:rFonts w:ascii="Corbel" w:hAnsi="Corbel" w:cs="Arial"/>
        </w:rPr>
        <w:t xml:space="preserve">PRQS </w:t>
      </w:r>
      <w:r w:rsidR="00193A42">
        <w:rPr>
          <w:rFonts w:ascii="Corbel" w:hAnsi="Corbel" w:cs="Arial"/>
        </w:rPr>
        <w:t>website</w:t>
      </w:r>
      <w:r>
        <w:rPr>
          <w:rFonts w:ascii="Corbel" w:hAnsi="Corbel" w:cs="Arial"/>
        </w:rPr>
        <w:t xml:space="preserve">. </w:t>
      </w:r>
    </w:p>
    <w:p w14:paraId="3A193C28" w14:textId="0259704E" w:rsidR="0081289D" w:rsidRDefault="0081289D" w:rsidP="0081289D">
      <w:pPr>
        <w:spacing w:line="240" w:lineRule="auto"/>
        <w:rPr>
          <w:lang w:val="en-GB"/>
        </w:rPr>
      </w:pPr>
      <w:r>
        <w:t xml:space="preserve">Within the international </w:t>
      </w:r>
      <w:r w:rsidR="00FB6A72">
        <w:t>community,</w:t>
      </w:r>
      <w:r>
        <w:t xml:space="preserve"> the </w:t>
      </w:r>
      <w:r w:rsidR="006A0080">
        <w:t xml:space="preserve">interest in the linkages between the frameworks is increasing. </w:t>
      </w:r>
      <w:r>
        <w:t xml:space="preserve">This interest has led to a </w:t>
      </w:r>
      <w:r w:rsidRPr="00AE089C">
        <w:rPr>
          <w:lang w:val="en-GB"/>
        </w:rPr>
        <w:t xml:space="preserve">recent </w:t>
      </w:r>
      <w:r>
        <w:rPr>
          <w:lang w:val="en-GB"/>
        </w:rPr>
        <w:t>international</w:t>
      </w:r>
      <w:r w:rsidRPr="00AE089C">
        <w:rPr>
          <w:lang w:val="en-GB"/>
        </w:rPr>
        <w:t xml:space="preserve"> initiative </w:t>
      </w:r>
      <w:r>
        <w:rPr>
          <w:lang w:val="en-GB"/>
        </w:rPr>
        <w:t>of developing world reference levels</w:t>
      </w:r>
      <w:r w:rsidRPr="00AE089C">
        <w:rPr>
          <w:lang w:val="en-GB"/>
        </w:rPr>
        <w:t xml:space="preserve"> </w:t>
      </w:r>
      <w:r w:rsidR="00BC0530">
        <w:rPr>
          <w:lang w:val="en-GB"/>
        </w:rPr>
        <w:t>(</w:t>
      </w:r>
      <w:r w:rsidRPr="00AE089C">
        <w:rPr>
          <w:lang w:val="en-GB"/>
        </w:rPr>
        <w:t xml:space="preserve">Keevy and Chakroun 2015). </w:t>
      </w:r>
      <w:r w:rsidRPr="00B66760">
        <w:rPr>
          <w:lang w:val="en-GB"/>
        </w:rPr>
        <w:t>The purpose of the world reference levels lies mainly in their potential to provide an independent reference point against which a level of learning can</w:t>
      </w:r>
      <w:r>
        <w:rPr>
          <w:lang w:val="en-GB"/>
        </w:rPr>
        <w:t xml:space="preserve"> </w:t>
      </w:r>
      <w:r w:rsidRPr="00B66760">
        <w:rPr>
          <w:lang w:val="en-GB"/>
        </w:rPr>
        <w:t xml:space="preserve">be compared internationally. </w:t>
      </w:r>
      <w:r>
        <w:rPr>
          <w:lang w:val="en-GB"/>
        </w:rPr>
        <w:t>These w</w:t>
      </w:r>
      <w:r w:rsidRPr="00C207E5">
        <w:rPr>
          <w:lang w:val="en-GB"/>
        </w:rPr>
        <w:t xml:space="preserve">orld reference levels </w:t>
      </w:r>
      <w:r>
        <w:rPr>
          <w:lang w:val="en-GB"/>
        </w:rPr>
        <w:t>could</w:t>
      </w:r>
      <w:r w:rsidRPr="00C207E5">
        <w:rPr>
          <w:lang w:val="en-GB"/>
        </w:rPr>
        <w:t xml:space="preserve"> contribute directly to the </w:t>
      </w:r>
      <w:r>
        <w:rPr>
          <w:lang w:val="en-GB"/>
        </w:rPr>
        <w:t xml:space="preserve">way in which </w:t>
      </w:r>
      <w:r w:rsidRPr="00C207E5">
        <w:rPr>
          <w:lang w:val="en-GB"/>
        </w:rPr>
        <w:t xml:space="preserve">international qualifications are developed and offered. </w:t>
      </w:r>
      <w:r>
        <w:rPr>
          <w:lang w:val="en-GB"/>
        </w:rPr>
        <w:t xml:space="preserve">They would be the benchmark for regional qualifications frameworks and </w:t>
      </w:r>
      <w:r w:rsidRPr="00C207E5">
        <w:rPr>
          <w:lang w:val="en-GB"/>
        </w:rPr>
        <w:t>contribute to</w:t>
      </w:r>
      <w:r>
        <w:rPr>
          <w:lang w:val="en-GB"/>
        </w:rPr>
        <w:t xml:space="preserve"> </w:t>
      </w:r>
      <w:r w:rsidRPr="00C207E5">
        <w:rPr>
          <w:lang w:val="en-GB"/>
        </w:rPr>
        <w:t>trans</w:t>
      </w:r>
      <w:r>
        <w:rPr>
          <w:lang w:val="en-GB"/>
        </w:rPr>
        <w:t>parency. This initiative also links with quality assurance arrangements and transnational developments in higher education provision.</w:t>
      </w:r>
      <w:r>
        <w:rPr>
          <w:rStyle w:val="FootnoteReference"/>
          <w:rFonts w:ascii="Corbel" w:hAnsi="Corbel"/>
          <w:sz w:val="22"/>
          <w:lang w:val="en-GB"/>
        </w:rPr>
        <w:footnoteReference w:id="12"/>
      </w:r>
      <w:r>
        <w:rPr>
          <w:lang w:val="en-GB"/>
        </w:rPr>
        <w:t xml:space="preserve"> </w:t>
      </w:r>
      <w:r>
        <w:rPr>
          <w:rStyle w:val="FootnoteReference"/>
          <w:rFonts w:ascii="Corbel" w:hAnsi="Corbel"/>
          <w:sz w:val="22"/>
          <w:lang w:val="en-GB"/>
        </w:rPr>
        <w:footnoteReference w:id="13"/>
      </w:r>
    </w:p>
    <w:p w14:paraId="6EC9B7EA" w14:textId="1D611109" w:rsidR="0081289D" w:rsidRDefault="002F722F" w:rsidP="0081289D">
      <w:pPr>
        <w:spacing w:line="240" w:lineRule="auto"/>
      </w:pPr>
      <w:r>
        <w:rPr>
          <w:lang w:val="en-GB"/>
        </w:rPr>
        <w:t>The potential</w:t>
      </w:r>
      <w:r w:rsidR="004F1A08">
        <w:rPr>
          <w:lang w:val="en-GB"/>
        </w:rPr>
        <w:t xml:space="preserve"> for the</w:t>
      </w:r>
      <w:r>
        <w:rPr>
          <w:lang w:val="en-GB"/>
        </w:rPr>
        <w:t xml:space="preserve"> PRQS </w:t>
      </w:r>
      <w:r w:rsidR="006975EA">
        <w:rPr>
          <w:lang w:val="en-GB"/>
        </w:rPr>
        <w:t xml:space="preserve">role </w:t>
      </w:r>
      <w:r w:rsidR="004F1A08">
        <w:rPr>
          <w:lang w:val="en-GB"/>
        </w:rPr>
        <w:t>to</w:t>
      </w:r>
      <w:r>
        <w:rPr>
          <w:lang w:val="en-GB"/>
        </w:rPr>
        <w:t xml:space="preserve"> link with other regional frameworks is significan</w:t>
      </w:r>
      <w:r w:rsidR="0081289D">
        <w:rPr>
          <w:lang w:val="en-GB"/>
        </w:rPr>
        <w:t>t</w:t>
      </w:r>
      <w:r w:rsidR="004F1A08">
        <w:rPr>
          <w:lang w:val="en-GB"/>
        </w:rPr>
        <w:t>. B</w:t>
      </w:r>
      <w:r>
        <w:rPr>
          <w:lang w:val="en-GB"/>
        </w:rPr>
        <w:t xml:space="preserve">eing involved in international initiatives will raise the profile of Pacific qualifications, and in turn support benchmarking activities and comparability of Pacific qualifications internationally. </w:t>
      </w:r>
    </w:p>
    <w:p w14:paraId="28983D43" w14:textId="4BA17834" w:rsidR="009507B8" w:rsidRPr="009507B8" w:rsidRDefault="003A4030" w:rsidP="00DE3DBD">
      <w:pPr>
        <w:spacing w:line="276" w:lineRule="auto"/>
        <w:rPr>
          <w:b/>
          <w:color w:val="FF0000"/>
        </w:rPr>
      </w:pPr>
      <w:r>
        <w:rPr>
          <w:b/>
          <w:color w:val="FF0000"/>
        </w:rPr>
        <w:t>Regional initiatives, and l</w:t>
      </w:r>
      <w:r w:rsidR="009507B8" w:rsidRPr="009507B8">
        <w:rPr>
          <w:b/>
          <w:color w:val="FF0000"/>
        </w:rPr>
        <w:t>earner and labour mobility</w:t>
      </w:r>
    </w:p>
    <w:p w14:paraId="580DDE65" w14:textId="2FD7559F" w:rsidR="003A4030" w:rsidRPr="00053789" w:rsidRDefault="00DE3DBD" w:rsidP="008C5652">
      <w:pPr>
        <w:spacing w:line="240" w:lineRule="auto"/>
      </w:pPr>
      <w:r w:rsidRPr="00DE3DBD">
        <w:t>The PRQS functions in an international context where globalisation of organisat</w:t>
      </w:r>
      <w:r w:rsidRPr="009507B8">
        <w:t>ion, information and occupations is an undeniable trend. Within the region a recent driver for enhanced labour mobility, Pacific Agreement on Closer Economic Relations (PACER) Plus, has increased the focus on skilled occupation mobility and how the PRQS could support the movement of learner and labour mobility. The implications of the PACER Plus agreement on the future role of the PRQS are significant. The PRQS is a key regional initiative that could provide a forum for any regional consultations in relation to qualifications; foster common understanding and trust; and develop national capacit</w:t>
      </w:r>
      <w:r w:rsidR="0096293D">
        <w:t>ies</w:t>
      </w:r>
      <w:r w:rsidRPr="009507B8">
        <w:t xml:space="preserve"> in terms of recognition of qualifications. </w:t>
      </w:r>
      <w:r w:rsidR="007C0B98">
        <w:t>The PRQS</w:t>
      </w:r>
      <w:r w:rsidR="007C0B98" w:rsidRPr="009507B8">
        <w:t xml:space="preserve"> </w:t>
      </w:r>
      <w:r w:rsidRPr="009507B8">
        <w:t xml:space="preserve">also has the potential to support other regional initiatives, such as Revised Asia-Pacific Regional Convention on the Recognition of Qualifications in Higher Education 2011, which provides general </w:t>
      </w:r>
      <w:r w:rsidRPr="00053789">
        <w:t>guidelines intended to facilitate the implementation of regional cooperation regarding recognition of qualifications in the higher education/TVET sector.</w:t>
      </w:r>
      <w:r w:rsidR="000A5CB9" w:rsidRPr="00053789">
        <w:t xml:space="preserve"> </w:t>
      </w:r>
      <w:r w:rsidR="003A4030" w:rsidRPr="00053789">
        <w:t xml:space="preserve">Further details of regional initiatives </w:t>
      </w:r>
      <w:r w:rsidR="00FC144D">
        <w:t>are</w:t>
      </w:r>
      <w:r w:rsidR="00FC144D" w:rsidRPr="00053789">
        <w:t xml:space="preserve"> </w:t>
      </w:r>
      <w:r w:rsidR="003A4030" w:rsidRPr="00053789">
        <w:t xml:space="preserve">included in Appendix </w:t>
      </w:r>
      <w:r w:rsidR="00053789" w:rsidRPr="00053789">
        <w:t>6</w:t>
      </w:r>
      <w:r w:rsidR="003A4030" w:rsidRPr="00053789">
        <w:t xml:space="preserve">. </w:t>
      </w:r>
    </w:p>
    <w:p w14:paraId="28351940" w14:textId="72FC75F2" w:rsidR="00DE3DBD" w:rsidRPr="009507B8" w:rsidRDefault="00DE3DBD" w:rsidP="008C5652">
      <w:pPr>
        <w:spacing w:line="240" w:lineRule="auto"/>
      </w:pPr>
      <w:r w:rsidRPr="00053789">
        <w:t>Collated data to track the</w:t>
      </w:r>
      <w:r w:rsidRPr="009507B8">
        <w:t xml:space="preserve"> extent of learner mobility within the Pacific region, not including Australia and New Zealand, is not easy to source. UNESCO Institute for Statistics data is patchy in relation to country responses (excluding Australia and New Zealand). In terms of inbound students, only Fiji and Samoa from Pacific </w:t>
      </w:r>
      <w:r w:rsidR="00A11A94">
        <w:t>Nations</w:t>
      </w:r>
      <w:r w:rsidRPr="009507B8">
        <w:t xml:space="preserve"> have recorded receiving a significant number of students between years 1999 and 2014, recording only two years of inbound students within these 15 years. By comparison, outbound student data between 1999 and 2014 shows that across the Pacific students were leaving their home countries for further studies.</w:t>
      </w:r>
    </w:p>
    <w:p w14:paraId="18167AA1" w14:textId="77777777" w:rsidR="00DE3DBD" w:rsidRPr="009507B8" w:rsidRDefault="00DE3DBD" w:rsidP="008C5652">
      <w:pPr>
        <w:spacing w:line="240" w:lineRule="auto"/>
      </w:pPr>
      <w:r w:rsidRPr="009507B8">
        <w:t xml:space="preserve">There is no known collated source of recognition of qualifications undertaken across the Pacific. Evidence sought from national agencies and the </w:t>
      </w:r>
      <w:r w:rsidRPr="009507B8">
        <w:rPr>
          <w:rFonts w:cs="Arial"/>
        </w:rPr>
        <w:t>Assessment and Standards Unit</w:t>
      </w:r>
      <w:r w:rsidRPr="009507B8">
        <w:t xml:space="preserve"> in EQAP indicates that small numbers of qualifications are being formally assessed. </w:t>
      </w:r>
    </w:p>
    <w:p w14:paraId="0ECBF325" w14:textId="1C4EBF29" w:rsidR="00A56CD5" w:rsidRDefault="00DE3DBD" w:rsidP="004E06C1">
      <w:pPr>
        <w:spacing w:line="240" w:lineRule="auto"/>
        <w:rPr>
          <w:rFonts w:asciiTheme="majorHAnsi" w:eastAsiaTheme="majorEastAsia" w:hAnsiTheme="majorHAnsi" w:cstheme="majorBidi"/>
          <w:b/>
          <w:bCs/>
          <w:color w:val="95050F"/>
          <w:sz w:val="32"/>
          <w:szCs w:val="28"/>
        </w:rPr>
      </w:pPr>
      <w:r w:rsidRPr="009507B8">
        <w:t>Data to track the extent of labour mobility within the Pacific regional countries, not including Australia and New Zealand, is also not easy to source. Two recent research reports provided by Office of the Chief Trade Advisor (OCTA) forecast an increase in labour supply demands</w:t>
      </w:r>
      <w:r w:rsidR="007C0B98">
        <w:t>. F</w:t>
      </w:r>
      <w:r w:rsidRPr="009507B8">
        <w:t xml:space="preserve">igures indicate both the </w:t>
      </w:r>
      <w:r w:rsidR="004830D0" w:rsidRPr="009507B8">
        <w:t>long-term</w:t>
      </w:r>
      <w:r w:rsidRPr="009507B8">
        <w:t xml:space="preserve"> need to generate employment for </w:t>
      </w:r>
      <w:r w:rsidRPr="00053789">
        <w:t xml:space="preserve">Pacific youth, and the clear demographic capacity to meet growing labour </w:t>
      </w:r>
      <w:r w:rsidRPr="00053789">
        <w:lastRenderedPageBreak/>
        <w:t>demand in Australia and New Zealand (Ball 2015).</w:t>
      </w:r>
      <w:r w:rsidR="004E06C1" w:rsidRPr="00053789">
        <w:t xml:space="preserve"> </w:t>
      </w:r>
      <w:r w:rsidR="009507B8" w:rsidRPr="00053789">
        <w:t xml:space="preserve">A more detailed overview of learner and labour mobility within the region is included in Appendix </w:t>
      </w:r>
      <w:r w:rsidR="00053789" w:rsidRPr="00053789">
        <w:t>6</w:t>
      </w:r>
      <w:r w:rsidR="009507B8" w:rsidRPr="00053789">
        <w:t>.</w:t>
      </w:r>
      <w:r w:rsidR="009507B8">
        <w:t xml:space="preserve"> </w:t>
      </w:r>
      <w:bookmarkStart w:id="23" w:name="_Toc438152236"/>
      <w:bookmarkEnd w:id="14"/>
      <w:r w:rsidR="00A56CD5">
        <w:rPr>
          <w:color w:val="95050F"/>
        </w:rPr>
        <w:br w:type="page"/>
      </w:r>
    </w:p>
    <w:p w14:paraId="60BFA30A" w14:textId="6BB2B7B9" w:rsidR="00247988" w:rsidRDefault="005D1C0F" w:rsidP="00C0288B">
      <w:pPr>
        <w:pStyle w:val="Heading1"/>
        <w:numPr>
          <w:ilvl w:val="0"/>
          <w:numId w:val="36"/>
        </w:numPr>
        <w:rPr>
          <w:color w:val="95050F"/>
        </w:rPr>
      </w:pPr>
      <w:bookmarkStart w:id="24" w:name="_Toc458938574"/>
      <w:bookmarkStart w:id="25" w:name="_Toc462755553"/>
      <w:bookmarkStart w:id="26" w:name="_Toc450811723"/>
      <w:r>
        <w:rPr>
          <w:color w:val="95050F"/>
        </w:rPr>
        <w:lastRenderedPageBreak/>
        <w:t>F</w:t>
      </w:r>
      <w:r w:rsidR="00247988">
        <w:rPr>
          <w:color w:val="95050F"/>
        </w:rPr>
        <w:t>indings</w:t>
      </w:r>
      <w:r>
        <w:rPr>
          <w:color w:val="95050F"/>
        </w:rPr>
        <w:t xml:space="preserve"> and analyses</w:t>
      </w:r>
      <w:bookmarkEnd w:id="24"/>
      <w:bookmarkEnd w:id="25"/>
    </w:p>
    <w:p w14:paraId="297C2682" w14:textId="3E8AFE4D" w:rsidR="006915EC" w:rsidRPr="00E8065B" w:rsidRDefault="003D029F" w:rsidP="00BF09CC">
      <w:pPr>
        <w:spacing w:line="240" w:lineRule="auto"/>
      </w:pPr>
      <w:r w:rsidRPr="00E8065B">
        <w:t>Th</w:t>
      </w:r>
      <w:r w:rsidR="00411CDC">
        <w:t>is section includes th</w:t>
      </w:r>
      <w:r w:rsidRPr="00E8065B">
        <w:t xml:space="preserve">e key findings identified </w:t>
      </w:r>
      <w:r w:rsidR="00F95A55" w:rsidRPr="00E8065B">
        <w:t xml:space="preserve">from </w:t>
      </w:r>
      <w:r w:rsidRPr="00E8065B">
        <w:t>the review of reports, data and interviews. The</w:t>
      </w:r>
      <w:r w:rsidR="00002065">
        <w:t>se findings</w:t>
      </w:r>
      <w:r w:rsidRPr="00E8065B">
        <w:t xml:space="preserve"> are explored with commentary </w:t>
      </w:r>
      <w:r w:rsidR="008045A1">
        <w:t>with</w:t>
      </w:r>
      <w:r w:rsidRPr="00E8065B">
        <w:t xml:space="preserve"> the aim to inform future directions</w:t>
      </w:r>
      <w:r w:rsidR="00ED0A28" w:rsidRPr="00E8065B">
        <w:t xml:space="preserve"> </w:t>
      </w:r>
      <w:r w:rsidR="002230C7">
        <w:t>of</w:t>
      </w:r>
      <w:r w:rsidR="00C35B0B" w:rsidRPr="00E8065B">
        <w:t xml:space="preserve"> </w:t>
      </w:r>
      <w:r w:rsidR="00ED0A28" w:rsidRPr="00E8065B">
        <w:t xml:space="preserve">the regional </w:t>
      </w:r>
      <w:r w:rsidR="00E3786C">
        <w:t xml:space="preserve">Pacific </w:t>
      </w:r>
      <w:r w:rsidR="007C0B98">
        <w:t>model</w:t>
      </w:r>
      <w:r w:rsidRPr="00E8065B">
        <w:t xml:space="preserve">. </w:t>
      </w:r>
    </w:p>
    <w:p w14:paraId="503B30C0" w14:textId="1A5BEC78" w:rsidR="00084E4F" w:rsidRPr="00331CC5" w:rsidRDefault="00331CC5" w:rsidP="00331CC5">
      <w:pPr>
        <w:pStyle w:val="Heading2"/>
        <w:rPr>
          <w:color w:val="95050F"/>
        </w:rPr>
      </w:pPr>
      <w:bookmarkStart w:id="27" w:name="_Toc458938575"/>
      <w:bookmarkStart w:id="28" w:name="_Toc462755554"/>
      <w:r w:rsidRPr="00331CC5">
        <w:rPr>
          <w:color w:val="95050F"/>
        </w:rPr>
        <w:t>2</w:t>
      </w:r>
      <w:r w:rsidR="005045FF" w:rsidRPr="00331CC5">
        <w:rPr>
          <w:color w:val="95050F"/>
        </w:rPr>
        <w:t xml:space="preserve">.1 </w:t>
      </w:r>
      <w:r w:rsidR="00084E4F" w:rsidRPr="00331CC5">
        <w:rPr>
          <w:color w:val="95050F"/>
        </w:rPr>
        <w:t xml:space="preserve">Governance </w:t>
      </w:r>
      <w:r w:rsidR="00783847" w:rsidRPr="00331CC5">
        <w:rPr>
          <w:color w:val="95050F"/>
        </w:rPr>
        <w:t xml:space="preserve">and remit </w:t>
      </w:r>
      <w:r w:rsidR="00084E4F" w:rsidRPr="00331CC5">
        <w:rPr>
          <w:color w:val="95050F"/>
        </w:rPr>
        <w:t>of the PRQS</w:t>
      </w:r>
      <w:bookmarkEnd w:id="27"/>
      <w:bookmarkEnd w:id="28"/>
    </w:p>
    <w:p w14:paraId="28F597D2" w14:textId="7364E567" w:rsidR="00084E4F" w:rsidRPr="00E8065B" w:rsidRDefault="000D3334" w:rsidP="00BF09CC">
      <w:pPr>
        <w:spacing w:line="240" w:lineRule="auto"/>
      </w:pPr>
      <w:r w:rsidRPr="00E8065B">
        <w:t xml:space="preserve">The governance and advisory </w:t>
      </w:r>
      <w:r w:rsidR="00BF7C72" w:rsidRPr="00E8065B">
        <w:t xml:space="preserve">board </w:t>
      </w:r>
      <w:r w:rsidRPr="00E8065B">
        <w:t xml:space="preserve">arrangements of the PRQS </w:t>
      </w:r>
      <w:r w:rsidR="007C038F" w:rsidRPr="00E8065B">
        <w:t xml:space="preserve">have </w:t>
      </w:r>
      <w:r w:rsidRPr="00E8065B">
        <w:t xml:space="preserve">undergone a </w:t>
      </w:r>
      <w:r w:rsidR="00B523D3" w:rsidRPr="00E8065B">
        <w:t>number</w:t>
      </w:r>
      <w:r w:rsidRPr="00E8065B">
        <w:t xml:space="preserve"> of changes.</w:t>
      </w:r>
      <w:r w:rsidR="000A31B0" w:rsidRPr="00E8065B">
        <w:t xml:space="preserve"> </w:t>
      </w:r>
      <w:r w:rsidR="00B55B19">
        <w:br/>
      </w:r>
      <w:r w:rsidR="00F91058" w:rsidRPr="00E8065B">
        <w:t xml:space="preserve">The </w:t>
      </w:r>
      <w:r w:rsidR="000A31B0" w:rsidRPr="00E8065B">
        <w:t>SPBEA was governed by a board with a membership that included the contributing countries</w:t>
      </w:r>
      <w:r w:rsidR="00B523D3" w:rsidRPr="00E8065B">
        <w:t xml:space="preserve">. This board </w:t>
      </w:r>
      <w:r w:rsidR="000A31B0" w:rsidRPr="00E8065B">
        <w:t>became an advisory board in 2011.</w:t>
      </w:r>
      <w:r w:rsidR="008054A5">
        <w:t xml:space="preserve"> </w:t>
      </w:r>
      <w:r w:rsidR="00BB3E9D" w:rsidRPr="00E8065B">
        <w:t>With the merger of SPBEA into SPC t</w:t>
      </w:r>
      <w:r w:rsidR="00084E4F" w:rsidRPr="00E8065B">
        <w:t>he review in 2010 (Eadie) include</w:t>
      </w:r>
      <w:r w:rsidR="00AA0C2C" w:rsidRPr="00E8065B">
        <w:t>d</w:t>
      </w:r>
      <w:r w:rsidR="00E8065B">
        <w:t>,</w:t>
      </w:r>
      <w:r w:rsidR="00FF7B99">
        <w:t xml:space="preserve"> </w:t>
      </w:r>
      <w:r w:rsidR="00084E4F" w:rsidRPr="00E8065B">
        <w:t>amongst other recommendations</w:t>
      </w:r>
      <w:r w:rsidR="00FF7B99">
        <w:t xml:space="preserve">, </w:t>
      </w:r>
      <w:r w:rsidR="00084E4F" w:rsidRPr="00E8065B">
        <w:t>to</w:t>
      </w:r>
      <w:r w:rsidR="00BB3E9D" w:rsidRPr="00E8065B">
        <w:t>:</w:t>
      </w:r>
    </w:p>
    <w:p w14:paraId="40B1DA59" w14:textId="77777777" w:rsidR="00FC3C90" w:rsidRPr="00E8065B" w:rsidRDefault="00FC3C90" w:rsidP="00456131">
      <w:pPr>
        <w:pStyle w:val="ListParagraph"/>
        <w:numPr>
          <w:ilvl w:val="0"/>
          <w:numId w:val="33"/>
        </w:numPr>
      </w:pPr>
      <w:r w:rsidRPr="00E8065B">
        <w:t>Introduce new governance arrangements</w:t>
      </w:r>
    </w:p>
    <w:p w14:paraId="70CE1DD7" w14:textId="02125D9B" w:rsidR="00084E4F" w:rsidRPr="00E8065B" w:rsidRDefault="00084E4F" w:rsidP="00456131">
      <w:pPr>
        <w:pStyle w:val="ListParagraph"/>
        <w:numPr>
          <w:ilvl w:val="0"/>
          <w:numId w:val="33"/>
        </w:numPr>
      </w:pPr>
      <w:r w:rsidRPr="00E8065B">
        <w:t>Establish arrangements to increase collective knowledge and active engagement of member countries. Each member country should have one representative with close involvement to enable regular exchange of knowledge and to utilise broader expertise to guide project developments.</w:t>
      </w:r>
    </w:p>
    <w:p w14:paraId="243AE54F" w14:textId="7FFAAD0E" w:rsidR="000A31B0" w:rsidRDefault="008427DC" w:rsidP="00BF09CC">
      <w:pPr>
        <w:spacing w:line="240" w:lineRule="auto"/>
      </w:pPr>
      <w:r w:rsidRPr="00E8065B">
        <w:t>Following the</w:t>
      </w:r>
      <w:r w:rsidR="000D3334" w:rsidRPr="00E8065B">
        <w:t xml:space="preserve"> </w:t>
      </w:r>
      <w:r w:rsidR="00B523D3" w:rsidRPr="00E8065B">
        <w:t>EQAP</w:t>
      </w:r>
      <w:r w:rsidR="000D3334" w:rsidRPr="00E8065B">
        <w:t xml:space="preserve"> board </w:t>
      </w:r>
      <w:r w:rsidR="00BB3E9D" w:rsidRPr="00E8065B">
        <w:t>meeting in February</w:t>
      </w:r>
      <w:r w:rsidR="000A31B0" w:rsidRPr="00E8065B">
        <w:t xml:space="preserve"> 2015, the advisory board</w:t>
      </w:r>
      <w:r w:rsidR="00EA085F" w:rsidRPr="00E8065B">
        <w:t xml:space="preserve"> </w:t>
      </w:r>
      <w:r w:rsidR="00BB3E9D" w:rsidRPr="00E8065B">
        <w:t xml:space="preserve">became a </w:t>
      </w:r>
      <w:r w:rsidR="00B55B19">
        <w:t>sub</w:t>
      </w:r>
      <w:r w:rsidR="00B8492F">
        <w:t>-committee</w:t>
      </w:r>
      <w:r w:rsidR="00BB3E9D" w:rsidRPr="00E8065B">
        <w:t xml:space="preserve"> of the Committee of Representatives of Governments and Administrations (CRGA)</w:t>
      </w:r>
      <w:r w:rsidR="000D3334" w:rsidRPr="00E8065B">
        <w:t xml:space="preserve">. </w:t>
      </w:r>
      <w:r w:rsidR="000A31B0">
        <w:t>The minutes from this meeting indicate</w:t>
      </w:r>
      <w:r w:rsidR="00292264">
        <w:t xml:space="preserve"> a proposal </w:t>
      </w:r>
      <w:r w:rsidR="00C91C3C">
        <w:t>that</w:t>
      </w:r>
      <w:r w:rsidR="000A31B0">
        <w:t>:</w:t>
      </w:r>
    </w:p>
    <w:p w14:paraId="25B1B9DE" w14:textId="785ECCD6" w:rsidR="000A31B0" w:rsidRPr="000A31B0" w:rsidRDefault="000A31B0" w:rsidP="00BF09CC">
      <w:pPr>
        <w:spacing w:line="240" w:lineRule="auto"/>
        <w:ind w:left="720"/>
        <w:rPr>
          <w:i/>
        </w:rPr>
      </w:pPr>
      <w:r w:rsidRPr="000A31B0">
        <w:rPr>
          <w:i/>
        </w:rPr>
        <w:t xml:space="preserve">The roles of awarding authority and accrediting authority could sit within this </w:t>
      </w:r>
      <w:r w:rsidR="00B8492F">
        <w:rPr>
          <w:i/>
        </w:rPr>
        <w:t>sub-committee</w:t>
      </w:r>
      <w:r w:rsidRPr="000A31B0">
        <w:rPr>
          <w:i/>
        </w:rPr>
        <w:t xml:space="preserve">, as the CRGA has the ability and authority to mandate specialist </w:t>
      </w:r>
      <w:r w:rsidR="00B8492F">
        <w:rPr>
          <w:i/>
        </w:rPr>
        <w:t>sub-committee</w:t>
      </w:r>
      <w:r w:rsidRPr="000A31B0">
        <w:rPr>
          <w:i/>
        </w:rPr>
        <w:t>s to carry out specific activities such as those which require specific skill sets and expertise, as currently being carried out by the SPBEQ.</w:t>
      </w:r>
      <w:r>
        <w:rPr>
          <w:rStyle w:val="FootnoteReference"/>
          <w:i/>
        </w:rPr>
        <w:footnoteReference w:id="14"/>
      </w:r>
      <w:r w:rsidRPr="000A31B0">
        <w:rPr>
          <w:i/>
        </w:rPr>
        <w:t xml:space="preserve"> </w:t>
      </w:r>
    </w:p>
    <w:p w14:paraId="60AE3515" w14:textId="2FB3360B" w:rsidR="00D126B3" w:rsidRDefault="008427DC" w:rsidP="00BF09CC">
      <w:pPr>
        <w:spacing w:line="240" w:lineRule="auto"/>
      </w:pPr>
      <w:r>
        <w:t xml:space="preserve">The </w:t>
      </w:r>
      <w:r w:rsidR="0026429D">
        <w:t xml:space="preserve">Assessment Research Centre </w:t>
      </w:r>
      <w:r>
        <w:t xml:space="preserve">review (2013) also </w:t>
      </w:r>
      <w:r w:rsidR="00B9521F">
        <w:t xml:space="preserve">proposed that </w:t>
      </w:r>
      <w:r w:rsidR="00B9521F">
        <w:rPr>
          <w:i/>
        </w:rPr>
        <w:t>…</w:t>
      </w:r>
      <w:r w:rsidRPr="000D3334">
        <w:rPr>
          <w:i/>
        </w:rPr>
        <w:t>the heads of national qualifications authorities, development partners, and the Director of SPBEA form the advisory board for the PRQS</w:t>
      </w:r>
      <w:r>
        <w:t>.</w:t>
      </w:r>
      <w:r>
        <w:rPr>
          <w:rStyle w:val="FootnoteReference"/>
        </w:rPr>
        <w:footnoteReference w:id="15"/>
      </w:r>
      <w:r>
        <w:t xml:space="preserve"> </w:t>
      </w:r>
      <w:r w:rsidR="006B1238">
        <w:t>The PRQS advisory board’s</w:t>
      </w:r>
      <w:r w:rsidR="006B1238" w:rsidRPr="00B732F7">
        <w:t xml:space="preserve"> Terms of Reference include</w:t>
      </w:r>
      <w:r w:rsidR="00C91C3C">
        <w:t>d</w:t>
      </w:r>
      <w:r w:rsidR="006B1238" w:rsidRPr="00B732F7">
        <w:t xml:space="preserve"> providing strategic advice</w:t>
      </w:r>
      <w:r w:rsidR="006B1238">
        <w:t xml:space="preserve"> on the PRQS</w:t>
      </w:r>
      <w:r w:rsidR="00CE1240">
        <w:t xml:space="preserve">, and </w:t>
      </w:r>
      <w:r w:rsidR="00E6468D">
        <w:t xml:space="preserve">had </w:t>
      </w:r>
      <w:r w:rsidR="00CE1240">
        <w:t>its first meeting in 2014</w:t>
      </w:r>
      <w:r w:rsidR="006B1238">
        <w:t>.</w:t>
      </w:r>
      <w:r w:rsidR="006B1238" w:rsidRPr="00B732F7">
        <w:t xml:space="preserve"> </w:t>
      </w:r>
      <w:r w:rsidRPr="00B732F7">
        <w:t xml:space="preserve">Its membership included representatives from recognised </w:t>
      </w:r>
      <w:r w:rsidRPr="00671DC0">
        <w:t>agencies</w:t>
      </w:r>
      <w:r w:rsidRPr="00671DC0">
        <w:rPr>
          <w:rStyle w:val="FootnoteReference"/>
        </w:rPr>
        <w:footnoteReference w:id="16"/>
      </w:r>
      <w:r w:rsidRPr="00671DC0">
        <w:t xml:space="preserve"> and donor partners,</w:t>
      </w:r>
      <w:r w:rsidR="00B732F7" w:rsidRPr="00671DC0">
        <w:rPr>
          <w:rStyle w:val="FootnoteReference"/>
        </w:rPr>
        <w:footnoteReference w:id="17"/>
      </w:r>
      <w:r w:rsidRPr="00671DC0">
        <w:t xml:space="preserve"> with other country representati</w:t>
      </w:r>
      <w:r w:rsidR="003C43B5" w:rsidRPr="00671DC0">
        <w:t>ves</w:t>
      </w:r>
      <w:r w:rsidRPr="00671DC0">
        <w:t xml:space="preserve"> given observer status if there is no recognised national agency. </w:t>
      </w:r>
      <w:r w:rsidR="00671DC0" w:rsidRPr="00671DC0">
        <w:t>T</w:t>
      </w:r>
      <w:r w:rsidR="00671DC0" w:rsidRPr="006B1238">
        <w:t xml:space="preserve">his is an important point, as this </w:t>
      </w:r>
      <w:r w:rsidR="00D126B3" w:rsidRPr="00671DC0">
        <w:t>arrangement exclude</w:t>
      </w:r>
      <w:r w:rsidR="007B33CD">
        <w:t>d</w:t>
      </w:r>
      <w:r w:rsidR="00D126B3" w:rsidRPr="00671DC0">
        <w:t xml:space="preserve"> some countries from voting status due to the lack of a quality assurance agency</w:t>
      </w:r>
      <w:r w:rsidR="00671DC0" w:rsidRPr="00671DC0">
        <w:t>, and has the potential to alienate other PIF countries and territories from full engagement and participation in the implementation of the PRQS</w:t>
      </w:r>
      <w:r w:rsidR="00D126B3" w:rsidRPr="00671DC0">
        <w:t>.</w:t>
      </w:r>
      <w:r w:rsidR="00D126B3">
        <w:t xml:space="preserve"> </w:t>
      </w:r>
    </w:p>
    <w:p w14:paraId="063113F9" w14:textId="37AEF32C" w:rsidR="00D73B28" w:rsidRDefault="008427DC" w:rsidP="00BF09CC">
      <w:pPr>
        <w:spacing w:line="240" w:lineRule="auto"/>
      </w:pPr>
      <w:r>
        <w:t>The</w:t>
      </w:r>
      <w:r w:rsidR="00D73B28">
        <w:t xml:space="preserve"> </w:t>
      </w:r>
      <w:r>
        <w:t xml:space="preserve">governance arrangements of the </w:t>
      </w:r>
      <w:r w:rsidR="00193A42">
        <w:t>Pacific Board of Education and Quality (PBEQ)</w:t>
      </w:r>
      <w:r w:rsidR="00923676">
        <w:t>,</w:t>
      </w:r>
      <w:r>
        <w:t xml:space="preserve"> which is a </w:t>
      </w:r>
      <w:r w:rsidR="00923676">
        <w:t>sub</w:t>
      </w:r>
      <w:r w:rsidR="00B8492F">
        <w:t>-committee</w:t>
      </w:r>
      <w:r w:rsidRPr="00BB3E9D">
        <w:t xml:space="preserve"> of the </w:t>
      </w:r>
      <w:r w:rsidR="00FD04CC">
        <w:t>CRGA</w:t>
      </w:r>
      <w:r w:rsidR="00923676">
        <w:t>,</w:t>
      </w:r>
      <w:r w:rsidRPr="00BB3E9D">
        <w:t xml:space="preserve"> </w:t>
      </w:r>
      <w:r w:rsidR="00FD04CC">
        <w:t>has</w:t>
      </w:r>
      <w:r w:rsidR="00E1596B">
        <w:t xml:space="preserve"> </w:t>
      </w:r>
      <w:r>
        <w:t>been cited</w:t>
      </w:r>
      <w:r w:rsidR="00D73B28">
        <w:t xml:space="preserve"> as providing the remit to accredit qualifications and register providers across country borders. </w:t>
      </w:r>
      <w:r w:rsidR="00193A42">
        <w:t>PBEQ is the governing body of the PRQS on behalf of SPC.</w:t>
      </w:r>
    </w:p>
    <w:p w14:paraId="74CF664C" w14:textId="414218D3" w:rsidR="00B523D3" w:rsidRDefault="007F3837" w:rsidP="00BF09CC">
      <w:pPr>
        <w:spacing w:line="240" w:lineRule="auto"/>
      </w:pPr>
      <w:r>
        <w:t>This</w:t>
      </w:r>
      <w:r w:rsidR="00B523D3">
        <w:t xml:space="preserve"> approach does not take into account the legislative basis of </w:t>
      </w:r>
      <w:r w:rsidR="00180C3E">
        <w:t xml:space="preserve">education and training in </w:t>
      </w:r>
      <w:r w:rsidR="00B523D3">
        <w:t xml:space="preserve">Pacific </w:t>
      </w:r>
      <w:r w:rsidR="00A11A94">
        <w:t>Nations</w:t>
      </w:r>
      <w:r w:rsidR="00B523D3">
        <w:t xml:space="preserve">. For countries with national quality </w:t>
      </w:r>
      <w:r w:rsidR="008054A5">
        <w:t>agencies,</w:t>
      </w:r>
      <w:r w:rsidR="00B523D3">
        <w:t xml:space="preserve"> the responsibility for </w:t>
      </w:r>
      <w:r w:rsidR="00CE1240">
        <w:t>quality assurance activities</w:t>
      </w:r>
      <w:r w:rsidR="00B523D3">
        <w:t xml:space="preserve"> </w:t>
      </w:r>
      <w:r w:rsidR="00783847">
        <w:t>in the post</w:t>
      </w:r>
      <w:r w:rsidR="00FF7B99">
        <w:t>-</w:t>
      </w:r>
      <w:r w:rsidR="00783847">
        <w:t xml:space="preserve">secondary education sector </w:t>
      </w:r>
      <w:r w:rsidR="00B523D3">
        <w:t xml:space="preserve">is enshrined in legislation. </w:t>
      </w:r>
      <w:r w:rsidR="00783847">
        <w:t xml:space="preserve">Legislation may be </w:t>
      </w:r>
      <w:r w:rsidR="00180C3E">
        <w:t>address</w:t>
      </w:r>
      <w:r w:rsidR="002F6F96">
        <w:t>ed</w:t>
      </w:r>
      <w:r w:rsidR="00180C3E">
        <w:t xml:space="preserve"> </w:t>
      </w:r>
      <w:r w:rsidR="003C43B5">
        <w:t xml:space="preserve">by </w:t>
      </w:r>
      <w:r w:rsidR="00783847">
        <w:t xml:space="preserve">broad education </w:t>
      </w:r>
      <w:r w:rsidR="003C43B5">
        <w:t>legislation</w:t>
      </w:r>
      <w:r w:rsidR="00FF7B99">
        <w:t>,</w:t>
      </w:r>
      <w:r w:rsidR="00783847">
        <w:t xml:space="preserve"> but </w:t>
      </w:r>
      <w:r w:rsidR="000A342D">
        <w:t xml:space="preserve">in the Pacific </w:t>
      </w:r>
      <w:r w:rsidR="003C43B5">
        <w:t xml:space="preserve">it </w:t>
      </w:r>
      <w:r w:rsidR="000A342D">
        <w:t>is more likely to be</w:t>
      </w:r>
      <w:r w:rsidR="00783847">
        <w:t xml:space="preserve"> specific to the agency’s </w:t>
      </w:r>
      <w:r w:rsidR="00E1596B">
        <w:t xml:space="preserve">or competent body’s </w:t>
      </w:r>
      <w:r w:rsidR="00783847">
        <w:t>remit</w:t>
      </w:r>
      <w:r w:rsidR="00FF7B99">
        <w:t xml:space="preserve"> (</w:t>
      </w:r>
      <w:r w:rsidR="000A342D">
        <w:t>e.g. Tonga, Samoa, Fiji and Vanuatu</w:t>
      </w:r>
      <w:r w:rsidR="00FF7B99">
        <w:t>)</w:t>
      </w:r>
      <w:r w:rsidR="00783847">
        <w:t xml:space="preserve">. </w:t>
      </w:r>
      <w:r w:rsidR="000A447F">
        <w:t xml:space="preserve">For those without an agency the responsibility </w:t>
      </w:r>
      <w:r w:rsidR="000A342D">
        <w:t xml:space="preserve">for accreditation and registration </w:t>
      </w:r>
      <w:r w:rsidR="000A447F">
        <w:t xml:space="preserve">may lie with relevant ministries </w:t>
      </w:r>
      <w:r w:rsidR="00783847">
        <w:t>and</w:t>
      </w:r>
      <w:r w:rsidR="00180C3E">
        <w:t xml:space="preserve"> may include</w:t>
      </w:r>
      <w:r w:rsidR="00783847">
        <w:t xml:space="preserve"> legislation</w:t>
      </w:r>
      <w:r w:rsidR="000A447F">
        <w:t xml:space="preserve"> </w:t>
      </w:r>
      <w:r w:rsidR="00180C3E">
        <w:t>that address</w:t>
      </w:r>
      <w:r w:rsidR="000A342D">
        <w:t>es</w:t>
      </w:r>
      <w:r w:rsidR="00180C3E">
        <w:t xml:space="preserve"> post</w:t>
      </w:r>
      <w:r w:rsidR="00FF7B99">
        <w:t>-</w:t>
      </w:r>
      <w:r w:rsidR="00180C3E">
        <w:t xml:space="preserve">secondary </w:t>
      </w:r>
      <w:r w:rsidR="00FF7B99">
        <w:t xml:space="preserve">education; </w:t>
      </w:r>
      <w:r w:rsidR="000A342D">
        <w:t>however</w:t>
      </w:r>
      <w:r w:rsidR="00FF7B99">
        <w:t xml:space="preserve">, </w:t>
      </w:r>
      <w:r w:rsidR="00180C3E">
        <w:t xml:space="preserve">there may be </w:t>
      </w:r>
      <w:r w:rsidR="00783847">
        <w:t xml:space="preserve">a </w:t>
      </w:r>
      <w:r w:rsidR="00783847" w:rsidRPr="00D649D7">
        <w:t>legislative void</w:t>
      </w:r>
      <w:r w:rsidR="00ED0A28" w:rsidRPr="00D649D7">
        <w:t xml:space="preserve"> in relation to the post</w:t>
      </w:r>
      <w:r w:rsidR="00FF7B99" w:rsidRPr="00D649D7">
        <w:t>-</w:t>
      </w:r>
      <w:r w:rsidR="00ED0A28" w:rsidRPr="00D649D7">
        <w:t>secondary education</w:t>
      </w:r>
      <w:r w:rsidR="000A447F" w:rsidRPr="00D649D7">
        <w:t>.</w:t>
      </w:r>
      <w:r w:rsidR="00193058">
        <w:t xml:space="preserve"> For example, there is </w:t>
      </w:r>
      <w:r w:rsidR="00992080" w:rsidRPr="00D649D7">
        <w:t xml:space="preserve">a legislative void in the relevant Education Acts in relation to post-secondary education in some Pacific Nations, e.g. Kiribati, Tuvalu, Solomon Islands and Nauru. </w:t>
      </w:r>
      <w:r w:rsidR="002870F5" w:rsidRPr="00D649D7">
        <w:t>The review</w:t>
      </w:r>
      <w:r w:rsidR="002870F5">
        <w:t xml:space="preserve"> concluded t</w:t>
      </w:r>
      <w:r w:rsidR="0057430F">
        <w:t>hat</w:t>
      </w:r>
      <w:r w:rsidR="003C43B5">
        <w:t xml:space="preserve"> </w:t>
      </w:r>
      <w:r w:rsidR="002F6F96">
        <w:t xml:space="preserve">the </w:t>
      </w:r>
      <w:r w:rsidR="002230C7">
        <w:lastRenderedPageBreak/>
        <w:t>EQAP</w:t>
      </w:r>
      <w:r w:rsidR="00671DC0">
        <w:t xml:space="preserve"> </w:t>
      </w:r>
      <w:r w:rsidR="002F6F96">
        <w:t>does not have the legal remit across borders into national processes</w:t>
      </w:r>
      <w:r w:rsidR="003C43B5">
        <w:t xml:space="preserve"> of accreditation </w:t>
      </w:r>
      <w:r w:rsidR="00992080">
        <w:t xml:space="preserve">of qualifications </w:t>
      </w:r>
      <w:r w:rsidR="003C43B5">
        <w:t>and registration</w:t>
      </w:r>
      <w:r w:rsidR="00992080">
        <w:t xml:space="preserve"> of providers</w:t>
      </w:r>
      <w:r w:rsidR="002F6F96">
        <w:t xml:space="preserve">. </w:t>
      </w:r>
    </w:p>
    <w:p w14:paraId="74D479F6" w14:textId="29B58ACD" w:rsidR="009B6A44" w:rsidRDefault="00D707D8" w:rsidP="00BF09CC">
      <w:pPr>
        <w:spacing w:line="240" w:lineRule="auto"/>
      </w:pPr>
      <w:r w:rsidRPr="003E25F8">
        <w:t xml:space="preserve">There are two instances (Tuvalu and Kiribati) where the </w:t>
      </w:r>
      <w:r w:rsidR="002928F9">
        <w:t>EQAP</w:t>
      </w:r>
      <w:r w:rsidR="00D23BD2" w:rsidRPr="00F02080">
        <w:t xml:space="preserve"> </w:t>
      </w:r>
      <w:r w:rsidRPr="003E25F8">
        <w:t>has proposed that it will accredit qualifications and register providers</w:t>
      </w:r>
      <w:r w:rsidR="00A8515E">
        <w:t xml:space="preserve"> at a national level</w:t>
      </w:r>
      <w:r w:rsidR="00AB1351">
        <w:t>:</w:t>
      </w:r>
      <w:r w:rsidR="00AB1351">
        <w:rPr>
          <w:rStyle w:val="FootnoteReference"/>
        </w:rPr>
        <w:footnoteReference w:id="18"/>
      </w:r>
      <w:r w:rsidRPr="003E25F8">
        <w:t xml:space="preserve"> </w:t>
      </w:r>
    </w:p>
    <w:p w14:paraId="13165BA7" w14:textId="792DB80C" w:rsidR="009B6A44" w:rsidRPr="00C7454B" w:rsidRDefault="00514B5F" w:rsidP="00456131">
      <w:pPr>
        <w:pStyle w:val="ListParagraph"/>
        <w:numPr>
          <w:ilvl w:val="0"/>
          <w:numId w:val="79"/>
        </w:numPr>
      </w:pPr>
      <w:r w:rsidRPr="00C7454B">
        <w:t>Tuvalu representatives indicate</w:t>
      </w:r>
      <w:r w:rsidR="00176EF2" w:rsidRPr="00C7454B">
        <w:t>d</w:t>
      </w:r>
      <w:r w:rsidRPr="00C7454B">
        <w:t xml:space="preserve"> that </w:t>
      </w:r>
      <w:r w:rsidR="008054A5">
        <w:t>Tuvalu</w:t>
      </w:r>
      <w:r w:rsidRPr="00C7454B">
        <w:t xml:space="preserve"> intended </w:t>
      </w:r>
      <w:r w:rsidR="008054A5">
        <w:t>to</w:t>
      </w:r>
      <w:r w:rsidRPr="00C7454B">
        <w:t xml:space="preserve"> use the expertise of </w:t>
      </w:r>
      <w:r w:rsidR="00B44EEF">
        <w:t>EQAP</w:t>
      </w:r>
      <w:r w:rsidR="00D23BD2" w:rsidRPr="00F02080">
        <w:t xml:space="preserve"> </w:t>
      </w:r>
      <w:r w:rsidR="00CF21BD" w:rsidRPr="00C7454B">
        <w:t>and</w:t>
      </w:r>
      <w:r w:rsidRPr="00C7454B">
        <w:t xml:space="preserve"> </w:t>
      </w:r>
      <w:r w:rsidR="00230121">
        <w:t>to establish</w:t>
      </w:r>
      <w:r w:rsidR="00230121" w:rsidRPr="00C7454B">
        <w:t xml:space="preserve"> </w:t>
      </w:r>
      <w:r w:rsidR="008054A5">
        <w:t>a</w:t>
      </w:r>
      <w:r w:rsidRPr="00C7454B">
        <w:t xml:space="preserve"> quality unit </w:t>
      </w:r>
      <w:r w:rsidR="00B40437">
        <w:t xml:space="preserve">in country </w:t>
      </w:r>
      <w:r w:rsidR="003E25F8" w:rsidRPr="00C7454B">
        <w:t xml:space="preserve">for </w:t>
      </w:r>
      <w:r w:rsidR="008054A5">
        <w:t xml:space="preserve">regulatory </w:t>
      </w:r>
      <w:r w:rsidR="00AB1351">
        <w:t xml:space="preserve">and quality assurance purposes. </w:t>
      </w:r>
      <w:r w:rsidR="009B6A44" w:rsidRPr="00C7454B">
        <w:t>This appears the most feasible and logical approach</w:t>
      </w:r>
      <w:r w:rsidR="004B473E">
        <w:t>,</w:t>
      </w:r>
      <w:r w:rsidR="009B6A44" w:rsidRPr="00C7454B">
        <w:t xml:space="preserve"> given national </w:t>
      </w:r>
      <w:r w:rsidR="00C7454B">
        <w:t>responsibility for education</w:t>
      </w:r>
      <w:r w:rsidR="008054A5">
        <w:t xml:space="preserve"> and training</w:t>
      </w:r>
      <w:r w:rsidR="00C7454B">
        <w:t xml:space="preserve">. </w:t>
      </w:r>
    </w:p>
    <w:p w14:paraId="183D794A" w14:textId="59A5E274" w:rsidR="00E3298A" w:rsidRDefault="00AB1351" w:rsidP="00456131">
      <w:pPr>
        <w:pStyle w:val="ListParagraph"/>
        <w:numPr>
          <w:ilvl w:val="0"/>
          <w:numId w:val="79"/>
        </w:numPr>
      </w:pPr>
      <w:r>
        <w:t xml:space="preserve">For Kiribati, </w:t>
      </w:r>
      <w:r w:rsidR="00C73E0F" w:rsidRPr="00C7454B">
        <w:t xml:space="preserve">the </w:t>
      </w:r>
      <w:r w:rsidR="00C73E0F" w:rsidRPr="00A73E4E">
        <w:rPr>
          <w:i/>
        </w:rPr>
        <w:t>Kiribati Skills for Employment Program: Investment design document</w:t>
      </w:r>
      <w:r w:rsidR="00C73E0F" w:rsidRPr="00C7454B">
        <w:t xml:space="preserve"> (2015)</w:t>
      </w:r>
      <w:r w:rsidR="003E25F8" w:rsidRPr="00C7454B">
        <w:t xml:space="preserve"> </w:t>
      </w:r>
      <w:r w:rsidR="008054A5">
        <w:t xml:space="preserve">proposed </w:t>
      </w:r>
      <w:r w:rsidR="003E25F8" w:rsidRPr="00C7454B">
        <w:t>that the program will utilise ‘</w:t>
      </w:r>
      <w:r w:rsidR="00101842" w:rsidRPr="00C7454B">
        <w:t>the Secretariat of the Pacific Community’s (SPC) Pacific Quality Assurance Framework (PQAF) and Pacific Register of Qualifications and Standards (PRQS) for the proposed regional registration and (curriculum) accreditation of K</w:t>
      </w:r>
      <w:r w:rsidR="00BB5B09">
        <w:t xml:space="preserve">iribati </w:t>
      </w:r>
      <w:r w:rsidR="00BB5B09" w:rsidRPr="00C7454B">
        <w:t>I</w:t>
      </w:r>
      <w:r w:rsidR="00BB5B09">
        <w:t xml:space="preserve">nstitute of </w:t>
      </w:r>
      <w:r w:rsidR="00101842" w:rsidRPr="00C7454B">
        <w:t>T</w:t>
      </w:r>
      <w:r w:rsidR="00BB5B09">
        <w:t>echnology</w:t>
      </w:r>
      <w:r w:rsidR="003E25F8" w:rsidRPr="00C7454B">
        <w:t>’</w:t>
      </w:r>
      <w:r w:rsidR="00101842" w:rsidRPr="00C7454B">
        <w:t>.</w:t>
      </w:r>
      <w:r w:rsidR="003E25F8" w:rsidRPr="00C7454B">
        <w:rPr>
          <w:rStyle w:val="FootnoteReference"/>
        </w:rPr>
        <w:footnoteReference w:id="19"/>
      </w:r>
      <w:r w:rsidR="003E25F8" w:rsidRPr="00C7454B">
        <w:t xml:space="preserve"> The design notes that the theory of change is based on</w:t>
      </w:r>
      <w:r w:rsidR="00C7454B">
        <w:t>,</w:t>
      </w:r>
      <w:r w:rsidR="003E25F8" w:rsidRPr="00C7454B">
        <w:t xml:space="preserve"> amongst a range of assumptions</w:t>
      </w:r>
      <w:r w:rsidR="00C7454B">
        <w:t>,</w:t>
      </w:r>
      <w:r w:rsidR="003E25F8" w:rsidRPr="00C7454B">
        <w:t xml:space="preserve"> </w:t>
      </w:r>
      <w:r w:rsidR="004B473E">
        <w:t xml:space="preserve">that </w:t>
      </w:r>
      <w:r w:rsidR="003E25F8" w:rsidRPr="00C7454B">
        <w:t xml:space="preserve">the ‘regional registration of </w:t>
      </w:r>
      <w:r w:rsidR="00BB5B09" w:rsidRPr="00C7454B">
        <w:t>K</w:t>
      </w:r>
      <w:r w:rsidR="00BB5B09">
        <w:t xml:space="preserve">iribati </w:t>
      </w:r>
      <w:r w:rsidR="00BB5B09" w:rsidRPr="00C7454B">
        <w:t>I</w:t>
      </w:r>
      <w:r w:rsidR="00BB5B09">
        <w:t xml:space="preserve">nstitute of </w:t>
      </w:r>
      <w:r w:rsidR="00BB5B09" w:rsidRPr="00C7454B">
        <w:t>T</w:t>
      </w:r>
      <w:r w:rsidR="00BB5B09">
        <w:t xml:space="preserve">echnology </w:t>
      </w:r>
      <w:r w:rsidR="003E25F8" w:rsidRPr="00C7454B">
        <w:t>and course accreditation under the PRQS is achievable’.</w:t>
      </w:r>
      <w:r w:rsidR="003E25F8" w:rsidRPr="00C7454B">
        <w:rPr>
          <w:rStyle w:val="FootnoteReference"/>
        </w:rPr>
        <w:footnoteReference w:id="20"/>
      </w:r>
      <w:r w:rsidR="009B6A44" w:rsidRPr="00C7454B">
        <w:t xml:space="preserve"> </w:t>
      </w:r>
    </w:p>
    <w:p w14:paraId="775804CD" w14:textId="1885E44B" w:rsidR="00E3298A" w:rsidRPr="009B70EF" w:rsidRDefault="00351E3A" w:rsidP="00BF09CC">
      <w:pPr>
        <w:spacing w:line="240" w:lineRule="auto"/>
      </w:pPr>
      <w:r>
        <w:t>EQAP</w:t>
      </w:r>
      <w:r w:rsidR="00B90920">
        <w:t xml:space="preserve"> envisage</w:t>
      </w:r>
      <w:r>
        <w:t>s</w:t>
      </w:r>
      <w:r w:rsidR="00E3298A">
        <w:t xml:space="preserve"> (</w:t>
      </w:r>
      <w:r w:rsidR="00DF3507">
        <w:t xml:space="preserve">Nadi, </w:t>
      </w:r>
      <w:r w:rsidR="00E3298A">
        <w:t xml:space="preserve">May 2016) that </w:t>
      </w:r>
      <w:r w:rsidR="00AB1351">
        <w:t xml:space="preserve">for </w:t>
      </w:r>
      <w:r w:rsidR="00E3298A">
        <w:t>the</w:t>
      </w:r>
      <w:r w:rsidR="00BA3368">
        <w:t xml:space="preserve">se </w:t>
      </w:r>
      <w:r w:rsidR="008054A5">
        <w:t xml:space="preserve">two </w:t>
      </w:r>
      <w:r w:rsidR="00BA3368">
        <w:t>countries</w:t>
      </w:r>
      <w:r w:rsidR="008054A5">
        <w:t xml:space="preserve"> </w:t>
      </w:r>
      <w:r w:rsidR="00E3298A">
        <w:t>EQAP</w:t>
      </w:r>
      <w:r w:rsidR="002230C7">
        <w:t xml:space="preserve"> </w:t>
      </w:r>
      <w:r w:rsidR="008054A5">
        <w:t xml:space="preserve">will </w:t>
      </w:r>
      <w:r w:rsidR="00E3298A">
        <w:t>conven</w:t>
      </w:r>
      <w:r w:rsidR="008054A5">
        <w:t>e</w:t>
      </w:r>
      <w:r w:rsidR="00E3298A">
        <w:t xml:space="preserve"> an accreditation panel nominated by the accrediting ag</w:t>
      </w:r>
      <w:r w:rsidR="00032D9C">
        <w:t>encies as members of the PRQS. However, g</w:t>
      </w:r>
      <w:r w:rsidR="00E3298A">
        <w:t>iven the above</w:t>
      </w:r>
      <w:r w:rsidR="00032D9C">
        <w:t xml:space="preserve"> concerns</w:t>
      </w:r>
      <w:r w:rsidR="007C0B98">
        <w:t xml:space="preserve"> about EQAP’s remit</w:t>
      </w:r>
      <w:r w:rsidR="00E3298A">
        <w:t xml:space="preserve">, </w:t>
      </w:r>
      <w:r w:rsidR="00AB1351">
        <w:t>EQAP</w:t>
      </w:r>
      <w:r w:rsidR="00E3298A">
        <w:t xml:space="preserve"> </w:t>
      </w:r>
      <w:r w:rsidR="003A10F6">
        <w:t>could</w:t>
      </w:r>
      <w:r w:rsidR="00E3298A">
        <w:t xml:space="preserve"> </w:t>
      </w:r>
      <w:r w:rsidR="0047340B">
        <w:t xml:space="preserve">only </w:t>
      </w:r>
      <w:r w:rsidR="00E3298A">
        <w:t xml:space="preserve">provide </w:t>
      </w:r>
      <w:r w:rsidR="002F6F96">
        <w:t xml:space="preserve">(at best) </w:t>
      </w:r>
      <w:r w:rsidR="00E3298A">
        <w:t>a recommendation</w:t>
      </w:r>
      <w:r w:rsidR="00032D9C">
        <w:t xml:space="preserve"> in relation to a qualification or a provider</w:t>
      </w:r>
      <w:r w:rsidR="00E3298A">
        <w:t xml:space="preserve">, with the in country </w:t>
      </w:r>
      <w:r w:rsidR="003C43B5">
        <w:t>competent</w:t>
      </w:r>
      <w:r w:rsidR="00E3298A">
        <w:t xml:space="preserve"> body formally accrediting the </w:t>
      </w:r>
      <w:r w:rsidR="00E3298A" w:rsidRPr="009B70EF">
        <w:t>qualification</w:t>
      </w:r>
      <w:r w:rsidR="00032D9C" w:rsidRPr="009B70EF">
        <w:t>/s</w:t>
      </w:r>
      <w:r w:rsidR="00E3298A" w:rsidRPr="009B70EF">
        <w:t xml:space="preserve"> and registering the provider. </w:t>
      </w:r>
    </w:p>
    <w:p w14:paraId="43393627" w14:textId="4A3F6D02" w:rsidR="005C649D" w:rsidRDefault="00032D9C" w:rsidP="00BF09CC">
      <w:pPr>
        <w:spacing w:line="240" w:lineRule="auto"/>
      </w:pPr>
      <w:r w:rsidRPr="00B56F7F">
        <w:t xml:space="preserve">At a regional level, </w:t>
      </w:r>
      <w:r w:rsidR="00055916" w:rsidRPr="00B56F7F">
        <w:t xml:space="preserve">the </w:t>
      </w:r>
      <w:r w:rsidR="009B70EF" w:rsidRPr="00B56F7F">
        <w:t xml:space="preserve">opportunity for </w:t>
      </w:r>
      <w:r w:rsidR="00AB1351">
        <w:t>EQAP</w:t>
      </w:r>
      <w:r w:rsidR="009B70EF" w:rsidRPr="00B56F7F">
        <w:t xml:space="preserve"> to undertake the accreditation of regional qualifications and approve providers to deliver them </w:t>
      </w:r>
      <w:r w:rsidR="00A10242">
        <w:t xml:space="preserve">was </w:t>
      </w:r>
      <w:r w:rsidR="00124F2B">
        <w:t>proposed</w:t>
      </w:r>
      <w:r w:rsidR="00C0285A">
        <w:t xml:space="preserve"> </w:t>
      </w:r>
      <w:r w:rsidR="00124F2B">
        <w:t>(</w:t>
      </w:r>
      <w:r w:rsidR="009B70EF" w:rsidRPr="00B56F7F">
        <w:t xml:space="preserve">Nadi </w:t>
      </w:r>
      <w:r w:rsidR="00F3766E" w:rsidRPr="00982F59">
        <w:t xml:space="preserve">May </w:t>
      </w:r>
      <w:r w:rsidR="009B70EF" w:rsidRPr="00982F59">
        <w:t>2016</w:t>
      </w:r>
      <w:r w:rsidR="00F3766E" w:rsidRPr="00982F59">
        <w:t>)</w:t>
      </w:r>
      <w:r w:rsidR="009B70EF" w:rsidRPr="00B56F7F">
        <w:t xml:space="preserve">. </w:t>
      </w:r>
      <w:r w:rsidR="0020205E">
        <w:t>However, t</w:t>
      </w:r>
      <w:r w:rsidR="00B44EEF">
        <w:t>here</w:t>
      </w:r>
      <w:r w:rsidR="0044734A" w:rsidRPr="00B56F7F">
        <w:t xml:space="preserve"> was no clear definition of a ‘regional qualification</w:t>
      </w:r>
      <w:r w:rsidR="00351E3A">
        <w:t>’, the process for development a regional qualification</w:t>
      </w:r>
      <w:r w:rsidR="0044734A" w:rsidRPr="00B56F7F">
        <w:t xml:space="preserve"> or what criteria for </w:t>
      </w:r>
      <w:r w:rsidR="003E7980">
        <w:t xml:space="preserve">declaring </w:t>
      </w:r>
      <w:r w:rsidR="0044734A" w:rsidRPr="00B56F7F">
        <w:t>a qualification a</w:t>
      </w:r>
      <w:r w:rsidR="003E7980">
        <w:t>s a</w:t>
      </w:r>
      <w:r w:rsidR="0044734A" w:rsidRPr="00B56F7F">
        <w:t xml:space="preserve"> regional qualification. </w:t>
      </w:r>
      <w:r w:rsidR="00942073" w:rsidRPr="00B56F7F">
        <w:t xml:space="preserve">If the </w:t>
      </w:r>
      <w:r w:rsidR="007B33CD">
        <w:t>EQAP</w:t>
      </w:r>
      <w:r w:rsidR="007B33CD" w:rsidRPr="00B56F7F">
        <w:t xml:space="preserve"> </w:t>
      </w:r>
      <w:r w:rsidR="00942073" w:rsidRPr="00B56F7F">
        <w:t>does not apply criteria for</w:t>
      </w:r>
      <w:r w:rsidR="00526B1F" w:rsidRPr="00B56F7F">
        <w:t xml:space="preserve"> recognising</w:t>
      </w:r>
      <w:r w:rsidR="00942073" w:rsidRPr="00B56F7F">
        <w:t xml:space="preserve"> a regional qualification then it runs the risk of direct</w:t>
      </w:r>
      <w:r w:rsidR="00BB01B5" w:rsidRPr="00B56F7F">
        <w:t>ly</w:t>
      </w:r>
      <w:r w:rsidR="00942073" w:rsidRPr="00B56F7F">
        <w:t xml:space="preserve"> impinging on national processes, possibly even allowing the opportunity to circumvent </w:t>
      </w:r>
      <w:r w:rsidR="00342BBE" w:rsidRPr="00B56F7F">
        <w:t>national</w:t>
      </w:r>
      <w:r w:rsidR="00942073" w:rsidRPr="00B56F7F">
        <w:t xml:space="preserve"> processes. </w:t>
      </w:r>
    </w:p>
    <w:p w14:paraId="673438F9" w14:textId="26C7C8BC" w:rsidR="0044734A" w:rsidRPr="00B56F7F" w:rsidRDefault="00E87AFD" w:rsidP="00BF09CC">
      <w:pPr>
        <w:spacing w:line="240" w:lineRule="auto"/>
      </w:pPr>
      <w:r>
        <w:t>Regional c</w:t>
      </w:r>
      <w:r w:rsidR="0044734A" w:rsidRPr="00B56F7F">
        <w:t xml:space="preserve">onsultation in Nadi </w:t>
      </w:r>
      <w:r w:rsidR="00F3766E" w:rsidRPr="00B56F7F">
        <w:t xml:space="preserve">(May 2016) </w:t>
      </w:r>
      <w:r w:rsidR="0044734A" w:rsidRPr="00B56F7F">
        <w:t>indicated that accreditation of qualifications and registration</w:t>
      </w:r>
      <w:r w:rsidR="008054A5">
        <w:t xml:space="preserve"> of providers</w:t>
      </w:r>
      <w:r w:rsidR="0044734A" w:rsidRPr="00B56F7F">
        <w:t xml:space="preserve"> or approval to deliver the regional qualifications would still require in country approval</w:t>
      </w:r>
      <w:r w:rsidR="003C43B5" w:rsidRPr="00B56F7F">
        <w:t xml:space="preserve"> processes</w:t>
      </w:r>
      <w:r w:rsidR="00DF3507" w:rsidRPr="00B56F7F">
        <w:t>.</w:t>
      </w:r>
      <w:r w:rsidR="00942073" w:rsidRPr="00B56F7F">
        <w:t xml:space="preserve"> </w:t>
      </w:r>
      <w:r w:rsidR="00DF3507" w:rsidRPr="00B56F7F">
        <w:t>T</w:t>
      </w:r>
      <w:r w:rsidR="0044734A" w:rsidRPr="00B56F7F">
        <w:t>herefore</w:t>
      </w:r>
      <w:r w:rsidR="004B473E">
        <w:t>,</w:t>
      </w:r>
      <w:r w:rsidR="0044734A" w:rsidRPr="00B56F7F">
        <w:t xml:space="preserve"> </w:t>
      </w:r>
      <w:r w:rsidR="00AB1351">
        <w:t>EQAP’s</w:t>
      </w:r>
      <w:r w:rsidR="0044734A" w:rsidRPr="00B56F7F">
        <w:t xml:space="preserve"> approach to accredit </w:t>
      </w:r>
      <w:r w:rsidR="003C43B5" w:rsidRPr="00B56F7F">
        <w:t xml:space="preserve">qualifications </w:t>
      </w:r>
      <w:r w:rsidR="0044734A" w:rsidRPr="00B56F7F">
        <w:t xml:space="preserve">and register </w:t>
      </w:r>
      <w:r w:rsidR="003C43B5" w:rsidRPr="00B56F7F">
        <w:t xml:space="preserve">providers (and approval to deliver) </w:t>
      </w:r>
      <w:r w:rsidR="0044734A" w:rsidRPr="00B56F7F">
        <w:t xml:space="preserve">is duplicative and </w:t>
      </w:r>
      <w:r w:rsidR="008054A5">
        <w:t xml:space="preserve">potentially </w:t>
      </w:r>
      <w:r w:rsidR="0044734A" w:rsidRPr="00B56F7F">
        <w:t>imp</w:t>
      </w:r>
      <w:r w:rsidR="008054A5">
        <w:t xml:space="preserve">inges on national sovereignty. </w:t>
      </w:r>
      <w:r w:rsidR="00BA3368" w:rsidRPr="00BA3368">
        <w:t>Again</w:t>
      </w:r>
      <w:r w:rsidR="00923676">
        <w:t>,</w:t>
      </w:r>
      <w:r w:rsidR="009B70EF" w:rsidRPr="00BA3368">
        <w:t xml:space="preserve"> </w:t>
      </w:r>
      <w:r w:rsidR="00AB1351">
        <w:t>EQAP</w:t>
      </w:r>
      <w:r w:rsidR="00AB1351" w:rsidRPr="00B56F7F">
        <w:t xml:space="preserve"> </w:t>
      </w:r>
      <w:r w:rsidR="00BA3368" w:rsidRPr="00BA3368">
        <w:t>could</w:t>
      </w:r>
      <w:r w:rsidR="0044734A" w:rsidRPr="00BA3368">
        <w:t xml:space="preserve"> </w:t>
      </w:r>
      <w:r w:rsidR="009B70EF" w:rsidRPr="00BA3368">
        <w:t>make a recommendation or an endorsement</w:t>
      </w:r>
      <w:r w:rsidR="005C649D">
        <w:t xml:space="preserve"> to member countries, for them </w:t>
      </w:r>
      <w:r w:rsidR="0044734A" w:rsidRPr="00BA3368">
        <w:t>to undertake their own legal obligations of accreditation and registration</w:t>
      </w:r>
      <w:r w:rsidR="009B70EF" w:rsidRPr="00BA3368">
        <w:t>.</w:t>
      </w:r>
      <w:r w:rsidR="009B70EF" w:rsidRPr="00B56F7F">
        <w:t xml:space="preserve"> </w:t>
      </w:r>
      <w:r w:rsidR="0020205E">
        <w:t xml:space="preserve">This </w:t>
      </w:r>
      <w:r w:rsidR="007B647B">
        <w:t>approach</w:t>
      </w:r>
      <w:r w:rsidR="0020205E">
        <w:t xml:space="preserve"> </w:t>
      </w:r>
      <w:r w:rsidR="007B647B">
        <w:t>assumes</w:t>
      </w:r>
      <w:r w:rsidR="0020205E">
        <w:t xml:space="preserve"> that </w:t>
      </w:r>
      <w:r w:rsidR="00FF3D0A">
        <w:t xml:space="preserve">member </w:t>
      </w:r>
      <w:r w:rsidR="0020205E">
        <w:t xml:space="preserve">countries have the legal remit to undertake these obligations in the TVET/Higher Education sector. </w:t>
      </w:r>
    </w:p>
    <w:p w14:paraId="28E5602B" w14:textId="28B0F688" w:rsidR="00846CB5" w:rsidRDefault="00331CC5" w:rsidP="00331CC5">
      <w:pPr>
        <w:pStyle w:val="Heading2"/>
        <w:rPr>
          <w:color w:val="95050F"/>
        </w:rPr>
      </w:pPr>
      <w:bookmarkStart w:id="29" w:name="_Toc458938576"/>
      <w:bookmarkStart w:id="30" w:name="_Toc462755555"/>
      <w:r>
        <w:rPr>
          <w:color w:val="95050F"/>
        </w:rPr>
        <w:t>2</w:t>
      </w:r>
      <w:r w:rsidR="005045FF">
        <w:rPr>
          <w:color w:val="95050F"/>
        </w:rPr>
        <w:t xml:space="preserve">.2 </w:t>
      </w:r>
      <w:r w:rsidR="00A15886">
        <w:rPr>
          <w:color w:val="95050F"/>
        </w:rPr>
        <w:t xml:space="preserve">PRQS </w:t>
      </w:r>
      <w:r w:rsidR="007411D4">
        <w:rPr>
          <w:color w:val="95050F"/>
        </w:rPr>
        <w:t>model</w:t>
      </w:r>
      <w:r w:rsidR="0028033B">
        <w:rPr>
          <w:color w:val="95050F"/>
        </w:rPr>
        <w:t xml:space="preserve"> and quality assurance</w:t>
      </w:r>
      <w:bookmarkEnd w:id="29"/>
      <w:bookmarkEnd w:id="30"/>
    </w:p>
    <w:p w14:paraId="27DEF75C" w14:textId="00D3D380" w:rsidR="00AB1622" w:rsidRDefault="00D73B28" w:rsidP="00BF09CC">
      <w:pPr>
        <w:spacing w:line="240" w:lineRule="auto"/>
      </w:pPr>
      <w:r>
        <w:t xml:space="preserve">From its inception, the </w:t>
      </w:r>
      <w:r w:rsidR="000E1C7A">
        <w:t>P</w:t>
      </w:r>
      <w:r w:rsidR="000F5B56">
        <w:t>R</w:t>
      </w:r>
      <w:r w:rsidR="000E1C7A">
        <w:t>QS</w:t>
      </w:r>
      <w:r>
        <w:t xml:space="preserve"> model focussed on the register as opposed to the regional qualifications framework and quality assurance framework</w:t>
      </w:r>
      <w:r w:rsidR="00657E5F">
        <w:t xml:space="preserve"> that underpin the register</w:t>
      </w:r>
      <w:r>
        <w:t>. In most qualifications framework</w:t>
      </w:r>
      <w:r w:rsidR="008D3E53">
        <w:t>s</w:t>
      </w:r>
      <w:r w:rsidR="00D374D5">
        <w:t xml:space="preserve"> (regional or national)</w:t>
      </w:r>
      <w:r>
        <w:t xml:space="preserve">, the register is considered an output of </w:t>
      </w:r>
      <w:r w:rsidR="00D374D5">
        <w:t>the framework</w:t>
      </w:r>
      <w:r>
        <w:t xml:space="preserve"> rather than </w:t>
      </w:r>
      <w:r w:rsidR="00657E5F">
        <w:t>a</w:t>
      </w:r>
      <w:r>
        <w:t xml:space="preserve"> focus.  </w:t>
      </w:r>
      <w:r w:rsidR="000F679C">
        <w:t xml:space="preserve">The approach taken was consistent with that stated by the </w:t>
      </w:r>
      <w:r w:rsidR="000F679C" w:rsidRPr="00292C4D">
        <w:t>Pacific Heads of Education meeting</w:t>
      </w:r>
      <w:r w:rsidR="004A19D0">
        <w:t xml:space="preserve"> in</w:t>
      </w:r>
      <w:r w:rsidR="000F679C" w:rsidRPr="00292C4D">
        <w:t xml:space="preserve"> 2004</w:t>
      </w:r>
      <w:r w:rsidR="000F679C">
        <w:t xml:space="preserve">. </w:t>
      </w:r>
    </w:p>
    <w:p w14:paraId="317E6A09" w14:textId="2FC4441D" w:rsidR="00D73B28" w:rsidRDefault="000F679C" w:rsidP="00BF09CC">
      <w:pPr>
        <w:spacing w:line="240" w:lineRule="auto"/>
      </w:pPr>
      <w:r>
        <w:t>However, t</w:t>
      </w:r>
      <w:r w:rsidR="00EA085F">
        <w:t xml:space="preserve">he attention on the register </w:t>
      </w:r>
      <w:r w:rsidR="00881417">
        <w:t xml:space="preserve">potentially </w:t>
      </w:r>
      <w:r w:rsidR="00EA085F">
        <w:t>detracts from the underpinning structures of the regional qualifications framework and the regionally agre</w:t>
      </w:r>
      <w:r w:rsidR="00881417">
        <w:t>ed quality assurance standards – structures that are better understood</w:t>
      </w:r>
      <w:r w:rsidR="00657E5F">
        <w:t xml:space="preserve"> by the international community</w:t>
      </w:r>
      <w:r>
        <w:t>, especially those focussed on qualifications frameworks and quality assurance frameworks</w:t>
      </w:r>
      <w:r w:rsidR="00881417">
        <w:t xml:space="preserve">. </w:t>
      </w:r>
    </w:p>
    <w:p w14:paraId="19DF442B" w14:textId="2D05201B" w:rsidR="00DF1238" w:rsidRDefault="00DF1238" w:rsidP="00BF09CC">
      <w:pPr>
        <w:spacing w:line="240" w:lineRule="auto"/>
      </w:pPr>
      <w:r>
        <w:lastRenderedPageBreak/>
        <w:t>As previously mentioned</w:t>
      </w:r>
      <w:r w:rsidR="0058572D">
        <w:t>,</w:t>
      </w:r>
      <w:r>
        <w:t xml:space="preserve"> there have been two major reviews of the PRQS and another related review </w:t>
      </w:r>
      <w:r w:rsidR="00E42FF5">
        <w:t xml:space="preserve">pertaining </w:t>
      </w:r>
      <w:r>
        <w:t>to quality assurance of qualifications in the Pacific. The PRQS has responded to these reviews over</w:t>
      </w:r>
      <w:r w:rsidR="008D3E53">
        <w:t xml:space="preserve"> </w:t>
      </w:r>
      <w:r>
        <w:t xml:space="preserve">time and implemented recommendations to further advance the role, remit and focus of the PRQS. </w:t>
      </w:r>
    </w:p>
    <w:p w14:paraId="53E81D20" w14:textId="7C5139C0" w:rsidR="00084E4F" w:rsidRDefault="00084E4F" w:rsidP="00BF09CC">
      <w:pPr>
        <w:spacing w:line="240" w:lineRule="auto"/>
      </w:pPr>
      <w:r>
        <w:t>The SPC review in 2013 (University</w:t>
      </w:r>
      <w:r w:rsidR="004A19D0">
        <w:t xml:space="preserve"> of Melbourne) recommended</w:t>
      </w:r>
      <w:r w:rsidR="00166B94">
        <w:t xml:space="preserve"> that the PRQS</w:t>
      </w:r>
      <w:r w:rsidR="004A19D0">
        <w:t>:</w:t>
      </w:r>
    </w:p>
    <w:p w14:paraId="0EB6EF12" w14:textId="24648AFA" w:rsidR="00D73B28" w:rsidRPr="00002065" w:rsidRDefault="00166B94" w:rsidP="00BF09CC">
      <w:pPr>
        <w:spacing w:line="240" w:lineRule="auto"/>
        <w:ind w:left="360"/>
        <w:rPr>
          <w:i/>
        </w:rPr>
      </w:pPr>
      <w:r>
        <w:rPr>
          <w:i/>
        </w:rPr>
        <w:t>…</w:t>
      </w:r>
      <w:r w:rsidR="00D73B28" w:rsidRPr="00002065">
        <w:rPr>
          <w:i/>
        </w:rPr>
        <w:t>should conduct periodic compliance reviews of accreditation agencies and training institutions to ensure that threshold expectations of quality are met and that there is demonstrable improvement over time.</w:t>
      </w:r>
    </w:p>
    <w:p w14:paraId="57F9BAE8" w14:textId="2048A5EF" w:rsidR="000F679C" w:rsidRDefault="00D73B28" w:rsidP="00BF09CC">
      <w:pPr>
        <w:spacing w:line="240" w:lineRule="auto"/>
      </w:pPr>
      <w:r>
        <w:t>The current approach of the P</w:t>
      </w:r>
      <w:r w:rsidR="00977EC8">
        <w:t>R</w:t>
      </w:r>
      <w:r>
        <w:t xml:space="preserve">QS reflects this </w:t>
      </w:r>
      <w:r w:rsidR="009D311D">
        <w:t>recommendation</w:t>
      </w:r>
      <w:r>
        <w:t xml:space="preserve">, with a top down </w:t>
      </w:r>
      <w:r w:rsidR="00E42FF5">
        <w:t xml:space="preserve">approach </w:t>
      </w:r>
      <w:r>
        <w:t>to quality assur</w:t>
      </w:r>
      <w:r w:rsidR="000E1C7A">
        <w:t>ing</w:t>
      </w:r>
      <w:r>
        <w:t xml:space="preserve"> competent bodies. </w:t>
      </w:r>
      <w:r w:rsidR="0020205E">
        <w:t xml:space="preserve">The </w:t>
      </w:r>
      <w:r w:rsidR="000F679C">
        <w:t>Forum Education Ministers</w:t>
      </w:r>
      <w:r w:rsidR="00671DC0">
        <w:t>’</w:t>
      </w:r>
      <w:r w:rsidR="000F679C">
        <w:t xml:space="preserve"> Meeting in 2014 </w:t>
      </w:r>
      <w:r w:rsidR="00671DC0">
        <w:t>and</w:t>
      </w:r>
      <w:r w:rsidR="000F679C">
        <w:t xml:space="preserve"> the SPC’s CRGA meeting in March 2016</w:t>
      </w:r>
      <w:r w:rsidR="0020205E">
        <w:t xml:space="preserve"> endorsed this function and approach</w:t>
      </w:r>
      <w:r w:rsidR="000F679C">
        <w:t>.</w:t>
      </w:r>
      <w:r w:rsidR="000F679C">
        <w:rPr>
          <w:rStyle w:val="FootnoteReference"/>
        </w:rPr>
        <w:footnoteReference w:id="21"/>
      </w:r>
      <w:r w:rsidR="000F679C">
        <w:t xml:space="preserve"> </w:t>
      </w:r>
    </w:p>
    <w:p w14:paraId="71EE8B00" w14:textId="1E128470" w:rsidR="00A12DF3" w:rsidRDefault="00AB1622" w:rsidP="00BF09CC">
      <w:pPr>
        <w:spacing w:line="240" w:lineRule="auto"/>
      </w:pPr>
      <w:r>
        <w:t>In this</w:t>
      </w:r>
      <w:r w:rsidR="000E1C7A">
        <w:t xml:space="preserve"> approach to quality assurance </w:t>
      </w:r>
      <w:r w:rsidR="000E1C7A" w:rsidRPr="003E3FAC">
        <w:t xml:space="preserve">EQAP </w:t>
      </w:r>
      <w:r w:rsidR="000E1C7A">
        <w:t>‘</w:t>
      </w:r>
      <w:r w:rsidR="000E1C7A" w:rsidRPr="003E3FAC">
        <w:t>will coordinate a regional external quality assurance function that moderates potential variations in how quality is administered by accrediting agencies</w:t>
      </w:r>
      <w:r w:rsidR="000E1C7A">
        <w:t>’.</w:t>
      </w:r>
      <w:r w:rsidR="00CC54EE">
        <w:rPr>
          <w:rStyle w:val="FootnoteReference"/>
        </w:rPr>
        <w:footnoteReference w:id="22"/>
      </w:r>
      <w:r w:rsidR="000E1C7A">
        <w:t xml:space="preserve"> The </w:t>
      </w:r>
      <w:r w:rsidR="002230C7" w:rsidRPr="003E3FAC">
        <w:t xml:space="preserve">EQAP </w:t>
      </w:r>
      <w:r w:rsidR="000E1C7A">
        <w:t xml:space="preserve">will recognise accrediting agencies for a period of 5 years and then </w:t>
      </w:r>
      <w:r w:rsidR="00FF3D0A">
        <w:t xml:space="preserve">a </w:t>
      </w:r>
      <w:r w:rsidR="000E1C7A">
        <w:t>review</w:t>
      </w:r>
      <w:r w:rsidR="00FF3D0A">
        <w:t xml:space="preserve"> is requir</w:t>
      </w:r>
      <w:r w:rsidR="000E1C7A">
        <w:t xml:space="preserve">ed. How </w:t>
      </w:r>
      <w:r w:rsidR="002230C7">
        <w:t>the</w:t>
      </w:r>
      <w:r w:rsidR="000E1C7A">
        <w:t xml:space="preserve"> initial recognition and subsequent re-registration is to be undertaken is unclear </w:t>
      </w:r>
      <w:r w:rsidR="002230C7">
        <w:t>as</w:t>
      </w:r>
      <w:r w:rsidR="000E1C7A">
        <w:t xml:space="preserve"> the regional documents</w:t>
      </w:r>
      <w:r w:rsidR="00897687">
        <w:t xml:space="preserve"> provide no transparency to member countries </w:t>
      </w:r>
      <w:r w:rsidR="00E01286">
        <w:t>and therefore limits</w:t>
      </w:r>
      <w:r w:rsidR="00897687">
        <w:t xml:space="preserve"> confidence in the process</w:t>
      </w:r>
      <w:r w:rsidR="000E1C7A">
        <w:t xml:space="preserve">. </w:t>
      </w:r>
    </w:p>
    <w:p w14:paraId="5D58A898" w14:textId="1BEF0D3F" w:rsidR="00A12DF3" w:rsidRPr="005726D5" w:rsidRDefault="00A12DF3" w:rsidP="00E01286">
      <w:pPr>
        <w:spacing w:line="240" w:lineRule="auto"/>
      </w:pPr>
      <w:r>
        <w:t xml:space="preserve">For national agencies to be </w:t>
      </w:r>
      <w:r w:rsidR="00A8469A">
        <w:t xml:space="preserve">recognised and </w:t>
      </w:r>
      <w:r>
        <w:t>listed on the PRQS they need to be able to meet the PQAF agency standards</w:t>
      </w:r>
      <w:r w:rsidR="007B33CD">
        <w:t>,</w:t>
      </w:r>
      <w:r>
        <w:t xml:space="preserve"> </w:t>
      </w:r>
      <w:r w:rsidR="00671DC0">
        <w:t xml:space="preserve">which </w:t>
      </w:r>
      <w:r>
        <w:t>‘</w:t>
      </w:r>
      <w:r w:rsidRPr="005726D5">
        <w:t>guide EQAP’s recognition of an Accrediting Agency as a standard setting body’</w:t>
      </w:r>
      <w:r>
        <w:t>.</w:t>
      </w:r>
      <w:r>
        <w:rPr>
          <w:rStyle w:val="FootnoteReference"/>
        </w:rPr>
        <w:footnoteReference w:id="23"/>
      </w:r>
      <w:r>
        <w:t xml:space="preserve"> </w:t>
      </w:r>
    </w:p>
    <w:p w14:paraId="1846CF12" w14:textId="18D96A7F" w:rsidR="002636C3" w:rsidRDefault="002636C3" w:rsidP="00BF09CC">
      <w:pPr>
        <w:spacing w:line="240" w:lineRule="auto"/>
      </w:pPr>
      <w:r>
        <w:t>At the 2009 regional consultation</w:t>
      </w:r>
      <w:r w:rsidR="00DA7B34">
        <w:t>,</w:t>
      </w:r>
      <w:r>
        <w:rPr>
          <w:rStyle w:val="FootnoteReference"/>
        </w:rPr>
        <w:footnoteReference w:id="24"/>
      </w:r>
      <w:r>
        <w:t xml:space="preserve"> </w:t>
      </w:r>
      <w:r w:rsidR="002870F5">
        <w:t>members</w:t>
      </w:r>
      <w:r>
        <w:t xml:space="preserve"> agreed that EQAP would carry out an assessment </w:t>
      </w:r>
      <w:r w:rsidR="00342BBE">
        <w:t xml:space="preserve">of </w:t>
      </w:r>
      <w:r>
        <w:t>the national quality assurance agencies against the PQAF standards for agencies as basis for recognition of the agencies, for piloting purposes of the PRQS processes. Assessment</w:t>
      </w:r>
      <w:r w:rsidR="002870F5">
        <w:t>s</w:t>
      </w:r>
      <w:r>
        <w:t xml:space="preserve"> </w:t>
      </w:r>
      <w:r w:rsidR="002870F5">
        <w:t>were conducted</w:t>
      </w:r>
      <w:r w:rsidR="00B44EEF">
        <w:t xml:space="preserve"> </w:t>
      </w:r>
      <w:r>
        <w:t xml:space="preserve">of the Fiji Higher Education Commission, Samoa Qualifications Authority, Tonga National Qualifications and Accreditation Board and the Vanuatu National Training Council. As a result of the assessment, all agencies were deemed to be recognised. </w:t>
      </w:r>
    </w:p>
    <w:p w14:paraId="2D48BE6A" w14:textId="5E59A995" w:rsidR="00A12DF3" w:rsidRDefault="00CE1240" w:rsidP="00BF09CC">
      <w:pPr>
        <w:spacing w:line="240" w:lineRule="auto"/>
      </w:pPr>
      <w:r>
        <w:t>Although t</w:t>
      </w:r>
      <w:r w:rsidR="00A12DF3">
        <w:t xml:space="preserve">he process enabled the agency to be listed </w:t>
      </w:r>
      <w:r w:rsidR="0020205E">
        <w:t xml:space="preserve">on the register </w:t>
      </w:r>
      <w:r w:rsidR="00A12DF3">
        <w:t xml:space="preserve">and </w:t>
      </w:r>
      <w:r w:rsidR="00C0285A">
        <w:t xml:space="preserve">to </w:t>
      </w:r>
      <w:r w:rsidR="00A12DF3">
        <w:t>be recognised for their capacity</w:t>
      </w:r>
      <w:r w:rsidR="00992080">
        <w:t xml:space="preserve"> to do</w:t>
      </w:r>
      <w:r w:rsidR="00C0285A">
        <w:t xml:space="preserve"> so</w:t>
      </w:r>
      <w:r w:rsidR="00A12DF3">
        <w:t xml:space="preserve">, for some </w:t>
      </w:r>
      <w:r>
        <w:t xml:space="preserve">interviewees </w:t>
      </w:r>
      <w:r w:rsidR="002870F5">
        <w:t>the process did</w:t>
      </w:r>
      <w:r w:rsidR="00A12DF3">
        <w:t xml:space="preserve"> not engender a sense of trust in the level of scrutiny or in ensuring that the outcomes were met. The outcome reports of the review of agencies are not in the public domain. </w:t>
      </w:r>
    </w:p>
    <w:p w14:paraId="7A0C7595" w14:textId="39850231" w:rsidR="00D73B28" w:rsidRPr="00CA6903" w:rsidRDefault="00A12DF3" w:rsidP="00BF09CC">
      <w:pPr>
        <w:spacing w:line="240" w:lineRule="auto"/>
      </w:pPr>
      <w:r w:rsidRPr="00CA6903">
        <w:t>For</w:t>
      </w:r>
      <w:r w:rsidR="000E1C7A" w:rsidRPr="00CA6903">
        <w:t xml:space="preserve"> re-</w:t>
      </w:r>
      <w:r w:rsidR="00D03DE1" w:rsidRPr="00CA6903">
        <w:t>recognition</w:t>
      </w:r>
      <w:r w:rsidRPr="00CA6903">
        <w:t xml:space="preserve"> purposes</w:t>
      </w:r>
      <w:r w:rsidR="00DA7B34">
        <w:t>,</w:t>
      </w:r>
      <w:r w:rsidR="000E1C7A" w:rsidRPr="00CA6903">
        <w:t xml:space="preserve"> </w:t>
      </w:r>
      <w:r w:rsidR="00C91C3C">
        <w:t>EQAP</w:t>
      </w:r>
      <w:r w:rsidR="00992080">
        <w:t xml:space="preserve"> notes that it</w:t>
      </w:r>
      <w:r w:rsidR="00C91C3C">
        <w:t xml:space="preserve"> </w:t>
      </w:r>
      <w:r w:rsidR="000E1C7A" w:rsidRPr="00CA6903">
        <w:t>‘will co-opt the services of relevant panels of experts where necessary, for external quality assurance of accrediting agencies’ and review of qualifications submitted.</w:t>
      </w:r>
      <w:r w:rsidR="000E1C7A" w:rsidRPr="00CA6903">
        <w:rPr>
          <w:rStyle w:val="FootnoteReference"/>
        </w:rPr>
        <w:footnoteReference w:id="25"/>
      </w:r>
      <w:r w:rsidR="00B4418E" w:rsidRPr="00CA6903">
        <w:t xml:space="preserve"> Fiji Higher Education Commission has been the first to request </w:t>
      </w:r>
      <w:r w:rsidR="00100118">
        <w:t>this</w:t>
      </w:r>
      <w:r w:rsidR="00B4418E" w:rsidRPr="00CA6903">
        <w:t xml:space="preserve"> service from the </w:t>
      </w:r>
      <w:r w:rsidR="00C91C3C">
        <w:t>EQAP</w:t>
      </w:r>
      <w:r w:rsidR="00B4418E" w:rsidRPr="00CA6903">
        <w:t xml:space="preserve">. </w:t>
      </w:r>
    </w:p>
    <w:p w14:paraId="6325F210" w14:textId="52C00BD6" w:rsidR="00897687" w:rsidRDefault="00897687" w:rsidP="00BF09CC">
      <w:pPr>
        <w:spacing w:line="240" w:lineRule="auto"/>
      </w:pPr>
      <w:r w:rsidRPr="00CA6903">
        <w:t>Comments from interview</w:t>
      </w:r>
      <w:r w:rsidR="00D03DE1" w:rsidRPr="00CA6903">
        <w:t>ee</w:t>
      </w:r>
      <w:r w:rsidRPr="00CA6903">
        <w:t>s and surveys indicate that there is no clarity of the process for recognition or re-recognition, and templates</w:t>
      </w:r>
      <w:r w:rsidR="00CA6903">
        <w:t xml:space="preserve"> for</w:t>
      </w:r>
      <w:r w:rsidRPr="00CA6903">
        <w:t xml:space="preserve"> assessment not developed</w:t>
      </w:r>
      <w:r w:rsidR="00B44EEF">
        <w:t xml:space="preserve"> or made public</w:t>
      </w:r>
      <w:r w:rsidRPr="00CA6903">
        <w:t>. This has meant that there is no transparency for members</w:t>
      </w:r>
      <w:r w:rsidR="00CA6903">
        <w:t xml:space="preserve"> –</w:t>
      </w:r>
      <w:r w:rsidRPr="00CA6903">
        <w:t xml:space="preserve"> of the process or their obligations as part of the process. </w:t>
      </w:r>
      <w:r w:rsidR="00FF3D0A">
        <w:t>R</w:t>
      </w:r>
      <w:r w:rsidRPr="00CA6903">
        <w:t>egardless of the process</w:t>
      </w:r>
      <w:r w:rsidR="00CA6903">
        <w:t>,</w:t>
      </w:r>
      <w:r w:rsidRPr="00CA6903">
        <w:t xml:space="preserve"> it needs</w:t>
      </w:r>
      <w:r>
        <w:t xml:space="preserve"> to be </w:t>
      </w:r>
      <w:r w:rsidR="00FF3D0A">
        <w:t xml:space="preserve">clearly </w:t>
      </w:r>
      <w:r>
        <w:t xml:space="preserve">documented </w:t>
      </w:r>
      <w:r w:rsidR="00FF3D0A">
        <w:t xml:space="preserve">and well </w:t>
      </w:r>
      <w:r>
        <w:t xml:space="preserve">understood and accepted by all members. </w:t>
      </w:r>
    </w:p>
    <w:p w14:paraId="6A599CAA" w14:textId="1EEFDD41" w:rsidR="000E1C7A" w:rsidRDefault="000E1C7A" w:rsidP="00BF09CC">
      <w:pPr>
        <w:spacing w:line="240" w:lineRule="auto"/>
      </w:pPr>
      <w:r>
        <w:t xml:space="preserve">At the </w:t>
      </w:r>
      <w:r w:rsidR="00E7308A">
        <w:t xml:space="preserve">regional </w:t>
      </w:r>
      <w:r w:rsidR="00D71475">
        <w:t>consultation</w:t>
      </w:r>
      <w:r>
        <w:t xml:space="preserve"> in Nadi (May </w:t>
      </w:r>
      <w:r w:rsidR="00D32376">
        <w:t xml:space="preserve">2016) it was proposed </w:t>
      </w:r>
      <w:r w:rsidR="00D32376" w:rsidRPr="00411CDC">
        <w:t xml:space="preserve">that </w:t>
      </w:r>
      <w:r w:rsidR="002838E0">
        <w:t>the SPC review (2013)</w:t>
      </w:r>
      <w:r w:rsidR="00090E8B">
        <w:t xml:space="preserve"> </w:t>
      </w:r>
      <w:r w:rsidR="002838E0">
        <w:t xml:space="preserve">recommendation </w:t>
      </w:r>
      <w:r w:rsidR="000E28B3">
        <w:t xml:space="preserve">related to </w:t>
      </w:r>
      <w:r w:rsidR="002838E0">
        <w:t>EQAP conducting periodic review</w:t>
      </w:r>
      <w:r w:rsidR="007D26DA">
        <w:t>s</w:t>
      </w:r>
      <w:r w:rsidR="00D32376">
        <w:t xml:space="preserve"> be taken forward. </w:t>
      </w:r>
      <w:r w:rsidR="00411CDC">
        <w:t>A key reason cited was that</w:t>
      </w:r>
      <w:r w:rsidR="00122375">
        <w:t xml:space="preserve"> the acceptance of the information on the PRQS is dependent on:</w:t>
      </w:r>
    </w:p>
    <w:p w14:paraId="7DD8DD6D" w14:textId="08EF9D8B" w:rsidR="00122375" w:rsidRPr="003A3FDA" w:rsidRDefault="00122375" w:rsidP="00456131">
      <w:pPr>
        <w:pStyle w:val="ListParagraph"/>
        <w:numPr>
          <w:ilvl w:val="0"/>
          <w:numId w:val="37"/>
        </w:numPr>
      </w:pPr>
      <w:r w:rsidRPr="003A3FDA">
        <w:t>The accuracy and currency of the data</w:t>
      </w:r>
    </w:p>
    <w:p w14:paraId="21AD1AF3" w14:textId="6DB58F5A" w:rsidR="00122375" w:rsidRPr="003A3FDA" w:rsidRDefault="00122375" w:rsidP="00456131">
      <w:pPr>
        <w:pStyle w:val="ListParagraph"/>
        <w:numPr>
          <w:ilvl w:val="0"/>
          <w:numId w:val="37"/>
        </w:numPr>
      </w:pPr>
      <w:r w:rsidRPr="003A3FDA">
        <w:t>Rigour of quality assurance strategies at the national and institutional levels, including periodic audit of national agencies</w:t>
      </w:r>
    </w:p>
    <w:p w14:paraId="694964BB" w14:textId="50D30E1E" w:rsidR="00122375" w:rsidRPr="003A3FDA" w:rsidRDefault="00122375" w:rsidP="00456131">
      <w:pPr>
        <w:pStyle w:val="ListParagraph"/>
        <w:numPr>
          <w:ilvl w:val="0"/>
          <w:numId w:val="37"/>
        </w:numPr>
      </w:pPr>
      <w:r w:rsidRPr="003A3FDA">
        <w:lastRenderedPageBreak/>
        <w:t>‘Periodic audit of national agencies by EQAP’.</w:t>
      </w:r>
      <w:r w:rsidRPr="003A3FDA">
        <w:rPr>
          <w:rStyle w:val="FootnoteReference"/>
        </w:rPr>
        <w:footnoteReference w:id="26"/>
      </w:r>
    </w:p>
    <w:p w14:paraId="57ED1BF8" w14:textId="2F0DCE28" w:rsidR="009C53C4" w:rsidRDefault="00E20381" w:rsidP="00BF09CC">
      <w:pPr>
        <w:spacing w:line="240" w:lineRule="auto"/>
      </w:pPr>
      <w:r>
        <w:t>The quality assurance</w:t>
      </w:r>
      <w:r w:rsidR="003A3FDA">
        <w:t xml:space="preserve"> approach </w:t>
      </w:r>
      <w:r w:rsidR="00527D57">
        <w:t xml:space="preserve">implies that audit </w:t>
      </w:r>
      <w:r w:rsidR="00061A95">
        <w:t xml:space="preserve">by EQAP </w:t>
      </w:r>
      <w:r w:rsidR="00527D57">
        <w:t xml:space="preserve">is the only measure of assessing the quality assurance of national agencies, </w:t>
      </w:r>
      <w:r w:rsidR="00113AF2">
        <w:t xml:space="preserve">which </w:t>
      </w:r>
      <w:r w:rsidR="00527D57">
        <w:t xml:space="preserve">in itself </w:t>
      </w:r>
      <w:r w:rsidR="003A3FDA">
        <w:t xml:space="preserve">implies that </w:t>
      </w:r>
      <w:r w:rsidR="00411CDC">
        <w:t>the</w:t>
      </w:r>
      <w:r w:rsidR="003A3FDA">
        <w:t xml:space="preserve"> locus of </w:t>
      </w:r>
      <w:r w:rsidR="00411CDC">
        <w:t>control</w:t>
      </w:r>
      <w:r w:rsidR="003A3FDA">
        <w:t xml:space="preserve"> rests with the EQ</w:t>
      </w:r>
      <w:r w:rsidR="00527D57">
        <w:t>AP.</w:t>
      </w:r>
      <w:r w:rsidR="00032D9C">
        <w:t xml:space="preserve"> </w:t>
      </w:r>
      <w:r w:rsidR="00527D57">
        <w:t xml:space="preserve">It is important to consider whether this </w:t>
      </w:r>
      <w:r w:rsidR="00BD46EA">
        <w:t>is the best approach to</w:t>
      </w:r>
      <w:r w:rsidR="00527D57">
        <w:t xml:space="preserve"> engage </w:t>
      </w:r>
      <w:r w:rsidR="007D26DA">
        <w:t xml:space="preserve">member </w:t>
      </w:r>
      <w:r w:rsidR="00061A95">
        <w:t>countries in the regional initiative.</w:t>
      </w:r>
      <w:r w:rsidR="00BD46EA">
        <w:t xml:space="preserve"> </w:t>
      </w:r>
      <w:r w:rsidR="0029715E">
        <w:t xml:space="preserve">There may be other more supportive and evaluative approaches </w:t>
      </w:r>
      <w:r w:rsidR="00411CDC">
        <w:t>to</w:t>
      </w:r>
      <w:r w:rsidR="0029715E">
        <w:t xml:space="preserve"> achieve the same outcome </w:t>
      </w:r>
      <w:r w:rsidR="00DF31A6">
        <w:t xml:space="preserve">and </w:t>
      </w:r>
      <w:r w:rsidR="00411CDC">
        <w:t xml:space="preserve">foster </w:t>
      </w:r>
      <w:r w:rsidR="00DF31A6">
        <w:t xml:space="preserve">engagement of a country </w:t>
      </w:r>
      <w:r w:rsidR="0029715E">
        <w:t xml:space="preserve">in a less confrontational </w:t>
      </w:r>
      <w:r w:rsidR="001373EF">
        <w:t xml:space="preserve">and more constructive </w:t>
      </w:r>
      <w:r w:rsidR="0029715E">
        <w:t xml:space="preserve">manner. </w:t>
      </w:r>
      <w:r w:rsidR="001373EF">
        <w:t xml:space="preserve">For example, </w:t>
      </w:r>
      <w:r w:rsidR="007D26DA">
        <w:t xml:space="preserve">another approach could </w:t>
      </w:r>
      <w:r w:rsidR="0029715E">
        <w:t xml:space="preserve">include discussions and professional conversations with one or more contracted specialists </w:t>
      </w:r>
      <w:r w:rsidR="00FF0775">
        <w:t>(perhaps a panel of 2</w:t>
      </w:r>
      <w:r w:rsidR="00E077C9">
        <w:t>–</w:t>
      </w:r>
      <w:r w:rsidR="00FF0775">
        <w:t>3 specialist</w:t>
      </w:r>
      <w:r w:rsidR="001373EF">
        <w:t>s, at least one of whom is from the Pacific region)</w:t>
      </w:r>
      <w:r w:rsidR="00411CDC">
        <w:t>. This panel</w:t>
      </w:r>
      <w:r w:rsidR="00FF0775">
        <w:t xml:space="preserve"> </w:t>
      </w:r>
      <w:r w:rsidR="00411CDC">
        <w:t>may</w:t>
      </w:r>
      <w:r w:rsidR="0029715E">
        <w:t xml:space="preserve"> recommend </w:t>
      </w:r>
      <w:r w:rsidR="00FF0775">
        <w:t>recognition</w:t>
      </w:r>
      <w:r w:rsidR="00562121">
        <w:t xml:space="preserve"> (or maintenance of recognition)</w:t>
      </w:r>
      <w:r w:rsidR="00E077C9">
        <w:t xml:space="preserve">, or </w:t>
      </w:r>
      <w:r w:rsidR="00FF0775">
        <w:t>not, in which</w:t>
      </w:r>
      <w:r w:rsidR="001373EF">
        <w:t xml:space="preserve"> case, they may recommend what the country or competent body needs to do in order to gain recognition. </w:t>
      </w:r>
      <w:r w:rsidR="009906BA">
        <w:t>Other</w:t>
      </w:r>
      <w:r w:rsidR="009C53C4">
        <w:t xml:space="preserve"> options </w:t>
      </w:r>
      <w:r w:rsidR="002870F5">
        <w:t xml:space="preserve">should be explored </w:t>
      </w:r>
      <w:r w:rsidR="009C53C4">
        <w:t>to quality assur</w:t>
      </w:r>
      <w:r w:rsidR="007D26DA">
        <w:t>e</w:t>
      </w:r>
      <w:r w:rsidR="009C53C4">
        <w:t xml:space="preserve"> agencies other than audit by EQAP. </w:t>
      </w:r>
      <w:r w:rsidR="00C14457">
        <w:t xml:space="preserve">A potential approach is </w:t>
      </w:r>
      <w:r w:rsidR="00411CDC">
        <w:t>included</w:t>
      </w:r>
      <w:r w:rsidR="00C14457">
        <w:t xml:space="preserve"> in the</w:t>
      </w:r>
      <w:r w:rsidR="00726119">
        <w:t xml:space="preserve"> proposed </w:t>
      </w:r>
      <w:r w:rsidR="00C14457">
        <w:t xml:space="preserve">future Pacific model </w:t>
      </w:r>
      <w:r w:rsidR="00E077C9">
        <w:t xml:space="preserve">outlined </w:t>
      </w:r>
      <w:r w:rsidR="00C14457">
        <w:t xml:space="preserve">in </w:t>
      </w:r>
      <w:r w:rsidR="00411CDC">
        <w:t xml:space="preserve">Appendix </w:t>
      </w:r>
      <w:r w:rsidR="00053789">
        <w:t>8</w:t>
      </w:r>
      <w:r w:rsidR="00C14457">
        <w:t xml:space="preserve">. </w:t>
      </w:r>
    </w:p>
    <w:p w14:paraId="338F5324" w14:textId="0FA6BA72" w:rsidR="005774B2" w:rsidRDefault="00621F15" w:rsidP="00BF09CC">
      <w:pPr>
        <w:spacing w:line="240" w:lineRule="auto"/>
      </w:pPr>
      <w:r>
        <w:t>For listing</w:t>
      </w:r>
      <w:r w:rsidR="009906BA">
        <w:t xml:space="preserve"> on the register, </w:t>
      </w:r>
      <w:r w:rsidR="005774B2">
        <w:t xml:space="preserve">qualifications </w:t>
      </w:r>
      <w:r w:rsidR="00324F78">
        <w:t>need to be accredited by a recognised national agency. The P</w:t>
      </w:r>
      <w:r w:rsidR="0067763D">
        <w:t>QAF</w:t>
      </w:r>
      <w:r w:rsidR="00324F78">
        <w:t xml:space="preserve"> outlines the </w:t>
      </w:r>
      <w:r w:rsidR="0067763D">
        <w:t xml:space="preserve">regional </w:t>
      </w:r>
      <w:r w:rsidR="00324F78">
        <w:t xml:space="preserve">minimum standards and guidelines for accreditation of programs </w:t>
      </w:r>
      <w:r w:rsidR="0067763D">
        <w:t xml:space="preserve">undertaken by </w:t>
      </w:r>
      <w:r w:rsidR="00324F78">
        <w:t xml:space="preserve">agencies. </w:t>
      </w:r>
      <w:r w:rsidR="009906BA">
        <w:t xml:space="preserve">National agencies provide </w:t>
      </w:r>
      <w:r w:rsidR="0067763D">
        <w:t xml:space="preserve">to EQAP </w:t>
      </w:r>
      <w:r w:rsidR="009906BA">
        <w:t>t</w:t>
      </w:r>
      <w:r w:rsidR="00324F78">
        <w:t>he information of accredited qualifications on a periodic basis</w:t>
      </w:r>
      <w:r w:rsidR="007D26DA">
        <w:t xml:space="preserve"> to be included on the register</w:t>
      </w:r>
      <w:r w:rsidR="00324F78">
        <w:t xml:space="preserve">. For countries that have undergone an alignment activity of their NQF levels to the PQF levels, and where there is considered to be a close alignment, their qualifications </w:t>
      </w:r>
      <w:r w:rsidR="007D26DA">
        <w:t xml:space="preserve">are </w:t>
      </w:r>
      <w:r w:rsidR="00324F78">
        <w:t>assigned a PQF level.</w:t>
      </w:r>
      <w:r w:rsidR="00324F78">
        <w:rPr>
          <w:rStyle w:val="FootnoteReference"/>
        </w:rPr>
        <w:footnoteReference w:id="27"/>
      </w:r>
      <w:r w:rsidR="00324F78" w:rsidRPr="00324F78">
        <w:t xml:space="preserve"> </w:t>
      </w:r>
      <w:r w:rsidR="00324F78">
        <w:t xml:space="preserve">The information provided by agencies </w:t>
      </w:r>
      <w:r w:rsidR="00007F47">
        <w:t>is only skeletal</w:t>
      </w:r>
      <w:r w:rsidR="00324F78">
        <w:t xml:space="preserve"> and would not enable </w:t>
      </w:r>
      <w:r w:rsidR="0067763D">
        <w:t xml:space="preserve">EQAP </w:t>
      </w:r>
      <w:r w:rsidR="00324F78">
        <w:t xml:space="preserve">to quality assure the </w:t>
      </w:r>
      <w:r w:rsidR="009906BA">
        <w:t xml:space="preserve">national agency </w:t>
      </w:r>
      <w:r w:rsidR="00324F78">
        <w:t xml:space="preserve">accreditation processes or to ensure that </w:t>
      </w:r>
      <w:r w:rsidR="006E36CB">
        <w:t xml:space="preserve">the </w:t>
      </w:r>
      <w:r w:rsidR="00324F78">
        <w:t>PQF level assigned is accurate.</w:t>
      </w:r>
    </w:p>
    <w:p w14:paraId="33B4BC47" w14:textId="076F1411" w:rsidR="00DD65EF" w:rsidRDefault="00695BB7" w:rsidP="00BF09CC">
      <w:pPr>
        <w:spacing w:line="240" w:lineRule="auto"/>
      </w:pPr>
      <w:r>
        <w:t xml:space="preserve">The alignment </w:t>
      </w:r>
      <w:r w:rsidR="00C0285A">
        <w:t>of Pacific NQFs to the PQF</w:t>
      </w:r>
      <w:r>
        <w:t xml:space="preserve"> is called ‘referencing’ or ‘technical referencing’ of the levels</w:t>
      </w:r>
      <w:r w:rsidR="00E077C9">
        <w:t>;</w:t>
      </w:r>
      <w:r>
        <w:t xml:space="preserve"> however</w:t>
      </w:r>
      <w:r w:rsidR="00E077C9">
        <w:t>,</w:t>
      </w:r>
      <w:r>
        <w:t xml:space="preserve"> the process is more about alignment </w:t>
      </w:r>
      <w:r w:rsidR="0094610F">
        <w:t xml:space="preserve">or benchmarking of the levels </w:t>
      </w:r>
      <w:r>
        <w:t xml:space="preserve">rather than </w:t>
      </w:r>
      <w:r w:rsidR="00860ECA">
        <w:t>what</w:t>
      </w:r>
      <w:r>
        <w:t xml:space="preserve"> is </w:t>
      </w:r>
      <w:r w:rsidR="001C353E">
        <w:t xml:space="preserve">internationally </w:t>
      </w:r>
      <w:r>
        <w:t>understood</w:t>
      </w:r>
      <w:r w:rsidR="00723B3C">
        <w:t xml:space="preserve"> </w:t>
      </w:r>
      <w:r w:rsidR="00CD4A1E">
        <w:t xml:space="preserve">(e.g. within the EQF processes) </w:t>
      </w:r>
      <w:r>
        <w:t xml:space="preserve">as referencing. </w:t>
      </w:r>
      <w:r w:rsidR="00860ECA">
        <w:t>The PQF document</w:t>
      </w:r>
      <w:r w:rsidR="00860ECA">
        <w:rPr>
          <w:rStyle w:val="FootnoteReference"/>
        </w:rPr>
        <w:footnoteReference w:id="28"/>
      </w:r>
      <w:r w:rsidR="00860ECA">
        <w:t xml:space="preserve"> notes that the alignment </w:t>
      </w:r>
      <w:r w:rsidR="006A24C0">
        <w:t xml:space="preserve">or benchmarking </w:t>
      </w:r>
      <w:r w:rsidR="00860ECA">
        <w:t xml:space="preserve">of levels is undertaken, </w:t>
      </w:r>
      <w:r w:rsidR="001C353E">
        <w:t>and includes</w:t>
      </w:r>
      <w:r w:rsidR="00860ECA">
        <w:t xml:space="preserve"> </w:t>
      </w:r>
      <w:r w:rsidR="002131AB">
        <w:t xml:space="preserve">benchmarking </w:t>
      </w:r>
      <w:r w:rsidR="00860ECA">
        <w:t xml:space="preserve">NQF qualification types with </w:t>
      </w:r>
      <w:r w:rsidR="00CD4A1E">
        <w:t xml:space="preserve">PQF </w:t>
      </w:r>
      <w:r w:rsidR="00860ECA">
        <w:t xml:space="preserve">qualifications types. </w:t>
      </w:r>
      <w:r w:rsidR="0052690A">
        <w:t>There</w:t>
      </w:r>
      <w:r w:rsidR="00860ECA">
        <w:t xml:space="preserve"> appears to be confusion with</w:t>
      </w:r>
      <w:r w:rsidR="00CD4A1E">
        <w:t xml:space="preserve"> the </w:t>
      </w:r>
      <w:r w:rsidR="007D26DA">
        <w:t xml:space="preserve">design </w:t>
      </w:r>
      <w:r w:rsidR="00CD4A1E">
        <w:t>of</w:t>
      </w:r>
      <w:r w:rsidR="00860ECA">
        <w:t xml:space="preserve"> the PQF as a meta framework and the PQF </w:t>
      </w:r>
      <w:r w:rsidR="001C353E">
        <w:t>as</w:t>
      </w:r>
      <w:r w:rsidR="00860ECA">
        <w:t xml:space="preserve"> a NQF. The register itself does not include an opportunity to note a PQF qualification </w:t>
      </w:r>
      <w:r w:rsidR="007D26DA">
        <w:t xml:space="preserve">type </w:t>
      </w:r>
      <w:r w:rsidR="00860ECA">
        <w:t>outcome – only a</w:t>
      </w:r>
      <w:r w:rsidR="003A588E">
        <w:t xml:space="preserve"> PQF</w:t>
      </w:r>
      <w:r w:rsidR="00860ECA">
        <w:t xml:space="preserve"> level outcome, so the reason for the inclusion of this </w:t>
      </w:r>
      <w:r w:rsidR="00CD4A1E">
        <w:t xml:space="preserve">level </w:t>
      </w:r>
      <w:r w:rsidR="00860ECA">
        <w:t xml:space="preserve">of scrutiny </w:t>
      </w:r>
      <w:r w:rsidR="001C353E">
        <w:t>is not clear</w:t>
      </w:r>
      <w:r w:rsidR="00860ECA">
        <w:t xml:space="preserve">. </w:t>
      </w:r>
      <w:r w:rsidR="00FF3D0A">
        <w:t>T</w:t>
      </w:r>
      <w:r w:rsidR="009C53C4">
        <w:t xml:space="preserve">here </w:t>
      </w:r>
      <w:r w:rsidR="00F16707">
        <w:t xml:space="preserve">needs to </w:t>
      </w:r>
      <w:r w:rsidR="009C53C4">
        <w:t xml:space="preserve">be greater distinction between </w:t>
      </w:r>
      <w:r w:rsidR="009C53C4" w:rsidRPr="00F97D23">
        <w:rPr>
          <w:i/>
        </w:rPr>
        <w:t>what is</w:t>
      </w:r>
      <w:r w:rsidR="009C53C4">
        <w:t xml:space="preserve"> the PQF as a meta framework</w:t>
      </w:r>
      <w:r w:rsidR="00F97D23">
        <w:t>,</w:t>
      </w:r>
      <w:r w:rsidR="009C53C4">
        <w:t xml:space="preserve"> and </w:t>
      </w:r>
      <w:r w:rsidR="00AE720F" w:rsidRPr="00F97D23">
        <w:rPr>
          <w:i/>
        </w:rPr>
        <w:t>what is</w:t>
      </w:r>
      <w:r w:rsidR="00C14457">
        <w:t xml:space="preserve"> </w:t>
      </w:r>
      <w:r w:rsidR="009C53C4">
        <w:t xml:space="preserve">the PQF to be utilised by countries for NQF purposes. These functions </w:t>
      </w:r>
      <w:r w:rsidR="00C14457">
        <w:t xml:space="preserve">and structures </w:t>
      </w:r>
      <w:r w:rsidR="009C53C4">
        <w:t xml:space="preserve">should not be confused. </w:t>
      </w:r>
    </w:p>
    <w:p w14:paraId="1F4244AA" w14:textId="035AE706" w:rsidR="00247988" w:rsidRPr="00331CC5" w:rsidRDefault="00331CC5" w:rsidP="00331CC5">
      <w:pPr>
        <w:pStyle w:val="Heading2"/>
        <w:rPr>
          <w:color w:val="95050F"/>
        </w:rPr>
      </w:pPr>
      <w:bookmarkStart w:id="31" w:name="_Toc458938577"/>
      <w:bookmarkStart w:id="32" w:name="_Toc462755556"/>
      <w:r w:rsidRPr="00331CC5">
        <w:rPr>
          <w:color w:val="95050F"/>
        </w:rPr>
        <w:t>2</w:t>
      </w:r>
      <w:r w:rsidR="005045FF" w:rsidRPr="00331CC5">
        <w:rPr>
          <w:color w:val="95050F"/>
        </w:rPr>
        <w:t xml:space="preserve">.3 </w:t>
      </w:r>
      <w:r w:rsidR="00B4030B" w:rsidRPr="00331CC5">
        <w:rPr>
          <w:color w:val="95050F"/>
        </w:rPr>
        <w:t>Implementation of the PRQS</w:t>
      </w:r>
      <w:bookmarkEnd w:id="31"/>
      <w:bookmarkEnd w:id="32"/>
    </w:p>
    <w:p w14:paraId="704E73A7" w14:textId="6FA01EC1" w:rsidR="00D62701" w:rsidRDefault="00D62701" w:rsidP="00BF09CC">
      <w:pPr>
        <w:spacing w:line="240" w:lineRule="auto"/>
      </w:pPr>
      <w:r>
        <w:t>The PRQS model is based on the premise that entries (e.g. agencies and qualifications) on the register are quality assured at a regional level. Underpinning this approach was th</w:t>
      </w:r>
      <w:r w:rsidR="00766E21">
        <w:t>e assumption th</w:t>
      </w:r>
      <w:r>
        <w:t xml:space="preserve">at this register would </w:t>
      </w:r>
      <w:r w:rsidR="00766E21">
        <w:t>support benchmarking and recognition processes</w:t>
      </w:r>
      <w:r w:rsidR="00766E21" w:rsidRPr="00766E21">
        <w:t xml:space="preserve"> </w:t>
      </w:r>
      <w:r w:rsidR="00766E21">
        <w:t xml:space="preserve">and hence </w:t>
      </w:r>
      <w:r w:rsidR="008A259F">
        <w:t xml:space="preserve">facilitate </w:t>
      </w:r>
      <w:r w:rsidR="00766E21">
        <w:t xml:space="preserve">learner and labour mobility. </w:t>
      </w:r>
    </w:p>
    <w:p w14:paraId="74D19A51" w14:textId="77777777" w:rsidR="0009150E" w:rsidRDefault="0009150E" w:rsidP="00C35EB4">
      <w:pPr>
        <w:pStyle w:val="PacHead3"/>
      </w:pPr>
      <w:r w:rsidRPr="001B3EC7">
        <w:t>Agencies</w:t>
      </w:r>
      <w:r w:rsidRPr="00D23BD2">
        <w:t xml:space="preserve"> </w:t>
      </w:r>
    </w:p>
    <w:p w14:paraId="6986648A" w14:textId="7307D2E3" w:rsidR="00DF5C05" w:rsidRDefault="00366106" w:rsidP="00BF09CC">
      <w:pPr>
        <w:spacing w:line="240" w:lineRule="auto"/>
      </w:pPr>
      <w:r>
        <w:t xml:space="preserve">The PRQS project did not become operational </w:t>
      </w:r>
      <w:r w:rsidR="00A454A9">
        <w:t xml:space="preserve">until </w:t>
      </w:r>
      <w:r w:rsidR="00DF5C05">
        <w:t>early 2009 and since that time</w:t>
      </w:r>
      <w:r w:rsidR="009906BA">
        <w:t>,</w:t>
      </w:r>
      <w:r w:rsidR="00DF5C05">
        <w:t xml:space="preserve"> </w:t>
      </w:r>
      <w:r w:rsidR="003E4C2B">
        <w:t>six</w:t>
      </w:r>
      <w:r w:rsidR="00DF5C05">
        <w:t xml:space="preserve"> </w:t>
      </w:r>
      <w:r w:rsidR="00534AF9">
        <w:t xml:space="preserve">Pacific island </w:t>
      </w:r>
      <w:r w:rsidR="00DF5C05">
        <w:t xml:space="preserve">countries have moved to develop national qualifications frameworks, with </w:t>
      </w:r>
      <w:r w:rsidR="003E4C2B">
        <w:t>four</w:t>
      </w:r>
      <w:r w:rsidR="00DF5C05">
        <w:t xml:space="preserve"> being endorsed and </w:t>
      </w:r>
      <w:r w:rsidR="007A6CC9">
        <w:t>implemented</w:t>
      </w:r>
      <w:r w:rsidR="00DF5C05">
        <w:t xml:space="preserve">. This </w:t>
      </w:r>
      <w:r w:rsidR="004F3725">
        <w:t>progress</w:t>
      </w:r>
      <w:r w:rsidR="00DF5C05">
        <w:t xml:space="preserve"> in </w:t>
      </w:r>
      <w:r w:rsidR="004F3725">
        <w:t xml:space="preserve">establishing </w:t>
      </w:r>
      <w:r w:rsidR="00DF5C05">
        <w:t xml:space="preserve">NQFs is similar to international trends and in part could be </w:t>
      </w:r>
      <w:r w:rsidR="00DF5C05" w:rsidRPr="00A93BF4">
        <w:t xml:space="preserve">attributed to </w:t>
      </w:r>
      <w:r w:rsidR="00A454A9" w:rsidRPr="00A93BF4">
        <w:t xml:space="preserve">regional </w:t>
      </w:r>
      <w:r w:rsidR="00DF5C05" w:rsidRPr="00A93BF4">
        <w:t xml:space="preserve">discussions and the establishment of the PRQS. </w:t>
      </w:r>
    </w:p>
    <w:p w14:paraId="18A510D8" w14:textId="2C18AC49" w:rsidR="00402454" w:rsidRDefault="002A5153" w:rsidP="00BF09CC">
      <w:pPr>
        <w:spacing w:line="240" w:lineRule="auto"/>
      </w:pPr>
      <w:r>
        <w:t xml:space="preserve">The PRQS lists </w:t>
      </w:r>
      <w:r w:rsidR="003E4C2B">
        <w:t>six</w:t>
      </w:r>
      <w:r>
        <w:t xml:space="preserve"> national agencies</w:t>
      </w:r>
      <w:r w:rsidR="00127EAC">
        <w:t>,</w:t>
      </w:r>
      <w:r w:rsidR="003E4C2B">
        <w:t xml:space="preserve"> </w:t>
      </w:r>
      <w:r>
        <w:t xml:space="preserve">the </w:t>
      </w:r>
      <w:r w:rsidRPr="007D1539">
        <w:t>Western Association of Schools and Colle</w:t>
      </w:r>
      <w:r>
        <w:t xml:space="preserve">ges (WASC) of the United States, </w:t>
      </w:r>
      <w:r w:rsidR="00BF6671">
        <w:t xml:space="preserve">and </w:t>
      </w:r>
      <w:r>
        <w:t>two sectoral accrediting agencies</w:t>
      </w:r>
      <w:r w:rsidR="00F97D23">
        <w:t xml:space="preserve"> (</w:t>
      </w:r>
      <w:r>
        <w:t>Th</w:t>
      </w:r>
      <w:r w:rsidRPr="007D1539">
        <w:t>eological education: South Pacific Association of Theological Schools</w:t>
      </w:r>
      <w:r>
        <w:t xml:space="preserve">, and </w:t>
      </w:r>
      <w:r w:rsidRPr="007D1539">
        <w:t>Maritime Training: SPC’s Transport Programme (Economic Development Division)</w:t>
      </w:r>
      <w:r w:rsidR="00F97D23">
        <w:t>)</w:t>
      </w:r>
      <w:r>
        <w:t xml:space="preserve">. </w:t>
      </w:r>
      <w:r w:rsidR="00DB01CE">
        <w:t>The</w:t>
      </w:r>
      <w:r w:rsidR="00163BDF">
        <w:t xml:space="preserve"> </w:t>
      </w:r>
      <w:r w:rsidR="00292264" w:rsidRPr="00A93BF4">
        <w:t xml:space="preserve">inclusion of </w:t>
      </w:r>
      <w:r w:rsidR="00526B1F">
        <w:t xml:space="preserve">sectoral </w:t>
      </w:r>
      <w:r w:rsidR="00292264" w:rsidRPr="00A93BF4">
        <w:t xml:space="preserve">agencies may pose a level of risk that has not yet been </w:t>
      </w:r>
      <w:r w:rsidR="00271773">
        <w:t>recognised</w:t>
      </w:r>
      <w:r w:rsidR="00292264" w:rsidRPr="00A93BF4">
        <w:t xml:space="preserve">. The </w:t>
      </w:r>
      <w:r w:rsidR="00292264" w:rsidRPr="00A93BF4">
        <w:lastRenderedPageBreak/>
        <w:t xml:space="preserve">inclusion of </w:t>
      </w:r>
      <w:r w:rsidR="00D12C65">
        <w:t>these alternative</w:t>
      </w:r>
      <w:r w:rsidR="00D12C65" w:rsidRPr="00A93BF4">
        <w:t xml:space="preserve"> </w:t>
      </w:r>
      <w:r w:rsidR="00402454">
        <w:t>non</w:t>
      </w:r>
      <w:r w:rsidR="003E4C2B">
        <w:t>-</w:t>
      </w:r>
      <w:r w:rsidR="00402454">
        <w:t>national competent bodies</w:t>
      </w:r>
      <w:r w:rsidR="00292264" w:rsidRPr="00A93BF4">
        <w:t xml:space="preserve"> raises the opportunity for providers </w:t>
      </w:r>
      <w:r w:rsidR="00402454">
        <w:t xml:space="preserve">and their qualifications </w:t>
      </w:r>
      <w:r w:rsidR="00292264" w:rsidRPr="00A93BF4">
        <w:t xml:space="preserve">to </w:t>
      </w:r>
      <w:r w:rsidR="00402454">
        <w:t xml:space="preserve">potentially </w:t>
      </w:r>
      <w:r w:rsidR="00292264" w:rsidRPr="00A93BF4">
        <w:t xml:space="preserve">circumvent national </w:t>
      </w:r>
      <w:r w:rsidR="00402454">
        <w:t>quality assurance processes</w:t>
      </w:r>
      <w:r w:rsidR="00292264" w:rsidRPr="00A93BF4">
        <w:t xml:space="preserve"> and be</w:t>
      </w:r>
      <w:r w:rsidR="00A10242">
        <w:t>come</w:t>
      </w:r>
      <w:r w:rsidR="00292264" w:rsidRPr="00A93BF4">
        <w:t xml:space="preserve"> registered</w:t>
      </w:r>
      <w:r w:rsidR="00402454">
        <w:t>/accredited</w:t>
      </w:r>
      <w:r w:rsidR="00292264" w:rsidRPr="00A93BF4">
        <w:t xml:space="preserve"> on the </w:t>
      </w:r>
      <w:r w:rsidR="00A93BF4" w:rsidRPr="00A93BF4">
        <w:t>PRQS</w:t>
      </w:r>
      <w:r w:rsidR="00292264" w:rsidRPr="00A93BF4">
        <w:t xml:space="preserve">. This raises </w:t>
      </w:r>
      <w:r w:rsidR="00597320">
        <w:t>the</w:t>
      </w:r>
      <w:r w:rsidR="00292264" w:rsidRPr="00A93BF4">
        <w:t xml:space="preserve"> i</w:t>
      </w:r>
      <w:r w:rsidR="00597320">
        <w:t>ssue</w:t>
      </w:r>
      <w:r w:rsidR="00292264" w:rsidRPr="00A93BF4">
        <w:t xml:space="preserve"> </w:t>
      </w:r>
      <w:r w:rsidR="00597320">
        <w:t>of</w:t>
      </w:r>
      <w:r w:rsidR="00292264" w:rsidRPr="00A93BF4">
        <w:t xml:space="preserve"> jurisdiction and </w:t>
      </w:r>
      <w:r w:rsidR="00DE58F5">
        <w:t>authority</w:t>
      </w:r>
      <w:r w:rsidR="00DE58F5" w:rsidRPr="00A93BF4">
        <w:t xml:space="preserve"> </w:t>
      </w:r>
      <w:r w:rsidR="00292264" w:rsidRPr="00A93BF4">
        <w:t xml:space="preserve">to legally </w:t>
      </w:r>
      <w:r w:rsidR="0067763D">
        <w:t>accredit</w:t>
      </w:r>
      <w:r w:rsidR="00292264" w:rsidRPr="00A93BF4">
        <w:t xml:space="preserve"> qualifications and </w:t>
      </w:r>
      <w:r w:rsidR="0067763D">
        <w:t xml:space="preserve">register </w:t>
      </w:r>
      <w:r w:rsidR="00292264" w:rsidRPr="00A93BF4">
        <w:t xml:space="preserve">providers across borders. </w:t>
      </w:r>
    </w:p>
    <w:p w14:paraId="045D45CD" w14:textId="22FFE1F2" w:rsidR="00292264" w:rsidRDefault="00FF3D0A" w:rsidP="00BF09CC">
      <w:pPr>
        <w:spacing w:line="240" w:lineRule="auto"/>
      </w:pPr>
      <w:r>
        <w:t>The</w:t>
      </w:r>
      <w:r w:rsidR="00292264" w:rsidRPr="00A93BF4">
        <w:t xml:space="preserve"> </w:t>
      </w:r>
      <w:r w:rsidR="0067763D">
        <w:t>EQAP</w:t>
      </w:r>
      <w:r w:rsidR="007A6CC9" w:rsidRPr="00A93BF4">
        <w:t xml:space="preserve"> </w:t>
      </w:r>
      <w:r w:rsidR="00292264" w:rsidRPr="00A93BF4">
        <w:t xml:space="preserve">should work closely with each </w:t>
      </w:r>
      <w:r w:rsidR="004723B1">
        <w:t xml:space="preserve">national </w:t>
      </w:r>
      <w:r w:rsidR="00A93BF4" w:rsidRPr="00A93BF4">
        <w:t xml:space="preserve">competent body </w:t>
      </w:r>
      <w:r w:rsidR="007B33CD">
        <w:t xml:space="preserve">to </w:t>
      </w:r>
      <w:r w:rsidR="00D12C65">
        <w:t xml:space="preserve">develop policy guidelines for the inclusion </w:t>
      </w:r>
      <w:r w:rsidR="00292264" w:rsidRPr="00A93BF4">
        <w:t xml:space="preserve">of </w:t>
      </w:r>
      <w:r w:rsidR="00D12C65">
        <w:t>sectoral</w:t>
      </w:r>
      <w:r w:rsidR="00D12C65" w:rsidRPr="00A93BF4">
        <w:t xml:space="preserve"> </w:t>
      </w:r>
      <w:r w:rsidR="00292264" w:rsidRPr="00A93BF4">
        <w:t>agencies</w:t>
      </w:r>
      <w:r w:rsidR="00A93BF4" w:rsidRPr="00A93BF4">
        <w:t xml:space="preserve"> on the PRQS and </w:t>
      </w:r>
      <w:r w:rsidR="00271773">
        <w:t xml:space="preserve">to facilitate </w:t>
      </w:r>
      <w:r w:rsidR="00A93BF4" w:rsidRPr="00A93BF4">
        <w:t xml:space="preserve">individual arrangements </w:t>
      </w:r>
      <w:r w:rsidR="002838E0">
        <w:t>between</w:t>
      </w:r>
      <w:r w:rsidR="002838E0" w:rsidRPr="00A93BF4">
        <w:t xml:space="preserve"> </w:t>
      </w:r>
      <w:r w:rsidR="00A93BF4" w:rsidRPr="00A93BF4">
        <w:t xml:space="preserve">national competent bodies </w:t>
      </w:r>
      <w:r w:rsidR="002838E0">
        <w:t>and</w:t>
      </w:r>
      <w:r w:rsidR="00597320">
        <w:t xml:space="preserve"> the non</w:t>
      </w:r>
      <w:r w:rsidR="003E4C2B">
        <w:t>-</w:t>
      </w:r>
      <w:r w:rsidR="00597320">
        <w:t>national agency</w:t>
      </w:r>
      <w:r w:rsidR="00292264" w:rsidRPr="00A93BF4">
        <w:t>.</w:t>
      </w:r>
      <w:r w:rsidR="00292264">
        <w:t xml:space="preserve"> </w:t>
      </w:r>
    </w:p>
    <w:p w14:paraId="60303E42" w14:textId="77777777" w:rsidR="00B33A02" w:rsidRPr="00D81C63" w:rsidRDefault="00B33A02" w:rsidP="00C35EB4">
      <w:pPr>
        <w:pStyle w:val="PacHead3"/>
      </w:pPr>
      <w:r w:rsidRPr="00D81C63">
        <w:t>Qualifications domain</w:t>
      </w:r>
    </w:p>
    <w:p w14:paraId="14525A15" w14:textId="4E43E04B" w:rsidR="00733C37" w:rsidRDefault="00105F27" w:rsidP="00BF09CC">
      <w:pPr>
        <w:spacing w:line="240" w:lineRule="auto"/>
      </w:pPr>
      <w:r>
        <w:t xml:space="preserve">The qualifications register includes 124 qualifications with </w:t>
      </w:r>
      <w:r w:rsidRPr="0093034F">
        <w:rPr>
          <w:b/>
        </w:rPr>
        <w:t>duplication of qualifications</w:t>
      </w:r>
      <w:r w:rsidRPr="00070B59">
        <w:t xml:space="preserve"> at a similar level in </w:t>
      </w:r>
      <w:r w:rsidR="00C91C3C">
        <w:t>similar</w:t>
      </w:r>
      <w:r w:rsidRPr="00070B59">
        <w:t xml:space="preserve"> sectors</w:t>
      </w:r>
      <w:r w:rsidR="003E4C2B">
        <w:t>,</w:t>
      </w:r>
      <w:r w:rsidRPr="00070B59">
        <w:t xml:space="preserve"> including agriculture, automotive, carpentry, cookery, electrical engineering, fabrication and welding, fitting and machining, heating and air conditioning, plumbing, and tourism and hospitality.</w:t>
      </w:r>
      <w:r w:rsidR="00964F33">
        <w:rPr>
          <w:rStyle w:val="FootnoteReference"/>
        </w:rPr>
        <w:footnoteReference w:id="29"/>
      </w:r>
      <w:r w:rsidRPr="00070B59">
        <w:t xml:space="preserve"> Duplication of qualifications raises the question as to whether benefits could be gained by </w:t>
      </w:r>
      <w:r w:rsidR="00766E21">
        <w:t xml:space="preserve">benchmarking similar national qualifications, or for </w:t>
      </w:r>
      <w:r w:rsidRPr="00070B59">
        <w:t>sharing national qualifications (i.e. those that belong to the country as opposed to those developed by individual providers)</w:t>
      </w:r>
      <w:r w:rsidR="00766E21">
        <w:t>,</w:t>
      </w:r>
      <w:r w:rsidR="00733C37">
        <w:t xml:space="preserve"> </w:t>
      </w:r>
      <w:r w:rsidR="00526B1F">
        <w:t xml:space="preserve">or to develop regional (shared) qualifications </w:t>
      </w:r>
      <w:r w:rsidR="00733C37">
        <w:t xml:space="preserve">to minimise effort </w:t>
      </w:r>
      <w:r w:rsidR="00E23434">
        <w:t>in</w:t>
      </w:r>
      <w:r w:rsidR="00526B1F">
        <w:t xml:space="preserve"> </w:t>
      </w:r>
      <w:r w:rsidR="00733C37">
        <w:t>emerging qualifications systems</w:t>
      </w:r>
      <w:r w:rsidRPr="00070B59">
        <w:t xml:space="preserve">. </w:t>
      </w:r>
    </w:p>
    <w:p w14:paraId="0DB44A5A" w14:textId="35B348A4" w:rsidR="00105F27" w:rsidRDefault="00105F27" w:rsidP="00BF09CC">
      <w:pPr>
        <w:spacing w:line="240" w:lineRule="auto"/>
      </w:pPr>
      <w:r w:rsidRPr="00070B59">
        <w:t xml:space="preserve">The details on the </w:t>
      </w:r>
      <w:r w:rsidR="00597320">
        <w:t>register,</w:t>
      </w:r>
      <w:r w:rsidRPr="00070B59">
        <w:t xml:space="preserve"> at the public access level</w:t>
      </w:r>
      <w:r w:rsidR="00597320">
        <w:t>,</w:t>
      </w:r>
      <w:r w:rsidRPr="00070B59">
        <w:t xml:space="preserve"> include name of qualification, code, accrediting agency, PQF level, country and ownership. The</w:t>
      </w:r>
      <w:r w:rsidR="008D605C">
        <w:t>re</w:t>
      </w:r>
      <w:r w:rsidRPr="00070B59">
        <w:t xml:space="preserve"> are </w:t>
      </w:r>
      <w:r w:rsidRPr="0093034F">
        <w:rPr>
          <w:b/>
        </w:rPr>
        <w:t>insufficient details</w:t>
      </w:r>
      <w:r w:rsidRPr="00070B59">
        <w:t xml:space="preserve"> to provide external viewers an overview of the qualification, components and qualification outcomes</w:t>
      </w:r>
      <w:r w:rsidR="0017211C">
        <w:t xml:space="preserve">, or </w:t>
      </w:r>
      <w:r w:rsidR="008D605C">
        <w:t xml:space="preserve">to </w:t>
      </w:r>
      <w:r w:rsidR="0017211C">
        <w:t xml:space="preserve">enable countries </w:t>
      </w:r>
      <w:r w:rsidR="008D605C">
        <w:t xml:space="preserve">(either internal or external to the region) </w:t>
      </w:r>
      <w:r w:rsidR="0017211C">
        <w:t>to benchmark their qualifications against similar entries on the register</w:t>
      </w:r>
      <w:r w:rsidRPr="00070B59">
        <w:t xml:space="preserve">. </w:t>
      </w:r>
    </w:p>
    <w:p w14:paraId="7E8C71F2" w14:textId="603EF958" w:rsidR="00070B59" w:rsidRPr="00070B59" w:rsidRDefault="00070B59" w:rsidP="00BF09CC">
      <w:pPr>
        <w:spacing w:line="240" w:lineRule="auto"/>
      </w:pPr>
      <w:r w:rsidRPr="00070B59">
        <w:t xml:space="preserve">The </w:t>
      </w:r>
      <w:r w:rsidRPr="0093034F">
        <w:rPr>
          <w:b/>
        </w:rPr>
        <w:t xml:space="preserve">domain does not </w:t>
      </w:r>
      <w:r w:rsidR="00733C37" w:rsidRPr="0093034F">
        <w:rPr>
          <w:b/>
        </w:rPr>
        <w:t>include accredited programs that may be less than a qualification</w:t>
      </w:r>
      <w:r w:rsidR="008C2740">
        <w:t>,</w:t>
      </w:r>
      <w:r w:rsidR="00ED2AD7">
        <w:t xml:space="preserve"> </w:t>
      </w:r>
      <w:r w:rsidR="00526B1F">
        <w:t xml:space="preserve">those that </w:t>
      </w:r>
      <w:r w:rsidR="00ED2AD7">
        <w:t xml:space="preserve">do not meet the requirements of a </w:t>
      </w:r>
      <w:r w:rsidR="00D12C65">
        <w:t xml:space="preserve">complete </w:t>
      </w:r>
      <w:r w:rsidR="00ED2AD7">
        <w:t>qualification outcome</w:t>
      </w:r>
      <w:r w:rsidR="00733C37">
        <w:t xml:space="preserve">. In some instances, countries may accredit programs that are less than a qualification </w:t>
      </w:r>
      <w:r w:rsidR="008C2740">
        <w:t>(</w:t>
      </w:r>
      <w:r w:rsidR="00733C37">
        <w:t>e.g. short courses</w:t>
      </w:r>
      <w:r w:rsidR="008C2740">
        <w:t>)</w:t>
      </w:r>
      <w:r w:rsidR="00733C37">
        <w:t>, or approve ‘skill sets’ that have a sub-occupational outcome.</w:t>
      </w:r>
      <w:r w:rsidR="00733C37">
        <w:rPr>
          <w:rStyle w:val="FootnoteReference"/>
        </w:rPr>
        <w:footnoteReference w:id="30"/>
      </w:r>
      <w:r w:rsidR="00733C37">
        <w:t xml:space="preserve"> Opportunities for </w:t>
      </w:r>
      <w:r w:rsidR="00E31F91">
        <w:t xml:space="preserve">inclusion </w:t>
      </w:r>
      <w:r w:rsidR="00ED2AD7">
        <w:t xml:space="preserve">of these </w:t>
      </w:r>
      <w:r w:rsidR="00526B1F">
        <w:t xml:space="preserve">programs </w:t>
      </w:r>
      <w:r w:rsidR="00E31F91">
        <w:t xml:space="preserve">does not have any inherent risks </w:t>
      </w:r>
      <w:r w:rsidR="00ED2AD7">
        <w:t>as</w:t>
      </w:r>
      <w:r w:rsidR="00E31F91">
        <w:t xml:space="preserve"> the register only notes the PQF level of the program outcome </w:t>
      </w:r>
      <w:r w:rsidR="0020205E">
        <w:t>(</w:t>
      </w:r>
      <w:r w:rsidR="00E31F91">
        <w:t>not a PQF qualification outcome</w:t>
      </w:r>
      <w:r w:rsidR="0020205E">
        <w:t>) and should be encouraged</w:t>
      </w:r>
      <w:r w:rsidR="00E31F91">
        <w:t xml:space="preserve">. </w:t>
      </w:r>
    </w:p>
    <w:p w14:paraId="29A7F6A8" w14:textId="7139C1E5" w:rsidR="00B33A02" w:rsidRPr="00B33A02" w:rsidRDefault="00B33A02" w:rsidP="00C35EB4">
      <w:pPr>
        <w:pStyle w:val="PacHead3"/>
      </w:pPr>
      <w:r w:rsidRPr="002636C3">
        <w:t>Professional licensing and occupational standards</w:t>
      </w:r>
      <w:r w:rsidR="00584136">
        <w:t xml:space="preserve"> domain</w:t>
      </w:r>
    </w:p>
    <w:p w14:paraId="25FAEF79" w14:textId="2ADABCAA" w:rsidR="0077173E" w:rsidRDefault="00F07986" w:rsidP="00BF09CC">
      <w:pPr>
        <w:spacing w:line="240" w:lineRule="auto"/>
      </w:pPr>
      <w:r>
        <w:t>A review of the PRQS progress reports indicates that the ‘</w:t>
      </w:r>
      <w:r w:rsidR="00B33A02">
        <w:t>accredi</w:t>
      </w:r>
      <w:r>
        <w:t>ted qualifications’</w:t>
      </w:r>
      <w:r w:rsidR="00B33A02">
        <w:t xml:space="preserve"> domain dominated the activities from 2009 to 2013, </w:t>
      </w:r>
      <w:r>
        <w:t xml:space="preserve">and that activities </w:t>
      </w:r>
      <w:r w:rsidR="00B36E4B">
        <w:t xml:space="preserve">within this domain </w:t>
      </w:r>
      <w:r>
        <w:t>were d</w:t>
      </w:r>
      <w:r w:rsidR="0077173E">
        <w:t xml:space="preserve">eferred due to </w:t>
      </w:r>
      <w:r w:rsidR="008C5813">
        <w:t xml:space="preserve">a </w:t>
      </w:r>
      <w:r w:rsidR="0077173E">
        <w:t xml:space="preserve">focus on </w:t>
      </w:r>
      <w:r>
        <w:t>qualifications</w:t>
      </w:r>
      <w:r w:rsidR="0077173E">
        <w:t xml:space="preserve"> and </w:t>
      </w:r>
      <w:r>
        <w:t>qualifications frameworks</w:t>
      </w:r>
      <w:r w:rsidR="001323E2">
        <w:t>.</w:t>
      </w:r>
      <w:r w:rsidR="001323E2">
        <w:rPr>
          <w:rStyle w:val="FootnoteReference"/>
        </w:rPr>
        <w:footnoteReference w:id="31"/>
      </w:r>
      <w:r w:rsidR="001323E2">
        <w:t xml:space="preserve"> </w:t>
      </w:r>
    </w:p>
    <w:p w14:paraId="5952BB4C" w14:textId="640F19A4" w:rsidR="007272D8" w:rsidRDefault="008C5813" w:rsidP="00BF09CC">
      <w:pPr>
        <w:spacing w:line="240" w:lineRule="auto"/>
      </w:pPr>
      <w:r>
        <w:t>The</w:t>
      </w:r>
      <w:r w:rsidR="002636C3" w:rsidRPr="002636C3">
        <w:t xml:space="preserve"> title and focus of this domain has changed over</w:t>
      </w:r>
      <w:r w:rsidR="008C2740">
        <w:t xml:space="preserve"> </w:t>
      </w:r>
      <w:r w:rsidR="002636C3" w:rsidRPr="002636C3">
        <w:t>time.</w:t>
      </w:r>
      <w:r w:rsidR="002636C3">
        <w:t xml:space="preserve"> </w:t>
      </w:r>
      <w:r w:rsidR="00E23434">
        <w:t>Originally,</w:t>
      </w:r>
      <w:r w:rsidR="002636C3">
        <w:t xml:space="preserve"> it was titled the ‘</w:t>
      </w:r>
      <w:r w:rsidR="002636C3" w:rsidRPr="00CA4778">
        <w:t>Professional licensing and occupational standards</w:t>
      </w:r>
      <w:r w:rsidR="002636C3">
        <w:t xml:space="preserve">’, and then </w:t>
      </w:r>
      <w:r w:rsidR="00E23434">
        <w:t>changed to ‘O</w:t>
      </w:r>
      <w:r w:rsidR="00E23434" w:rsidRPr="002636C3">
        <w:t>ccupational skills and standards domain’</w:t>
      </w:r>
      <w:r w:rsidR="00E23434">
        <w:t xml:space="preserve"> </w:t>
      </w:r>
      <w:r w:rsidR="002636C3">
        <w:t>(SPC 2015</w:t>
      </w:r>
      <w:r w:rsidR="003E7EFB">
        <w:t>a</w:t>
      </w:r>
      <w:r w:rsidR="002636C3">
        <w:t>)</w:t>
      </w:r>
      <w:r w:rsidR="00E23434">
        <w:t xml:space="preserve">. </w:t>
      </w:r>
      <w:r>
        <w:t xml:space="preserve">At the most recent regional consultation in Nadi (May </w:t>
      </w:r>
      <w:r w:rsidRPr="009B70EF">
        <w:t>2016</w:t>
      </w:r>
      <w:r>
        <w:t xml:space="preserve">), the group was asked to endorse the three domains, with this domain retitled ‘Skills and occupational standards’. It </w:t>
      </w:r>
      <w:r w:rsidR="003E7EFB">
        <w:t xml:space="preserve">was </w:t>
      </w:r>
      <w:r>
        <w:t>not clear as to the purpose of the name change or how this change alters the focus o</w:t>
      </w:r>
      <w:r w:rsidR="003E7EFB">
        <w:t>r</w:t>
      </w:r>
      <w:r>
        <w:t xml:space="preserve"> the intent of this domain. </w:t>
      </w:r>
      <w:r w:rsidR="00584136">
        <w:t xml:space="preserve"> </w:t>
      </w:r>
    </w:p>
    <w:p w14:paraId="36E3C708" w14:textId="55E847F2" w:rsidR="00F07986" w:rsidRDefault="00455948" w:rsidP="00BF09CC">
      <w:pPr>
        <w:spacing w:line="240" w:lineRule="auto"/>
      </w:pPr>
      <w:r>
        <w:t xml:space="preserve">The PRQS </w:t>
      </w:r>
      <w:r w:rsidR="003E7EFB">
        <w:t xml:space="preserve">(2015a) </w:t>
      </w:r>
      <w:r>
        <w:t xml:space="preserve">notes that this domain </w:t>
      </w:r>
      <w:r w:rsidR="00F347D5">
        <w:t>includes:</w:t>
      </w: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80"/>
      </w:tblGrid>
      <w:tr w:rsidR="00F347D5" w:rsidRPr="00FD1E17" w14:paraId="07B4B12E" w14:textId="77777777" w:rsidTr="008C3531">
        <w:tc>
          <w:tcPr>
            <w:tcW w:w="5000" w:type="pct"/>
          </w:tcPr>
          <w:p w14:paraId="4CCAFA2A" w14:textId="4C41CEB0" w:rsidR="00F347D5" w:rsidRPr="00FD1E17" w:rsidRDefault="00F347D5" w:rsidP="00A75C00">
            <w:pPr>
              <w:spacing w:line="240" w:lineRule="auto"/>
              <w:ind w:left="360"/>
              <w:rPr>
                <w:sz w:val="20"/>
                <w:szCs w:val="20"/>
              </w:rPr>
            </w:pPr>
            <w:r w:rsidRPr="00FD1E17">
              <w:rPr>
                <w:sz w:val="20"/>
                <w:szCs w:val="20"/>
              </w:rPr>
              <w:t>…information on professional associations, professional and occupational standards, and individual professional workers by occupation or trade</w:t>
            </w:r>
          </w:p>
          <w:p w14:paraId="21EC033D" w14:textId="6A1BB0F8" w:rsidR="00F347D5" w:rsidRPr="00FD1E17" w:rsidRDefault="00F347D5" w:rsidP="00456131">
            <w:pPr>
              <w:pStyle w:val="ListParagraph"/>
              <w:numPr>
                <w:ilvl w:val="0"/>
                <w:numId w:val="38"/>
              </w:numPr>
              <w:rPr>
                <w:sz w:val="20"/>
                <w:szCs w:val="20"/>
              </w:rPr>
            </w:pPr>
            <w:r w:rsidRPr="00FD1E17">
              <w:rPr>
                <w:sz w:val="20"/>
                <w:szCs w:val="20"/>
              </w:rPr>
              <w:t>For occupational standards:</w:t>
            </w:r>
          </w:p>
          <w:p w14:paraId="44BA5803" w14:textId="25E1A4EB" w:rsidR="00F347D5" w:rsidRPr="00FD1E17" w:rsidRDefault="00F347D5" w:rsidP="00456131">
            <w:pPr>
              <w:pStyle w:val="ListParagraph"/>
              <w:numPr>
                <w:ilvl w:val="0"/>
                <w:numId w:val="78"/>
              </w:numPr>
              <w:rPr>
                <w:sz w:val="20"/>
                <w:szCs w:val="20"/>
              </w:rPr>
            </w:pPr>
            <w:r w:rsidRPr="00FD1E17">
              <w:rPr>
                <w:sz w:val="20"/>
                <w:szCs w:val="20"/>
              </w:rPr>
              <w:lastRenderedPageBreak/>
              <w:t>developed by regional professional associations by occupational type. Examples: regional standards for teachers; regional standards for school principals; professional code of ethics for teachers;</w:t>
            </w:r>
          </w:p>
          <w:p w14:paraId="3BCF42C2" w14:textId="247554AA" w:rsidR="00F347D5" w:rsidRPr="00FD1E17" w:rsidRDefault="00F347D5" w:rsidP="00456131">
            <w:pPr>
              <w:pStyle w:val="ListParagraph"/>
              <w:numPr>
                <w:ilvl w:val="0"/>
                <w:numId w:val="78"/>
              </w:numPr>
              <w:rPr>
                <w:sz w:val="20"/>
                <w:szCs w:val="20"/>
              </w:rPr>
            </w:pPr>
            <w:r w:rsidRPr="00FD1E17">
              <w:rPr>
                <w:sz w:val="20"/>
                <w:szCs w:val="20"/>
              </w:rPr>
              <w:t>the name and contact details of the regional professional association;</w:t>
            </w:r>
          </w:p>
          <w:p w14:paraId="670D62E9" w14:textId="51807F42" w:rsidR="00F347D5" w:rsidRPr="00FD1E17" w:rsidRDefault="00F347D5" w:rsidP="00456131">
            <w:pPr>
              <w:pStyle w:val="ListParagraph"/>
              <w:numPr>
                <w:ilvl w:val="0"/>
                <w:numId w:val="78"/>
              </w:numPr>
              <w:rPr>
                <w:sz w:val="20"/>
                <w:szCs w:val="20"/>
              </w:rPr>
            </w:pPr>
            <w:r w:rsidRPr="00FD1E17">
              <w:rPr>
                <w:sz w:val="20"/>
                <w:szCs w:val="20"/>
              </w:rPr>
              <w:t>a list of professional associations by country, and their contact details (including websites); and</w:t>
            </w:r>
            <w:r w:rsidR="00584136" w:rsidRPr="00FD1E17">
              <w:rPr>
                <w:sz w:val="20"/>
                <w:szCs w:val="20"/>
              </w:rPr>
              <w:t>,</w:t>
            </w:r>
          </w:p>
          <w:p w14:paraId="07986E5F" w14:textId="67343BE9" w:rsidR="00F347D5" w:rsidRPr="00FD1E17" w:rsidRDefault="00F347D5" w:rsidP="00456131">
            <w:pPr>
              <w:pStyle w:val="ListParagraph"/>
              <w:numPr>
                <w:ilvl w:val="0"/>
                <w:numId w:val="78"/>
              </w:numPr>
              <w:rPr>
                <w:sz w:val="20"/>
                <w:szCs w:val="20"/>
              </w:rPr>
            </w:pPr>
            <w:r w:rsidRPr="00FD1E17">
              <w:rPr>
                <w:sz w:val="20"/>
                <w:szCs w:val="20"/>
              </w:rPr>
              <w:t>web links to national professional associations and licensing authorities.</w:t>
            </w:r>
          </w:p>
          <w:p w14:paraId="7DCEF14C" w14:textId="6F563540" w:rsidR="00F347D5" w:rsidRPr="00FD1E17" w:rsidRDefault="00F347D5" w:rsidP="00456131">
            <w:pPr>
              <w:pStyle w:val="ListParagraph"/>
              <w:numPr>
                <w:ilvl w:val="0"/>
                <w:numId w:val="38"/>
              </w:numPr>
              <w:rPr>
                <w:sz w:val="20"/>
                <w:szCs w:val="20"/>
              </w:rPr>
            </w:pPr>
            <w:r w:rsidRPr="00FD1E17">
              <w:rPr>
                <w:sz w:val="20"/>
                <w:szCs w:val="20"/>
              </w:rPr>
              <w:t>For licensed professional workers by trade:</w:t>
            </w:r>
          </w:p>
          <w:p w14:paraId="070BF90F" w14:textId="499EF678" w:rsidR="00F347D5" w:rsidRPr="00FD1E17" w:rsidRDefault="00F347D5" w:rsidP="00456131">
            <w:pPr>
              <w:pStyle w:val="ListParagraph"/>
              <w:numPr>
                <w:ilvl w:val="0"/>
                <w:numId w:val="78"/>
              </w:numPr>
              <w:rPr>
                <w:sz w:val="20"/>
                <w:szCs w:val="20"/>
              </w:rPr>
            </w:pPr>
            <w:r w:rsidRPr="00FD1E17">
              <w:rPr>
                <w:sz w:val="20"/>
                <w:szCs w:val="20"/>
              </w:rPr>
              <w:t>the register of individual professional workers by occupation; and</w:t>
            </w:r>
            <w:r w:rsidR="00584136" w:rsidRPr="00FD1E17">
              <w:rPr>
                <w:sz w:val="20"/>
                <w:szCs w:val="20"/>
              </w:rPr>
              <w:t>,</w:t>
            </w:r>
          </w:p>
          <w:p w14:paraId="620C4FDB" w14:textId="08FB6EBF" w:rsidR="00F347D5" w:rsidRPr="00FD1E17" w:rsidRDefault="00F347D5" w:rsidP="00456131">
            <w:pPr>
              <w:pStyle w:val="ListParagraph"/>
              <w:numPr>
                <w:ilvl w:val="0"/>
                <w:numId w:val="78"/>
              </w:numPr>
              <w:rPr>
                <w:sz w:val="20"/>
                <w:szCs w:val="20"/>
              </w:rPr>
            </w:pPr>
            <w:r w:rsidRPr="00FD1E17">
              <w:rPr>
                <w:sz w:val="20"/>
                <w:szCs w:val="20"/>
              </w:rPr>
              <w:t>name, profession, country, professional status, registration number, field licensed to practise in, date of registration and expiry, and other similar details.</w:t>
            </w:r>
          </w:p>
          <w:p w14:paraId="0D60734E" w14:textId="30D452C1" w:rsidR="00F347D5" w:rsidRPr="00FD1E17" w:rsidRDefault="00F347D5" w:rsidP="00456131">
            <w:pPr>
              <w:pStyle w:val="ListParagraph"/>
              <w:numPr>
                <w:ilvl w:val="0"/>
                <w:numId w:val="38"/>
              </w:numPr>
              <w:rPr>
                <w:sz w:val="20"/>
                <w:szCs w:val="20"/>
              </w:rPr>
            </w:pPr>
            <w:r w:rsidRPr="00FD1E17">
              <w:rPr>
                <w:sz w:val="20"/>
                <w:szCs w:val="20"/>
              </w:rPr>
              <w:t>Guidelines for issuing a license to practise a trade:</w:t>
            </w:r>
          </w:p>
          <w:p w14:paraId="48343CA5" w14:textId="72623E38" w:rsidR="00F347D5" w:rsidRPr="00FD1E17" w:rsidRDefault="00F347D5" w:rsidP="00456131">
            <w:pPr>
              <w:pStyle w:val="ListParagraph"/>
              <w:numPr>
                <w:ilvl w:val="0"/>
                <w:numId w:val="78"/>
              </w:numPr>
              <w:rPr>
                <w:sz w:val="20"/>
                <w:szCs w:val="20"/>
              </w:rPr>
            </w:pPr>
            <w:r w:rsidRPr="00FD1E17">
              <w:rPr>
                <w:sz w:val="20"/>
                <w:szCs w:val="20"/>
              </w:rPr>
              <w:t>generic requirements for acquiring a license to practise; and</w:t>
            </w:r>
            <w:r w:rsidR="00584136" w:rsidRPr="00FD1E17">
              <w:rPr>
                <w:sz w:val="20"/>
                <w:szCs w:val="20"/>
              </w:rPr>
              <w:t>,</w:t>
            </w:r>
          </w:p>
          <w:p w14:paraId="7C41E9D6" w14:textId="1403C2D6" w:rsidR="00F347D5" w:rsidRPr="00FD1E17" w:rsidRDefault="00F347D5" w:rsidP="00456131">
            <w:pPr>
              <w:pStyle w:val="ListParagraph"/>
              <w:numPr>
                <w:ilvl w:val="0"/>
                <w:numId w:val="78"/>
              </w:numPr>
              <w:rPr>
                <w:sz w:val="20"/>
                <w:szCs w:val="20"/>
              </w:rPr>
            </w:pPr>
            <w:r w:rsidRPr="00FD1E17">
              <w:rPr>
                <w:sz w:val="20"/>
                <w:szCs w:val="20"/>
              </w:rPr>
              <w:t>profession-specific requirements to obtain a specific license to practise by occupation.</w:t>
            </w:r>
          </w:p>
        </w:tc>
      </w:tr>
    </w:tbl>
    <w:p w14:paraId="7CA335BE" w14:textId="5C8098EC" w:rsidR="00F347D5" w:rsidRPr="00F347D5" w:rsidRDefault="00F347D5" w:rsidP="0094035B">
      <w:pPr>
        <w:spacing w:before="0" w:line="240" w:lineRule="auto"/>
        <w:rPr>
          <w:sz w:val="20"/>
        </w:rPr>
      </w:pPr>
      <w:r w:rsidRPr="00F347D5">
        <w:rPr>
          <w:sz w:val="20"/>
        </w:rPr>
        <w:lastRenderedPageBreak/>
        <w:t>Source: SPC 2015a</w:t>
      </w:r>
    </w:p>
    <w:p w14:paraId="66AB35F6" w14:textId="760C00F5" w:rsidR="004C4ADF" w:rsidRPr="009A61D7" w:rsidRDefault="00516364" w:rsidP="00BF09CC">
      <w:pPr>
        <w:spacing w:line="240" w:lineRule="auto"/>
      </w:pPr>
      <w:r>
        <w:t xml:space="preserve">The domain is heavily reliant on professional associations and their progress in developing regional professional standards for their occupations. </w:t>
      </w:r>
      <w:r w:rsidR="00F24014">
        <w:t>In addition, th</w:t>
      </w:r>
      <w:r w:rsidR="00F24014" w:rsidRPr="0093034F">
        <w:rPr>
          <w:b/>
        </w:rPr>
        <w:t>is</w:t>
      </w:r>
      <w:r w:rsidR="00D15409" w:rsidRPr="0093034F">
        <w:rPr>
          <w:b/>
        </w:rPr>
        <w:t xml:space="preserve"> domain does not demonstrate consideration of regional occupational standards</w:t>
      </w:r>
      <w:r w:rsidR="00D15409" w:rsidRPr="00B53E3F">
        <w:t xml:space="preserve"> </w:t>
      </w:r>
      <w:r w:rsidR="003966F5" w:rsidRPr="00B53E3F">
        <w:t>(</w:t>
      </w:r>
      <w:r w:rsidR="00685307" w:rsidRPr="00B53E3F">
        <w:t xml:space="preserve">i.e. those </w:t>
      </w:r>
      <w:r w:rsidR="003966F5" w:rsidRPr="00B53E3F">
        <w:t>not</w:t>
      </w:r>
      <w:r w:rsidR="003966F5" w:rsidRPr="00685307">
        <w:t xml:space="preserve"> developed by a professional association) </w:t>
      </w:r>
      <w:r w:rsidR="00D15409" w:rsidRPr="00685307">
        <w:t>and the opportunity for the</w:t>
      </w:r>
      <w:r w:rsidR="00604AAE" w:rsidRPr="00685307">
        <w:t xml:space="preserve">se to be the basis of </w:t>
      </w:r>
      <w:r w:rsidR="00FF7991" w:rsidRPr="00685307">
        <w:t xml:space="preserve">shared or </w:t>
      </w:r>
      <w:r w:rsidR="00D15409" w:rsidRPr="00685307">
        <w:t>regional qualifications</w:t>
      </w:r>
      <w:r w:rsidR="00EB7363">
        <w:t xml:space="preserve">, </w:t>
      </w:r>
      <w:r w:rsidR="003F6C25">
        <w:t>which</w:t>
      </w:r>
      <w:r w:rsidR="00EB7363">
        <w:t xml:space="preserve"> in turn </w:t>
      </w:r>
      <w:r w:rsidR="003F6C25">
        <w:t xml:space="preserve">would </w:t>
      </w:r>
      <w:r w:rsidR="00EB7363">
        <w:t>enhance the potential for benchmarking or recognition of Pacific qualifications</w:t>
      </w:r>
      <w:r w:rsidR="00D15409" w:rsidRPr="00685307">
        <w:t xml:space="preserve">. </w:t>
      </w:r>
      <w:r w:rsidR="003E7EFB" w:rsidRPr="00685307">
        <w:t xml:space="preserve">Regionally agreed occupational standards and shared or regional qualifications </w:t>
      </w:r>
      <w:r w:rsidR="00D03DE1">
        <w:t>c</w:t>
      </w:r>
      <w:r w:rsidR="003E7EFB" w:rsidRPr="00685307">
        <w:t xml:space="preserve">ould facilitate </w:t>
      </w:r>
      <w:r w:rsidR="005E1A9F">
        <w:t xml:space="preserve">the benchmarking of qualifications and the </w:t>
      </w:r>
      <w:r w:rsidR="003E7EFB" w:rsidRPr="00685307">
        <w:t>mutual recognition of qualifications within the region</w:t>
      </w:r>
      <w:r w:rsidR="005E1A9F">
        <w:t>. They could also</w:t>
      </w:r>
      <w:r w:rsidR="00D75E9D" w:rsidRPr="00685307">
        <w:t xml:space="preserve"> reduce duplication of </w:t>
      </w:r>
      <w:r w:rsidR="005E1A9F">
        <w:t xml:space="preserve">similar </w:t>
      </w:r>
      <w:r w:rsidR="00D75E9D" w:rsidRPr="00685307">
        <w:t>qualifications across countries</w:t>
      </w:r>
      <w:r w:rsidR="003E7EFB" w:rsidRPr="00685307">
        <w:t xml:space="preserve">. </w:t>
      </w:r>
      <w:r w:rsidR="00FF3D0A">
        <w:t>These options</w:t>
      </w:r>
      <w:r>
        <w:t xml:space="preserve"> would provide a change of focus for this domain</w:t>
      </w:r>
      <w:r w:rsidR="00371382">
        <w:t xml:space="preserve">, and provide time for professional associations to be established and </w:t>
      </w:r>
      <w:r w:rsidR="003F6C25">
        <w:t>to</w:t>
      </w:r>
      <w:r w:rsidR="00371382">
        <w:t xml:space="preserve"> take </w:t>
      </w:r>
      <w:r w:rsidR="003F6C25">
        <w:t>responsibility for</w:t>
      </w:r>
      <w:r w:rsidR="00371382">
        <w:t xml:space="preserve"> the functions noted above</w:t>
      </w:r>
      <w:r w:rsidR="00DE58F5">
        <w:t xml:space="preserve"> in PRQS documentation</w:t>
      </w:r>
      <w:r>
        <w:t xml:space="preserve">. </w:t>
      </w:r>
      <w:r w:rsidR="00D15409" w:rsidRPr="00685307">
        <w:t xml:space="preserve"> </w:t>
      </w:r>
    </w:p>
    <w:p w14:paraId="6F199938" w14:textId="77777777" w:rsidR="00371382" w:rsidRDefault="00371382" w:rsidP="00371382">
      <w:pPr>
        <w:spacing w:line="240" w:lineRule="auto"/>
      </w:pPr>
      <w:r>
        <w:t>As described in the PRQS document (SPC 2015a), this domain ‘pulls in’ the regional benchmarks domain (e.g. teacher standards).</w:t>
      </w:r>
      <w:r>
        <w:rPr>
          <w:rStyle w:val="FootnoteReference"/>
        </w:rPr>
        <w:footnoteReference w:id="32"/>
      </w:r>
      <w:r>
        <w:t xml:space="preserve"> However, this domain does not demonstrate how these standards link to (or potentially link to) qualification entries on the register. Such a link is important to enable further benchmarking or recognition of Pacific qualifications (internally or externally to the region). </w:t>
      </w:r>
    </w:p>
    <w:p w14:paraId="20BF2DBD" w14:textId="5446FA73" w:rsidR="009A61D7" w:rsidRDefault="00584136" w:rsidP="002230C7">
      <w:pPr>
        <w:spacing w:line="240" w:lineRule="auto"/>
      </w:pPr>
      <w:r w:rsidRPr="009A61D7">
        <w:t xml:space="preserve">In </w:t>
      </w:r>
      <w:r w:rsidR="009A3D72" w:rsidRPr="009A61D7">
        <w:t xml:space="preserve">Nadi </w:t>
      </w:r>
      <w:r w:rsidR="00F3766E">
        <w:t xml:space="preserve">(May </w:t>
      </w:r>
      <w:r w:rsidR="00F3766E" w:rsidRPr="009B70EF">
        <w:t>2016</w:t>
      </w:r>
      <w:r w:rsidR="00F3766E">
        <w:t>)</w:t>
      </w:r>
      <w:r w:rsidR="009A3D72" w:rsidRPr="009A61D7">
        <w:t xml:space="preserve">, a Skills Register was proposed. </w:t>
      </w:r>
      <w:r w:rsidR="009A61D7" w:rsidRPr="009A61D7">
        <w:t>The Skills Register is to be a ‘database of information that contains the personal and professional details of individuals for the purpose of making the information available to potential employers and other interested parties’.</w:t>
      </w:r>
      <w:r w:rsidR="009A61D7" w:rsidRPr="009A61D7">
        <w:rPr>
          <w:rStyle w:val="FootnoteReference"/>
        </w:rPr>
        <w:footnoteReference w:id="33"/>
      </w:r>
      <w:r w:rsidR="009A61D7" w:rsidRPr="009A61D7">
        <w:t xml:space="preserve"> </w:t>
      </w:r>
      <w:r w:rsidR="00595469">
        <w:t>In addition to</w:t>
      </w:r>
      <w:r w:rsidR="009A61D7">
        <w:t xml:space="preserve"> basic information (</w:t>
      </w:r>
      <w:r w:rsidR="00D03DE1">
        <w:t xml:space="preserve">e.g. </w:t>
      </w:r>
      <w:r w:rsidR="009A61D7">
        <w:t xml:space="preserve">personal details, academic qualifications, professional information, </w:t>
      </w:r>
      <w:r w:rsidR="006D4ED9">
        <w:t xml:space="preserve">and </w:t>
      </w:r>
      <w:r w:rsidR="009A61D7">
        <w:t>k</w:t>
      </w:r>
      <w:r w:rsidR="006D4ED9">
        <w:t>ey skills)</w:t>
      </w:r>
      <w:r w:rsidR="00DE58F5">
        <w:t>,</w:t>
      </w:r>
      <w:r w:rsidR="006D4ED9">
        <w:t xml:space="preserve"> it is possible that </w:t>
      </w:r>
      <w:r w:rsidR="009A61D7">
        <w:t xml:space="preserve">curriculum vitaes </w:t>
      </w:r>
      <w:r w:rsidR="006D4ED9">
        <w:t>could be uploaded</w:t>
      </w:r>
      <w:r w:rsidR="009A61D7">
        <w:t xml:space="preserve">. </w:t>
      </w:r>
      <w:r w:rsidR="00595469">
        <w:t>The</w:t>
      </w:r>
      <w:r w:rsidR="009A61D7">
        <w:t xml:space="preserve"> PRQS team indicated that employment advertisement and job opportunity information could be included on this register. </w:t>
      </w:r>
    </w:p>
    <w:p w14:paraId="2D0EF482" w14:textId="208CCA0F" w:rsidR="00584136" w:rsidRPr="00EC086F" w:rsidRDefault="00FF3D0A" w:rsidP="00BF09CC">
      <w:pPr>
        <w:spacing w:line="240" w:lineRule="auto"/>
      </w:pPr>
      <w:r>
        <w:t>Although</w:t>
      </w:r>
      <w:r w:rsidR="00584136">
        <w:t xml:space="preserve"> this Skills Register </w:t>
      </w:r>
      <w:r w:rsidR="00ED1B8E">
        <w:t>aims</w:t>
      </w:r>
      <w:r w:rsidR="00584136">
        <w:t xml:space="preserve"> to support labour mobility, it </w:t>
      </w:r>
      <w:r w:rsidR="00BF6671">
        <w:t xml:space="preserve">may </w:t>
      </w:r>
      <w:r w:rsidR="00584136">
        <w:t xml:space="preserve">be a duplication of what a regional </w:t>
      </w:r>
      <w:r w:rsidR="00A70695">
        <w:t xml:space="preserve">or national </w:t>
      </w:r>
      <w:r w:rsidR="00584136">
        <w:t xml:space="preserve">employment agency would provide and it does not have a clear point of difference from those types of services.  The </w:t>
      </w:r>
      <w:r w:rsidR="00584136" w:rsidRPr="0093034F">
        <w:rPr>
          <w:b/>
        </w:rPr>
        <w:t>Skills Register has the potential to become ‘busy work’</w:t>
      </w:r>
      <w:r w:rsidR="00584136">
        <w:t xml:space="preserve"> and take away from the focus of the potential core business of a future Pacific model</w:t>
      </w:r>
      <w:r w:rsidR="00166B94">
        <w:t>.</w:t>
      </w:r>
      <w:r w:rsidR="00584136">
        <w:t xml:space="preserve"> </w:t>
      </w:r>
    </w:p>
    <w:p w14:paraId="0A8FD7C5" w14:textId="2867C6AF" w:rsidR="00B33A02" w:rsidRPr="00B33A02" w:rsidRDefault="00B33A02" w:rsidP="00C35EB4">
      <w:pPr>
        <w:pStyle w:val="PacHead3"/>
      </w:pPr>
      <w:r w:rsidRPr="00B33A02">
        <w:t>Traditional knowledge and indigenous skills</w:t>
      </w:r>
      <w:r w:rsidR="00584136">
        <w:t xml:space="preserve"> domain</w:t>
      </w:r>
    </w:p>
    <w:p w14:paraId="79B10B4F" w14:textId="54609410" w:rsidR="002234A0" w:rsidRDefault="002234A0" w:rsidP="002230C7">
      <w:pPr>
        <w:spacing w:line="240" w:lineRule="auto"/>
      </w:pPr>
      <w:r>
        <w:t xml:space="preserve">Although review of this domain was outside the terms of reference of this review, the team gave it some consideration </w:t>
      </w:r>
      <w:r w:rsidR="00173358">
        <w:t>in relation</w:t>
      </w:r>
      <w:r>
        <w:t xml:space="preserve"> to the focus of </w:t>
      </w:r>
      <w:r w:rsidR="00173358">
        <w:t>a future Pacific model</w:t>
      </w:r>
      <w:r>
        <w:t xml:space="preserve">. </w:t>
      </w:r>
      <w:r w:rsidR="007C04B5">
        <w:t xml:space="preserve">The PRQS document (SPC 2015a) indicates this </w:t>
      </w:r>
      <w:r w:rsidR="00151283">
        <w:t xml:space="preserve">PRQS </w:t>
      </w:r>
      <w:r w:rsidR="007C04B5">
        <w:t xml:space="preserve">domain will host the general specifications of Pacific traditional knowledge and skills packaged </w:t>
      </w:r>
      <w:r w:rsidR="007C04B5">
        <w:lastRenderedPageBreak/>
        <w:t>as units of competence, rather than the actual knowledge and skills as defined by each Pacific Island country and their communities.</w:t>
      </w:r>
      <w:r w:rsidR="007C04B5" w:rsidRPr="007C04B5">
        <w:t xml:space="preserve"> </w:t>
      </w:r>
      <w:r w:rsidR="007C04B5">
        <w:t>This</w:t>
      </w:r>
      <w:r w:rsidR="007C04B5" w:rsidRPr="00851891">
        <w:t xml:space="preserve"> domain has not </w:t>
      </w:r>
      <w:r w:rsidR="007C04B5">
        <w:t>undergone further development on the PRQS</w:t>
      </w:r>
      <w:r w:rsidR="007C04B5" w:rsidRPr="00851891">
        <w:t>.</w:t>
      </w:r>
    </w:p>
    <w:p w14:paraId="33A6FE77" w14:textId="6E7B0410" w:rsidR="00D75E9D" w:rsidRPr="00851891" w:rsidRDefault="007C04B5" w:rsidP="00BF09CC">
      <w:pPr>
        <w:spacing w:line="240" w:lineRule="auto"/>
      </w:pPr>
      <w:r>
        <w:t>T</w:t>
      </w:r>
      <w:r w:rsidR="00851891" w:rsidRPr="00851891">
        <w:t>he P</w:t>
      </w:r>
      <w:r w:rsidR="00070B59">
        <w:t>R</w:t>
      </w:r>
      <w:r w:rsidR="00851891" w:rsidRPr="00851891">
        <w:t xml:space="preserve">QS document (SPC 2015a) notes that </w:t>
      </w:r>
      <w:r w:rsidR="00151283">
        <w:t>this domain</w:t>
      </w:r>
      <w:r w:rsidR="00151283" w:rsidRPr="00851891">
        <w:t xml:space="preserve"> </w:t>
      </w:r>
      <w:r w:rsidR="00851891" w:rsidRPr="00851891">
        <w:t xml:space="preserve">is </w:t>
      </w:r>
      <w:r w:rsidR="00CE1240">
        <w:t>retained</w:t>
      </w:r>
      <w:r w:rsidR="00851891" w:rsidRPr="00851891">
        <w:t xml:space="preserve"> </w:t>
      </w:r>
      <w:r w:rsidR="00CE1240">
        <w:t xml:space="preserve">to capture </w:t>
      </w:r>
      <w:r w:rsidR="00BF6671">
        <w:t>information</w:t>
      </w:r>
      <w:r w:rsidR="00BF6671" w:rsidRPr="00851891">
        <w:t xml:space="preserve"> </w:t>
      </w:r>
      <w:r w:rsidR="00851891" w:rsidRPr="00851891">
        <w:t xml:space="preserve">in the future. </w:t>
      </w:r>
      <w:r w:rsidR="00151283">
        <w:t xml:space="preserve">For example, </w:t>
      </w:r>
      <w:r w:rsidR="00D75E9D">
        <w:t xml:space="preserve">Samoa has progressed </w:t>
      </w:r>
      <w:r w:rsidR="00762E3A">
        <w:t xml:space="preserve">the development of traditional knowledge and </w:t>
      </w:r>
      <w:r w:rsidR="00D03DE1">
        <w:t xml:space="preserve">indigenous </w:t>
      </w:r>
      <w:r w:rsidR="005508CB">
        <w:t>skills</w:t>
      </w:r>
      <w:r w:rsidR="00D75E9D" w:rsidRPr="00D75E9D">
        <w:t>.</w:t>
      </w:r>
      <w:r w:rsidR="00D75E9D">
        <w:rPr>
          <w:rStyle w:val="FootnoteReference"/>
        </w:rPr>
        <w:footnoteReference w:id="34"/>
      </w:r>
    </w:p>
    <w:p w14:paraId="7EF99605" w14:textId="43714AB5" w:rsidR="00B4030B" w:rsidRDefault="00403C4A" w:rsidP="00BF09CC">
      <w:pPr>
        <w:spacing w:line="240" w:lineRule="auto"/>
      </w:pPr>
      <w:r>
        <w:t>T</w:t>
      </w:r>
      <w:r w:rsidR="00166B94">
        <w:t xml:space="preserve">his </w:t>
      </w:r>
      <w:r w:rsidR="007C04B5">
        <w:t>domain is</w:t>
      </w:r>
      <w:r w:rsidR="009A2194">
        <w:t xml:space="preserve"> </w:t>
      </w:r>
      <w:r w:rsidR="00EC086F">
        <w:t xml:space="preserve">extremely </w:t>
      </w:r>
      <w:r w:rsidR="008B1DFF">
        <w:t xml:space="preserve">important to countries in the Pacific </w:t>
      </w:r>
      <w:r w:rsidR="0075749C">
        <w:t xml:space="preserve">and </w:t>
      </w:r>
      <w:r w:rsidR="008B1DFF">
        <w:t>is the remit of the countries to progress</w:t>
      </w:r>
      <w:r w:rsidR="00B27ADB">
        <w:t xml:space="preserve">. </w:t>
      </w:r>
      <w:r w:rsidR="007C04B5">
        <w:t>A</w:t>
      </w:r>
      <w:r w:rsidR="00ED087B">
        <w:t xml:space="preserve">n alternative </w:t>
      </w:r>
      <w:r w:rsidR="00351E3A">
        <w:t xml:space="preserve">approach for the PRQS </w:t>
      </w:r>
      <w:r w:rsidR="00ED087B">
        <w:t xml:space="preserve">could be that </w:t>
      </w:r>
      <w:r w:rsidR="00B27ADB">
        <w:t>this</w:t>
      </w:r>
      <w:r w:rsidR="008B1DFF">
        <w:t xml:space="preserve"> domain be incorporated into the qualifications or the occupational standards domain</w:t>
      </w:r>
      <w:r w:rsidR="00B7704E">
        <w:t>,</w:t>
      </w:r>
      <w:r w:rsidR="00B27ADB">
        <w:t xml:space="preserve"> depending on how these knowledge and skills are documented</w:t>
      </w:r>
      <w:r w:rsidR="008B1DFF">
        <w:t xml:space="preserve">. </w:t>
      </w:r>
      <w:r w:rsidR="0075749C">
        <w:t>Regardless</w:t>
      </w:r>
      <w:r w:rsidR="008B1DFF">
        <w:t xml:space="preserve">, </w:t>
      </w:r>
      <w:r w:rsidR="00FF3D0A">
        <w:t xml:space="preserve">this domain </w:t>
      </w:r>
      <w:r w:rsidR="008B1DFF">
        <w:t xml:space="preserve">poses no risk to the focus </w:t>
      </w:r>
      <w:r w:rsidR="00D03DE1">
        <w:t xml:space="preserve">of </w:t>
      </w:r>
      <w:r w:rsidR="00DA2C52">
        <w:t xml:space="preserve">a </w:t>
      </w:r>
      <w:r w:rsidR="00D03DE1">
        <w:t xml:space="preserve">future Pacific model </w:t>
      </w:r>
      <w:r w:rsidR="00B27ADB">
        <w:t>if it remains</w:t>
      </w:r>
      <w:r w:rsidR="00D75E9D">
        <w:t xml:space="preserve">, </w:t>
      </w:r>
      <w:r w:rsidR="00D03DE1">
        <w:t>and</w:t>
      </w:r>
      <w:r w:rsidR="00D75E9D">
        <w:t xml:space="preserve"> could provide a central point for sharing practice within and beyond the Pacific</w:t>
      </w:r>
      <w:r w:rsidR="008B1DFF">
        <w:t xml:space="preserve">. </w:t>
      </w:r>
    </w:p>
    <w:p w14:paraId="7091A368" w14:textId="1EEB937B" w:rsidR="00853C50" w:rsidRPr="00905578" w:rsidRDefault="00853C50" w:rsidP="00C35EB4">
      <w:pPr>
        <w:pStyle w:val="PacHead3"/>
      </w:pPr>
      <w:r w:rsidRPr="00012681">
        <w:t>Monitoring</w:t>
      </w:r>
      <w:r w:rsidRPr="00905578">
        <w:t xml:space="preserve"> and evaluation</w:t>
      </w:r>
      <w:r w:rsidR="001A4B7C">
        <w:t xml:space="preserve"> </w:t>
      </w:r>
    </w:p>
    <w:p w14:paraId="0E7894DD" w14:textId="0A9CCE60" w:rsidR="00E53052" w:rsidRDefault="00E53052" w:rsidP="00BF09CC">
      <w:pPr>
        <w:spacing w:line="240" w:lineRule="auto"/>
      </w:pPr>
      <w:r>
        <w:t xml:space="preserve">Two most recent extensive reviews which can be regarded as part of the monitoring and evaluation framework are the </w:t>
      </w:r>
      <w:r w:rsidRPr="00E53052">
        <w:rPr>
          <w:i/>
        </w:rPr>
        <w:t>Review of the Secretariat of the Pacific Board for Educational Assessment (SPBEA),</w:t>
      </w:r>
      <w:r>
        <w:t xml:space="preserve"> (Assessment Research Centre, 2013) and the </w:t>
      </w:r>
      <w:r w:rsidRPr="00E53052">
        <w:rPr>
          <w:i/>
        </w:rPr>
        <w:t>Review of Quality Assurance Mechanisms for Post-Secondary Education</w:t>
      </w:r>
      <w:r>
        <w:t xml:space="preserve"> </w:t>
      </w:r>
      <w:r w:rsidRPr="00E53052">
        <w:rPr>
          <w:i/>
        </w:rPr>
        <w:t>in the Pacific</w:t>
      </w:r>
      <w:r>
        <w:t xml:space="preserve"> (Bateman, 2013).  Both reviews resulted in a number of recommendations for PRQS and SPBEA/EQAP, some of which were</w:t>
      </w:r>
      <w:r w:rsidR="00B7704E">
        <w:t>,</w:t>
      </w:r>
      <w:r>
        <w:t xml:space="preserve"> or are being</w:t>
      </w:r>
      <w:r w:rsidR="00B7704E">
        <w:t>,</w:t>
      </w:r>
      <w:r>
        <w:t xml:space="preserve"> implemented.  </w:t>
      </w:r>
    </w:p>
    <w:p w14:paraId="1504942E" w14:textId="46DB2B15" w:rsidR="00E53052" w:rsidRDefault="00E53052" w:rsidP="00BF09CC">
      <w:pPr>
        <w:spacing w:line="240" w:lineRule="auto"/>
      </w:pPr>
      <w:r>
        <w:t xml:space="preserve">Prior to these two 2013 reviews, the </w:t>
      </w:r>
      <w:r w:rsidRPr="00E53052">
        <w:rPr>
          <w:i/>
        </w:rPr>
        <w:t>Pacific Qualifications Register Independent Preliminary Progress Rev</w:t>
      </w:r>
      <w:r w:rsidRPr="00E53052">
        <w:t xml:space="preserve">iew </w:t>
      </w:r>
      <w:r w:rsidR="00B60C60">
        <w:t>(</w:t>
      </w:r>
      <w:r>
        <w:t>Eadie 2010)</w:t>
      </w:r>
      <w:r w:rsidR="00B60C60">
        <w:t xml:space="preserve"> </w:t>
      </w:r>
      <w:r>
        <w:t xml:space="preserve">found that the </w:t>
      </w:r>
      <w:r w:rsidR="007A639F">
        <w:t xml:space="preserve">Register </w:t>
      </w:r>
      <w:r>
        <w:t xml:space="preserve">was basically on track, but slower than anticipated and lacking engagement with key stakeholders required for full implementation. The reviewer recommended that the development of a </w:t>
      </w:r>
      <w:r w:rsidR="007A639F">
        <w:t xml:space="preserve">Register </w:t>
      </w:r>
      <w:r>
        <w:t>continue</w:t>
      </w:r>
      <w:r w:rsidR="001A4B7C">
        <w:t>,</w:t>
      </w:r>
      <w:r>
        <w:t xml:space="preserve"> subject to attainment of project milestones and subject to the implementation of eight recommendations</w:t>
      </w:r>
      <w:r w:rsidR="001A4B7C">
        <w:t>,</w:t>
      </w:r>
      <w:r>
        <w:t xml:space="preserve"> not all of which have been achieved.</w:t>
      </w:r>
    </w:p>
    <w:p w14:paraId="28AF82D3" w14:textId="4CF31E07" w:rsidR="00E53052" w:rsidRDefault="00E53052" w:rsidP="00BF09CC">
      <w:pPr>
        <w:spacing w:line="240" w:lineRule="auto"/>
      </w:pPr>
      <w:r>
        <w:t xml:space="preserve">The </w:t>
      </w:r>
      <w:r w:rsidRPr="00E53052">
        <w:rPr>
          <w:i/>
        </w:rPr>
        <w:t>Regional Qualifications Register South Pacific Board for Educational Assessment CROP Agency Project Submission to AusAID</w:t>
      </w:r>
      <w:r>
        <w:t xml:space="preserve"> in 2008 provided five program objectives, key outputs supporting achievement of key outcomes, progress measurements, sources of verification, anticipated outcomes, and a year</w:t>
      </w:r>
      <w:r w:rsidR="001A4B7C">
        <w:t>-</w:t>
      </w:r>
      <w:r>
        <w:t>by</w:t>
      </w:r>
      <w:r w:rsidR="001A4B7C">
        <w:t>-</w:t>
      </w:r>
      <w:r>
        <w:t xml:space="preserve">year timeframe for five years.  A more generic and very recent </w:t>
      </w:r>
      <w:r w:rsidRPr="00E53052">
        <w:rPr>
          <w:i/>
        </w:rPr>
        <w:t>Revised Program Logic for PRQS</w:t>
      </w:r>
      <w:r>
        <w:t xml:space="preserve"> with ten Key Evaluation Questions</w:t>
      </w:r>
      <w:r w:rsidR="001A4B7C">
        <w:t>,</w:t>
      </w:r>
      <w:r>
        <w:t xml:space="preserve"> four intermediate outcomes and six outputs updates the CROP submission.</w:t>
      </w:r>
    </w:p>
    <w:p w14:paraId="7DD4B1C1" w14:textId="73A438C5" w:rsidR="00E53052" w:rsidRDefault="00E53052" w:rsidP="00BF09CC">
      <w:pPr>
        <w:spacing w:line="240" w:lineRule="auto"/>
      </w:pPr>
      <w:r w:rsidRPr="0093034F">
        <w:rPr>
          <w:b/>
        </w:rPr>
        <w:t>The monitoring and evaluation framework has the appearance of being robust</w:t>
      </w:r>
      <w:r w:rsidR="001A4B7C" w:rsidRPr="0093034F">
        <w:rPr>
          <w:b/>
        </w:rPr>
        <w:t>,</w:t>
      </w:r>
      <w:r w:rsidRPr="0093034F">
        <w:rPr>
          <w:b/>
        </w:rPr>
        <w:t xml:space="preserve"> but its implementation has significantly reduced its effectiveness.</w:t>
      </w:r>
      <w:r>
        <w:t xml:space="preserve"> Different iterations of the framework, meeting related reporting requirements, different reviews and their output recommendations and shifting criteria, while intended to support delivery of the framework, have not always been successful.  </w:t>
      </w:r>
    </w:p>
    <w:p w14:paraId="56D7F343" w14:textId="5B4B3F5D" w:rsidR="00853C50" w:rsidRDefault="00E53052" w:rsidP="00BF09CC">
      <w:pPr>
        <w:spacing w:line="240" w:lineRule="auto"/>
      </w:pPr>
      <w:r>
        <w:t xml:space="preserve">While the </w:t>
      </w:r>
      <w:r w:rsidR="0061088A">
        <w:t xml:space="preserve">ASU </w:t>
      </w:r>
      <w:r>
        <w:t xml:space="preserve">have fulfilled their mainly six-monthly </w:t>
      </w:r>
      <w:r w:rsidR="00542BC1">
        <w:t xml:space="preserve">reporting </w:t>
      </w:r>
      <w:r>
        <w:t xml:space="preserve">requirements, the reports have not captured </w:t>
      </w:r>
      <w:r w:rsidR="0011030E">
        <w:t>to what extent</w:t>
      </w:r>
      <w:r>
        <w:t xml:space="preserve"> actions have been implemented or how effective they have been. There </w:t>
      </w:r>
      <w:r w:rsidR="00542BC1">
        <w:t xml:space="preserve">was </w:t>
      </w:r>
      <w:r>
        <w:t xml:space="preserve">a lack of evidence of interactions between the funder/donor and </w:t>
      </w:r>
      <w:r w:rsidR="0061088A">
        <w:t xml:space="preserve">ASU </w:t>
      </w:r>
      <w:r>
        <w:t xml:space="preserve">team and </w:t>
      </w:r>
      <w:r w:rsidR="007A639F">
        <w:t xml:space="preserve">of </w:t>
      </w:r>
      <w:r>
        <w:t xml:space="preserve">funder/donor feedback in response to PRQS reports (other than reviews which arose). These factors have reduced and limited the effectiveness and value of continuous and ongoing monitoring and evaluation of the framework.  </w:t>
      </w:r>
    </w:p>
    <w:p w14:paraId="09CCF812" w14:textId="77777777" w:rsidR="00723B3C" w:rsidRDefault="00E53052" w:rsidP="002230C7">
      <w:pPr>
        <w:spacing w:line="240" w:lineRule="auto"/>
      </w:pPr>
      <w:r>
        <w:t>Not only have external funder/donor reporting requirements not appear</w:t>
      </w:r>
      <w:r w:rsidR="00773BCF">
        <w:t>ed</w:t>
      </w:r>
      <w:r>
        <w:t xml:space="preserve"> to have achieved their intent, they may in fact </w:t>
      </w:r>
      <w:r w:rsidR="00773BCF">
        <w:t xml:space="preserve">have </w:t>
      </w:r>
      <w:r>
        <w:t xml:space="preserve">distracted the </w:t>
      </w:r>
      <w:r w:rsidR="0061088A">
        <w:t xml:space="preserve">ASU </w:t>
      </w:r>
      <w:r>
        <w:t xml:space="preserve">from delivery of their core business and contributed to insufficient internal quality assurance and self-review as well as </w:t>
      </w:r>
      <w:r w:rsidR="00127EAC">
        <w:t>in</w:t>
      </w:r>
      <w:r>
        <w:t xml:space="preserve">sufficient support and advice. They may </w:t>
      </w:r>
      <w:r w:rsidR="00650CD0">
        <w:t xml:space="preserve">also </w:t>
      </w:r>
      <w:r>
        <w:t xml:space="preserve">have deprived the </w:t>
      </w:r>
      <w:r w:rsidR="0061088A">
        <w:t>ASU</w:t>
      </w:r>
      <w:r>
        <w:t xml:space="preserve"> and </w:t>
      </w:r>
      <w:r w:rsidRPr="009720B5">
        <w:t xml:space="preserve">Pacific Nation members of robust self-evaluation opportunities and membership and ownership of the PRQS by all Pacific Nations.  </w:t>
      </w:r>
    </w:p>
    <w:p w14:paraId="70F170AC" w14:textId="23F8FF4E" w:rsidR="00723B3C" w:rsidRDefault="00723B3C" w:rsidP="00723B3C">
      <w:pPr>
        <w:spacing w:line="240" w:lineRule="auto"/>
      </w:pPr>
      <w:r>
        <w:t xml:space="preserve">To </w:t>
      </w:r>
      <w:r w:rsidRPr="001D49BB">
        <w:t>strengthen Pacific Nations’ participation and engagement, provide a sense of ownership based on high trust and high accountability, and encourage future success of a Pacific model</w:t>
      </w:r>
      <w:r>
        <w:t xml:space="preserve">, it is suggested: </w:t>
      </w:r>
    </w:p>
    <w:p w14:paraId="797C7496" w14:textId="77777777" w:rsidR="00723B3C" w:rsidRDefault="00723B3C" w:rsidP="00456131">
      <w:pPr>
        <w:pStyle w:val="ListParagraph"/>
        <w:numPr>
          <w:ilvl w:val="0"/>
          <w:numId w:val="66"/>
        </w:numPr>
      </w:pPr>
      <w:r>
        <w:t>D</w:t>
      </w:r>
      <w:r w:rsidRPr="001D49BB">
        <w:t>istan</w:t>
      </w:r>
      <w:r>
        <w:t>cing the funder(s) or donor(s)</w:t>
      </w:r>
    </w:p>
    <w:p w14:paraId="3691934E" w14:textId="62D550C4" w:rsidR="00723B3C" w:rsidRDefault="00723B3C" w:rsidP="00456131">
      <w:pPr>
        <w:pStyle w:val="ListParagraph"/>
        <w:numPr>
          <w:ilvl w:val="0"/>
          <w:numId w:val="66"/>
        </w:numPr>
      </w:pPr>
      <w:r w:rsidRPr="001D49BB">
        <w:lastRenderedPageBreak/>
        <w:t>Placing less emphasis on external monitoring and evaluation and more emphasis on feedback and support from external agencies when they do receive reports, a</w:t>
      </w:r>
      <w:r w:rsidR="004A3C94">
        <w:t>lso</w:t>
      </w:r>
      <w:r w:rsidRPr="001D49BB">
        <w:t xml:space="preserve"> placing more emphasis on </w:t>
      </w:r>
      <w:r w:rsidR="004A3C94">
        <w:br/>
      </w:r>
      <w:r w:rsidRPr="001D49BB">
        <w:t>self-evaluation (which could include contracting external people as required)</w:t>
      </w:r>
      <w:r>
        <w:t>.</w:t>
      </w:r>
    </w:p>
    <w:p w14:paraId="3D29DFEF" w14:textId="0580847D" w:rsidR="007A639F" w:rsidRDefault="002D5B6C" w:rsidP="00BF09CC">
      <w:pPr>
        <w:spacing w:line="240" w:lineRule="auto"/>
      </w:pPr>
      <w:r>
        <w:t>The</w:t>
      </w:r>
      <w:r w:rsidR="00E53052">
        <w:t xml:space="preserve"> PRQS is supported by two meta-frameworks</w:t>
      </w:r>
      <w:r w:rsidR="007C04B5">
        <w:t xml:space="preserve"> </w:t>
      </w:r>
      <w:r w:rsidR="00133F4B">
        <w:t xml:space="preserve">– </w:t>
      </w:r>
      <w:r w:rsidR="00E53052">
        <w:t xml:space="preserve">the Pacific Qualifications Framework (PQF) and the Pacific Quality Assurance Framework (PQAF). </w:t>
      </w:r>
      <w:r w:rsidR="00AD1F52">
        <w:t>However, t</w:t>
      </w:r>
      <w:r w:rsidR="00E53052">
        <w:t>here was inconsistent evidence</w:t>
      </w:r>
      <w:r w:rsidR="004A3C94">
        <w:t>,</w:t>
      </w:r>
      <w:r w:rsidR="00E53052">
        <w:t xml:space="preserve"> or a lack of evidence</w:t>
      </w:r>
      <w:r w:rsidR="004A3C94">
        <w:t>,</w:t>
      </w:r>
      <w:r w:rsidR="00E53052">
        <w:t xml:space="preserve"> that the frameworks enable</w:t>
      </w:r>
      <w:r w:rsidR="007C04B5">
        <w:t>d</w:t>
      </w:r>
      <w:r w:rsidR="00E53052">
        <w:t xml:space="preserve"> </w:t>
      </w:r>
      <w:r w:rsidR="00B7704E">
        <w:t xml:space="preserve">the </w:t>
      </w:r>
      <w:r w:rsidR="00E53052">
        <w:t xml:space="preserve">EQAP </w:t>
      </w:r>
      <w:r w:rsidR="00542BC1">
        <w:t xml:space="preserve">or ASU </w:t>
      </w:r>
      <w:r w:rsidR="00E53052">
        <w:t xml:space="preserve">to assess program effectiveness. </w:t>
      </w:r>
    </w:p>
    <w:p w14:paraId="47FD4D14" w14:textId="3C71C8FE" w:rsidR="00B4030B" w:rsidRPr="00B4030B" w:rsidRDefault="00B4030B" w:rsidP="00C35EB4">
      <w:pPr>
        <w:pStyle w:val="PacHead3"/>
      </w:pPr>
      <w:r w:rsidRPr="00B4030B">
        <w:t>Support</w:t>
      </w:r>
      <w:r w:rsidR="002D0665">
        <w:t xml:space="preserve"> </w:t>
      </w:r>
      <w:r w:rsidR="00AE69C1">
        <w:t>to</w:t>
      </w:r>
      <w:r w:rsidR="002D0665">
        <w:t xml:space="preserve"> the ASU</w:t>
      </w:r>
    </w:p>
    <w:p w14:paraId="26AF8B08" w14:textId="36AD01AC" w:rsidR="00223E98" w:rsidRDefault="00223E98" w:rsidP="00BF09CC">
      <w:pPr>
        <w:spacing w:line="240" w:lineRule="auto"/>
      </w:pPr>
      <w:r>
        <w:t xml:space="preserve">The </w:t>
      </w:r>
      <w:r w:rsidR="002838E0">
        <w:t>ASU</w:t>
      </w:r>
      <w:r>
        <w:t xml:space="preserve"> </w:t>
      </w:r>
      <w:r w:rsidR="002838E0">
        <w:t xml:space="preserve">team </w:t>
      </w:r>
      <w:r>
        <w:t xml:space="preserve">has been supported by the </w:t>
      </w:r>
      <w:r w:rsidR="00FA5EF1">
        <w:t>SPBEA/EQAP’s</w:t>
      </w:r>
      <w:r>
        <w:t xml:space="preserve"> board </w:t>
      </w:r>
      <w:r w:rsidR="002838E0">
        <w:t>and</w:t>
      </w:r>
      <w:r w:rsidR="008C5813">
        <w:t xml:space="preserve"> the PRQS advisory board since 2014</w:t>
      </w:r>
      <w:r>
        <w:t xml:space="preserve">. </w:t>
      </w:r>
      <w:r w:rsidR="00562121">
        <w:t xml:space="preserve">The PRQS </w:t>
      </w:r>
      <w:r>
        <w:t xml:space="preserve">advisory board has </w:t>
      </w:r>
      <w:r w:rsidRPr="002A0F27">
        <w:t xml:space="preserve">met </w:t>
      </w:r>
      <w:r w:rsidR="005048FA">
        <w:t>twice</w:t>
      </w:r>
      <w:r w:rsidR="008C5813">
        <w:t xml:space="preserve"> and provided a forum for </w:t>
      </w:r>
      <w:r w:rsidR="008C5813" w:rsidRPr="002A0F27">
        <w:t>discussion and endorsement of actions to be undertaken</w:t>
      </w:r>
      <w:r w:rsidR="008C5813">
        <w:t>.</w:t>
      </w:r>
      <w:r w:rsidRPr="002A0F27">
        <w:t xml:space="preserve"> Interviews with the ASU team indicated that there </w:t>
      </w:r>
      <w:r w:rsidR="0048290B" w:rsidRPr="002A0F27">
        <w:t xml:space="preserve">could have been more opportunities for </w:t>
      </w:r>
      <w:r w:rsidRPr="002A0F27">
        <w:t xml:space="preserve">professional dialogue </w:t>
      </w:r>
      <w:r w:rsidR="002A0F27">
        <w:t xml:space="preserve">over the years </w:t>
      </w:r>
      <w:r w:rsidRPr="002A0F27">
        <w:t>to provide technical support and advice</w:t>
      </w:r>
      <w:r w:rsidR="00596D03" w:rsidRPr="002A0F27">
        <w:t xml:space="preserve"> to</w:t>
      </w:r>
      <w:r w:rsidR="0048290B" w:rsidRPr="002A0F27">
        <w:t xml:space="preserve"> enhance </w:t>
      </w:r>
      <w:r w:rsidR="00596D03" w:rsidRPr="002A0F27">
        <w:t>the focus and potential of the PRQS</w:t>
      </w:r>
      <w:r w:rsidRPr="002A0F27">
        <w:t>.</w:t>
      </w:r>
      <w:r>
        <w:t xml:space="preserve"> </w:t>
      </w:r>
      <w:r w:rsidR="009906BA" w:rsidRPr="0093034F">
        <w:rPr>
          <w:b/>
        </w:rPr>
        <w:t>A technical advisory team to assist the implementation of a Pacific model in the Pacific should support any future Pacific model</w:t>
      </w:r>
      <w:r w:rsidRPr="0093034F">
        <w:rPr>
          <w:b/>
        </w:rPr>
        <w:t>.</w:t>
      </w:r>
      <w:r>
        <w:t xml:space="preserve"> </w:t>
      </w:r>
    </w:p>
    <w:p w14:paraId="206CE045" w14:textId="0E15776B" w:rsidR="002C29F6" w:rsidRPr="00BA1836" w:rsidRDefault="00331CC5" w:rsidP="002C29F6">
      <w:pPr>
        <w:pStyle w:val="Heading2"/>
        <w:rPr>
          <w:color w:val="95050F"/>
        </w:rPr>
      </w:pPr>
      <w:bookmarkStart w:id="33" w:name="_Toc458938578"/>
      <w:bookmarkStart w:id="34" w:name="_Toc462755557"/>
      <w:r>
        <w:rPr>
          <w:color w:val="95050F"/>
        </w:rPr>
        <w:t>2</w:t>
      </w:r>
      <w:r w:rsidR="005045FF">
        <w:rPr>
          <w:color w:val="95050F"/>
        </w:rPr>
        <w:t xml:space="preserve">.4 </w:t>
      </w:r>
      <w:r w:rsidR="002C29F6" w:rsidRPr="00BA1836">
        <w:rPr>
          <w:color w:val="95050F"/>
        </w:rPr>
        <w:t>Focus of PRQS activity</w:t>
      </w:r>
      <w:bookmarkEnd w:id="33"/>
      <w:bookmarkEnd w:id="34"/>
    </w:p>
    <w:p w14:paraId="0BE47F73" w14:textId="7529FB05" w:rsidR="002C29F6" w:rsidRDefault="007A639F" w:rsidP="00BF09CC">
      <w:pPr>
        <w:spacing w:line="240" w:lineRule="auto"/>
      </w:pPr>
      <w:r>
        <w:t>There</w:t>
      </w:r>
      <w:r w:rsidR="002C29F6">
        <w:t xml:space="preserve"> are essentially </w:t>
      </w:r>
      <w:r w:rsidR="00133F4B">
        <w:t>three</w:t>
      </w:r>
      <w:r w:rsidR="002C29F6">
        <w:t xml:space="preserve"> major </w:t>
      </w:r>
      <w:r w:rsidR="00070B59">
        <w:t xml:space="preserve">country </w:t>
      </w:r>
      <w:r w:rsidR="002C29F6">
        <w:t xml:space="preserve">groups </w:t>
      </w:r>
      <w:r w:rsidR="00002870">
        <w:t xml:space="preserve">across the greater Pacific region </w:t>
      </w:r>
      <w:r w:rsidR="002C29F6">
        <w:t xml:space="preserve">that the PRQS has within its broader remit. These include those </w:t>
      </w:r>
      <w:r w:rsidR="00070B59">
        <w:t xml:space="preserve">countries </w:t>
      </w:r>
      <w:r w:rsidR="002C29F6">
        <w:t xml:space="preserve">with national </w:t>
      </w:r>
      <w:r w:rsidR="002D2B7D">
        <w:t>competent bodies</w:t>
      </w:r>
      <w:r w:rsidR="002C29F6">
        <w:t xml:space="preserve"> and NQFs, those </w:t>
      </w:r>
      <w:r w:rsidR="00070B59">
        <w:t xml:space="preserve">countries </w:t>
      </w:r>
      <w:r w:rsidR="002C29F6">
        <w:t xml:space="preserve">requiring assistance in terms of accreditation of qualifications and registration of providers, and those </w:t>
      </w:r>
      <w:r w:rsidR="00070B59">
        <w:t xml:space="preserve">countries </w:t>
      </w:r>
      <w:r w:rsidR="002C29F6">
        <w:t>that look to other quality assurance systems and frameworks</w:t>
      </w:r>
      <w:r w:rsidR="00133F4B">
        <w:t xml:space="preserve"> (</w:t>
      </w:r>
      <w:r w:rsidR="003962FF">
        <w:t>e.g.</w:t>
      </w:r>
      <w:r w:rsidR="00133F4B">
        <w:t xml:space="preserve"> to</w:t>
      </w:r>
      <w:r w:rsidR="003962FF">
        <w:t xml:space="preserve"> New Zealand, USA, France and Australia</w:t>
      </w:r>
      <w:r w:rsidR="00133F4B">
        <w:t>)</w:t>
      </w:r>
      <w:r w:rsidR="002C29F6">
        <w:t>. The</w:t>
      </w:r>
      <w:r w:rsidR="00897966">
        <w:t xml:space="preserve"> table below outlines the</w:t>
      </w:r>
      <w:r w:rsidR="002C29F6">
        <w:t xml:space="preserve">se </w:t>
      </w:r>
      <w:r w:rsidR="0070471E">
        <w:t>three groups</w:t>
      </w:r>
      <w:r w:rsidR="002C29F6">
        <w:t xml:space="preserve">. </w:t>
      </w:r>
    </w:p>
    <w:p w14:paraId="57FA2416" w14:textId="0CBC240D" w:rsidR="002C29F6" w:rsidRPr="00CB722E" w:rsidRDefault="00D36B6E" w:rsidP="00BF09CC">
      <w:pPr>
        <w:spacing w:line="240" w:lineRule="auto"/>
        <w:rPr>
          <w:b/>
        </w:rPr>
      </w:pPr>
      <w:bookmarkStart w:id="35" w:name="_Ref455494611"/>
      <w:bookmarkStart w:id="36" w:name="_Toc458892556"/>
      <w:r w:rsidRPr="00CB722E">
        <w:rPr>
          <w:b/>
        </w:rPr>
        <w:t xml:space="preserve">Table </w:t>
      </w:r>
      <w:r w:rsidRPr="00CB722E">
        <w:rPr>
          <w:b/>
        </w:rPr>
        <w:fldChar w:fldCharType="begin"/>
      </w:r>
      <w:r w:rsidRPr="00CB722E">
        <w:rPr>
          <w:b/>
        </w:rPr>
        <w:instrText xml:space="preserve"> SEQ Table \* ARABIC </w:instrText>
      </w:r>
      <w:r w:rsidRPr="00CB722E">
        <w:rPr>
          <w:b/>
        </w:rPr>
        <w:fldChar w:fldCharType="separate"/>
      </w:r>
      <w:r w:rsidR="000C512A">
        <w:rPr>
          <w:b/>
          <w:noProof/>
        </w:rPr>
        <w:t>1</w:t>
      </w:r>
      <w:r w:rsidRPr="00CB722E">
        <w:rPr>
          <w:b/>
        </w:rPr>
        <w:fldChar w:fldCharType="end"/>
      </w:r>
      <w:bookmarkEnd w:id="35"/>
      <w:r w:rsidR="00982F59" w:rsidRPr="00CB722E">
        <w:rPr>
          <w:b/>
        </w:rPr>
        <w:t xml:space="preserve">: </w:t>
      </w:r>
      <w:r w:rsidR="002C29F6" w:rsidRPr="00CB722E">
        <w:rPr>
          <w:b/>
        </w:rPr>
        <w:t>Groupings of Pacific countries and territories</w:t>
      </w:r>
      <w:bookmarkEnd w:id="36"/>
    </w:p>
    <w:tbl>
      <w:tblPr>
        <w:tblStyle w:val="TableGrid"/>
        <w:tblW w:w="5000" w:type="pct"/>
        <w:tblLook w:val="04A0" w:firstRow="1" w:lastRow="0" w:firstColumn="1" w:lastColumn="0" w:noHBand="0" w:noVBand="1"/>
      </w:tblPr>
      <w:tblGrid>
        <w:gridCol w:w="3060"/>
        <w:gridCol w:w="3061"/>
        <w:gridCol w:w="3059"/>
      </w:tblGrid>
      <w:tr w:rsidR="002C29F6" w:rsidRPr="00A250C6" w14:paraId="3AFD96BC" w14:textId="77777777" w:rsidTr="00A250C6">
        <w:trPr>
          <w:tblHeader/>
        </w:trPr>
        <w:tc>
          <w:tcPr>
            <w:tcW w:w="1667" w:type="pct"/>
            <w:shd w:val="clear" w:color="auto" w:fill="D9D9D9" w:themeFill="background1" w:themeFillShade="D9"/>
          </w:tcPr>
          <w:p w14:paraId="32473A82" w14:textId="77777777" w:rsidR="002C29F6" w:rsidRPr="00A250C6" w:rsidRDefault="002C29F6" w:rsidP="00BF09CC">
            <w:pPr>
              <w:spacing w:after="0" w:line="240" w:lineRule="auto"/>
              <w:rPr>
                <w:b/>
                <w:sz w:val="20"/>
                <w:szCs w:val="20"/>
              </w:rPr>
            </w:pPr>
            <w:r w:rsidRPr="00A250C6">
              <w:rPr>
                <w:b/>
                <w:sz w:val="20"/>
                <w:szCs w:val="20"/>
              </w:rPr>
              <w:t>Group1: National competent bodies and NQFs</w:t>
            </w:r>
          </w:p>
        </w:tc>
        <w:tc>
          <w:tcPr>
            <w:tcW w:w="1667" w:type="pct"/>
            <w:shd w:val="clear" w:color="auto" w:fill="D9D9D9" w:themeFill="background1" w:themeFillShade="D9"/>
          </w:tcPr>
          <w:p w14:paraId="719C50E2" w14:textId="668FE14E" w:rsidR="002C29F6" w:rsidRPr="00A250C6" w:rsidRDefault="002C29F6" w:rsidP="00621F15">
            <w:pPr>
              <w:spacing w:after="0" w:line="240" w:lineRule="auto"/>
              <w:rPr>
                <w:b/>
                <w:sz w:val="20"/>
                <w:szCs w:val="20"/>
              </w:rPr>
            </w:pPr>
            <w:r w:rsidRPr="00A250C6">
              <w:rPr>
                <w:b/>
                <w:sz w:val="20"/>
                <w:szCs w:val="20"/>
              </w:rPr>
              <w:t xml:space="preserve">Group 2: </w:t>
            </w:r>
            <w:r w:rsidR="00621F15">
              <w:rPr>
                <w:b/>
                <w:sz w:val="20"/>
                <w:szCs w:val="20"/>
              </w:rPr>
              <w:t>In progress or a</w:t>
            </w:r>
            <w:r w:rsidRPr="00A250C6">
              <w:rPr>
                <w:b/>
                <w:sz w:val="20"/>
                <w:szCs w:val="20"/>
              </w:rPr>
              <w:t>ssistance required</w:t>
            </w:r>
          </w:p>
        </w:tc>
        <w:tc>
          <w:tcPr>
            <w:tcW w:w="1666" w:type="pct"/>
            <w:shd w:val="clear" w:color="auto" w:fill="D9D9D9" w:themeFill="background1" w:themeFillShade="D9"/>
          </w:tcPr>
          <w:p w14:paraId="14D7EF22" w14:textId="77777777" w:rsidR="002C29F6" w:rsidRPr="00A250C6" w:rsidRDefault="002C29F6" w:rsidP="00BF09CC">
            <w:pPr>
              <w:spacing w:after="0" w:line="240" w:lineRule="auto"/>
              <w:rPr>
                <w:b/>
                <w:sz w:val="20"/>
                <w:szCs w:val="20"/>
              </w:rPr>
            </w:pPr>
            <w:r w:rsidRPr="00A250C6">
              <w:rPr>
                <w:b/>
                <w:sz w:val="20"/>
                <w:szCs w:val="20"/>
              </w:rPr>
              <w:t>Group 3: Other international focus</w:t>
            </w:r>
          </w:p>
        </w:tc>
      </w:tr>
      <w:tr w:rsidR="002C29F6" w:rsidRPr="00A250C6" w14:paraId="2824AD2E" w14:textId="77777777" w:rsidTr="00A250C6">
        <w:tc>
          <w:tcPr>
            <w:tcW w:w="1667" w:type="pct"/>
          </w:tcPr>
          <w:p w14:paraId="2D8C8AA8" w14:textId="77777777" w:rsidR="002C29F6" w:rsidRPr="00A250C6" w:rsidRDefault="002C29F6" w:rsidP="00BF09CC">
            <w:pPr>
              <w:spacing w:after="0" w:line="240" w:lineRule="auto"/>
              <w:rPr>
                <w:sz w:val="20"/>
                <w:szCs w:val="20"/>
              </w:rPr>
            </w:pPr>
            <w:r w:rsidRPr="00A250C6">
              <w:rPr>
                <w:sz w:val="20"/>
                <w:szCs w:val="20"/>
              </w:rPr>
              <w:t>Fiji, Papua New Guinea, Samoa, Tonga, Vanuatu</w:t>
            </w:r>
          </w:p>
          <w:p w14:paraId="03B01924" w14:textId="3A341A36" w:rsidR="002C29F6" w:rsidRPr="00A250C6" w:rsidRDefault="002C29F6" w:rsidP="00BF09CC">
            <w:pPr>
              <w:spacing w:after="0" w:line="240" w:lineRule="auto"/>
              <w:rPr>
                <w:sz w:val="20"/>
                <w:szCs w:val="20"/>
              </w:rPr>
            </w:pPr>
          </w:p>
        </w:tc>
        <w:tc>
          <w:tcPr>
            <w:tcW w:w="1667" w:type="pct"/>
          </w:tcPr>
          <w:p w14:paraId="15C11FD8" w14:textId="40230A51" w:rsidR="002C29F6" w:rsidRPr="00A250C6" w:rsidRDefault="002C29F6" w:rsidP="00BF09CC">
            <w:pPr>
              <w:spacing w:after="0" w:line="240" w:lineRule="auto"/>
              <w:rPr>
                <w:sz w:val="20"/>
                <w:szCs w:val="20"/>
              </w:rPr>
            </w:pPr>
            <w:r w:rsidRPr="00A250C6">
              <w:rPr>
                <w:sz w:val="20"/>
                <w:szCs w:val="20"/>
              </w:rPr>
              <w:t xml:space="preserve">Kiribati, Tuvalu </w:t>
            </w:r>
            <w:r w:rsidR="00DA2C52">
              <w:rPr>
                <w:sz w:val="20"/>
                <w:szCs w:val="20"/>
              </w:rPr>
              <w:t>(adopted the PQF &amp; PQAF)</w:t>
            </w:r>
          </w:p>
          <w:p w14:paraId="64CAC5B7" w14:textId="5EA53EE3" w:rsidR="00A250C6" w:rsidRDefault="0011030E" w:rsidP="00BF09CC">
            <w:pPr>
              <w:spacing w:after="0" w:line="240" w:lineRule="auto"/>
              <w:rPr>
                <w:sz w:val="20"/>
                <w:szCs w:val="20"/>
              </w:rPr>
            </w:pPr>
            <w:r w:rsidRPr="0011030E">
              <w:rPr>
                <w:i/>
                <w:sz w:val="20"/>
                <w:szCs w:val="20"/>
              </w:rPr>
              <w:t>plus</w:t>
            </w:r>
            <w:r>
              <w:rPr>
                <w:sz w:val="20"/>
                <w:szCs w:val="20"/>
              </w:rPr>
              <w:t xml:space="preserve"> </w:t>
            </w:r>
            <w:r w:rsidR="00621F15" w:rsidRPr="00A250C6">
              <w:rPr>
                <w:sz w:val="20"/>
                <w:szCs w:val="20"/>
              </w:rPr>
              <w:t xml:space="preserve">Solomon Islands </w:t>
            </w:r>
            <w:r w:rsidR="00621F15" w:rsidRPr="00A250C6">
              <w:rPr>
                <w:i/>
                <w:sz w:val="20"/>
                <w:szCs w:val="20"/>
              </w:rPr>
              <w:t>(proposed</w:t>
            </w:r>
            <w:r>
              <w:rPr>
                <w:i/>
                <w:sz w:val="20"/>
                <w:szCs w:val="20"/>
              </w:rPr>
              <w:t xml:space="preserve"> NQF</w:t>
            </w:r>
            <w:r w:rsidR="00621F15" w:rsidRPr="00A250C6">
              <w:rPr>
                <w:i/>
                <w:sz w:val="20"/>
                <w:szCs w:val="20"/>
              </w:rPr>
              <w:t>)</w:t>
            </w:r>
          </w:p>
          <w:p w14:paraId="77BF755F" w14:textId="77777777" w:rsidR="002C29F6" w:rsidRPr="00A250C6" w:rsidRDefault="002C29F6" w:rsidP="00BF09CC">
            <w:pPr>
              <w:spacing w:after="0" w:line="240" w:lineRule="auto"/>
              <w:rPr>
                <w:sz w:val="20"/>
                <w:szCs w:val="20"/>
              </w:rPr>
            </w:pPr>
            <w:r w:rsidRPr="00A250C6">
              <w:rPr>
                <w:i/>
                <w:sz w:val="20"/>
                <w:szCs w:val="20"/>
              </w:rPr>
              <w:t>plus</w:t>
            </w:r>
            <w:r w:rsidRPr="00A250C6">
              <w:rPr>
                <w:sz w:val="20"/>
                <w:szCs w:val="20"/>
              </w:rPr>
              <w:t xml:space="preserve"> Tokelau</w:t>
            </w:r>
          </w:p>
        </w:tc>
        <w:tc>
          <w:tcPr>
            <w:tcW w:w="1666" w:type="pct"/>
          </w:tcPr>
          <w:p w14:paraId="0706BA45" w14:textId="07EDB524" w:rsidR="002C29F6" w:rsidRPr="00A250C6" w:rsidRDefault="002C29F6" w:rsidP="00BF09CC">
            <w:pPr>
              <w:spacing w:after="0" w:line="240" w:lineRule="auto"/>
              <w:rPr>
                <w:sz w:val="20"/>
                <w:szCs w:val="20"/>
              </w:rPr>
            </w:pPr>
            <w:r w:rsidRPr="00A250C6">
              <w:rPr>
                <w:sz w:val="20"/>
                <w:szCs w:val="20"/>
              </w:rPr>
              <w:t>Cook Islands,</w:t>
            </w:r>
            <w:r w:rsidR="0070471E" w:rsidRPr="00A250C6">
              <w:rPr>
                <w:sz w:val="20"/>
                <w:szCs w:val="20"/>
              </w:rPr>
              <w:t>*</w:t>
            </w:r>
            <w:r w:rsidRPr="00A250C6">
              <w:rPr>
                <w:sz w:val="20"/>
                <w:szCs w:val="20"/>
              </w:rPr>
              <w:t xml:space="preserve"> Marshall Islands,* Micronesia,* Nauru,* Niue,* Palau,* French Polynesia, Guam, New Caledonia, Northern Mariana Islands, Pitcairn Islands, and Wallis and Futuna</w:t>
            </w:r>
          </w:p>
        </w:tc>
      </w:tr>
    </w:tbl>
    <w:p w14:paraId="22147576" w14:textId="10B82095" w:rsidR="002C29F6" w:rsidRPr="00BA1836" w:rsidRDefault="002C29F6" w:rsidP="0094035B">
      <w:pPr>
        <w:spacing w:before="0" w:line="240" w:lineRule="auto"/>
        <w:rPr>
          <w:sz w:val="20"/>
        </w:rPr>
      </w:pPr>
      <w:r w:rsidRPr="00BA1836">
        <w:rPr>
          <w:sz w:val="20"/>
        </w:rPr>
        <w:t xml:space="preserve">Note: </w:t>
      </w:r>
      <w:r w:rsidR="00DA2C52">
        <w:rPr>
          <w:sz w:val="20"/>
        </w:rPr>
        <w:t xml:space="preserve">Additional </w:t>
      </w:r>
      <w:r w:rsidRPr="00BA1836">
        <w:rPr>
          <w:sz w:val="20"/>
        </w:rPr>
        <w:t>*</w:t>
      </w:r>
      <w:r w:rsidR="004A3C94">
        <w:rPr>
          <w:sz w:val="20"/>
        </w:rPr>
        <w:t xml:space="preserve"> PIF countries and territories</w:t>
      </w:r>
    </w:p>
    <w:p w14:paraId="5F751DDC" w14:textId="7D7014C0" w:rsidR="0095443F" w:rsidRDefault="002C29F6" w:rsidP="00BF09CC">
      <w:pPr>
        <w:spacing w:line="240" w:lineRule="auto"/>
      </w:pPr>
      <w:r w:rsidRPr="00F7634E">
        <w:t xml:space="preserve">The focus of </w:t>
      </w:r>
      <w:r w:rsidR="00B607BC">
        <w:t>ASU</w:t>
      </w:r>
      <w:r w:rsidR="00B607BC" w:rsidRPr="00F7634E">
        <w:t xml:space="preserve"> </w:t>
      </w:r>
      <w:r w:rsidRPr="00F7634E">
        <w:t xml:space="preserve">activities over the past years </w:t>
      </w:r>
      <w:r w:rsidR="0077173E" w:rsidRPr="00F7634E">
        <w:t>has</w:t>
      </w:r>
      <w:r w:rsidRPr="00F7634E">
        <w:t xml:space="preserve"> be</w:t>
      </w:r>
      <w:r w:rsidR="0077173E" w:rsidRPr="00F7634E">
        <w:t>en</w:t>
      </w:r>
      <w:r w:rsidRPr="00F7634E">
        <w:t xml:space="preserve"> limited to a </w:t>
      </w:r>
      <w:r w:rsidR="00891DFB">
        <w:t xml:space="preserve">small </w:t>
      </w:r>
      <w:r w:rsidRPr="00F7634E">
        <w:t xml:space="preserve">number of countries within its scope (i.e. </w:t>
      </w:r>
      <w:r w:rsidR="00133F4B">
        <w:t xml:space="preserve">eight </w:t>
      </w:r>
      <w:r w:rsidRPr="00F7634E">
        <w:t>countries in Groups 1 and 2)</w:t>
      </w:r>
      <w:r w:rsidR="0077173E" w:rsidRPr="00F7634E">
        <w:t xml:space="preserve">. The focus has been on establishing the qualifications component of the PRQS and </w:t>
      </w:r>
      <w:r w:rsidR="00133F4B">
        <w:t>o</w:t>
      </w:r>
      <w:r w:rsidR="0077173E" w:rsidRPr="00F7634E">
        <w:t>n supporting country developments in terms of NQFs and quality assurance.</w:t>
      </w:r>
      <w:r w:rsidRPr="00F7634E">
        <w:t xml:space="preserve"> </w:t>
      </w:r>
    </w:p>
    <w:p w14:paraId="72723A4C" w14:textId="49BCC0C8" w:rsidR="00227143" w:rsidRDefault="00227143" w:rsidP="00BF09CC">
      <w:pPr>
        <w:spacing w:line="240" w:lineRule="auto"/>
      </w:pPr>
      <w:r w:rsidRPr="00F7634E">
        <w:t xml:space="preserve">The ASU has taken </w:t>
      </w:r>
      <w:r w:rsidR="00E9622B" w:rsidRPr="00F7634E">
        <w:t>on m</w:t>
      </w:r>
      <w:r w:rsidRPr="00F7634E">
        <w:t>ultiple roles</w:t>
      </w:r>
      <w:r w:rsidR="00CE4F39">
        <w:t>,</w:t>
      </w:r>
      <w:r w:rsidR="00B607BC">
        <w:t xml:space="preserve"> including</w:t>
      </w:r>
      <w:r w:rsidRPr="00F7634E">
        <w:t xml:space="preserve"> support of competent bodies and national initiatives, provision of workshops, accreditation and registration</w:t>
      </w:r>
      <w:r w:rsidR="002838E0">
        <w:t>,</w:t>
      </w:r>
      <w:r w:rsidRPr="00F7634E">
        <w:t xml:space="preserve"> </w:t>
      </w:r>
      <w:r w:rsidR="002838E0" w:rsidRPr="00F7634E">
        <w:t>and</w:t>
      </w:r>
      <w:r w:rsidRPr="00F7634E">
        <w:t xml:space="preserve"> quality assurance of the competent bodies</w:t>
      </w:r>
      <w:r w:rsidR="005C649D">
        <w:t>.</w:t>
      </w:r>
      <w:r>
        <w:t xml:space="preserve"> </w:t>
      </w:r>
    </w:p>
    <w:p w14:paraId="692AF1AF" w14:textId="7E843A1D" w:rsidR="000A342D" w:rsidRPr="00CE4F39" w:rsidRDefault="007A639F" w:rsidP="00BF09CC">
      <w:pPr>
        <w:spacing w:line="240" w:lineRule="auto"/>
      </w:pPr>
      <w:r>
        <w:t>For the</w:t>
      </w:r>
      <w:r w:rsidR="00FF4EA9" w:rsidRPr="00CE4F39">
        <w:t xml:space="preserve"> annual </w:t>
      </w:r>
      <w:r w:rsidR="007F4C71" w:rsidRPr="00CE4F39">
        <w:t>work</w:t>
      </w:r>
      <w:r w:rsidR="00C25466" w:rsidRPr="00CE4F39">
        <w:t xml:space="preserve"> </w:t>
      </w:r>
      <w:r w:rsidR="00FF4EA9" w:rsidRPr="00CE4F39">
        <w:t xml:space="preserve">plan, </w:t>
      </w:r>
      <w:r w:rsidR="0095443F" w:rsidRPr="00CE4F39">
        <w:t xml:space="preserve">ASU team </w:t>
      </w:r>
      <w:r w:rsidR="00FF4EA9" w:rsidRPr="00CE4F39">
        <w:t>contact</w:t>
      </w:r>
      <w:r w:rsidR="0095443F" w:rsidRPr="00CE4F39">
        <w:t xml:space="preserve"> countries seeking actions to support. </w:t>
      </w:r>
      <w:r>
        <w:t xml:space="preserve">Feedback </w:t>
      </w:r>
      <w:r w:rsidR="00FF4EA9" w:rsidRPr="00CE4F39">
        <w:t>is collated and a work</w:t>
      </w:r>
      <w:r w:rsidR="00C25466" w:rsidRPr="00CE4F39">
        <w:t xml:space="preserve"> </w:t>
      </w:r>
      <w:r w:rsidR="00FF4EA9" w:rsidRPr="00CE4F39">
        <w:t xml:space="preserve">plan developed. This </w:t>
      </w:r>
      <w:r w:rsidR="0095443F" w:rsidRPr="00CE4F39">
        <w:t xml:space="preserve">approach has led to </w:t>
      </w:r>
      <w:r w:rsidR="00FF4EA9" w:rsidRPr="00CE4F39">
        <w:t>the ASU</w:t>
      </w:r>
      <w:r w:rsidR="0095443F" w:rsidRPr="00CE4F39">
        <w:t xml:space="preserve"> </w:t>
      </w:r>
      <w:r w:rsidR="002C29F6" w:rsidRPr="00CE4F39">
        <w:t xml:space="preserve">responding to specific and immediate needs of countries </w:t>
      </w:r>
      <w:r w:rsidR="00FF4EA9" w:rsidRPr="00CE4F39">
        <w:t>as</w:t>
      </w:r>
      <w:r w:rsidR="002C29F6" w:rsidRPr="00CE4F39">
        <w:t xml:space="preserve"> opposed to </w:t>
      </w:r>
      <w:r>
        <w:t xml:space="preserve">developing </w:t>
      </w:r>
      <w:r w:rsidR="002C29F6" w:rsidRPr="00CE4F39">
        <w:t xml:space="preserve">a strategic view of the role of the PRQS in the </w:t>
      </w:r>
      <w:r w:rsidR="0095443F" w:rsidRPr="00CE4F39">
        <w:t xml:space="preserve">longer term and of supporting its key identified priorities. </w:t>
      </w:r>
      <w:r w:rsidR="002D228E" w:rsidRPr="00CE4F39">
        <w:t>This</w:t>
      </w:r>
      <w:r w:rsidR="0077173E" w:rsidRPr="00CE4F39">
        <w:t xml:space="preserve"> </w:t>
      </w:r>
      <w:r w:rsidR="00562121" w:rsidRPr="00CE4F39">
        <w:t>work</w:t>
      </w:r>
      <w:r w:rsidR="00C25466" w:rsidRPr="00CE4F39">
        <w:t xml:space="preserve"> </w:t>
      </w:r>
      <w:r w:rsidR="00562121" w:rsidRPr="00CE4F39">
        <w:t xml:space="preserve">plan </w:t>
      </w:r>
      <w:r w:rsidR="0095443F" w:rsidRPr="00CE4F39">
        <w:t>approach</w:t>
      </w:r>
      <w:r w:rsidR="0077173E" w:rsidRPr="00CE4F39">
        <w:t xml:space="preserve"> </w:t>
      </w:r>
      <w:r w:rsidR="00A46DBA" w:rsidRPr="00CE4F39">
        <w:t xml:space="preserve">has </w:t>
      </w:r>
      <w:r w:rsidR="0077173E" w:rsidRPr="00CE4F39">
        <w:t xml:space="preserve">meant that other country stakeholders, </w:t>
      </w:r>
      <w:r w:rsidR="0061088A" w:rsidRPr="00CE4F39">
        <w:t xml:space="preserve">including but not limited to </w:t>
      </w:r>
      <w:r w:rsidR="0077173E" w:rsidRPr="00CE4F39">
        <w:t>those in</w:t>
      </w:r>
      <w:r w:rsidR="003E7307" w:rsidRPr="00CE4F39">
        <w:t xml:space="preserve"> the </w:t>
      </w:r>
      <w:r w:rsidR="0095443F" w:rsidRPr="00CE4F39">
        <w:t xml:space="preserve">broader </w:t>
      </w:r>
      <w:r w:rsidR="003E7307" w:rsidRPr="00CE4F39">
        <w:t xml:space="preserve">Pacific Island Forum group, may not </w:t>
      </w:r>
      <w:r w:rsidR="00CE4F39" w:rsidRPr="00CE4F39">
        <w:t xml:space="preserve">have </w:t>
      </w:r>
      <w:r w:rsidR="003E7307" w:rsidRPr="00CE4F39">
        <w:t xml:space="preserve">identified </w:t>
      </w:r>
      <w:r w:rsidR="00292864" w:rsidRPr="00CE4F39">
        <w:t xml:space="preserve">with </w:t>
      </w:r>
      <w:r w:rsidR="003E7307" w:rsidRPr="00CE4F39">
        <w:t xml:space="preserve">the </w:t>
      </w:r>
      <w:r w:rsidR="002368BF" w:rsidRPr="00CE4F39">
        <w:t xml:space="preserve">potential or real </w:t>
      </w:r>
      <w:r w:rsidR="003E7307" w:rsidRPr="00CE4F39">
        <w:t>benefit</w:t>
      </w:r>
      <w:r w:rsidR="00292864" w:rsidRPr="00CE4F39">
        <w:t>s</w:t>
      </w:r>
      <w:r w:rsidR="003E7307" w:rsidRPr="00CE4F39">
        <w:t xml:space="preserve"> of the PRQS</w:t>
      </w:r>
      <w:r w:rsidR="003309B7" w:rsidRPr="00CE4F39">
        <w:t xml:space="preserve"> or </w:t>
      </w:r>
      <w:r w:rsidR="00CE4F39" w:rsidRPr="00CE4F39">
        <w:t xml:space="preserve">not </w:t>
      </w:r>
      <w:r w:rsidR="003309B7" w:rsidRPr="00CE4F39">
        <w:t>fully engaged in its progress</w:t>
      </w:r>
      <w:r w:rsidR="003E7307" w:rsidRPr="00CE4F39">
        <w:t xml:space="preserve">. </w:t>
      </w:r>
    </w:p>
    <w:p w14:paraId="639F8C76" w14:textId="1B5D885F" w:rsidR="009E3049" w:rsidRDefault="00166B94" w:rsidP="00BF09CC">
      <w:pPr>
        <w:spacing w:line="240" w:lineRule="auto"/>
      </w:pPr>
      <w:r>
        <w:t xml:space="preserve">Interview and survey responses indicated that PICTs, especially those with an emerging qualifications system, have found the support of ASU very valuable and indicated that the support was still a future need (e.g. assistance in setting up a national register). One country, however, noted that it could not ‘but feel that [our country] may be under served with the PRQS work’. Overall there was a sense that respondents wanted more clear benefits, transparency of processes, more engagement and a greater ‘say’ in implementation. </w:t>
      </w:r>
      <w:r w:rsidR="0095443F" w:rsidRPr="00CE4F39">
        <w:t xml:space="preserve">It is timely for the ASU to consider a more proactive role in supporting the PIF countries </w:t>
      </w:r>
      <w:r w:rsidR="0095443F" w:rsidRPr="00CE4F39">
        <w:lastRenderedPageBreak/>
        <w:t>and territories</w:t>
      </w:r>
      <w:r w:rsidR="0095443F">
        <w:t xml:space="preserve"> to develop a </w:t>
      </w:r>
      <w:r w:rsidR="00506D0C">
        <w:t xml:space="preserve">Pacific </w:t>
      </w:r>
      <w:r w:rsidR="0095443F">
        <w:t xml:space="preserve">strategic plan with medium and </w:t>
      </w:r>
      <w:r w:rsidR="004A3C94">
        <w:t>long-term</w:t>
      </w:r>
      <w:r w:rsidR="0095443F">
        <w:t xml:space="preserve"> goals to meet identified priorities</w:t>
      </w:r>
      <w:r w:rsidR="002D228E">
        <w:t xml:space="preserve"> and support of regional </w:t>
      </w:r>
      <w:r w:rsidR="009C47CB">
        <w:t>initiatives</w:t>
      </w:r>
      <w:r w:rsidR="0095443F">
        <w:t xml:space="preserve">. </w:t>
      </w:r>
    </w:p>
    <w:p w14:paraId="7ADC708B" w14:textId="6B022DAA" w:rsidR="009E3049" w:rsidRPr="00331CC5" w:rsidRDefault="00331CC5" w:rsidP="00594742">
      <w:pPr>
        <w:pStyle w:val="Heading2"/>
        <w:rPr>
          <w:color w:val="95050F"/>
        </w:rPr>
      </w:pPr>
      <w:bookmarkStart w:id="37" w:name="_Toc458938579"/>
      <w:bookmarkStart w:id="38" w:name="_Toc462755558"/>
      <w:r w:rsidRPr="00331CC5">
        <w:rPr>
          <w:color w:val="95050F"/>
        </w:rPr>
        <w:t>2</w:t>
      </w:r>
      <w:r w:rsidR="00B4418E" w:rsidRPr="00331CC5">
        <w:rPr>
          <w:color w:val="95050F"/>
        </w:rPr>
        <w:t xml:space="preserve">.5 </w:t>
      </w:r>
      <w:r w:rsidR="009E3049" w:rsidRPr="00331CC5">
        <w:rPr>
          <w:color w:val="95050F"/>
        </w:rPr>
        <w:t>Ownership</w:t>
      </w:r>
      <w:r w:rsidR="00D41F82" w:rsidRPr="00331CC5">
        <w:rPr>
          <w:color w:val="95050F"/>
        </w:rPr>
        <w:t xml:space="preserve"> and</w:t>
      </w:r>
      <w:r w:rsidR="00E63FD1" w:rsidRPr="00331CC5">
        <w:rPr>
          <w:color w:val="95050F"/>
        </w:rPr>
        <w:t xml:space="preserve"> </w:t>
      </w:r>
      <w:r w:rsidR="009E3049" w:rsidRPr="00331CC5">
        <w:rPr>
          <w:color w:val="95050F"/>
        </w:rPr>
        <w:t xml:space="preserve">engagement </w:t>
      </w:r>
      <w:r w:rsidR="002368BF" w:rsidRPr="00331CC5">
        <w:rPr>
          <w:color w:val="95050F"/>
        </w:rPr>
        <w:t>of</w:t>
      </w:r>
      <w:r w:rsidR="00935491" w:rsidRPr="00331CC5">
        <w:rPr>
          <w:color w:val="95050F"/>
        </w:rPr>
        <w:t xml:space="preserve"> stakeholders</w:t>
      </w:r>
      <w:bookmarkEnd w:id="37"/>
      <w:bookmarkEnd w:id="38"/>
      <w:r w:rsidR="00E63FD1" w:rsidRPr="00331CC5">
        <w:rPr>
          <w:color w:val="95050F"/>
        </w:rPr>
        <w:t xml:space="preserve"> </w:t>
      </w:r>
    </w:p>
    <w:p w14:paraId="228BB5E3" w14:textId="656763ED" w:rsidR="001515B9" w:rsidRDefault="001A70BF" w:rsidP="00BF09CC">
      <w:pPr>
        <w:spacing w:line="240" w:lineRule="auto"/>
      </w:pPr>
      <w:r>
        <w:t>As previously mentioned</w:t>
      </w:r>
      <w:r w:rsidR="00CE4F39">
        <w:t>,</w:t>
      </w:r>
      <w:r>
        <w:t xml:space="preserve"> the PRQS stakeholders are those of the PIF countries and territories, with an advisory board </w:t>
      </w:r>
      <w:r w:rsidR="00A46DBA">
        <w:t>that gives</w:t>
      </w:r>
      <w:r>
        <w:t xml:space="preserve"> voting rights to those with a </w:t>
      </w:r>
      <w:r w:rsidR="001515B9">
        <w:t xml:space="preserve">recognised agency. </w:t>
      </w:r>
      <w:r w:rsidR="00A46DBA">
        <w:t>All other countries and territories are observers. If the PRQS is to grow as a regional framework</w:t>
      </w:r>
      <w:r w:rsidR="004830D0">
        <w:t>,</w:t>
      </w:r>
      <w:r w:rsidR="00A46DBA">
        <w:t xml:space="preserve"> it needs to engage a broader Pacific community and provide benefits to the broader group. </w:t>
      </w:r>
    </w:p>
    <w:p w14:paraId="3971C98D" w14:textId="0182521F" w:rsidR="001515B9" w:rsidRDefault="007F3837" w:rsidP="00BF09CC">
      <w:pPr>
        <w:spacing w:line="240" w:lineRule="auto"/>
      </w:pPr>
      <w:r>
        <w:t>At</w:t>
      </w:r>
      <w:r w:rsidR="001515B9">
        <w:t xml:space="preserve"> this stage</w:t>
      </w:r>
      <w:r w:rsidR="00621F15">
        <w:t>,</w:t>
      </w:r>
      <w:r w:rsidR="001515B9">
        <w:t xml:space="preserve"> the implementation of the PRQS has not provided an effective</w:t>
      </w:r>
      <w:r w:rsidR="001515B9" w:rsidRPr="00DF1F2D">
        <w:t xml:space="preserve"> forum for collaboration and harmoni</w:t>
      </w:r>
      <w:r w:rsidR="00ED1337">
        <w:t>s</w:t>
      </w:r>
      <w:r w:rsidR="001515B9" w:rsidRPr="00DF1F2D">
        <w:t xml:space="preserve">ation </w:t>
      </w:r>
      <w:r w:rsidR="001515B9">
        <w:t>for other countries and territories in</w:t>
      </w:r>
      <w:r w:rsidR="001515B9" w:rsidRPr="00DF1F2D">
        <w:t xml:space="preserve"> the greater Pacific region</w:t>
      </w:r>
      <w:r w:rsidR="001515B9">
        <w:t>, in particular the other PIF countries and territories not in Groups 1 and 2</w:t>
      </w:r>
      <w:r w:rsidR="009159CB">
        <w:t xml:space="preserve"> </w:t>
      </w:r>
      <w:r w:rsidR="009159CB" w:rsidRPr="00FC3295">
        <w:t>(</w:t>
      </w:r>
      <w:r w:rsidR="00FC3295" w:rsidRPr="004A3C94">
        <w:fldChar w:fldCharType="begin"/>
      </w:r>
      <w:r w:rsidR="00FC3295" w:rsidRPr="004A3C94">
        <w:instrText xml:space="preserve"> REF _Ref455494611 \h  \* MERGEFORMAT </w:instrText>
      </w:r>
      <w:r w:rsidR="00FC3295" w:rsidRPr="004A3C94">
        <w:fldChar w:fldCharType="separate"/>
      </w:r>
      <w:r w:rsidR="000C512A" w:rsidRPr="000C512A">
        <w:rPr>
          <w:noProof/>
        </w:rPr>
        <w:t>Table</w:t>
      </w:r>
      <w:r w:rsidR="000C512A" w:rsidRPr="000C512A">
        <w:t xml:space="preserve"> </w:t>
      </w:r>
      <w:r w:rsidR="000C512A" w:rsidRPr="000C512A">
        <w:rPr>
          <w:noProof/>
        </w:rPr>
        <w:t>1</w:t>
      </w:r>
      <w:r w:rsidR="00FC3295" w:rsidRPr="004A3C94">
        <w:fldChar w:fldCharType="end"/>
      </w:r>
      <w:r w:rsidR="009159CB" w:rsidRPr="004A3C94">
        <w:t>)</w:t>
      </w:r>
      <w:r w:rsidR="001515B9" w:rsidRPr="00FC3295">
        <w:t>.</w:t>
      </w:r>
      <w:r w:rsidR="001515B9">
        <w:t xml:space="preserve"> </w:t>
      </w:r>
      <w:r w:rsidR="00FD3C39">
        <w:t>At least one survey respondent indicated that</w:t>
      </w:r>
      <w:r w:rsidR="00E426AA">
        <w:t>,</w:t>
      </w:r>
      <w:r w:rsidR="00FD3C39">
        <w:t xml:space="preserve"> although they had engaged well in dialogue at the initial development of the PRQS</w:t>
      </w:r>
      <w:r w:rsidR="00E426AA">
        <w:t>,</w:t>
      </w:r>
      <w:r w:rsidR="00FD3C39">
        <w:t xml:space="preserve"> in recent years engagement was limited. </w:t>
      </w:r>
      <w:r w:rsidR="001515B9">
        <w:t xml:space="preserve">Given the regional context and the interest in labour and learner mobility, it is now timely to consider </w:t>
      </w:r>
      <w:r w:rsidR="00E65E8A">
        <w:t xml:space="preserve">a </w:t>
      </w:r>
      <w:r w:rsidR="001515B9">
        <w:t>shift of focus. At a minimum</w:t>
      </w:r>
      <w:r w:rsidR="00E426AA">
        <w:t>,</w:t>
      </w:r>
      <w:r w:rsidR="001515B9">
        <w:t xml:space="preserve"> a refined Pacific model should engage all PIF countries and territories on an equal status, and work towards engaging the greater Pacific region. </w:t>
      </w:r>
    </w:p>
    <w:p w14:paraId="5EBAEA97" w14:textId="16F1DF16" w:rsidR="00622350" w:rsidRDefault="009159CB" w:rsidP="00BF09CC">
      <w:pPr>
        <w:spacing w:line="240" w:lineRule="auto"/>
      </w:pPr>
      <w:r>
        <w:t xml:space="preserve">In addition, </w:t>
      </w:r>
      <w:r w:rsidRPr="0093034F">
        <w:rPr>
          <w:b/>
        </w:rPr>
        <w:t>t</w:t>
      </w:r>
      <w:r w:rsidR="001515B9" w:rsidRPr="0093034F">
        <w:rPr>
          <w:b/>
        </w:rPr>
        <w:t xml:space="preserve">he PRQS has developed out of an educational </w:t>
      </w:r>
      <w:r w:rsidR="00166B94" w:rsidRPr="0093034F">
        <w:rPr>
          <w:b/>
        </w:rPr>
        <w:t>context, which</w:t>
      </w:r>
      <w:r w:rsidR="001515B9" w:rsidRPr="0093034F">
        <w:rPr>
          <w:b/>
        </w:rPr>
        <w:t xml:space="preserve"> is similar to other regional </w:t>
      </w:r>
      <w:r w:rsidR="006F3A07" w:rsidRPr="0093034F">
        <w:rPr>
          <w:b/>
        </w:rPr>
        <w:t xml:space="preserve">qualifications </w:t>
      </w:r>
      <w:r w:rsidR="001515B9" w:rsidRPr="0093034F">
        <w:rPr>
          <w:b/>
        </w:rPr>
        <w:t>frameworks</w:t>
      </w:r>
      <w:r w:rsidR="001515B9">
        <w:t xml:space="preserve">. However, as the push for greater connectivity with labour and trade priorities (e.g. trade agreements, labour mobility) </w:t>
      </w:r>
      <w:r w:rsidR="00A46DBA">
        <w:t>increases</w:t>
      </w:r>
      <w:r w:rsidR="009938C7">
        <w:t>,</w:t>
      </w:r>
      <w:r w:rsidR="00A46DBA">
        <w:t xml:space="preserve"> </w:t>
      </w:r>
      <w:r w:rsidR="001515B9">
        <w:t xml:space="preserve">it is natural that </w:t>
      </w:r>
      <w:r w:rsidRPr="0093034F">
        <w:rPr>
          <w:b/>
        </w:rPr>
        <w:t>additional stakeholder groups need to be engaged</w:t>
      </w:r>
      <w:r>
        <w:t xml:space="preserve">. The </w:t>
      </w:r>
      <w:r w:rsidR="00166B94">
        <w:t>EQAP</w:t>
      </w:r>
      <w:r>
        <w:t xml:space="preserve"> report</w:t>
      </w:r>
      <w:r w:rsidR="005777DA">
        <w:t>s</w:t>
      </w:r>
      <w:r>
        <w:t xml:space="preserve"> to the F</w:t>
      </w:r>
      <w:r w:rsidR="00A46DBA">
        <w:t xml:space="preserve">orum Education Ministers, but </w:t>
      </w:r>
      <w:r w:rsidR="005777DA">
        <w:t>given the shift in focus</w:t>
      </w:r>
      <w:r w:rsidR="00E426AA">
        <w:t>,</w:t>
      </w:r>
      <w:r w:rsidR="005777DA">
        <w:t xml:space="preserve"> should</w:t>
      </w:r>
      <w:r w:rsidR="00A46DBA">
        <w:t xml:space="preserve"> also report to the Forum Economic Ministers and to Forum Trade Ministers. This would </w:t>
      </w:r>
      <w:r w:rsidR="00E426AA">
        <w:t xml:space="preserve">not only </w:t>
      </w:r>
      <w:r w:rsidR="00A46DBA">
        <w:t>provide for greater c</w:t>
      </w:r>
      <w:r w:rsidR="00622350" w:rsidRPr="002368BF">
        <w:t>onnectivity to labour and trade</w:t>
      </w:r>
      <w:r w:rsidR="00A46DBA">
        <w:t xml:space="preserve"> agendas but also increase the v</w:t>
      </w:r>
      <w:r w:rsidR="005777DA">
        <w:t xml:space="preserve">isibility of the Pacific model and align better with the proposed benefits. The support of the Forum Economic Ministers and </w:t>
      </w:r>
      <w:r w:rsidR="00EB40E8">
        <w:t xml:space="preserve">the </w:t>
      </w:r>
      <w:r w:rsidR="005777DA">
        <w:t xml:space="preserve">Forum Trade Ministers is also important for the future Pacific model in meeting its </w:t>
      </w:r>
      <w:r w:rsidR="00E65E8A">
        <w:t xml:space="preserve">labour mobility </w:t>
      </w:r>
      <w:r w:rsidR="005777DA">
        <w:t>goals.</w:t>
      </w:r>
    </w:p>
    <w:p w14:paraId="7D00EED0" w14:textId="6E455238" w:rsidR="00A46DBA" w:rsidRDefault="00A46DBA" w:rsidP="00BF09CC">
      <w:pPr>
        <w:spacing w:line="240" w:lineRule="auto"/>
      </w:pPr>
      <w:r w:rsidRPr="0093034F">
        <w:rPr>
          <w:b/>
        </w:rPr>
        <w:t xml:space="preserve">As in any regional </w:t>
      </w:r>
      <w:r w:rsidR="006F3A07" w:rsidRPr="0093034F">
        <w:rPr>
          <w:b/>
        </w:rPr>
        <w:t>framework,</w:t>
      </w:r>
      <w:r w:rsidRPr="0093034F">
        <w:rPr>
          <w:b/>
        </w:rPr>
        <w:t xml:space="preserve"> communication of the initiative </w:t>
      </w:r>
      <w:r w:rsidR="008A4BFF" w:rsidRPr="0093034F">
        <w:rPr>
          <w:b/>
        </w:rPr>
        <w:t xml:space="preserve">and what it provides </w:t>
      </w:r>
      <w:r w:rsidRPr="0093034F">
        <w:rPr>
          <w:b/>
        </w:rPr>
        <w:t>is paramount</w:t>
      </w:r>
      <w:r>
        <w:t xml:space="preserve">. </w:t>
      </w:r>
      <w:r w:rsidR="004A3C94">
        <w:br/>
      </w:r>
      <w:r>
        <w:t xml:space="preserve">The PRQS website and newsletter are </w:t>
      </w:r>
      <w:r w:rsidR="005777DA">
        <w:t>obvious</w:t>
      </w:r>
      <w:r>
        <w:t xml:space="preserve"> </w:t>
      </w:r>
      <w:r w:rsidR="00DA5924">
        <w:t>strategies for</w:t>
      </w:r>
      <w:r>
        <w:t xml:space="preserve"> communicat</w:t>
      </w:r>
      <w:r w:rsidR="00DA5924">
        <w:t>ing</w:t>
      </w:r>
      <w:r>
        <w:t xml:space="preserve"> the P</w:t>
      </w:r>
      <w:r w:rsidR="005777DA">
        <w:t xml:space="preserve">acific initiative. </w:t>
      </w:r>
      <w:r w:rsidR="00F24014">
        <w:t>However, g</w:t>
      </w:r>
      <w:r w:rsidR="00DA5924">
        <w:t xml:space="preserve">reater attention to details and </w:t>
      </w:r>
      <w:r w:rsidR="00124C06">
        <w:t>transparency</w:t>
      </w:r>
      <w:r w:rsidR="003B0962">
        <w:t xml:space="preserve"> of</w:t>
      </w:r>
      <w:r w:rsidR="00124C06">
        <w:t xml:space="preserve"> </w:t>
      </w:r>
      <w:r w:rsidR="00DA5924">
        <w:t xml:space="preserve">information </w:t>
      </w:r>
      <w:r w:rsidR="00E65E8A">
        <w:t xml:space="preserve">on the publically accessible database </w:t>
      </w:r>
      <w:r w:rsidR="00DA5924">
        <w:t xml:space="preserve">as well as </w:t>
      </w:r>
      <w:r w:rsidR="00E65E8A">
        <w:t xml:space="preserve">its </w:t>
      </w:r>
      <w:r w:rsidR="002D5508">
        <w:t>useability</w:t>
      </w:r>
      <w:r w:rsidR="00DA5924">
        <w:t xml:space="preserve"> is important and should be a key administrative activity in </w:t>
      </w:r>
      <w:r w:rsidR="00E65E8A">
        <w:t xml:space="preserve">a </w:t>
      </w:r>
      <w:r w:rsidR="00DA5924">
        <w:t xml:space="preserve">future </w:t>
      </w:r>
      <w:r w:rsidR="00E65E8A">
        <w:t xml:space="preserve">Pacific </w:t>
      </w:r>
      <w:r w:rsidR="00DA5924">
        <w:t xml:space="preserve">model. </w:t>
      </w:r>
    </w:p>
    <w:p w14:paraId="10C6C04E" w14:textId="73F9410C" w:rsidR="00D41F82" w:rsidRDefault="007F3837" w:rsidP="00BF09CC">
      <w:pPr>
        <w:spacing w:line="240" w:lineRule="auto"/>
      </w:pPr>
      <w:r>
        <w:t>The</w:t>
      </w:r>
      <w:r w:rsidR="00EF0A15">
        <w:t xml:space="preserve"> </w:t>
      </w:r>
      <w:r w:rsidR="00DA5924">
        <w:t xml:space="preserve">visibility of the PRQS beyond the level of national competent bodies was limited. To gain visibility, it is important that the </w:t>
      </w:r>
      <w:r>
        <w:t>PRQS</w:t>
      </w:r>
      <w:r w:rsidR="00DA5924">
        <w:t xml:space="preserve"> provides standardised information to </w:t>
      </w:r>
      <w:r w:rsidR="00EF0A15">
        <w:t xml:space="preserve">national competent bodies in </w:t>
      </w:r>
      <w:r w:rsidR="00DA5924">
        <w:t xml:space="preserve">PIF countries and territories for </w:t>
      </w:r>
      <w:r w:rsidR="00E65E8A">
        <w:t xml:space="preserve">use of further </w:t>
      </w:r>
      <w:r w:rsidR="00DA5924">
        <w:t xml:space="preserve">development </w:t>
      </w:r>
      <w:r w:rsidR="006B4A35">
        <w:t>into</w:t>
      </w:r>
      <w:r w:rsidR="00DA5924">
        <w:t xml:space="preserve"> national materials for the promotion of </w:t>
      </w:r>
      <w:r w:rsidR="00E65E8A">
        <w:t xml:space="preserve">a </w:t>
      </w:r>
      <w:r w:rsidR="00DA5924">
        <w:t xml:space="preserve">future </w:t>
      </w:r>
      <w:r w:rsidR="00E65E8A">
        <w:t xml:space="preserve">Pacific </w:t>
      </w:r>
      <w:r w:rsidR="00DA5924">
        <w:t xml:space="preserve">model. National communication strategies </w:t>
      </w:r>
      <w:r w:rsidR="002D2B7D">
        <w:t xml:space="preserve">and badging strategies </w:t>
      </w:r>
      <w:r w:rsidR="00DA5924">
        <w:t>should be focussed on engaging providers of educational services (</w:t>
      </w:r>
      <w:r w:rsidR="00C10337">
        <w:t>including</w:t>
      </w:r>
      <w:r w:rsidR="00E426AA">
        <w:t>,</w:t>
      </w:r>
      <w:r w:rsidR="00C10337">
        <w:t xml:space="preserve"> but not limited to</w:t>
      </w:r>
      <w:r w:rsidR="00E426AA">
        <w:t>,</w:t>
      </w:r>
      <w:r w:rsidR="00C10337">
        <w:t xml:space="preserve"> providers </w:t>
      </w:r>
      <w:r w:rsidR="00DA5924">
        <w:t xml:space="preserve">such as universities and training colleges) as well as employers and relevant professional associations. </w:t>
      </w:r>
    </w:p>
    <w:p w14:paraId="358D2AE1" w14:textId="5CD449F1" w:rsidR="00D73B28" w:rsidRPr="00331CC5" w:rsidRDefault="00331CC5" w:rsidP="00331CC5">
      <w:pPr>
        <w:pStyle w:val="Heading2"/>
        <w:rPr>
          <w:color w:val="95050F"/>
        </w:rPr>
      </w:pPr>
      <w:bookmarkStart w:id="39" w:name="_Toc458938580"/>
      <w:bookmarkStart w:id="40" w:name="_Toc462755559"/>
      <w:r w:rsidRPr="00331CC5">
        <w:rPr>
          <w:color w:val="95050F"/>
        </w:rPr>
        <w:t>2</w:t>
      </w:r>
      <w:r w:rsidR="00B4418E" w:rsidRPr="00331CC5">
        <w:rPr>
          <w:color w:val="95050F"/>
        </w:rPr>
        <w:t xml:space="preserve">.6 </w:t>
      </w:r>
      <w:r w:rsidR="00D73B28" w:rsidRPr="00331CC5">
        <w:rPr>
          <w:color w:val="95050F"/>
        </w:rPr>
        <w:t>Trust and common understanding</w:t>
      </w:r>
      <w:bookmarkEnd w:id="39"/>
      <w:bookmarkEnd w:id="40"/>
      <w:r w:rsidR="00D73B28" w:rsidRPr="00331CC5">
        <w:rPr>
          <w:color w:val="95050F"/>
        </w:rPr>
        <w:t xml:space="preserve"> </w:t>
      </w:r>
    </w:p>
    <w:p w14:paraId="02B5D74D" w14:textId="153A5452" w:rsidR="00414D8E" w:rsidRPr="00341924" w:rsidRDefault="00414D8E" w:rsidP="00BF09CC">
      <w:pPr>
        <w:autoSpaceDE w:val="0"/>
        <w:autoSpaceDN w:val="0"/>
        <w:adjustRightInd w:val="0"/>
        <w:spacing w:line="240" w:lineRule="auto"/>
        <w:rPr>
          <w:sz w:val="22"/>
          <w:szCs w:val="22"/>
        </w:rPr>
      </w:pPr>
      <w:r w:rsidRPr="00341924">
        <w:rPr>
          <w:sz w:val="22"/>
          <w:szCs w:val="22"/>
        </w:rPr>
        <w:t xml:space="preserve">One underlying assumption related to </w:t>
      </w:r>
      <w:r>
        <w:rPr>
          <w:sz w:val="22"/>
          <w:szCs w:val="22"/>
        </w:rPr>
        <w:t xml:space="preserve">regional qualifications frameworks and </w:t>
      </w:r>
      <w:r w:rsidRPr="00341924">
        <w:rPr>
          <w:sz w:val="22"/>
          <w:szCs w:val="22"/>
        </w:rPr>
        <w:t xml:space="preserve">the recognition of qualifications is </w:t>
      </w:r>
      <w:r>
        <w:rPr>
          <w:sz w:val="22"/>
          <w:szCs w:val="22"/>
        </w:rPr>
        <w:t>the level of</w:t>
      </w:r>
      <w:r w:rsidRPr="00341924">
        <w:rPr>
          <w:sz w:val="22"/>
          <w:szCs w:val="22"/>
        </w:rPr>
        <w:t xml:space="preserve"> trust </w:t>
      </w:r>
      <w:r>
        <w:rPr>
          <w:sz w:val="22"/>
          <w:szCs w:val="22"/>
        </w:rPr>
        <w:t>that can be placed in</w:t>
      </w:r>
      <w:r w:rsidRPr="00341924">
        <w:rPr>
          <w:sz w:val="22"/>
          <w:szCs w:val="22"/>
        </w:rPr>
        <w:t xml:space="preserve"> the qualification</w:t>
      </w:r>
      <w:r w:rsidR="00E65E8A">
        <w:rPr>
          <w:sz w:val="22"/>
          <w:szCs w:val="22"/>
        </w:rPr>
        <w:t>s</w:t>
      </w:r>
      <w:r w:rsidRPr="00341924">
        <w:rPr>
          <w:sz w:val="22"/>
          <w:szCs w:val="22"/>
        </w:rPr>
        <w:t xml:space="preserve"> </w:t>
      </w:r>
      <w:r>
        <w:rPr>
          <w:sz w:val="22"/>
          <w:szCs w:val="22"/>
        </w:rPr>
        <w:t>process</w:t>
      </w:r>
      <w:r w:rsidRPr="00341924">
        <w:rPr>
          <w:sz w:val="22"/>
          <w:szCs w:val="22"/>
        </w:rPr>
        <w:t xml:space="preserve"> and certificat</w:t>
      </w:r>
      <w:r>
        <w:rPr>
          <w:sz w:val="22"/>
          <w:szCs w:val="22"/>
        </w:rPr>
        <w:t>e</w:t>
      </w:r>
      <w:r w:rsidRPr="00341924">
        <w:rPr>
          <w:sz w:val="22"/>
          <w:szCs w:val="22"/>
        </w:rPr>
        <w:t xml:space="preserve"> issued. This trust is engendered by two key factors:</w:t>
      </w:r>
    </w:p>
    <w:p w14:paraId="151155E7" w14:textId="7A4FB689" w:rsidR="00414D8E" w:rsidRPr="00341924" w:rsidRDefault="0076745B" w:rsidP="00456131">
      <w:pPr>
        <w:pStyle w:val="ListParagraph"/>
        <w:numPr>
          <w:ilvl w:val="0"/>
          <w:numId w:val="61"/>
        </w:numPr>
      </w:pPr>
      <w:r w:rsidRPr="00341924">
        <w:t xml:space="preserve">Transparency and </w:t>
      </w:r>
      <w:r w:rsidR="005D03C8">
        <w:t xml:space="preserve">a </w:t>
      </w:r>
      <w:r w:rsidRPr="00341924">
        <w:t>common understanding of a country’s qualifications</w:t>
      </w:r>
      <w:r>
        <w:t xml:space="preserve"> and how they are developed and approved, as well as its education, training and qualifications institutions</w:t>
      </w:r>
      <w:r w:rsidR="00414D8E">
        <w:t xml:space="preserve">, </w:t>
      </w:r>
      <w:r w:rsidR="00414D8E" w:rsidRPr="00341924">
        <w:t xml:space="preserve">for example, </w:t>
      </w:r>
      <w:r w:rsidR="00414D8E">
        <w:t>as made evident through an agreed NQF</w:t>
      </w:r>
      <w:r w:rsidR="005D03C8">
        <w:rPr>
          <w:rStyle w:val="FootnoteReference"/>
        </w:rPr>
        <w:footnoteReference w:id="35"/>
      </w:r>
    </w:p>
    <w:p w14:paraId="551949D9" w14:textId="77777777" w:rsidR="00414D8E" w:rsidRPr="00341924" w:rsidRDefault="00414D8E" w:rsidP="00456131">
      <w:pPr>
        <w:pStyle w:val="ListParagraph"/>
        <w:numPr>
          <w:ilvl w:val="0"/>
          <w:numId w:val="61"/>
        </w:numPr>
      </w:pPr>
      <w:r w:rsidRPr="00341924">
        <w:lastRenderedPageBreak/>
        <w:t xml:space="preserve">The quality assurance </w:t>
      </w:r>
      <w:r>
        <w:t>process that operates</w:t>
      </w:r>
      <w:r w:rsidRPr="00341924">
        <w:t xml:space="preserve"> in each country. Without an accompanying quality assurance system a national qualifications framework ‘is unlikely to be effective in building the quality of and trust in national qualifications’.</w:t>
      </w:r>
      <w:r w:rsidRPr="00341924">
        <w:rPr>
          <w:rStyle w:val="FootnoteReference"/>
          <w:sz w:val="22"/>
          <w:szCs w:val="22"/>
        </w:rPr>
        <w:footnoteReference w:id="36"/>
      </w:r>
      <w:r w:rsidRPr="00341924">
        <w:t xml:space="preserve"> </w:t>
      </w:r>
    </w:p>
    <w:p w14:paraId="7B32AB8D" w14:textId="43DB0E11" w:rsidR="00D73B28" w:rsidRDefault="0060789F" w:rsidP="00BF09CC">
      <w:pPr>
        <w:spacing w:line="240" w:lineRule="auto"/>
      </w:pPr>
      <w:r>
        <w:t>Within the Pacific</w:t>
      </w:r>
      <w:r w:rsidR="003D7D02">
        <w:t xml:space="preserve">, </w:t>
      </w:r>
      <w:r w:rsidRPr="0093034F">
        <w:rPr>
          <w:b/>
        </w:rPr>
        <w:t xml:space="preserve">the level of trust </w:t>
      </w:r>
      <w:r w:rsidR="00460556" w:rsidRPr="0093034F">
        <w:rPr>
          <w:b/>
        </w:rPr>
        <w:t xml:space="preserve">amongst competent </w:t>
      </w:r>
      <w:r w:rsidR="005508CB" w:rsidRPr="0093034F">
        <w:rPr>
          <w:b/>
        </w:rPr>
        <w:t xml:space="preserve">QA </w:t>
      </w:r>
      <w:r w:rsidR="00460556" w:rsidRPr="0093034F">
        <w:rPr>
          <w:b/>
        </w:rPr>
        <w:t xml:space="preserve">bodies </w:t>
      </w:r>
      <w:r w:rsidRPr="0093034F">
        <w:rPr>
          <w:b/>
        </w:rPr>
        <w:t xml:space="preserve">is important, as without trust any attempts at mutual recognition of decisions made by competent bodies or any mutual recognition of qualifications or occupational outcomes </w:t>
      </w:r>
      <w:r w:rsidR="002C5EDD" w:rsidRPr="0093034F">
        <w:rPr>
          <w:b/>
        </w:rPr>
        <w:t>will</w:t>
      </w:r>
      <w:r w:rsidRPr="0093034F">
        <w:rPr>
          <w:b/>
        </w:rPr>
        <w:t xml:space="preserve"> falter.</w:t>
      </w:r>
      <w:r>
        <w:t xml:space="preserve"> </w:t>
      </w:r>
    </w:p>
    <w:p w14:paraId="7EA3A981" w14:textId="3E25B12E" w:rsidR="0060789F" w:rsidRDefault="0060789F" w:rsidP="00BF09CC">
      <w:pPr>
        <w:spacing w:line="240" w:lineRule="auto"/>
      </w:pPr>
      <w:r>
        <w:t>The review identified that</w:t>
      </w:r>
      <w:r w:rsidR="00E426AA">
        <w:t>,</w:t>
      </w:r>
      <w:r>
        <w:t xml:space="preserve"> although all interviewees agreed</w:t>
      </w:r>
      <w:r w:rsidR="00476AFB">
        <w:t xml:space="preserve"> with the PRQS and the underpinning</w:t>
      </w:r>
      <w:r w:rsidR="00E946E7">
        <w:t xml:space="preserve"> principles and </w:t>
      </w:r>
      <w:r w:rsidR="00476AFB">
        <w:t>structures (</w:t>
      </w:r>
      <w:r w:rsidR="00562121">
        <w:t xml:space="preserve">i.e. </w:t>
      </w:r>
      <w:r w:rsidR="00476AFB">
        <w:t>PQF and PQAF)</w:t>
      </w:r>
      <w:r w:rsidR="00127EAC">
        <w:t>,</w:t>
      </w:r>
      <w:r w:rsidR="00476AFB">
        <w:t xml:space="preserve"> the PRQS ha</w:t>
      </w:r>
      <w:r w:rsidR="00E426AA">
        <w:t>s</w:t>
      </w:r>
      <w:r w:rsidR="00476AFB">
        <w:t xml:space="preserve"> not </w:t>
      </w:r>
      <w:r w:rsidR="00127EAC" w:rsidRPr="00816EBE">
        <w:t>supported</w:t>
      </w:r>
      <w:r w:rsidR="00B854AE" w:rsidRPr="00816EBE">
        <w:t xml:space="preserve"> </w:t>
      </w:r>
      <w:r w:rsidR="00EC43F9" w:rsidRPr="00816EBE">
        <w:t>any</w:t>
      </w:r>
      <w:r w:rsidR="00DB092A" w:rsidRPr="00816EBE">
        <w:t xml:space="preserve"> significant</w:t>
      </w:r>
      <w:r w:rsidR="00DB092A">
        <w:t xml:space="preserve"> benefits, </w:t>
      </w:r>
      <w:r w:rsidR="00127EAC">
        <w:t>especially</w:t>
      </w:r>
      <w:r w:rsidR="00DB092A" w:rsidDel="00DB092A">
        <w:t xml:space="preserve"> </w:t>
      </w:r>
      <w:r w:rsidR="00476AFB">
        <w:t>in terms of recognition of agenc</w:t>
      </w:r>
      <w:r w:rsidR="00B854AE">
        <w:t>y decisions or of qualifications</w:t>
      </w:r>
      <w:r w:rsidR="00476AFB">
        <w:t xml:space="preserve">. </w:t>
      </w:r>
      <w:r w:rsidR="00871D1A">
        <w:t xml:space="preserve">The </w:t>
      </w:r>
      <w:r w:rsidR="00572A16">
        <w:t xml:space="preserve">small case study </w:t>
      </w:r>
      <w:r w:rsidR="00871D1A">
        <w:t xml:space="preserve">below outlines some basic operational issues faced by cross border providers. </w:t>
      </w: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80"/>
      </w:tblGrid>
      <w:tr w:rsidR="00476AFB" w:rsidRPr="00FD1E17" w14:paraId="37526199" w14:textId="77777777" w:rsidTr="00F8478A">
        <w:tc>
          <w:tcPr>
            <w:tcW w:w="5000" w:type="pct"/>
          </w:tcPr>
          <w:p w14:paraId="526289E0" w14:textId="136A52DC" w:rsidR="00476AFB" w:rsidRPr="00FD1E17" w:rsidRDefault="00B854AE" w:rsidP="00BF09CC">
            <w:pPr>
              <w:spacing w:line="240" w:lineRule="auto"/>
              <w:rPr>
                <w:sz w:val="20"/>
                <w:szCs w:val="20"/>
              </w:rPr>
            </w:pPr>
            <w:r w:rsidRPr="00FD1E17">
              <w:rPr>
                <w:sz w:val="20"/>
                <w:szCs w:val="20"/>
              </w:rPr>
              <w:t xml:space="preserve">For USP and </w:t>
            </w:r>
            <w:r w:rsidR="002C5EDD" w:rsidRPr="00FD1E17">
              <w:rPr>
                <w:sz w:val="20"/>
                <w:szCs w:val="20"/>
              </w:rPr>
              <w:t>Australia Pacific Technical College (</w:t>
            </w:r>
            <w:r w:rsidR="00F97D23" w:rsidRPr="00FD1E17">
              <w:rPr>
                <w:sz w:val="20"/>
                <w:szCs w:val="20"/>
              </w:rPr>
              <w:t>APTC)</w:t>
            </w:r>
            <w:r w:rsidR="00F24014" w:rsidRPr="00FD1E17">
              <w:rPr>
                <w:sz w:val="20"/>
                <w:szCs w:val="20"/>
              </w:rPr>
              <w:t>,</w:t>
            </w:r>
            <w:r w:rsidRPr="00FD1E17">
              <w:rPr>
                <w:sz w:val="20"/>
                <w:szCs w:val="20"/>
              </w:rPr>
              <w:t xml:space="preserve"> </w:t>
            </w:r>
            <w:r w:rsidR="00A11BB8" w:rsidRPr="00FD1E17">
              <w:rPr>
                <w:sz w:val="20"/>
                <w:szCs w:val="20"/>
              </w:rPr>
              <w:t>the</w:t>
            </w:r>
            <w:r w:rsidRPr="00FD1E17">
              <w:rPr>
                <w:sz w:val="20"/>
                <w:szCs w:val="20"/>
              </w:rPr>
              <w:t xml:space="preserve"> provision of services </w:t>
            </w:r>
            <w:r w:rsidR="00F24014" w:rsidRPr="00FD1E17">
              <w:rPr>
                <w:sz w:val="20"/>
                <w:szCs w:val="20"/>
              </w:rPr>
              <w:t xml:space="preserve">across borders </w:t>
            </w:r>
            <w:r w:rsidRPr="00FD1E17">
              <w:rPr>
                <w:sz w:val="20"/>
                <w:szCs w:val="20"/>
              </w:rPr>
              <w:t>is predicated on the following:</w:t>
            </w:r>
          </w:p>
          <w:p w14:paraId="6571D577" w14:textId="2A0920D6" w:rsidR="00B854AE" w:rsidRPr="00FD1E17" w:rsidRDefault="00B854AE" w:rsidP="00456131">
            <w:pPr>
              <w:pStyle w:val="ListParagraph"/>
              <w:numPr>
                <w:ilvl w:val="0"/>
                <w:numId w:val="77"/>
              </w:numPr>
              <w:rPr>
                <w:sz w:val="20"/>
                <w:szCs w:val="20"/>
              </w:rPr>
            </w:pPr>
            <w:r w:rsidRPr="00FD1E17">
              <w:rPr>
                <w:sz w:val="20"/>
                <w:szCs w:val="20"/>
              </w:rPr>
              <w:t xml:space="preserve">Seeking </w:t>
            </w:r>
            <w:r w:rsidR="00A54BC4" w:rsidRPr="00FD1E17">
              <w:rPr>
                <w:sz w:val="20"/>
                <w:szCs w:val="20"/>
              </w:rPr>
              <w:t xml:space="preserve">separate </w:t>
            </w:r>
            <w:r w:rsidRPr="00FD1E17">
              <w:rPr>
                <w:sz w:val="20"/>
                <w:szCs w:val="20"/>
              </w:rPr>
              <w:t xml:space="preserve">registration within </w:t>
            </w:r>
            <w:r w:rsidR="00A54BC4" w:rsidRPr="00FD1E17">
              <w:rPr>
                <w:sz w:val="20"/>
                <w:szCs w:val="20"/>
              </w:rPr>
              <w:t xml:space="preserve">each </w:t>
            </w:r>
            <w:r w:rsidRPr="00FD1E17">
              <w:rPr>
                <w:sz w:val="20"/>
                <w:szCs w:val="20"/>
              </w:rPr>
              <w:t>country – according to the application requirements</w:t>
            </w:r>
          </w:p>
          <w:p w14:paraId="6D40994E" w14:textId="7CA52A0D" w:rsidR="00B854AE" w:rsidRPr="00FD1E17" w:rsidRDefault="00B854AE" w:rsidP="00456131">
            <w:pPr>
              <w:pStyle w:val="ListParagraph"/>
              <w:numPr>
                <w:ilvl w:val="0"/>
                <w:numId w:val="77"/>
              </w:numPr>
              <w:rPr>
                <w:sz w:val="20"/>
                <w:szCs w:val="20"/>
              </w:rPr>
            </w:pPr>
            <w:r w:rsidRPr="00FD1E17">
              <w:rPr>
                <w:sz w:val="20"/>
                <w:szCs w:val="20"/>
              </w:rPr>
              <w:t xml:space="preserve">Seeking </w:t>
            </w:r>
            <w:r w:rsidR="00A54BC4" w:rsidRPr="00FD1E17">
              <w:rPr>
                <w:sz w:val="20"/>
                <w:szCs w:val="20"/>
              </w:rPr>
              <w:t xml:space="preserve">separate </w:t>
            </w:r>
            <w:r w:rsidRPr="00FD1E17">
              <w:rPr>
                <w:sz w:val="20"/>
                <w:szCs w:val="20"/>
              </w:rPr>
              <w:t xml:space="preserve">accreditation of each qualification within </w:t>
            </w:r>
            <w:r w:rsidR="00A54BC4" w:rsidRPr="00FD1E17">
              <w:rPr>
                <w:sz w:val="20"/>
                <w:szCs w:val="20"/>
              </w:rPr>
              <w:t xml:space="preserve">each </w:t>
            </w:r>
            <w:r w:rsidRPr="00FD1E17">
              <w:rPr>
                <w:sz w:val="20"/>
                <w:szCs w:val="20"/>
              </w:rPr>
              <w:t xml:space="preserve">country – according to the application process and application template. </w:t>
            </w:r>
          </w:p>
          <w:p w14:paraId="29CA4B1A" w14:textId="51AA2C65" w:rsidR="00B854AE" w:rsidRPr="00FD1E17" w:rsidRDefault="00B854AE" w:rsidP="00456131">
            <w:pPr>
              <w:pStyle w:val="ListParagraph"/>
              <w:numPr>
                <w:ilvl w:val="0"/>
                <w:numId w:val="77"/>
              </w:numPr>
              <w:rPr>
                <w:sz w:val="20"/>
                <w:szCs w:val="20"/>
              </w:rPr>
            </w:pPr>
            <w:r w:rsidRPr="00FD1E17">
              <w:rPr>
                <w:sz w:val="20"/>
                <w:szCs w:val="20"/>
              </w:rPr>
              <w:t xml:space="preserve">Seeking </w:t>
            </w:r>
            <w:r w:rsidR="00A54BC4" w:rsidRPr="00FD1E17">
              <w:rPr>
                <w:sz w:val="20"/>
                <w:szCs w:val="20"/>
              </w:rPr>
              <w:t xml:space="preserve">separate </w:t>
            </w:r>
            <w:r w:rsidRPr="00FD1E17">
              <w:rPr>
                <w:sz w:val="20"/>
                <w:szCs w:val="20"/>
              </w:rPr>
              <w:t>approval to deliver each accredited qualification</w:t>
            </w:r>
            <w:r w:rsidR="00F95D42" w:rsidRPr="00FD1E17">
              <w:rPr>
                <w:sz w:val="20"/>
                <w:szCs w:val="20"/>
              </w:rPr>
              <w:t xml:space="preserve"> within </w:t>
            </w:r>
            <w:r w:rsidR="00A54BC4" w:rsidRPr="00FD1E17">
              <w:rPr>
                <w:sz w:val="20"/>
                <w:szCs w:val="20"/>
              </w:rPr>
              <w:t xml:space="preserve">each </w:t>
            </w:r>
            <w:r w:rsidR="00F95D42" w:rsidRPr="00FD1E17">
              <w:rPr>
                <w:sz w:val="20"/>
                <w:szCs w:val="20"/>
              </w:rPr>
              <w:t>country</w:t>
            </w:r>
            <w:r w:rsidRPr="00FD1E17">
              <w:rPr>
                <w:sz w:val="20"/>
                <w:szCs w:val="20"/>
              </w:rPr>
              <w:t>.</w:t>
            </w:r>
          </w:p>
          <w:p w14:paraId="168BBD46" w14:textId="7470178A" w:rsidR="00F96159" w:rsidRPr="00FD1E17" w:rsidRDefault="00723B3C" w:rsidP="00BF09CC">
            <w:pPr>
              <w:spacing w:line="240" w:lineRule="auto"/>
              <w:rPr>
                <w:sz w:val="20"/>
                <w:szCs w:val="20"/>
              </w:rPr>
            </w:pPr>
            <w:r w:rsidRPr="00FD1E17">
              <w:rPr>
                <w:sz w:val="20"/>
                <w:szCs w:val="20"/>
              </w:rPr>
              <w:t xml:space="preserve">Within </w:t>
            </w:r>
            <w:r w:rsidR="00F24014" w:rsidRPr="00FD1E17">
              <w:rPr>
                <w:sz w:val="20"/>
                <w:szCs w:val="20"/>
              </w:rPr>
              <w:t xml:space="preserve">some </w:t>
            </w:r>
            <w:r w:rsidRPr="00FD1E17">
              <w:rPr>
                <w:sz w:val="20"/>
                <w:szCs w:val="20"/>
              </w:rPr>
              <w:t xml:space="preserve">countries, </w:t>
            </w:r>
            <w:r w:rsidR="00762E3A" w:rsidRPr="00FD1E17">
              <w:rPr>
                <w:sz w:val="20"/>
                <w:szCs w:val="20"/>
              </w:rPr>
              <w:t xml:space="preserve">competent bodies </w:t>
            </w:r>
            <w:r w:rsidR="00B27357" w:rsidRPr="00FD1E17">
              <w:rPr>
                <w:sz w:val="20"/>
                <w:szCs w:val="20"/>
              </w:rPr>
              <w:t>have legislation related to accreditation of qualifications and registration of institutions and are bound by these requirements. In other instances</w:t>
            </w:r>
            <w:r w:rsidRPr="00FD1E17">
              <w:rPr>
                <w:sz w:val="20"/>
                <w:szCs w:val="20"/>
              </w:rPr>
              <w:t>,</w:t>
            </w:r>
            <w:r w:rsidR="00B27357" w:rsidRPr="00FD1E17">
              <w:rPr>
                <w:sz w:val="20"/>
                <w:szCs w:val="20"/>
              </w:rPr>
              <w:t xml:space="preserve"> a history of practice may dictate how </w:t>
            </w:r>
            <w:r w:rsidR="00762E3A" w:rsidRPr="00FD1E17">
              <w:rPr>
                <w:sz w:val="20"/>
                <w:szCs w:val="20"/>
              </w:rPr>
              <w:t xml:space="preserve">such </w:t>
            </w:r>
            <w:r w:rsidR="00B27357" w:rsidRPr="00FD1E17">
              <w:rPr>
                <w:sz w:val="20"/>
                <w:szCs w:val="20"/>
              </w:rPr>
              <w:t xml:space="preserve">applications are addressed.  </w:t>
            </w:r>
            <w:r w:rsidR="00762E3A" w:rsidRPr="00FD1E17">
              <w:rPr>
                <w:sz w:val="20"/>
                <w:szCs w:val="20"/>
              </w:rPr>
              <w:t>Interviewees indicated that n</w:t>
            </w:r>
            <w:r w:rsidR="00743DBD" w:rsidRPr="00FD1E17">
              <w:rPr>
                <w:sz w:val="20"/>
                <w:szCs w:val="20"/>
              </w:rPr>
              <w:t xml:space="preserve">ational competent bodies in most instances are undertaking </w:t>
            </w:r>
            <w:r w:rsidR="00685307" w:rsidRPr="00FD1E17">
              <w:rPr>
                <w:sz w:val="20"/>
                <w:szCs w:val="20"/>
              </w:rPr>
              <w:t xml:space="preserve">a </w:t>
            </w:r>
            <w:r w:rsidR="00743DBD" w:rsidRPr="00FD1E17">
              <w:rPr>
                <w:sz w:val="20"/>
                <w:szCs w:val="20"/>
              </w:rPr>
              <w:t xml:space="preserve">full </w:t>
            </w:r>
            <w:r w:rsidR="00685307" w:rsidRPr="00FD1E17">
              <w:rPr>
                <w:sz w:val="20"/>
                <w:szCs w:val="20"/>
              </w:rPr>
              <w:t xml:space="preserve">evaluation </w:t>
            </w:r>
            <w:r w:rsidR="00743DBD" w:rsidRPr="00FD1E17">
              <w:rPr>
                <w:sz w:val="20"/>
                <w:szCs w:val="20"/>
              </w:rPr>
              <w:t xml:space="preserve">and approval process, with </w:t>
            </w:r>
            <w:r w:rsidR="00B27357" w:rsidRPr="00FD1E17">
              <w:rPr>
                <w:sz w:val="20"/>
                <w:szCs w:val="20"/>
              </w:rPr>
              <w:t>little quality gains and little value added. Streamlined processes are not implemented</w:t>
            </w:r>
            <w:r w:rsidR="00F27F80" w:rsidRPr="00FD1E17">
              <w:rPr>
                <w:sz w:val="20"/>
                <w:szCs w:val="20"/>
              </w:rPr>
              <w:t xml:space="preserve">; </w:t>
            </w:r>
            <w:r w:rsidR="00685307" w:rsidRPr="00FD1E17">
              <w:rPr>
                <w:sz w:val="20"/>
                <w:szCs w:val="20"/>
              </w:rPr>
              <w:t>suggest</w:t>
            </w:r>
            <w:r w:rsidR="00F24014" w:rsidRPr="00FD1E17">
              <w:rPr>
                <w:sz w:val="20"/>
                <w:szCs w:val="20"/>
              </w:rPr>
              <w:t>ing</w:t>
            </w:r>
            <w:r w:rsidR="00685307" w:rsidRPr="00FD1E17">
              <w:rPr>
                <w:sz w:val="20"/>
                <w:szCs w:val="20"/>
              </w:rPr>
              <w:t xml:space="preserve"> that</w:t>
            </w:r>
            <w:r w:rsidR="00B27357" w:rsidRPr="00FD1E17">
              <w:rPr>
                <w:sz w:val="20"/>
                <w:szCs w:val="20"/>
              </w:rPr>
              <w:t xml:space="preserve"> there is a lack of trust in the decisions made by another competent body. However, i</w:t>
            </w:r>
            <w:r w:rsidR="00762E3A" w:rsidRPr="00FD1E17">
              <w:rPr>
                <w:sz w:val="20"/>
                <w:szCs w:val="20"/>
              </w:rPr>
              <w:t>f</w:t>
            </w:r>
            <w:r w:rsidR="00B27357" w:rsidRPr="00FD1E17">
              <w:rPr>
                <w:sz w:val="20"/>
                <w:szCs w:val="20"/>
              </w:rPr>
              <w:t xml:space="preserve"> trust and mu</w:t>
            </w:r>
            <w:r w:rsidR="00762E3A" w:rsidRPr="00FD1E17">
              <w:rPr>
                <w:sz w:val="20"/>
                <w:szCs w:val="20"/>
              </w:rPr>
              <w:t>tual recognition of decisions were established</w:t>
            </w:r>
            <w:r w:rsidR="00B27357" w:rsidRPr="00FD1E17">
              <w:rPr>
                <w:sz w:val="20"/>
                <w:szCs w:val="20"/>
              </w:rPr>
              <w:t>, the required processes could be accommodated</w:t>
            </w:r>
            <w:r w:rsidR="00BD362A" w:rsidRPr="00FD1E17">
              <w:rPr>
                <w:sz w:val="20"/>
                <w:szCs w:val="20"/>
              </w:rPr>
              <w:t xml:space="preserve"> or streamlined</w:t>
            </w:r>
            <w:r w:rsidR="00B27357" w:rsidRPr="00FD1E17">
              <w:rPr>
                <w:sz w:val="20"/>
                <w:szCs w:val="20"/>
              </w:rPr>
              <w:t xml:space="preserve"> in a range of ways</w:t>
            </w:r>
            <w:r w:rsidR="004A3C94" w:rsidRPr="00FD1E17">
              <w:rPr>
                <w:sz w:val="20"/>
                <w:szCs w:val="20"/>
              </w:rPr>
              <w:t>,</w:t>
            </w:r>
            <w:r w:rsidR="007A6CC9" w:rsidRPr="00FD1E17">
              <w:rPr>
                <w:sz w:val="20"/>
                <w:szCs w:val="20"/>
              </w:rPr>
              <w:t xml:space="preserve"> </w:t>
            </w:r>
            <w:r w:rsidR="00F24014" w:rsidRPr="00FD1E17">
              <w:rPr>
                <w:sz w:val="20"/>
                <w:szCs w:val="20"/>
              </w:rPr>
              <w:t>such as</w:t>
            </w:r>
            <w:r w:rsidR="00B27357" w:rsidRPr="00FD1E17">
              <w:rPr>
                <w:sz w:val="20"/>
                <w:szCs w:val="20"/>
              </w:rPr>
              <w:t xml:space="preserve">. </w:t>
            </w:r>
          </w:p>
          <w:p w14:paraId="24BBDD59" w14:textId="75E43E30" w:rsidR="00743DBD" w:rsidRPr="00FD1E17" w:rsidRDefault="00743DBD" w:rsidP="00456131">
            <w:pPr>
              <w:pStyle w:val="ListParagraph"/>
              <w:numPr>
                <w:ilvl w:val="0"/>
                <w:numId w:val="76"/>
              </w:numPr>
              <w:rPr>
                <w:sz w:val="20"/>
                <w:szCs w:val="20"/>
              </w:rPr>
            </w:pPr>
            <w:r w:rsidRPr="00FD1E17">
              <w:rPr>
                <w:sz w:val="20"/>
                <w:szCs w:val="20"/>
              </w:rPr>
              <w:t>Only review approval to deliver within country</w:t>
            </w:r>
            <w:r w:rsidR="00F24014" w:rsidRPr="00FD1E17">
              <w:rPr>
                <w:sz w:val="20"/>
                <w:szCs w:val="20"/>
              </w:rPr>
              <w:t xml:space="preserve"> rather than full registration</w:t>
            </w:r>
            <w:r w:rsidRPr="00FD1E17">
              <w:rPr>
                <w:sz w:val="20"/>
                <w:szCs w:val="20"/>
              </w:rPr>
              <w:t>, or</w:t>
            </w:r>
          </w:p>
          <w:p w14:paraId="1264926F" w14:textId="74F0FA9A" w:rsidR="00B854AE" w:rsidRPr="00FD1E17" w:rsidRDefault="00F24014" w:rsidP="00456131">
            <w:pPr>
              <w:pStyle w:val="ListParagraph"/>
              <w:numPr>
                <w:ilvl w:val="0"/>
                <w:numId w:val="76"/>
              </w:numPr>
              <w:rPr>
                <w:sz w:val="20"/>
                <w:szCs w:val="20"/>
              </w:rPr>
            </w:pPr>
            <w:r w:rsidRPr="00FD1E17">
              <w:rPr>
                <w:sz w:val="20"/>
                <w:szCs w:val="20"/>
              </w:rPr>
              <w:t>Only check</w:t>
            </w:r>
            <w:r w:rsidR="00743DBD" w:rsidRPr="00FD1E17">
              <w:rPr>
                <w:sz w:val="20"/>
                <w:szCs w:val="20"/>
              </w:rPr>
              <w:t xml:space="preserve"> the additional requirements within the curriculum beyond that of the original approving agency.  </w:t>
            </w:r>
          </w:p>
        </w:tc>
      </w:tr>
    </w:tbl>
    <w:p w14:paraId="3F6D1346" w14:textId="0B5E6139" w:rsidR="00476AFB" w:rsidRDefault="00572A16" w:rsidP="00BF09CC">
      <w:pPr>
        <w:spacing w:line="240" w:lineRule="auto"/>
      </w:pPr>
      <w:r>
        <w:t xml:space="preserve">This small case study </w:t>
      </w:r>
      <w:r w:rsidR="007B1530">
        <w:t xml:space="preserve">indicates </w:t>
      </w:r>
      <w:r>
        <w:t>that there has been little traction gained in harmoni</w:t>
      </w:r>
      <w:r w:rsidR="00ED1337">
        <w:t>s</w:t>
      </w:r>
      <w:r>
        <w:t>ing accreditation and registration processes</w:t>
      </w:r>
      <w:r w:rsidR="0073287C">
        <w:t xml:space="preserve"> across the</w:t>
      </w:r>
      <w:r w:rsidR="00F96159">
        <w:t xml:space="preserve"> national</w:t>
      </w:r>
      <w:r w:rsidR="0073287C">
        <w:t xml:space="preserve"> competent bodies</w:t>
      </w:r>
      <w:r w:rsidR="002D2B7D">
        <w:t xml:space="preserve"> to </w:t>
      </w:r>
      <w:r w:rsidR="001F585C">
        <w:t xml:space="preserve">encourage </w:t>
      </w:r>
      <w:r w:rsidR="002D2B7D">
        <w:t>recognition of competent body decisions</w:t>
      </w:r>
      <w:r w:rsidR="0073287C">
        <w:t xml:space="preserve">. </w:t>
      </w:r>
      <w:r w:rsidR="005F3758">
        <w:t>A key focu</w:t>
      </w:r>
      <w:r w:rsidR="00002870">
        <w:t>s for the future Pacific model c</w:t>
      </w:r>
      <w:r w:rsidR="005F3758">
        <w:t xml:space="preserve">ould be to facilitate the </w:t>
      </w:r>
      <w:r w:rsidR="00ED1337">
        <w:t xml:space="preserve">harmonisation </w:t>
      </w:r>
      <w:r w:rsidR="005F3758">
        <w:t>of processes</w:t>
      </w:r>
      <w:r w:rsidR="005339C4">
        <w:t xml:space="preserve">, and build trust to </w:t>
      </w:r>
      <w:r w:rsidR="007B1530">
        <w:t xml:space="preserve">enable </w:t>
      </w:r>
      <w:r w:rsidR="005508CB">
        <w:t>competent QA body</w:t>
      </w:r>
      <w:r w:rsidR="005339C4">
        <w:t xml:space="preserve"> decisions </w:t>
      </w:r>
      <w:r w:rsidR="007B1530">
        <w:t xml:space="preserve">to be </w:t>
      </w:r>
      <w:r w:rsidR="005339C4">
        <w:t>accepted</w:t>
      </w:r>
      <w:r w:rsidR="005F3758">
        <w:t>.</w:t>
      </w:r>
    </w:p>
    <w:p w14:paraId="706D5484" w14:textId="33086128" w:rsidR="00831BB0" w:rsidRDefault="00871A58" w:rsidP="00BF09CC">
      <w:pPr>
        <w:spacing w:line="240" w:lineRule="auto"/>
      </w:pPr>
      <w:r>
        <w:t xml:space="preserve">The ASU has undertaken an alignment of NQFs to the PQF and of quality assurance arrangements of national competent </w:t>
      </w:r>
      <w:r w:rsidR="005508CB">
        <w:t xml:space="preserve">QA </w:t>
      </w:r>
      <w:r>
        <w:t>bodies</w:t>
      </w:r>
      <w:r w:rsidR="001F585C">
        <w:t xml:space="preserve"> to the PQAF</w:t>
      </w:r>
      <w:r>
        <w:t>. However</w:t>
      </w:r>
      <w:r w:rsidR="00816EBE">
        <w:t>,</w:t>
      </w:r>
      <w:r>
        <w:t xml:space="preserve"> these processes have not engendered trust in competent bod</w:t>
      </w:r>
      <w:r w:rsidR="00F27F80">
        <w:t>y</w:t>
      </w:r>
      <w:r>
        <w:t xml:space="preserve"> decisions. More recently, the competent </w:t>
      </w:r>
      <w:r w:rsidR="005508CB">
        <w:t xml:space="preserve">QA </w:t>
      </w:r>
      <w:r>
        <w:t xml:space="preserve">bodies </w:t>
      </w:r>
      <w:r w:rsidR="001F585C">
        <w:t xml:space="preserve">have </w:t>
      </w:r>
      <w:r>
        <w:t>undertake</w:t>
      </w:r>
      <w:r w:rsidR="001F585C">
        <w:t>n</w:t>
      </w:r>
      <w:r>
        <w:t xml:space="preserve"> a brief self</w:t>
      </w:r>
      <w:r w:rsidR="00394794">
        <w:t>-</w:t>
      </w:r>
      <w:r w:rsidR="00002870">
        <w:t xml:space="preserve">assessment and presented the findings </w:t>
      </w:r>
      <w:r>
        <w:t xml:space="preserve">to the community (Nadi 2016) </w:t>
      </w:r>
      <w:r w:rsidR="005959F2">
        <w:t xml:space="preserve">in the aim to </w:t>
      </w:r>
      <w:r w:rsidR="007B1530">
        <w:t xml:space="preserve">enhance </w:t>
      </w:r>
      <w:r w:rsidR="00002870">
        <w:t xml:space="preserve">a common </w:t>
      </w:r>
      <w:r w:rsidR="00F24014">
        <w:t>understanding</w:t>
      </w:r>
      <w:r>
        <w:t xml:space="preserve">. </w:t>
      </w:r>
    </w:p>
    <w:p w14:paraId="15D35A0D" w14:textId="4151C3C0" w:rsidR="00871A58" w:rsidRDefault="00871A58" w:rsidP="00BF09CC">
      <w:pPr>
        <w:spacing w:line="240" w:lineRule="auto"/>
      </w:pPr>
      <w:r>
        <w:t xml:space="preserve">Other regional framework models </w:t>
      </w:r>
      <w:r w:rsidR="00F27F80">
        <w:t>(</w:t>
      </w:r>
      <w:r>
        <w:t xml:space="preserve">e.g. </w:t>
      </w:r>
      <w:r w:rsidRPr="00100118">
        <w:t>EQF and AQRF</w:t>
      </w:r>
      <w:r w:rsidR="00F27F80" w:rsidRPr="00100118">
        <w:t>)</w:t>
      </w:r>
      <w:r w:rsidRPr="00100118">
        <w:t xml:space="preserve">, </w:t>
      </w:r>
      <w:r w:rsidR="00387A0B" w:rsidRPr="00100118">
        <w:t xml:space="preserve">include </w:t>
      </w:r>
      <w:r w:rsidRPr="00100118">
        <w:t xml:space="preserve">two key </w:t>
      </w:r>
      <w:r w:rsidR="008530A3" w:rsidRPr="00100118">
        <w:t>m</w:t>
      </w:r>
      <w:r w:rsidR="00127EAC" w:rsidRPr="00100118">
        <w:t xml:space="preserve">echanisms </w:t>
      </w:r>
      <w:r w:rsidRPr="00100118">
        <w:t>to promote trust and common understandings</w:t>
      </w:r>
      <w:r w:rsidR="009720B5" w:rsidRPr="00100118">
        <w:t>, coupled with high accountability</w:t>
      </w:r>
      <w:r w:rsidRPr="00100118">
        <w:t xml:space="preserve">. The most critical one is that of a robust referencing process </w:t>
      </w:r>
      <w:r w:rsidR="003E2347" w:rsidRPr="00100118">
        <w:t xml:space="preserve">undertaken by </w:t>
      </w:r>
      <w:r w:rsidR="00387A0B" w:rsidRPr="00100118">
        <w:t xml:space="preserve">each </w:t>
      </w:r>
      <w:r w:rsidR="00F27F80" w:rsidRPr="00100118">
        <w:t xml:space="preserve">country; </w:t>
      </w:r>
      <w:r w:rsidR="00387A0B" w:rsidRPr="00100118">
        <w:t>involving</w:t>
      </w:r>
      <w:r w:rsidRPr="00100118">
        <w:t xml:space="preserve"> country stakeholders, </w:t>
      </w:r>
      <w:r w:rsidR="00F27F80" w:rsidRPr="00100118">
        <w:t xml:space="preserve">an </w:t>
      </w:r>
      <w:r w:rsidRPr="00100118">
        <w:t>independent international expert</w:t>
      </w:r>
      <w:r w:rsidR="00387A0B" w:rsidRPr="00100118">
        <w:t>,</w:t>
      </w:r>
      <w:r w:rsidRPr="00100118">
        <w:t xml:space="preserve"> and representatives from member countries. The referencing process is informed by an agreed set of criteria and guidelines,</w:t>
      </w:r>
      <w:r w:rsidR="0046323B" w:rsidRPr="00100118">
        <w:rPr>
          <w:rStyle w:val="FootnoteReference"/>
        </w:rPr>
        <w:footnoteReference w:id="37"/>
      </w:r>
      <w:r w:rsidRPr="00100118">
        <w:t xml:space="preserve"> is peer reviewed and made public. Such processes promote national responsibility for transparency and quality assurance</w:t>
      </w:r>
      <w:r w:rsidR="00387A0B" w:rsidRPr="00100118">
        <w:t>, and</w:t>
      </w:r>
      <w:r w:rsidRPr="00100118">
        <w:t xml:space="preserve"> promote regional participation in the process. The second initiative is the use of concept notes</w:t>
      </w:r>
      <w:r>
        <w:t xml:space="preserve"> or guidelines</w:t>
      </w:r>
      <w:r w:rsidR="007B1530">
        <w:t>,</w:t>
      </w:r>
      <w:r>
        <w:t xml:space="preserve"> confirmed or endorsed by the community</w:t>
      </w:r>
      <w:r w:rsidR="002C5EDD">
        <w:t xml:space="preserve"> (</w:t>
      </w:r>
      <w:r w:rsidR="00FB4D8F">
        <w:t xml:space="preserve">e.g. </w:t>
      </w:r>
      <w:r>
        <w:t xml:space="preserve">learning outcomes, validation of </w:t>
      </w:r>
      <w:r w:rsidR="00C87539">
        <w:t xml:space="preserve">non-formal </w:t>
      </w:r>
      <w:r>
        <w:t xml:space="preserve">and informal learning). </w:t>
      </w:r>
    </w:p>
    <w:p w14:paraId="3C8DF05C" w14:textId="3EC4872C" w:rsidR="00670E54" w:rsidRPr="0093034F" w:rsidRDefault="007F3837" w:rsidP="00BF09CC">
      <w:pPr>
        <w:spacing w:line="240" w:lineRule="auto"/>
        <w:rPr>
          <w:b/>
        </w:rPr>
      </w:pPr>
      <w:r w:rsidRPr="0093034F">
        <w:rPr>
          <w:b/>
        </w:rPr>
        <w:lastRenderedPageBreak/>
        <w:t>A</w:t>
      </w:r>
      <w:r w:rsidR="00670E54" w:rsidRPr="0093034F">
        <w:rPr>
          <w:b/>
        </w:rPr>
        <w:t xml:space="preserve"> key focus for </w:t>
      </w:r>
      <w:r w:rsidR="0088529F" w:rsidRPr="0093034F">
        <w:rPr>
          <w:b/>
        </w:rPr>
        <w:t>a</w:t>
      </w:r>
      <w:r w:rsidR="00670E54" w:rsidRPr="0093034F">
        <w:rPr>
          <w:b/>
        </w:rPr>
        <w:t xml:space="preserve"> </w:t>
      </w:r>
      <w:r w:rsidR="0088529F" w:rsidRPr="0093034F">
        <w:rPr>
          <w:b/>
        </w:rPr>
        <w:t>future</w:t>
      </w:r>
      <w:r w:rsidR="00670E54" w:rsidRPr="0093034F">
        <w:rPr>
          <w:b/>
        </w:rPr>
        <w:t xml:space="preserve"> Pacific model </w:t>
      </w:r>
      <w:r w:rsidR="00992080" w:rsidRPr="0093034F">
        <w:rPr>
          <w:b/>
        </w:rPr>
        <w:t xml:space="preserve">should be </w:t>
      </w:r>
      <w:r w:rsidR="00670E54" w:rsidRPr="0093034F">
        <w:rPr>
          <w:b/>
        </w:rPr>
        <w:t>that of promoting trust and common understanding</w:t>
      </w:r>
      <w:r w:rsidR="000F5A01" w:rsidRPr="0093034F">
        <w:rPr>
          <w:b/>
        </w:rPr>
        <w:t>, of</w:t>
      </w:r>
      <w:r w:rsidR="00670E54" w:rsidRPr="0093034F">
        <w:rPr>
          <w:b/>
        </w:rPr>
        <w:t xml:space="preserve"> fostering national obligations in relation to the regional good</w:t>
      </w:r>
      <w:r w:rsidR="005339C4" w:rsidRPr="0093034F">
        <w:rPr>
          <w:b/>
        </w:rPr>
        <w:t>,</w:t>
      </w:r>
      <w:r w:rsidR="00670E54" w:rsidRPr="0093034F">
        <w:rPr>
          <w:b/>
        </w:rPr>
        <w:t xml:space="preserve"> and </w:t>
      </w:r>
      <w:r w:rsidR="000F5A01" w:rsidRPr="0093034F">
        <w:rPr>
          <w:b/>
        </w:rPr>
        <w:t xml:space="preserve">of </w:t>
      </w:r>
      <w:r w:rsidR="00670E54" w:rsidRPr="0093034F">
        <w:rPr>
          <w:b/>
        </w:rPr>
        <w:t>harmoni</w:t>
      </w:r>
      <w:r w:rsidR="00ED1337" w:rsidRPr="0093034F">
        <w:rPr>
          <w:b/>
        </w:rPr>
        <w:t>s</w:t>
      </w:r>
      <w:r w:rsidR="005339C4" w:rsidRPr="0093034F">
        <w:rPr>
          <w:b/>
        </w:rPr>
        <w:t>ing</w:t>
      </w:r>
      <w:r w:rsidR="00670E54" w:rsidRPr="0093034F">
        <w:rPr>
          <w:b/>
        </w:rPr>
        <w:t xml:space="preserve"> various processes</w:t>
      </w:r>
      <w:r w:rsidR="00124C06" w:rsidRPr="0093034F">
        <w:rPr>
          <w:b/>
        </w:rPr>
        <w:t xml:space="preserve"> to facilitate recognition processes</w:t>
      </w:r>
      <w:r w:rsidR="00670E54" w:rsidRPr="0093034F">
        <w:rPr>
          <w:b/>
        </w:rPr>
        <w:t xml:space="preserve">. </w:t>
      </w:r>
    </w:p>
    <w:p w14:paraId="7C137173" w14:textId="590441BE" w:rsidR="00831BB0" w:rsidRPr="00331CC5" w:rsidRDefault="00331CC5" w:rsidP="00594742">
      <w:pPr>
        <w:pStyle w:val="Heading2"/>
        <w:rPr>
          <w:color w:val="95050F"/>
        </w:rPr>
      </w:pPr>
      <w:bookmarkStart w:id="41" w:name="_Toc458938581"/>
      <w:bookmarkStart w:id="42" w:name="_Toc462755560"/>
      <w:r w:rsidRPr="00331CC5">
        <w:rPr>
          <w:color w:val="95050F"/>
        </w:rPr>
        <w:t>2</w:t>
      </w:r>
      <w:r w:rsidR="00B4418E" w:rsidRPr="00331CC5">
        <w:rPr>
          <w:color w:val="95050F"/>
        </w:rPr>
        <w:t xml:space="preserve">.7 </w:t>
      </w:r>
      <w:r w:rsidR="000C7346" w:rsidRPr="00331CC5">
        <w:rPr>
          <w:color w:val="95050F"/>
        </w:rPr>
        <w:t>Mechanisms</w:t>
      </w:r>
      <w:r w:rsidR="00831BB0" w:rsidRPr="00331CC5">
        <w:rPr>
          <w:color w:val="95050F"/>
        </w:rPr>
        <w:t xml:space="preserve"> </w:t>
      </w:r>
      <w:r w:rsidR="0053216B" w:rsidRPr="00331CC5">
        <w:rPr>
          <w:color w:val="95050F"/>
        </w:rPr>
        <w:t>to</w:t>
      </w:r>
      <w:r w:rsidR="00831BB0" w:rsidRPr="00331CC5">
        <w:rPr>
          <w:color w:val="95050F"/>
        </w:rPr>
        <w:t xml:space="preserve"> </w:t>
      </w:r>
      <w:r w:rsidR="003B1840" w:rsidRPr="00331CC5">
        <w:rPr>
          <w:color w:val="95050F"/>
        </w:rPr>
        <w:t>support</w:t>
      </w:r>
      <w:r w:rsidR="00831BB0" w:rsidRPr="00331CC5">
        <w:rPr>
          <w:color w:val="95050F"/>
        </w:rPr>
        <w:t xml:space="preserve"> recognition of qualifications</w:t>
      </w:r>
      <w:bookmarkEnd w:id="41"/>
      <w:bookmarkEnd w:id="42"/>
    </w:p>
    <w:p w14:paraId="77348174" w14:textId="2C304104" w:rsidR="003B1840" w:rsidRDefault="00334572" w:rsidP="00594742">
      <w:pPr>
        <w:spacing w:line="240" w:lineRule="auto"/>
      </w:pPr>
      <w:r w:rsidRPr="00BF4AAC">
        <w:rPr>
          <w:color w:val="000000"/>
          <w:sz w:val="22"/>
        </w:rPr>
        <w:t xml:space="preserve">Recognition </w:t>
      </w:r>
      <w:r w:rsidR="004E2A0B" w:rsidRPr="00BF4AAC">
        <w:rPr>
          <w:color w:val="000000"/>
          <w:sz w:val="22"/>
        </w:rPr>
        <w:t>is</w:t>
      </w:r>
      <w:r w:rsidRPr="00BF4AAC">
        <w:rPr>
          <w:color w:val="000000"/>
          <w:sz w:val="22"/>
        </w:rPr>
        <w:t xml:space="preserve"> a process that allows the qualifications or skills gained in one organisation, nation or region to be recognised in another</w:t>
      </w:r>
      <w:r w:rsidR="00870C8C">
        <w:rPr>
          <w:color w:val="000000"/>
          <w:sz w:val="22"/>
        </w:rPr>
        <w:t xml:space="preserve"> </w:t>
      </w:r>
      <w:r w:rsidR="00870C8C" w:rsidRPr="00BF4AAC">
        <w:rPr>
          <w:color w:val="000000"/>
          <w:sz w:val="22"/>
        </w:rPr>
        <w:t>organisation, nation or region</w:t>
      </w:r>
      <w:r w:rsidR="00F27F80">
        <w:rPr>
          <w:color w:val="000000"/>
          <w:sz w:val="22"/>
        </w:rPr>
        <w:t>,</w:t>
      </w:r>
      <w:r w:rsidRPr="00BF4AAC">
        <w:rPr>
          <w:color w:val="000000"/>
          <w:sz w:val="22"/>
        </w:rPr>
        <w:t xml:space="preserve"> and </w:t>
      </w:r>
      <w:r w:rsidR="00F27F80">
        <w:rPr>
          <w:color w:val="000000"/>
          <w:sz w:val="22"/>
        </w:rPr>
        <w:t>creates</w:t>
      </w:r>
      <w:r w:rsidRPr="00D40DAC">
        <w:rPr>
          <w:color w:val="000000"/>
          <w:sz w:val="22"/>
        </w:rPr>
        <w:t xml:space="preserve"> an environment where the mobility of qualified persons can be encouraged.</w:t>
      </w:r>
      <w:r w:rsidR="00741FDC">
        <w:rPr>
          <w:rStyle w:val="FootnoteReference"/>
          <w:color w:val="000000"/>
          <w:sz w:val="22"/>
        </w:rPr>
        <w:footnoteReference w:id="38"/>
      </w:r>
      <w:r w:rsidRPr="00D40DAC">
        <w:rPr>
          <w:color w:val="000000"/>
          <w:sz w:val="22"/>
        </w:rPr>
        <w:t xml:space="preserve"> Recognition</w:t>
      </w:r>
      <w:r w:rsidRPr="00EE11D9">
        <w:rPr>
          <w:color w:val="000000"/>
          <w:sz w:val="22"/>
        </w:rPr>
        <w:t xml:space="preserve"> of qualifications </w:t>
      </w:r>
      <w:r>
        <w:rPr>
          <w:color w:val="000000"/>
          <w:sz w:val="22"/>
        </w:rPr>
        <w:t xml:space="preserve">and skills </w:t>
      </w:r>
      <w:r w:rsidRPr="00EE11D9">
        <w:rPr>
          <w:color w:val="000000"/>
          <w:sz w:val="22"/>
        </w:rPr>
        <w:t>is an essential component in working to</w:t>
      </w:r>
      <w:r>
        <w:rPr>
          <w:color w:val="000000"/>
          <w:sz w:val="22"/>
        </w:rPr>
        <w:t>wards the free flow of services.</w:t>
      </w:r>
      <w:r>
        <w:rPr>
          <w:rStyle w:val="FootnoteReference"/>
          <w:color w:val="000000"/>
          <w:sz w:val="22"/>
        </w:rPr>
        <w:footnoteReference w:id="39"/>
      </w:r>
      <w:r w:rsidR="00127553">
        <w:rPr>
          <w:color w:val="000000"/>
          <w:sz w:val="22"/>
        </w:rPr>
        <w:t xml:space="preserve"> </w:t>
      </w:r>
      <w:r w:rsidR="000C7346">
        <w:t xml:space="preserve">Mechanisms </w:t>
      </w:r>
      <w:r w:rsidR="003B1840">
        <w:t xml:space="preserve">that support recognition of qualifications </w:t>
      </w:r>
      <w:r w:rsidR="004E2A0B">
        <w:t xml:space="preserve">and skills </w:t>
      </w:r>
      <w:r w:rsidR="003B1840">
        <w:t>include:</w:t>
      </w:r>
    </w:p>
    <w:p w14:paraId="3ADC7DA3" w14:textId="523AF7B7" w:rsidR="003B1840" w:rsidRPr="003B1840" w:rsidRDefault="003B1840" w:rsidP="00456131">
      <w:pPr>
        <w:pStyle w:val="ListParagraph"/>
        <w:numPr>
          <w:ilvl w:val="0"/>
          <w:numId w:val="52"/>
        </w:numPr>
      </w:pPr>
      <w:r w:rsidRPr="003B1840">
        <w:t xml:space="preserve">Regional qualifications frameworks, including transnational or common reference frameworks </w:t>
      </w:r>
    </w:p>
    <w:p w14:paraId="441D570A" w14:textId="0FAAA160" w:rsidR="003B1840" w:rsidRPr="003B1840" w:rsidRDefault="003B1840" w:rsidP="00456131">
      <w:pPr>
        <w:pStyle w:val="ListParagraph"/>
        <w:numPr>
          <w:ilvl w:val="0"/>
          <w:numId w:val="52"/>
        </w:numPr>
      </w:pPr>
      <w:r w:rsidRPr="003B1840">
        <w:t xml:space="preserve">Regional quality assurance frameworks  </w:t>
      </w:r>
    </w:p>
    <w:p w14:paraId="34A0EDBB" w14:textId="1ACAEFB5" w:rsidR="003B1840" w:rsidRPr="003B1840" w:rsidRDefault="003B1840" w:rsidP="00456131">
      <w:pPr>
        <w:pStyle w:val="ListParagraph"/>
        <w:numPr>
          <w:ilvl w:val="0"/>
          <w:numId w:val="52"/>
        </w:numPr>
      </w:pPr>
      <w:r w:rsidRPr="003B1840">
        <w:t xml:space="preserve">Multilateral arrangements related to qualifications </w:t>
      </w:r>
      <w:r w:rsidR="00870C8C">
        <w:t xml:space="preserve">such as </w:t>
      </w:r>
      <w:r w:rsidR="00CD6380">
        <w:t xml:space="preserve">conventions and instruments </w:t>
      </w:r>
      <w:r w:rsidR="008417D6">
        <w:br/>
      </w:r>
      <w:r w:rsidR="00CD6380">
        <w:t>(i.e. Diploma Supplement models)</w:t>
      </w:r>
    </w:p>
    <w:p w14:paraId="1CCCE345" w14:textId="2AA8953F" w:rsidR="003B1840" w:rsidRPr="003B1840" w:rsidRDefault="003B1840" w:rsidP="00456131">
      <w:pPr>
        <w:pStyle w:val="ListParagraph"/>
        <w:numPr>
          <w:ilvl w:val="0"/>
          <w:numId w:val="52"/>
        </w:numPr>
      </w:pPr>
      <w:r w:rsidRPr="003B1840">
        <w:t xml:space="preserve">Bilateral and </w:t>
      </w:r>
      <w:r w:rsidR="008417D6" w:rsidRPr="003B1840">
        <w:t xml:space="preserve">multilateral </w:t>
      </w:r>
      <w:r w:rsidRPr="003B1840">
        <w:t xml:space="preserve">arrangements related to occupations or occupational standards </w:t>
      </w:r>
      <w:r w:rsidR="008417D6">
        <w:br/>
      </w:r>
      <w:r w:rsidR="00870C8C">
        <w:t>(</w:t>
      </w:r>
      <w:r w:rsidR="00CD6380">
        <w:t>e.g. mutual recognition agreements</w:t>
      </w:r>
      <w:r w:rsidR="00870C8C">
        <w:t>)</w:t>
      </w:r>
    </w:p>
    <w:p w14:paraId="7B379AB7" w14:textId="07AFEB0D" w:rsidR="003B1840" w:rsidRPr="003B1840" w:rsidRDefault="00870C8C" w:rsidP="00456131">
      <w:pPr>
        <w:pStyle w:val="ListParagraph"/>
        <w:numPr>
          <w:ilvl w:val="0"/>
          <w:numId w:val="52"/>
        </w:numPr>
      </w:pPr>
      <w:r w:rsidRPr="003B1840">
        <w:t>Stand-alone</w:t>
      </w:r>
      <w:r w:rsidR="003B1840" w:rsidRPr="003B1840">
        <w:t xml:space="preserve"> national procedures</w:t>
      </w:r>
      <w:r w:rsidR="00CD6380">
        <w:t xml:space="preserve"> </w:t>
      </w:r>
      <w:r>
        <w:t>(</w:t>
      </w:r>
      <w:r w:rsidR="00CD6380">
        <w:t>e.g. credential evaluation and skills assessments, referencing to regional or other national frameworks</w:t>
      </w:r>
      <w:r>
        <w:t>)</w:t>
      </w:r>
    </w:p>
    <w:p w14:paraId="33E3DA0F" w14:textId="42BB9755" w:rsidR="00A94F69" w:rsidRPr="00816EBE" w:rsidRDefault="003B1840" w:rsidP="00456131">
      <w:pPr>
        <w:pStyle w:val="ListParagraph"/>
        <w:numPr>
          <w:ilvl w:val="0"/>
          <w:numId w:val="52"/>
        </w:numPr>
      </w:pPr>
      <w:r w:rsidRPr="003B1840">
        <w:t>Industry sector specific procedures</w:t>
      </w:r>
      <w:r w:rsidR="00394794">
        <w:t xml:space="preserve"> (</w:t>
      </w:r>
      <w:r w:rsidR="00CD6380">
        <w:t>e.g. international standards</w:t>
      </w:r>
      <w:r w:rsidR="00127553">
        <w:t xml:space="preserve"> [maritime]</w:t>
      </w:r>
      <w:r w:rsidR="00CD6380">
        <w:t xml:space="preserve">, vendor </w:t>
      </w:r>
      <w:r w:rsidR="00CD6380" w:rsidRPr="00816EBE">
        <w:t>programs</w:t>
      </w:r>
      <w:r w:rsidR="001C07E6" w:rsidRPr="00816EBE">
        <w:t>)</w:t>
      </w:r>
      <w:r w:rsidRPr="00816EBE">
        <w:t>.</w:t>
      </w:r>
      <w:r w:rsidRPr="00816EBE">
        <w:rPr>
          <w:rStyle w:val="FootnoteReference"/>
        </w:rPr>
        <w:footnoteReference w:id="40"/>
      </w:r>
    </w:p>
    <w:p w14:paraId="2D145E3C" w14:textId="5CF12239" w:rsidR="00DD53F5" w:rsidRDefault="007F41DA" w:rsidP="00594742">
      <w:pPr>
        <w:spacing w:line="240" w:lineRule="auto"/>
      </w:pPr>
      <w:r w:rsidRPr="00816EBE">
        <w:t xml:space="preserve">There are no known examples where the </w:t>
      </w:r>
      <w:r w:rsidR="00E96B5B" w:rsidRPr="00816EBE">
        <w:t xml:space="preserve">PQF </w:t>
      </w:r>
      <w:r w:rsidR="005508CB">
        <w:t>or the</w:t>
      </w:r>
      <w:r w:rsidR="00E96B5B" w:rsidRPr="00816EBE">
        <w:t xml:space="preserve"> PQAF</w:t>
      </w:r>
      <w:r w:rsidRPr="00816EBE">
        <w:t xml:space="preserve"> ha</w:t>
      </w:r>
      <w:r w:rsidR="008417D6" w:rsidRPr="00816EBE">
        <w:t>ve</w:t>
      </w:r>
      <w:r w:rsidRPr="00816EBE">
        <w:t xml:space="preserve"> been included in bilateral or multilateral arrangements. </w:t>
      </w:r>
      <w:r w:rsidR="007B58F8" w:rsidRPr="0093034F">
        <w:rPr>
          <w:b/>
        </w:rPr>
        <w:t xml:space="preserve">A focus for the future Pacific model could be </w:t>
      </w:r>
      <w:r w:rsidR="00ED7551" w:rsidRPr="0093034F">
        <w:rPr>
          <w:b/>
        </w:rPr>
        <w:t>promoting</w:t>
      </w:r>
      <w:r w:rsidR="00AA03F8" w:rsidRPr="0093034F">
        <w:rPr>
          <w:b/>
        </w:rPr>
        <w:t xml:space="preserve"> the PQF and PQAF </w:t>
      </w:r>
      <w:r w:rsidR="007B58F8" w:rsidRPr="0093034F">
        <w:rPr>
          <w:b/>
        </w:rPr>
        <w:t>as the regional benchmark</w:t>
      </w:r>
      <w:r w:rsidR="00AA03F8" w:rsidRPr="0093034F">
        <w:rPr>
          <w:b/>
        </w:rPr>
        <w:t>s</w:t>
      </w:r>
      <w:r w:rsidR="007B58F8" w:rsidRPr="0093034F">
        <w:rPr>
          <w:b/>
        </w:rPr>
        <w:t xml:space="preserve"> in </w:t>
      </w:r>
      <w:r w:rsidR="00E96B5B" w:rsidRPr="0093034F">
        <w:rPr>
          <w:b/>
        </w:rPr>
        <w:t>any</w:t>
      </w:r>
      <w:r w:rsidR="007B58F8" w:rsidRPr="0093034F">
        <w:rPr>
          <w:b/>
        </w:rPr>
        <w:t xml:space="preserve"> bilateral or multilateral arrangements</w:t>
      </w:r>
      <w:r w:rsidR="00E96B5B" w:rsidRPr="0093034F">
        <w:rPr>
          <w:b/>
        </w:rPr>
        <w:t>, either within or external to the region</w:t>
      </w:r>
      <w:r w:rsidR="007B58F8" w:rsidRPr="0093034F">
        <w:rPr>
          <w:b/>
        </w:rPr>
        <w:t>.</w:t>
      </w:r>
    </w:p>
    <w:p w14:paraId="460AFAC6" w14:textId="20397F6D" w:rsidR="00E41DBB" w:rsidRDefault="00AD24AA" w:rsidP="00594742">
      <w:pPr>
        <w:spacing w:line="240" w:lineRule="auto"/>
      </w:pPr>
      <w:r>
        <w:t>At the</w:t>
      </w:r>
      <w:r w:rsidR="00E41DBB">
        <w:t xml:space="preserve"> May 2016 </w:t>
      </w:r>
      <w:r w:rsidR="002877C1">
        <w:t>regi</w:t>
      </w:r>
      <w:r w:rsidR="00537D3D">
        <w:t>o</w:t>
      </w:r>
      <w:r w:rsidR="002877C1">
        <w:t>nal consultation</w:t>
      </w:r>
      <w:r>
        <w:t>, EQAP proposed</w:t>
      </w:r>
      <w:r w:rsidR="002877C1">
        <w:t xml:space="preserve"> </w:t>
      </w:r>
      <w:r w:rsidR="00E41DBB">
        <w:t xml:space="preserve">the following </w:t>
      </w:r>
      <w:r w:rsidR="003E2347">
        <w:t>mechanisms</w:t>
      </w:r>
      <w:r w:rsidR="00DD53F5">
        <w:t xml:space="preserve"> to support recognition and to facilitate learner and labour mobility</w:t>
      </w:r>
      <w:r w:rsidR="00E41DBB">
        <w:t>:</w:t>
      </w:r>
    </w:p>
    <w:p w14:paraId="2E4346B0" w14:textId="020CAB85" w:rsidR="00E41DBB" w:rsidRPr="003E2347" w:rsidRDefault="00E41DBB" w:rsidP="00456131">
      <w:pPr>
        <w:pStyle w:val="ListParagraph"/>
        <w:numPr>
          <w:ilvl w:val="0"/>
          <w:numId w:val="52"/>
        </w:numPr>
      </w:pPr>
      <w:r w:rsidRPr="003E2347">
        <w:t>Skills Register</w:t>
      </w:r>
    </w:p>
    <w:p w14:paraId="52689A13" w14:textId="77777777" w:rsidR="00197F2E" w:rsidRDefault="00EE4007" w:rsidP="00456131">
      <w:pPr>
        <w:pStyle w:val="ListParagraph"/>
        <w:numPr>
          <w:ilvl w:val="0"/>
          <w:numId w:val="52"/>
        </w:numPr>
      </w:pPr>
      <w:r w:rsidRPr="003E2347">
        <w:t xml:space="preserve">Audit of national agencies </w:t>
      </w:r>
    </w:p>
    <w:p w14:paraId="65FB8FB9" w14:textId="11EB9C0E" w:rsidR="00E41DBB" w:rsidRPr="003E2347" w:rsidRDefault="00E41DBB" w:rsidP="00456131">
      <w:pPr>
        <w:pStyle w:val="ListParagraph"/>
        <w:numPr>
          <w:ilvl w:val="0"/>
          <w:numId w:val="52"/>
        </w:numPr>
      </w:pPr>
      <w:r w:rsidRPr="003E2347">
        <w:t>Diploma Supplement</w:t>
      </w:r>
    </w:p>
    <w:p w14:paraId="7EC5987A" w14:textId="77777777" w:rsidR="00E41DBB" w:rsidRPr="003E2347" w:rsidRDefault="00E41DBB" w:rsidP="00456131">
      <w:pPr>
        <w:pStyle w:val="ListParagraph"/>
        <w:numPr>
          <w:ilvl w:val="0"/>
          <w:numId w:val="52"/>
        </w:numPr>
      </w:pPr>
      <w:r w:rsidRPr="003E2347">
        <w:t xml:space="preserve">Accreditation of regional qualifications </w:t>
      </w:r>
    </w:p>
    <w:p w14:paraId="546EF61F" w14:textId="43E4A4E4" w:rsidR="0050113C" w:rsidRPr="003E2347" w:rsidRDefault="0050113C" w:rsidP="00456131">
      <w:pPr>
        <w:pStyle w:val="ListParagraph"/>
        <w:numPr>
          <w:ilvl w:val="0"/>
          <w:numId w:val="52"/>
        </w:numPr>
      </w:pPr>
      <w:r w:rsidRPr="003E2347">
        <w:t>Assessment of foreign qualifications</w:t>
      </w:r>
      <w:r w:rsidR="00EE4007">
        <w:t>.</w:t>
      </w:r>
    </w:p>
    <w:p w14:paraId="6EAB9E0A" w14:textId="7EF448E1" w:rsidR="003B1840" w:rsidRDefault="00D65AB5" w:rsidP="00594742">
      <w:pPr>
        <w:spacing w:line="240" w:lineRule="auto"/>
      </w:pPr>
      <w:r>
        <w:t>The Skills Register and audit of national agencies ha</w:t>
      </w:r>
      <w:r w:rsidR="00F120DD">
        <w:t>ve</w:t>
      </w:r>
      <w:r>
        <w:t xml:space="preserve"> been discussed</w:t>
      </w:r>
      <w:r w:rsidR="007B1530">
        <w:t xml:space="preserve"> </w:t>
      </w:r>
      <w:r w:rsidR="00B928AC">
        <w:t xml:space="preserve">earlier </w:t>
      </w:r>
      <w:r w:rsidR="007B1530">
        <w:t>in this report</w:t>
      </w:r>
      <w:r>
        <w:t xml:space="preserve">. </w:t>
      </w:r>
    </w:p>
    <w:p w14:paraId="251C876E" w14:textId="227878CB" w:rsidR="00F96159" w:rsidRDefault="008B78AF" w:rsidP="00594742">
      <w:pPr>
        <w:spacing w:line="240" w:lineRule="auto"/>
      </w:pPr>
      <w:r>
        <w:t xml:space="preserve">A </w:t>
      </w:r>
      <w:r w:rsidRPr="00E43C27">
        <w:rPr>
          <w:b/>
        </w:rPr>
        <w:t>Diploma Supplement</w:t>
      </w:r>
      <w:r>
        <w:t xml:space="preserve"> </w:t>
      </w:r>
      <w:r w:rsidR="007E5753">
        <w:t xml:space="preserve">is a transparency and mobility tool. It </w:t>
      </w:r>
      <w:r>
        <w:t xml:space="preserve">provides </w:t>
      </w:r>
      <w:r w:rsidR="0024584E">
        <w:t>extra</w:t>
      </w:r>
      <w:r>
        <w:t xml:space="preserve"> information </w:t>
      </w:r>
      <w:r w:rsidR="00562121">
        <w:t>in addition to that</w:t>
      </w:r>
      <w:r w:rsidR="00F96159">
        <w:t xml:space="preserve"> </w:t>
      </w:r>
      <w:r>
        <w:t xml:space="preserve">included on a graduate testamur and </w:t>
      </w:r>
      <w:r w:rsidR="00F96159">
        <w:t xml:space="preserve">its </w:t>
      </w:r>
      <w:r>
        <w:t>accompany</w:t>
      </w:r>
      <w:r w:rsidR="00F96159">
        <w:t>ing</w:t>
      </w:r>
      <w:r>
        <w:t xml:space="preserve"> academic statement/record.</w:t>
      </w:r>
      <w:r w:rsidR="003D7D02">
        <w:rPr>
          <w:rStyle w:val="FootnoteReference"/>
        </w:rPr>
        <w:footnoteReference w:id="41"/>
      </w:r>
      <w:r>
        <w:t xml:space="preserve"> </w:t>
      </w:r>
      <w:r w:rsidR="00F96159">
        <w:t xml:space="preserve">A Diploma Supplement </w:t>
      </w:r>
      <w:r>
        <w:t xml:space="preserve">aims to enhance the information available to other educational destinations and to prospective employers. This document aims to support international recognition of qualifications, </w:t>
      </w:r>
      <w:r w:rsidR="00FB4D8F">
        <w:t xml:space="preserve">assist with </w:t>
      </w:r>
      <w:r>
        <w:t>interpretation of the aims and content of particular awards</w:t>
      </w:r>
      <w:r w:rsidR="00387A0B">
        <w:t>,</w:t>
      </w:r>
      <w:r>
        <w:t xml:space="preserve"> and the achievements of graduates.</w:t>
      </w:r>
      <w:r>
        <w:rPr>
          <w:rStyle w:val="FootnoteReference"/>
        </w:rPr>
        <w:footnoteReference w:id="42"/>
      </w:r>
      <w:r>
        <w:t xml:space="preserve"> A </w:t>
      </w:r>
      <w:r>
        <w:lastRenderedPageBreak/>
        <w:t xml:space="preserve">regional model is the agreed format or fields that each participating country agrees to include. </w:t>
      </w:r>
      <w:r w:rsidR="003D7D02">
        <w:t xml:space="preserve">Different regions (e.g. Europe and APEC) have developed agreed templates. </w:t>
      </w:r>
      <w:r>
        <w:t>At a regional level</w:t>
      </w:r>
      <w:r w:rsidR="007B1530">
        <w:t>,</w:t>
      </w:r>
      <w:r>
        <w:t xml:space="preserve"> it could include reference the PQF and the PQAF as well as the P</w:t>
      </w:r>
      <w:r w:rsidR="00B75B62">
        <w:t>R</w:t>
      </w:r>
      <w:r>
        <w:t>QS –</w:t>
      </w:r>
      <w:r w:rsidR="00F96159">
        <w:t xml:space="preserve"> </w:t>
      </w:r>
      <w:r w:rsidR="00B30D8C">
        <w:t xml:space="preserve">using </w:t>
      </w:r>
      <w:r>
        <w:t>a standard</w:t>
      </w:r>
      <w:r w:rsidR="00F96159">
        <w:t>ised</w:t>
      </w:r>
      <w:r>
        <w:t xml:space="preserve"> clause. </w:t>
      </w:r>
      <w:r w:rsidR="003D7D02">
        <w:t xml:space="preserve">Although the proposal to include a Diploma Supplement in the Pacific is reasonable, </w:t>
      </w:r>
      <w:r w:rsidR="00A8469A">
        <w:t>it was</w:t>
      </w:r>
      <w:r w:rsidR="003D7D02">
        <w:t xml:space="preserve"> considered that the proposed template </w:t>
      </w:r>
      <w:r w:rsidR="00B30D8C">
        <w:t xml:space="preserve">(Nadi 2016) </w:t>
      </w:r>
      <w:r w:rsidR="003D7D02">
        <w:t>did not provide sufficient additional information to suppo</w:t>
      </w:r>
      <w:r w:rsidR="00127553">
        <w:t>rt recognition</w:t>
      </w:r>
      <w:r w:rsidR="0002015B">
        <w:t>,</w:t>
      </w:r>
      <w:r w:rsidR="00127553">
        <w:t xml:space="preserve"> nor </w:t>
      </w:r>
      <w:r w:rsidR="0002015B">
        <w:t xml:space="preserve">did it </w:t>
      </w:r>
      <w:r w:rsidR="00127553">
        <w:t xml:space="preserve"> foster </w:t>
      </w:r>
      <w:r w:rsidR="003D7D02">
        <w:t xml:space="preserve">trust in Pacific Nations’ qualifications systems, and </w:t>
      </w:r>
      <w:r w:rsidR="00127553">
        <w:t>would need to</w:t>
      </w:r>
      <w:r w:rsidR="003D7D02">
        <w:t xml:space="preserve"> be enhanced.  </w:t>
      </w:r>
    </w:p>
    <w:p w14:paraId="44420583" w14:textId="56983C94" w:rsidR="00762E3A" w:rsidRPr="00E43C27" w:rsidRDefault="00A0039C" w:rsidP="00594742">
      <w:pPr>
        <w:spacing w:line="240" w:lineRule="auto"/>
      </w:pPr>
      <w:r w:rsidRPr="00E43C27">
        <w:t xml:space="preserve">Putting aside whether EQAP has the remit to accredit qualifications across borders, the notion of </w:t>
      </w:r>
      <w:r w:rsidRPr="00E43C27">
        <w:rPr>
          <w:b/>
        </w:rPr>
        <w:t>developing regional qualifications</w:t>
      </w:r>
      <w:r w:rsidRPr="00E43C27">
        <w:t xml:space="preserve"> is a</w:t>
      </w:r>
      <w:r w:rsidR="00894AF2">
        <w:t>n</w:t>
      </w:r>
      <w:r w:rsidRPr="00E43C27">
        <w:t xml:space="preserve"> </w:t>
      </w:r>
      <w:r w:rsidR="00894AF2">
        <w:t>accepted</w:t>
      </w:r>
      <w:r w:rsidR="00894AF2" w:rsidRPr="00E43C27">
        <w:t xml:space="preserve"> </w:t>
      </w:r>
      <w:r w:rsidRPr="00E43C27">
        <w:t xml:space="preserve">strategy </w:t>
      </w:r>
      <w:r>
        <w:t xml:space="preserve">to support </w:t>
      </w:r>
      <w:r w:rsidR="008B78D6">
        <w:t xml:space="preserve">qualification </w:t>
      </w:r>
      <w:r>
        <w:t>recognition</w:t>
      </w:r>
      <w:r w:rsidR="00B30D8C">
        <w:t xml:space="preserve"> in the Pacific</w:t>
      </w:r>
      <w:r>
        <w:t>. I</w:t>
      </w:r>
      <w:r w:rsidR="00A843E9">
        <w:t>nterviewee</w:t>
      </w:r>
      <w:r w:rsidR="00A843E9" w:rsidRPr="00E43C27">
        <w:t xml:space="preserve"> </w:t>
      </w:r>
      <w:r>
        <w:t xml:space="preserve">feedback </w:t>
      </w:r>
      <w:r w:rsidR="00A843E9">
        <w:t xml:space="preserve">indicated, that </w:t>
      </w:r>
      <w:r w:rsidR="0044496B" w:rsidRPr="00E43C27">
        <w:t xml:space="preserve">the proposed </w:t>
      </w:r>
      <w:r w:rsidR="005F3758" w:rsidRPr="00E43C27">
        <w:t xml:space="preserve">PRQS </w:t>
      </w:r>
      <w:r w:rsidR="00C35BCE" w:rsidRPr="00E43C27">
        <w:t xml:space="preserve">accreditation </w:t>
      </w:r>
      <w:r w:rsidR="0044496B" w:rsidRPr="00E43C27">
        <w:t>template for regional qualifications is highly detailed and very similar to that used for</w:t>
      </w:r>
      <w:r w:rsidR="00AD24AA">
        <w:t xml:space="preserve"> national</w:t>
      </w:r>
      <w:r w:rsidR="0044496B" w:rsidRPr="00E43C27">
        <w:t xml:space="preserve"> program accreditation </w:t>
      </w:r>
      <w:r w:rsidR="002A213E">
        <w:t>(</w:t>
      </w:r>
      <w:r w:rsidR="00A843E9">
        <w:t xml:space="preserve">including specific areas which </w:t>
      </w:r>
      <w:r w:rsidR="00956113" w:rsidRPr="00E43C27">
        <w:t xml:space="preserve">cross </w:t>
      </w:r>
      <w:r w:rsidR="00956113" w:rsidRPr="00F05DEC">
        <w:t xml:space="preserve">national boundaries </w:t>
      </w:r>
      <w:r w:rsidR="00A843E9">
        <w:t>and</w:t>
      </w:r>
      <w:r w:rsidR="00956113" w:rsidRPr="00E43C27">
        <w:t xml:space="preserve"> national variations e.g. trainer or assessor qualifications</w:t>
      </w:r>
      <w:r w:rsidR="00870C8C">
        <w:t>)</w:t>
      </w:r>
      <w:r w:rsidR="002A213E">
        <w:t>, and in</w:t>
      </w:r>
      <w:r>
        <w:t xml:space="preserve">cluded </w:t>
      </w:r>
      <w:r w:rsidR="002A213E">
        <w:t>detail</w:t>
      </w:r>
      <w:r>
        <w:t>ed</w:t>
      </w:r>
      <w:r w:rsidR="002A213E">
        <w:t xml:space="preserve"> units of competency</w:t>
      </w:r>
      <w:r w:rsidR="00956113" w:rsidRPr="00E43C27">
        <w:t xml:space="preserve">. </w:t>
      </w:r>
    </w:p>
    <w:p w14:paraId="39D95058" w14:textId="2EB1A332" w:rsidR="005B199C" w:rsidRDefault="00C15538" w:rsidP="00594742">
      <w:pPr>
        <w:spacing w:line="240" w:lineRule="auto"/>
      </w:pPr>
      <w:r>
        <w:t>However,</w:t>
      </w:r>
      <w:r w:rsidR="00762E3A" w:rsidRPr="00E43C27">
        <w:t xml:space="preserve"> there is </w:t>
      </w:r>
      <w:r w:rsidR="00956113" w:rsidRPr="00E43C27">
        <w:t xml:space="preserve">potential to provide a more streamlined model </w:t>
      </w:r>
      <w:r w:rsidR="00C35BCE" w:rsidRPr="00E43C27">
        <w:t xml:space="preserve">of </w:t>
      </w:r>
      <w:r w:rsidR="006F3A07">
        <w:t xml:space="preserve">regional </w:t>
      </w:r>
      <w:r w:rsidR="00621F15">
        <w:t>qualifications (</w:t>
      </w:r>
      <w:r w:rsidR="00C35BCE" w:rsidRPr="00E43C27">
        <w:t>occupational</w:t>
      </w:r>
      <w:r w:rsidR="00621F15">
        <w:t xml:space="preserve"> and assessment standards, and </w:t>
      </w:r>
      <w:r w:rsidR="00CD54D8">
        <w:t xml:space="preserve">qualification </w:t>
      </w:r>
      <w:r w:rsidR="00621F15">
        <w:t>completion rules</w:t>
      </w:r>
      <w:r w:rsidR="00CD54D8">
        <w:t>, PQF level</w:t>
      </w:r>
      <w:r w:rsidR="00621F15">
        <w:t>)</w:t>
      </w:r>
      <w:r w:rsidR="00A0039C">
        <w:t>. A streamlined model</w:t>
      </w:r>
      <w:r w:rsidR="00772018" w:rsidRPr="00E43C27">
        <w:t xml:space="preserve"> </w:t>
      </w:r>
      <w:r w:rsidR="009F11F5">
        <w:t xml:space="preserve">would be more readily accepted by countries and </w:t>
      </w:r>
      <w:r w:rsidR="00C35BCE" w:rsidRPr="00E43C27">
        <w:t xml:space="preserve">not </w:t>
      </w:r>
      <w:r w:rsidR="00E43C27" w:rsidRPr="00E43C27">
        <w:t>impinge on</w:t>
      </w:r>
      <w:r w:rsidR="005F3758" w:rsidRPr="00E43C27">
        <w:t xml:space="preserve"> </w:t>
      </w:r>
      <w:r w:rsidR="00C35BCE" w:rsidRPr="00E43C27">
        <w:t xml:space="preserve">national </w:t>
      </w:r>
      <w:r w:rsidR="00E43C27">
        <w:t>requirements</w:t>
      </w:r>
      <w:r w:rsidR="00E43C27" w:rsidRPr="00E43C27">
        <w:t xml:space="preserve"> </w:t>
      </w:r>
      <w:r w:rsidR="0094035B">
        <w:t xml:space="preserve">(e.g. </w:t>
      </w:r>
      <w:r w:rsidR="00C35BCE" w:rsidRPr="00E43C27">
        <w:t>training standards</w:t>
      </w:r>
      <w:r w:rsidR="0094035B">
        <w:t>)</w:t>
      </w:r>
      <w:r w:rsidR="002D4132" w:rsidRPr="00E43C27">
        <w:t>.</w:t>
      </w:r>
      <w:r w:rsidR="00C35BCE" w:rsidRPr="00E43C27">
        <w:rPr>
          <w:rStyle w:val="FootnoteReference"/>
        </w:rPr>
        <w:footnoteReference w:id="43"/>
      </w:r>
      <w:r w:rsidR="00762E3A" w:rsidRPr="00E43C27">
        <w:t xml:space="preserve"> </w:t>
      </w:r>
      <w:r w:rsidR="005B199C">
        <w:t xml:space="preserve">The development </w:t>
      </w:r>
      <w:r w:rsidR="00A0039C">
        <w:t>process</w:t>
      </w:r>
      <w:r w:rsidR="007E5753">
        <w:t xml:space="preserve"> should</w:t>
      </w:r>
      <w:r w:rsidR="005B199C">
        <w:t xml:space="preserve"> include </w:t>
      </w:r>
      <w:r w:rsidR="0094035B">
        <w:t xml:space="preserve">a </w:t>
      </w:r>
      <w:r w:rsidR="005B199C">
        <w:t xml:space="preserve">strong needs analysis </w:t>
      </w:r>
      <w:r w:rsidR="0094035B">
        <w:t>approach</w:t>
      </w:r>
      <w:r w:rsidR="005B199C">
        <w:t xml:space="preserve"> to ensure a close match of the </w:t>
      </w:r>
      <w:r w:rsidR="007E5753">
        <w:t>standards</w:t>
      </w:r>
      <w:r w:rsidR="00A0039C">
        <w:t>/qu</w:t>
      </w:r>
      <w:r w:rsidR="005B199C">
        <w:t>alification</w:t>
      </w:r>
      <w:r w:rsidR="00B75B62">
        <w:t>s</w:t>
      </w:r>
      <w:r w:rsidR="005B199C">
        <w:t xml:space="preserve"> to the </w:t>
      </w:r>
      <w:r w:rsidR="00B75B62">
        <w:t xml:space="preserve">education destination or </w:t>
      </w:r>
      <w:r w:rsidR="005B199C">
        <w:t>job/labour need</w:t>
      </w:r>
      <w:r w:rsidR="00A0039C">
        <w:t xml:space="preserve">. The process should also </w:t>
      </w:r>
      <w:r w:rsidR="005B199C">
        <w:t>include benchmarking to other international standards (e.g. Australian competencies or I</w:t>
      </w:r>
      <w:r w:rsidR="007E5753">
        <w:t xml:space="preserve">nternational </w:t>
      </w:r>
      <w:r w:rsidR="005B199C">
        <w:t>L</w:t>
      </w:r>
      <w:r w:rsidR="007E5753">
        <w:t>abour Organisation</w:t>
      </w:r>
      <w:r w:rsidR="005B199C">
        <w:t xml:space="preserve"> regional occupational standards</w:t>
      </w:r>
      <w:r w:rsidR="002E7027">
        <w:t>)</w:t>
      </w:r>
      <w:r w:rsidR="005B199C">
        <w:t>,</w:t>
      </w:r>
      <w:r w:rsidR="002E7027">
        <w:rPr>
          <w:rStyle w:val="FootnoteReference"/>
        </w:rPr>
        <w:footnoteReference w:id="44"/>
      </w:r>
      <w:r w:rsidR="005B199C">
        <w:t xml:space="preserve"> to ensure comparability and hence encourage learner and labour mobility. </w:t>
      </w:r>
      <w:r w:rsidR="00584174">
        <w:t xml:space="preserve">Pacific </w:t>
      </w:r>
      <w:r w:rsidR="00A11A94">
        <w:t>Nations</w:t>
      </w:r>
      <w:r w:rsidR="00584174">
        <w:t xml:space="preserve"> with existing relevant qualifications, could also benchmark their qualifications against the regional occupational standards or qualifications. </w:t>
      </w:r>
      <w:r w:rsidR="008B78D6">
        <w:t xml:space="preserve">Regional qualifications are those that are regionally agreed as the minimum requirements for an occupation or a qualification or both. </w:t>
      </w:r>
    </w:p>
    <w:p w14:paraId="65275E5E" w14:textId="0D9DA029" w:rsidR="00D772D5" w:rsidRDefault="005F3758" w:rsidP="00594742">
      <w:pPr>
        <w:spacing w:line="240" w:lineRule="auto"/>
      </w:pPr>
      <w:r w:rsidRPr="00E43C27">
        <w:t xml:space="preserve">The </w:t>
      </w:r>
      <w:r w:rsidR="00F24014" w:rsidRPr="00E43C27">
        <w:t xml:space="preserve">EQAP </w:t>
      </w:r>
      <w:r w:rsidR="002D4132">
        <w:t xml:space="preserve">could take a significant role in </w:t>
      </w:r>
      <w:r w:rsidR="001F5934">
        <w:t xml:space="preserve">facilitating </w:t>
      </w:r>
      <w:r w:rsidR="002D4132">
        <w:t xml:space="preserve">the development of regional </w:t>
      </w:r>
      <w:r w:rsidR="001F5934">
        <w:t>qualifications</w:t>
      </w:r>
      <w:r w:rsidR="00D772D5">
        <w:t xml:space="preserve"> through:</w:t>
      </w:r>
    </w:p>
    <w:p w14:paraId="2E0EDE5E" w14:textId="74BEE2A7" w:rsidR="00D772D5" w:rsidRPr="008279F6" w:rsidRDefault="00D772D5" w:rsidP="00456131">
      <w:pPr>
        <w:pStyle w:val="ListParagraph"/>
        <w:numPr>
          <w:ilvl w:val="0"/>
          <w:numId w:val="64"/>
        </w:numPr>
        <w:rPr>
          <w:lang w:val="en-US"/>
        </w:rPr>
      </w:pPr>
      <w:r w:rsidRPr="008279F6">
        <w:rPr>
          <w:lang w:val="en-US"/>
        </w:rPr>
        <w:t>Assisting the identification of regional occupational priorities</w:t>
      </w:r>
      <w:r w:rsidR="001F585C">
        <w:rPr>
          <w:rStyle w:val="FootnoteReference"/>
          <w:lang w:val="en-US"/>
        </w:rPr>
        <w:footnoteReference w:id="45"/>
      </w:r>
    </w:p>
    <w:p w14:paraId="08E4DCF5" w14:textId="2EA90BC0" w:rsidR="005B199C" w:rsidRPr="008279F6" w:rsidRDefault="005B199C" w:rsidP="00456131">
      <w:pPr>
        <w:pStyle w:val="ListParagraph"/>
        <w:numPr>
          <w:ilvl w:val="0"/>
          <w:numId w:val="64"/>
        </w:numPr>
        <w:rPr>
          <w:lang w:val="en-US"/>
        </w:rPr>
      </w:pPr>
      <w:r w:rsidRPr="008279F6">
        <w:rPr>
          <w:lang w:val="en-US"/>
        </w:rPr>
        <w:t xml:space="preserve">Documenting an agreed </w:t>
      </w:r>
      <w:r w:rsidR="00972167" w:rsidRPr="008279F6">
        <w:rPr>
          <w:lang w:val="en-US"/>
        </w:rPr>
        <w:t xml:space="preserve">regional </w:t>
      </w:r>
      <w:r w:rsidRPr="008279F6">
        <w:rPr>
          <w:lang w:val="en-US"/>
        </w:rPr>
        <w:t>process for development</w:t>
      </w:r>
    </w:p>
    <w:p w14:paraId="60875DCF" w14:textId="79F2FD35" w:rsidR="00584174" w:rsidRDefault="00494459" w:rsidP="00456131">
      <w:pPr>
        <w:pStyle w:val="ListParagraph"/>
        <w:numPr>
          <w:ilvl w:val="0"/>
          <w:numId w:val="64"/>
        </w:numPr>
        <w:rPr>
          <w:lang w:val="en-US"/>
        </w:rPr>
      </w:pPr>
      <w:r w:rsidRPr="000E6809">
        <w:rPr>
          <w:lang w:val="en-US"/>
        </w:rPr>
        <w:t>Coordinating the development of regional occupational standards (and qualifications)</w:t>
      </w:r>
      <w:r w:rsidR="000E6809" w:rsidRPr="000E6809">
        <w:rPr>
          <w:lang w:val="en-US"/>
        </w:rPr>
        <w:t>, and approving and</w:t>
      </w:r>
      <w:r w:rsidRPr="000E6809">
        <w:rPr>
          <w:lang w:val="en-US"/>
        </w:rPr>
        <w:t xml:space="preserve"> recommending to the governing committee (and therefore member nations)</w:t>
      </w:r>
      <w:r w:rsidR="001F585C" w:rsidRPr="000E6809">
        <w:rPr>
          <w:lang w:val="en-US"/>
        </w:rPr>
        <w:t xml:space="preserve"> </w:t>
      </w:r>
    </w:p>
    <w:p w14:paraId="46B4CE04" w14:textId="13656BC3" w:rsidR="000E6809" w:rsidRPr="002A213E" w:rsidRDefault="000E6809" w:rsidP="00456131">
      <w:pPr>
        <w:pStyle w:val="ListParagraph"/>
        <w:numPr>
          <w:ilvl w:val="0"/>
          <w:numId w:val="64"/>
        </w:numPr>
        <w:rPr>
          <w:lang w:val="en-US"/>
        </w:rPr>
      </w:pPr>
      <w:r>
        <w:rPr>
          <w:lang w:val="en-US"/>
        </w:rPr>
        <w:t xml:space="preserve">Monitoring the use of </w:t>
      </w:r>
      <w:r>
        <w:t>the regional qualification/standards to ensure currency and relevance</w:t>
      </w:r>
    </w:p>
    <w:p w14:paraId="44C14BBD" w14:textId="0BB818C7" w:rsidR="002A213E" w:rsidRPr="000E6809" w:rsidRDefault="002A213E" w:rsidP="00456131">
      <w:pPr>
        <w:pStyle w:val="ListParagraph"/>
        <w:numPr>
          <w:ilvl w:val="0"/>
          <w:numId w:val="64"/>
        </w:numPr>
        <w:rPr>
          <w:lang w:val="en-US"/>
        </w:rPr>
      </w:pPr>
      <w:r>
        <w:t xml:space="preserve">Approaching recognised competent bodies to access nationally accredited qualifications (based on occupational standards) and undertake regional consultation to enable these qualifications to be recognised regionally  </w:t>
      </w:r>
    </w:p>
    <w:p w14:paraId="2BA4443C" w14:textId="77777777" w:rsidR="00351E3A" w:rsidRDefault="00584174" w:rsidP="00456131">
      <w:pPr>
        <w:pStyle w:val="ListParagraph"/>
        <w:numPr>
          <w:ilvl w:val="0"/>
          <w:numId w:val="64"/>
        </w:numPr>
      </w:pPr>
      <w:r w:rsidRPr="008279F6">
        <w:rPr>
          <w:lang w:val="en-US"/>
        </w:rPr>
        <w:t>Facilitating regional benchmarking</w:t>
      </w:r>
      <w:r>
        <w:t xml:space="preserve"> activities</w:t>
      </w:r>
      <w:r w:rsidR="00972167">
        <w:t xml:space="preserve"> of occupational standards or qualifications</w:t>
      </w:r>
    </w:p>
    <w:p w14:paraId="13391086" w14:textId="2B7D4889" w:rsidR="00494459" w:rsidRPr="0011030E" w:rsidRDefault="00351E3A" w:rsidP="00456131">
      <w:pPr>
        <w:pStyle w:val="ListParagraph"/>
        <w:numPr>
          <w:ilvl w:val="0"/>
          <w:numId w:val="64"/>
        </w:numPr>
      </w:pPr>
      <w:r w:rsidRPr="0011030E">
        <w:t xml:space="preserve">Providing on the PRQS website, full details of these regional qualifications </w:t>
      </w:r>
      <w:r w:rsidR="00CD54D8" w:rsidRPr="0011030E">
        <w:t xml:space="preserve">(including the occupational standards, assessment standards, qualification completion rules and PQF level) </w:t>
      </w:r>
      <w:r w:rsidRPr="0011030E">
        <w:t>for use by participating countries and by employers regionally and internationally</w:t>
      </w:r>
      <w:r w:rsidR="00C86446" w:rsidRPr="0011030E">
        <w:t>.</w:t>
      </w:r>
      <w:r w:rsidR="00494459" w:rsidRPr="0011030E">
        <w:t xml:space="preserve"> </w:t>
      </w:r>
    </w:p>
    <w:p w14:paraId="32A75345" w14:textId="5AE9FE74" w:rsidR="007E43F8" w:rsidRDefault="00C35BCE" w:rsidP="00594742">
      <w:pPr>
        <w:spacing w:line="240" w:lineRule="auto"/>
      </w:pPr>
      <w:r>
        <w:t xml:space="preserve">Finally, the </w:t>
      </w:r>
      <w:r w:rsidR="00F24014" w:rsidRPr="00E43C27">
        <w:t xml:space="preserve">EQAP </w:t>
      </w:r>
      <w:r>
        <w:t>propose</w:t>
      </w:r>
      <w:r w:rsidR="00ED7551">
        <w:t>s</w:t>
      </w:r>
      <w:r>
        <w:t xml:space="preserve"> (Nadi 2016) </w:t>
      </w:r>
      <w:r w:rsidR="00F24014">
        <w:t>to</w:t>
      </w:r>
      <w:r>
        <w:t xml:space="preserve"> undertake</w:t>
      </w:r>
      <w:r w:rsidR="00AF0638">
        <w:t xml:space="preserve"> the</w:t>
      </w:r>
      <w:r>
        <w:t xml:space="preserve"> </w:t>
      </w:r>
      <w:r w:rsidRPr="00C86446">
        <w:rPr>
          <w:b/>
        </w:rPr>
        <w:t>evaluation of foreign qualifications</w:t>
      </w:r>
      <w:r w:rsidR="0079280B">
        <w:t xml:space="preserve">, that is, </w:t>
      </w:r>
      <w:r>
        <w:t xml:space="preserve">those outside the region. </w:t>
      </w:r>
      <w:r w:rsidR="007133F8">
        <w:t xml:space="preserve">At this </w:t>
      </w:r>
      <w:r w:rsidR="00127553">
        <w:t>stage</w:t>
      </w:r>
      <w:r w:rsidR="007133F8">
        <w:t xml:space="preserve">, the implementation of central </w:t>
      </w:r>
      <w:r w:rsidR="002D2590">
        <w:t xml:space="preserve">assessment service that determines a PQF level and/or PQF qualification type equivalent may be premature – but </w:t>
      </w:r>
      <w:r w:rsidR="001F585C">
        <w:t>could</w:t>
      </w:r>
      <w:r w:rsidR="002D2590">
        <w:t xml:space="preserve"> be an option for a </w:t>
      </w:r>
      <w:r w:rsidR="002D2590">
        <w:lastRenderedPageBreak/>
        <w:t xml:space="preserve">future Pacific model. The point of difference </w:t>
      </w:r>
      <w:r w:rsidR="001F585C">
        <w:t xml:space="preserve">is that the </w:t>
      </w:r>
      <w:r w:rsidR="00B2183C">
        <w:t>evaluation</w:t>
      </w:r>
      <w:r w:rsidR="001F585C">
        <w:t xml:space="preserve"> </w:t>
      </w:r>
      <w:r w:rsidR="002D2590">
        <w:t xml:space="preserve">provides equivalence against the PQF and not against a NQF. </w:t>
      </w:r>
    </w:p>
    <w:p w14:paraId="5D31E234" w14:textId="2933D9CC" w:rsidR="007E43F8" w:rsidRPr="0093034F" w:rsidRDefault="007E43F8" w:rsidP="00594742">
      <w:pPr>
        <w:spacing w:line="240" w:lineRule="auto"/>
        <w:rPr>
          <w:b/>
        </w:rPr>
      </w:pPr>
      <w:r w:rsidRPr="0093034F">
        <w:rPr>
          <w:b/>
        </w:rPr>
        <w:t>In terms of evaluation of foreign qualifications, two other opportunities are evident:</w:t>
      </w:r>
    </w:p>
    <w:p w14:paraId="48DACCBC" w14:textId="6860F8D4" w:rsidR="003B1840" w:rsidRDefault="002D2590" w:rsidP="00456131">
      <w:pPr>
        <w:pStyle w:val="ListParagraph"/>
        <w:numPr>
          <w:ilvl w:val="0"/>
          <w:numId w:val="65"/>
        </w:numPr>
      </w:pPr>
      <w:r>
        <w:t xml:space="preserve">Undertaking the research to determine equivalence </w:t>
      </w:r>
      <w:r w:rsidR="00A0039C">
        <w:t xml:space="preserve">of qualifications </w:t>
      </w:r>
      <w:r>
        <w:t>requires si</w:t>
      </w:r>
      <w:r w:rsidR="004C12E5">
        <w:t xml:space="preserve">gnificant </w:t>
      </w:r>
      <w:r w:rsidR="00127553">
        <w:t>research</w:t>
      </w:r>
      <w:r w:rsidR="004C12E5">
        <w:t>, information systems and regular updating</w:t>
      </w:r>
      <w:r w:rsidR="00E67854">
        <w:t xml:space="preserve">. A potential role for the </w:t>
      </w:r>
      <w:r w:rsidR="006F574A" w:rsidRPr="00E43C27">
        <w:t xml:space="preserve">EQAP </w:t>
      </w:r>
      <w:r w:rsidR="00E67854">
        <w:t xml:space="preserve">could be to provide a regional information service for </w:t>
      </w:r>
      <w:r w:rsidR="00135995">
        <w:t xml:space="preserve">international </w:t>
      </w:r>
      <w:r w:rsidR="00E67854">
        <w:t xml:space="preserve">qualifications and qualification systems outside the greater Pacific region. </w:t>
      </w:r>
      <w:r w:rsidR="00B2183C">
        <w:t>Offering</w:t>
      </w:r>
      <w:r w:rsidR="00E67854">
        <w:t xml:space="preserve"> such an information service could provide for consistent and reliable information and promote consistent decisions across the Pacific.</w:t>
      </w:r>
      <w:r w:rsidR="00127553">
        <w:rPr>
          <w:rStyle w:val="FootnoteReference"/>
        </w:rPr>
        <w:footnoteReference w:id="46"/>
      </w:r>
      <w:r w:rsidR="00E67854">
        <w:t xml:space="preserve"> </w:t>
      </w:r>
    </w:p>
    <w:p w14:paraId="45372CCB" w14:textId="42B05280" w:rsidR="00972167" w:rsidRDefault="00972167" w:rsidP="00456131">
      <w:pPr>
        <w:pStyle w:val="ListParagraph"/>
        <w:numPr>
          <w:ilvl w:val="0"/>
          <w:numId w:val="65"/>
        </w:numPr>
      </w:pPr>
      <w:r>
        <w:t>Facilitati</w:t>
      </w:r>
      <w:r w:rsidR="001C353E">
        <w:t>ng</w:t>
      </w:r>
      <w:r>
        <w:t xml:space="preserve"> benchmarking activities of each participating country’s assessment and evaluation of qualifications to promote harmonisation</w:t>
      </w:r>
      <w:r w:rsidR="00E87773">
        <w:rPr>
          <w:rStyle w:val="FootnoteReference"/>
        </w:rPr>
        <w:footnoteReference w:id="47"/>
      </w:r>
      <w:r>
        <w:t xml:space="preserve"> of processes and trust in decisions made. </w:t>
      </w:r>
    </w:p>
    <w:p w14:paraId="62AC00DA" w14:textId="7C9CE110" w:rsidR="000A4E24" w:rsidRDefault="006C5DA2" w:rsidP="00594742">
      <w:pPr>
        <w:spacing w:line="240" w:lineRule="auto"/>
        <w:rPr>
          <w:lang w:val="en-US"/>
        </w:rPr>
      </w:pPr>
      <w:r>
        <w:t xml:space="preserve">The intention of the Forum Education Ministers’ determination in 2001 was to have a PRQS to facilitate the benchmarking of Pacific qualifications against international standards. The PRQS was to become a single reference for collective understanding and benchmarking of </w:t>
      </w:r>
      <w:r w:rsidR="005C649D">
        <w:t xml:space="preserve">Pacific </w:t>
      </w:r>
      <w:r>
        <w:t xml:space="preserve">qualifications </w:t>
      </w:r>
      <w:r w:rsidR="00127553">
        <w:t xml:space="preserve">systems </w:t>
      </w:r>
      <w:r>
        <w:t>against other qualifications systems to facilitate learner and labour mobility into further educational opportunities or entry into the global labour market. Any benchmarking activities undertaken w</w:t>
      </w:r>
      <w:r w:rsidR="0002015B">
        <w:t>ere</w:t>
      </w:r>
      <w:r>
        <w:t xml:space="preserve"> not immediately obvious or reported. </w:t>
      </w:r>
      <w:r w:rsidR="0057430F">
        <w:t>B</w:t>
      </w:r>
      <w:r>
        <w:t>enchmarking of qualifications is an essential component of PRQS’ role in supporting recognition and</w:t>
      </w:r>
      <w:r w:rsidR="0011030E">
        <w:t>,</w:t>
      </w:r>
      <w:r>
        <w:t xml:space="preserve"> in turn</w:t>
      </w:r>
      <w:r w:rsidR="0011030E">
        <w:t>,</w:t>
      </w:r>
      <w:r>
        <w:t xml:space="preserve"> facilitat</w:t>
      </w:r>
      <w:r w:rsidR="0011030E">
        <w:t>ing</w:t>
      </w:r>
      <w:r>
        <w:t xml:space="preserve"> learner and labour mobility. </w:t>
      </w:r>
      <w:r w:rsidRPr="0093034F">
        <w:rPr>
          <w:b/>
        </w:rPr>
        <w:t xml:space="preserve">A focus for </w:t>
      </w:r>
      <w:r w:rsidR="00753D4C" w:rsidRPr="0093034F">
        <w:rPr>
          <w:b/>
        </w:rPr>
        <w:t xml:space="preserve">a </w:t>
      </w:r>
      <w:r w:rsidR="00B75B62" w:rsidRPr="0093034F">
        <w:rPr>
          <w:b/>
        </w:rPr>
        <w:t xml:space="preserve">future Pacific model could be </w:t>
      </w:r>
      <w:r w:rsidR="00B75B62" w:rsidRPr="0093034F">
        <w:rPr>
          <w:b/>
          <w:lang w:val="en-US"/>
        </w:rPr>
        <w:t>facilitation</w:t>
      </w:r>
      <w:r w:rsidR="000A4E24" w:rsidRPr="0093034F">
        <w:rPr>
          <w:b/>
          <w:lang w:val="en-US"/>
        </w:rPr>
        <w:t xml:space="preserve"> of benchmarking activities</w:t>
      </w:r>
      <w:r w:rsidR="000A4E24">
        <w:rPr>
          <w:lang w:val="en-US"/>
        </w:rPr>
        <w:t xml:space="preserve">, including: </w:t>
      </w:r>
    </w:p>
    <w:p w14:paraId="361305E2" w14:textId="2C085242" w:rsidR="000A4E24" w:rsidRDefault="000731C0" w:rsidP="00456131">
      <w:pPr>
        <w:pStyle w:val="ListParagraph"/>
        <w:numPr>
          <w:ilvl w:val="0"/>
          <w:numId w:val="64"/>
        </w:numPr>
        <w:rPr>
          <w:lang w:val="en-US"/>
        </w:rPr>
      </w:pPr>
      <w:r>
        <w:rPr>
          <w:lang w:val="en-US"/>
        </w:rPr>
        <w:t xml:space="preserve">Benchmarking </w:t>
      </w:r>
      <w:r w:rsidR="000A4E24">
        <w:rPr>
          <w:lang w:val="en-US"/>
        </w:rPr>
        <w:t>of accreditation criteria and processes of PIFs competent bodies to ensure that outputs and learning outcomes are clearly defined</w:t>
      </w:r>
    </w:p>
    <w:p w14:paraId="3684E3CF" w14:textId="0924EEF3" w:rsidR="000A4E24" w:rsidRPr="000A4E24" w:rsidRDefault="000731C0" w:rsidP="00456131">
      <w:pPr>
        <w:pStyle w:val="ListParagraph"/>
        <w:numPr>
          <w:ilvl w:val="0"/>
          <w:numId w:val="64"/>
        </w:numPr>
        <w:rPr>
          <w:lang w:val="en-US"/>
        </w:rPr>
      </w:pPr>
      <w:r>
        <w:rPr>
          <w:lang w:val="en-US"/>
        </w:rPr>
        <w:t xml:space="preserve">Benchmarking </w:t>
      </w:r>
      <w:r w:rsidR="000A4E24">
        <w:rPr>
          <w:lang w:val="en-US"/>
        </w:rPr>
        <w:t xml:space="preserve">of registration criteria and processes of PIFs competent bodies to ensure </w:t>
      </w:r>
      <w:r w:rsidR="00127553">
        <w:rPr>
          <w:lang w:val="en-US"/>
        </w:rPr>
        <w:t>in confidence the certification processes and</w:t>
      </w:r>
      <w:r w:rsidR="000A4E24">
        <w:rPr>
          <w:lang w:val="en-US"/>
        </w:rPr>
        <w:t xml:space="preserve"> qualifications issued</w:t>
      </w:r>
    </w:p>
    <w:p w14:paraId="4315F93B" w14:textId="0B05852C" w:rsidR="000A4E24" w:rsidRDefault="000731C0" w:rsidP="00456131">
      <w:pPr>
        <w:pStyle w:val="ListParagraph"/>
        <w:numPr>
          <w:ilvl w:val="0"/>
          <w:numId w:val="64"/>
        </w:numPr>
        <w:rPr>
          <w:lang w:val="en-US"/>
        </w:rPr>
      </w:pPr>
      <w:r>
        <w:rPr>
          <w:lang w:val="en-US"/>
        </w:rPr>
        <w:t xml:space="preserve">Evaluation </w:t>
      </w:r>
      <w:r w:rsidR="000A4E24">
        <w:rPr>
          <w:lang w:val="en-US"/>
        </w:rPr>
        <w:t>and assessment of foreign qualifications for learner or labour mobility</w:t>
      </w:r>
    </w:p>
    <w:p w14:paraId="7B9EC513" w14:textId="454A5B36" w:rsidR="006C5DA2" w:rsidRDefault="000731C0" w:rsidP="00456131">
      <w:pPr>
        <w:pStyle w:val="ListParagraph"/>
        <w:numPr>
          <w:ilvl w:val="0"/>
          <w:numId w:val="64"/>
        </w:numPr>
      </w:pPr>
      <w:r w:rsidRPr="000A4E24">
        <w:rPr>
          <w:lang w:val="en-US"/>
        </w:rPr>
        <w:t xml:space="preserve">Country </w:t>
      </w:r>
      <w:r w:rsidR="000A4E24" w:rsidRPr="000A4E24">
        <w:rPr>
          <w:lang w:val="en-US"/>
        </w:rPr>
        <w:t>processes for assigning PQF levels for country qualifications entry onto the register.</w:t>
      </w:r>
    </w:p>
    <w:p w14:paraId="40D5CEB3" w14:textId="242F11C2" w:rsidR="00C713FF" w:rsidRPr="00331CC5" w:rsidRDefault="00331CC5" w:rsidP="00594742">
      <w:pPr>
        <w:pStyle w:val="Heading2"/>
        <w:spacing w:before="120" w:line="240" w:lineRule="auto"/>
        <w:rPr>
          <w:color w:val="95050F"/>
        </w:rPr>
      </w:pPr>
      <w:bookmarkStart w:id="43" w:name="_Toc458938582"/>
      <w:bookmarkStart w:id="44" w:name="_Toc462755561"/>
      <w:r w:rsidRPr="00331CC5">
        <w:rPr>
          <w:color w:val="95050F"/>
        </w:rPr>
        <w:t>2</w:t>
      </w:r>
      <w:r w:rsidR="00CF6700" w:rsidRPr="00331CC5">
        <w:rPr>
          <w:color w:val="95050F"/>
        </w:rPr>
        <w:t xml:space="preserve">.8 </w:t>
      </w:r>
      <w:r w:rsidR="00C713FF" w:rsidRPr="00331CC5">
        <w:rPr>
          <w:color w:val="95050F"/>
        </w:rPr>
        <w:t>Sustainability</w:t>
      </w:r>
      <w:bookmarkEnd w:id="43"/>
      <w:bookmarkEnd w:id="44"/>
    </w:p>
    <w:p w14:paraId="00777F38" w14:textId="5C030E23" w:rsidR="006F0911" w:rsidRPr="002368BF" w:rsidRDefault="00122D2D" w:rsidP="00594742">
      <w:pPr>
        <w:spacing w:line="240" w:lineRule="auto"/>
      </w:pPr>
      <w:r w:rsidRPr="00347BC9">
        <w:t xml:space="preserve">The </w:t>
      </w:r>
      <w:r w:rsidR="00347BC9">
        <w:rPr>
          <w:i/>
        </w:rPr>
        <w:t>EQAP Business Plan 2016</w:t>
      </w:r>
      <w:r w:rsidRPr="00347BC9">
        <w:rPr>
          <w:i/>
        </w:rPr>
        <w:t xml:space="preserve">–2018 </w:t>
      </w:r>
      <w:r w:rsidRPr="00347BC9">
        <w:t xml:space="preserve">(SPC 2016) recommends that the PRQS ‘work to transition from a funded or project status to a self-sustainable model that is not reliant on regional development funding’ and </w:t>
      </w:r>
      <w:r w:rsidR="00AA61B7" w:rsidRPr="00347BC9">
        <w:t>to being</w:t>
      </w:r>
      <w:r w:rsidRPr="00347BC9">
        <w:t xml:space="preserve"> based on the needs and interests of the users in the region.</w:t>
      </w:r>
      <w:r w:rsidR="001C353E">
        <w:t xml:space="preserve"> </w:t>
      </w:r>
      <w:r w:rsidR="00F74687" w:rsidRPr="00347BC9">
        <w:t>A number of funding pro</w:t>
      </w:r>
      <w:r w:rsidR="000E137A" w:rsidRPr="00347BC9">
        <w:t xml:space="preserve">posals </w:t>
      </w:r>
      <w:r w:rsidR="00732EAB">
        <w:t>are</w:t>
      </w:r>
      <w:r w:rsidR="000E137A" w:rsidRPr="00347BC9">
        <w:t xml:space="preserve"> in place. </w:t>
      </w:r>
      <w:r w:rsidR="00F74687" w:rsidRPr="00347BC9">
        <w:t xml:space="preserve">The </w:t>
      </w:r>
      <w:r w:rsidR="00E23434">
        <w:t>EQAP</w:t>
      </w:r>
      <w:r w:rsidR="00F74687" w:rsidRPr="00347BC9">
        <w:t xml:space="preserve"> ha</w:t>
      </w:r>
      <w:r w:rsidR="0024584E">
        <w:t>s</w:t>
      </w:r>
      <w:r w:rsidR="00F74687" w:rsidRPr="00347BC9">
        <w:t xml:space="preserve"> proposed that PIF countries and territories will need to pay for certain services</w:t>
      </w:r>
      <w:r w:rsidR="00127553">
        <w:t>: such as</w:t>
      </w:r>
      <w:r w:rsidR="006D0EA3">
        <w:t xml:space="preserve"> recognition o</w:t>
      </w:r>
      <w:r w:rsidR="003C1C91">
        <w:t>f</w:t>
      </w:r>
      <w:r w:rsidR="006D0EA3">
        <w:t xml:space="preserve"> agencies (quality audit), issuance of certifications and reports, qualification recognition services, and access to the Skills Register.</w:t>
      </w:r>
      <w:r w:rsidR="003C1C91">
        <w:rPr>
          <w:rStyle w:val="FootnoteReference"/>
        </w:rPr>
        <w:footnoteReference w:id="48"/>
      </w:r>
      <w:r w:rsidR="006D0EA3">
        <w:t xml:space="preserve"> </w:t>
      </w:r>
      <w:r w:rsidR="008859BA">
        <w:t>I</w:t>
      </w:r>
      <w:r w:rsidR="008859BA" w:rsidRPr="00347BC9">
        <w:t xml:space="preserve">nterviews </w:t>
      </w:r>
      <w:r w:rsidR="00F7469C" w:rsidRPr="00347BC9">
        <w:t xml:space="preserve">with EQAP representatives </w:t>
      </w:r>
      <w:r w:rsidR="00127553">
        <w:t>indicated</w:t>
      </w:r>
      <w:r w:rsidR="00F7469C" w:rsidRPr="00347BC9">
        <w:t xml:space="preserve"> that as the PRQS model expands and provides benefits and services, countries or territories could</w:t>
      </w:r>
      <w:r w:rsidR="00F7469C">
        <w:t xml:space="preserve"> potentially pay a membership fee to </w:t>
      </w:r>
      <w:r w:rsidR="001C353E">
        <w:t xml:space="preserve">support </w:t>
      </w:r>
      <w:r w:rsidR="00F7469C">
        <w:t xml:space="preserve">the PRQS. </w:t>
      </w:r>
    </w:p>
    <w:p w14:paraId="7A6CF9F4" w14:textId="67743ECB" w:rsidR="006F3A07" w:rsidRDefault="000A136B" w:rsidP="00594742">
      <w:pPr>
        <w:spacing w:line="240" w:lineRule="auto"/>
      </w:pPr>
      <w:r>
        <w:t>Currently the PRQS is a program within</w:t>
      </w:r>
      <w:r w:rsidR="00155D08">
        <w:t xml:space="preserve"> </w:t>
      </w:r>
      <w:r w:rsidR="00780D47">
        <w:t>EQAP</w:t>
      </w:r>
      <w:r w:rsidR="00732EAB">
        <w:t xml:space="preserve">, </w:t>
      </w:r>
      <w:r w:rsidR="00155D08">
        <w:t xml:space="preserve">based within </w:t>
      </w:r>
      <w:r w:rsidR="001C07E6">
        <w:t>the Secretariat of the Pacific Community (</w:t>
      </w:r>
      <w:r w:rsidR="00155D08">
        <w:t>SPC</w:t>
      </w:r>
      <w:r w:rsidR="001C07E6">
        <w:t>)</w:t>
      </w:r>
      <w:r w:rsidR="00166B94">
        <w:t>.</w:t>
      </w:r>
      <w:r w:rsidR="00AE4B25">
        <w:t xml:space="preserve">The EQAP </w:t>
      </w:r>
      <w:r w:rsidR="005508CB">
        <w:t>has</w:t>
      </w:r>
      <w:r w:rsidR="00AE4B25">
        <w:t xml:space="preserve"> considered that the long</w:t>
      </w:r>
      <w:r w:rsidR="002B7021">
        <w:t>-</w:t>
      </w:r>
      <w:r w:rsidR="00AE4B25">
        <w:t>term potential of the PRQS could be as a stand</w:t>
      </w:r>
      <w:r w:rsidR="002B7021">
        <w:t>-</w:t>
      </w:r>
      <w:r w:rsidR="00AE4B25">
        <w:t>alone entity. Other options explored throughout the review</w:t>
      </w:r>
      <w:r w:rsidR="002B7021">
        <w:t xml:space="preserve">, </w:t>
      </w:r>
      <w:r w:rsidR="005508CB">
        <w:t>included</w:t>
      </w:r>
      <w:r w:rsidR="00AE4B25">
        <w:t xml:space="preserve"> the PRQS </w:t>
      </w:r>
      <w:r w:rsidR="005508CB">
        <w:t>being placed</w:t>
      </w:r>
      <w:r w:rsidR="00AE4B25">
        <w:t xml:space="preserve"> </w:t>
      </w:r>
      <w:r w:rsidR="00B2183C">
        <w:t xml:space="preserve">within the Pacific Island Forum Secretariat, putting aside any potential conflicts of interest within SPC or USP. </w:t>
      </w:r>
      <w:r w:rsidR="00AE4B25">
        <w:t xml:space="preserve"> </w:t>
      </w:r>
    </w:p>
    <w:p w14:paraId="23195139" w14:textId="2973106F" w:rsidR="00247988" w:rsidRDefault="005508CB" w:rsidP="00594742">
      <w:pPr>
        <w:spacing w:line="240" w:lineRule="auto"/>
        <w:rPr>
          <w:rFonts w:asciiTheme="majorHAnsi" w:eastAsiaTheme="majorEastAsia" w:hAnsiTheme="majorHAnsi" w:cstheme="majorBidi"/>
          <w:b/>
          <w:bCs/>
          <w:color w:val="95050F"/>
          <w:sz w:val="32"/>
          <w:szCs w:val="28"/>
        </w:rPr>
      </w:pPr>
      <w:r>
        <w:t>There</w:t>
      </w:r>
      <w:r w:rsidR="00AE4B25">
        <w:t xml:space="preserve"> is no immediate and logical </w:t>
      </w:r>
      <w:r w:rsidR="001C353E">
        <w:t xml:space="preserve">location </w:t>
      </w:r>
      <w:r w:rsidR="00AE4B25">
        <w:t>for the PRQ</w:t>
      </w:r>
      <w:r w:rsidR="00B2183C">
        <w:t>S</w:t>
      </w:r>
      <w:r w:rsidR="00AE4B25">
        <w:t>. In the long</w:t>
      </w:r>
      <w:r w:rsidR="00732EAB">
        <w:t>-</w:t>
      </w:r>
      <w:r w:rsidR="00AE4B25">
        <w:t>term</w:t>
      </w:r>
      <w:r w:rsidR="00732EAB">
        <w:t>,</w:t>
      </w:r>
      <w:r w:rsidR="00AE4B25">
        <w:t xml:space="preserve"> it would be desirable for the future Pacific model to be able to provide clear benef</w:t>
      </w:r>
      <w:r w:rsidR="00B2183C">
        <w:t>its to participating countries</w:t>
      </w:r>
      <w:r w:rsidR="00732EAB">
        <w:t>,</w:t>
      </w:r>
      <w:r w:rsidR="00B2183C">
        <w:t xml:space="preserve"> </w:t>
      </w:r>
      <w:r w:rsidR="00AE4B25">
        <w:t>which could be recognised through national contributions</w:t>
      </w:r>
      <w:r w:rsidR="00B2183C">
        <w:t>. In addition, it should be</w:t>
      </w:r>
      <w:r w:rsidR="00AE4B25">
        <w:t xml:space="preserve"> independent enough to be considered </w:t>
      </w:r>
      <w:r w:rsidR="00AE4B25">
        <w:lastRenderedPageBreak/>
        <w:t xml:space="preserve">a </w:t>
      </w:r>
      <w:r w:rsidR="00B2183C">
        <w:t>Council of Regional Organisations in the Pacific (CROP)</w:t>
      </w:r>
      <w:r w:rsidR="00B2183C">
        <w:rPr>
          <w:rStyle w:val="FootnoteReference"/>
        </w:rPr>
        <w:footnoteReference w:id="49"/>
      </w:r>
      <w:r w:rsidR="00B2183C">
        <w:t xml:space="preserve"> member</w:t>
      </w:r>
      <w:r w:rsidR="00732EAB">
        <w:t>.</w:t>
      </w:r>
      <w:r w:rsidR="00AE4B25">
        <w:rPr>
          <w:rStyle w:val="FootnoteReference"/>
        </w:rPr>
        <w:footnoteReference w:id="50"/>
      </w:r>
      <w:r w:rsidR="003C1C91">
        <w:t xml:space="preserve"> </w:t>
      </w:r>
      <w:r w:rsidR="00A534E5">
        <w:t xml:space="preserve">The </w:t>
      </w:r>
      <w:r w:rsidR="00AB5D3C">
        <w:t>future Pacific model being a CROP member is the logical conclusion of its role and importance to other regional strategies</w:t>
      </w:r>
      <w:r w:rsidR="002B7021">
        <w:t xml:space="preserve"> (</w:t>
      </w:r>
      <w:r w:rsidR="00AB5D3C">
        <w:t xml:space="preserve">e.g. USP, </w:t>
      </w:r>
      <w:r w:rsidR="00562121">
        <w:t xml:space="preserve">learner and </w:t>
      </w:r>
      <w:r w:rsidR="00AB5D3C">
        <w:t>labour mobility, trade agreements</w:t>
      </w:r>
      <w:r w:rsidR="002B7021">
        <w:t>)</w:t>
      </w:r>
      <w:r w:rsidR="00AB5D3C">
        <w:t xml:space="preserve">. </w:t>
      </w:r>
      <w:r w:rsidR="00247988">
        <w:rPr>
          <w:color w:val="95050F"/>
        </w:rPr>
        <w:br w:type="page"/>
      </w:r>
    </w:p>
    <w:p w14:paraId="4931771A" w14:textId="4E4C3AC7" w:rsidR="00D50F39" w:rsidRDefault="0073474B" w:rsidP="00C0288B">
      <w:pPr>
        <w:pStyle w:val="Heading1"/>
        <w:numPr>
          <w:ilvl w:val="0"/>
          <w:numId w:val="36"/>
        </w:numPr>
        <w:rPr>
          <w:color w:val="95050F"/>
        </w:rPr>
      </w:pPr>
      <w:bookmarkStart w:id="45" w:name="_Toc458938583"/>
      <w:bookmarkStart w:id="46" w:name="_Toc462755562"/>
      <w:r>
        <w:rPr>
          <w:color w:val="95050F"/>
        </w:rPr>
        <w:lastRenderedPageBreak/>
        <w:t>Conclusion</w:t>
      </w:r>
      <w:r w:rsidR="00247988">
        <w:rPr>
          <w:color w:val="95050F"/>
        </w:rPr>
        <w:t xml:space="preserve">, </w:t>
      </w:r>
      <w:r>
        <w:rPr>
          <w:color w:val="95050F"/>
        </w:rPr>
        <w:t>r</w:t>
      </w:r>
      <w:r w:rsidR="00DA2496">
        <w:rPr>
          <w:color w:val="95050F"/>
        </w:rPr>
        <w:t>ecommendations</w:t>
      </w:r>
      <w:bookmarkEnd w:id="26"/>
      <w:r w:rsidR="00247988">
        <w:rPr>
          <w:color w:val="95050F"/>
        </w:rPr>
        <w:t xml:space="preserve"> and proposed model</w:t>
      </w:r>
      <w:bookmarkEnd w:id="45"/>
      <w:bookmarkEnd w:id="46"/>
    </w:p>
    <w:p w14:paraId="634B9706" w14:textId="08904E43" w:rsidR="007D37C9" w:rsidRPr="00331CC5" w:rsidRDefault="001754AB" w:rsidP="00331CC5">
      <w:pPr>
        <w:pStyle w:val="Heading2"/>
        <w:rPr>
          <w:color w:val="95050F"/>
        </w:rPr>
      </w:pPr>
      <w:bookmarkStart w:id="47" w:name="_Toc458938584"/>
      <w:bookmarkStart w:id="48" w:name="_Toc462755563"/>
      <w:bookmarkEnd w:id="23"/>
      <w:r w:rsidRPr="00331CC5">
        <w:rPr>
          <w:color w:val="95050F"/>
        </w:rPr>
        <w:t xml:space="preserve">3.1 </w:t>
      </w:r>
      <w:r w:rsidR="007D37C9" w:rsidRPr="00331CC5">
        <w:rPr>
          <w:color w:val="95050F"/>
        </w:rPr>
        <w:t>Need for a Pacific model</w:t>
      </w:r>
      <w:r w:rsidR="008D1EEB" w:rsidRPr="00331CC5">
        <w:rPr>
          <w:color w:val="95050F"/>
        </w:rPr>
        <w:t xml:space="preserve"> that is trusted and valued</w:t>
      </w:r>
      <w:bookmarkEnd w:id="47"/>
      <w:bookmarkEnd w:id="48"/>
    </w:p>
    <w:p w14:paraId="65EDBCBC" w14:textId="6249E0B8" w:rsidR="007D37C9" w:rsidRPr="00B6216E" w:rsidRDefault="007D37C9" w:rsidP="00BF09CC">
      <w:pPr>
        <w:spacing w:line="240" w:lineRule="auto"/>
        <w:rPr>
          <w:color w:val="000000"/>
          <w:sz w:val="22"/>
        </w:rPr>
      </w:pPr>
      <w:r w:rsidRPr="00B6216E">
        <w:t>Globalisation of organisations, information and occupations is an undeniable trend</w:t>
      </w:r>
      <w:r w:rsidR="002B7021" w:rsidRPr="00B6216E">
        <w:t xml:space="preserve">; </w:t>
      </w:r>
      <w:r w:rsidRPr="00B6216E">
        <w:t xml:space="preserve">countries and regions are faced with developing policies and strategies in the context of the global economy that has free trade of goods and services and free movement of capital, technology and skills. There are significant differences in country </w:t>
      </w:r>
      <w:r w:rsidR="006F5A9D" w:rsidRPr="00B6216E">
        <w:t xml:space="preserve">and regional </w:t>
      </w:r>
      <w:r w:rsidRPr="00B6216E">
        <w:t>implementation strategies to recognise qualifications</w:t>
      </w:r>
      <w:r w:rsidR="001A1342" w:rsidRPr="00B6216E">
        <w:t xml:space="preserve"> and skills</w:t>
      </w:r>
      <w:r w:rsidRPr="00B6216E">
        <w:t>, these differences are important</w:t>
      </w:r>
      <w:r w:rsidR="002B7021" w:rsidRPr="00B6216E">
        <w:t>,</w:t>
      </w:r>
      <w:r w:rsidRPr="00B6216E">
        <w:t xml:space="preserve"> but at the regional </w:t>
      </w:r>
      <w:r w:rsidR="00445337" w:rsidRPr="00B6216E">
        <w:t>level,</w:t>
      </w:r>
      <w:r w:rsidRPr="00B6216E">
        <w:t xml:space="preserve"> </w:t>
      </w:r>
      <w:r w:rsidR="001A1342" w:rsidRPr="00B6216E">
        <w:t>communities</w:t>
      </w:r>
      <w:r w:rsidRPr="00B6216E">
        <w:t xml:space="preserve"> need to design their own coordinated strategy on how to cope with the challenges of </w:t>
      </w:r>
      <w:r w:rsidR="00BE4CB2">
        <w:t>globalisation</w:t>
      </w:r>
      <w:r w:rsidRPr="00B6216E">
        <w:rPr>
          <w:color w:val="000000"/>
          <w:sz w:val="22"/>
        </w:rPr>
        <w:t>.</w:t>
      </w:r>
      <w:r w:rsidR="006F5A9D" w:rsidRPr="00B6216E">
        <w:rPr>
          <w:rStyle w:val="FootnoteReference"/>
          <w:color w:val="000000"/>
          <w:sz w:val="22"/>
        </w:rPr>
        <w:footnoteReference w:id="51"/>
      </w:r>
    </w:p>
    <w:p w14:paraId="6C6E664A" w14:textId="0FA29D9A" w:rsidR="007D37C9" w:rsidRPr="00F8478A" w:rsidRDefault="007D37C9" w:rsidP="00BF09CC">
      <w:pPr>
        <w:spacing w:line="240" w:lineRule="auto"/>
      </w:pPr>
      <w:r w:rsidRPr="00107830">
        <w:t xml:space="preserve">Within this context, the international development of regional qualifications and quality assurance frameworks means that there is still a </w:t>
      </w:r>
      <w:r w:rsidRPr="00083F7A">
        <w:t>need</w:t>
      </w:r>
      <w:r w:rsidR="00FD1E17">
        <w:t>,</w:t>
      </w:r>
      <w:r w:rsidRPr="00083F7A">
        <w:t xml:space="preserve"> </w:t>
      </w:r>
      <w:r w:rsidR="00F81267" w:rsidRPr="00B928AC">
        <w:t>or even a greater need</w:t>
      </w:r>
      <w:r w:rsidR="00FD1E17">
        <w:t>,</w:t>
      </w:r>
      <w:r w:rsidR="00F81267" w:rsidRPr="00083F7A">
        <w:t xml:space="preserve"> </w:t>
      </w:r>
      <w:r w:rsidRPr="00083F7A">
        <w:t>for</w:t>
      </w:r>
      <w:r w:rsidRPr="00107830">
        <w:t xml:space="preserve"> a Pacific model. As one interviewee stated</w:t>
      </w:r>
      <w:r w:rsidR="002B7021" w:rsidRPr="00107830">
        <w:t>:</w:t>
      </w:r>
      <w:r w:rsidRPr="00107830">
        <w:t xml:space="preserve"> ‘there is a need for it more than ever’</w:t>
      </w:r>
      <w:r w:rsidR="002B7021" w:rsidRPr="00107830">
        <w:t>,</w:t>
      </w:r>
      <w:r w:rsidRPr="00107830">
        <w:t xml:space="preserve"> both regionally and internationally.</w:t>
      </w:r>
      <w:r w:rsidRPr="006C7175">
        <w:t xml:space="preserve"> </w:t>
      </w:r>
    </w:p>
    <w:p w14:paraId="1CDED93C" w14:textId="41DD4A00" w:rsidR="003B2ACE" w:rsidRDefault="007D37C9" w:rsidP="00BF09CC">
      <w:pPr>
        <w:spacing w:line="240" w:lineRule="auto"/>
      </w:pPr>
      <w:r>
        <w:t xml:space="preserve">The </w:t>
      </w:r>
      <w:r w:rsidRPr="00F8478A">
        <w:rPr>
          <w:i/>
        </w:rPr>
        <w:t>Framework for Pacific Regionalism</w:t>
      </w:r>
      <w:r w:rsidRPr="00F8478A">
        <w:t xml:space="preserve"> </w:t>
      </w:r>
      <w:r>
        <w:t xml:space="preserve">(2014) endorsed by Forum Leaders outlines the process </w:t>
      </w:r>
      <w:r w:rsidR="00445337">
        <w:t xml:space="preserve">for identifying and implementing </w:t>
      </w:r>
      <w:r>
        <w:t>regional priorities</w:t>
      </w:r>
      <w:r w:rsidR="00034ADB">
        <w:t>. It</w:t>
      </w:r>
      <w:r>
        <w:t xml:space="preserve"> notes that regional initiatives should not duplicate national initiatives,</w:t>
      </w:r>
      <w:r w:rsidR="002B7021">
        <w:t xml:space="preserve"> but </w:t>
      </w:r>
      <w:r>
        <w:t xml:space="preserve">should </w:t>
      </w:r>
      <w:r w:rsidRPr="00F8478A">
        <w:t xml:space="preserve">provide a regional benefit, should promote a shared norm or standard or establish a common position, </w:t>
      </w:r>
      <w:r w:rsidR="00083F7A" w:rsidRPr="00B928AC">
        <w:t>while</w:t>
      </w:r>
      <w:r w:rsidRPr="00B928AC">
        <w:t xml:space="preserve"> maintain</w:t>
      </w:r>
      <w:r w:rsidR="00083F7A" w:rsidRPr="00B928AC">
        <w:t>ing</w:t>
      </w:r>
      <w:r w:rsidRPr="00F8478A">
        <w:t xml:space="preserve"> the degree of effective sovereignty held by national governments.</w:t>
      </w:r>
      <w:r w:rsidR="006F574A">
        <w:t xml:space="preserve"> </w:t>
      </w:r>
      <w:r>
        <w:t xml:space="preserve">Any future </w:t>
      </w:r>
      <w:r w:rsidR="00E35443">
        <w:t xml:space="preserve">refinements or </w:t>
      </w:r>
      <w:r>
        <w:t xml:space="preserve">enhancements to the Pacific model should take into account the Framework’s critical criteria for regional initiatives. </w:t>
      </w:r>
      <w:r w:rsidR="004E56D4">
        <w:t xml:space="preserve">In addition, the </w:t>
      </w:r>
      <w:r w:rsidR="003B2ACE" w:rsidRPr="003B2ACE">
        <w:t xml:space="preserve">role and functions of the future Pacific model should be cognisant of the regional </w:t>
      </w:r>
      <w:r w:rsidR="002137D9" w:rsidRPr="003B2ACE">
        <w:t>context</w:t>
      </w:r>
      <w:r w:rsidR="002137D9">
        <w:t xml:space="preserve">, </w:t>
      </w:r>
      <w:r w:rsidR="003B2ACE" w:rsidRPr="003B2ACE">
        <w:t>including the greater Pacific region</w:t>
      </w:r>
      <w:r w:rsidR="002137D9">
        <w:t>,</w:t>
      </w:r>
      <w:r w:rsidR="003B2ACE" w:rsidRPr="003B2ACE">
        <w:t xml:space="preserve"> and internationally.</w:t>
      </w:r>
      <w:r w:rsidR="003B2ACE">
        <w:t xml:space="preserve"> </w:t>
      </w:r>
    </w:p>
    <w:p w14:paraId="081DBFEC" w14:textId="59BD00EB" w:rsidR="007B120C" w:rsidRPr="00F8478A" w:rsidRDefault="001A1342" w:rsidP="00BF09CC">
      <w:pPr>
        <w:spacing w:line="240" w:lineRule="auto"/>
      </w:pPr>
      <w:r w:rsidRPr="00F8478A">
        <w:t xml:space="preserve">If learner and labour mobility is of critical importance to the region, </w:t>
      </w:r>
      <w:r w:rsidR="00DC5D31" w:rsidRPr="00F8478A">
        <w:t>then recognition</w:t>
      </w:r>
      <w:r w:rsidRPr="00F8478A">
        <w:t xml:space="preserve"> of qualifications and skills </w:t>
      </w:r>
      <w:r w:rsidR="00DC5D31" w:rsidRPr="00F8478A">
        <w:t>is a key strategy to</w:t>
      </w:r>
      <w:r w:rsidRPr="00F8478A">
        <w:t xml:space="preserve"> facilitate </w:t>
      </w:r>
      <w:r w:rsidR="00DC5D31" w:rsidRPr="00F8478A">
        <w:t xml:space="preserve">this </w:t>
      </w:r>
      <w:r w:rsidRPr="00F8478A">
        <w:t>mobility</w:t>
      </w:r>
      <w:r w:rsidR="00DC5D31" w:rsidRPr="00F8478A">
        <w:t xml:space="preserve">. </w:t>
      </w:r>
      <w:r w:rsidR="007B120C" w:rsidRPr="00F8478A">
        <w:t>Within a region, recognition can be achieved if:</w:t>
      </w:r>
    </w:p>
    <w:p w14:paraId="7858684B" w14:textId="558C34F5" w:rsidR="007B120C" w:rsidRPr="003B0962" w:rsidRDefault="007B120C" w:rsidP="00456131">
      <w:pPr>
        <w:pStyle w:val="ListParagraph"/>
        <w:numPr>
          <w:ilvl w:val="0"/>
          <w:numId w:val="35"/>
        </w:numPr>
      </w:pPr>
      <w:r w:rsidRPr="003B0962">
        <w:t>The principle</w:t>
      </w:r>
      <w:r w:rsidR="00F56163" w:rsidRPr="003B0962">
        <w:t>s</w:t>
      </w:r>
      <w:r w:rsidRPr="003B0962">
        <w:t xml:space="preserve"> that facilitate mutual recognition </w:t>
      </w:r>
      <w:r w:rsidR="00F56163" w:rsidRPr="003B0962">
        <w:t>are</w:t>
      </w:r>
      <w:r w:rsidRPr="003B0962">
        <w:t xml:space="preserve"> adhered to by participating countries/agencies/providers.</w:t>
      </w:r>
    </w:p>
    <w:p w14:paraId="72A601D9" w14:textId="77777777" w:rsidR="007B120C" w:rsidRPr="003B0962" w:rsidRDefault="007B120C" w:rsidP="00456131">
      <w:pPr>
        <w:pStyle w:val="ListParagraph"/>
        <w:numPr>
          <w:ilvl w:val="0"/>
          <w:numId w:val="35"/>
        </w:numPr>
      </w:pPr>
      <w:r w:rsidRPr="003B0962">
        <w:t xml:space="preserve">There is an agreed mechanism for mutual recognition to occur. </w:t>
      </w:r>
    </w:p>
    <w:p w14:paraId="65A1E4BB" w14:textId="7E79F8BD" w:rsidR="007B120C" w:rsidRPr="00273A4E" w:rsidRDefault="007B120C" w:rsidP="00456131">
      <w:pPr>
        <w:pStyle w:val="ListParagraph"/>
        <w:numPr>
          <w:ilvl w:val="0"/>
          <w:numId w:val="35"/>
        </w:numPr>
      </w:pPr>
      <w:r w:rsidRPr="00273A4E">
        <w:t xml:space="preserve">The mechanism in place can generate trust between countries </w:t>
      </w:r>
      <w:r w:rsidR="00083F7A" w:rsidRPr="00B928AC">
        <w:t>based</w:t>
      </w:r>
      <w:r w:rsidR="00083F7A">
        <w:t xml:space="preserve"> </w:t>
      </w:r>
      <w:r w:rsidRPr="00273A4E">
        <w:t xml:space="preserve">on the quality of the qualifications undertaken, </w:t>
      </w:r>
      <w:r w:rsidR="00083F7A" w:rsidRPr="00B928AC">
        <w:t>relevant</w:t>
      </w:r>
      <w:r w:rsidR="00083F7A">
        <w:t xml:space="preserve"> </w:t>
      </w:r>
      <w:r w:rsidRPr="00273A4E">
        <w:t>occupational or educational standard</w:t>
      </w:r>
      <w:r w:rsidR="00BE4CB2">
        <w:t xml:space="preserve">s and the certificates </w:t>
      </w:r>
      <w:r w:rsidRPr="00273A4E">
        <w:t>issued.</w:t>
      </w:r>
    </w:p>
    <w:p w14:paraId="0ED0C05D" w14:textId="77777777" w:rsidR="007B120C" w:rsidRPr="00635E9B" w:rsidRDefault="007B120C" w:rsidP="00456131">
      <w:pPr>
        <w:pStyle w:val="ListParagraph"/>
        <w:numPr>
          <w:ilvl w:val="0"/>
          <w:numId w:val="35"/>
        </w:numPr>
      </w:pPr>
      <w:r w:rsidRPr="00273A4E">
        <w:t>Quality standards are transparent and fully implemented across each participating country/prov</w:t>
      </w:r>
      <w:r w:rsidRPr="00635E9B">
        <w:t>ider/qualification.</w:t>
      </w:r>
    </w:p>
    <w:p w14:paraId="79706EDF" w14:textId="77777777" w:rsidR="007B120C" w:rsidRPr="003B0962" w:rsidRDefault="007B120C" w:rsidP="00456131">
      <w:pPr>
        <w:pStyle w:val="ListParagraph"/>
        <w:numPr>
          <w:ilvl w:val="0"/>
          <w:numId w:val="35"/>
        </w:numPr>
      </w:pPr>
      <w:r w:rsidRPr="00635E9B">
        <w:t>There is specific regional governance of the recognition process.</w:t>
      </w:r>
      <w:r w:rsidRPr="003B0962">
        <w:rPr>
          <w:rStyle w:val="FootnoteReference"/>
          <w:sz w:val="22"/>
        </w:rPr>
        <w:footnoteReference w:id="52"/>
      </w:r>
    </w:p>
    <w:p w14:paraId="536EDCAA" w14:textId="43E8B95C" w:rsidR="00BB787E" w:rsidRPr="00BB787E" w:rsidRDefault="00BB787E" w:rsidP="00BF09CC">
      <w:pPr>
        <w:spacing w:line="240" w:lineRule="auto"/>
        <w:rPr>
          <w:sz w:val="22"/>
          <w:szCs w:val="22"/>
        </w:rPr>
      </w:pPr>
      <w:r w:rsidRPr="00F8478A">
        <w:t>To develop a zone of trust</w:t>
      </w:r>
      <w:r>
        <w:rPr>
          <w:rStyle w:val="FootnoteReference"/>
          <w:sz w:val="22"/>
          <w:szCs w:val="22"/>
        </w:rPr>
        <w:footnoteReference w:id="53"/>
      </w:r>
      <w:r w:rsidRPr="00BB787E">
        <w:rPr>
          <w:sz w:val="22"/>
          <w:szCs w:val="22"/>
        </w:rPr>
        <w:t xml:space="preserve"> </w:t>
      </w:r>
      <w:r w:rsidRPr="00F8478A">
        <w:t>between the PIF countries and territories there needs to be an appreciation by people in key agencies (e.g. education and training providers, qualifications bodies/quality assurance agencies, professional bodies, employers, employee organisations, regional bodies) that the Pacific model</w:t>
      </w:r>
      <w:r w:rsidRPr="00F8478A" w:rsidDel="00870C53">
        <w:t xml:space="preserve"> </w:t>
      </w:r>
      <w:r w:rsidRPr="00F8478A">
        <w:t>is helpful for understanding qualifications systems, qualifications and occupational standards in other PIF countries or territories.</w:t>
      </w:r>
      <w:r w:rsidRPr="00BB787E">
        <w:rPr>
          <w:sz w:val="22"/>
          <w:szCs w:val="22"/>
        </w:rPr>
        <w:t xml:space="preserve"> </w:t>
      </w:r>
    </w:p>
    <w:p w14:paraId="6EB67B22" w14:textId="7026BE1E" w:rsidR="00DC5D31" w:rsidRPr="00F8478A" w:rsidRDefault="00DC5D31" w:rsidP="00BF09CC">
      <w:pPr>
        <w:spacing w:line="240" w:lineRule="auto"/>
      </w:pPr>
      <w:r w:rsidRPr="00F8478A">
        <w:t xml:space="preserve">A future Pacific model that builds </w:t>
      </w:r>
      <w:r w:rsidR="00D90D5B" w:rsidRPr="00F8478A">
        <w:t xml:space="preserve">on </w:t>
      </w:r>
      <w:r w:rsidR="00083F7A" w:rsidRPr="00B928AC">
        <w:t>and significantly develops</w:t>
      </w:r>
      <w:r w:rsidR="00083F7A">
        <w:t xml:space="preserve"> </w:t>
      </w:r>
      <w:r w:rsidR="00D90D5B" w:rsidRPr="00F8478A">
        <w:t xml:space="preserve">the </w:t>
      </w:r>
      <w:r w:rsidR="00A00B42">
        <w:t xml:space="preserve">approach and </w:t>
      </w:r>
      <w:r w:rsidR="00D90D5B" w:rsidRPr="00F8478A">
        <w:t xml:space="preserve">work </w:t>
      </w:r>
      <w:r w:rsidR="00A00B42">
        <w:t>undertaken to date by the PRQS team</w:t>
      </w:r>
      <w:r w:rsidR="006F574A">
        <w:t xml:space="preserve"> and which </w:t>
      </w:r>
      <w:r w:rsidR="00D90D5B" w:rsidRPr="00F8478A">
        <w:t>focusses on building trust and harmoni</w:t>
      </w:r>
      <w:r w:rsidR="00ED1337">
        <w:t>s</w:t>
      </w:r>
      <w:r w:rsidR="00D90D5B" w:rsidRPr="00F8478A">
        <w:t xml:space="preserve">ation across the broader Pacific region is considered paramount to support other regional initiatives. </w:t>
      </w:r>
      <w:r w:rsidR="003D69ED" w:rsidRPr="00F8478A">
        <w:t xml:space="preserve">Given the current context of PACER Plus providing a significant impetus it is timely to review the current </w:t>
      </w:r>
      <w:r w:rsidR="00F40AF8" w:rsidRPr="00F8478A">
        <w:t xml:space="preserve">PRQS </w:t>
      </w:r>
      <w:r w:rsidR="003D69ED" w:rsidRPr="00F8478A">
        <w:t xml:space="preserve">model and propose </w:t>
      </w:r>
      <w:r w:rsidR="00B504E5" w:rsidRPr="00F8478A">
        <w:t xml:space="preserve">an </w:t>
      </w:r>
      <w:r w:rsidR="00B504E5" w:rsidRPr="00F8478A">
        <w:lastRenderedPageBreak/>
        <w:t xml:space="preserve">enhanced model to provide a clear focus and purpose and also provide stability </w:t>
      </w:r>
      <w:r w:rsidR="002137D9">
        <w:t xml:space="preserve">and sustainability </w:t>
      </w:r>
      <w:r w:rsidR="00B504E5" w:rsidRPr="00F8478A">
        <w:t xml:space="preserve">over the longer term. </w:t>
      </w:r>
    </w:p>
    <w:p w14:paraId="067F5CA2" w14:textId="2EEE700A" w:rsidR="002D2B7D" w:rsidRDefault="00445337" w:rsidP="00BF09CC">
      <w:pPr>
        <w:spacing w:line="240" w:lineRule="auto"/>
      </w:pPr>
      <w:r>
        <w:t>If</w:t>
      </w:r>
      <w:r w:rsidR="002D2B7D" w:rsidRPr="00816EBE">
        <w:t xml:space="preserve"> the Pacific model is to be maintained and strengthened</w:t>
      </w:r>
      <w:r w:rsidR="00FA4C7F">
        <w:t>,</w:t>
      </w:r>
      <w:r w:rsidR="002D2B7D" w:rsidRPr="00816EBE">
        <w:t xml:space="preserve"> it needs to have ownership </w:t>
      </w:r>
      <w:r w:rsidR="007850C3" w:rsidRPr="00816EBE">
        <w:t>by</w:t>
      </w:r>
      <w:r w:rsidR="002D2B7D" w:rsidRPr="00816EBE">
        <w:t xml:space="preserve"> the PIF countries and territories, have clear and identifiable benefits to them</w:t>
      </w:r>
      <w:r w:rsidR="002137D9">
        <w:t>,</w:t>
      </w:r>
      <w:r w:rsidR="002D2B7D" w:rsidRPr="00816EBE">
        <w:t xml:space="preserve"> and be incorporated into other regional </w:t>
      </w:r>
      <w:r w:rsidR="00B75B62" w:rsidRPr="00816EBE">
        <w:t xml:space="preserve">and international </w:t>
      </w:r>
      <w:r w:rsidR="002D2B7D" w:rsidRPr="00816EBE">
        <w:t>initiatives and agreements. Without this</w:t>
      </w:r>
      <w:r w:rsidR="00FA4C7F">
        <w:t>,</w:t>
      </w:r>
      <w:r w:rsidR="002D2B7D" w:rsidRPr="00816EBE">
        <w:t xml:space="preserve"> the </w:t>
      </w:r>
      <w:r w:rsidR="00034ADB" w:rsidRPr="00816EBE">
        <w:t>P</w:t>
      </w:r>
      <w:r w:rsidR="002D2B7D" w:rsidRPr="00816EBE">
        <w:t>acific model will surely falter.</w:t>
      </w:r>
      <w:r w:rsidR="002D2B7D">
        <w:t xml:space="preserve"> </w:t>
      </w:r>
    </w:p>
    <w:p w14:paraId="474D3538" w14:textId="23172726" w:rsidR="003F5743" w:rsidRPr="00331CC5" w:rsidRDefault="001754AB" w:rsidP="00331CC5">
      <w:pPr>
        <w:pStyle w:val="Heading2"/>
        <w:rPr>
          <w:color w:val="95050F"/>
        </w:rPr>
      </w:pPr>
      <w:bookmarkStart w:id="49" w:name="_Toc462755564"/>
      <w:r w:rsidRPr="00331CC5">
        <w:rPr>
          <w:color w:val="95050F"/>
        </w:rPr>
        <w:t xml:space="preserve">3.2 </w:t>
      </w:r>
      <w:r w:rsidR="003F5743" w:rsidRPr="00331CC5">
        <w:rPr>
          <w:color w:val="95050F"/>
        </w:rPr>
        <w:t>Proposed model</w:t>
      </w:r>
      <w:bookmarkEnd w:id="49"/>
    </w:p>
    <w:p w14:paraId="7A72B080" w14:textId="354DE30B" w:rsidR="00621F15" w:rsidRPr="00042C93" w:rsidRDefault="009B7094" w:rsidP="00510F64">
      <w:pPr>
        <w:spacing w:line="240" w:lineRule="auto"/>
      </w:pPr>
      <w:r w:rsidRPr="00042C93">
        <w:t xml:space="preserve">The program logic for the </w:t>
      </w:r>
      <w:r w:rsidR="00621F15" w:rsidRPr="00042C93">
        <w:t xml:space="preserve">future Pacific </w:t>
      </w:r>
      <w:r w:rsidR="003162E8" w:rsidRPr="00042C93">
        <w:t xml:space="preserve">model is based on </w:t>
      </w:r>
      <w:r w:rsidRPr="00042C93">
        <w:t xml:space="preserve">the experiences of </w:t>
      </w:r>
      <w:r w:rsidR="003162E8" w:rsidRPr="00042C93">
        <w:t xml:space="preserve">other regional frameworks </w:t>
      </w:r>
      <w:r w:rsidR="00042C93">
        <w:t>(</w:t>
      </w:r>
      <w:r w:rsidRPr="00042C93">
        <w:t>e.g. EQF and CARICOM</w:t>
      </w:r>
      <w:r w:rsidR="00042C93">
        <w:t>)</w:t>
      </w:r>
      <w:r w:rsidR="00D51772" w:rsidRPr="00042C93">
        <w:t xml:space="preserve"> and the</w:t>
      </w:r>
      <w:r w:rsidR="000D1CFC" w:rsidRPr="00042C93">
        <w:t>ir</w:t>
      </w:r>
      <w:r w:rsidR="00D51772" w:rsidRPr="00042C93">
        <w:t xml:space="preserve"> link</w:t>
      </w:r>
      <w:r w:rsidR="000D1CFC" w:rsidRPr="00042C93">
        <w:t>s</w:t>
      </w:r>
      <w:r w:rsidR="00D51772" w:rsidRPr="00042C93">
        <w:t xml:space="preserve"> to improved recognition and impact on labour and learner mobility</w:t>
      </w:r>
      <w:r w:rsidRPr="00042C93">
        <w:t>.</w:t>
      </w:r>
      <w:r w:rsidR="000C2EDA" w:rsidRPr="00042C93">
        <w:t xml:space="preserve"> </w:t>
      </w:r>
      <w:r w:rsidR="00207D19" w:rsidRPr="00042C93">
        <w:t>The assumptions made are:</w:t>
      </w:r>
    </w:p>
    <w:p w14:paraId="10468B68" w14:textId="5FE6BAD9" w:rsidR="001878AD" w:rsidRPr="00042C93" w:rsidRDefault="001878AD" w:rsidP="00456131">
      <w:pPr>
        <w:pStyle w:val="ListParagraph"/>
        <w:numPr>
          <w:ilvl w:val="0"/>
          <w:numId w:val="71"/>
        </w:numPr>
      </w:pPr>
      <w:r w:rsidRPr="00042C93">
        <w:t xml:space="preserve">That </w:t>
      </w:r>
      <w:r w:rsidR="00EC2D61" w:rsidRPr="00042C93">
        <w:t>a</w:t>
      </w:r>
      <w:r w:rsidRPr="00042C93">
        <w:t xml:space="preserve"> regional multilateral approach to recognition and </w:t>
      </w:r>
      <w:r w:rsidR="00EC2D61" w:rsidRPr="00042C93">
        <w:t xml:space="preserve">learner and labour </w:t>
      </w:r>
      <w:r w:rsidRPr="00042C93">
        <w:t xml:space="preserve">mobility is more </w:t>
      </w:r>
      <w:r w:rsidR="00EC2D61" w:rsidRPr="00042C93">
        <w:t>efficient and effective</w:t>
      </w:r>
      <w:r w:rsidRPr="00042C93">
        <w:t xml:space="preserve"> than bilateral arrangements which could alienate Pacific Nations with less advanced quality assurance systems</w:t>
      </w:r>
    </w:p>
    <w:p w14:paraId="32CD804D" w14:textId="2D8EF200" w:rsidR="001878AD" w:rsidRPr="00042C93" w:rsidRDefault="001878AD" w:rsidP="00456131">
      <w:pPr>
        <w:pStyle w:val="ListParagraph"/>
        <w:numPr>
          <w:ilvl w:val="0"/>
          <w:numId w:val="71"/>
        </w:numPr>
      </w:pPr>
      <w:r w:rsidRPr="00042C93">
        <w:t xml:space="preserve">That a regional approach to recognition, portability of qualifications and labour mobility </w:t>
      </w:r>
      <w:r w:rsidR="00EC2D61" w:rsidRPr="00042C93">
        <w:t>is</w:t>
      </w:r>
      <w:r w:rsidRPr="00042C93">
        <w:t xml:space="preserve"> best facilitated through a central focal </w:t>
      </w:r>
      <w:r w:rsidR="00EC2D61" w:rsidRPr="00042C93">
        <w:t xml:space="preserve">and coordinating </w:t>
      </w:r>
      <w:r w:rsidRPr="00042C93">
        <w:t>point</w:t>
      </w:r>
    </w:p>
    <w:p w14:paraId="77E61EF5" w14:textId="099829F9" w:rsidR="001878AD" w:rsidRPr="00042C93" w:rsidRDefault="001878AD" w:rsidP="00456131">
      <w:pPr>
        <w:pStyle w:val="ListParagraph"/>
        <w:numPr>
          <w:ilvl w:val="0"/>
          <w:numId w:val="71"/>
        </w:numPr>
      </w:pPr>
      <w:r w:rsidRPr="00042C93">
        <w:t xml:space="preserve">Nations have the legal remit to quality assurance TVET and </w:t>
      </w:r>
      <w:r w:rsidR="004A70CE" w:rsidRPr="00042C93">
        <w:t xml:space="preserve">Higher Education </w:t>
      </w:r>
      <w:r w:rsidRPr="00042C93">
        <w:t xml:space="preserve">sectors within their respective countries </w:t>
      </w:r>
    </w:p>
    <w:p w14:paraId="3CD4D238" w14:textId="5BB59209" w:rsidR="00413C1C" w:rsidRPr="00042C93" w:rsidRDefault="00D544C6" w:rsidP="00456131">
      <w:pPr>
        <w:pStyle w:val="ListParagraph"/>
        <w:numPr>
          <w:ilvl w:val="0"/>
          <w:numId w:val="71"/>
        </w:numPr>
      </w:pPr>
      <w:r w:rsidRPr="00042C93">
        <w:t xml:space="preserve">National </w:t>
      </w:r>
      <w:r w:rsidR="00611DB8" w:rsidRPr="00042C93">
        <w:t xml:space="preserve">competent </w:t>
      </w:r>
      <w:r w:rsidRPr="00042C93">
        <w:t>QA bodies</w:t>
      </w:r>
      <w:r w:rsidR="00413C1C" w:rsidRPr="00042C93">
        <w:t xml:space="preserve"> have the capacity to quality assure the qualifications system</w:t>
      </w:r>
    </w:p>
    <w:p w14:paraId="59DE8401" w14:textId="415B50DB" w:rsidR="00D544C6" w:rsidRPr="00042C93" w:rsidRDefault="00D544C6" w:rsidP="00456131">
      <w:pPr>
        <w:pStyle w:val="ListParagraph"/>
        <w:numPr>
          <w:ilvl w:val="0"/>
          <w:numId w:val="71"/>
        </w:numPr>
      </w:pPr>
      <w:r w:rsidRPr="00042C93">
        <w:t xml:space="preserve">National </w:t>
      </w:r>
      <w:r w:rsidR="00611DB8" w:rsidRPr="00042C93">
        <w:t xml:space="preserve">competent </w:t>
      </w:r>
      <w:r w:rsidRPr="00042C93">
        <w:t>QA bodies have strong internal review processes</w:t>
      </w:r>
      <w:r w:rsidR="006B766D" w:rsidRPr="00042C93">
        <w:t xml:space="preserve"> of their own activities</w:t>
      </w:r>
    </w:p>
    <w:p w14:paraId="11EFFC06" w14:textId="5816918F" w:rsidR="00413C1C" w:rsidRPr="00042C93" w:rsidRDefault="00413C1C" w:rsidP="00456131">
      <w:pPr>
        <w:pStyle w:val="ListParagraph"/>
        <w:numPr>
          <w:ilvl w:val="0"/>
          <w:numId w:val="71"/>
        </w:numPr>
      </w:pPr>
      <w:r w:rsidRPr="00042C93">
        <w:t xml:space="preserve">Individual providers have the capacity to deliver quality education and training, </w:t>
      </w:r>
      <w:r w:rsidR="002F09E9" w:rsidRPr="00042C93">
        <w:t xml:space="preserve">and </w:t>
      </w:r>
      <w:r w:rsidRPr="00042C93">
        <w:t xml:space="preserve">to undertake robust internal quality assurance processes. </w:t>
      </w:r>
    </w:p>
    <w:p w14:paraId="3B7794BC" w14:textId="7943C256" w:rsidR="008D2307" w:rsidRDefault="008D2307" w:rsidP="00510F64">
      <w:pPr>
        <w:spacing w:line="240" w:lineRule="auto"/>
      </w:pPr>
      <w:r w:rsidRPr="00042C93">
        <w:t>An outline of the program logic is as follows:</w:t>
      </w:r>
    </w:p>
    <w:tbl>
      <w:tblPr>
        <w:tblStyle w:val="TableGrid"/>
        <w:tblW w:w="0" w:type="auto"/>
        <w:tblLook w:val="04A0" w:firstRow="1" w:lastRow="0" w:firstColumn="1" w:lastColumn="0" w:noHBand="0" w:noVBand="1"/>
      </w:tblPr>
      <w:tblGrid>
        <w:gridCol w:w="1980"/>
        <w:gridCol w:w="7200"/>
      </w:tblGrid>
      <w:tr w:rsidR="00207D19" w:rsidRPr="005715AB" w14:paraId="6237C1DD" w14:textId="77777777" w:rsidTr="00207D19">
        <w:tc>
          <w:tcPr>
            <w:tcW w:w="1980" w:type="dxa"/>
          </w:tcPr>
          <w:p w14:paraId="72448959" w14:textId="275081DE" w:rsidR="00207D19" w:rsidRPr="005715AB" w:rsidRDefault="00207D19" w:rsidP="00BE4CB2">
            <w:pPr>
              <w:spacing w:line="240" w:lineRule="auto"/>
              <w:rPr>
                <w:sz w:val="20"/>
                <w:szCs w:val="20"/>
              </w:rPr>
            </w:pPr>
            <w:r w:rsidRPr="005715AB">
              <w:rPr>
                <w:sz w:val="20"/>
                <w:szCs w:val="20"/>
              </w:rPr>
              <w:t>Goal</w:t>
            </w:r>
          </w:p>
        </w:tc>
        <w:tc>
          <w:tcPr>
            <w:tcW w:w="7200" w:type="dxa"/>
          </w:tcPr>
          <w:p w14:paraId="4A560CD9" w14:textId="57324484" w:rsidR="00207D19" w:rsidRPr="005715AB" w:rsidRDefault="005715AB" w:rsidP="00BE4CB2">
            <w:pPr>
              <w:spacing w:line="240" w:lineRule="auto"/>
              <w:rPr>
                <w:sz w:val="20"/>
                <w:szCs w:val="20"/>
              </w:rPr>
            </w:pPr>
            <w:r w:rsidRPr="005715AB">
              <w:rPr>
                <w:sz w:val="20"/>
                <w:szCs w:val="20"/>
              </w:rPr>
              <w:t xml:space="preserve">Pacific model, as a regional </w:t>
            </w:r>
            <w:r w:rsidR="00894AF2">
              <w:rPr>
                <w:sz w:val="20"/>
                <w:szCs w:val="20"/>
              </w:rPr>
              <w:t>initiative</w:t>
            </w:r>
            <w:r w:rsidRPr="005715AB">
              <w:rPr>
                <w:sz w:val="20"/>
                <w:szCs w:val="20"/>
              </w:rPr>
              <w:t>, supports recognition of qualifications and occupations across the Pacific and beyond</w:t>
            </w:r>
          </w:p>
        </w:tc>
      </w:tr>
      <w:tr w:rsidR="00207D19" w:rsidRPr="005715AB" w14:paraId="737C546C" w14:textId="77777777" w:rsidTr="00207D19">
        <w:tc>
          <w:tcPr>
            <w:tcW w:w="1980" w:type="dxa"/>
          </w:tcPr>
          <w:p w14:paraId="10151DBF" w14:textId="6E63B26D" w:rsidR="00207D19" w:rsidRPr="005715AB" w:rsidRDefault="00485020" w:rsidP="00BE4CB2">
            <w:pPr>
              <w:spacing w:line="240" w:lineRule="auto"/>
              <w:rPr>
                <w:sz w:val="20"/>
                <w:szCs w:val="20"/>
              </w:rPr>
            </w:pPr>
            <w:r w:rsidRPr="005715AB">
              <w:rPr>
                <w:sz w:val="20"/>
                <w:szCs w:val="20"/>
              </w:rPr>
              <w:t>End of program outcomes</w:t>
            </w:r>
          </w:p>
        </w:tc>
        <w:tc>
          <w:tcPr>
            <w:tcW w:w="7200" w:type="dxa"/>
          </w:tcPr>
          <w:p w14:paraId="76D8A2EA" w14:textId="10718A9B" w:rsidR="005715AB" w:rsidRPr="00437776" w:rsidRDefault="005715AB" w:rsidP="00BE4CB2">
            <w:pPr>
              <w:spacing w:line="240" w:lineRule="auto"/>
              <w:rPr>
                <w:sz w:val="20"/>
                <w:szCs w:val="20"/>
              </w:rPr>
            </w:pPr>
            <w:r w:rsidRPr="00437776">
              <w:rPr>
                <w:sz w:val="20"/>
                <w:szCs w:val="20"/>
              </w:rPr>
              <w:t>Pacific Nations have ownership of Pacific model</w:t>
            </w:r>
          </w:p>
          <w:p w14:paraId="3B15D020" w14:textId="77777777" w:rsidR="005715AB" w:rsidRPr="00437776" w:rsidRDefault="005715AB" w:rsidP="00BE4CB2">
            <w:pPr>
              <w:spacing w:line="240" w:lineRule="auto"/>
              <w:rPr>
                <w:sz w:val="20"/>
                <w:szCs w:val="20"/>
              </w:rPr>
            </w:pPr>
            <w:r w:rsidRPr="00437776">
              <w:rPr>
                <w:sz w:val="20"/>
                <w:szCs w:val="20"/>
              </w:rPr>
              <w:t>Increased trust of QA decisions across QA bodies</w:t>
            </w:r>
          </w:p>
          <w:p w14:paraId="3B828140" w14:textId="4AB667B2" w:rsidR="005715AB" w:rsidRPr="00437776" w:rsidRDefault="005715AB" w:rsidP="00BE4CB2">
            <w:pPr>
              <w:spacing w:line="240" w:lineRule="auto"/>
              <w:rPr>
                <w:sz w:val="20"/>
                <w:szCs w:val="20"/>
              </w:rPr>
            </w:pPr>
            <w:r w:rsidRPr="00437776">
              <w:rPr>
                <w:sz w:val="20"/>
                <w:szCs w:val="20"/>
              </w:rPr>
              <w:t xml:space="preserve">Increased portability of qualifications </w:t>
            </w:r>
            <w:r w:rsidR="00042C93">
              <w:rPr>
                <w:sz w:val="20"/>
                <w:szCs w:val="20"/>
              </w:rPr>
              <w:t>and</w:t>
            </w:r>
            <w:r w:rsidRPr="00437776">
              <w:rPr>
                <w:sz w:val="20"/>
                <w:szCs w:val="20"/>
              </w:rPr>
              <w:t xml:space="preserve"> occupations</w:t>
            </w:r>
          </w:p>
          <w:p w14:paraId="1522CF6D" w14:textId="7319B239" w:rsidR="00207D19" w:rsidRPr="005715AB" w:rsidRDefault="005715AB" w:rsidP="00BE4CB2">
            <w:pPr>
              <w:spacing w:line="240" w:lineRule="auto"/>
            </w:pPr>
            <w:r w:rsidRPr="00437776">
              <w:rPr>
                <w:sz w:val="20"/>
                <w:szCs w:val="20"/>
              </w:rPr>
              <w:t xml:space="preserve">Increased recognition of graduate </w:t>
            </w:r>
            <w:r w:rsidR="00083F7A" w:rsidRPr="00B928AC">
              <w:rPr>
                <w:sz w:val="20"/>
                <w:szCs w:val="20"/>
              </w:rPr>
              <w:t>outcomes and</w:t>
            </w:r>
            <w:r w:rsidR="00083F7A">
              <w:rPr>
                <w:sz w:val="20"/>
                <w:szCs w:val="20"/>
              </w:rPr>
              <w:t xml:space="preserve"> </w:t>
            </w:r>
            <w:r w:rsidRPr="00437776">
              <w:rPr>
                <w:sz w:val="20"/>
                <w:szCs w:val="20"/>
              </w:rPr>
              <w:t>qualifications</w:t>
            </w:r>
          </w:p>
        </w:tc>
      </w:tr>
      <w:tr w:rsidR="00207D19" w:rsidRPr="005715AB" w14:paraId="3E16F1BE" w14:textId="77777777" w:rsidTr="00207D19">
        <w:tc>
          <w:tcPr>
            <w:tcW w:w="1980" w:type="dxa"/>
          </w:tcPr>
          <w:p w14:paraId="03BFAC8C" w14:textId="3729E43D" w:rsidR="00207D19" w:rsidRPr="005715AB" w:rsidRDefault="005715AB" w:rsidP="00BE4CB2">
            <w:pPr>
              <w:spacing w:line="240" w:lineRule="auto"/>
              <w:rPr>
                <w:sz w:val="20"/>
                <w:szCs w:val="20"/>
              </w:rPr>
            </w:pPr>
            <w:r>
              <w:rPr>
                <w:sz w:val="20"/>
                <w:szCs w:val="20"/>
              </w:rPr>
              <w:t>Intermediate outcomes</w:t>
            </w:r>
          </w:p>
        </w:tc>
        <w:tc>
          <w:tcPr>
            <w:tcW w:w="7200" w:type="dxa"/>
          </w:tcPr>
          <w:p w14:paraId="7D53B05D" w14:textId="3E7B6AB3" w:rsidR="005715AB" w:rsidRPr="00437776" w:rsidRDefault="005715AB" w:rsidP="00BE4CB2">
            <w:pPr>
              <w:spacing w:line="240" w:lineRule="auto"/>
              <w:rPr>
                <w:sz w:val="20"/>
                <w:szCs w:val="20"/>
              </w:rPr>
            </w:pPr>
            <w:r w:rsidRPr="00437776">
              <w:rPr>
                <w:sz w:val="20"/>
                <w:szCs w:val="20"/>
              </w:rPr>
              <w:t xml:space="preserve">Improved engagement and commitment to </w:t>
            </w:r>
            <w:r w:rsidR="00894AF2" w:rsidRPr="00437776">
              <w:rPr>
                <w:sz w:val="20"/>
                <w:szCs w:val="20"/>
              </w:rPr>
              <w:t xml:space="preserve">the </w:t>
            </w:r>
            <w:r w:rsidRPr="00437776">
              <w:rPr>
                <w:sz w:val="20"/>
                <w:szCs w:val="20"/>
              </w:rPr>
              <w:t>regional model</w:t>
            </w:r>
          </w:p>
          <w:p w14:paraId="7051DEBA" w14:textId="6C1E2648" w:rsidR="005715AB" w:rsidRPr="00437776" w:rsidRDefault="005715AB" w:rsidP="00BE4CB2">
            <w:pPr>
              <w:spacing w:line="240" w:lineRule="auto"/>
              <w:rPr>
                <w:sz w:val="20"/>
                <w:szCs w:val="20"/>
              </w:rPr>
            </w:pPr>
            <w:r w:rsidRPr="00437776">
              <w:rPr>
                <w:sz w:val="20"/>
                <w:szCs w:val="20"/>
              </w:rPr>
              <w:t>Improved QA processes and harmoni</w:t>
            </w:r>
            <w:r w:rsidR="00ED1337">
              <w:rPr>
                <w:sz w:val="20"/>
                <w:szCs w:val="20"/>
              </w:rPr>
              <w:t>s</w:t>
            </w:r>
            <w:r w:rsidRPr="00437776">
              <w:rPr>
                <w:sz w:val="20"/>
                <w:szCs w:val="20"/>
              </w:rPr>
              <w:t>ation across Pacific QA bodies</w:t>
            </w:r>
          </w:p>
          <w:p w14:paraId="37B6AED3" w14:textId="77777777" w:rsidR="00042C93" w:rsidRDefault="005715AB" w:rsidP="00042C93">
            <w:pPr>
              <w:spacing w:line="240" w:lineRule="auto"/>
              <w:rPr>
                <w:sz w:val="20"/>
                <w:szCs w:val="20"/>
              </w:rPr>
            </w:pPr>
            <w:r w:rsidRPr="00437776">
              <w:rPr>
                <w:sz w:val="20"/>
                <w:szCs w:val="20"/>
              </w:rPr>
              <w:t>Increased use of regional qualifications</w:t>
            </w:r>
          </w:p>
          <w:p w14:paraId="6B4B2D54" w14:textId="765DA366" w:rsidR="00207D19" w:rsidRPr="005715AB" w:rsidRDefault="005715AB" w:rsidP="00042C93">
            <w:pPr>
              <w:spacing w:line="240" w:lineRule="auto"/>
              <w:rPr>
                <w:szCs w:val="20"/>
              </w:rPr>
            </w:pPr>
            <w:r w:rsidRPr="00437776">
              <w:rPr>
                <w:sz w:val="20"/>
                <w:szCs w:val="20"/>
              </w:rPr>
              <w:t>Increased harmoni</w:t>
            </w:r>
            <w:r w:rsidR="00ED1337">
              <w:rPr>
                <w:sz w:val="20"/>
                <w:szCs w:val="20"/>
              </w:rPr>
              <w:t>s</w:t>
            </w:r>
            <w:r w:rsidRPr="00437776">
              <w:rPr>
                <w:sz w:val="20"/>
                <w:szCs w:val="20"/>
              </w:rPr>
              <w:t>ation of processes for recognition of qualifications</w:t>
            </w:r>
          </w:p>
        </w:tc>
      </w:tr>
    </w:tbl>
    <w:p w14:paraId="0E40D40E" w14:textId="7680EDA6" w:rsidR="003F5743" w:rsidRDefault="003F5743" w:rsidP="0088438D">
      <w:pPr>
        <w:spacing w:before="240" w:line="240" w:lineRule="auto"/>
      </w:pPr>
      <w:r>
        <w:t>A future Pacific model should</w:t>
      </w:r>
      <w:r w:rsidR="00510F64">
        <w:t xml:space="preserve"> continue to promote qualifications and quality assurance in the Pacific through</w:t>
      </w:r>
      <w:r>
        <w:t>:</w:t>
      </w:r>
    </w:p>
    <w:p w14:paraId="6813D0DC" w14:textId="18A547AB" w:rsidR="003F5743" w:rsidRDefault="00806103" w:rsidP="00456131">
      <w:pPr>
        <w:pStyle w:val="ListParagraph"/>
        <w:numPr>
          <w:ilvl w:val="0"/>
          <w:numId w:val="80"/>
        </w:numPr>
      </w:pPr>
      <w:r>
        <w:t>A f</w:t>
      </w:r>
      <w:r w:rsidR="003F5743">
        <w:t xml:space="preserve">ocus on the development of regional </w:t>
      </w:r>
      <w:r w:rsidR="00040A7A">
        <w:t>qualifications (</w:t>
      </w:r>
      <w:r w:rsidR="003F5743">
        <w:t>occupational standards</w:t>
      </w:r>
      <w:r w:rsidR="00040A7A">
        <w:t>, assessment standard</w:t>
      </w:r>
      <w:r w:rsidR="007713FF">
        <w:t>s</w:t>
      </w:r>
      <w:r w:rsidR="00912A39">
        <w:t xml:space="preserve">, </w:t>
      </w:r>
      <w:r w:rsidR="00E87AFD">
        <w:t>qualification</w:t>
      </w:r>
      <w:r w:rsidR="00912A39">
        <w:t xml:space="preserve"> </w:t>
      </w:r>
      <w:r w:rsidR="00040A7A">
        <w:t>completion rules</w:t>
      </w:r>
      <w:r w:rsidR="00E87AFD">
        <w:t>, and PQF level</w:t>
      </w:r>
      <w:r w:rsidR="00040A7A">
        <w:t>)</w:t>
      </w:r>
      <w:r w:rsidR="003F5743">
        <w:t xml:space="preserve"> to facilitate benchmarking and recognition of </w:t>
      </w:r>
      <w:r w:rsidR="009B5018">
        <w:t xml:space="preserve">qualifications, </w:t>
      </w:r>
      <w:r w:rsidR="003F5743">
        <w:t>occupations and skills across the Pacific and beyond</w:t>
      </w:r>
      <w:r w:rsidR="002815FD">
        <w:rPr>
          <w:rStyle w:val="FootnoteReference"/>
        </w:rPr>
        <w:footnoteReference w:id="54"/>
      </w:r>
    </w:p>
    <w:p w14:paraId="5B407577" w14:textId="30A992C5" w:rsidR="003F5743" w:rsidRDefault="00806103" w:rsidP="00456131">
      <w:pPr>
        <w:pStyle w:val="ListParagraph"/>
        <w:numPr>
          <w:ilvl w:val="0"/>
          <w:numId w:val="80"/>
        </w:numPr>
      </w:pPr>
      <w:r>
        <w:lastRenderedPageBreak/>
        <w:t>A f</w:t>
      </w:r>
      <w:r w:rsidR="003F5743">
        <w:t xml:space="preserve">ocus on fostering a high level of trust and accountability by its members by referencing </w:t>
      </w:r>
      <w:r w:rsidR="003F5743" w:rsidRPr="00816EBE">
        <w:t>NQFs and NQAFs to the PQF and PQAF</w:t>
      </w:r>
      <w:r w:rsidR="003F5743">
        <w:t>,</w:t>
      </w:r>
      <w:r w:rsidR="003F5743" w:rsidRPr="00816EBE">
        <w:t xml:space="preserve"> which is fit-for-purpose, given the size and scope of the qualifications systems and appropriate level of engagement by relevant stakeholders</w:t>
      </w:r>
      <w:r w:rsidR="003F5743">
        <w:t xml:space="preserve"> </w:t>
      </w:r>
    </w:p>
    <w:p w14:paraId="182F44F4" w14:textId="77777777" w:rsidR="00A73E4E" w:rsidRDefault="00806103" w:rsidP="00456131">
      <w:pPr>
        <w:pStyle w:val="ListParagraph"/>
        <w:numPr>
          <w:ilvl w:val="0"/>
          <w:numId w:val="80"/>
        </w:numPr>
      </w:pPr>
      <w:r>
        <w:t>A f</w:t>
      </w:r>
      <w:r w:rsidR="003F5743">
        <w:t>ocus on fostering a high level of trust and accountability by its members to be facilitated by clear and unambiguous agreed quality assurance processes, including:</w:t>
      </w:r>
    </w:p>
    <w:p w14:paraId="0D620F3A" w14:textId="68751530" w:rsidR="003F5743" w:rsidRDefault="003F5743" w:rsidP="00456131">
      <w:pPr>
        <w:pStyle w:val="ListParagraph"/>
        <w:numPr>
          <w:ilvl w:val="1"/>
          <w:numId w:val="80"/>
        </w:numPr>
      </w:pPr>
      <w:r>
        <w:t>A robust self-assessment process for competent body recognition for entry onto the register</w:t>
      </w:r>
    </w:p>
    <w:p w14:paraId="0BF40002" w14:textId="77777777" w:rsidR="00A73E4E" w:rsidRDefault="003F5743" w:rsidP="00456131">
      <w:pPr>
        <w:pStyle w:val="ListParagraph"/>
        <w:numPr>
          <w:ilvl w:val="1"/>
          <w:numId w:val="80"/>
        </w:numPr>
      </w:pPr>
      <w:r>
        <w:t>Strengthening internal self-review and evaluation of competent bodies and by requiring external quality evaluations on a periodic basis.</w:t>
      </w:r>
    </w:p>
    <w:p w14:paraId="3856D5F2" w14:textId="2AB112F0" w:rsidR="003F5743" w:rsidRDefault="00806103" w:rsidP="00456131">
      <w:pPr>
        <w:pStyle w:val="ListParagraph"/>
        <w:numPr>
          <w:ilvl w:val="0"/>
          <w:numId w:val="80"/>
        </w:numPr>
      </w:pPr>
      <w:r>
        <w:t>A f</w:t>
      </w:r>
      <w:r w:rsidR="003F5743">
        <w:t>ocus on supporting mutual recognition of competent body decisions through:</w:t>
      </w:r>
    </w:p>
    <w:p w14:paraId="765A66EC" w14:textId="7633641B" w:rsidR="003F5743" w:rsidRPr="00816EBE" w:rsidRDefault="003F5743" w:rsidP="00456131">
      <w:pPr>
        <w:pStyle w:val="ListParagraph"/>
        <w:numPr>
          <w:ilvl w:val="1"/>
          <w:numId w:val="80"/>
        </w:numPr>
      </w:pPr>
      <w:r w:rsidRPr="00816EBE">
        <w:t>Harmoni</w:t>
      </w:r>
      <w:r w:rsidR="00ED1337">
        <w:t>s</w:t>
      </w:r>
      <w:r w:rsidRPr="00816EBE">
        <w:t xml:space="preserve">ing processes in regards to accreditation of qualifications, registration of providers and approval to deliver processes across countries </w:t>
      </w:r>
    </w:p>
    <w:p w14:paraId="052B6CEA" w14:textId="2C94548C" w:rsidR="003F5743" w:rsidRPr="00816EBE" w:rsidRDefault="003F5743" w:rsidP="00456131">
      <w:pPr>
        <w:pStyle w:val="ListParagraph"/>
        <w:numPr>
          <w:ilvl w:val="1"/>
          <w:numId w:val="80"/>
        </w:numPr>
      </w:pPr>
      <w:r w:rsidRPr="00816EBE">
        <w:t>Harmoni</w:t>
      </w:r>
      <w:r w:rsidR="00ED1337">
        <w:t>s</w:t>
      </w:r>
      <w:r w:rsidRPr="00816EBE">
        <w:t xml:space="preserve">ing benchmarking and recognition of qualification processes. </w:t>
      </w:r>
    </w:p>
    <w:p w14:paraId="453FDCE4" w14:textId="7E2FA6E8" w:rsidR="003F5743" w:rsidRPr="00816EBE" w:rsidRDefault="003F5743" w:rsidP="00456131">
      <w:pPr>
        <w:pStyle w:val="ListParagraph"/>
        <w:numPr>
          <w:ilvl w:val="0"/>
          <w:numId w:val="80"/>
        </w:numPr>
      </w:pPr>
      <w:r w:rsidRPr="00B15A7C">
        <w:t>Hav</w:t>
      </w:r>
      <w:r w:rsidR="00486096">
        <w:t>ing</w:t>
      </w:r>
      <w:r w:rsidRPr="00B15A7C">
        <w:t xml:space="preserve"> strategies for badging and promotion </w:t>
      </w:r>
      <w:r w:rsidRPr="00AD3506">
        <w:t>of the revised Pacific model to strengthen its profile across the Pacific and internationally</w:t>
      </w:r>
      <w:r w:rsidR="00042C93">
        <w:t>,</w:t>
      </w:r>
      <w:r w:rsidRPr="00AD3506">
        <w:t xml:space="preserve"> beyond </w:t>
      </w:r>
      <w:r w:rsidR="00083F7A" w:rsidRPr="00B928AC">
        <w:t>its</w:t>
      </w:r>
      <w:r w:rsidR="00083F7A" w:rsidRPr="00AD3506">
        <w:t xml:space="preserve"> </w:t>
      </w:r>
      <w:r w:rsidR="00910F6A">
        <w:t>members</w:t>
      </w:r>
      <w:r w:rsidRPr="00AD3506">
        <w:t xml:space="preserve">. This may </w:t>
      </w:r>
      <w:r w:rsidRPr="00816EBE">
        <w:t xml:space="preserve">include (but is not limited to) using a Diploma Supplement model and/or logo on qualifications based on regional occupational standards.  </w:t>
      </w:r>
    </w:p>
    <w:p w14:paraId="3E09EA13" w14:textId="21C20F9E" w:rsidR="003F5743" w:rsidRDefault="003F5743" w:rsidP="00456131">
      <w:pPr>
        <w:pStyle w:val="ListParagraph"/>
        <w:numPr>
          <w:ilvl w:val="0"/>
          <w:numId w:val="80"/>
        </w:numPr>
      </w:pPr>
      <w:r>
        <w:t>Includ</w:t>
      </w:r>
      <w:r w:rsidR="00806103">
        <w:t>ing</w:t>
      </w:r>
      <w:r>
        <w:t xml:space="preserve"> governance arrangements:</w:t>
      </w:r>
    </w:p>
    <w:p w14:paraId="1D65AD2D" w14:textId="77777777" w:rsidR="003F5743" w:rsidRPr="00C06DE5" w:rsidRDefault="003F5743" w:rsidP="00456131">
      <w:pPr>
        <w:pStyle w:val="ListParagraph"/>
        <w:numPr>
          <w:ilvl w:val="1"/>
          <w:numId w:val="80"/>
        </w:numPr>
      </w:pPr>
      <w:r w:rsidRPr="00C06DE5">
        <w:t>Whereby a governing committee is established, with all PIF countries and territories members having equal voting status, to foster ownership and engagement</w:t>
      </w:r>
      <w:r w:rsidRPr="00C06DE5">
        <w:rPr>
          <w:rStyle w:val="FootnoteReference"/>
        </w:rPr>
        <w:footnoteReference w:id="55"/>
      </w:r>
      <w:r w:rsidRPr="00C06DE5">
        <w:t xml:space="preserve"> </w:t>
      </w:r>
    </w:p>
    <w:p w14:paraId="60B15BC1" w14:textId="77777777" w:rsidR="003F5743" w:rsidRPr="00C06DE5" w:rsidRDefault="003F5743" w:rsidP="00456131">
      <w:pPr>
        <w:pStyle w:val="ListParagraph"/>
        <w:numPr>
          <w:ilvl w:val="1"/>
          <w:numId w:val="80"/>
        </w:numPr>
      </w:pPr>
      <w:r w:rsidRPr="00C06DE5">
        <w:t>With an intent to engage other countries in the greater Pacific region by encouraging observer status</w:t>
      </w:r>
    </w:p>
    <w:p w14:paraId="0F19F51A" w14:textId="77777777" w:rsidR="003F5743" w:rsidRDefault="003F5743" w:rsidP="00456131">
      <w:pPr>
        <w:pStyle w:val="ListParagraph"/>
        <w:numPr>
          <w:ilvl w:val="1"/>
          <w:numId w:val="80"/>
        </w:numPr>
      </w:pPr>
      <w:r w:rsidRPr="00C06DE5">
        <w:t>That distances donors from the management and operations of the initiative</w:t>
      </w:r>
      <w:r>
        <w:t xml:space="preserve">. </w:t>
      </w:r>
    </w:p>
    <w:p w14:paraId="3B32D94C" w14:textId="00B324C7" w:rsidR="00510F64" w:rsidRPr="00780D47" w:rsidRDefault="00042C93" w:rsidP="00456131">
      <w:pPr>
        <w:pStyle w:val="ListParagraph"/>
        <w:numPr>
          <w:ilvl w:val="0"/>
          <w:numId w:val="80"/>
        </w:numPr>
      </w:pPr>
      <w:r>
        <w:t>Receiving support from</w:t>
      </w:r>
      <w:r w:rsidR="00510F64" w:rsidRPr="00780D47">
        <w:t xml:space="preserve"> a </w:t>
      </w:r>
      <w:r w:rsidR="00510F64">
        <w:t xml:space="preserve">small </w:t>
      </w:r>
      <w:r w:rsidR="00510F64" w:rsidRPr="00780D47">
        <w:t>secretariat to provide strategic focu</w:t>
      </w:r>
      <w:r>
        <w:t>s and operational support</w:t>
      </w:r>
    </w:p>
    <w:p w14:paraId="5E64AB75" w14:textId="4B0BF10C" w:rsidR="008B78D6" w:rsidRPr="00780D47" w:rsidRDefault="008B78D6" w:rsidP="00456131">
      <w:pPr>
        <w:pStyle w:val="ListParagraph"/>
        <w:numPr>
          <w:ilvl w:val="0"/>
          <w:numId w:val="80"/>
        </w:numPr>
      </w:pPr>
      <w:r>
        <w:t>C</w:t>
      </w:r>
      <w:r w:rsidRPr="00780D47">
        <w:t>ontinu</w:t>
      </w:r>
      <w:r w:rsidR="00042C93">
        <w:t xml:space="preserve">ing </w:t>
      </w:r>
      <w:r w:rsidRPr="00780D47">
        <w:t>to strengthen its relationship with other Regional Qualifications Frameworks, such as the AQRF and the EQF, and with national qualifications frameworks of key receiving countries</w:t>
      </w:r>
      <w:r w:rsidR="00042C93">
        <w:t xml:space="preserve"> </w:t>
      </w:r>
      <w:r w:rsidRPr="00780D47">
        <w:t xml:space="preserve">(e.g. Australia and New Zealand). </w:t>
      </w:r>
    </w:p>
    <w:p w14:paraId="77FF75AA" w14:textId="19BDD4F1" w:rsidR="003F5743" w:rsidRDefault="00510F64" w:rsidP="00BF09CC">
      <w:pPr>
        <w:spacing w:line="240" w:lineRule="auto"/>
      </w:pPr>
      <w:r>
        <w:t xml:space="preserve">Refer to Appendix 8 for </w:t>
      </w:r>
      <w:r w:rsidR="003F6C25">
        <w:t xml:space="preserve">details </w:t>
      </w:r>
      <w:r w:rsidR="00A73E4E">
        <w:t xml:space="preserve">of </w:t>
      </w:r>
      <w:r w:rsidR="003F6C25">
        <w:t>a</w:t>
      </w:r>
      <w:r>
        <w:t xml:space="preserve"> proposed future </w:t>
      </w:r>
      <w:r w:rsidR="003F6C25">
        <w:t xml:space="preserve">Pacific </w:t>
      </w:r>
      <w:r>
        <w:t>model</w:t>
      </w:r>
      <w:r w:rsidR="00042C93">
        <w:t>,</w:t>
      </w:r>
      <w:r>
        <w:t xml:space="preserve"> including timelines.</w:t>
      </w:r>
    </w:p>
    <w:p w14:paraId="23FA8A76" w14:textId="4A45A93B" w:rsidR="00825101" w:rsidRPr="00331CC5" w:rsidRDefault="001754AB" w:rsidP="00331CC5">
      <w:pPr>
        <w:pStyle w:val="Heading2"/>
        <w:rPr>
          <w:color w:val="95050F"/>
        </w:rPr>
      </w:pPr>
      <w:bookmarkStart w:id="50" w:name="_Toc462755565"/>
      <w:r w:rsidRPr="00331CC5">
        <w:rPr>
          <w:color w:val="95050F"/>
        </w:rPr>
        <w:t xml:space="preserve">3.3 </w:t>
      </w:r>
      <w:r w:rsidR="00825101" w:rsidRPr="00331CC5">
        <w:rPr>
          <w:color w:val="95050F"/>
        </w:rPr>
        <w:t>Pre-conditions to the model</w:t>
      </w:r>
      <w:bookmarkEnd w:id="50"/>
    </w:p>
    <w:p w14:paraId="0F08484C" w14:textId="65E7220F" w:rsidR="00A662EA" w:rsidRDefault="00351E3A" w:rsidP="00351E3A">
      <w:pPr>
        <w:spacing w:line="240" w:lineRule="auto"/>
      </w:pPr>
      <w:r w:rsidRPr="0002015B">
        <w:t>As mentioned in the program logic, some identified pre-conditions</w:t>
      </w:r>
      <w:r>
        <w:t xml:space="preserve"> </w:t>
      </w:r>
      <w:r w:rsidR="0011030E">
        <w:t xml:space="preserve">are crucial </w:t>
      </w:r>
      <w:r>
        <w:t xml:space="preserve">to the success of a future Pacific model. </w:t>
      </w:r>
      <w:r w:rsidR="00DD257F">
        <w:t xml:space="preserve">Progress of the </w:t>
      </w:r>
      <w:r>
        <w:t xml:space="preserve">PRQS </w:t>
      </w:r>
      <w:r w:rsidR="00611DB8">
        <w:t xml:space="preserve">is </w:t>
      </w:r>
      <w:r w:rsidR="00823743">
        <w:t xml:space="preserve">intrinsically </w:t>
      </w:r>
      <w:r w:rsidR="00611DB8">
        <w:t xml:space="preserve">linked to </w:t>
      </w:r>
      <w:r>
        <w:t xml:space="preserve">participating </w:t>
      </w:r>
      <w:r w:rsidR="00A662EA">
        <w:t>Pacific Nations</w:t>
      </w:r>
      <w:r w:rsidR="00611DB8">
        <w:t>’</w:t>
      </w:r>
      <w:r w:rsidR="00A662EA">
        <w:t xml:space="preserve"> </w:t>
      </w:r>
      <w:r w:rsidR="00611DB8">
        <w:t xml:space="preserve">progress </w:t>
      </w:r>
      <w:r>
        <w:t xml:space="preserve">in terms of quality assurance </w:t>
      </w:r>
      <w:r w:rsidR="00806103">
        <w:t>in the</w:t>
      </w:r>
      <w:r>
        <w:t xml:space="preserve"> TVET and </w:t>
      </w:r>
      <w:r w:rsidR="004A70CE">
        <w:t>Higher Education sectors</w:t>
      </w:r>
      <w:r>
        <w:t xml:space="preserve">. </w:t>
      </w:r>
    </w:p>
    <w:p w14:paraId="47943FC2" w14:textId="1A4137B0" w:rsidR="00A662EA" w:rsidRDefault="00A662EA" w:rsidP="00351E3A">
      <w:pPr>
        <w:spacing w:line="240" w:lineRule="auto"/>
      </w:pPr>
      <w:r>
        <w:t xml:space="preserve">Within this </w:t>
      </w:r>
      <w:r w:rsidR="00823743">
        <w:t>context,</w:t>
      </w:r>
      <w:r>
        <w:t xml:space="preserve"> Pacific Nations need to have:</w:t>
      </w:r>
    </w:p>
    <w:p w14:paraId="7CA0FCBE" w14:textId="4A7639F5" w:rsidR="00A662EA" w:rsidRDefault="00A662EA" w:rsidP="00456131">
      <w:pPr>
        <w:pStyle w:val="ListParagraph"/>
        <w:numPr>
          <w:ilvl w:val="0"/>
          <w:numId w:val="72"/>
        </w:numPr>
      </w:pPr>
      <w:r>
        <w:t xml:space="preserve">The legal remit to quality assure TVET and </w:t>
      </w:r>
      <w:r w:rsidR="004A70CE">
        <w:t xml:space="preserve">Higher Education </w:t>
      </w:r>
      <w:r>
        <w:t>sectors, e.g. within their respective legislation</w:t>
      </w:r>
    </w:p>
    <w:p w14:paraId="2A82DFA2" w14:textId="11A3F084" w:rsidR="00A662EA" w:rsidRDefault="00461207" w:rsidP="00456131">
      <w:pPr>
        <w:pStyle w:val="ListParagraph"/>
        <w:numPr>
          <w:ilvl w:val="0"/>
          <w:numId w:val="72"/>
        </w:numPr>
      </w:pPr>
      <w:r>
        <w:lastRenderedPageBreak/>
        <w:t>The</w:t>
      </w:r>
      <w:r w:rsidR="00A662EA">
        <w:t xml:space="preserve"> associated processes</w:t>
      </w:r>
      <w:r w:rsidR="00124F2B">
        <w:t xml:space="preserve"> to undertake the key functions</w:t>
      </w:r>
      <w:r w:rsidR="00A662EA">
        <w:t>, e.g. documented in regulations, policies and procedures in relation to accreditation of qualifications, approval and monitoring (registration) of providers, costing schedules, c</w:t>
      </w:r>
      <w:r>
        <w:t>omplaints and appeals processes</w:t>
      </w:r>
    </w:p>
    <w:p w14:paraId="797B79B4" w14:textId="3D778594" w:rsidR="00A662EA" w:rsidRDefault="00461207" w:rsidP="00456131">
      <w:pPr>
        <w:pStyle w:val="ListParagraph"/>
        <w:numPr>
          <w:ilvl w:val="0"/>
          <w:numId w:val="72"/>
        </w:numPr>
      </w:pPr>
      <w:r>
        <w:t>P</w:t>
      </w:r>
      <w:r w:rsidR="00A662EA">
        <w:t xml:space="preserve">ersonnel to manage the </w:t>
      </w:r>
      <w:r w:rsidR="00124F2B">
        <w:t>key functions</w:t>
      </w:r>
      <w:r w:rsidR="00A662EA">
        <w:t xml:space="preserve"> and make accreditation and registration decisions</w:t>
      </w:r>
      <w:r w:rsidR="00885719">
        <w:rPr>
          <w:rStyle w:val="FootnoteReference"/>
        </w:rPr>
        <w:footnoteReference w:id="56"/>
      </w:r>
    </w:p>
    <w:p w14:paraId="66795EA8" w14:textId="625521FB" w:rsidR="00A662EA" w:rsidRDefault="00461207" w:rsidP="00456131">
      <w:pPr>
        <w:pStyle w:val="ListParagraph"/>
        <w:numPr>
          <w:ilvl w:val="0"/>
          <w:numId w:val="72"/>
        </w:numPr>
      </w:pPr>
      <w:r>
        <w:t>T</w:t>
      </w:r>
      <w:r w:rsidR="00A662EA">
        <w:t xml:space="preserve">he capacity to </w:t>
      </w:r>
      <w:r w:rsidR="00124F2B">
        <w:t>out</w:t>
      </w:r>
      <w:r w:rsidR="00A662EA">
        <w:t xml:space="preserve">source technical services through a third party to undertake the work, e.g. another </w:t>
      </w:r>
      <w:r w:rsidR="00611DB8">
        <w:t xml:space="preserve">competent </w:t>
      </w:r>
      <w:r w:rsidR="00A662EA">
        <w:t xml:space="preserve">QA </w:t>
      </w:r>
      <w:r w:rsidR="00611DB8">
        <w:t>body</w:t>
      </w:r>
      <w:r w:rsidR="00A662EA">
        <w:t xml:space="preserve"> in the region </w:t>
      </w:r>
      <w:r w:rsidR="00DD257F">
        <w:t xml:space="preserve">could </w:t>
      </w:r>
      <w:r w:rsidR="00A662EA">
        <w:t>undertake accreditation and registration activity and make a recommendation to the Pacific Nation</w:t>
      </w:r>
      <w:r w:rsidR="00124F2B">
        <w:t xml:space="preserve"> competent QA body</w:t>
      </w:r>
    </w:p>
    <w:p w14:paraId="3EC2C08B" w14:textId="2C7C5F96" w:rsidR="00A662EA" w:rsidRDefault="00461207" w:rsidP="00456131">
      <w:pPr>
        <w:pStyle w:val="ListParagraph"/>
        <w:numPr>
          <w:ilvl w:val="0"/>
          <w:numId w:val="72"/>
        </w:numPr>
      </w:pPr>
      <w:r>
        <w:t>T</w:t>
      </w:r>
      <w:r w:rsidR="00A662EA">
        <w:t xml:space="preserve">he capacity to undertake rigorous internal quality assurance </w:t>
      </w:r>
      <w:r w:rsidR="000B60E4">
        <w:t xml:space="preserve">and review </w:t>
      </w:r>
      <w:r w:rsidR="00A662EA">
        <w:t xml:space="preserve">of its own processes. </w:t>
      </w:r>
    </w:p>
    <w:p w14:paraId="5379EE8A" w14:textId="743644A3" w:rsidR="00A662EA" w:rsidRDefault="006B766D" w:rsidP="00351E3A">
      <w:pPr>
        <w:spacing w:line="240" w:lineRule="auto"/>
      </w:pPr>
      <w:r>
        <w:t>These</w:t>
      </w:r>
      <w:r w:rsidR="00A662EA">
        <w:t xml:space="preserve"> pre-condition</w:t>
      </w:r>
      <w:r>
        <w:t xml:space="preserve">s </w:t>
      </w:r>
      <w:r w:rsidRPr="00124F2B">
        <w:t>are</w:t>
      </w:r>
      <w:r w:rsidR="00A662EA" w:rsidRPr="00124F2B">
        <w:t xml:space="preserve"> relevant to </w:t>
      </w:r>
      <w:r w:rsidR="0058504A">
        <w:t xml:space="preserve">all </w:t>
      </w:r>
      <w:r w:rsidR="00A662EA" w:rsidRPr="00124F2B">
        <w:t>Pacific Nations with emerging QA processes</w:t>
      </w:r>
      <w:r w:rsidR="00461207">
        <w:t>, like</w:t>
      </w:r>
      <w:r w:rsidR="00A662EA" w:rsidRPr="00124F2B">
        <w:t xml:space="preserve"> </w:t>
      </w:r>
      <w:r w:rsidR="004A70CE">
        <w:t xml:space="preserve">Solomon Islands, Kiribati and </w:t>
      </w:r>
      <w:r w:rsidR="004A70CE" w:rsidRPr="00124F2B">
        <w:t>Tuvalu</w:t>
      </w:r>
      <w:r w:rsidR="00E23646">
        <w:t>,</w:t>
      </w:r>
      <w:r w:rsidR="00A662EA" w:rsidRPr="00124F2B">
        <w:t xml:space="preserve"> </w:t>
      </w:r>
      <w:r w:rsidR="00806103">
        <w:t xml:space="preserve">who </w:t>
      </w:r>
      <w:r w:rsidR="00124F2B">
        <w:t xml:space="preserve">do not have the legislative basis to quality assure or </w:t>
      </w:r>
      <w:r w:rsidR="003D1382">
        <w:t xml:space="preserve">to </w:t>
      </w:r>
      <w:r w:rsidR="00124F2B">
        <w:t xml:space="preserve">take responsibility for </w:t>
      </w:r>
      <w:r w:rsidR="00F55A3D">
        <w:t>post-secondary</w:t>
      </w:r>
      <w:r w:rsidR="00124F2B">
        <w:t xml:space="preserve"> education and training. It is </w:t>
      </w:r>
      <w:r w:rsidR="00A662EA" w:rsidRPr="00124F2B">
        <w:t xml:space="preserve">especially relevant </w:t>
      </w:r>
      <w:r w:rsidRPr="00124F2B">
        <w:t>where</w:t>
      </w:r>
      <w:r w:rsidR="00A662EA" w:rsidRPr="00124F2B">
        <w:t xml:space="preserve"> work </w:t>
      </w:r>
      <w:r w:rsidRPr="00124F2B">
        <w:t xml:space="preserve">is </w:t>
      </w:r>
      <w:r w:rsidR="005273E7" w:rsidRPr="00124F2B">
        <w:t>underway</w:t>
      </w:r>
      <w:r w:rsidR="00A662EA" w:rsidRPr="00124F2B">
        <w:t xml:space="preserve"> in </w:t>
      </w:r>
      <w:r w:rsidRPr="00124F2B">
        <w:t xml:space="preserve">current </w:t>
      </w:r>
      <w:r w:rsidR="00A662EA" w:rsidRPr="00124F2B">
        <w:t>bilateral development programs</w:t>
      </w:r>
      <w:r w:rsidR="005273E7" w:rsidRPr="00124F2B">
        <w:t xml:space="preserve"> and </w:t>
      </w:r>
      <w:r w:rsidR="00823743" w:rsidRPr="00124F2B">
        <w:t xml:space="preserve">where </w:t>
      </w:r>
      <w:r w:rsidR="005273E7" w:rsidRPr="00124F2B">
        <w:t>the legal remit</w:t>
      </w:r>
      <w:r w:rsidR="005273E7">
        <w:t xml:space="preserve"> and </w:t>
      </w:r>
      <w:r w:rsidR="00823743">
        <w:t xml:space="preserve">the </w:t>
      </w:r>
      <w:r w:rsidR="00611DB8">
        <w:t xml:space="preserve">competent QA body </w:t>
      </w:r>
      <w:r w:rsidR="005273E7">
        <w:t>capacity is not evident</w:t>
      </w:r>
      <w:r w:rsidR="00D649D7">
        <w:t xml:space="preserve"> or weak</w:t>
      </w:r>
      <w:r w:rsidR="00A662EA" w:rsidRPr="006B766D">
        <w:t>.</w:t>
      </w:r>
    </w:p>
    <w:p w14:paraId="5D9E9580" w14:textId="33E8D805" w:rsidR="00825101" w:rsidRDefault="002166E4" w:rsidP="00825101">
      <w:pPr>
        <w:spacing w:line="240" w:lineRule="auto"/>
      </w:pPr>
      <w:r>
        <w:t>Pacific Nations also need to have in place i</w:t>
      </w:r>
      <w:r w:rsidR="002F09E9">
        <w:t xml:space="preserve">ndividual providers </w:t>
      </w:r>
      <w:r>
        <w:t xml:space="preserve">that </w:t>
      </w:r>
      <w:r w:rsidR="002F09E9">
        <w:t xml:space="preserve">have the capacity to deliver quality education and training, and to undertake robust internal quality assurance processes. </w:t>
      </w:r>
      <w:r w:rsidR="000B60E4">
        <w:t xml:space="preserve">Capacity to deliver </w:t>
      </w:r>
      <w:r w:rsidR="008137F4">
        <w:t>includes</w:t>
      </w:r>
      <w:r w:rsidR="000B60E4">
        <w:t xml:space="preserve"> capacity to access curriculum, equipment and facilities, qualified trainers and assessors, documented and implemented quality management system</w:t>
      </w:r>
      <w:r w:rsidR="0058504A">
        <w:t>s</w:t>
      </w:r>
      <w:r w:rsidR="008137F4">
        <w:t>,</w:t>
      </w:r>
      <w:r w:rsidR="000B60E4">
        <w:t xml:space="preserve"> and </w:t>
      </w:r>
      <w:r w:rsidR="00823743">
        <w:t>ability</w:t>
      </w:r>
      <w:r w:rsidR="000B60E4">
        <w:t xml:space="preserve"> to undertake internal quality assurance and review processes.  </w:t>
      </w:r>
    </w:p>
    <w:p w14:paraId="2A63738F" w14:textId="111D2048" w:rsidR="000B60E4" w:rsidRDefault="00015401" w:rsidP="00C35EB4">
      <w:pPr>
        <w:pStyle w:val="PacHead3"/>
      </w:pPr>
      <w:r>
        <w:t>Support for</w:t>
      </w:r>
      <w:r w:rsidR="000B60E4">
        <w:t xml:space="preserve"> the </w:t>
      </w:r>
      <w:r w:rsidR="00CA4A5C">
        <w:t xml:space="preserve">pre-conditions </w:t>
      </w:r>
    </w:p>
    <w:p w14:paraId="44550E90" w14:textId="256C323E" w:rsidR="000B60E4" w:rsidRDefault="00EE587C" w:rsidP="00825101">
      <w:pPr>
        <w:spacing w:line="240" w:lineRule="auto"/>
      </w:pPr>
      <w:r>
        <w:t xml:space="preserve">Support </w:t>
      </w:r>
      <w:r w:rsidR="005D2DA0">
        <w:t xml:space="preserve">for </w:t>
      </w:r>
      <w:r>
        <w:t>the</w:t>
      </w:r>
      <w:r w:rsidR="005D2DA0">
        <w:t>se</w:t>
      </w:r>
      <w:r>
        <w:t xml:space="preserve"> </w:t>
      </w:r>
      <w:r w:rsidR="00CA4A5C">
        <w:t xml:space="preserve">pre-conditions </w:t>
      </w:r>
      <w:r>
        <w:t>could take a range of forms</w:t>
      </w:r>
      <w:r w:rsidR="00823743">
        <w:t xml:space="preserve"> and include:</w:t>
      </w:r>
      <w:r>
        <w:t xml:space="preserve"> </w:t>
      </w:r>
    </w:p>
    <w:p w14:paraId="1C278256" w14:textId="41DA50F3" w:rsidR="00EE587C" w:rsidRDefault="00EE587C" w:rsidP="00456131">
      <w:pPr>
        <w:pStyle w:val="ListParagraph"/>
        <w:numPr>
          <w:ilvl w:val="0"/>
          <w:numId w:val="73"/>
        </w:numPr>
      </w:pPr>
      <w:r>
        <w:t xml:space="preserve">Bilateral support programs </w:t>
      </w:r>
      <w:r w:rsidR="0011030E">
        <w:t>c</w:t>
      </w:r>
      <w:r>
        <w:t xml:space="preserve">ould </w:t>
      </w:r>
      <w:r w:rsidR="00611DB8">
        <w:t xml:space="preserve">shift their </w:t>
      </w:r>
      <w:r>
        <w:t xml:space="preserve">focus </w:t>
      </w:r>
      <w:r w:rsidR="002C12D8">
        <w:t xml:space="preserve">from </w:t>
      </w:r>
      <w:r>
        <w:t xml:space="preserve">grass roots capacity development at provider level </w:t>
      </w:r>
      <w:r w:rsidR="00611DB8">
        <w:t xml:space="preserve">to a broader perspective that </w:t>
      </w:r>
      <w:r>
        <w:t>ensure</w:t>
      </w:r>
      <w:r w:rsidR="00611DB8">
        <w:t>s</w:t>
      </w:r>
      <w:r>
        <w:t xml:space="preserve"> that the legal framework</w:t>
      </w:r>
      <w:r w:rsidR="005D2DA0">
        <w:t>,</w:t>
      </w:r>
      <w:r>
        <w:t xml:space="preserve"> structures </w:t>
      </w:r>
      <w:r w:rsidR="005D2DA0">
        <w:t xml:space="preserve">and processes </w:t>
      </w:r>
      <w:r>
        <w:t xml:space="preserve">are in place for education and training to be quality assured. </w:t>
      </w:r>
      <w:r w:rsidR="00823743">
        <w:t>The</w:t>
      </w:r>
      <w:r>
        <w:t xml:space="preserve"> </w:t>
      </w:r>
      <w:r w:rsidR="00823743">
        <w:t xml:space="preserve">importance of the </w:t>
      </w:r>
      <w:r>
        <w:t xml:space="preserve">legal remit of the government, </w:t>
      </w:r>
      <w:r w:rsidR="00823743">
        <w:t xml:space="preserve">the </w:t>
      </w:r>
      <w:r w:rsidR="00745F14">
        <w:t xml:space="preserve">capacity of a </w:t>
      </w:r>
      <w:r w:rsidR="00611DB8">
        <w:t xml:space="preserve">competent </w:t>
      </w:r>
      <w:r w:rsidR="00745F14">
        <w:t xml:space="preserve">QA </w:t>
      </w:r>
      <w:r w:rsidR="00611DB8">
        <w:t>body</w:t>
      </w:r>
      <w:r w:rsidR="00745F14">
        <w:t xml:space="preserve">, </w:t>
      </w:r>
      <w:r>
        <w:t>and a comprehensive view of a qualifications system</w:t>
      </w:r>
      <w:r w:rsidR="00823743">
        <w:rPr>
          <w:rStyle w:val="FootnoteReference"/>
        </w:rPr>
        <w:footnoteReference w:id="57"/>
      </w:r>
      <w:r w:rsidR="00823743">
        <w:t xml:space="preserve"> </w:t>
      </w:r>
      <w:r>
        <w:t xml:space="preserve">should be clearly understood </w:t>
      </w:r>
      <w:r w:rsidR="00823743">
        <w:t>as</w:t>
      </w:r>
      <w:r>
        <w:t xml:space="preserve"> quality assurance has not only an economic outcome within country, but also within the region. </w:t>
      </w:r>
    </w:p>
    <w:p w14:paraId="5051A84E" w14:textId="590B0AEC" w:rsidR="00EE587C" w:rsidRDefault="00EE587C" w:rsidP="00456131">
      <w:pPr>
        <w:pStyle w:val="ListParagraph"/>
        <w:numPr>
          <w:ilvl w:val="0"/>
          <w:numId w:val="73"/>
        </w:numPr>
      </w:pPr>
      <w:r>
        <w:t xml:space="preserve">APTC could provide capacity development support to providers. This could include providing access to curriculum, developing curriculum to meet QA body requirements, </w:t>
      </w:r>
      <w:r w:rsidR="002A2445">
        <w:t>training trainers and assessors,</w:t>
      </w:r>
      <w:r w:rsidR="00745F14">
        <w:t xml:space="preserve"> </w:t>
      </w:r>
      <w:r w:rsidR="00823743">
        <w:t xml:space="preserve">developing quality managements systems, developing capacity to undertake internal quality review, </w:t>
      </w:r>
      <w:r w:rsidR="00745F14">
        <w:t>preparing for registration audits,</w:t>
      </w:r>
      <w:r w:rsidR="002A2445">
        <w:t xml:space="preserve"> and </w:t>
      </w:r>
      <w:r>
        <w:t xml:space="preserve">benchmarking of </w:t>
      </w:r>
      <w:r w:rsidR="002A2445">
        <w:t xml:space="preserve">existing </w:t>
      </w:r>
      <w:r w:rsidR="00745F14">
        <w:t xml:space="preserve">provider </w:t>
      </w:r>
      <w:r>
        <w:t xml:space="preserve">programs </w:t>
      </w:r>
      <w:r w:rsidR="002A2445">
        <w:t>either to regional qualifications or to other recognised qualifications</w:t>
      </w:r>
      <w:r w:rsidR="00015401">
        <w:t xml:space="preserve"> (</w:t>
      </w:r>
      <w:r w:rsidR="002A2445">
        <w:t>e.g. Australia and New Zealand</w:t>
      </w:r>
      <w:r w:rsidR="00015401">
        <w:t>)</w:t>
      </w:r>
      <w:r w:rsidR="002A2445">
        <w:t xml:space="preserve">. </w:t>
      </w:r>
    </w:p>
    <w:p w14:paraId="34E551A1" w14:textId="5CE70B31" w:rsidR="002A2445" w:rsidRDefault="002A2445" w:rsidP="00456131">
      <w:pPr>
        <w:pStyle w:val="ListParagraph"/>
        <w:numPr>
          <w:ilvl w:val="0"/>
          <w:numId w:val="73"/>
        </w:numPr>
      </w:pPr>
      <w:r>
        <w:t xml:space="preserve">APTC could also undertake provider quality reviews (e.g. as in SINU in the Solomon Islands) to provide clear advice </w:t>
      </w:r>
      <w:r w:rsidR="00823743">
        <w:t xml:space="preserve">to providers </w:t>
      </w:r>
      <w:r>
        <w:t>as to actions required</w:t>
      </w:r>
      <w:r w:rsidR="00745F14">
        <w:t xml:space="preserve"> to </w:t>
      </w:r>
      <w:r w:rsidR="00823743">
        <w:t xml:space="preserve">raise </w:t>
      </w:r>
      <w:r w:rsidR="00CC6D89">
        <w:t xml:space="preserve">the </w:t>
      </w:r>
      <w:r w:rsidR="00823743">
        <w:t xml:space="preserve">quality of </w:t>
      </w:r>
      <w:r w:rsidR="00745F14">
        <w:t>education and training provision</w:t>
      </w:r>
      <w:r>
        <w:t xml:space="preserve">. </w:t>
      </w:r>
    </w:p>
    <w:p w14:paraId="18C76B33" w14:textId="55DA76DC" w:rsidR="002A2445" w:rsidRDefault="002A2445" w:rsidP="00456131">
      <w:pPr>
        <w:pStyle w:val="ListParagraph"/>
        <w:numPr>
          <w:ilvl w:val="0"/>
          <w:numId w:val="73"/>
        </w:numPr>
      </w:pPr>
      <w:r>
        <w:t>USP could provide similar assistance</w:t>
      </w:r>
      <w:r w:rsidR="00745F14">
        <w:t xml:space="preserve"> to that of APTC</w:t>
      </w:r>
      <w:r>
        <w:t xml:space="preserve">, especially in the areas of providing advice </w:t>
      </w:r>
      <w:r w:rsidR="00745F14">
        <w:t>to higher education providers in relation to</w:t>
      </w:r>
      <w:r>
        <w:t xml:space="preserve"> developing </w:t>
      </w:r>
      <w:r w:rsidR="00745F14">
        <w:t xml:space="preserve">curriculum, developing </w:t>
      </w:r>
      <w:r>
        <w:t xml:space="preserve">quality management systems and internal quality </w:t>
      </w:r>
      <w:r w:rsidR="00823743">
        <w:t>review</w:t>
      </w:r>
      <w:r>
        <w:t xml:space="preserve"> for higher education</w:t>
      </w:r>
      <w:r w:rsidR="00CC6D89">
        <w:t>.</w:t>
      </w:r>
    </w:p>
    <w:p w14:paraId="033DE6E8" w14:textId="608D9F66" w:rsidR="00EE587C" w:rsidRDefault="002A2445" w:rsidP="00456131">
      <w:pPr>
        <w:pStyle w:val="ListParagraph"/>
        <w:numPr>
          <w:ilvl w:val="0"/>
          <w:numId w:val="73"/>
        </w:numPr>
      </w:pPr>
      <w:r>
        <w:lastRenderedPageBreak/>
        <w:t xml:space="preserve">Existing Pacific QA </w:t>
      </w:r>
      <w:r w:rsidR="002C12D8">
        <w:t xml:space="preserve">bodies </w:t>
      </w:r>
      <w:r>
        <w:t>could</w:t>
      </w:r>
      <w:r w:rsidR="00745F14">
        <w:t xml:space="preserve"> also</w:t>
      </w:r>
      <w:r>
        <w:t xml:space="preserve"> provide assistance to emerging </w:t>
      </w:r>
      <w:r w:rsidR="002C12D8">
        <w:t>QA</w:t>
      </w:r>
      <w:r>
        <w:t xml:space="preserve"> bodies, facilitated through </w:t>
      </w:r>
      <w:r w:rsidR="00823743">
        <w:t xml:space="preserve">funding from </w:t>
      </w:r>
      <w:r>
        <w:t xml:space="preserve">bilateral support programs. </w:t>
      </w:r>
    </w:p>
    <w:p w14:paraId="10DE491E" w14:textId="6F605144" w:rsidR="00437776" w:rsidRDefault="0011030E" w:rsidP="00437776">
      <w:pPr>
        <w:spacing w:line="240" w:lineRule="auto"/>
      </w:pPr>
      <w:r>
        <w:t xml:space="preserve">There is a need for </w:t>
      </w:r>
      <w:r w:rsidR="00437776">
        <w:t>DFAT</w:t>
      </w:r>
      <w:r w:rsidR="000430F3">
        <w:t xml:space="preserve"> </w:t>
      </w:r>
      <w:r>
        <w:t>to</w:t>
      </w:r>
      <w:r w:rsidR="00437776">
        <w:t xml:space="preserve">: </w:t>
      </w:r>
    </w:p>
    <w:p w14:paraId="4719EB21" w14:textId="78A83231" w:rsidR="00437776" w:rsidRDefault="00437776" w:rsidP="00456131">
      <w:pPr>
        <w:pStyle w:val="ListParagraph"/>
        <w:numPr>
          <w:ilvl w:val="0"/>
          <w:numId w:val="74"/>
        </w:numPr>
      </w:pPr>
      <w:r>
        <w:t>T</w:t>
      </w:r>
      <w:r w:rsidR="000430F3">
        <w:t xml:space="preserve">ake </w:t>
      </w:r>
      <w:r w:rsidR="00D60A03">
        <w:t xml:space="preserve">into consideration, when funding </w:t>
      </w:r>
      <w:r w:rsidR="00C73E0A">
        <w:t xml:space="preserve">bilateral </w:t>
      </w:r>
      <w:r w:rsidR="00D60A03">
        <w:t xml:space="preserve">programs and </w:t>
      </w:r>
      <w:r w:rsidR="00C73E0A">
        <w:t xml:space="preserve">in bilateral </w:t>
      </w:r>
      <w:r w:rsidR="00D60A03">
        <w:t xml:space="preserve">program negotiations, the </w:t>
      </w:r>
      <w:r w:rsidR="000430F3">
        <w:t xml:space="preserve">comprehensive </w:t>
      </w:r>
      <w:r w:rsidR="00D60A03">
        <w:t>nature</w:t>
      </w:r>
      <w:r w:rsidR="000430F3">
        <w:t xml:space="preserve"> of education and training provision</w:t>
      </w:r>
      <w:r w:rsidR="00D60A03">
        <w:t xml:space="preserve"> and qualifications systems</w:t>
      </w:r>
      <w:r w:rsidR="00553592">
        <w:t xml:space="preserve">, </w:t>
      </w:r>
      <w:r w:rsidR="000430F3">
        <w:t>the impact of a quality assurance approach</w:t>
      </w:r>
      <w:r w:rsidR="00D60A03">
        <w:t>,</w:t>
      </w:r>
      <w:r w:rsidR="000430F3">
        <w:t xml:space="preserve"> </w:t>
      </w:r>
      <w:r w:rsidR="0090418E">
        <w:t>and the link to regional initiatives</w:t>
      </w:r>
      <w:r w:rsidR="00CC6D89">
        <w:t>,</w:t>
      </w:r>
      <w:r w:rsidR="0090418E">
        <w:t xml:space="preserve"> such as the future Pacific model</w:t>
      </w:r>
    </w:p>
    <w:p w14:paraId="1A1E5F96" w14:textId="17460400" w:rsidR="000430F3" w:rsidRDefault="00437776" w:rsidP="00456131">
      <w:pPr>
        <w:pStyle w:val="ListParagraph"/>
        <w:numPr>
          <w:ilvl w:val="0"/>
          <w:numId w:val="74"/>
        </w:numPr>
      </w:pPr>
      <w:r>
        <w:t>Promote t</w:t>
      </w:r>
      <w:r w:rsidRPr="00816EBE">
        <w:t>he use of the future Pacific model (especially the PQF</w:t>
      </w:r>
      <w:r w:rsidR="006C319D">
        <w:t xml:space="preserve"> and PQAF</w:t>
      </w:r>
      <w:r w:rsidRPr="00816EBE">
        <w:t>) through inclusion in bilateral or multilateral agreements related to occupations or occupational standards (e.g. mutual recognition agreements) or in benchmarking of qualification activities (either regionally or internationally)</w:t>
      </w:r>
      <w:r>
        <w:t>.</w:t>
      </w:r>
    </w:p>
    <w:p w14:paraId="4F739A75" w14:textId="2715194F" w:rsidR="0090418E" w:rsidRDefault="0011030E" w:rsidP="004B2DC3">
      <w:pPr>
        <w:spacing w:line="240" w:lineRule="auto"/>
      </w:pPr>
      <w:r>
        <w:t>It would be desirable if b</w:t>
      </w:r>
      <w:r w:rsidR="0090418E">
        <w:t xml:space="preserve">oth Australia and New Zealand </w:t>
      </w:r>
      <w:r w:rsidR="004B2DC3">
        <w:t>provide</w:t>
      </w:r>
      <w:r>
        <w:t>d</w:t>
      </w:r>
      <w:r w:rsidR="004B2DC3">
        <w:t xml:space="preserve"> greater clarity of</w:t>
      </w:r>
      <w:r w:rsidR="0090418E">
        <w:t xml:space="preserve"> their role in the future Pacific model. Both countries are </w:t>
      </w:r>
      <w:r w:rsidR="00553592">
        <w:t xml:space="preserve">included within the PIF grouping of countries, </w:t>
      </w:r>
      <w:r w:rsidR="004B2DC3">
        <w:t xml:space="preserve">are members of SPC, and will also be signatories to the </w:t>
      </w:r>
      <w:r w:rsidR="004B2DC3" w:rsidRPr="009507B8">
        <w:t>Pacific Agreement on Closer Economic Relations (PACER) Plus</w:t>
      </w:r>
      <w:r w:rsidR="004B2DC3">
        <w:t xml:space="preserve">. </w:t>
      </w:r>
    </w:p>
    <w:p w14:paraId="21873485" w14:textId="1735C57D" w:rsidR="006F574A" w:rsidRPr="00331CC5" w:rsidRDefault="001754AB" w:rsidP="00331CC5">
      <w:pPr>
        <w:pStyle w:val="Heading2"/>
        <w:rPr>
          <w:color w:val="95050F"/>
        </w:rPr>
      </w:pPr>
      <w:bookmarkStart w:id="51" w:name="_Toc462755566"/>
      <w:r w:rsidRPr="00331CC5">
        <w:rPr>
          <w:color w:val="95050F"/>
        </w:rPr>
        <w:t xml:space="preserve">3.4 </w:t>
      </w:r>
      <w:r w:rsidR="006F574A" w:rsidRPr="00331CC5">
        <w:rPr>
          <w:color w:val="95050F"/>
        </w:rPr>
        <w:t xml:space="preserve">Support </w:t>
      </w:r>
      <w:r w:rsidR="00A94FE9">
        <w:rPr>
          <w:color w:val="95050F"/>
        </w:rPr>
        <w:t>to</w:t>
      </w:r>
      <w:r w:rsidR="006F574A" w:rsidRPr="00331CC5">
        <w:rPr>
          <w:color w:val="95050F"/>
        </w:rPr>
        <w:t xml:space="preserve"> the model</w:t>
      </w:r>
      <w:bookmarkEnd w:id="51"/>
    </w:p>
    <w:p w14:paraId="240F3C03" w14:textId="5142DD55" w:rsidR="00C10ADE" w:rsidRDefault="006F574A" w:rsidP="006F574A">
      <w:pPr>
        <w:spacing w:line="240" w:lineRule="auto"/>
      </w:pPr>
      <w:r>
        <w:t xml:space="preserve">To support a future Pacific model the </w:t>
      </w:r>
      <w:r w:rsidR="00040A7A">
        <w:t>secretariat</w:t>
      </w:r>
      <w:r w:rsidR="007E5D74">
        <w:t xml:space="preserve"> </w:t>
      </w:r>
      <w:r>
        <w:t xml:space="preserve">staff will need a strong understanding of qualifications frameworks, regional frameworks, quality assurance and recognition. </w:t>
      </w:r>
      <w:r w:rsidR="00A8469A">
        <w:t xml:space="preserve">However, the focus </w:t>
      </w:r>
      <w:r w:rsidR="00620057">
        <w:t xml:space="preserve">of the model </w:t>
      </w:r>
      <w:r w:rsidR="00A8469A">
        <w:t>shift</w:t>
      </w:r>
      <w:r w:rsidR="00AF3965">
        <w:t>s</w:t>
      </w:r>
      <w:r w:rsidR="00A8469A">
        <w:t xml:space="preserve"> </w:t>
      </w:r>
      <w:r w:rsidR="007E5D74">
        <w:t xml:space="preserve">from </w:t>
      </w:r>
      <w:r w:rsidR="00A8469A">
        <w:t>providing advice and assistance</w:t>
      </w:r>
      <w:r w:rsidR="007E5D74">
        <w:t>, and</w:t>
      </w:r>
      <w:r w:rsidR="00A8469A">
        <w:t xml:space="preserve"> </w:t>
      </w:r>
      <w:r w:rsidR="007E5D74">
        <w:t>undertaking quality assurance</w:t>
      </w:r>
      <w:r w:rsidR="00040A7A">
        <w:t xml:space="preserve"> activities</w:t>
      </w:r>
      <w:r w:rsidR="007E5D74">
        <w:t xml:space="preserve"> </w:t>
      </w:r>
      <w:r w:rsidR="00A8469A">
        <w:t xml:space="preserve">to </w:t>
      </w:r>
      <w:r w:rsidR="00BC7A9E">
        <w:t xml:space="preserve">working closely with the nominated chairperson and </w:t>
      </w:r>
      <w:r w:rsidR="00040A7A">
        <w:t>coordinating</w:t>
      </w:r>
      <w:r w:rsidR="00A8469A">
        <w:t xml:space="preserve"> the functions of the Pacific model</w:t>
      </w:r>
      <w:r w:rsidR="007E5D74">
        <w:t>. PRQS</w:t>
      </w:r>
      <w:r w:rsidR="007E5D74" w:rsidRPr="0003063D">
        <w:t xml:space="preserve"> </w:t>
      </w:r>
      <w:r w:rsidRPr="0003063D">
        <w:t xml:space="preserve">staff members are already in place, but </w:t>
      </w:r>
      <w:r w:rsidR="00040A7A">
        <w:t>a</w:t>
      </w:r>
      <w:r w:rsidR="00040A7A" w:rsidRPr="0003063D">
        <w:t xml:space="preserve"> </w:t>
      </w:r>
      <w:r w:rsidR="007E5D74">
        <w:t xml:space="preserve">job review and analysis will be required to ensure that the mix of skills and knowledge are suitable for the future proposed model. </w:t>
      </w:r>
      <w:r w:rsidR="00C10ADE">
        <w:t xml:space="preserve">Once the </w:t>
      </w:r>
      <w:r w:rsidR="00AF3965">
        <w:t xml:space="preserve">future </w:t>
      </w:r>
      <w:r w:rsidR="00C10ADE">
        <w:t xml:space="preserve">model is </w:t>
      </w:r>
      <w:r w:rsidR="00AF3965">
        <w:t>agreed</w:t>
      </w:r>
      <w:r w:rsidR="00C10ADE">
        <w:t xml:space="preserve"> then </w:t>
      </w:r>
      <w:r w:rsidR="00F81267">
        <w:t xml:space="preserve">the number of staff can be determined </w:t>
      </w:r>
      <w:r w:rsidR="00BC7A9E">
        <w:t>can be ascertained</w:t>
      </w:r>
      <w:r w:rsidR="00CC6D89">
        <w:t>;</w:t>
      </w:r>
      <w:r w:rsidR="00BC7A9E">
        <w:t xml:space="preserve"> however</w:t>
      </w:r>
      <w:r w:rsidR="00CC6D89">
        <w:t>,</w:t>
      </w:r>
      <w:r w:rsidR="00BC7A9E">
        <w:t xml:space="preserve"> the likelihood would </w:t>
      </w:r>
      <w:r w:rsidR="00D43478">
        <w:t>be no</w:t>
      </w:r>
      <w:r w:rsidR="00BC7A9E">
        <w:t xml:space="preserve"> more than two staff members.  </w:t>
      </w:r>
    </w:p>
    <w:p w14:paraId="2A48A140" w14:textId="517C58B3" w:rsidR="007E5D74" w:rsidRDefault="007E5D74" w:rsidP="006F574A">
      <w:pPr>
        <w:spacing w:line="240" w:lineRule="auto"/>
      </w:pPr>
      <w:r>
        <w:t>Regardless, secretar</w:t>
      </w:r>
      <w:r w:rsidR="00040A7A">
        <w:t>iat</w:t>
      </w:r>
      <w:r>
        <w:t xml:space="preserve"> staff will </w:t>
      </w:r>
      <w:r w:rsidR="006F574A" w:rsidRPr="00B15A7C">
        <w:t xml:space="preserve">require </w:t>
      </w:r>
      <w:r w:rsidR="006F574A" w:rsidRPr="00B074A5">
        <w:t>further</w:t>
      </w:r>
      <w:r w:rsidR="006F574A" w:rsidRPr="00B15A7C">
        <w:t xml:space="preserve"> mentoring and support from a selected technical advisory group to implement </w:t>
      </w:r>
      <w:r w:rsidR="00D60780">
        <w:t>a</w:t>
      </w:r>
      <w:r w:rsidR="006F574A" w:rsidRPr="00B15A7C">
        <w:t xml:space="preserve"> proposed Pacific model.</w:t>
      </w:r>
      <w:r w:rsidR="00C10ADE">
        <w:t xml:space="preserve"> </w:t>
      </w:r>
      <w:r w:rsidR="006F574A" w:rsidRPr="00B15A7C">
        <w:t xml:space="preserve">This technical advisory group could take a range of forms and </w:t>
      </w:r>
      <w:r w:rsidR="00303466">
        <w:t>be accessed</w:t>
      </w:r>
      <w:r w:rsidR="006F574A" w:rsidRPr="00B15A7C">
        <w:t xml:space="preserve"> on an ad hoc or semi-permanent basis. The technical advisory group could provide </w:t>
      </w:r>
      <w:r w:rsidR="0096293D">
        <w:t xml:space="preserve">ongoing </w:t>
      </w:r>
      <w:r w:rsidR="006F574A" w:rsidRPr="00B15A7C">
        <w:t xml:space="preserve">mentoring, opportunities for professional dialogue, strategic advice, and specialist services for the development of concept notes and guidelines, to assist in operationalising benchmarking and referencing activities, and assist in workshops and meetings. All development of documents and processes would include participation from the </w:t>
      </w:r>
      <w:r w:rsidR="00D43478" w:rsidRPr="00B15A7C">
        <w:t xml:space="preserve">secretariat </w:t>
      </w:r>
      <w:r w:rsidR="006F574A" w:rsidRPr="00B15A7C">
        <w:t>for capacity development purposes, engagement and ownership. The technical advisory group should consist of a small group of specialists (especially with a strong understanding of qualifications frameworks, quality assurance and of harmoni</w:t>
      </w:r>
      <w:r w:rsidR="00ED1337">
        <w:t>s</w:t>
      </w:r>
      <w:r w:rsidR="006F574A" w:rsidRPr="00B15A7C">
        <w:t xml:space="preserve">ation mechanisms).  An </w:t>
      </w:r>
      <w:r w:rsidR="002137D9" w:rsidRPr="00B15A7C">
        <w:t>i</w:t>
      </w:r>
      <w:r w:rsidR="002137D9">
        <w:t xml:space="preserve">nformation </w:t>
      </w:r>
      <w:r w:rsidR="002137D9" w:rsidRPr="00B15A7C">
        <w:t>t</w:t>
      </w:r>
      <w:r w:rsidR="002137D9">
        <w:t>echnology</w:t>
      </w:r>
      <w:r w:rsidR="002137D9" w:rsidRPr="00B15A7C">
        <w:t xml:space="preserve"> </w:t>
      </w:r>
      <w:r w:rsidR="006F574A" w:rsidRPr="00B15A7C">
        <w:t xml:space="preserve">specialist would be required in the early stages to assist in the </w:t>
      </w:r>
      <w:r w:rsidR="00D43478">
        <w:t>enhancement</w:t>
      </w:r>
      <w:r w:rsidR="00D43478" w:rsidRPr="00B15A7C">
        <w:t xml:space="preserve"> </w:t>
      </w:r>
      <w:r w:rsidR="006F574A" w:rsidRPr="00B15A7C">
        <w:t xml:space="preserve">of the register to be able to provide additional details of qualifications listed. </w:t>
      </w:r>
    </w:p>
    <w:p w14:paraId="1D876D99" w14:textId="18960E9F" w:rsidR="006F574A" w:rsidRDefault="003A4478" w:rsidP="006F574A">
      <w:pPr>
        <w:spacing w:line="240" w:lineRule="auto"/>
      </w:pPr>
      <w:r>
        <w:t xml:space="preserve">In the </w:t>
      </w:r>
      <w:r w:rsidR="0024156C">
        <w:t>extended</w:t>
      </w:r>
      <w:r>
        <w:t xml:space="preserve"> model (Appendix 8), a</w:t>
      </w:r>
      <w:r w:rsidR="006F574A" w:rsidRPr="00B15A7C">
        <w:t xml:space="preserve">dditional </w:t>
      </w:r>
      <w:r w:rsidR="00303466">
        <w:t xml:space="preserve">development </w:t>
      </w:r>
      <w:r w:rsidR="00D43478">
        <w:t xml:space="preserve">of </w:t>
      </w:r>
      <w:r w:rsidR="006F574A" w:rsidRPr="00B15A7C">
        <w:t>internal databases would also be required for international recognition services (international qualifications systems overviews, and records management of recognition services).</w:t>
      </w:r>
      <w:r w:rsidR="006F574A" w:rsidRPr="0003063D">
        <w:t xml:space="preserve">  </w:t>
      </w:r>
      <w:r w:rsidR="007E5D74">
        <w:t xml:space="preserve">However, providing international recognition services in an </w:t>
      </w:r>
      <w:r w:rsidR="0024156C">
        <w:t>extended</w:t>
      </w:r>
      <w:r w:rsidR="007E5D74">
        <w:t xml:space="preserve"> model </w:t>
      </w:r>
      <w:r w:rsidR="00207D19">
        <w:t xml:space="preserve">requires a level of financial support that </w:t>
      </w:r>
      <w:r>
        <w:t>may</w:t>
      </w:r>
      <w:r w:rsidR="00207D19">
        <w:t xml:space="preserve"> not </w:t>
      </w:r>
      <w:r>
        <w:t xml:space="preserve">be </w:t>
      </w:r>
      <w:r w:rsidR="00207D19">
        <w:t xml:space="preserve">available in the </w:t>
      </w:r>
      <w:r w:rsidR="007E5D74">
        <w:t xml:space="preserve">immediate future. </w:t>
      </w:r>
    </w:p>
    <w:p w14:paraId="752F2172" w14:textId="68F24F62" w:rsidR="007E5D74" w:rsidRDefault="007E5D74" w:rsidP="006F574A">
      <w:pPr>
        <w:spacing w:line="240" w:lineRule="auto"/>
      </w:pPr>
      <w:r>
        <w:t xml:space="preserve">Currently, the PRQS team </w:t>
      </w:r>
      <w:r w:rsidR="0011030E">
        <w:t>resides</w:t>
      </w:r>
      <w:r>
        <w:t xml:space="preserve"> with</w:t>
      </w:r>
      <w:r w:rsidR="00F360EB">
        <w:t>in</w:t>
      </w:r>
      <w:r>
        <w:t xml:space="preserve"> EQAP, which </w:t>
      </w:r>
      <w:r w:rsidR="00AF3965">
        <w:t xml:space="preserve">at this time </w:t>
      </w:r>
      <w:r>
        <w:t>is a logical site</w:t>
      </w:r>
      <w:r w:rsidR="00A94FE9">
        <w:t>,</w:t>
      </w:r>
      <w:r>
        <w:t xml:space="preserve"> given EQAP’s role</w:t>
      </w:r>
      <w:r w:rsidR="00BC7A9E">
        <w:t xml:space="preserve"> and the level of administrative support </w:t>
      </w:r>
      <w:r w:rsidR="004B2DC3">
        <w:t xml:space="preserve">it </w:t>
      </w:r>
      <w:r w:rsidR="00BC7A9E">
        <w:t>provide</w:t>
      </w:r>
      <w:r w:rsidR="004B2DC3">
        <w:t>s</w:t>
      </w:r>
      <w:r>
        <w:t xml:space="preserve">. Other </w:t>
      </w:r>
      <w:r w:rsidR="00083F7A" w:rsidRPr="00B928AC">
        <w:t>future</w:t>
      </w:r>
      <w:r w:rsidR="00083F7A">
        <w:t xml:space="preserve"> </w:t>
      </w:r>
      <w:r>
        <w:t xml:space="preserve">options include being housed with a national quality assurance agency (e.g. FHEC) or housed </w:t>
      </w:r>
      <w:r w:rsidR="00AF3965">
        <w:t xml:space="preserve">with </w:t>
      </w:r>
      <w:r>
        <w:t>the chair of the future Pacific model (</w:t>
      </w:r>
      <w:r w:rsidR="00040A7A">
        <w:t xml:space="preserve">this is on a moving basis </w:t>
      </w:r>
      <w:r>
        <w:t>as is the case with the Asia Pacific Quality Network) or housed with a regional body</w:t>
      </w:r>
      <w:r w:rsidR="00A94FE9">
        <w:t xml:space="preserve"> (</w:t>
      </w:r>
      <w:r>
        <w:t>e.g. USP or even APTC</w:t>
      </w:r>
      <w:r w:rsidR="00A94FE9">
        <w:t>)</w:t>
      </w:r>
      <w:r>
        <w:t xml:space="preserve">. </w:t>
      </w:r>
      <w:r w:rsidR="00BC7A9E">
        <w:t>There are pros and cons for these options, but regardless of w</w:t>
      </w:r>
      <w:r w:rsidR="00AF3965">
        <w:t xml:space="preserve">here it </w:t>
      </w:r>
      <w:r w:rsidR="00957C18">
        <w:t>resides</w:t>
      </w:r>
      <w:r w:rsidR="00AF3965">
        <w:t xml:space="preserve"> it</w:t>
      </w:r>
      <w:r w:rsidR="00BC7A9E">
        <w:t xml:space="preserve"> should ensure a close liaison with the </w:t>
      </w:r>
      <w:r w:rsidR="00AF3965">
        <w:t>future model’s</w:t>
      </w:r>
      <w:r w:rsidR="00207D19">
        <w:t xml:space="preserve"> </w:t>
      </w:r>
      <w:r w:rsidR="00BC7A9E">
        <w:t xml:space="preserve">chairperson. </w:t>
      </w:r>
    </w:p>
    <w:p w14:paraId="6DA64A69" w14:textId="0147BB00" w:rsidR="00C15538" w:rsidRPr="00331CC5" w:rsidRDefault="001754AB" w:rsidP="00331CC5">
      <w:pPr>
        <w:pStyle w:val="Heading2"/>
        <w:rPr>
          <w:color w:val="95050F"/>
        </w:rPr>
      </w:pPr>
      <w:bookmarkStart w:id="52" w:name="_Toc462755567"/>
      <w:r w:rsidRPr="00331CC5">
        <w:rPr>
          <w:color w:val="95050F"/>
        </w:rPr>
        <w:lastRenderedPageBreak/>
        <w:t xml:space="preserve">3.5 </w:t>
      </w:r>
      <w:r w:rsidR="00C15538" w:rsidRPr="00331CC5">
        <w:rPr>
          <w:color w:val="95050F"/>
        </w:rPr>
        <w:t>Funding</w:t>
      </w:r>
      <w:r w:rsidR="00AF3977" w:rsidRPr="00331CC5">
        <w:rPr>
          <w:color w:val="95050F"/>
        </w:rPr>
        <w:t xml:space="preserve"> and sustainability</w:t>
      </w:r>
      <w:bookmarkEnd w:id="52"/>
    </w:p>
    <w:p w14:paraId="39D3C036" w14:textId="32DC4356" w:rsidR="00AF3977" w:rsidRDefault="00D544C6" w:rsidP="00C15538">
      <w:pPr>
        <w:spacing w:line="240" w:lineRule="auto"/>
      </w:pPr>
      <w:r>
        <w:t xml:space="preserve">Any proposal for a </w:t>
      </w:r>
      <w:r w:rsidR="00B23A3F">
        <w:t xml:space="preserve">funding the future Pacific model is predicated on the </w:t>
      </w:r>
      <w:r w:rsidR="0024156C">
        <w:t xml:space="preserve">aim that the </w:t>
      </w:r>
      <w:r w:rsidR="00B23A3F">
        <w:t xml:space="preserve">model </w:t>
      </w:r>
      <w:r w:rsidR="0024156C">
        <w:t xml:space="preserve">is </w:t>
      </w:r>
      <w:r w:rsidR="00A94FE9">
        <w:t>self-funding</w:t>
      </w:r>
      <w:r w:rsidR="00AF3977">
        <w:t xml:space="preserve"> after 8 years</w:t>
      </w:r>
      <w:r w:rsidR="00B23A3F">
        <w:t xml:space="preserve">, through Pacific Nation financial </w:t>
      </w:r>
      <w:r w:rsidR="00F360EB">
        <w:t>contributions</w:t>
      </w:r>
      <w:r w:rsidR="00B23A3F">
        <w:t xml:space="preserve"> and any fee for service activity</w:t>
      </w:r>
      <w:r w:rsidR="00AF3977">
        <w:t xml:space="preserve">. </w:t>
      </w:r>
    </w:p>
    <w:p w14:paraId="339D9492" w14:textId="07FAAA66" w:rsidR="00486096" w:rsidRDefault="00B23A3F" w:rsidP="00C15538">
      <w:pPr>
        <w:spacing w:line="240" w:lineRule="auto"/>
      </w:pPr>
      <w:r>
        <w:t xml:space="preserve">In the immediate future, </w:t>
      </w:r>
      <w:r w:rsidR="00BC7A9E">
        <w:t xml:space="preserve">Australia </w:t>
      </w:r>
      <w:r>
        <w:t xml:space="preserve">DFAT </w:t>
      </w:r>
      <w:r w:rsidR="00BC7A9E">
        <w:t>could seek additional</w:t>
      </w:r>
      <w:r w:rsidR="00C15538" w:rsidRPr="00780D47">
        <w:t xml:space="preserve"> donor partners </w:t>
      </w:r>
      <w:r w:rsidR="00BC7A9E">
        <w:t>for</w:t>
      </w:r>
      <w:r w:rsidR="00C15538" w:rsidRPr="00780D47">
        <w:t xml:space="preserve"> the support of the future Pacific model. For Australia, the most logical choice for a donor partner is New Zealand, as there </w:t>
      </w:r>
      <w:r>
        <w:t>is</w:t>
      </w:r>
      <w:r w:rsidR="00A94FE9">
        <w:t>:</w:t>
      </w:r>
      <w:r>
        <w:t xml:space="preserve"> a </w:t>
      </w:r>
      <w:r w:rsidR="00C15538" w:rsidRPr="00780D47">
        <w:t>strong relationship</w:t>
      </w:r>
      <w:r w:rsidR="00C15538">
        <w:t xml:space="preserve"> between the NQFs</w:t>
      </w:r>
      <w:r w:rsidR="00A94FE9">
        <w:t xml:space="preserve">; </w:t>
      </w:r>
      <w:r w:rsidR="00C15538">
        <w:t xml:space="preserve"> </w:t>
      </w:r>
      <w:r w:rsidR="00415327">
        <w:t xml:space="preserve">they have </w:t>
      </w:r>
      <w:r w:rsidR="00C15538">
        <w:t xml:space="preserve">strong trade and services agreements; both countries are destinations for </w:t>
      </w:r>
      <w:r>
        <w:t xml:space="preserve">Pacific Nations </w:t>
      </w:r>
      <w:r w:rsidR="00C15538">
        <w:t>labour and learner mobility</w:t>
      </w:r>
      <w:r w:rsidR="00A94FE9">
        <w:t>;</w:t>
      </w:r>
      <w:r w:rsidR="00C15538">
        <w:t xml:space="preserve"> and</w:t>
      </w:r>
      <w:r w:rsidR="00A94FE9">
        <w:t>,</w:t>
      </w:r>
      <w:r w:rsidR="00C15538">
        <w:t xml:space="preserve"> they are members of PIF and SPC as well as the broader </w:t>
      </w:r>
      <w:r w:rsidR="00C15538" w:rsidRPr="00535C56">
        <w:t xml:space="preserve">Pacific region. </w:t>
      </w:r>
    </w:p>
    <w:p w14:paraId="35379051" w14:textId="0DE9BFB6" w:rsidR="006C0170" w:rsidRDefault="00623856" w:rsidP="00C15538">
      <w:pPr>
        <w:spacing w:line="240" w:lineRule="auto"/>
      </w:pPr>
      <w:r>
        <w:t>G</w:t>
      </w:r>
      <w:r w:rsidR="006C0170">
        <w:t xml:space="preserve">iven that there are limited potential </w:t>
      </w:r>
      <w:r w:rsidR="00485020">
        <w:t>funds,</w:t>
      </w:r>
      <w:r w:rsidR="00BD298F">
        <w:t xml:space="preserve"> there are limited options available to </w:t>
      </w:r>
      <w:r w:rsidR="00785F15">
        <w:t xml:space="preserve">progress </w:t>
      </w:r>
      <w:r w:rsidR="00BD298F">
        <w:t>the PRQS</w:t>
      </w:r>
      <w:r w:rsidR="00785F15">
        <w:t xml:space="preserve"> into the future</w:t>
      </w:r>
      <w:r w:rsidR="00BD298F">
        <w:t xml:space="preserve">. </w:t>
      </w:r>
      <w:r w:rsidR="00785F15">
        <w:t xml:space="preserve">The </w:t>
      </w:r>
      <w:r w:rsidR="006C0170">
        <w:t xml:space="preserve">following </w:t>
      </w:r>
      <w:r w:rsidR="0046371B">
        <w:t xml:space="preserve">approach </w:t>
      </w:r>
      <w:r w:rsidR="00BD298F">
        <w:t>is</w:t>
      </w:r>
      <w:r w:rsidR="0046371B">
        <w:t xml:space="preserve"> proposed</w:t>
      </w:r>
      <w:r w:rsidR="006C0170">
        <w:t>:</w:t>
      </w:r>
    </w:p>
    <w:p w14:paraId="67626F8A" w14:textId="4BFC7C89" w:rsidR="00486096" w:rsidRDefault="006C0170" w:rsidP="00456131">
      <w:pPr>
        <w:pStyle w:val="ListParagraph"/>
        <w:numPr>
          <w:ilvl w:val="0"/>
          <w:numId w:val="70"/>
        </w:numPr>
      </w:pPr>
      <w:r>
        <w:t>The biggest expense is that of human</w:t>
      </w:r>
      <w:r w:rsidR="00A8469A">
        <w:t xml:space="preserve"> resources (staffing costs). </w:t>
      </w:r>
      <w:r w:rsidR="00571B68">
        <w:t>The proposed</w:t>
      </w:r>
      <w:r w:rsidR="00A8469A">
        <w:t xml:space="preserve"> future model has less focus on implementing </w:t>
      </w:r>
      <w:r w:rsidR="00083F7A" w:rsidRPr="00B928AC">
        <w:t>external</w:t>
      </w:r>
      <w:r w:rsidR="00083F7A">
        <w:t xml:space="preserve"> </w:t>
      </w:r>
      <w:r w:rsidR="00A8469A">
        <w:t>qualit</w:t>
      </w:r>
      <w:r w:rsidR="00571B68">
        <w:t xml:space="preserve">y assurance and audit of agencies </w:t>
      </w:r>
      <w:r w:rsidR="007309EE">
        <w:t xml:space="preserve">and more </w:t>
      </w:r>
      <w:r w:rsidR="00486096">
        <w:t>emphasis on</w:t>
      </w:r>
      <w:r w:rsidR="00A8469A">
        <w:t xml:space="preserve"> coordination of the model’s activities and providing secretariat support to the governing committee</w:t>
      </w:r>
      <w:r w:rsidR="00207D19">
        <w:t xml:space="preserve">. Therefore, </w:t>
      </w:r>
      <w:r w:rsidR="00A8469A">
        <w:t xml:space="preserve">future staffing could be restricted to 1 </w:t>
      </w:r>
      <w:r w:rsidR="00745F45">
        <w:t>(at the most</w:t>
      </w:r>
      <w:r w:rsidR="00A8469A">
        <w:t xml:space="preserve"> 2</w:t>
      </w:r>
      <w:r w:rsidR="00745F45">
        <w:t>)</w:t>
      </w:r>
      <w:r w:rsidR="00A8469A">
        <w:t xml:space="preserve"> staff</w:t>
      </w:r>
      <w:r w:rsidR="00571B68">
        <w:t xml:space="preserve"> member</w:t>
      </w:r>
      <w:r w:rsidR="00415327">
        <w:t>s</w:t>
      </w:r>
      <w:r w:rsidR="00A8469A">
        <w:t xml:space="preserve">. </w:t>
      </w:r>
    </w:p>
    <w:p w14:paraId="61200811" w14:textId="02E083E7" w:rsidR="006C0170" w:rsidRDefault="00B23A3F" w:rsidP="00456131">
      <w:pPr>
        <w:pStyle w:val="ListParagraph"/>
        <w:numPr>
          <w:ilvl w:val="0"/>
          <w:numId w:val="70"/>
        </w:numPr>
      </w:pPr>
      <w:r>
        <w:t>If</w:t>
      </w:r>
      <w:r w:rsidR="00486096">
        <w:t xml:space="preserve"> the Pacific model </w:t>
      </w:r>
      <w:r w:rsidR="007309EE">
        <w:t>resides</w:t>
      </w:r>
      <w:r w:rsidR="00486096">
        <w:t xml:space="preserve"> with EQAP or a </w:t>
      </w:r>
      <w:r w:rsidR="00C415CF">
        <w:t>QA body</w:t>
      </w:r>
      <w:r w:rsidR="00486096">
        <w:t xml:space="preserve"> then co-opting internal services (</w:t>
      </w:r>
      <w:r w:rsidR="007E5D74">
        <w:t>administrative</w:t>
      </w:r>
      <w:r w:rsidR="00083F7A">
        <w:t>,</w:t>
      </w:r>
      <w:r w:rsidR="00486096">
        <w:t xml:space="preserve"> financial </w:t>
      </w:r>
      <w:r w:rsidR="00083F7A">
        <w:t xml:space="preserve">and information technology </w:t>
      </w:r>
      <w:r w:rsidR="007E5D74">
        <w:t>support</w:t>
      </w:r>
      <w:r w:rsidR="00486096">
        <w:t xml:space="preserve">) </w:t>
      </w:r>
      <w:r w:rsidR="00745F45">
        <w:t xml:space="preserve">would </w:t>
      </w:r>
      <w:r w:rsidR="004A64A9">
        <w:t>assist</w:t>
      </w:r>
      <w:r w:rsidR="00486096">
        <w:t xml:space="preserve"> on-going </w:t>
      </w:r>
      <w:r w:rsidR="00E82D40">
        <w:t xml:space="preserve">support </w:t>
      </w:r>
      <w:r w:rsidR="00486096">
        <w:t xml:space="preserve">staffing costs. </w:t>
      </w:r>
    </w:p>
    <w:p w14:paraId="2C5BF6A3" w14:textId="77777777" w:rsidR="00070752" w:rsidRDefault="00A8469A" w:rsidP="00456131">
      <w:pPr>
        <w:pStyle w:val="ListParagraph"/>
        <w:numPr>
          <w:ilvl w:val="0"/>
          <w:numId w:val="70"/>
        </w:numPr>
      </w:pPr>
      <w:r>
        <w:t xml:space="preserve">Limiting the focus of the </w:t>
      </w:r>
      <w:r w:rsidR="00E82D40">
        <w:t xml:space="preserve">future </w:t>
      </w:r>
      <w:r>
        <w:t>model</w:t>
      </w:r>
      <w:r w:rsidR="003F5743">
        <w:t xml:space="preserve"> to a </w:t>
      </w:r>
      <w:r w:rsidR="00510F64">
        <w:t>strategic and operational</w:t>
      </w:r>
      <w:r w:rsidR="003F5743">
        <w:t xml:space="preserve"> role </w:t>
      </w:r>
      <w:r w:rsidR="00510F64">
        <w:t>(</w:t>
      </w:r>
      <w:r w:rsidR="00571B68">
        <w:t xml:space="preserve">i.e. </w:t>
      </w:r>
      <w:r w:rsidR="003F5743">
        <w:t xml:space="preserve">excluding </w:t>
      </w:r>
      <w:r w:rsidR="00486096">
        <w:t>providing recognition services and advice</w:t>
      </w:r>
      <w:r w:rsidR="00510F64">
        <w:t>)</w:t>
      </w:r>
      <w:r w:rsidR="00070752">
        <w:t>:</w:t>
      </w:r>
    </w:p>
    <w:p w14:paraId="5533264A" w14:textId="4F5A8A71" w:rsidR="00070752" w:rsidRDefault="00070752" w:rsidP="00456131">
      <w:pPr>
        <w:pStyle w:val="ListParagraph"/>
        <w:numPr>
          <w:ilvl w:val="0"/>
          <w:numId w:val="69"/>
        </w:numPr>
      </w:pPr>
      <w:r>
        <w:t>F</w:t>
      </w:r>
      <w:r w:rsidR="00510F64">
        <w:t>acilitating</w:t>
      </w:r>
      <w:r w:rsidR="002C12D8">
        <w:t xml:space="preserve"> </w:t>
      </w:r>
      <w:r>
        <w:t xml:space="preserve">a common understanding and </w:t>
      </w:r>
      <w:r w:rsidR="002C12D8">
        <w:t xml:space="preserve">harmonising activities related to recognition and quality assurance, and to </w:t>
      </w:r>
      <w:r>
        <w:t>building trust through referencing NQFs and benchmarking quality assurance arrangements</w:t>
      </w:r>
    </w:p>
    <w:p w14:paraId="6E9CB90F" w14:textId="1260C28B" w:rsidR="001515EE" w:rsidRPr="00A73E4E" w:rsidRDefault="001515EE" w:rsidP="00456131">
      <w:pPr>
        <w:pStyle w:val="ListParagraph"/>
        <w:numPr>
          <w:ilvl w:val="0"/>
          <w:numId w:val="69"/>
        </w:numPr>
      </w:pPr>
      <w:r>
        <w:t>Facilitating a</w:t>
      </w:r>
      <w:r w:rsidRPr="00A73E4E">
        <w:t>daptation of existing national qualifications to become regional qualifications (</w:t>
      </w:r>
      <w:r w:rsidRPr="0057430F">
        <w:t xml:space="preserve">including </w:t>
      </w:r>
      <w:r w:rsidRPr="008B78D6">
        <w:t xml:space="preserve">occupational standards, assessment standards, </w:t>
      </w:r>
      <w:r w:rsidRPr="004A64A9">
        <w:t>qualification completion rules and PQF level), rather than developing new regional qualifications.</w:t>
      </w:r>
      <w:r>
        <w:rPr>
          <w:rStyle w:val="FootnoteReference"/>
        </w:rPr>
        <w:footnoteReference w:id="58"/>
      </w:r>
      <w:r w:rsidRPr="00A73E4E">
        <w:t xml:space="preserve"> </w:t>
      </w:r>
    </w:p>
    <w:p w14:paraId="3ECE7B7B" w14:textId="30938C90" w:rsidR="00070752" w:rsidRPr="00E87773" w:rsidRDefault="00070752" w:rsidP="00456131">
      <w:pPr>
        <w:pStyle w:val="ListParagraph"/>
        <w:numPr>
          <w:ilvl w:val="0"/>
          <w:numId w:val="69"/>
        </w:numPr>
      </w:pPr>
      <w:r>
        <w:t xml:space="preserve">Maintenance </w:t>
      </w:r>
      <w:r w:rsidRPr="00E87773">
        <w:t>(and enhance</w:t>
      </w:r>
      <w:r w:rsidR="00BB7BEE">
        <w:t>d</w:t>
      </w:r>
      <w:r w:rsidRPr="00E87773">
        <w:t xml:space="preserve"> transparency) of the register. </w:t>
      </w:r>
    </w:p>
    <w:p w14:paraId="0FC338B2" w14:textId="4FBD4449" w:rsidR="009B5018" w:rsidRDefault="00415327" w:rsidP="009B5018">
      <w:pPr>
        <w:spacing w:line="240" w:lineRule="auto"/>
      </w:pPr>
      <w:r>
        <w:t>The governing committee could seek a</w:t>
      </w:r>
      <w:r w:rsidR="003A4478">
        <w:t xml:space="preserve">dditional donor support </w:t>
      </w:r>
      <w:r w:rsidRPr="00816EBE">
        <w:t xml:space="preserve">for specific regional initiatives </w:t>
      </w:r>
      <w:r w:rsidR="009B5018" w:rsidRPr="00816EBE">
        <w:t xml:space="preserve">from other </w:t>
      </w:r>
      <w:r w:rsidR="009B5018">
        <w:t xml:space="preserve">aid </w:t>
      </w:r>
      <w:r w:rsidR="009B5018" w:rsidRPr="00816EBE">
        <w:t>agencies</w:t>
      </w:r>
      <w:r>
        <w:t xml:space="preserve">, such as </w:t>
      </w:r>
      <w:r w:rsidR="009B5018" w:rsidRPr="00816EBE">
        <w:t>UNESCO</w:t>
      </w:r>
      <w:r w:rsidR="009B5018">
        <w:t>, ILO</w:t>
      </w:r>
      <w:r w:rsidR="009B5018" w:rsidRPr="00816EBE">
        <w:t xml:space="preserve"> and World Bank</w:t>
      </w:r>
      <w:r w:rsidR="00310191">
        <w:t>. This could include the</w:t>
      </w:r>
      <w:r w:rsidR="009B5018" w:rsidRPr="009B126A">
        <w:t xml:space="preserve"> development of regional occupational standards or qualifications, and </w:t>
      </w:r>
      <w:r w:rsidR="009B5018">
        <w:t xml:space="preserve">any </w:t>
      </w:r>
      <w:r w:rsidR="009B5018" w:rsidRPr="009B126A">
        <w:t xml:space="preserve">benchmarking </w:t>
      </w:r>
      <w:r w:rsidR="009B5018">
        <w:t xml:space="preserve">activities of pre-existing </w:t>
      </w:r>
      <w:r w:rsidR="009B5018" w:rsidRPr="009B126A">
        <w:t>national qualifications to these standards/qualifications</w:t>
      </w:r>
      <w:r w:rsidR="009B5018">
        <w:t xml:space="preserve"> and/or international standards/qualifications</w:t>
      </w:r>
      <w:r w:rsidR="009B5018" w:rsidRPr="009B126A">
        <w:t xml:space="preserve">.  </w:t>
      </w:r>
    </w:p>
    <w:p w14:paraId="4AF7EA41" w14:textId="727C96F5" w:rsidR="00C15538" w:rsidRDefault="00D51772" w:rsidP="00C15538">
      <w:pPr>
        <w:spacing w:line="240" w:lineRule="auto"/>
      </w:pPr>
      <w:r>
        <w:t>Transitioning to a new model</w:t>
      </w:r>
      <w:r w:rsidR="00415327">
        <w:t xml:space="preserve"> – </w:t>
      </w:r>
      <w:r w:rsidR="00D81D13">
        <w:t xml:space="preserve">from one </w:t>
      </w:r>
      <w:r w:rsidR="008135F2">
        <w:t xml:space="preserve">led by </w:t>
      </w:r>
      <w:r>
        <w:t xml:space="preserve">EQAP </w:t>
      </w:r>
      <w:r w:rsidR="009B5018">
        <w:t>to</w:t>
      </w:r>
      <w:r>
        <w:t xml:space="preserve"> </w:t>
      </w:r>
      <w:r w:rsidR="00D81D13">
        <w:t xml:space="preserve">one </w:t>
      </w:r>
      <w:r>
        <w:t>governed by the Pacific Nations</w:t>
      </w:r>
      <w:r w:rsidR="00D81D13">
        <w:t xml:space="preserve"> – </w:t>
      </w:r>
      <w:r>
        <w:t xml:space="preserve">will </w:t>
      </w:r>
      <w:r w:rsidR="009B5018">
        <w:t>require a concentrated input over the next 3</w:t>
      </w:r>
      <w:r w:rsidR="001515EE">
        <w:t>–5</w:t>
      </w:r>
      <w:r w:rsidR="009B5018">
        <w:t xml:space="preserve"> years. Initially, </w:t>
      </w:r>
      <w:r w:rsidR="008135F2">
        <w:t xml:space="preserve">efforts should focus on developing </w:t>
      </w:r>
      <w:r w:rsidR="00172256">
        <w:t>a revised</w:t>
      </w:r>
      <w:r w:rsidR="009B5018">
        <w:t xml:space="preserve"> model design with the Pacific Nations</w:t>
      </w:r>
      <w:r w:rsidR="00172256">
        <w:t xml:space="preserve"> </w:t>
      </w:r>
      <w:r w:rsidR="009B5018">
        <w:t xml:space="preserve">and </w:t>
      </w:r>
      <w:r w:rsidR="008135F2">
        <w:t xml:space="preserve">on the </w:t>
      </w:r>
      <w:r w:rsidR="009B5018">
        <w:t xml:space="preserve">establishment of the governing committee and protocols. </w:t>
      </w:r>
      <w:r w:rsidR="0089170C">
        <w:t>Once established</w:t>
      </w:r>
      <w:r w:rsidR="00D81D13">
        <w:t>,</w:t>
      </w:r>
      <w:r w:rsidR="0089170C">
        <w:t xml:space="preserve"> the focus should be on increasing the portability of qualifications and occupations through the </w:t>
      </w:r>
      <w:r w:rsidR="00CC744B">
        <w:t>development</w:t>
      </w:r>
      <w:r w:rsidR="0089170C">
        <w:t xml:space="preserve"> of </w:t>
      </w:r>
      <w:r w:rsidR="00CC744B">
        <w:t xml:space="preserve">agreed </w:t>
      </w:r>
      <w:r w:rsidR="0089170C">
        <w:t xml:space="preserve">regional qualifications, and benchmarking of existing </w:t>
      </w:r>
      <w:r w:rsidR="004813BC">
        <w:t xml:space="preserve">national </w:t>
      </w:r>
      <w:r w:rsidR="0089170C">
        <w:t xml:space="preserve">qualifications to the regional qualifications. This focus on portability of qualifications is linked to </w:t>
      </w:r>
      <w:r w:rsidR="008135F2">
        <w:t xml:space="preserve">competent </w:t>
      </w:r>
      <w:r w:rsidR="004813BC">
        <w:t xml:space="preserve">QA body </w:t>
      </w:r>
      <w:r w:rsidR="0089170C">
        <w:t>recognition processes and the need to harmoni</w:t>
      </w:r>
      <w:r w:rsidR="00ED1337">
        <w:t>s</w:t>
      </w:r>
      <w:r w:rsidR="004813BC">
        <w:t xml:space="preserve">e </w:t>
      </w:r>
      <w:r w:rsidR="0089170C">
        <w:t>recognition processes. Not all Pacific Nations have established recognition processes</w:t>
      </w:r>
      <w:r w:rsidR="00B928AC">
        <w:t xml:space="preserve"> (although</w:t>
      </w:r>
      <w:r w:rsidR="0089170C">
        <w:t xml:space="preserve"> F</w:t>
      </w:r>
      <w:r w:rsidR="00B928AC">
        <w:t xml:space="preserve">iji </w:t>
      </w:r>
      <w:r w:rsidR="0089170C">
        <w:t>H</w:t>
      </w:r>
      <w:r w:rsidR="00B928AC">
        <w:t xml:space="preserve">igher </w:t>
      </w:r>
      <w:r w:rsidR="0089170C">
        <w:t>E</w:t>
      </w:r>
      <w:r w:rsidR="00B928AC">
        <w:t xml:space="preserve">ducation </w:t>
      </w:r>
      <w:r w:rsidR="0089170C">
        <w:t>C</w:t>
      </w:r>
      <w:r w:rsidR="00B928AC">
        <w:t>ommission</w:t>
      </w:r>
      <w:r w:rsidR="0089170C">
        <w:t xml:space="preserve"> and S</w:t>
      </w:r>
      <w:r w:rsidR="00B928AC">
        <w:t xml:space="preserve">amoa </w:t>
      </w:r>
      <w:r w:rsidR="0089170C">
        <w:t>Q</w:t>
      </w:r>
      <w:r w:rsidR="00B928AC">
        <w:t xml:space="preserve">ualifications </w:t>
      </w:r>
      <w:r w:rsidR="0089170C">
        <w:t>A</w:t>
      </w:r>
      <w:r w:rsidR="00B928AC">
        <w:t>uthority</w:t>
      </w:r>
      <w:r w:rsidR="0089170C">
        <w:t xml:space="preserve"> </w:t>
      </w:r>
      <w:r w:rsidR="00B928AC">
        <w:t xml:space="preserve">are </w:t>
      </w:r>
      <w:r w:rsidR="001515EE">
        <w:t xml:space="preserve">active </w:t>
      </w:r>
      <w:r w:rsidR="0089170C">
        <w:t>in this area</w:t>
      </w:r>
      <w:r w:rsidR="00B928AC">
        <w:t>). E</w:t>
      </w:r>
      <w:r w:rsidR="004813BC">
        <w:t xml:space="preserve">stablishing similar recognition processes </w:t>
      </w:r>
      <w:r w:rsidR="00FE2A85">
        <w:t>in P</w:t>
      </w:r>
      <w:r w:rsidR="004813BC">
        <w:t xml:space="preserve">acific Nations with emerging QA systems will raise the quality </w:t>
      </w:r>
      <w:r w:rsidR="00FE2A85">
        <w:t xml:space="preserve">and quantity </w:t>
      </w:r>
      <w:r w:rsidR="004813BC">
        <w:t>of the</w:t>
      </w:r>
      <w:r w:rsidR="007309EE">
        <w:t>ir</w:t>
      </w:r>
      <w:r w:rsidR="004813BC">
        <w:t xml:space="preserve"> decisions</w:t>
      </w:r>
      <w:r w:rsidR="008135F2">
        <w:t>. This harmoni</w:t>
      </w:r>
      <w:r w:rsidR="00ED1337">
        <w:t>s</w:t>
      </w:r>
      <w:r w:rsidR="008135F2">
        <w:t xml:space="preserve">ation of processes will enhance the opportunities for recognising other country qualifications. </w:t>
      </w:r>
    </w:p>
    <w:p w14:paraId="792C99CB" w14:textId="4D1A76CC" w:rsidR="002968C1" w:rsidRPr="00964F33" w:rsidRDefault="002968C1" w:rsidP="00C15538">
      <w:pPr>
        <w:spacing w:line="240" w:lineRule="auto"/>
      </w:pPr>
      <w:r>
        <w:t xml:space="preserve">For promoting internal and external quality assurance of </w:t>
      </w:r>
      <w:r w:rsidR="001515EE">
        <w:t xml:space="preserve">competent </w:t>
      </w:r>
      <w:r>
        <w:t xml:space="preserve">QA bodies and any referencing and benchmarking activities, the responsibility (and costs) </w:t>
      </w:r>
      <w:r w:rsidR="008135F2">
        <w:t>will fall</w:t>
      </w:r>
      <w:r>
        <w:t xml:space="preserve"> on </w:t>
      </w:r>
      <w:r w:rsidR="001515EE">
        <w:t xml:space="preserve">competent </w:t>
      </w:r>
      <w:r>
        <w:t>QA bodies. Providing some funding for external review (although the current model place</w:t>
      </w:r>
      <w:r w:rsidR="00B23A3F">
        <w:t>s</w:t>
      </w:r>
      <w:r>
        <w:t xml:space="preserve"> a costing on an audit by EQAP) and </w:t>
      </w:r>
      <w:r>
        <w:lastRenderedPageBreak/>
        <w:t xml:space="preserve">referencing of NQF and benchmarking quality assurance processes </w:t>
      </w:r>
      <w:r w:rsidR="006279CF">
        <w:t xml:space="preserve">or national qualifications </w:t>
      </w:r>
      <w:r>
        <w:t xml:space="preserve">may also be a priority to offset the </w:t>
      </w:r>
      <w:r w:rsidRPr="00964F33">
        <w:t xml:space="preserve">financial burden and provide an incentive to participate. </w:t>
      </w:r>
    </w:p>
    <w:p w14:paraId="1109FF87" w14:textId="0F3E64E8" w:rsidR="00EE587C" w:rsidRPr="00964F33" w:rsidRDefault="00EE587C" w:rsidP="00C15538">
      <w:pPr>
        <w:spacing w:line="240" w:lineRule="auto"/>
      </w:pPr>
      <w:r w:rsidRPr="00964F33">
        <w:t xml:space="preserve">APTC </w:t>
      </w:r>
      <w:r w:rsidR="00437776" w:rsidRPr="00964F33">
        <w:t xml:space="preserve">in its regional </w:t>
      </w:r>
      <w:r w:rsidRPr="00964F33">
        <w:t xml:space="preserve">role </w:t>
      </w:r>
      <w:r w:rsidR="00437776" w:rsidRPr="00964F33">
        <w:t xml:space="preserve">could assist in the benchmarking of Pacific Nations national qualifications to other qualifications (e.g. Australia and New Zealand) to assist in the development and agreement of </w:t>
      </w:r>
      <w:r w:rsidRPr="00964F33">
        <w:t>regional qualifications</w:t>
      </w:r>
      <w:r w:rsidR="00437776" w:rsidRPr="00964F33">
        <w:t xml:space="preserve">. APTC could also assist in </w:t>
      </w:r>
      <w:r w:rsidRPr="00964F33">
        <w:t>benchmarking</w:t>
      </w:r>
      <w:r w:rsidR="00437776" w:rsidRPr="00964F33">
        <w:t xml:space="preserve"> </w:t>
      </w:r>
      <w:r w:rsidR="00B23A3F">
        <w:t>activities</w:t>
      </w:r>
      <w:r w:rsidR="00437776" w:rsidRPr="00964F33">
        <w:t xml:space="preserve"> and support QA agencies to benchmark their national qualifications to those on the Register or emerging regional qualifications</w:t>
      </w:r>
      <w:r w:rsidRPr="00964F33">
        <w:t xml:space="preserve">. </w:t>
      </w:r>
    </w:p>
    <w:p w14:paraId="50245D8B" w14:textId="145322E7" w:rsidR="0055339D" w:rsidRPr="0046371B" w:rsidRDefault="0055339D" w:rsidP="00C15538">
      <w:pPr>
        <w:spacing w:line="240" w:lineRule="auto"/>
      </w:pPr>
      <w:r w:rsidRPr="00964F33">
        <w:t xml:space="preserve">Bilateral </w:t>
      </w:r>
      <w:r w:rsidRPr="00A11A94">
        <w:t>programs</w:t>
      </w:r>
      <w:r w:rsidR="00437776" w:rsidRPr="00A11A94">
        <w:t xml:space="preserve"> could also support </w:t>
      </w:r>
      <w:r w:rsidR="002D13A4" w:rsidRPr="0090418E">
        <w:t xml:space="preserve">qualification benchmarking activities, fund the development </w:t>
      </w:r>
      <w:r w:rsidRPr="0090418E">
        <w:t xml:space="preserve">of </w:t>
      </w:r>
      <w:r w:rsidR="002D13A4" w:rsidRPr="00553592">
        <w:t xml:space="preserve">national </w:t>
      </w:r>
      <w:r w:rsidRPr="00553592">
        <w:t xml:space="preserve">qualifications (for the purposes of regional </w:t>
      </w:r>
      <w:r w:rsidRPr="004B2DC3">
        <w:t>adaptation in line with the regional</w:t>
      </w:r>
      <w:r w:rsidR="002D13A4" w:rsidRPr="004B2DC3">
        <w:t>ly</w:t>
      </w:r>
      <w:r w:rsidRPr="004B2DC3">
        <w:t xml:space="preserve"> agreed protocol</w:t>
      </w:r>
      <w:r w:rsidR="00B23A3F">
        <w:t>),</w:t>
      </w:r>
      <w:r w:rsidR="002D13A4" w:rsidRPr="00B23A3F">
        <w:rPr>
          <w:rStyle w:val="FootnoteReference"/>
        </w:rPr>
        <w:footnoteReference w:id="59"/>
      </w:r>
      <w:r w:rsidR="002D13A4" w:rsidRPr="00B23A3F">
        <w:t xml:space="preserve"> and promote the uptake of regional qualifications</w:t>
      </w:r>
      <w:r w:rsidR="002D13A4">
        <w:t xml:space="preserve"> through funding incentives.</w:t>
      </w:r>
      <w:r w:rsidR="007309EE" w:rsidDel="007309EE">
        <w:t xml:space="preserve"> </w:t>
      </w:r>
    </w:p>
    <w:p w14:paraId="072B8013" w14:textId="37DDA0AE" w:rsidR="00684389" w:rsidRPr="005417F2" w:rsidRDefault="001754AB" w:rsidP="00B928AC">
      <w:pPr>
        <w:pStyle w:val="Heading2"/>
        <w:rPr>
          <w:color w:val="95050F"/>
        </w:rPr>
      </w:pPr>
      <w:bookmarkStart w:id="53" w:name="_Toc458938585"/>
      <w:bookmarkStart w:id="54" w:name="_Toc462755568"/>
      <w:r>
        <w:rPr>
          <w:color w:val="95050F"/>
        </w:rPr>
        <w:t xml:space="preserve">3.6 </w:t>
      </w:r>
      <w:r w:rsidR="00684389" w:rsidRPr="005417F2">
        <w:rPr>
          <w:color w:val="95050F"/>
        </w:rPr>
        <w:t>Recommendations</w:t>
      </w:r>
      <w:bookmarkEnd w:id="53"/>
      <w:bookmarkEnd w:id="54"/>
    </w:p>
    <w:p w14:paraId="42436660" w14:textId="3DFA73E2" w:rsidR="006C319D" w:rsidRPr="00B42FC1" w:rsidRDefault="006C319D" w:rsidP="00DA052A">
      <w:pPr>
        <w:spacing w:line="240" w:lineRule="auto"/>
      </w:pPr>
      <w:r w:rsidRPr="00B42FC1">
        <w:t>The</w:t>
      </w:r>
      <w:r>
        <w:t xml:space="preserve"> review concluded that the</w:t>
      </w:r>
      <w:r w:rsidRPr="00B42FC1">
        <w:t>re is still a need</w:t>
      </w:r>
      <w:r w:rsidR="00FD1E17">
        <w:t>,</w:t>
      </w:r>
      <w:r w:rsidR="00083F7A">
        <w:t xml:space="preserve"> or even a greater need</w:t>
      </w:r>
      <w:r w:rsidR="00FD1E17">
        <w:t>,</w:t>
      </w:r>
      <w:r w:rsidRPr="00B42FC1">
        <w:t xml:space="preserve"> for a future Pacific model and that the full potential of the current PRQS has not been realised. </w:t>
      </w:r>
      <w:r>
        <w:t>It</w:t>
      </w:r>
      <w:r w:rsidRPr="00B42FC1">
        <w:t xml:space="preserve"> is timely to review </w:t>
      </w:r>
      <w:r>
        <w:t xml:space="preserve">and shift </w:t>
      </w:r>
      <w:r w:rsidR="005108DB">
        <w:t>the</w:t>
      </w:r>
      <w:r w:rsidR="005108DB" w:rsidRPr="00B42FC1">
        <w:t xml:space="preserve"> </w:t>
      </w:r>
      <w:r w:rsidRPr="00B42FC1">
        <w:t xml:space="preserve">focus </w:t>
      </w:r>
      <w:r w:rsidR="005108DB">
        <w:t xml:space="preserve">of the PRQS </w:t>
      </w:r>
      <w:r w:rsidRPr="00B42FC1">
        <w:t xml:space="preserve">and provide some stability and clear direction for the next 3–5 years. </w:t>
      </w:r>
    </w:p>
    <w:p w14:paraId="0DF5C926" w14:textId="77777777" w:rsidR="00C5354A" w:rsidRDefault="00C5354A" w:rsidP="00C5354A">
      <w:r>
        <w:t>It is recommended that DFAT:</w:t>
      </w:r>
    </w:p>
    <w:p w14:paraId="29327239" w14:textId="77777777" w:rsidR="00C5354A" w:rsidRDefault="00C5354A" w:rsidP="00C5354A">
      <w:pPr>
        <w:pStyle w:val="ListParagraph"/>
      </w:pPr>
      <w:r>
        <w:t>Commit to funding a future Pacific model for the next 3–5 years, and to seeking support from New Zealand as a donor partner</w:t>
      </w:r>
    </w:p>
    <w:p w14:paraId="0F54D01F" w14:textId="77777777" w:rsidR="00C5354A" w:rsidRDefault="00C5354A" w:rsidP="00C5354A">
      <w:pPr>
        <w:pStyle w:val="ListParagraph"/>
      </w:pPr>
      <w:r>
        <w:t>Confirm with the Pacific Nations a revised model that includes:</w:t>
      </w:r>
    </w:p>
    <w:p w14:paraId="43C0FFD1" w14:textId="77777777" w:rsidR="00C5354A" w:rsidRDefault="00C5354A" w:rsidP="00C5354A">
      <w:pPr>
        <w:pStyle w:val="ListParagraph"/>
        <w:numPr>
          <w:ilvl w:val="1"/>
          <w:numId w:val="82"/>
        </w:numPr>
      </w:pPr>
      <w:r>
        <w:t>Development of regional qualifications (occupational standards, assessment standards, and qualification completion rules, PQF level) to facilitate benchmarking and recognition of qualifications, occupations and skills across the Pacific and beyond</w:t>
      </w:r>
      <w:r>
        <w:rPr>
          <w:rStyle w:val="FootnoteReference"/>
        </w:rPr>
        <w:footnoteReference w:id="60"/>
      </w:r>
    </w:p>
    <w:p w14:paraId="5E22C480" w14:textId="77777777" w:rsidR="00C5354A" w:rsidRDefault="00C5354A" w:rsidP="00C5354A">
      <w:pPr>
        <w:pStyle w:val="ListParagraph"/>
        <w:numPr>
          <w:ilvl w:val="1"/>
          <w:numId w:val="82"/>
        </w:numPr>
      </w:pPr>
      <w:r>
        <w:t xml:space="preserve">Fostering a high level of trust and accountability by its members by referencing </w:t>
      </w:r>
      <w:r w:rsidRPr="00816EBE">
        <w:t>NQFs and NQAFs to the PQF and PQAF</w:t>
      </w:r>
      <w:r>
        <w:t>,</w:t>
      </w:r>
      <w:r w:rsidRPr="00816EBE">
        <w:t xml:space="preserve"> </w:t>
      </w:r>
      <w:r>
        <w:t xml:space="preserve">and </w:t>
      </w:r>
      <w:r w:rsidRPr="00816EBE">
        <w:t>which is fit-for-purpose, given the size and scope of the qualifications systems and appropriate level of engagement by relevant stakeholders</w:t>
      </w:r>
      <w:r>
        <w:t xml:space="preserve"> </w:t>
      </w:r>
    </w:p>
    <w:p w14:paraId="76D93897" w14:textId="77777777" w:rsidR="00C5354A" w:rsidRDefault="00C5354A" w:rsidP="00C5354A">
      <w:pPr>
        <w:pStyle w:val="ListParagraph"/>
        <w:numPr>
          <w:ilvl w:val="1"/>
          <w:numId w:val="82"/>
        </w:numPr>
      </w:pPr>
      <w:r>
        <w:t>Fostering a high level of trust and accountability by its members to be facilitated by clear and unambiguous agreed quality assurance processes, including:</w:t>
      </w:r>
    </w:p>
    <w:p w14:paraId="065CEDBF" w14:textId="77777777" w:rsidR="00C5354A" w:rsidRDefault="00C5354A" w:rsidP="00C5354A">
      <w:pPr>
        <w:pStyle w:val="ListParagraph"/>
        <w:numPr>
          <w:ilvl w:val="2"/>
          <w:numId w:val="82"/>
        </w:numPr>
      </w:pPr>
      <w:r>
        <w:t>A robust self-assessment process for competent QA body recognition for entry onto the register</w:t>
      </w:r>
    </w:p>
    <w:p w14:paraId="361979A6" w14:textId="77777777" w:rsidR="00C5354A" w:rsidRDefault="00C5354A" w:rsidP="00C5354A">
      <w:pPr>
        <w:pStyle w:val="ListParagraph"/>
        <w:numPr>
          <w:ilvl w:val="2"/>
          <w:numId w:val="82"/>
        </w:numPr>
      </w:pPr>
      <w:r>
        <w:t>Strengthening internal self-review and evaluation of competent QA bodies and requiring external quality evaluations on a periodic basis.</w:t>
      </w:r>
    </w:p>
    <w:p w14:paraId="0A5CB72A" w14:textId="77777777" w:rsidR="00C5354A" w:rsidRDefault="00C5354A" w:rsidP="00C5354A">
      <w:pPr>
        <w:pStyle w:val="ListParagraph"/>
        <w:numPr>
          <w:ilvl w:val="1"/>
          <w:numId w:val="82"/>
        </w:numPr>
      </w:pPr>
      <w:r>
        <w:t>Supporting mutual recognition of competent QA body decisions through:</w:t>
      </w:r>
    </w:p>
    <w:p w14:paraId="21EB8247" w14:textId="77777777" w:rsidR="00C5354A" w:rsidRPr="00816EBE" w:rsidRDefault="00C5354A" w:rsidP="00C5354A">
      <w:pPr>
        <w:pStyle w:val="ListParagraph"/>
        <w:numPr>
          <w:ilvl w:val="2"/>
          <w:numId w:val="82"/>
        </w:numPr>
      </w:pPr>
      <w:r w:rsidRPr="00816EBE">
        <w:t>Harmoni</w:t>
      </w:r>
      <w:r>
        <w:t>s</w:t>
      </w:r>
      <w:r w:rsidRPr="00816EBE">
        <w:t xml:space="preserve">ing processes in regards to accreditation of qualifications, registration of providers and approval to deliver processes across countries </w:t>
      </w:r>
    </w:p>
    <w:p w14:paraId="62F1A439" w14:textId="77777777" w:rsidR="00C5354A" w:rsidRPr="00816EBE" w:rsidRDefault="00C5354A" w:rsidP="00C5354A">
      <w:pPr>
        <w:pStyle w:val="ListParagraph"/>
        <w:numPr>
          <w:ilvl w:val="2"/>
          <w:numId w:val="82"/>
        </w:numPr>
      </w:pPr>
      <w:r w:rsidRPr="00816EBE">
        <w:t>Harmoni</w:t>
      </w:r>
      <w:r>
        <w:t>s</w:t>
      </w:r>
      <w:r w:rsidRPr="00816EBE">
        <w:t xml:space="preserve">ing benchmarking and recognition of qualification processes. </w:t>
      </w:r>
    </w:p>
    <w:p w14:paraId="6B361504" w14:textId="77777777" w:rsidR="00C5354A" w:rsidRPr="00816EBE" w:rsidRDefault="00C5354A" w:rsidP="00C5354A">
      <w:pPr>
        <w:pStyle w:val="ListParagraph"/>
        <w:numPr>
          <w:ilvl w:val="1"/>
          <w:numId w:val="82"/>
        </w:numPr>
      </w:pPr>
      <w:r w:rsidRPr="00B15A7C">
        <w:t>Hav</w:t>
      </w:r>
      <w:r>
        <w:t>ing</w:t>
      </w:r>
      <w:r w:rsidRPr="00B15A7C">
        <w:t xml:space="preserve"> strategies for badging and promotion </w:t>
      </w:r>
      <w:r w:rsidRPr="00AD3506">
        <w:t>of the revised Pacific model to strengthen its profile across the Pacific and internationally</w:t>
      </w:r>
      <w:r>
        <w:t>,</w:t>
      </w:r>
      <w:r w:rsidRPr="00AD3506">
        <w:t xml:space="preserve"> beyond the key stakeholders. This may </w:t>
      </w:r>
      <w:r w:rsidRPr="00816EBE">
        <w:t xml:space="preserve">include (but is not limited to) using a Diploma Supplement model and/or logo on qualifications based on regional occupational standards.  </w:t>
      </w:r>
    </w:p>
    <w:p w14:paraId="14D13364" w14:textId="77777777" w:rsidR="00C5354A" w:rsidRDefault="00C5354A" w:rsidP="00C5354A">
      <w:pPr>
        <w:pStyle w:val="ListParagraph"/>
      </w:pPr>
      <w:r>
        <w:lastRenderedPageBreak/>
        <w:t>Work with participating Pacific Nations to confirm revised governance arrangements:</w:t>
      </w:r>
    </w:p>
    <w:p w14:paraId="38AD3D66" w14:textId="77777777" w:rsidR="00C5354A" w:rsidRPr="00C06DE5" w:rsidRDefault="00C5354A" w:rsidP="00C5354A">
      <w:pPr>
        <w:pStyle w:val="ListParagraph"/>
        <w:numPr>
          <w:ilvl w:val="1"/>
          <w:numId w:val="82"/>
        </w:numPr>
      </w:pPr>
      <w:r w:rsidRPr="00C06DE5">
        <w:t>Whereby a governing committee is established, with all PIF countries and territories members having equal voting status, to foster ownership and engagement</w:t>
      </w:r>
      <w:r w:rsidRPr="00470A4A">
        <w:rPr>
          <w:rStyle w:val="FootnoteReference"/>
          <w:rFonts w:eastAsiaTheme="minorHAnsi" w:cstheme="minorBidi"/>
        </w:rPr>
        <w:footnoteReference w:id="61"/>
      </w:r>
      <w:r w:rsidRPr="00470A4A">
        <w:rPr>
          <w:rStyle w:val="FootnoteReference"/>
          <w:rFonts w:eastAsiaTheme="minorHAnsi" w:cstheme="minorBidi"/>
        </w:rPr>
        <w:t xml:space="preserve"> </w:t>
      </w:r>
    </w:p>
    <w:p w14:paraId="69194320" w14:textId="77777777" w:rsidR="00C5354A" w:rsidRPr="00C06DE5" w:rsidRDefault="00C5354A" w:rsidP="00C5354A">
      <w:pPr>
        <w:pStyle w:val="ListParagraph"/>
        <w:numPr>
          <w:ilvl w:val="1"/>
          <w:numId w:val="82"/>
        </w:numPr>
      </w:pPr>
      <w:r w:rsidRPr="00C06DE5">
        <w:t>With an intent to engage other countries in the greater Pacific region by encouraging observer status</w:t>
      </w:r>
    </w:p>
    <w:p w14:paraId="093110FF" w14:textId="77777777" w:rsidR="00C5354A" w:rsidRDefault="00C5354A" w:rsidP="00C5354A">
      <w:pPr>
        <w:pStyle w:val="ListParagraph"/>
        <w:numPr>
          <w:ilvl w:val="1"/>
          <w:numId w:val="82"/>
        </w:numPr>
      </w:pPr>
      <w:r w:rsidRPr="00C06DE5">
        <w:t>That distances donors from the management and operations of the initiative</w:t>
      </w:r>
    </w:p>
    <w:p w14:paraId="3A65CF78" w14:textId="77777777" w:rsidR="00C5354A" w:rsidRDefault="00C5354A" w:rsidP="00C5354A">
      <w:pPr>
        <w:pStyle w:val="ListParagraph"/>
        <w:numPr>
          <w:ilvl w:val="1"/>
          <w:numId w:val="82"/>
        </w:numPr>
      </w:pPr>
      <w:r>
        <w:t xml:space="preserve">That are </w:t>
      </w:r>
      <w:r w:rsidRPr="00780D47">
        <w:t xml:space="preserve">supported by a </w:t>
      </w:r>
      <w:r>
        <w:t xml:space="preserve">small </w:t>
      </w:r>
      <w:r w:rsidRPr="00780D47">
        <w:t xml:space="preserve">secretariat to provide strategic focus and operational </w:t>
      </w:r>
      <w:r>
        <w:t>assistance</w:t>
      </w:r>
      <w:r w:rsidRPr="00780D47">
        <w:t>.</w:t>
      </w:r>
    </w:p>
    <w:p w14:paraId="6ED4F759" w14:textId="77777777" w:rsidR="00C5354A" w:rsidRDefault="00C5354A" w:rsidP="00C5354A">
      <w:pPr>
        <w:pStyle w:val="ListParagraph"/>
      </w:pPr>
      <w:r>
        <w:t>Ensure that the future Pacific model:</w:t>
      </w:r>
    </w:p>
    <w:p w14:paraId="7B21F97B" w14:textId="77777777" w:rsidR="00C5354A" w:rsidRDefault="00C5354A" w:rsidP="00C5354A">
      <w:pPr>
        <w:pStyle w:val="ListParagraph"/>
        <w:numPr>
          <w:ilvl w:val="1"/>
          <w:numId w:val="82"/>
        </w:numPr>
      </w:pPr>
      <w:r>
        <w:t>Is documented in a briefing paper that outlines the scope, purpose and structure of the model, as well as competent body obligations, governing committee roles and functions, and secretariat roles and functions</w:t>
      </w:r>
    </w:p>
    <w:p w14:paraId="616CD01A" w14:textId="77777777" w:rsidR="00C5354A" w:rsidRDefault="00C5354A" w:rsidP="00C5354A">
      <w:pPr>
        <w:pStyle w:val="ListParagraph"/>
        <w:numPr>
          <w:ilvl w:val="1"/>
          <w:numId w:val="82"/>
        </w:numPr>
      </w:pPr>
      <w:r>
        <w:t>Is designed and agreed by PIF countries and territories’ competent QA body representatives as members of the governing committee</w:t>
      </w:r>
    </w:p>
    <w:p w14:paraId="26786F5B" w14:textId="77777777" w:rsidR="00C5354A" w:rsidRPr="00780D47" w:rsidRDefault="00C5354A" w:rsidP="00C5354A">
      <w:pPr>
        <w:pStyle w:val="ListParagraph"/>
        <w:numPr>
          <w:ilvl w:val="1"/>
          <w:numId w:val="82"/>
        </w:numPr>
      </w:pPr>
      <w:r>
        <w:t>Has</w:t>
      </w:r>
      <w:r w:rsidRPr="00B42FC1">
        <w:t xml:space="preserve"> a 3</w:t>
      </w:r>
      <w:r>
        <w:t>-</w:t>
      </w:r>
      <w:r w:rsidRPr="00B42FC1">
        <w:t>, 5</w:t>
      </w:r>
      <w:r>
        <w:t>-</w:t>
      </w:r>
      <w:r w:rsidRPr="00B42FC1">
        <w:t xml:space="preserve"> and 8</w:t>
      </w:r>
      <w:r>
        <w:t>-</w:t>
      </w:r>
      <w:r w:rsidRPr="00B42FC1">
        <w:t xml:space="preserve">year plan </w:t>
      </w:r>
      <w:r>
        <w:t>with final</w:t>
      </w:r>
      <w:r w:rsidRPr="00B42FC1">
        <w:t xml:space="preserve"> transition from a donor</w:t>
      </w:r>
      <w:r>
        <w:t>-</w:t>
      </w:r>
      <w:r w:rsidRPr="00B42FC1">
        <w:t xml:space="preserve">funded program to </w:t>
      </w:r>
      <w:r>
        <w:t>being supported by the broader Pacific region and supplemented by fee for service activities</w:t>
      </w:r>
    </w:p>
    <w:p w14:paraId="7554BDD6" w14:textId="77777777" w:rsidR="00C5354A" w:rsidRPr="00780D47" w:rsidRDefault="00C5354A" w:rsidP="00C5354A">
      <w:pPr>
        <w:pStyle w:val="ListParagraph"/>
        <w:numPr>
          <w:ilvl w:val="1"/>
          <w:numId w:val="82"/>
        </w:numPr>
      </w:pPr>
      <w:r>
        <w:t>Is</w:t>
      </w:r>
      <w:r w:rsidRPr="00780D47">
        <w:t xml:space="preserve"> accepted and confirmed by PIF education ministers, trade ministers and economic ministers, </w:t>
      </w:r>
      <w:r>
        <w:t>with</w:t>
      </w:r>
      <w:r w:rsidRPr="00780D47">
        <w:t xml:space="preserve"> the governance arrangements </w:t>
      </w:r>
      <w:r>
        <w:t>requiring</w:t>
      </w:r>
      <w:r w:rsidRPr="00780D47">
        <w:t xml:space="preserve"> reporting to the three sets of ministers. </w:t>
      </w:r>
    </w:p>
    <w:p w14:paraId="4F03BB65" w14:textId="77777777" w:rsidR="00C5354A" w:rsidRDefault="00C5354A" w:rsidP="00C5354A">
      <w:pPr>
        <w:pStyle w:val="ListParagraph"/>
      </w:pPr>
      <w:r>
        <w:t>Confirm funding for</w:t>
      </w:r>
      <w:r w:rsidRPr="00780D47">
        <w:t xml:space="preserve"> a technical advisory team to assist in fine tuning the design and providing support and advice to the Secretariat and governing</w:t>
      </w:r>
      <w:r>
        <w:t xml:space="preserve"> committee over the longer term</w:t>
      </w:r>
    </w:p>
    <w:p w14:paraId="5D38E6E2" w14:textId="77777777" w:rsidR="00C5354A" w:rsidRPr="00780D47" w:rsidRDefault="00C5354A" w:rsidP="00C5354A">
      <w:pPr>
        <w:pStyle w:val="ListParagraph"/>
      </w:pPr>
      <w:r w:rsidRPr="00816EBE">
        <w:t>Strengthen the use of the future Pacific model (especially the PQF</w:t>
      </w:r>
      <w:r>
        <w:t xml:space="preserve"> and PQAF</w:t>
      </w:r>
      <w:r w:rsidRPr="00816EBE">
        <w:t>) through inclusion in bilateral or multilateral agreements related to occupations or occupational standards (e.g. mutual recognition agreements) or in benchmarking of qualification activities (either regionally or internationally)</w:t>
      </w:r>
      <w:r>
        <w:t>.</w:t>
      </w:r>
    </w:p>
    <w:p w14:paraId="6AFE5A18" w14:textId="77777777" w:rsidR="00C5354A" w:rsidRDefault="00C5354A" w:rsidP="00C5354A">
      <w:r>
        <w:t>In addition, DFAT should promote associated pre-conditions required within Pacific Nations, by:</w:t>
      </w:r>
    </w:p>
    <w:p w14:paraId="3AD33D6F" w14:textId="77777777" w:rsidR="00C5354A" w:rsidRPr="009F4417" w:rsidRDefault="00C5354A" w:rsidP="00C5354A">
      <w:pPr>
        <w:pStyle w:val="ListParagraph"/>
      </w:pPr>
      <w:r w:rsidRPr="009F4417">
        <w:t xml:space="preserve">Working with Australia Posts in the Pacific and bilateral programs to establish the pre-conditions, such as ensuring country competent QA bodies have the legal remit to quality assure </w:t>
      </w:r>
      <w:r w:rsidRPr="009F4417">
        <w:br/>
        <w:t xml:space="preserve">post-secondary sector, have the capacity to implement processes and manage the key functions and to undertake rigorous internal quality assurance and review of </w:t>
      </w:r>
      <w:r>
        <w:t>their</w:t>
      </w:r>
      <w:r w:rsidRPr="009F4417">
        <w:t xml:space="preserve"> </w:t>
      </w:r>
      <w:r>
        <w:t>own processes</w:t>
      </w:r>
    </w:p>
    <w:p w14:paraId="54E8A8C2" w14:textId="77777777" w:rsidR="00C5354A" w:rsidRPr="009F4417" w:rsidRDefault="00C5354A" w:rsidP="00C5354A">
      <w:pPr>
        <w:pStyle w:val="ListParagraph"/>
      </w:pPr>
      <w:r w:rsidRPr="009F4417">
        <w:t>Working with APTC to support key or strategic providers to improve their capacity to deliver quality training and assessment, and m</w:t>
      </w:r>
      <w:r>
        <w:t>eet external quality standards</w:t>
      </w:r>
    </w:p>
    <w:p w14:paraId="7C9F07B8" w14:textId="77777777" w:rsidR="00C5354A" w:rsidRPr="009F4417" w:rsidRDefault="00C5354A" w:rsidP="00C5354A">
      <w:pPr>
        <w:pStyle w:val="ListParagraph"/>
      </w:pPr>
      <w:r w:rsidRPr="009F4417">
        <w:t>Considering funding to USP to assist higher education institutions in Pacific Nations to improve internal quality assurance and curriculum accreditation arrangements</w:t>
      </w:r>
    </w:p>
    <w:p w14:paraId="7BF81799" w14:textId="77777777" w:rsidR="00C5354A" w:rsidRPr="009F4417" w:rsidRDefault="00C5354A" w:rsidP="00C5354A">
      <w:pPr>
        <w:pStyle w:val="ListParagraph"/>
      </w:pPr>
      <w:r w:rsidRPr="009F4417">
        <w:t>Working with bilateral programs to coordinate and rationalise the development of national qualifications to avoid duplication, promote sharing and using the protocols for developing regional qualifications so there is an agreement of minimum requirements for an occupation or qualific</w:t>
      </w:r>
      <w:r>
        <w:t>ation outcomes across the region</w:t>
      </w:r>
    </w:p>
    <w:p w14:paraId="77AE4F3A" w14:textId="77777777" w:rsidR="00C5354A" w:rsidRPr="009F4417" w:rsidRDefault="00C5354A" w:rsidP="00C5354A">
      <w:pPr>
        <w:pStyle w:val="ListParagraph"/>
      </w:pPr>
      <w:r w:rsidRPr="009F4417">
        <w:t xml:space="preserve">Working with bilateral programs to incentivise uptake of regional qualifications. </w:t>
      </w:r>
    </w:p>
    <w:p w14:paraId="4ECB0EBC" w14:textId="5ED4D9C2" w:rsidR="00B074A5" w:rsidRPr="00A73E4E" w:rsidRDefault="00B074A5" w:rsidP="00456131">
      <w:pPr>
        <w:pStyle w:val="ListParagraph"/>
        <w:rPr>
          <w:color w:val="FF0000"/>
        </w:rPr>
      </w:pPr>
      <w:r>
        <w:br w:type="page"/>
      </w:r>
    </w:p>
    <w:p w14:paraId="4C3D5ED2" w14:textId="77777777" w:rsidR="00E65334" w:rsidRDefault="00E65334" w:rsidP="00E65334">
      <w:pPr>
        <w:pStyle w:val="Heading1"/>
        <w:rPr>
          <w:color w:val="95050F"/>
        </w:rPr>
      </w:pPr>
      <w:bookmarkStart w:id="55" w:name="_Toc458938586"/>
      <w:bookmarkStart w:id="56" w:name="_Toc462755569"/>
      <w:bookmarkStart w:id="57" w:name="_Toc438152260"/>
      <w:bookmarkStart w:id="58" w:name="_Toc450811724"/>
      <w:r>
        <w:rPr>
          <w:color w:val="95050F"/>
        </w:rPr>
        <w:lastRenderedPageBreak/>
        <w:t>Appendix 1: Terms of Reference</w:t>
      </w:r>
      <w:bookmarkEnd w:id="55"/>
      <w:bookmarkEnd w:id="56"/>
    </w:p>
    <w:p w14:paraId="14380A2C" w14:textId="77777777" w:rsidR="000E51C0" w:rsidRDefault="000E51C0" w:rsidP="00BF09CC">
      <w:pPr>
        <w:spacing w:line="240" w:lineRule="auto"/>
        <w:rPr>
          <w:rFonts w:eastAsia="Calibri" w:cstheme="minorHAnsi"/>
          <w:bCs/>
        </w:rPr>
      </w:pPr>
      <w:r w:rsidRPr="00BD2368">
        <w:rPr>
          <w:rFonts w:eastAsia="Calibri" w:cstheme="minorHAnsi"/>
          <w:bCs/>
        </w:rPr>
        <w:t>The purpose of the review is to</w:t>
      </w:r>
    </w:p>
    <w:p w14:paraId="44EAF541" w14:textId="77777777" w:rsidR="000E51C0" w:rsidRPr="00410C1C" w:rsidRDefault="000E51C0" w:rsidP="00456131">
      <w:pPr>
        <w:pStyle w:val="ListParagraph"/>
        <w:numPr>
          <w:ilvl w:val="0"/>
          <w:numId w:val="21"/>
        </w:numPr>
        <w:rPr>
          <w:lang w:eastAsia="en-AU"/>
        </w:rPr>
      </w:pPr>
      <w:r w:rsidRPr="00410C1C">
        <w:rPr>
          <w:bCs/>
        </w:rPr>
        <w:t xml:space="preserve">Identify lessons learned from </w:t>
      </w:r>
      <w:r w:rsidRPr="00410C1C">
        <w:rPr>
          <w:lang w:eastAsia="en-AU"/>
        </w:rPr>
        <w:t>Pacific Register of Qualifications Standards’ (PRQS) efforts to facilitate the benchmarking of Pacific qualifications against international standards and to facilitate Pacific learner and labour mobility.</w:t>
      </w:r>
    </w:p>
    <w:p w14:paraId="04CF8C18" w14:textId="77777777" w:rsidR="000E51C0" w:rsidRPr="00410C1C" w:rsidRDefault="000E51C0" w:rsidP="00456131">
      <w:pPr>
        <w:pStyle w:val="ListParagraph"/>
        <w:numPr>
          <w:ilvl w:val="0"/>
          <w:numId w:val="21"/>
        </w:numPr>
        <w:rPr>
          <w:lang w:eastAsia="en-AU"/>
        </w:rPr>
      </w:pPr>
      <w:r w:rsidRPr="00410C1C">
        <w:rPr>
          <w:lang w:eastAsia="en-AU"/>
        </w:rPr>
        <w:t>Recommend to DFAT a future model of support that will promote greater institutional and program compliance with quality standards, foster international recognition of qualifications, and facilitate Pacific learner and labour mobility.</w:t>
      </w:r>
    </w:p>
    <w:p w14:paraId="293E2127" w14:textId="77777777" w:rsidR="000E51C0" w:rsidRPr="00BD2368" w:rsidRDefault="000E51C0" w:rsidP="00BF09CC">
      <w:pPr>
        <w:spacing w:line="240" w:lineRule="auto"/>
        <w:rPr>
          <w:rFonts w:eastAsia="Calibri" w:cstheme="minorHAnsi"/>
          <w:bCs/>
        </w:rPr>
      </w:pPr>
      <w:r w:rsidRPr="00BD2368">
        <w:rPr>
          <w:rFonts w:eastAsia="Calibri" w:cstheme="minorHAnsi"/>
          <w:bCs/>
        </w:rPr>
        <w:t xml:space="preserve">The review will </w:t>
      </w:r>
      <w:r>
        <w:rPr>
          <w:rFonts w:eastAsia="Calibri" w:cstheme="minorHAnsi"/>
          <w:bCs/>
        </w:rPr>
        <w:t>focus on the following areas</w:t>
      </w:r>
    </w:p>
    <w:p w14:paraId="4F8AA3FE" w14:textId="77777777" w:rsidR="000E51C0" w:rsidRPr="00410C1C" w:rsidRDefault="000E51C0" w:rsidP="00456131">
      <w:pPr>
        <w:pStyle w:val="ListParagraph"/>
        <w:numPr>
          <w:ilvl w:val="0"/>
          <w:numId w:val="20"/>
        </w:numPr>
        <w:rPr>
          <w:lang w:eastAsia="en-AU"/>
        </w:rPr>
      </w:pPr>
      <w:r>
        <w:t>What happened (what worked well/less well; what was achieved)?</w:t>
      </w:r>
    </w:p>
    <w:p w14:paraId="09979DA1" w14:textId="77777777" w:rsidR="00991698" w:rsidRPr="00297257" w:rsidRDefault="00991698" w:rsidP="00456131">
      <w:pPr>
        <w:pStyle w:val="ListParagraph"/>
        <w:numPr>
          <w:ilvl w:val="0"/>
          <w:numId w:val="20"/>
        </w:numPr>
      </w:pPr>
      <w:r w:rsidRPr="00297257">
        <w:t>So what else needs to be done? (is it enough, relevant?)</w:t>
      </w:r>
    </w:p>
    <w:p w14:paraId="76FBA183" w14:textId="77777777" w:rsidR="000E51C0" w:rsidRDefault="000E51C0" w:rsidP="00456131">
      <w:pPr>
        <w:pStyle w:val="ListParagraph"/>
        <w:numPr>
          <w:ilvl w:val="0"/>
          <w:numId w:val="20"/>
        </w:numPr>
        <w:rPr>
          <w:lang w:eastAsia="en-AU"/>
        </w:rPr>
      </w:pPr>
      <w:r>
        <w:rPr>
          <w:lang w:eastAsia="en-AU"/>
        </w:rPr>
        <w:t>What now (recommendations)?</w:t>
      </w:r>
    </w:p>
    <w:p w14:paraId="7E5EC05F" w14:textId="07D66768" w:rsidR="000E51C0" w:rsidRDefault="000E51C0" w:rsidP="00BF09CC">
      <w:pPr>
        <w:spacing w:line="240" w:lineRule="auto"/>
      </w:pPr>
      <w:r>
        <w:t xml:space="preserve">The </w:t>
      </w:r>
      <w:r w:rsidR="00303466">
        <w:t xml:space="preserve">DAC Principles </w:t>
      </w:r>
      <w:r>
        <w:t xml:space="preserve">for Evaluation of Development Assistance </w:t>
      </w:r>
      <w:r w:rsidR="00303466">
        <w:t>(</w:t>
      </w:r>
      <w:r>
        <w:t>effectiveness, relevance, efficiency and sustainability</w:t>
      </w:r>
      <w:r w:rsidR="00303466">
        <w:t>)</w:t>
      </w:r>
      <w:r w:rsidR="00303466" w:rsidRPr="00303466">
        <w:t xml:space="preserve"> </w:t>
      </w:r>
      <w:r w:rsidR="00303466">
        <w:t>were to guide the review</w:t>
      </w:r>
      <w:r>
        <w:t xml:space="preserve">.   </w:t>
      </w:r>
    </w:p>
    <w:p w14:paraId="67FAAE2D" w14:textId="77777777" w:rsidR="000E51C0" w:rsidRDefault="000E51C0" w:rsidP="000E51C0">
      <w:pPr>
        <w:pStyle w:val="Heading2"/>
      </w:pPr>
      <w:bookmarkStart w:id="59" w:name="_Toc454875721"/>
      <w:bookmarkStart w:id="60" w:name="_Toc454883964"/>
      <w:bookmarkStart w:id="61" w:name="_Toc456182035"/>
      <w:bookmarkStart w:id="62" w:name="_Toc456958016"/>
      <w:bookmarkStart w:id="63" w:name="_Toc458938587"/>
      <w:bookmarkStart w:id="64" w:name="_Toc462427999"/>
      <w:bookmarkStart w:id="65" w:name="_Toc462428347"/>
      <w:bookmarkStart w:id="66" w:name="_Toc462575662"/>
      <w:bookmarkStart w:id="67" w:name="_Toc462755570"/>
      <w:r w:rsidRPr="000E51C0">
        <w:rPr>
          <w:color w:val="95050F"/>
        </w:rPr>
        <w:t>Key Evaluation Questions (KEQ)</w:t>
      </w:r>
      <w:bookmarkEnd w:id="59"/>
      <w:bookmarkEnd w:id="60"/>
      <w:bookmarkEnd w:id="61"/>
      <w:bookmarkEnd w:id="62"/>
      <w:bookmarkEnd w:id="63"/>
      <w:bookmarkEnd w:id="64"/>
      <w:bookmarkEnd w:id="65"/>
      <w:bookmarkEnd w:id="66"/>
      <w:bookmarkEnd w:id="67"/>
    </w:p>
    <w:p w14:paraId="16F8F5D4" w14:textId="77777777" w:rsidR="000E51C0" w:rsidRDefault="000E51C0" w:rsidP="00BF09CC">
      <w:pPr>
        <w:spacing w:line="240" w:lineRule="auto"/>
      </w:pPr>
      <w:r>
        <w:t>Effectiveness: (Have we achieved what we set out to do?)</w:t>
      </w:r>
    </w:p>
    <w:p w14:paraId="67FB74B2" w14:textId="77777777" w:rsidR="000E51C0" w:rsidRDefault="000E51C0" w:rsidP="00BF09CC">
      <w:pPr>
        <w:spacing w:line="240" w:lineRule="auto"/>
      </w:pPr>
      <w:r>
        <w:t xml:space="preserve">KEQ 1: Is PRQS contributing sufficiently to benchmarking of Pacific qualifications, and is this facilitating improved learner and labour mobility? </w:t>
      </w:r>
    </w:p>
    <w:p w14:paraId="34B8B0B9" w14:textId="62309520" w:rsidR="000E51C0" w:rsidRPr="000E51C0" w:rsidRDefault="000E51C0" w:rsidP="00456131">
      <w:pPr>
        <w:pStyle w:val="ListParagraph"/>
        <w:numPr>
          <w:ilvl w:val="0"/>
          <w:numId w:val="14"/>
        </w:numPr>
      </w:pPr>
      <w:r w:rsidRPr="000E51C0">
        <w:t>To what extent, and how, has PRQS contributed to strengthening compliance of Pacific tertiary institution and program compliance with quality standards?</w:t>
      </w:r>
    </w:p>
    <w:p w14:paraId="2C607DCD" w14:textId="101C6E8B" w:rsidR="000E51C0" w:rsidRPr="000E51C0" w:rsidRDefault="000E51C0" w:rsidP="00456131">
      <w:pPr>
        <w:pStyle w:val="ListParagraph"/>
        <w:numPr>
          <w:ilvl w:val="0"/>
          <w:numId w:val="14"/>
        </w:numPr>
      </w:pPr>
      <w:r w:rsidRPr="000E51C0">
        <w:t>To what extent, and how, has PRQS facilitated increased international recognition of Pacific qualifications?</w:t>
      </w:r>
    </w:p>
    <w:p w14:paraId="0CC6FE16" w14:textId="359AD64F" w:rsidR="000E51C0" w:rsidRPr="000E51C0" w:rsidRDefault="000E51C0" w:rsidP="00456131">
      <w:pPr>
        <w:pStyle w:val="ListParagraph"/>
        <w:numPr>
          <w:ilvl w:val="0"/>
          <w:numId w:val="14"/>
        </w:numPr>
      </w:pPr>
      <w:r w:rsidRPr="000E51C0">
        <w:t>To what extent, and how, has PRQS increased opportunities for learner mobility?</w:t>
      </w:r>
    </w:p>
    <w:p w14:paraId="490E58F3" w14:textId="7CD5EABA" w:rsidR="000E51C0" w:rsidRPr="000E51C0" w:rsidRDefault="000E51C0" w:rsidP="00456131">
      <w:pPr>
        <w:pStyle w:val="ListParagraph"/>
        <w:numPr>
          <w:ilvl w:val="0"/>
          <w:numId w:val="14"/>
        </w:numPr>
      </w:pPr>
      <w:r w:rsidRPr="000E51C0">
        <w:t xml:space="preserve">To what extent, and how, has PRQS facilitated increased mobility of labour?    </w:t>
      </w:r>
    </w:p>
    <w:p w14:paraId="46773CA4" w14:textId="77777777" w:rsidR="000E51C0" w:rsidRPr="000E51C0" w:rsidRDefault="000E51C0" w:rsidP="00456131">
      <w:pPr>
        <w:pStyle w:val="ListParagraph"/>
        <w:numPr>
          <w:ilvl w:val="0"/>
          <w:numId w:val="14"/>
        </w:numPr>
      </w:pPr>
      <w:r w:rsidRPr="000E51C0">
        <w:t>Relevance: (Are we doing the right things? Are we working in the right way?)</w:t>
      </w:r>
    </w:p>
    <w:p w14:paraId="675E3BAA" w14:textId="77777777" w:rsidR="000E51C0" w:rsidRPr="000E51C0" w:rsidRDefault="000E51C0" w:rsidP="00BF09CC">
      <w:pPr>
        <w:spacing w:line="240" w:lineRule="auto"/>
      </w:pPr>
      <w:r w:rsidRPr="000E51C0">
        <w:t>KEQ 2: To what extent, and how, is PRQS relevant to Pacific context and needs?</w:t>
      </w:r>
    </w:p>
    <w:p w14:paraId="2523CBAA" w14:textId="38C508B4" w:rsidR="000E51C0" w:rsidRPr="000E51C0" w:rsidRDefault="000E51C0" w:rsidP="00456131">
      <w:pPr>
        <w:pStyle w:val="ListParagraph"/>
        <w:numPr>
          <w:ilvl w:val="0"/>
          <w:numId w:val="15"/>
        </w:numPr>
      </w:pPr>
      <w:r w:rsidRPr="000E51C0">
        <w:t>To what extent, and how, is international recognition of qualifications necessary and/or sufficient to facilitating increased mobility of labour in the Pacific context?</w:t>
      </w:r>
    </w:p>
    <w:p w14:paraId="6949099A" w14:textId="79EBA13A" w:rsidR="000E51C0" w:rsidRPr="000E51C0" w:rsidRDefault="000E51C0" w:rsidP="00456131">
      <w:pPr>
        <w:pStyle w:val="ListParagraph"/>
        <w:numPr>
          <w:ilvl w:val="0"/>
          <w:numId w:val="15"/>
        </w:numPr>
      </w:pPr>
      <w:r w:rsidRPr="000E51C0">
        <w:t>To what extent, and how, are the PRQS outcomes, approach and implementation arrangements relevant in delivering improved learner and labour mobility?</w:t>
      </w:r>
    </w:p>
    <w:p w14:paraId="320258C6" w14:textId="5F9524FB" w:rsidR="000E51C0" w:rsidRPr="000E51C0" w:rsidRDefault="000E51C0" w:rsidP="00456131">
      <w:pPr>
        <w:pStyle w:val="ListParagraph"/>
        <w:numPr>
          <w:ilvl w:val="0"/>
          <w:numId w:val="15"/>
        </w:numPr>
      </w:pPr>
      <w:r w:rsidRPr="000E51C0">
        <w:t>What are the key gaps or limitations of current support to strengthen international recognition of Pacific qualifications and facilitate increased mobility of labour?</w:t>
      </w:r>
    </w:p>
    <w:p w14:paraId="1F147920" w14:textId="77B89536" w:rsidR="000E51C0" w:rsidRPr="000E51C0" w:rsidRDefault="000E51C0" w:rsidP="00456131">
      <w:pPr>
        <w:pStyle w:val="ListParagraph"/>
        <w:numPr>
          <w:ilvl w:val="0"/>
          <w:numId w:val="15"/>
        </w:numPr>
      </w:pPr>
      <w:r w:rsidRPr="000E51C0">
        <w:t>Would there be value in including other development partners in this program? Eg NZ</w:t>
      </w:r>
    </w:p>
    <w:p w14:paraId="57B31854" w14:textId="77777777" w:rsidR="000E51C0" w:rsidRPr="000E51C0" w:rsidRDefault="000E51C0" w:rsidP="000E51C0">
      <w:pPr>
        <w:pStyle w:val="Heading2"/>
        <w:rPr>
          <w:color w:val="95050F"/>
        </w:rPr>
      </w:pPr>
      <w:bookmarkStart w:id="68" w:name="_Toc454875722"/>
      <w:bookmarkStart w:id="69" w:name="_Toc454883965"/>
      <w:bookmarkStart w:id="70" w:name="_Toc456182036"/>
      <w:bookmarkStart w:id="71" w:name="_Toc456958017"/>
      <w:bookmarkStart w:id="72" w:name="_Toc458938588"/>
      <w:bookmarkStart w:id="73" w:name="_Toc462428000"/>
      <w:bookmarkStart w:id="74" w:name="_Toc462428348"/>
      <w:bookmarkStart w:id="75" w:name="_Toc462575663"/>
      <w:bookmarkStart w:id="76" w:name="_Toc462755571"/>
      <w:r w:rsidRPr="000E51C0">
        <w:rPr>
          <w:color w:val="95050F"/>
        </w:rPr>
        <w:t>Additional Evaluation Questions</w:t>
      </w:r>
      <w:bookmarkEnd w:id="68"/>
      <w:bookmarkEnd w:id="69"/>
      <w:bookmarkEnd w:id="70"/>
      <w:bookmarkEnd w:id="71"/>
      <w:bookmarkEnd w:id="72"/>
      <w:bookmarkEnd w:id="73"/>
      <w:bookmarkEnd w:id="74"/>
      <w:bookmarkEnd w:id="75"/>
      <w:bookmarkEnd w:id="76"/>
    </w:p>
    <w:p w14:paraId="0CB92BF4" w14:textId="77777777" w:rsidR="000E51C0" w:rsidRDefault="000E51C0" w:rsidP="00BF09CC">
      <w:pPr>
        <w:spacing w:line="240" w:lineRule="auto"/>
      </w:pPr>
      <w:r>
        <w:t>Efficiency:</w:t>
      </w:r>
    </w:p>
    <w:p w14:paraId="36D7F686" w14:textId="6490B7D5" w:rsidR="000E51C0" w:rsidRPr="000E51C0" w:rsidRDefault="000E51C0" w:rsidP="00456131">
      <w:pPr>
        <w:pStyle w:val="ListParagraph"/>
        <w:numPr>
          <w:ilvl w:val="0"/>
          <w:numId w:val="16"/>
        </w:numPr>
      </w:pPr>
      <w:r w:rsidRPr="000E51C0">
        <w:t>How efficiently does SPC/EQAP manage the PRQS program – stakeholder engagement, program delivery, financial and people management?</w:t>
      </w:r>
    </w:p>
    <w:p w14:paraId="16194614" w14:textId="1EE9410B" w:rsidR="000E51C0" w:rsidRPr="000E51C0" w:rsidRDefault="000E51C0" w:rsidP="00456131">
      <w:pPr>
        <w:pStyle w:val="ListParagraph"/>
        <w:numPr>
          <w:ilvl w:val="0"/>
          <w:numId w:val="16"/>
        </w:numPr>
      </w:pPr>
      <w:r w:rsidRPr="000E51C0">
        <w:lastRenderedPageBreak/>
        <w:t xml:space="preserve">Value for money – how (well) has DFAT funding been used? </w:t>
      </w:r>
    </w:p>
    <w:p w14:paraId="62A2271C" w14:textId="77777777" w:rsidR="000E51C0" w:rsidRPr="000E51C0" w:rsidRDefault="000E51C0" w:rsidP="00BF09CC">
      <w:pPr>
        <w:spacing w:line="240" w:lineRule="auto"/>
      </w:pPr>
      <w:r w:rsidRPr="000E51C0">
        <w:t>Sustainability:</w:t>
      </w:r>
    </w:p>
    <w:p w14:paraId="01C33FB5" w14:textId="60D623BA" w:rsidR="000E51C0" w:rsidRPr="000E51C0" w:rsidRDefault="000E51C0" w:rsidP="00456131">
      <w:pPr>
        <w:pStyle w:val="ListParagraph"/>
        <w:numPr>
          <w:ilvl w:val="0"/>
          <w:numId w:val="17"/>
        </w:numPr>
      </w:pPr>
      <w:r w:rsidRPr="000E51C0">
        <w:t>Does SPC (or any other body) have the capacity to continue PRQS in the absence of donor project funding?</w:t>
      </w:r>
    </w:p>
    <w:p w14:paraId="3A6FB0C3" w14:textId="1225834B" w:rsidR="000E51C0" w:rsidRPr="000E51C0" w:rsidRDefault="000E51C0" w:rsidP="00456131">
      <w:pPr>
        <w:pStyle w:val="ListParagraph"/>
        <w:numPr>
          <w:ilvl w:val="0"/>
          <w:numId w:val="17"/>
        </w:numPr>
      </w:pPr>
      <w:r w:rsidRPr="000E51C0">
        <w:t xml:space="preserve">Other than DFAT, are there any other potential funding sources? </w:t>
      </w:r>
    </w:p>
    <w:p w14:paraId="69DCF08C" w14:textId="77777777" w:rsidR="000E51C0" w:rsidRPr="000E51C0" w:rsidRDefault="000E51C0" w:rsidP="00BF09CC">
      <w:pPr>
        <w:spacing w:line="240" w:lineRule="auto"/>
      </w:pPr>
      <w:r w:rsidRPr="000E51C0">
        <w:t>Monitoring and Evaluation (M&amp;E):</w:t>
      </w:r>
    </w:p>
    <w:p w14:paraId="5C05152E" w14:textId="6D4925C0" w:rsidR="000E51C0" w:rsidRPr="000E51C0" w:rsidRDefault="000E51C0" w:rsidP="00456131">
      <w:pPr>
        <w:pStyle w:val="ListParagraph"/>
        <w:numPr>
          <w:ilvl w:val="0"/>
          <w:numId w:val="18"/>
        </w:numPr>
      </w:pPr>
      <w:r w:rsidRPr="000E51C0">
        <w:t>How robust is the PRQS M&amp;E framework? What are the evaluation criterions?</w:t>
      </w:r>
    </w:p>
    <w:p w14:paraId="4A0A7C3F" w14:textId="2A3A2472" w:rsidR="000E51C0" w:rsidRPr="000E51C0" w:rsidRDefault="000E51C0" w:rsidP="00456131">
      <w:pPr>
        <w:pStyle w:val="ListParagraph"/>
        <w:numPr>
          <w:ilvl w:val="0"/>
          <w:numId w:val="18"/>
        </w:numPr>
      </w:pPr>
      <w:r w:rsidRPr="000E51C0">
        <w:t xml:space="preserve">Does the M&amp;E framework allow SPC/EQAP to assess program effectiveness? </w:t>
      </w:r>
    </w:p>
    <w:p w14:paraId="271017B5" w14:textId="77777777" w:rsidR="000E51C0" w:rsidRPr="000E51C0" w:rsidRDefault="000E51C0" w:rsidP="000E51C0">
      <w:pPr>
        <w:pStyle w:val="Heading2"/>
        <w:rPr>
          <w:color w:val="95050F"/>
        </w:rPr>
      </w:pPr>
      <w:bookmarkStart w:id="77" w:name="_Toc454875723"/>
      <w:bookmarkStart w:id="78" w:name="_Toc454883966"/>
      <w:bookmarkStart w:id="79" w:name="_Toc456182037"/>
      <w:bookmarkStart w:id="80" w:name="_Toc456958018"/>
      <w:bookmarkStart w:id="81" w:name="_Toc458938589"/>
      <w:bookmarkStart w:id="82" w:name="_Toc462428001"/>
      <w:bookmarkStart w:id="83" w:name="_Toc462428349"/>
      <w:bookmarkStart w:id="84" w:name="_Toc462575664"/>
      <w:bookmarkStart w:id="85" w:name="_Toc462755572"/>
      <w:r w:rsidRPr="000E51C0">
        <w:rPr>
          <w:color w:val="95050F"/>
        </w:rPr>
        <w:t>Recommendations</w:t>
      </w:r>
      <w:bookmarkEnd w:id="77"/>
      <w:bookmarkEnd w:id="78"/>
      <w:bookmarkEnd w:id="79"/>
      <w:bookmarkEnd w:id="80"/>
      <w:bookmarkEnd w:id="81"/>
      <w:bookmarkEnd w:id="82"/>
      <w:bookmarkEnd w:id="83"/>
      <w:bookmarkEnd w:id="84"/>
      <w:bookmarkEnd w:id="85"/>
    </w:p>
    <w:p w14:paraId="2F6A3F04" w14:textId="77777777" w:rsidR="000E51C0" w:rsidRDefault="000E51C0" w:rsidP="00BF09CC">
      <w:pPr>
        <w:spacing w:line="240" w:lineRule="auto"/>
      </w:pPr>
      <w:r>
        <w:t>The team should recommend to DFAT options for a future model of support that will promote greater institutional and program-level compliance with quality standards, foster increased international recognition of qualifications, and facilitate Pacific learner and labour mobility, including consideration of:</w:t>
      </w:r>
    </w:p>
    <w:p w14:paraId="1A004224" w14:textId="4A806F2B" w:rsidR="000E51C0" w:rsidRPr="000E51C0" w:rsidRDefault="000E51C0" w:rsidP="00456131">
      <w:pPr>
        <w:pStyle w:val="ListParagraph"/>
        <w:numPr>
          <w:ilvl w:val="0"/>
          <w:numId w:val="19"/>
        </w:numPr>
      </w:pPr>
      <w:r w:rsidRPr="000E51C0">
        <w:t xml:space="preserve">Key reforms required to effectively deliver on outcomes associated with PRQS (e.g. increasing political and technical influence and authority)  </w:t>
      </w:r>
    </w:p>
    <w:p w14:paraId="16F60FB6" w14:textId="3C35964B" w:rsidR="000E51C0" w:rsidRPr="000E51C0" w:rsidRDefault="000E51C0" w:rsidP="00456131">
      <w:pPr>
        <w:pStyle w:val="ListParagraph"/>
        <w:numPr>
          <w:ilvl w:val="0"/>
          <w:numId w:val="19"/>
        </w:numPr>
      </w:pPr>
      <w:r w:rsidRPr="000E51C0">
        <w:t>Likely impact of PACER Plus Trade Agreement on mutual recognition of qualifications and labour mobility in the region</w:t>
      </w:r>
    </w:p>
    <w:p w14:paraId="027EC4D2" w14:textId="6ED394A2" w:rsidR="00E65334" w:rsidRPr="000E51C0" w:rsidRDefault="000E51C0" w:rsidP="00456131">
      <w:pPr>
        <w:pStyle w:val="ListParagraph"/>
        <w:numPr>
          <w:ilvl w:val="0"/>
          <w:numId w:val="19"/>
        </w:numPr>
      </w:pPr>
      <w:r w:rsidRPr="000E51C0">
        <w:t>Leveraging existing Regional program investments.</w:t>
      </w:r>
    </w:p>
    <w:p w14:paraId="1DFDE684" w14:textId="696B8D08" w:rsidR="00E65334" w:rsidRDefault="00E65334">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11A2621F" w14:textId="1EC4BE42" w:rsidR="00CC387A" w:rsidRDefault="00CC387A" w:rsidP="00CC387A">
      <w:pPr>
        <w:pStyle w:val="Heading1"/>
        <w:rPr>
          <w:color w:val="95050F"/>
        </w:rPr>
      </w:pPr>
      <w:bookmarkStart w:id="86" w:name="_Toc458938590"/>
      <w:bookmarkStart w:id="87" w:name="_Toc462755573"/>
      <w:r>
        <w:rPr>
          <w:color w:val="95050F"/>
        </w:rPr>
        <w:lastRenderedPageBreak/>
        <w:t xml:space="preserve">Appendix </w:t>
      </w:r>
      <w:r w:rsidR="00AE7D04">
        <w:rPr>
          <w:color w:val="95050F"/>
        </w:rPr>
        <w:t>2</w:t>
      </w:r>
      <w:r>
        <w:rPr>
          <w:color w:val="95050F"/>
        </w:rPr>
        <w:t>: Methodology</w:t>
      </w:r>
      <w:bookmarkEnd w:id="86"/>
      <w:bookmarkEnd w:id="87"/>
      <w:r>
        <w:rPr>
          <w:color w:val="95050F"/>
        </w:rPr>
        <w:t xml:space="preserve"> </w:t>
      </w:r>
    </w:p>
    <w:p w14:paraId="1250B0E7" w14:textId="77777777" w:rsidR="00CC387A" w:rsidRDefault="00CC387A" w:rsidP="00BF09CC">
      <w:pPr>
        <w:spacing w:line="240" w:lineRule="auto"/>
      </w:pPr>
      <w:r>
        <w:t>The review included:</w:t>
      </w:r>
    </w:p>
    <w:p w14:paraId="3C9F3661" w14:textId="725C1F0B" w:rsidR="00CC387A" w:rsidRDefault="00CC387A" w:rsidP="00456131">
      <w:pPr>
        <w:pStyle w:val="ListParagraph"/>
        <w:numPr>
          <w:ilvl w:val="0"/>
          <w:numId w:val="8"/>
        </w:numPr>
      </w:pPr>
      <w:r w:rsidRPr="004506DB">
        <w:t xml:space="preserve">Documentary analysis of key reports </w:t>
      </w:r>
      <w:r>
        <w:t xml:space="preserve">related to the PRQS program. These reports were provided </w:t>
      </w:r>
      <w:r w:rsidR="0023209C">
        <w:t xml:space="preserve">to DFAT </w:t>
      </w:r>
      <w:r>
        <w:t>on a six-monthly basis and included two over-arching program conclusion reports (November 2008 to June 2013, and November 2008 to June 2016).</w:t>
      </w:r>
    </w:p>
    <w:p w14:paraId="42F60460" w14:textId="77777777" w:rsidR="00CC387A" w:rsidRDefault="00CC387A" w:rsidP="00456131">
      <w:pPr>
        <w:pStyle w:val="ListParagraph"/>
        <w:numPr>
          <w:ilvl w:val="0"/>
          <w:numId w:val="8"/>
        </w:numPr>
      </w:pPr>
      <w:r>
        <w:t>Documentary analysis of PRQS reviews and regional quality assurance reviews</w:t>
      </w:r>
    </w:p>
    <w:p w14:paraId="7312A83F" w14:textId="77777777" w:rsidR="00CC387A" w:rsidRDefault="00CC387A" w:rsidP="00456131">
      <w:pPr>
        <w:pStyle w:val="ListParagraph"/>
        <w:numPr>
          <w:ilvl w:val="0"/>
          <w:numId w:val="8"/>
        </w:numPr>
      </w:pPr>
      <w:r>
        <w:t>Documentary analysis of reports, strategic plans and frameworks related to the Pacific</w:t>
      </w:r>
    </w:p>
    <w:p w14:paraId="2DCD5CC4" w14:textId="77777777" w:rsidR="00CC387A" w:rsidRDefault="00CC387A" w:rsidP="00456131">
      <w:pPr>
        <w:pStyle w:val="ListParagraph"/>
        <w:numPr>
          <w:ilvl w:val="0"/>
          <w:numId w:val="8"/>
        </w:numPr>
      </w:pPr>
      <w:r>
        <w:t xml:space="preserve">Analysis of minutes of meetings, for example, </w:t>
      </w:r>
      <w:r w:rsidRPr="00303466">
        <w:t>Educational Quality and Assessment Programme</w:t>
      </w:r>
      <w:r>
        <w:t xml:space="preserve"> (EQAP) board, PRQS advisory board</w:t>
      </w:r>
    </w:p>
    <w:p w14:paraId="3A6CA9FD" w14:textId="77777777" w:rsidR="00CC387A" w:rsidRPr="0022274C" w:rsidRDefault="00CC387A" w:rsidP="00456131">
      <w:pPr>
        <w:pStyle w:val="ListParagraph"/>
        <w:numPr>
          <w:ilvl w:val="0"/>
          <w:numId w:val="8"/>
        </w:numPr>
      </w:pPr>
      <w:r w:rsidRPr="0022274C">
        <w:t>Analysis of key initiatives within the region</w:t>
      </w:r>
    </w:p>
    <w:p w14:paraId="75C22021" w14:textId="77777777" w:rsidR="00CC387A" w:rsidRPr="004506DB" w:rsidRDefault="00CC387A" w:rsidP="00456131">
      <w:pPr>
        <w:pStyle w:val="ListParagraph"/>
        <w:numPr>
          <w:ilvl w:val="0"/>
          <w:numId w:val="8"/>
        </w:numPr>
      </w:pPr>
      <w:r>
        <w:t>Review of regional labour mobility data and student mobility data</w:t>
      </w:r>
    </w:p>
    <w:p w14:paraId="33578E4C" w14:textId="588C588D" w:rsidR="00CC387A" w:rsidRPr="004506DB" w:rsidRDefault="00CC387A" w:rsidP="00456131">
      <w:pPr>
        <w:pStyle w:val="ListParagraph"/>
        <w:numPr>
          <w:ilvl w:val="0"/>
          <w:numId w:val="8"/>
        </w:numPr>
      </w:pPr>
      <w:r>
        <w:t>I</w:t>
      </w:r>
      <w:r w:rsidRPr="004506DB">
        <w:t>nterviews with stakeholders</w:t>
      </w:r>
      <w:r w:rsidR="0023209C">
        <w:t>;</w:t>
      </w:r>
      <w:r>
        <w:t xml:space="preserve"> conducted over a two-week period. A list of interv</w:t>
      </w:r>
      <w:r w:rsidR="00053789">
        <w:t>iewees is included in Appendix 3</w:t>
      </w:r>
      <w:r>
        <w:t xml:space="preserve">. </w:t>
      </w:r>
      <w:r w:rsidRPr="004506DB">
        <w:t xml:space="preserve"> </w:t>
      </w:r>
    </w:p>
    <w:p w14:paraId="40FABA46" w14:textId="77777777" w:rsidR="00CC387A" w:rsidRDefault="00CC387A" w:rsidP="00456131">
      <w:pPr>
        <w:pStyle w:val="ListParagraph"/>
        <w:numPr>
          <w:ilvl w:val="0"/>
          <w:numId w:val="8"/>
        </w:numPr>
      </w:pPr>
      <w:r>
        <w:t xml:space="preserve">Responses of a written survey provided </w:t>
      </w:r>
      <w:r w:rsidRPr="004506DB">
        <w:t>to Pacific Island countries</w:t>
      </w:r>
      <w:r>
        <w:t xml:space="preserve"> and territories.</w:t>
      </w:r>
    </w:p>
    <w:p w14:paraId="6DC8DFE6" w14:textId="0B0078CA" w:rsidR="00CC387A" w:rsidRDefault="00CC387A" w:rsidP="00BF09CC">
      <w:pPr>
        <w:spacing w:line="240" w:lineRule="auto"/>
      </w:pPr>
      <w:r>
        <w:t xml:space="preserve">The data collection period was limited to two weeks in country in the Pacific. The review team undertook all face-to-face and teleconference interviews, except for one teleconference interview with the Solomon Islands Ministry of Education and Human Resource Development, which was undertaken by the team leader. Interviews were sought with </w:t>
      </w:r>
      <w:r w:rsidRPr="00445337">
        <w:t>Pacific Agreement on Closer Economic Relations</w:t>
      </w:r>
      <w:r>
        <w:t xml:space="preserve"> (PACER) Plus representatives from Ministry of Foreign Affairs and Trade (MFAT) New Zealand, and </w:t>
      </w:r>
      <w:r w:rsidR="0023209C">
        <w:t xml:space="preserve">with </w:t>
      </w:r>
      <w:r>
        <w:t xml:space="preserve">Fiji National University, but could not be secured during the data collection period. </w:t>
      </w:r>
    </w:p>
    <w:p w14:paraId="4E427DE7" w14:textId="55A995A0" w:rsidR="00CC387A" w:rsidRDefault="00A11A94" w:rsidP="00BF09CC">
      <w:pPr>
        <w:spacing w:line="240" w:lineRule="auto"/>
      </w:pPr>
      <w:r>
        <w:t>Although t</w:t>
      </w:r>
      <w:r w:rsidR="00CC387A">
        <w:t xml:space="preserve">he written survey was provided to key contacts </w:t>
      </w:r>
      <w:r w:rsidR="00CC387A" w:rsidRPr="00761CF9">
        <w:t xml:space="preserve">in all Pacific Island countries and territories; </w:t>
      </w:r>
      <w:r w:rsidR="00CC387A" w:rsidRPr="00E620CA">
        <w:t>however, only six surveys were returned.</w:t>
      </w:r>
      <w:r w:rsidR="00CC387A" w:rsidRPr="00E620CA">
        <w:rPr>
          <w:rStyle w:val="FootnoteReference"/>
        </w:rPr>
        <w:t xml:space="preserve"> </w:t>
      </w:r>
      <w:r w:rsidR="00CC387A" w:rsidRPr="00636F13">
        <w:rPr>
          <w:rStyle w:val="FootnoteReference"/>
        </w:rPr>
        <w:footnoteReference w:id="62"/>
      </w:r>
      <w:r w:rsidR="00CC387A" w:rsidRPr="00636F13">
        <w:t xml:space="preserve">  This response rate was not as high as the team would have </w:t>
      </w:r>
      <w:r w:rsidR="00CC387A">
        <w:t xml:space="preserve">liked, but responses did cover those countries with established competent bodies and frameworks, those working directly with the Accreditation </w:t>
      </w:r>
      <w:r w:rsidR="00445337">
        <w:t xml:space="preserve">and Standards </w:t>
      </w:r>
      <w:r w:rsidR="00CC387A">
        <w:t>Unit at EQAP</w:t>
      </w:r>
      <w:r w:rsidR="0023209C">
        <w:t>,</w:t>
      </w:r>
      <w:r w:rsidR="00CC387A">
        <w:t xml:space="preserve"> and those with limited connection to the PRQS at this stage. Comments received from the responses are included throughout the report.</w:t>
      </w:r>
    </w:p>
    <w:p w14:paraId="210D2DCA" w14:textId="1D9AFA88" w:rsidR="00CC387A" w:rsidRDefault="00CC387A">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53BE04F1" w14:textId="777C3CCF" w:rsidR="00CF1BB2" w:rsidRDefault="00F150BB" w:rsidP="00CF1BB2">
      <w:pPr>
        <w:pStyle w:val="Heading1"/>
        <w:rPr>
          <w:color w:val="95050F"/>
        </w:rPr>
      </w:pPr>
      <w:bookmarkStart w:id="88" w:name="_Toc458938591"/>
      <w:bookmarkStart w:id="89" w:name="_Toc462755574"/>
      <w:r>
        <w:rPr>
          <w:color w:val="95050F"/>
        </w:rPr>
        <w:lastRenderedPageBreak/>
        <w:t>A</w:t>
      </w:r>
      <w:r w:rsidR="00AE7D04">
        <w:rPr>
          <w:color w:val="95050F"/>
        </w:rPr>
        <w:t>ppendix 3</w:t>
      </w:r>
      <w:r>
        <w:rPr>
          <w:color w:val="95050F"/>
        </w:rPr>
        <w:t xml:space="preserve">: </w:t>
      </w:r>
      <w:bookmarkEnd w:id="57"/>
      <w:r w:rsidR="00D50F39">
        <w:rPr>
          <w:color w:val="95050F"/>
        </w:rPr>
        <w:t>Interviewees</w:t>
      </w:r>
      <w:bookmarkEnd w:id="58"/>
      <w:bookmarkEnd w:id="88"/>
      <w:bookmarkEnd w:id="89"/>
    </w:p>
    <w:tbl>
      <w:tblPr>
        <w:tblStyle w:val="TableGrid"/>
        <w:tblW w:w="5000" w:type="pct"/>
        <w:tblLook w:val="04A0" w:firstRow="1" w:lastRow="0" w:firstColumn="1" w:lastColumn="0" w:noHBand="0" w:noVBand="1"/>
      </w:tblPr>
      <w:tblGrid>
        <w:gridCol w:w="2546"/>
        <w:gridCol w:w="3094"/>
        <w:gridCol w:w="3540"/>
      </w:tblGrid>
      <w:tr w:rsidR="000014C2" w:rsidRPr="004375FF" w14:paraId="55234AD7" w14:textId="5BB481E6" w:rsidTr="00505C2C">
        <w:trPr>
          <w:tblHeader/>
        </w:trPr>
        <w:tc>
          <w:tcPr>
            <w:tcW w:w="1387" w:type="pct"/>
            <w:shd w:val="clear" w:color="auto" w:fill="D9D9D9" w:themeFill="background1" w:themeFillShade="D9"/>
          </w:tcPr>
          <w:p w14:paraId="3BD066F8" w14:textId="77777777" w:rsidR="00247988" w:rsidRPr="004375FF" w:rsidRDefault="00247988" w:rsidP="00BF09CC">
            <w:pPr>
              <w:spacing w:line="240" w:lineRule="auto"/>
              <w:rPr>
                <w:b/>
                <w:sz w:val="20"/>
                <w:szCs w:val="20"/>
              </w:rPr>
            </w:pPr>
            <w:r w:rsidRPr="004375FF">
              <w:rPr>
                <w:b/>
                <w:sz w:val="20"/>
                <w:szCs w:val="20"/>
              </w:rPr>
              <w:t xml:space="preserve">Name </w:t>
            </w:r>
          </w:p>
        </w:tc>
        <w:tc>
          <w:tcPr>
            <w:tcW w:w="1685" w:type="pct"/>
            <w:shd w:val="clear" w:color="auto" w:fill="D9D9D9" w:themeFill="background1" w:themeFillShade="D9"/>
          </w:tcPr>
          <w:p w14:paraId="450B14A1" w14:textId="77777777" w:rsidR="00247988" w:rsidRPr="004375FF" w:rsidRDefault="00247988" w:rsidP="00BF09CC">
            <w:pPr>
              <w:spacing w:line="240" w:lineRule="auto"/>
              <w:rPr>
                <w:b/>
                <w:sz w:val="20"/>
                <w:szCs w:val="20"/>
              </w:rPr>
            </w:pPr>
            <w:r w:rsidRPr="004375FF">
              <w:rPr>
                <w:b/>
                <w:sz w:val="20"/>
                <w:szCs w:val="20"/>
              </w:rPr>
              <w:t>Role</w:t>
            </w:r>
          </w:p>
        </w:tc>
        <w:tc>
          <w:tcPr>
            <w:tcW w:w="1929" w:type="pct"/>
            <w:shd w:val="clear" w:color="auto" w:fill="D9D9D9" w:themeFill="background1" w:themeFillShade="D9"/>
          </w:tcPr>
          <w:p w14:paraId="36E83E81" w14:textId="4D373D2F" w:rsidR="00247988" w:rsidRPr="004375FF" w:rsidRDefault="00247988" w:rsidP="00BF09CC">
            <w:pPr>
              <w:spacing w:line="240" w:lineRule="auto"/>
              <w:rPr>
                <w:b/>
                <w:sz w:val="20"/>
                <w:szCs w:val="20"/>
              </w:rPr>
            </w:pPr>
            <w:r w:rsidRPr="004375FF">
              <w:rPr>
                <w:b/>
                <w:sz w:val="20"/>
                <w:szCs w:val="20"/>
              </w:rPr>
              <w:t>Organisation</w:t>
            </w:r>
          </w:p>
        </w:tc>
      </w:tr>
      <w:tr w:rsidR="000014C2" w:rsidRPr="004375FF" w14:paraId="7E936519" w14:textId="06B2AE90" w:rsidTr="00505C2C">
        <w:tc>
          <w:tcPr>
            <w:tcW w:w="1387" w:type="pct"/>
            <w:shd w:val="clear" w:color="auto" w:fill="F2F2F2" w:themeFill="background1" w:themeFillShade="F2"/>
          </w:tcPr>
          <w:p w14:paraId="45FAF897" w14:textId="4578A40C" w:rsidR="005706D6" w:rsidRPr="004375FF" w:rsidRDefault="005706D6" w:rsidP="00BF09CC">
            <w:pPr>
              <w:spacing w:line="240" w:lineRule="auto"/>
              <w:rPr>
                <w:sz w:val="20"/>
                <w:szCs w:val="20"/>
              </w:rPr>
            </w:pPr>
            <w:r w:rsidRPr="004375FF">
              <w:rPr>
                <w:sz w:val="20"/>
                <w:szCs w:val="20"/>
              </w:rPr>
              <w:t xml:space="preserve">Dr Michelle Belisle </w:t>
            </w:r>
          </w:p>
        </w:tc>
        <w:tc>
          <w:tcPr>
            <w:tcW w:w="1685" w:type="pct"/>
            <w:shd w:val="clear" w:color="auto" w:fill="F2F2F2" w:themeFill="background1" w:themeFillShade="F2"/>
          </w:tcPr>
          <w:p w14:paraId="481F9491" w14:textId="1B90C8A3" w:rsidR="005706D6" w:rsidRPr="004375FF" w:rsidRDefault="00F204A9" w:rsidP="00BF09CC">
            <w:pPr>
              <w:spacing w:line="240" w:lineRule="auto"/>
              <w:rPr>
                <w:sz w:val="20"/>
                <w:szCs w:val="20"/>
              </w:rPr>
            </w:pPr>
            <w:r w:rsidRPr="004375FF">
              <w:rPr>
                <w:sz w:val="20"/>
                <w:szCs w:val="20"/>
              </w:rPr>
              <w:t>Director</w:t>
            </w:r>
          </w:p>
        </w:tc>
        <w:tc>
          <w:tcPr>
            <w:tcW w:w="1929" w:type="pct"/>
            <w:shd w:val="clear" w:color="auto" w:fill="F2F2F2" w:themeFill="background1" w:themeFillShade="F2"/>
          </w:tcPr>
          <w:p w14:paraId="0FDF79AC" w14:textId="4C6AD3CF" w:rsidR="005706D6" w:rsidRPr="004375FF" w:rsidRDefault="005706D6" w:rsidP="00BF09CC">
            <w:pPr>
              <w:spacing w:line="240" w:lineRule="auto"/>
              <w:rPr>
                <w:sz w:val="20"/>
                <w:szCs w:val="20"/>
              </w:rPr>
            </w:pPr>
            <w:r w:rsidRPr="004375FF">
              <w:rPr>
                <w:sz w:val="20"/>
                <w:szCs w:val="20"/>
              </w:rPr>
              <w:t>EQAP</w:t>
            </w:r>
            <w:r w:rsidR="00EF17DF" w:rsidRPr="004375FF">
              <w:rPr>
                <w:sz w:val="20"/>
                <w:szCs w:val="20"/>
              </w:rPr>
              <w:t xml:space="preserve">, </w:t>
            </w:r>
            <w:r w:rsidR="00584984" w:rsidRPr="004375FF">
              <w:rPr>
                <w:sz w:val="20"/>
                <w:szCs w:val="20"/>
              </w:rPr>
              <w:t xml:space="preserve">Secretariat of the </w:t>
            </w:r>
            <w:r w:rsidR="00EF17DF" w:rsidRPr="004375FF">
              <w:rPr>
                <w:sz w:val="20"/>
                <w:szCs w:val="20"/>
              </w:rPr>
              <w:t>P</w:t>
            </w:r>
            <w:r w:rsidR="00584984" w:rsidRPr="004375FF">
              <w:rPr>
                <w:sz w:val="20"/>
                <w:szCs w:val="20"/>
              </w:rPr>
              <w:t xml:space="preserve">acific </w:t>
            </w:r>
            <w:r w:rsidR="00EF17DF" w:rsidRPr="004375FF">
              <w:rPr>
                <w:sz w:val="20"/>
                <w:szCs w:val="20"/>
              </w:rPr>
              <w:t>C</w:t>
            </w:r>
            <w:r w:rsidR="00584984" w:rsidRPr="004375FF">
              <w:rPr>
                <w:sz w:val="20"/>
                <w:szCs w:val="20"/>
              </w:rPr>
              <w:t>ommunity</w:t>
            </w:r>
          </w:p>
        </w:tc>
      </w:tr>
      <w:tr w:rsidR="000014C2" w:rsidRPr="004375FF" w14:paraId="3B1B780F" w14:textId="0B4B672C" w:rsidTr="00505C2C">
        <w:tc>
          <w:tcPr>
            <w:tcW w:w="1387" w:type="pct"/>
            <w:shd w:val="clear" w:color="auto" w:fill="F2F2F2" w:themeFill="background1" w:themeFillShade="F2"/>
          </w:tcPr>
          <w:p w14:paraId="779A7BE5" w14:textId="14648D60" w:rsidR="005706D6" w:rsidRPr="004375FF" w:rsidRDefault="005706D6" w:rsidP="00BF09CC">
            <w:pPr>
              <w:spacing w:line="240" w:lineRule="auto"/>
              <w:rPr>
                <w:sz w:val="20"/>
                <w:szCs w:val="20"/>
              </w:rPr>
            </w:pPr>
            <w:r w:rsidRPr="004375FF">
              <w:rPr>
                <w:sz w:val="20"/>
                <w:szCs w:val="20"/>
              </w:rPr>
              <w:t xml:space="preserve">Dr Uhila-moe-Langi Fasi </w:t>
            </w:r>
          </w:p>
        </w:tc>
        <w:tc>
          <w:tcPr>
            <w:tcW w:w="1685" w:type="pct"/>
            <w:shd w:val="clear" w:color="auto" w:fill="F2F2F2" w:themeFill="background1" w:themeFillShade="F2"/>
          </w:tcPr>
          <w:p w14:paraId="7C8FFE4B" w14:textId="0C858BE9" w:rsidR="005706D6" w:rsidRPr="004375FF" w:rsidRDefault="00F42FDE" w:rsidP="00BF09CC">
            <w:pPr>
              <w:spacing w:line="240" w:lineRule="auto"/>
              <w:rPr>
                <w:sz w:val="20"/>
                <w:szCs w:val="20"/>
              </w:rPr>
            </w:pPr>
            <w:r w:rsidRPr="004375FF">
              <w:rPr>
                <w:sz w:val="20"/>
                <w:szCs w:val="20"/>
              </w:rPr>
              <w:t xml:space="preserve">Senior Educational Assessment Specialist – Research </w:t>
            </w:r>
          </w:p>
        </w:tc>
        <w:tc>
          <w:tcPr>
            <w:tcW w:w="1929" w:type="pct"/>
            <w:shd w:val="clear" w:color="auto" w:fill="F2F2F2" w:themeFill="background1" w:themeFillShade="F2"/>
          </w:tcPr>
          <w:p w14:paraId="66C1B27D" w14:textId="520F4E76" w:rsidR="005706D6" w:rsidRPr="004375FF" w:rsidRDefault="00584984" w:rsidP="00BF09CC">
            <w:pPr>
              <w:spacing w:line="240" w:lineRule="auto"/>
              <w:rPr>
                <w:sz w:val="20"/>
                <w:szCs w:val="20"/>
              </w:rPr>
            </w:pPr>
            <w:r w:rsidRPr="004375FF">
              <w:rPr>
                <w:sz w:val="20"/>
                <w:szCs w:val="20"/>
              </w:rPr>
              <w:t>EQAP, Secretariat of the Pacific Community</w:t>
            </w:r>
          </w:p>
        </w:tc>
      </w:tr>
      <w:tr w:rsidR="000014C2" w:rsidRPr="004375FF" w14:paraId="31286FEB" w14:textId="2FE94565" w:rsidTr="00505C2C">
        <w:tc>
          <w:tcPr>
            <w:tcW w:w="1387" w:type="pct"/>
            <w:shd w:val="clear" w:color="auto" w:fill="F2F2F2" w:themeFill="background1" w:themeFillShade="F2"/>
          </w:tcPr>
          <w:p w14:paraId="27D9B82F" w14:textId="0A3BDF67" w:rsidR="005706D6" w:rsidRPr="004375FF" w:rsidRDefault="003C59D4" w:rsidP="00BF09CC">
            <w:pPr>
              <w:spacing w:line="240" w:lineRule="auto"/>
              <w:rPr>
                <w:sz w:val="20"/>
                <w:szCs w:val="20"/>
              </w:rPr>
            </w:pPr>
            <w:r w:rsidRPr="004375FF">
              <w:rPr>
                <w:sz w:val="20"/>
                <w:szCs w:val="20"/>
              </w:rPr>
              <w:t xml:space="preserve">Mr </w:t>
            </w:r>
            <w:r w:rsidR="005706D6" w:rsidRPr="004375FF">
              <w:rPr>
                <w:sz w:val="20"/>
                <w:szCs w:val="20"/>
              </w:rPr>
              <w:t>Lemalu L</w:t>
            </w:r>
            <w:r w:rsidRPr="004375FF">
              <w:rPr>
                <w:sz w:val="20"/>
                <w:szCs w:val="20"/>
              </w:rPr>
              <w:t>afi</w:t>
            </w:r>
            <w:r w:rsidR="005706D6" w:rsidRPr="004375FF">
              <w:rPr>
                <w:sz w:val="20"/>
                <w:szCs w:val="20"/>
              </w:rPr>
              <w:t xml:space="preserve"> Sanerivi </w:t>
            </w:r>
          </w:p>
        </w:tc>
        <w:tc>
          <w:tcPr>
            <w:tcW w:w="1685" w:type="pct"/>
            <w:shd w:val="clear" w:color="auto" w:fill="F2F2F2" w:themeFill="background1" w:themeFillShade="F2"/>
          </w:tcPr>
          <w:p w14:paraId="667BA9A8" w14:textId="30AF36C9" w:rsidR="005706D6" w:rsidRPr="004375FF" w:rsidRDefault="003C59D4" w:rsidP="00BF09CC">
            <w:pPr>
              <w:spacing w:line="240" w:lineRule="auto"/>
              <w:rPr>
                <w:sz w:val="20"/>
                <w:szCs w:val="20"/>
              </w:rPr>
            </w:pPr>
            <w:r w:rsidRPr="004375FF">
              <w:rPr>
                <w:sz w:val="20"/>
                <w:szCs w:val="20"/>
              </w:rPr>
              <w:t>Senior Educational Assessment Specialist –</w:t>
            </w:r>
            <w:r w:rsidR="00F42FDE" w:rsidRPr="004375FF">
              <w:rPr>
                <w:sz w:val="20"/>
                <w:szCs w:val="20"/>
              </w:rPr>
              <w:t xml:space="preserve">(PRQS </w:t>
            </w:r>
            <w:r w:rsidRPr="004375FF">
              <w:rPr>
                <w:sz w:val="20"/>
                <w:szCs w:val="20"/>
              </w:rPr>
              <w:t>Project Team Leader)</w:t>
            </w:r>
          </w:p>
        </w:tc>
        <w:tc>
          <w:tcPr>
            <w:tcW w:w="1929" w:type="pct"/>
            <w:shd w:val="clear" w:color="auto" w:fill="F2F2F2" w:themeFill="background1" w:themeFillShade="F2"/>
          </w:tcPr>
          <w:p w14:paraId="23180152" w14:textId="6A7C9240" w:rsidR="005706D6" w:rsidRPr="004375FF" w:rsidRDefault="00584984" w:rsidP="00BF09CC">
            <w:pPr>
              <w:spacing w:line="240" w:lineRule="auto"/>
              <w:rPr>
                <w:sz w:val="20"/>
                <w:szCs w:val="20"/>
              </w:rPr>
            </w:pPr>
            <w:r w:rsidRPr="004375FF">
              <w:rPr>
                <w:sz w:val="20"/>
                <w:szCs w:val="20"/>
              </w:rPr>
              <w:t>EQAP, Secretariat of the Pacific Community</w:t>
            </w:r>
          </w:p>
        </w:tc>
      </w:tr>
      <w:tr w:rsidR="000014C2" w:rsidRPr="004375FF" w14:paraId="05C60477" w14:textId="77777777" w:rsidTr="00505C2C">
        <w:tc>
          <w:tcPr>
            <w:tcW w:w="1387" w:type="pct"/>
            <w:shd w:val="clear" w:color="auto" w:fill="F2F2F2" w:themeFill="background1" w:themeFillShade="F2"/>
          </w:tcPr>
          <w:p w14:paraId="1AFFBEC1" w14:textId="70A87921" w:rsidR="00E36C6B" w:rsidRPr="004375FF" w:rsidRDefault="003C59D4" w:rsidP="00BF09CC">
            <w:pPr>
              <w:spacing w:line="240" w:lineRule="auto"/>
              <w:rPr>
                <w:sz w:val="20"/>
                <w:szCs w:val="20"/>
              </w:rPr>
            </w:pPr>
            <w:r w:rsidRPr="004375FF">
              <w:rPr>
                <w:sz w:val="20"/>
                <w:szCs w:val="20"/>
              </w:rPr>
              <w:t xml:space="preserve">Ms Selai Qereqeretabua </w:t>
            </w:r>
          </w:p>
        </w:tc>
        <w:tc>
          <w:tcPr>
            <w:tcW w:w="1685" w:type="pct"/>
            <w:shd w:val="clear" w:color="auto" w:fill="F2F2F2" w:themeFill="background1" w:themeFillShade="F2"/>
          </w:tcPr>
          <w:p w14:paraId="6045A224" w14:textId="7536704E" w:rsidR="00E36C6B" w:rsidRPr="004375FF" w:rsidRDefault="003C59D4" w:rsidP="00BF09CC">
            <w:pPr>
              <w:spacing w:line="240" w:lineRule="auto"/>
              <w:rPr>
                <w:sz w:val="20"/>
                <w:szCs w:val="20"/>
              </w:rPr>
            </w:pPr>
            <w:r w:rsidRPr="004375FF">
              <w:rPr>
                <w:sz w:val="20"/>
                <w:szCs w:val="20"/>
              </w:rPr>
              <w:t>Educational Assessment Officer (EAO) - Qualifications</w:t>
            </w:r>
          </w:p>
        </w:tc>
        <w:tc>
          <w:tcPr>
            <w:tcW w:w="1929" w:type="pct"/>
            <w:shd w:val="clear" w:color="auto" w:fill="F2F2F2" w:themeFill="background1" w:themeFillShade="F2"/>
          </w:tcPr>
          <w:p w14:paraId="6A6A2979" w14:textId="4C8F853F" w:rsidR="00E36C6B" w:rsidRPr="004375FF" w:rsidRDefault="00584984" w:rsidP="00BF09CC">
            <w:pPr>
              <w:spacing w:line="240" w:lineRule="auto"/>
              <w:rPr>
                <w:sz w:val="20"/>
                <w:szCs w:val="20"/>
              </w:rPr>
            </w:pPr>
            <w:r w:rsidRPr="004375FF">
              <w:rPr>
                <w:sz w:val="20"/>
                <w:szCs w:val="20"/>
              </w:rPr>
              <w:t>EQAP, Secretariat of the Pacific Community</w:t>
            </w:r>
          </w:p>
        </w:tc>
      </w:tr>
      <w:tr w:rsidR="000014C2" w:rsidRPr="004375FF" w14:paraId="06B0198B" w14:textId="77777777" w:rsidTr="00505C2C">
        <w:tc>
          <w:tcPr>
            <w:tcW w:w="1387" w:type="pct"/>
            <w:shd w:val="clear" w:color="auto" w:fill="F2F2F2" w:themeFill="background1" w:themeFillShade="F2"/>
          </w:tcPr>
          <w:p w14:paraId="66E35CE2" w14:textId="0A739052" w:rsidR="00E36C6B" w:rsidRPr="004375FF" w:rsidRDefault="003C59D4" w:rsidP="00BF09CC">
            <w:pPr>
              <w:spacing w:line="240" w:lineRule="auto"/>
              <w:rPr>
                <w:sz w:val="20"/>
                <w:szCs w:val="20"/>
              </w:rPr>
            </w:pPr>
            <w:r w:rsidRPr="004375FF">
              <w:rPr>
                <w:sz w:val="20"/>
                <w:szCs w:val="20"/>
              </w:rPr>
              <w:t xml:space="preserve">Mr Rajendra Prasad </w:t>
            </w:r>
          </w:p>
        </w:tc>
        <w:tc>
          <w:tcPr>
            <w:tcW w:w="1685" w:type="pct"/>
            <w:shd w:val="clear" w:color="auto" w:fill="F2F2F2" w:themeFill="background1" w:themeFillShade="F2"/>
          </w:tcPr>
          <w:p w14:paraId="3B6F4955" w14:textId="6E495C67" w:rsidR="00E36C6B" w:rsidRPr="004375FF" w:rsidRDefault="003C59D4" w:rsidP="00BF09CC">
            <w:pPr>
              <w:spacing w:line="240" w:lineRule="auto"/>
              <w:rPr>
                <w:sz w:val="20"/>
                <w:szCs w:val="20"/>
              </w:rPr>
            </w:pPr>
            <w:r w:rsidRPr="004375FF">
              <w:rPr>
                <w:sz w:val="20"/>
                <w:szCs w:val="20"/>
              </w:rPr>
              <w:t>Education Officer (EO) – Quality Assurance</w:t>
            </w:r>
          </w:p>
        </w:tc>
        <w:tc>
          <w:tcPr>
            <w:tcW w:w="1929" w:type="pct"/>
            <w:shd w:val="clear" w:color="auto" w:fill="F2F2F2" w:themeFill="background1" w:themeFillShade="F2"/>
          </w:tcPr>
          <w:p w14:paraId="375D05B1" w14:textId="0DE482D5" w:rsidR="00E36C6B" w:rsidRPr="004375FF" w:rsidRDefault="00584984" w:rsidP="00BF09CC">
            <w:pPr>
              <w:spacing w:line="240" w:lineRule="auto"/>
              <w:rPr>
                <w:sz w:val="20"/>
                <w:szCs w:val="20"/>
              </w:rPr>
            </w:pPr>
            <w:r w:rsidRPr="004375FF">
              <w:rPr>
                <w:sz w:val="20"/>
                <w:szCs w:val="20"/>
              </w:rPr>
              <w:t>EQAP, Secretariat of the Pacific Community</w:t>
            </w:r>
          </w:p>
        </w:tc>
      </w:tr>
      <w:tr w:rsidR="000014C2" w:rsidRPr="004375FF" w14:paraId="45EB8AC4" w14:textId="77777777" w:rsidTr="00505C2C">
        <w:tc>
          <w:tcPr>
            <w:tcW w:w="1387" w:type="pct"/>
            <w:shd w:val="clear" w:color="auto" w:fill="F2F2F2" w:themeFill="background1" w:themeFillShade="F2"/>
          </w:tcPr>
          <w:p w14:paraId="438549C0" w14:textId="4352F41D" w:rsidR="00E36C6B" w:rsidRPr="004375FF" w:rsidRDefault="00F204A9" w:rsidP="00BF09CC">
            <w:pPr>
              <w:spacing w:line="240" w:lineRule="auto"/>
              <w:rPr>
                <w:i/>
                <w:sz w:val="20"/>
                <w:szCs w:val="20"/>
              </w:rPr>
            </w:pPr>
            <w:r w:rsidRPr="004375FF">
              <w:rPr>
                <w:sz w:val="20"/>
                <w:szCs w:val="20"/>
              </w:rPr>
              <w:t>Mr Ram Anoj Sharma</w:t>
            </w:r>
          </w:p>
        </w:tc>
        <w:tc>
          <w:tcPr>
            <w:tcW w:w="1685" w:type="pct"/>
            <w:shd w:val="clear" w:color="auto" w:fill="F2F2F2" w:themeFill="background1" w:themeFillShade="F2"/>
          </w:tcPr>
          <w:p w14:paraId="6B6B197F" w14:textId="2342BB9A" w:rsidR="00E36C6B" w:rsidRPr="004375FF" w:rsidRDefault="00F204A9" w:rsidP="00BF09CC">
            <w:pPr>
              <w:spacing w:line="240" w:lineRule="auto"/>
              <w:rPr>
                <w:sz w:val="20"/>
                <w:szCs w:val="20"/>
              </w:rPr>
            </w:pPr>
            <w:r w:rsidRPr="004375FF">
              <w:rPr>
                <w:sz w:val="20"/>
                <w:szCs w:val="20"/>
              </w:rPr>
              <w:t>Finance Officer</w:t>
            </w:r>
          </w:p>
        </w:tc>
        <w:tc>
          <w:tcPr>
            <w:tcW w:w="1929" w:type="pct"/>
            <w:shd w:val="clear" w:color="auto" w:fill="F2F2F2" w:themeFill="background1" w:themeFillShade="F2"/>
          </w:tcPr>
          <w:p w14:paraId="06BE19AC" w14:textId="3504522E" w:rsidR="00E36C6B" w:rsidRPr="004375FF" w:rsidRDefault="00584984" w:rsidP="00BF09CC">
            <w:pPr>
              <w:spacing w:line="240" w:lineRule="auto"/>
              <w:rPr>
                <w:sz w:val="20"/>
                <w:szCs w:val="20"/>
              </w:rPr>
            </w:pPr>
            <w:r w:rsidRPr="004375FF">
              <w:rPr>
                <w:sz w:val="20"/>
                <w:szCs w:val="20"/>
              </w:rPr>
              <w:t>EQAP, Secretariat of the Pacific Community</w:t>
            </w:r>
          </w:p>
        </w:tc>
      </w:tr>
      <w:tr w:rsidR="000014C2" w:rsidRPr="004375FF" w14:paraId="6F2379FA" w14:textId="6AF76128" w:rsidTr="00505C2C">
        <w:tc>
          <w:tcPr>
            <w:tcW w:w="1387" w:type="pct"/>
          </w:tcPr>
          <w:p w14:paraId="775A54B2" w14:textId="1C06B094" w:rsidR="005706D6" w:rsidRPr="004375FF" w:rsidRDefault="005706D6" w:rsidP="00BF09CC">
            <w:pPr>
              <w:spacing w:line="240" w:lineRule="auto"/>
              <w:rPr>
                <w:sz w:val="20"/>
                <w:szCs w:val="20"/>
              </w:rPr>
            </w:pPr>
            <w:r w:rsidRPr="004375FF">
              <w:rPr>
                <w:sz w:val="20"/>
                <w:szCs w:val="20"/>
              </w:rPr>
              <w:t>Dr Audrey Aumua</w:t>
            </w:r>
          </w:p>
        </w:tc>
        <w:tc>
          <w:tcPr>
            <w:tcW w:w="1685" w:type="pct"/>
          </w:tcPr>
          <w:p w14:paraId="5F70380F" w14:textId="0D6B2F60" w:rsidR="005706D6" w:rsidRPr="004375FF" w:rsidRDefault="005706D6" w:rsidP="00BF09CC">
            <w:pPr>
              <w:spacing w:line="240" w:lineRule="auto"/>
              <w:rPr>
                <w:sz w:val="20"/>
                <w:szCs w:val="20"/>
              </w:rPr>
            </w:pPr>
            <w:r w:rsidRPr="004375FF">
              <w:rPr>
                <w:sz w:val="20"/>
                <w:szCs w:val="20"/>
              </w:rPr>
              <w:t xml:space="preserve">Deputy Director </w:t>
            </w:r>
            <w:r w:rsidR="000014C2" w:rsidRPr="004375FF">
              <w:rPr>
                <w:sz w:val="20"/>
                <w:szCs w:val="20"/>
              </w:rPr>
              <w:t>General (Suva)</w:t>
            </w:r>
          </w:p>
        </w:tc>
        <w:tc>
          <w:tcPr>
            <w:tcW w:w="1929" w:type="pct"/>
          </w:tcPr>
          <w:p w14:paraId="2F57287A" w14:textId="1F3E6CDF" w:rsidR="005706D6" w:rsidRPr="004375FF" w:rsidRDefault="003B57EC" w:rsidP="00BF09CC">
            <w:pPr>
              <w:spacing w:line="240" w:lineRule="auto"/>
              <w:rPr>
                <w:sz w:val="20"/>
                <w:szCs w:val="20"/>
              </w:rPr>
            </w:pPr>
            <w:r w:rsidRPr="004375FF">
              <w:rPr>
                <w:sz w:val="20"/>
                <w:szCs w:val="20"/>
              </w:rPr>
              <w:t>Secretariat of the Pacific Community</w:t>
            </w:r>
            <w:r w:rsidR="005706D6" w:rsidRPr="004375FF">
              <w:rPr>
                <w:sz w:val="20"/>
                <w:szCs w:val="20"/>
              </w:rPr>
              <w:t>, Suva</w:t>
            </w:r>
          </w:p>
        </w:tc>
      </w:tr>
      <w:tr w:rsidR="000014C2" w:rsidRPr="004375FF" w14:paraId="786FF920" w14:textId="027095F2" w:rsidTr="00505C2C">
        <w:tc>
          <w:tcPr>
            <w:tcW w:w="1387" w:type="pct"/>
          </w:tcPr>
          <w:p w14:paraId="3A86FCB3" w14:textId="1147CECB" w:rsidR="005706D6" w:rsidRPr="004375FF" w:rsidRDefault="005706D6" w:rsidP="00BF09CC">
            <w:pPr>
              <w:spacing w:line="240" w:lineRule="auto"/>
              <w:rPr>
                <w:sz w:val="20"/>
                <w:szCs w:val="20"/>
              </w:rPr>
            </w:pPr>
            <w:r w:rsidRPr="004375FF">
              <w:rPr>
                <w:sz w:val="20"/>
                <w:szCs w:val="20"/>
              </w:rPr>
              <w:t>Thierry Nervale</w:t>
            </w:r>
          </w:p>
        </w:tc>
        <w:tc>
          <w:tcPr>
            <w:tcW w:w="1685" w:type="pct"/>
          </w:tcPr>
          <w:p w14:paraId="67992010" w14:textId="40A163C7" w:rsidR="005706D6" w:rsidRPr="004375FF" w:rsidRDefault="00F42FDE" w:rsidP="00BF09CC">
            <w:pPr>
              <w:spacing w:line="240" w:lineRule="auto"/>
              <w:rPr>
                <w:sz w:val="20"/>
                <w:szCs w:val="20"/>
              </w:rPr>
            </w:pPr>
            <w:r w:rsidRPr="004375FF">
              <w:rPr>
                <w:sz w:val="20"/>
                <w:szCs w:val="20"/>
              </w:rPr>
              <w:t>Deputy Director – Transport, Economic Development Division</w:t>
            </w:r>
          </w:p>
        </w:tc>
        <w:tc>
          <w:tcPr>
            <w:tcW w:w="1929" w:type="pct"/>
          </w:tcPr>
          <w:p w14:paraId="343521D5" w14:textId="08211BE9" w:rsidR="005706D6" w:rsidRPr="004375FF" w:rsidRDefault="003B57EC" w:rsidP="00BF09CC">
            <w:pPr>
              <w:spacing w:line="240" w:lineRule="auto"/>
              <w:rPr>
                <w:sz w:val="20"/>
                <w:szCs w:val="20"/>
              </w:rPr>
            </w:pPr>
            <w:r w:rsidRPr="004375FF">
              <w:rPr>
                <w:sz w:val="20"/>
                <w:szCs w:val="20"/>
              </w:rPr>
              <w:t>Secretariat of the Pacific Community</w:t>
            </w:r>
            <w:r w:rsidR="00F42FDE" w:rsidRPr="004375FF">
              <w:rPr>
                <w:sz w:val="20"/>
                <w:szCs w:val="20"/>
              </w:rPr>
              <w:t>, Suva</w:t>
            </w:r>
          </w:p>
        </w:tc>
      </w:tr>
      <w:tr w:rsidR="000014C2" w:rsidRPr="004375FF" w14:paraId="231C569F" w14:textId="755FB5B4" w:rsidTr="00505C2C">
        <w:tc>
          <w:tcPr>
            <w:tcW w:w="1387" w:type="pct"/>
          </w:tcPr>
          <w:p w14:paraId="7AB52F5E" w14:textId="256BED6B" w:rsidR="005706D6" w:rsidRPr="004375FF" w:rsidRDefault="005706D6" w:rsidP="00BF09CC">
            <w:pPr>
              <w:spacing w:line="240" w:lineRule="auto"/>
              <w:rPr>
                <w:sz w:val="20"/>
                <w:szCs w:val="20"/>
              </w:rPr>
            </w:pPr>
            <w:r w:rsidRPr="004375FF">
              <w:rPr>
                <w:sz w:val="20"/>
                <w:szCs w:val="20"/>
              </w:rPr>
              <w:t>Dr Sarah Hemstock</w:t>
            </w:r>
          </w:p>
        </w:tc>
        <w:tc>
          <w:tcPr>
            <w:tcW w:w="1685" w:type="pct"/>
          </w:tcPr>
          <w:p w14:paraId="13E714F9" w14:textId="2AB1B1AB" w:rsidR="005706D6" w:rsidRPr="004375FF" w:rsidRDefault="00F42FDE" w:rsidP="00BF09CC">
            <w:pPr>
              <w:spacing w:line="240" w:lineRule="auto"/>
              <w:rPr>
                <w:sz w:val="20"/>
                <w:szCs w:val="20"/>
              </w:rPr>
            </w:pPr>
            <w:r w:rsidRPr="004375FF">
              <w:rPr>
                <w:sz w:val="20"/>
                <w:szCs w:val="20"/>
              </w:rPr>
              <w:t xml:space="preserve">Team leader, </w:t>
            </w:r>
            <w:r w:rsidR="00746D26" w:rsidRPr="004375FF">
              <w:rPr>
                <w:sz w:val="20"/>
                <w:szCs w:val="20"/>
              </w:rPr>
              <w:t xml:space="preserve">USP-SPC </w:t>
            </w:r>
            <w:r w:rsidR="00F33A60" w:rsidRPr="004375FF">
              <w:rPr>
                <w:sz w:val="20"/>
                <w:szCs w:val="20"/>
              </w:rPr>
              <w:t>EU-</w:t>
            </w:r>
            <w:r w:rsidR="00746D26" w:rsidRPr="004375FF">
              <w:rPr>
                <w:sz w:val="20"/>
                <w:szCs w:val="20"/>
              </w:rPr>
              <w:t>PacTVET Project</w:t>
            </w:r>
            <w:r w:rsidRPr="004375FF">
              <w:rPr>
                <w:sz w:val="20"/>
                <w:szCs w:val="20"/>
              </w:rPr>
              <w:t>, Economic Development Division</w:t>
            </w:r>
          </w:p>
        </w:tc>
        <w:tc>
          <w:tcPr>
            <w:tcW w:w="1929" w:type="pct"/>
          </w:tcPr>
          <w:p w14:paraId="73CABC9D" w14:textId="036BDF33" w:rsidR="005706D6" w:rsidRPr="004375FF" w:rsidRDefault="003B57EC" w:rsidP="00BF09CC">
            <w:pPr>
              <w:spacing w:line="240" w:lineRule="auto"/>
              <w:rPr>
                <w:sz w:val="20"/>
                <w:szCs w:val="20"/>
              </w:rPr>
            </w:pPr>
            <w:r w:rsidRPr="004375FF">
              <w:rPr>
                <w:sz w:val="20"/>
                <w:szCs w:val="20"/>
              </w:rPr>
              <w:t>Secretariat of the Pacific Community</w:t>
            </w:r>
            <w:r w:rsidR="00F42FDE" w:rsidRPr="004375FF">
              <w:rPr>
                <w:sz w:val="20"/>
                <w:szCs w:val="20"/>
              </w:rPr>
              <w:t>, Suva</w:t>
            </w:r>
          </w:p>
        </w:tc>
      </w:tr>
      <w:tr w:rsidR="000014C2" w:rsidRPr="004375FF" w14:paraId="2257C303" w14:textId="43B2C78C" w:rsidTr="00505C2C">
        <w:tc>
          <w:tcPr>
            <w:tcW w:w="1387" w:type="pct"/>
          </w:tcPr>
          <w:p w14:paraId="1133D427" w14:textId="1CEEB493" w:rsidR="005706D6" w:rsidRPr="004375FF" w:rsidRDefault="005706D6" w:rsidP="00BF09CC">
            <w:pPr>
              <w:spacing w:line="240" w:lineRule="auto"/>
              <w:rPr>
                <w:sz w:val="20"/>
                <w:szCs w:val="20"/>
              </w:rPr>
            </w:pPr>
            <w:r w:rsidRPr="004375FF">
              <w:rPr>
                <w:sz w:val="20"/>
                <w:szCs w:val="20"/>
              </w:rPr>
              <w:t>Dr Tess Martin</w:t>
            </w:r>
          </w:p>
        </w:tc>
        <w:tc>
          <w:tcPr>
            <w:tcW w:w="1685" w:type="pct"/>
          </w:tcPr>
          <w:p w14:paraId="0C5E8D1A" w14:textId="7DF9A52A" w:rsidR="005706D6" w:rsidRPr="004375FF" w:rsidRDefault="005706D6" w:rsidP="00BF09CC">
            <w:pPr>
              <w:spacing w:line="240" w:lineRule="auto"/>
              <w:rPr>
                <w:sz w:val="20"/>
                <w:szCs w:val="20"/>
              </w:rPr>
            </w:pPr>
            <w:r w:rsidRPr="004375FF">
              <w:rPr>
                <w:sz w:val="20"/>
                <w:szCs w:val="20"/>
              </w:rPr>
              <w:t xml:space="preserve">USP-SPC </w:t>
            </w:r>
            <w:r w:rsidR="00F33A60" w:rsidRPr="004375FF">
              <w:rPr>
                <w:sz w:val="20"/>
                <w:szCs w:val="20"/>
              </w:rPr>
              <w:t>EU-</w:t>
            </w:r>
            <w:r w:rsidRPr="004375FF">
              <w:rPr>
                <w:sz w:val="20"/>
                <w:szCs w:val="20"/>
              </w:rPr>
              <w:t>PacTVET Project</w:t>
            </w:r>
            <w:r w:rsidR="007F2C26" w:rsidRPr="004375FF">
              <w:rPr>
                <w:sz w:val="20"/>
                <w:szCs w:val="20"/>
              </w:rPr>
              <w:t xml:space="preserve">, </w:t>
            </w:r>
            <w:r w:rsidR="00410FD8" w:rsidRPr="004375FF">
              <w:rPr>
                <w:sz w:val="20"/>
                <w:szCs w:val="20"/>
              </w:rPr>
              <w:t>Economic Development Division</w:t>
            </w:r>
          </w:p>
        </w:tc>
        <w:tc>
          <w:tcPr>
            <w:tcW w:w="1929" w:type="pct"/>
          </w:tcPr>
          <w:p w14:paraId="3C9E3115" w14:textId="28E79D48" w:rsidR="005706D6" w:rsidRPr="004375FF" w:rsidRDefault="003B57EC" w:rsidP="00BF09CC">
            <w:pPr>
              <w:spacing w:line="240" w:lineRule="auto"/>
              <w:rPr>
                <w:sz w:val="20"/>
                <w:szCs w:val="20"/>
              </w:rPr>
            </w:pPr>
            <w:r w:rsidRPr="004375FF">
              <w:rPr>
                <w:sz w:val="20"/>
                <w:szCs w:val="20"/>
              </w:rPr>
              <w:t>Secretariat of the Pacific Community</w:t>
            </w:r>
            <w:r w:rsidR="00F42FDE" w:rsidRPr="004375FF">
              <w:rPr>
                <w:sz w:val="20"/>
                <w:szCs w:val="20"/>
              </w:rPr>
              <w:t>, Suva</w:t>
            </w:r>
          </w:p>
        </w:tc>
      </w:tr>
      <w:tr w:rsidR="000014C2" w:rsidRPr="004375FF" w14:paraId="23165CDC" w14:textId="1BCDC9B3" w:rsidTr="00505C2C">
        <w:tc>
          <w:tcPr>
            <w:tcW w:w="1387" w:type="pct"/>
            <w:shd w:val="clear" w:color="auto" w:fill="F2F2F2" w:themeFill="background1" w:themeFillShade="F2"/>
          </w:tcPr>
          <w:p w14:paraId="1BE11625" w14:textId="139A54CB" w:rsidR="005706D6" w:rsidRPr="004375FF" w:rsidRDefault="005706D6" w:rsidP="00BF09CC">
            <w:pPr>
              <w:spacing w:line="240" w:lineRule="auto"/>
              <w:rPr>
                <w:sz w:val="20"/>
                <w:szCs w:val="20"/>
              </w:rPr>
            </w:pPr>
            <w:r w:rsidRPr="004375FF">
              <w:rPr>
                <w:sz w:val="20"/>
                <w:szCs w:val="20"/>
              </w:rPr>
              <w:t>M</w:t>
            </w:r>
            <w:r w:rsidR="006F331F" w:rsidRPr="004375FF">
              <w:rPr>
                <w:sz w:val="20"/>
                <w:szCs w:val="20"/>
              </w:rPr>
              <w:t>r</w:t>
            </w:r>
            <w:r w:rsidRPr="004375FF">
              <w:rPr>
                <w:sz w:val="20"/>
                <w:szCs w:val="20"/>
              </w:rPr>
              <w:t xml:space="preserve">s Katalina </w:t>
            </w:r>
            <w:r w:rsidR="006F331F" w:rsidRPr="004375FF">
              <w:rPr>
                <w:sz w:val="20"/>
                <w:szCs w:val="20"/>
              </w:rPr>
              <w:t>Pasiale Taloka</w:t>
            </w:r>
          </w:p>
        </w:tc>
        <w:tc>
          <w:tcPr>
            <w:tcW w:w="1685" w:type="pct"/>
            <w:shd w:val="clear" w:color="auto" w:fill="F2F2F2" w:themeFill="background1" w:themeFillShade="F2"/>
          </w:tcPr>
          <w:p w14:paraId="251B4AEE" w14:textId="5A9D1430" w:rsidR="005706D6" w:rsidRPr="004375FF" w:rsidRDefault="006F331F" w:rsidP="00BF09CC">
            <w:pPr>
              <w:spacing w:line="240" w:lineRule="auto"/>
              <w:rPr>
                <w:sz w:val="20"/>
                <w:szCs w:val="20"/>
              </w:rPr>
            </w:pPr>
            <w:r w:rsidRPr="004375FF">
              <w:rPr>
                <w:sz w:val="20"/>
                <w:szCs w:val="20"/>
              </w:rPr>
              <w:t>Director</w:t>
            </w:r>
          </w:p>
        </w:tc>
        <w:tc>
          <w:tcPr>
            <w:tcW w:w="1929" w:type="pct"/>
            <w:shd w:val="clear" w:color="auto" w:fill="F2F2F2" w:themeFill="background1" w:themeFillShade="F2"/>
          </w:tcPr>
          <w:p w14:paraId="40BF8E0D" w14:textId="52FB7074" w:rsidR="005706D6" w:rsidRPr="004375FF" w:rsidRDefault="006F331F" w:rsidP="00BF09CC">
            <w:pPr>
              <w:spacing w:line="240" w:lineRule="auto"/>
              <w:rPr>
                <w:sz w:val="20"/>
                <w:szCs w:val="20"/>
              </w:rPr>
            </w:pPr>
            <w:r w:rsidRPr="004375FF">
              <w:rPr>
                <w:sz w:val="20"/>
                <w:szCs w:val="20"/>
              </w:rPr>
              <w:t>Education Department</w:t>
            </w:r>
            <w:r w:rsidR="003B57EC" w:rsidRPr="004375FF">
              <w:rPr>
                <w:sz w:val="20"/>
                <w:szCs w:val="20"/>
              </w:rPr>
              <w:t xml:space="preserve">, </w:t>
            </w:r>
            <w:r w:rsidRPr="004375FF">
              <w:rPr>
                <w:sz w:val="20"/>
                <w:szCs w:val="20"/>
              </w:rPr>
              <w:t>Ministry of Education, Youth &amp; Sports, Tuvalu</w:t>
            </w:r>
          </w:p>
        </w:tc>
      </w:tr>
      <w:tr w:rsidR="000014C2" w:rsidRPr="004375FF" w14:paraId="5370E98E" w14:textId="0FB96124" w:rsidTr="00505C2C">
        <w:tc>
          <w:tcPr>
            <w:tcW w:w="1387" w:type="pct"/>
            <w:shd w:val="clear" w:color="auto" w:fill="F2F2F2" w:themeFill="background1" w:themeFillShade="F2"/>
          </w:tcPr>
          <w:p w14:paraId="2BF539F1" w14:textId="56FD1F9E" w:rsidR="005706D6" w:rsidRPr="004375FF" w:rsidRDefault="005706D6" w:rsidP="00BF09CC">
            <w:pPr>
              <w:spacing w:line="240" w:lineRule="auto"/>
              <w:rPr>
                <w:sz w:val="20"/>
                <w:szCs w:val="20"/>
              </w:rPr>
            </w:pPr>
            <w:r w:rsidRPr="004375FF">
              <w:rPr>
                <w:sz w:val="20"/>
                <w:szCs w:val="20"/>
              </w:rPr>
              <w:t>Mr Peteli Paulo</w:t>
            </w:r>
          </w:p>
        </w:tc>
        <w:tc>
          <w:tcPr>
            <w:tcW w:w="1685" w:type="pct"/>
            <w:shd w:val="clear" w:color="auto" w:fill="F2F2F2" w:themeFill="background1" w:themeFillShade="F2"/>
          </w:tcPr>
          <w:p w14:paraId="79BC9A1B" w14:textId="1BF09D26" w:rsidR="005706D6" w:rsidRPr="004375FF" w:rsidRDefault="005706D6" w:rsidP="00BF09CC">
            <w:pPr>
              <w:spacing w:line="240" w:lineRule="auto"/>
              <w:rPr>
                <w:sz w:val="20"/>
                <w:szCs w:val="20"/>
              </w:rPr>
            </w:pPr>
          </w:p>
        </w:tc>
        <w:tc>
          <w:tcPr>
            <w:tcW w:w="1929" w:type="pct"/>
            <w:shd w:val="clear" w:color="auto" w:fill="F2F2F2" w:themeFill="background1" w:themeFillShade="F2"/>
          </w:tcPr>
          <w:p w14:paraId="55D06271" w14:textId="1315F007" w:rsidR="005706D6" w:rsidRPr="004375FF" w:rsidRDefault="006F331F" w:rsidP="00BF09CC">
            <w:pPr>
              <w:spacing w:line="240" w:lineRule="auto"/>
              <w:rPr>
                <w:sz w:val="20"/>
                <w:szCs w:val="20"/>
              </w:rPr>
            </w:pPr>
            <w:r w:rsidRPr="004375FF">
              <w:rPr>
                <w:sz w:val="20"/>
                <w:szCs w:val="20"/>
              </w:rPr>
              <w:t>Education Department</w:t>
            </w:r>
            <w:r w:rsidR="003B57EC" w:rsidRPr="004375FF">
              <w:rPr>
                <w:sz w:val="20"/>
                <w:szCs w:val="20"/>
              </w:rPr>
              <w:t xml:space="preserve">, </w:t>
            </w:r>
            <w:r w:rsidRPr="004375FF">
              <w:rPr>
                <w:sz w:val="20"/>
                <w:szCs w:val="20"/>
              </w:rPr>
              <w:t>Ministry of Education, Youth &amp; Sports, Tuvalu</w:t>
            </w:r>
          </w:p>
        </w:tc>
      </w:tr>
      <w:tr w:rsidR="000014C2" w:rsidRPr="004375FF" w14:paraId="1678D616" w14:textId="365D6404" w:rsidTr="00505C2C">
        <w:tc>
          <w:tcPr>
            <w:tcW w:w="1387" w:type="pct"/>
          </w:tcPr>
          <w:p w14:paraId="2DBCCE38" w14:textId="2B49E90E" w:rsidR="005706D6" w:rsidRPr="004375FF" w:rsidRDefault="001273BF" w:rsidP="00BF09CC">
            <w:pPr>
              <w:spacing w:line="240" w:lineRule="auto"/>
              <w:rPr>
                <w:sz w:val="20"/>
                <w:szCs w:val="20"/>
              </w:rPr>
            </w:pPr>
            <w:r w:rsidRPr="004375FF">
              <w:rPr>
                <w:sz w:val="20"/>
                <w:szCs w:val="20"/>
              </w:rPr>
              <w:t xml:space="preserve">Ms </w:t>
            </w:r>
            <w:r w:rsidR="005706D6" w:rsidRPr="004375FF">
              <w:rPr>
                <w:sz w:val="20"/>
                <w:szCs w:val="20"/>
              </w:rPr>
              <w:t>Elizabeth Campbell-Dorning</w:t>
            </w:r>
          </w:p>
        </w:tc>
        <w:tc>
          <w:tcPr>
            <w:tcW w:w="1685" w:type="pct"/>
          </w:tcPr>
          <w:p w14:paraId="3F4007D2" w14:textId="5A8C0CAF" w:rsidR="005706D6" w:rsidRPr="004375FF" w:rsidRDefault="005C2613" w:rsidP="00BF09CC">
            <w:pPr>
              <w:spacing w:line="240" w:lineRule="auto"/>
              <w:rPr>
                <w:sz w:val="20"/>
                <w:szCs w:val="20"/>
              </w:rPr>
            </w:pPr>
            <w:r w:rsidRPr="004375FF">
              <w:rPr>
                <w:sz w:val="20"/>
                <w:szCs w:val="20"/>
              </w:rPr>
              <w:t>Director, Qualifications Recognition Policy, International Mobility Branch</w:t>
            </w:r>
            <w:r w:rsidRPr="004375FF">
              <w:rPr>
                <w:sz w:val="20"/>
                <w:szCs w:val="20"/>
              </w:rPr>
              <w:br/>
              <w:t>International Group</w:t>
            </w:r>
          </w:p>
        </w:tc>
        <w:tc>
          <w:tcPr>
            <w:tcW w:w="1929" w:type="pct"/>
          </w:tcPr>
          <w:p w14:paraId="37D2B490" w14:textId="2A4E8335" w:rsidR="005706D6" w:rsidRPr="004375FF" w:rsidRDefault="005C2613" w:rsidP="00BF09CC">
            <w:pPr>
              <w:spacing w:line="240" w:lineRule="auto"/>
              <w:rPr>
                <w:sz w:val="20"/>
                <w:szCs w:val="20"/>
              </w:rPr>
            </w:pPr>
            <w:r w:rsidRPr="004375FF">
              <w:rPr>
                <w:sz w:val="20"/>
                <w:szCs w:val="20"/>
              </w:rPr>
              <w:t>Australian Government Department of Education and Training</w:t>
            </w:r>
          </w:p>
        </w:tc>
      </w:tr>
      <w:tr w:rsidR="000014C2" w:rsidRPr="004375FF" w14:paraId="4B78E22F" w14:textId="2965BA40" w:rsidTr="00505C2C">
        <w:tc>
          <w:tcPr>
            <w:tcW w:w="1387" w:type="pct"/>
            <w:shd w:val="clear" w:color="auto" w:fill="F2F2F2" w:themeFill="background1" w:themeFillShade="F2"/>
          </w:tcPr>
          <w:p w14:paraId="34B9D8D1" w14:textId="40E23438" w:rsidR="005706D6" w:rsidRPr="004375FF" w:rsidRDefault="001273BF" w:rsidP="00BF09CC">
            <w:pPr>
              <w:spacing w:line="240" w:lineRule="auto"/>
              <w:rPr>
                <w:sz w:val="20"/>
                <w:szCs w:val="20"/>
              </w:rPr>
            </w:pPr>
            <w:r w:rsidRPr="004375FF">
              <w:rPr>
                <w:sz w:val="20"/>
                <w:szCs w:val="20"/>
              </w:rPr>
              <w:t xml:space="preserve">Ms </w:t>
            </w:r>
            <w:r w:rsidR="005706D6" w:rsidRPr="004375FF">
              <w:rPr>
                <w:sz w:val="20"/>
                <w:szCs w:val="20"/>
              </w:rPr>
              <w:t>Evanor Palacmcmiken</w:t>
            </w:r>
          </w:p>
        </w:tc>
        <w:tc>
          <w:tcPr>
            <w:tcW w:w="1685" w:type="pct"/>
            <w:shd w:val="clear" w:color="auto" w:fill="F2F2F2" w:themeFill="background1" w:themeFillShade="F2"/>
          </w:tcPr>
          <w:p w14:paraId="58BFA70F" w14:textId="5B3427DC" w:rsidR="005706D6" w:rsidRPr="004375FF" w:rsidRDefault="005706D6" w:rsidP="00BF09CC">
            <w:pPr>
              <w:spacing w:line="240" w:lineRule="auto"/>
              <w:rPr>
                <w:sz w:val="20"/>
                <w:szCs w:val="20"/>
              </w:rPr>
            </w:pPr>
            <w:r w:rsidRPr="004375FF">
              <w:rPr>
                <w:sz w:val="20"/>
                <w:szCs w:val="20"/>
              </w:rPr>
              <w:t>Director</w:t>
            </w:r>
            <w:r w:rsidR="00E36C6B" w:rsidRPr="004375FF">
              <w:rPr>
                <w:color w:val="212121"/>
                <w:sz w:val="20"/>
                <w:szCs w:val="20"/>
              </w:rPr>
              <w:t>, PACER Plus Trade Negotiations Section</w:t>
            </w:r>
          </w:p>
        </w:tc>
        <w:tc>
          <w:tcPr>
            <w:tcW w:w="1929" w:type="pct"/>
            <w:shd w:val="clear" w:color="auto" w:fill="F2F2F2" w:themeFill="background1" w:themeFillShade="F2"/>
          </w:tcPr>
          <w:p w14:paraId="3EA6FD18" w14:textId="2FB747A8" w:rsidR="005706D6" w:rsidRPr="004375FF" w:rsidRDefault="00431790" w:rsidP="00BF09CC">
            <w:pPr>
              <w:spacing w:line="240" w:lineRule="auto"/>
              <w:rPr>
                <w:sz w:val="20"/>
                <w:szCs w:val="20"/>
              </w:rPr>
            </w:pPr>
            <w:r w:rsidRPr="004375FF">
              <w:rPr>
                <w:sz w:val="20"/>
                <w:szCs w:val="20"/>
              </w:rPr>
              <w:t xml:space="preserve">Australian Government </w:t>
            </w:r>
            <w:r w:rsidR="00AC4A30" w:rsidRPr="004375FF">
              <w:rPr>
                <w:color w:val="212121"/>
                <w:sz w:val="20"/>
                <w:szCs w:val="20"/>
              </w:rPr>
              <w:t>Department of Foreign Affairs and Trade</w:t>
            </w:r>
          </w:p>
        </w:tc>
      </w:tr>
      <w:tr w:rsidR="000014C2" w:rsidRPr="004375FF" w14:paraId="6BA9E439" w14:textId="77777777" w:rsidTr="00505C2C">
        <w:tc>
          <w:tcPr>
            <w:tcW w:w="1387" w:type="pct"/>
            <w:shd w:val="clear" w:color="auto" w:fill="F2F2F2" w:themeFill="background1" w:themeFillShade="F2"/>
          </w:tcPr>
          <w:p w14:paraId="631BF36B" w14:textId="7E6633C4" w:rsidR="00AC4A30" w:rsidRPr="004375FF" w:rsidRDefault="001273BF" w:rsidP="00BF09CC">
            <w:pPr>
              <w:spacing w:line="240" w:lineRule="auto"/>
              <w:rPr>
                <w:sz w:val="20"/>
                <w:szCs w:val="20"/>
              </w:rPr>
            </w:pPr>
            <w:r w:rsidRPr="004375FF">
              <w:rPr>
                <w:sz w:val="20"/>
                <w:szCs w:val="20"/>
              </w:rPr>
              <w:t xml:space="preserve">Mr </w:t>
            </w:r>
            <w:r w:rsidR="00AC4A30" w:rsidRPr="004375FF">
              <w:rPr>
                <w:sz w:val="20"/>
                <w:szCs w:val="20"/>
              </w:rPr>
              <w:t>Phil Holmes</w:t>
            </w:r>
          </w:p>
        </w:tc>
        <w:tc>
          <w:tcPr>
            <w:tcW w:w="1685" w:type="pct"/>
            <w:shd w:val="clear" w:color="auto" w:fill="F2F2F2" w:themeFill="background1" w:themeFillShade="F2"/>
          </w:tcPr>
          <w:p w14:paraId="42562BA9" w14:textId="04ED946A" w:rsidR="00AC4A30" w:rsidRPr="004375FF" w:rsidRDefault="00AC4A30" w:rsidP="00BF09CC">
            <w:pPr>
              <w:spacing w:line="240" w:lineRule="auto"/>
              <w:rPr>
                <w:sz w:val="20"/>
                <w:szCs w:val="20"/>
              </w:rPr>
            </w:pPr>
            <w:r w:rsidRPr="004375FF">
              <w:rPr>
                <w:sz w:val="20"/>
                <w:szCs w:val="20"/>
              </w:rPr>
              <w:t>Assistant Director</w:t>
            </w:r>
            <w:r w:rsidRPr="004375FF">
              <w:rPr>
                <w:color w:val="212121"/>
                <w:sz w:val="20"/>
                <w:szCs w:val="20"/>
              </w:rPr>
              <w:t>, PACER Plus Trade Negotiations Section</w:t>
            </w:r>
          </w:p>
        </w:tc>
        <w:tc>
          <w:tcPr>
            <w:tcW w:w="1929" w:type="pct"/>
            <w:shd w:val="clear" w:color="auto" w:fill="F2F2F2" w:themeFill="background1" w:themeFillShade="F2"/>
          </w:tcPr>
          <w:p w14:paraId="7ED5D06D" w14:textId="2544BE2B" w:rsidR="00AC4A30" w:rsidRPr="004375FF" w:rsidRDefault="00431790" w:rsidP="00BF09CC">
            <w:pPr>
              <w:spacing w:line="240" w:lineRule="auto"/>
              <w:rPr>
                <w:sz w:val="20"/>
                <w:szCs w:val="20"/>
              </w:rPr>
            </w:pPr>
            <w:r w:rsidRPr="004375FF">
              <w:rPr>
                <w:sz w:val="20"/>
                <w:szCs w:val="20"/>
              </w:rPr>
              <w:t xml:space="preserve">Australian Government </w:t>
            </w:r>
            <w:r w:rsidR="00AC4A30" w:rsidRPr="004375FF">
              <w:rPr>
                <w:color w:val="212121"/>
                <w:sz w:val="20"/>
                <w:szCs w:val="20"/>
              </w:rPr>
              <w:t>Department of Foreign Affairs and Trade</w:t>
            </w:r>
          </w:p>
        </w:tc>
      </w:tr>
      <w:tr w:rsidR="000014C2" w:rsidRPr="004375FF" w14:paraId="43D4F63B" w14:textId="77777777" w:rsidTr="00505C2C">
        <w:tc>
          <w:tcPr>
            <w:tcW w:w="1387" w:type="pct"/>
          </w:tcPr>
          <w:p w14:paraId="1C53F746" w14:textId="31DCD34D" w:rsidR="005706D6" w:rsidRPr="004375FF" w:rsidRDefault="001273BF" w:rsidP="00BF09CC">
            <w:pPr>
              <w:spacing w:line="240" w:lineRule="auto"/>
              <w:rPr>
                <w:sz w:val="20"/>
                <w:szCs w:val="20"/>
              </w:rPr>
            </w:pPr>
            <w:r w:rsidRPr="004375FF">
              <w:rPr>
                <w:sz w:val="20"/>
                <w:szCs w:val="20"/>
              </w:rPr>
              <w:t xml:space="preserve">Mr </w:t>
            </w:r>
            <w:r w:rsidR="005706D6" w:rsidRPr="004375FF">
              <w:rPr>
                <w:sz w:val="20"/>
                <w:szCs w:val="20"/>
              </w:rPr>
              <w:t>Molia Mata’u</w:t>
            </w:r>
          </w:p>
        </w:tc>
        <w:tc>
          <w:tcPr>
            <w:tcW w:w="1685" w:type="pct"/>
          </w:tcPr>
          <w:p w14:paraId="5C41E6FF" w14:textId="54C420A5" w:rsidR="005706D6" w:rsidRPr="004375FF" w:rsidRDefault="00E36C6B" w:rsidP="00BF09CC">
            <w:pPr>
              <w:spacing w:line="240" w:lineRule="auto"/>
              <w:rPr>
                <w:sz w:val="20"/>
                <w:szCs w:val="20"/>
              </w:rPr>
            </w:pPr>
            <w:r w:rsidRPr="004375FF">
              <w:rPr>
                <w:sz w:val="20"/>
                <w:szCs w:val="20"/>
              </w:rPr>
              <w:t>Acting CEO</w:t>
            </w:r>
          </w:p>
        </w:tc>
        <w:tc>
          <w:tcPr>
            <w:tcW w:w="1929" w:type="pct"/>
          </w:tcPr>
          <w:p w14:paraId="6747AD6C" w14:textId="7B31B372" w:rsidR="005706D6" w:rsidRPr="004375FF" w:rsidRDefault="00E36C6B" w:rsidP="00BF09CC">
            <w:pPr>
              <w:spacing w:line="240" w:lineRule="auto"/>
              <w:rPr>
                <w:sz w:val="20"/>
                <w:szCs w:val="20"/>
              </w:rPr>
            </w:pPr>
            <w:r w:rsidRPr="004375FF">
              <w:rPr>
                <w:sz w:val="20"/>
                <w:szCs w:val="20"/>
              </w:rPr>
              <w:t>Samoa Qualifications Authority</w:t>
            </w:r>
            <w:r w:rsidR="00FC60F1" w:rsidRPr="004375FF">
              <w:rPr>
                <w:sz w:val="20"/>
                <w:szCs w:val="20"/>
              </w:rPr>
              <w:t>, Samoa</w:t>
            </w:r>
          </w:p>
        </w:tc>
      </w:tr>
      <w:tr w:rsidR="000014C2" w:rsidRPr="004375FF" w14:paraId="03BF0053" w14:textId="77777777" w:rsidTr="00505C2C">
        <w:tc>
          <w:tcPr>
            <w:tcW w:w="1387" w:type="pct"/>
          </w:tcPr>
          <w:p w14:paraId="231BF40D" w14:textId="7E750AC5" w:rsidR="005706D6" w:rsidRPr="004375FF" w:rsidRDefault="001273BF" w:rsidP="00BF09CC">
            <w:pPr>
              <w:spacing w:line="240" w:lineRule="auto"/>
              <w:rPr>
                <w:sz w:val="20"/>
                <w:szCs w:val="20"/>
              </w:rPr>
            </w:pPr>
            <w:r w:rsidRPr="004375FF">
              <w:rPr>
                <w:sz w:val="20"/>
                <w:szCs w:val="20"/>
              </w:rPr>
              <w:lastRenderedPageBreak/>
              <w:t xml:space="preserve">Ms </w:t>
            </w:r>
            <w:r w:rsidR="00FC60F1" w:rsidRPr="004375FF">
              <w:rPr>
                <w:sz w:val="20"/>
                <w:szCs w:val="20"/>
              </w:rPr>
              <w:t>Melesete Lino Mariner</w:t>
            </w:r>
          </w:p>
        </w:tc>
        <w:tc>
          <w:tcPr>
            <w:tcW w:w="1685" w:type="pct"/>
          </w:tcPr>
          <w:p w14:paraId="026E5FDB" w14:textId="6BC26604" w:rsidR="005706D6" w:rsidRPr="004375FF" w:rsidRDefault="00F204A9" w:rsidP="00BF09CC">
            <w:pPr>
              <w:spacing w:line="240" w:lineRule="auto"/>
              <w:rPr>
                <w:color w:val="1F497D"/>
                <w:sz w:val="20"/>
                <w:szCs w:val="20"/>
                <w:lang w:val="en-US"/>
              </w:rPr>
            </w:pPr>
            <w:r w:rsidRPr="004375FF">
              <w:rPr>
                <w:sz w:val="20"/>
                <w:szCs w:val="20"/>
              </w:rPr>
              <w:t>Assistant CEO, Quality Assurance Division</w:t>
            </w:r>
          </w:p>
        </w:tc>
        <w:tc>
          <w:tcPr>
            <w:tcW w:w="1929" w:type="pct"/>
          </w:tcPr>
          <w:p w14:paraId="5F6012D3" w14:textId="3CBE199F" w:rsidR="005706D6" w:rsidRPr="004375FF" w:rsidRDefault="00AC4A30" w:rsidP="00BF09CC">
            <w:pPr>
              <w:spacing w:line="240" w:lineRule="auto"/>
              <w:rPr>
                <w:sz w:val="20"/>
                <w:szCs w:val="20"/>
              </w:rPr>
            </w:pPr>
            <w:r w:rsidRPr="004375FF">
              <w:rPr>
                <w:sz w:val="20"/>
                <w:szCs w:val="20"/>
              </w:rPr>
              <w:t>Samoa Qualifications Authority</w:t>
            </w:r>
            <w:r w:rsidR="00FC60F1" w:rsidRPr="004375FF">
              <w:rPr>
                <w:sz w:val="20"/>
                <w:szCs w:val="20"/>
              </w:rPr>
              <w:t>, Samoa</w:t>
            </w:r>
          </w:p>
        </w:tc>
      </w:tr>
      <w:tr w:rsidR="000014C2" w:rsidRPr="004375FF" w14:paraId="7CCE5BB9" w14:textId="77777777" w:rsidTr="00505C2C">
        <w:tc>
          <w:tcPr>
            <w:tcW w:w="1387" w:type="pct"/>
          </w:tcPr>
          <w:p w14:paraId="788B0A31" w14:textId="57D90894" w:rsidR="000014C2" w:rsidRPr="004375FF" w:rsidRDefault="000014C2" w:rsidP="00BF09CC">
            <w:pPr>
              <w:spacing w:line="240" w:lineRule="auto"/>
              <w:rPr>
                <w:sz w:val="20"/>
                <w:szCs w:val="20"/>
              </w:rPr>
            </w:pPr>
            <w:r w:rsidRPr="004375FF">
              <w:rPr>
                <w:sz w:val="20"/>
                <w:szCs w:val="20"/>
              </w:rPr>
              <w:t xml:space="preserve">Mr Mose Asani </w:t>
            </w:r>
          </w:p>
        </w:tc>
        <w:tc>
          <w:tcPr>
            <w:tcW w:w="1685" w:type="pct"/>
          </w:tcPr>
          <w:p w14:paraId="0912E09B" w14:textId="3D0B9E80" w:rsidR="000014C2" w:rsidRPr="004375FF" w:rsidRDefault="000014C2" w:rsidP="00BF09CC">
            <w:pPr>
              <w:spacing w:line="240" w:lineRule="auto"/>
              <w:rPr>
                <w:sz w:val="20"/>
                <w:szCs w:val="20"/>
              </w:rPr>
            </w:pPr>
            <w:r w:rsidRPr="004375FF">
              <w:rPr>
                <w:sz w:val="20"/>
                <w:szCs w:val="20"/>
              </w:rPr>
              <w:t xml:space="preserve">Assistant Chief Executive Office, Corporate Services Division </w:t>
            </w:r>
          </w:p>
        </w:tc>
        <w:tc>
          <w:tcPr>
            <w:tcW w:w="1929" w:type="pct"/>
          </w:tcPr>
          <w:p w14:paraId="343F55E1" w14:textId="3AAF51C3" w:rsidR="000014C2" w:rsidRPr="004375FF" w:rsidRDefault="000014C2" w:rsidP="00BF09CC">
            <w:pPr>
              <w:spacing w:line="240" w:lineRule="auto"/>
              <w:rPr>
                <w:sz w:val="20"/>
                <w:szCs w:val="20"/>
              </w:rPr>
            </w:pPr>
            <w:r w:rsidRPr="004375FF">
              <w:rPr>
                <w:sz w:val="20"/>
                <w:szCs w:val="20"/>
              </w:rPr>
              <w:t>Samoa Qualifications Authority, Samoa</w:t>
            </w:r>
          </w:p>
        </w:tc>
      </w:tr>
      <w:tr w:rsidR="000014C2" w:rsidRPr="004375FF" w14:paraId="4A2A67B3" w14:textId="77777777" w:rsidTr="00505C2C">
        <w:tc>
          <w:tcPr>
            <w:tcW w:w="1387" w:type="pct"/>
          </w:tcPr>
          <w:p w14:paraId="090844FD" w14:textId="52CCEDAD" w:rsidR="000014C2" w:rsidRPr="004375FF" w:rsidRDefault="000014C2" w:rsidP="00BF09CC">
            <w:pPr>
              <w:spacing w:line="240" w:lineRule="auto"/>
              <w:rPr>
                <w:sz w:val="20"/>
                <w:szCs w:val="20"/>
              </w:rPr>
            </w:pPr>
            <w:r w:rsidRPr="004375FF">
              <w:rPr>
                <w:sz w:val="20"/>
                <w:szCs w:val="20"/>
              </w:rPr>
              <w:t>Ms Lealiilano Easter Manila Silipa</w:t>
            </w:r>
          </w:p>
        </w:tc>
        <w:tc>
          <w:tcPr>
            <w:tcW w:w="1685" w:type="pct"/>
          </w:tcPr>
          <w:p w14:paraId="1D4B50A4" w14:textId="567BEFD3" w:rsidR="000014C2" w:rsidRPr="004375FF" w:rsidRDefault="000014C2" w:rsidP="00BF09CC">
            <w:pPr>
              <w:spacing w:line="240" w:lineRule="auto"/>
              <w:rPr>
                <w:sz w:val="20"/>
                <w:szCs w:val="20"/>
              </w:rPr>
            </w:pPr>
            <w:r w:rsidRPr="004375FF">
              <w:rPr>
                <w:sz w:val="20"/>
                <w:szCs w:val="20"/>
              </w:rPr>
              <w:t>ACEO</w:t>
            </w:r>
            <w:r w:rsidR="00DF7C4D" w:rsidRPr="004375FF">
              <w:rPr>
                <w:sz w:val="20"/>
                <w:szCs w:val="20"/>
              </w:rPr>
              <w:t xml:space="preserve">, </w:t>
            </w:r>
            <w:r w:rsidRPr="004375FF">
              <w:rPr>
                <w:sz w:val="20"/>
                <w:szCs w:val="20"/>
              </w:rPr>
              <w:t>Research Policy and Planning Division</w:t>
            </w:r>
          </w:p>
        </w:tc>
        <w:tc>
          <w:tcPr>
            <w:tcW w:w="1929" w:type="pct"/>
          </w:tcPr>
          <w:p w14:paraId="6D6155ED" w14:textId="321B5771" w:rsidR="000014C2" w:rsidRPr="004375FF" w:rsidRDefault="000014C2" w:rsidP="00BF09CC">
            <w:pPr>
              <w:spacing w:line="240" w:lineRule="auto"/>
              <w:rPr>
                <w:sz w:val="20"/>
                <w:szCs w:val="20"/>
              </w:rPr>
            </w:pPr>
            <w:r w:rsidRPr="004375FF">
              <w:rPr>
                <w:sz w:val="20"/>
                <w:szCs w:val="20"/>
              </w:rPr>
              <w:t>Samoa Qualifications Authority, Samoa</w:t>
            </w:r>
          </w:p>
        </w:tc>
      </w:tr>
      <w:tr w:rsidR="000014C2" w:rsidRPr="004375FF" w14:paraId="32F8D378" w14:textId="77777777" w:rsidTr="00505C2C">
        <w:tc>
          <w:tcPr>
            <w:tcW w:w="1387" w:type="pct"/>
            <w:shd w:val="clear" w:color="auto" w:fill="F2F2F2" w:themeFill="background1" w:themeFillShade="F2"/>
          </w:tcPr>
          <w:p w14:paraId="5BF701C9" w14:textId="225D08D7" w:rsidR="005706D6" w:rsidRPr="004375FF" w:rsidRDefault="005706D6" w:rsidP="00BF09CC">
            <w:pPr>
              <w:spacing w:line="240" w:lineRule="auto"/>
              <w:rPr>
                <w:sz w:val="20"/>
                <w:szCs w:val="20"/>
              </w:rPr>
            </w:pPr>
            <w:r w:rsidRPr="004375FF">
              <w:rPr>
                <w:bCs/>
                <w:color w:val="212121"/>
                <w:sz w:val="20"/>
                <w:szCs w:val="20"/>
              </w:rPr>
              <w:t xml:space="preserve">Mrs Salote Rabuka </w:t>
            </w:r>
          </w:p>
        </w:tc>
        <w:tc>
          <w:tcPr>
            <w:tcW w:w="1685" w:type="pct"/>
            <w:shd w:val="clear" w:color="auto" w:fill="F2F2F2" w:themeFill="background1" w:themeFillShade="F2"/>
          </w:tcPr>
          <w:p w14:paraId="2E0C5962" w14:textId="542071D0" w:rsidR="005706D6" w:rsidRPr="004375FF" w:rsidRDefault="005706D6" w:rsidP="00BF09CC">
            <w:pPr>
              <w:spacing w:line="240" w:lineRule="auto"/>
              <w:rPr>
                <w:sz w:val="20"/>
                <w:szCs w:val="20"/>
              </w:rPr>
            </w:pPr>
            <w:r w:rsidRPr="004375FF">
              <w:rPr>
                <w:rFonts w:eastAsia="Times New Roman" w:cs="Times New Roman"/>
                <w:bCs/>
                <w:color w:val="212121"/>
                <w:sz w:val="20"/>
                <w:szCs w:val="20"/>
                <w:lang w:eastAsia="en-AU"/>
              </w:rPr>
              <w:t xml:space="preserve">Director </w:t>
            </w:r>
          </w:p>
        </w:tc>
        <w:tc>
          <w:tcPr>
            <w:tcW w:w="1929" w:type="pct"/>
            <w:shd w:val="clear" w:color="auto" w:fill="F2F2F2" w:themeFill="background1" w:themeFillShade="F2"/>
          </w:tcPr>
          <w:p w14:paraId="2ACDC484" w14:textId="2389DEB6" w:rsidR="005706D6" w:rsidRPr="004375FF" w:rsidRDefault="00FC60F1" w:rsidP="00BF09CC">
            <w:pPr>
              <w:spacing w:line="240" w:lineRule="auto"/>
              <w:rPr>
                <w:sz w:val="20"/>
                <w:szCs w:val="20"/>
              </w:rPr>
            </w:pPr>
            <w:r w:rsidRPr="004375FF">
              <w:rPr>
                <w:rFonts w:eastAsia="Times New Roman" w:cs="Times New Roman"/>
                <w:bCs/>
                <w:color w:val="212121"/>
                <w:sz w:val="20"/>
                <w:szCs w:val="20"/>
                <w:lang w:eastAsia="en-AU"/>
              </w:rPr>
              <w:t>Fiji Higher Education Commission, Fiji</w:t>
            </w:r>
          </w:p>
        </w:tc>
      </w:tr>
      <w:tr w:rsidR="000014C2" w:rsidRPr="004375FF" w14:paraId="29BC7F79" w14:textId="77777777" w:rsidTr="00505C2C">
        <w:tc>
          <w:tcPr>
            <w:tcW w:w="1387" w:type="pct"/>
            <w:shd w:val="clear" w:color="auto" w:fill="F2F2F2" w:themeFill="background1" w:themeFillShade="F2"/>
          </w:tcPr>
          <w:p w14:paraId="3EB29C00" w14:textId="3F731C19" w:rsidR="000014C2" w:rsidRPr="004375FF" w:rsidRDefault="000014C2" w:rsidP="00BF09CC">
            <w:pPr>
              <w:spacing w:line="240" w:lineRule="auto"/>
              <w:rPr>
                <w:bCs/>
                <w:color w:val="212121"/>
                <w:sz w:val="20"/>
                <w:szCs w:val="20"/>
              </w:rPr>
            </w:pPr>
            <w:r w:rsidRPr="004375FF">
              <w:rPr>
                <w:bCs/>
                <w:color w:val="212121"/>
                <w:sz w:val="20"/>
                <w:szCs w:val="20"/>
              </w:rPr>
              <w:t>Mr Eci Naisele</w:t>
            </w:r>
          </w:p>
        </w:tc>
        <w:tc>
          <w:tcPr>
            <w:tcW w:w="1685" w:type="pct"/>
            <w:shd w:val="clear" w:color="auto" w:fill="F2F2F2" w:themeFill="background1" w:themeFillShade="F2"/>
          </w:tcPr>
          <w:p w14:paraId="65177846" w14:textId="5F1C6FD9" w:rsidR="000014C2" w:rsidRPr="004375FF" w:rsidRDefault="00351D0E"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Team leader (Professional Services U</w:t>
            </w:r>
            <w:r w:rsidR="000014C2" w:rsidRPr="004375FF">
              <w:rPr>
                <w:rFonts w:eastAsia="Times New Roman" w:cs="Times New Roman"/>
                <w:bCs/>
                <w:color w:val="212121"/>
                <w:sz w:val="20"/>
                <w:szCs w:val="20"/>
                <w:lang w:eastAsia="en-AU"/>
              </w:rPr>
              <w:t>nit)</w:t>
            </w:r>
          </w:p>
        </w:tc>
        <w:tc>
          <w:tcPr>
            <w:tcW w:w="1929" w:type="pct"/>
            <w:shd w:val="clear" w:color="auto" w:fill="F2F2F2" w:themeFill="background1" w:themeFillShade="F2"/>
          </w:tcPr>
          <w:p w14:paraId="506E122F" w14:textId="31D3DF4F" w:rsidR="000014C2" w:rsidRPr="004375FF" w:rsidRDefault="000014C2"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Fiji Higher Education Commission, Fiji</w:t>
            </w:r>
          </w:p>
        </w:tc>
      </w:tr>
      <w:tr w:rsidR="001A70BF" w:rsidRPr="004375FF" w14:paraId="11678262" w14:textId="77777777" w:rsidTr="00505C2C">
        <w:tc>
          <w:tcPr>
            <w:tcW w:w="1387" w:type="pct"/>
            <w:shd w:val="clear" w:color="auto" w:fill="F2F2F2" w:themeFill="background1" w:themeFillShade="F2"/>
          </w:tcPr>
          <w:p w14:paraId="0B89AC15" w14:textId="7189204F" w:rsidR="001A70BF" w:rsidRPr="004375FF" w:rsidRDefault="001A70BF" w:rsidP="00BF09CC">
            <w:pPr>
              <w:spacing w:line="240" w:lineRule="auto"/>
              <w:rPr>
                <w:bCs/>
                <w:color w:val="212121"/>
                <w:sz w:val="20"/>
                <w:szCs w:val="20"/>
              </w:rPr>
            </w:pPr>
            <w:r w:rsidRPr="004375FF">
              <w:rPr>
                <w:bCs/>
                <w:color w:val="212121"/>
                <w:sz w:val="20"/>
                <w:szCs w:val="20"/>
              </w:rPr>
              <w:t>Mr Pita Waqawai</w:t>
            </w:r>
          </w:p>
        </w:tc>
        <w:tc>
          <w:tcPr>
            <w:tcW w:w="1685" w:type="pct"/>
            <w:shd w:val="clear" w:color="auto" w:fill="F2F2F2" w:themeFill="background1" w:themeFillShade="F2"/>
          </w:tcPr>
          <w:p w14:paraId="3B9B66B7" w14:textId="78ECC48E"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Professional Officer – National Qualification Implementation</w:t>
            </w:r>
          </w:p>
        </w:tc>
        <w:tc>
          <w:tcPr>
            <w:tcW w:w="1929" w:type="pct"/>
            <w:shd w:val="clear" w:color="auto" w:fill="F2F2F2" w:themeFill="background1" w:themeFillShade="F2"/>
          </w:tcPr>
          <w:p w14:paraId="53C04017" w14:textId="049DEA58"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Fiji Higher Education Commission, Fiji</w:t>
            </w:r>
          </w:p>
        </w:tc>
      </w:tr>
      <w:tr w:rsidR="001A70BF" w:rsidRPr="004375FF" w14:paraId="6DAC9EBA" w14:textId="77777777" w:rsidTr="00505C2C">
        <w:tc>
          <w:tcPr>
            <w:tcW w:w="1387" w:type="pct"/>
            <w:shd w:val="clear" w:color="auto" w:fill="F2F2F2" w:themeFill="background1" w:themeFillShade="F2"/>
          </w:tcPr>
          <w:p w14:paraId="6A37AC2D" w14:textId="2EF5657F" w:rsidR="001A70BF" w:rsidRPr="004375FF" w:rsidRDefault="001A70BF" w:rsidP="00BF09CC">
            <w:pPr>
              <w:spacing w:line="240" w:lineRule="auto"/>
              <w:rPr>
                <w:bCs/>
                <w:color w:val="212121"/>
                <w:sz w:val="20"/>
                <w:szCs w:val="20"/>
              </w:rPr>
            </w:pPr>
            <w:r w:rsidRPr="004375FF">
              <w:rPr>
                <w:bCs/>
                <w:color w:val="212121"/>
                <w:sz w:val="20"/>
                <w:szCs w:val="20"/>
              </w:rPr>
              <w:t>Ms Ani Lacanivalu</w:t>
            </w:r>
          </w:p>
        </w:tc>
        <w:tc>
          <w:tcPr>
            <w:tcW w:w="1685" w:type="pct"/>
            <w:shd w:val="clear" w:color="auto" w:fill="F2F2F2" w:themeFill="background1" w:themeFillShade="F2"/>
          </w:tcPr>
          <w:p w14:paraId="74D53A8C" w14:textId="46C6F6FE"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 xml:space="preserve">Professional Officer – Accreditation </w:t>
            </w:r>
          </w:p>
        </w:tc>
        <w:tc>
          <w:tcPr>
            <w:tcW w:w="1929" w:type="pct"/>
            <w:shd w:val="clear" w:color="auto" w:fill="F2F2F2" w:themeFill="background1" w:themeFillShade="F2"/>
          </w:tcPr>
          <w:p w14:paraId="333404E5" w14:textId="41E0C460"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Fiji Higher Education Commission, Fiji</w:t>
            </w:r>
          </w:p>
        </w:tc>
      </w:tr>
      <w:tr w:rsidR="001A70BF" w:rsidRPr="004375FF" w14:paraId="55532396" w14:textId="77777777" w:rsidTr="00505C2C">
        <w:tc>
          <w:tcPr>
            <w:tcW w:w="1387" w:type="pct"/>
            <w:shd w:val="clear" w:color="auto" w:fill="F2F2F2" w:themeFill="background1" w:themeFillShade="F2"/>
          </w:tcPr>
          <w:p w14:paraId="0547D2B0" w14:textId="7A46F7BA" w:rsidR="001A70BF" w:rsidRPr="004375FF" w:rsidRDefault="001A70BF" w:rsidP="00BF09CC">
            <w:pPr>
              <w:spacing w:line="240" w:lineRule="auto"/>
              <w:rPr>
                <w:bCs/>
                <w:color w:val="212121"/>
                <w:sz w:val="20"/>
                <w:szCs w:val="20"/>
              </w:rPr>
            </w:pPr>
            <w:r w:rsidRPr="004375FF">
              <w:rPr>
                <w:bCs/>
                <w:color w:val="212121"/>
                <w:sz w:val="20"/>
                <w:szCs w:val="20"/>
              </w:rPr>
              <w:t>Ms Mere Ledu</w:t>
            </w:r>
            <w:r w:rsidR="009C1526" w:rsidRPr="004375FF">
              <w:rPr>
                <w:bCs/>
                <w:color w:val="212121"/>
                <w:sz w:val="20"/>
                <w:szCs w:val="20"/>
              </w:rPr>
              <w:t>a</w:t>
            </w:r>
          </w:p>
        </w:tc>
        <w:tc>
          <w:tcPr>
            <w:tcW w:w="1685" w:type="pct"/>
            <w:shd w:val="clear" w:color="auto" w:fill="F2F2F2" w:themeFill="background1" w:themeFillShade="F2"/>
          </w:tcPr>
          <w:p w14:paraId="2F6A63EF" w14:textId="3097B2A8"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 xml:space="preserve">Programme Assistant – Accreditation </w:t>
            </w:r>
          </w:p>
        </w:tc>
        <w:tc>
          <w:tcPr>
            <w:tcW w:w="1929" w:type="pct"/>
            <w:shd w:val="clear" w:color="auto" w:fill="F2F2F2" w:themeFill="background1" w:themeFillShade="F2"/>
          </w:tcPr>
          <w:p w14:paraId="1F8891EE" w14:textId="6536114E" w:rsidR="001A70BF" w:rsidRPr="004375FF" w:rsidRDefault="001A70BF" w:rsidP="00BF09CC">
            <w:pPr>
              <w:spacing w:line="240" w:lineRule="auto"/>
              <w:rPr>
                <w:rFonts w:eastAsia="Times New Roman" w:cs="Times New Roman"/>
                <w:bCs/>
                <w:color w:val="212121"/>
                <w:sz w:val="20"/>
                <w:szCs w:val="20"/>
                <w:lang w:eastAsia="en-AU"/>
              </w:rPr>
            </w:pPr>
            <w:r w:rsidRPr="004375FF">
              <w:rPr>
                <w:rFonts w:eastAsia="Times New Roman" w:cs="Times New Roman"/>
                <w:bCs/>
                <w:color w:val="212121"/>
                <w:sz w:val="20"/>
                <w:szCs w:val="20"/>
                <w:lang w:eastAsia="en-AU"/>
              </w:rPr>
              <w:t>Fiji Higher Education Commission, Fiji</w:t>
            </w:r>
          </w:p>
        </w:tc>
      </w:tr>
      <w:tr w:rsidR="000014C2" w:rsidRPr="004375FF" w14:paraId="693685C6" w14:textId="77777777" w:rsidTr="00505C2C">
        <w:tc>
          <w:tcPr>
            <w:tcW w:w="1387" w:type="pct"/>
          </w:tcPr>
          <w:p w14:paraId="33EA7E0F" w14:textId="12F9CC3A" w:rsidR="00AC4A30" w:rsidRPr="004375FF" w:rsidRDefault="0020427E" w:rsidP="00BF09CC">
            <w:pPr>
              <w:spacing w:line="240" w:lineRule="auto"/>
              <w:rPr>
                <w:sz w:val="20"/>
                <w:szCs w:val="20"/>
              </w:rPr>
            </w:pPr>
            <w:r w:rsidRPr="004375FF">
              <w:rPr>
                <w:bCs/>
                <w:color w:val="212121"/>
                <w:sz w:val="20"/>
                <w:szCs w:val="20"/>
              </w:rPr>
              <w:t xml:space="preserve">Mr </w:t>
            </w:r>
            <w:r w:rsidR="00F204A9" w:rsidRPr="004375FF">
              <w:rPr>
                <w:bCs/>
                <w:color w:val="212121"/>
                <w:sz w:val="20"/>
                <w:szCs w:val="20"/>
              </w:rPr>
              <w:t>Martin Roy</w:t>
            </w:r>
          </w:p>
        </w:tc>
        <w:tc>
          <w:tcPr>
            <w:tcW w:w="1685" w:type="pct"/>
          </w:tcPr>
          <w:p w14:paraId="45F2E4E8" w14:textId="4729E79E" w:rsidR="00AC4A30" w:rsidRPr="004375FF" w:rsidRDefault="00F204A9" w:rsidP="00BF09CC">
            <w:pPr>
              <w:spacing w:line="240" w:lineRule="auto"/>
              <w:rPr>
                <w:sz w:val="20"/>
                <w:szCs w:val="20"/>
              </w:rPr>
            </w:pPr>
            <w:r w:rsidRPr="004375FF">
              <w:rPr>
                <w:bCs/>
                <w:color w:val="212121"/>
                <w:sz w:val="20"/>
                <w:szCs w:val="20"/>
              </w:rPr>
              <w:t>Senior Trade Advisor</w:t>
            </w:r>
          </w:p>
        </w:tc>
        <w:tc>
          <w:tcPr>
            <w:tcW w:w="1929" w:type="pct"/>
          </w:tcPr>
          <w:p w14:paraId="124481DC" w14:textId="6D9A8815" w:rsidR="00AC4A30" w:rsidRPr="004375FF" w:rsidRDefault="002D43DE" w:rsidP="00BF09CC">
            <w:pPr>
              <w:spacing w:line="240" w:lineRule="auto"/>
              <w:rPr>
                <w:sz w:val="20"/>
                <w:szCs w:val="20"/>
              </w:rPr>
            </w:pPr>
            <w:r w:rsidRPr="004375FF">
              <w:rPr>
                <w:sz w:val="20"/>
                <w:szCs w:val="20"/>
              </w:rPr>
              <w:t>Office of the Chief Trade Adviser (OCTA)</w:t>
            </w:r>
            <w:r w:rsidR="00D2200F" w:rsidRPr="004375FF">
              <w:rPr>
                <w:sz w:val="20"/>
                <w:szCs w:val="20"/>
              </w:rPr>
              <w:t xml:space="preserve">, Vanuatu </w:t>
            </w:r>
          </w:p>
        </w:tc>
      </w:tr>
      <w:tr w:rsidR="000014C2" w:rsidRPr="004375FF" w14:paraId="5E8301CC" w14:textId="77777777" w:rsidTr="00505C2C">
        <w:tc>
          <w:tcPr>
            <w:tcW w:w="1387" w:type="pct"/>
          </w:tcPr>
          <w:p w14:paraId="6BB6E740" w14:textId="0171D1EE" w:rsidR="00AC4A30" w:rsidRPr="004375FF" w:rsidRDefault="001273BF" w:rsidP="00BF09CC">
            <w:pPr>
              <w:spacing w:line="240" w:lineRule="auto"/>
              <w:rPr>
                <w:sz w:val="20"/>
                <w:szCs w:val="20"/>
              </w:rPr>
            </w:pPr>
            <w:r w:rsidRPr="004375FF">
              <w:rPr>
                <w:bCs/>
                <w:color w:val="212121"/>
                <w:sz w:val="20"/>
                <w:szCs w:val="20"/>
              </w:rPr>
              <w:t xml:space="preserve">Mr </w:t>
            </w:r>
            <w:r w:rsidR="00AC4A30" w:rsidRPr="004375FF">
              <w:rPr>
                <w:bCs/>
                <w:color w:val="212121"/>
                <w:sz w:val="20"/>
                <w:szCs w:val="20"/>
              </w:rPr>
              <w:t>Steve Siro</w:t>
            </w:r>
          </w:p>
        </w:tc>
        <w:tc>
          <w:tcPr>
            <w:tcW w:w="1685" w:type="pct"/>
          </w:tcPr>
          <w:p w14:paraId="62D278C9" w14:textId="44A09576" w:rsidR="00AC4A30" w:rsidRPr="004375FF" w:rsidRDefault="002D43DE" w:rsidP="00BF09CC">
            <w:pPr>
              <w:spacing w:line="240" w:lineRule="auto"/>
              <w:rPr>
                <w:sz w:val="20"/>
                <w:szCs w:val="20"/>
              </w:rPr>
            </w:pPr>
            <w:r w:rsidRPr="004375FF">
              <w:rPr>
                <w:sz w:val="20"/>
                <w:szCs w:val="20"/>
              </w:rPr>
              <w:t>Trade Policy Officer</w:t>
            </w:r>
          </w:p>
        </w:tc>
        <w:tc>
          <w:tcPr>
            <w:tcW w:w="1929" w:type="pct"/>
          </w:tcPr>
          <w:p w14:paraId="3F709EA5" w14:textId="6909A1DE" w:rsidR="00AC4A30" w:rsidRPr="004375FF" w:rsidRDefault="00D2200F" w:rsidP="00BF09CC">
            <w:pPr>
              <w:spacing w:line="240" w:lineRule="auto"/>
              <w:rPr>
                <w:sz w:val="20"/>
                <w:szCs w:val="20"/>
              </w:rPr>
            </w:pPr>
            <w:r w:rsidRPr="004375FF">
              <w:rPr>
                <w:sz w:val="20"/>
                <w:szCs w:val="20"/>
              </w:rPr>
              <w:t>Office of the Chief Trade Adviser (OCTA), Vanuatu</w:t>
            </w:r>
          </w:p>
        </w:tc>
      </w:tr>
      <w:tr w:rsidR="0060448E" w:rsidRPr="004375FF" w14:paraId="1DFBB777" w14:textId="77777777" w:rsidTr="00505C2C">
        <w:tc>
          <w:tcPr>
            <w:tcW w:w="1387" w:type="pct"/>
            <w:shd w:val="clear" w:color="auto" w:fill="F2F2F2" w:themeFill="background1" w:themeFillShade="F2"/>
          </w:tcPr>
          <w:p w14:paraId="62E8D17D" w14:textId="068F416D" w:rsidR="0060448E" w:rsidRPr="004375FF" w:rsidRDefault="0060448E" w:rsidP="00BF09CC">
            <w:pPr>
              <w:spacing w:line="240" w:lineRule="auto"/>
              <w:rPr>
                <w:sz w:val="20"/>
                <w:szCs w:val="20"/>
              </w:rPr>
            </w:pPr>
            <w:r w:rsidRPr="004375FF">
              <w:rPr>
                <w:sz w:val="20"/>
                <w:szCs w:val="20"/>
              </w:rPr>
              <w:t>Mr Sailosi Kepa</w:t>
            </w:r>
          </w:p>
        </w:tc>
        <w:tc>
          <w:tcPr>
            <w:tcW w:w="1685" w:type="pct"/>
            <w:shd w:val="clear" w:color="auto" w:fill="F2F2F2" w:themeFill="background1" w:themeFillShade="F2"/>
          </w:tcPr>
          <w:p w14:paraId="18B99535" w14:textId="27CF2641" w:rsidR="0060448E" w:rsidRPr="004375FF" w:rsidRDefault="00F204A9" w:rsidP="00BF09CC">
            <w:pPr>
              <w:spacing w:line="240" w:lineRule="auto"/>
              <w:rPr>
                <w:color w:val="1F497D"/>
                <w:sz w:val="20"/>
                <w:szCs w:val="20"/>
                <w:lang w:val="en-US"/>
              </w:rPr>
            </w:pPr>
            <w:r w:rsidRPr="004375FF">
              <w:rPr>
                <w:sz w:val="20"/>
                <w:szCs w:val="20"/>
              </w:rPr>
              <w:t>Trade Policy Officer,</w:t>
            </w:r>
            <w:r w:rsidR="0020427E" w:rsidRPr="004375FF">
              <w:rPr>
                <w:sz w:val="20"/>
                <w:szCs w:val="20"/>
              </w:rPr>
              <w:t xml:space="preserve"> </w:t>
            </w:r>
            <w:r w:rsidRPr="004375FF">
              <w:rPr>
                <w:sz w:val="20"/>
                <w:szCs w:val="20"/>
              </w:rPr>
              <w:t>Economic Governance Programme,</w:t>
            </w:r>
          </w:p>
        </w:tc>
        <w:tc>
          <w:tcPr>
            <w:tcW w:w="1929" w:type="pct"/>
            <w:shd w:val="clear" w:color="auto" w:fill="F2F2F2" w:themeFill="background1" w:themeFillShade="F2"/>
          </w:tcPr>
          <w:p w14:paraId="229DE234" w14:textId="28C724B4" w:rsidR="0060448E" w:rsidRPr="004375FF" w:rsidRDefault="0060448E" w:rsidP="00BF09CC">
            <w:pPr>
              <w:spacing w:line="240" w:lineRule="auto"/>
              <w:rPr>
                <w:sz w:val="20"/>
                <w:szCs w:val="20"/>
              </w:rPr>
            </w:pPr>
            <w:r w:rsidRPr="004375FF">
              <w:rPr>
                <w:sz w:val="20"/>
                <w:szCs w:val="20"/>
              </w:rPr>
              <w:t>P</w:t>
            </w:r>
            <w:r w:rsidR="006E6FC6" w:rsidRPr="004375FF">
              <w:rPr>
                <w:sz w:val="20"/>
                <w:szCs w:val="20"/>
              </w:rPr>
              <w:t xml:space="preserve">acific </w:t>
            </w:r>
            <w:r w:rsidRPr="004375FF">
              <w:rPr>
                <w:sz w:val="20"/>
                <w:szCs w:val="20"/>
              </w:rPr>
              <w:t>I</w:t>
            </w:r>
            <w:r w:rsidR="006E6FC6" w:rsidRPr="004375FF">
              <w:rPr>
                <w:sz w:val="20"/>
                <w:szCs w:val="20"/>
              </w:rPr>
              <w:t xml:space="preserve">sland </w:t>
            </w:r>
            <w:r w:rsidRPr="004375FF">
              <w:rPr>
                <w:sz w:val="20"/>
                <w:szCs w:val="20"/>
              </w:rPr>
              <w:t>F</w:t>
            </w:r>
            <w:r w:rsidR="006E6FC6" w:rsidRPr="004375FF">
              <w:rPr>
                <w:sz w:val="20"/>
                <w:szCs w:val="20"/>
              </w:rPr>
              <w:t xml:space="preserve">orum </w:t>
            </w:r>
            <w:r w:rsidRPr="004375FF">
              <w:rPr>
                <w:sz w:val="20"/>
                <w:szCs w:val="20"/>
              </w:rPr>
              <w:t>S</w:t>
            </w:r>
            <w:r w:rsidR="006E6FC6" w:rsidRPr="004375FF">
              <w:rPr>
                <w:sz w:val="20"/>
                <w:szCs w:val="20"/>
              </w:rPr>
              <w:t>ecretariat</w:t>
            </w:r>
            <w:r w:rsidR="00FD2E1F" w:rsidRPr="004375FF">
              <w:rPr>
                <w:sz w:val="20"/>
                <w:szCs w:val="20"/>
              </w:rPr>
              <w:t>, Suva</w:t>
            </w:r>
          </w:p>
        </w:tc>
      </w:tr>
      <w:tr w:rsidR="0060448E" w:rsidRPr="004375FF" w14:paraId="1E86A793" w14:textId="77777777" w:rsidTr="00505C2C">
        <w:tc>
          <w:tcPr>
            <w:tcW w:w="1387" w:type="pct"/>
            <w:shd w:val="clear" w:color="auto" w:fill="F2F2F2" w:themeFill="background1" w:themeFillShade="F2"/>
          </w:tcPr>
          <w:p w14:paraId="5CBA0A26" w14:textId="40CD9B49" w:rsidR="0060448E" w:rsidRPr="004375FF" w:rsidRDefault="0060448E" w:rsidP="00BF09CC">
            <w:pPr>
              <w:spacing w:line="240" w:lineRule="auto"/>
              <w:rPr>
                <w:sz w:val="20"/>
                <w:szCs w:val="20"/>
              </w:rPr>
            </w:pPr>
            <w:r w:rsidRPr="004375FF">
              <w:rPr>
                <w:sz w:val="20"/>
                <w:szCs w:val="20"/>
              </w:rPr>
              <w:t>Mr Filipe Jitoko</w:t>
            </w:r>
          </w:p>
        </w:tc>
        <w:tc>
          <w:tcPr>
            <w:tcW w:w="1685" w:type="pct"/>
            <w:shd w:val="clear" w:color="auto" w:fill="F2F2F2" w:themeFill="background1" w:themeFillShade="F2"/>
          </w:tcPr>
          <w:p w14:paraId="68243D4D" w14:textId="69CD2182" w:rsidR="0060448E" w:rsidRPr="004375FF" w:rsidRDefault="00F204A9" w:rsidP="00BF09CC">
            <w:pPr>
              <w:spacing w:line="240" w:lineRule="auto"/>
              <w:rPr>
                <w:color w:val="1F497D"/>
                <w:sz w:val="20"/>
                <w:szCs w:val="20"/>
                <w:lang w:val="en-NZ"/>
              </w:rPr>
            </w:pPr>
            <w:r w:rsidRPr="004375FF">
              <w:rPr>
                <w:sz w:val="20"/>
                <w:szCs w:val="20"/>
              </w:rPr>
              <w:t>Social Policy Adviser</w:t>
            </w:r>
          </w:p>
        </w:tc>
        <w:tc>
          <w:tcPr>
            <w:tcW w:w="1929" w:type="pct"/>
            <w:shd w:val="clear" w:color="auto" w:fill="F2F2F2" w:themeFill="background1" w:themeFillShade="F2"/>
          </w:tcPr>
          <w:p w14:paraId="5150A995" w14:textId="7AD7DB63" w:rsidR="0060448E" w:rsidRPr="004375FF" w:rsidRDefault="006E6FC6" w:rsidP="00BF09CC">
            <w:pPr>
              <w:spacing w:line="240" w:lineRule="auto"/>
              <w:rPr>
                <w:sz w:val="20"/>
                <w:szCs w:val="20"/>
              </w:rPr>
            </w:pPr>
            <w:r w:rsidRPr="004375FF">
              <w:rPr>
                <w:sz w:val="20"/>
                <w:szCs w:val="20"/>
              </w:rPr>
              <w:t>Pacific Island Forum Secretariat</w:t>
            </w:r>
            <w:r w:rsidR="00FD2E1F" w:rsidRPr="004375FF">
              <w:rPr>
                <w:sz w:val="20"/>
                <w:szCs w:val="20"/>
              </w:rPr>
              <w:t>, Suva</w:t>
            </w:r>
          </w:p>
        </w:tc>
      </w:tr>
      <w:tr w:rsidR="000014C2" w:rsidRPr="004375FF" w14:paraId="6B1B6DA3" w14:textId="77777777" w:rsidTr="00505C2C">
        <w:tc>
          <w:tcPr>
            <w:tcW w:w="1387" w:type="pct"/>
          </w:tcPr>
          <w:p w14:paraId="2ED78234" w14:textId="69FBD8F1" w:rsidR="005706D6" w:rsidRPr="004375FF" w:rsidRDefault="005706D6" w:rsidP="00BF09CC">
            <w:pPr>
              <w:spacing w:line="240" w:lineRule="auto"/>
              <w:rPr>
                <w:bCs/>
                <w:color w:val="212121"/>
                <w:sz w:val="20"/>
                <w:szCs w:val="20"/>
              </w:rPr>
            </w:pPr>
            <w:r w:rsidRPr="004375FF">
              <w:rPr>
                <w:bCs/>
                <w:color w:val="212121"/>
                <w:sz w:val="20"/>
                <w:szCs w:val="20"/>
              </w:rPr>
              <w:t>Dr Akanisi Kedrayate</w:t>
            </w:r>
            <w:r w:rsidR="005E35F5" w:rsidRPr="004375FF">
              <w:rPr>
                <w:bCs/>
                <w:color w:val="212121"/>
                <w:sz w:val="20"/>
                <w:szCs w:val="20"/>
              </w:rPr>
              <w:t>-Tabualevu</w:t>
            </w:r>
          </w:p>
        </w:tc>
        <w:tc>
          <w:tcPr>
            <w:tcW w:w="1685" w:type="pct"/>
          </w:tcPr>
          <w:p w14:paraId="1CAAC987" w14:textId="12407090" w:rsidR="005706D6" w:rsidRPr="004375FF" w:rsidRDefault="005E35F5" w:rsidP="00BF09CC">
            <w:pPr>
              <w:spacing w:line="240" w:lineRule="auto"/>
              <w:rPr>
                <w:bCs/>
                <w:color w:val="212121"/>
                <w:sz w:val="20"/>
                <w:szCs w:val="20"/>
              </w:rPr>
            </w:pPr>
            <w:r w:rsidRPr="004375FF">
              <w:rPr>
                <w:bCs/>
                <w:color w:val="212121"/>
                <w:sz w:val="20"/>
                <w:szCs w:val="20"/>
              </w:rPr>
              <w:t>Dean of the Faculty of Arts, Law and Education</w:t>
            </w:r>
          </w:p>
        </w:tc>
        <w:tc>
          <w:tcPr>
            <w:tcW w:w="1929" w:type="pct"/>
          </w:tcPr>
          <w:p w14:paraId="5F020234" w14:textId="06EAD16B" w:rsidR="005706D6" w:rsidRPr="004375FF" w:rsidRDefault="005E35F5" w:rsidP="00BF09CC">
            <w:pPr>
              <w:spacing w:line="240" w:lineRule="auto"/>
              <w:rPr>
                <w:bCs/>
                <w:color w:val="212121"/>
                <w:sz w:val="20"/>
                <w:szCs w:val="20"/>
              </w:rPr>
            </w:pPr>
            <w:r w:rsidRPr="004375FF">
              <w:rPr>
                <w:bCs/>
                <w:color w:val="212121"/>
                <w:sz w:val="20"/>
                <w:szCs w:val="20"/>
              </w:rPr>
              <w:t>The University of the South Pacific</w:t>
            </w:r>
          </w:p>
        </w:tc>
      </w:tr>
      <w:tr w:rsidR="000014C2" w:rsidRPr="004375FF" w14:paraId="66F7B6AF" w14:textId="77777777" w:rsidTr="00505C2C">
        <w:tc>
          <w:tcPr>
            <w:tcW w:w="1387" w:type="pct"/>
            <w:shd w:val="clear" w:color="auto" w:fill="F2F2F2" w:themeFill="background1" w:themeFillShade="F2"/>
          </w:tcPr>
          <w:p w14:paraId="164A03DF" w14:textId="13F4B748" w:rsidR="005706D6" w:rsidRPr="004375FF" w:rsidRDefault="001273BF" w:rsidP="00BF09CC">
            <w:pPr>
              <w:spacing w:line="240" w:lineRule="auto"/>
              <w:rPr>
                <w:sz w:val="20"/>
                <w:szCs w:val="20"/>
              </w:rPr>
            </w:pPr>
            <w:r w:rsidRPr="004375FF">
              <w:rPr>
                <w:bCs/>
                <w:color w:val="212121"/>
                <w:sz w:val="20"/>
                <w:szCs w:val="20"/>
              </w:rPr>
              <w:t xml:space="preserve">Ms </w:t>
            </w:r>
            <w:r w:rsidR="005706D6" w:rsidRPr="004375FF">
              <w:rPr>
                <w:bCs/>
                <w:color w:val="212121"/>
                <w:sz w:val="20"/>
                <w:szCs w:val="20"/>
              </w:rPr>
              <w:t xml:space="preserve">Aiolupotea Lili Tuioti </w:t>
            </w:r>
          </w:p>
        </w:tc>
        <w:tc>
          <w:tcPr>
            <w:tcW w:w="1685" w:type="pct"/>
            <w:shd w:val="clear" w:color="auto" w:fill="F2F2F2" w:themeFill="background1" w:themeFillShade="F2"/>
          </w:tcPr>
          <w:p w14:paraId="30834D04" w14:textId="46341F1E" w:rsidR="005706D6" w:rsidRPr="004375FF" w:rsidRDefault="005706D6" w:rsidP="00BF09CC">
            <w:pPr>
              <w:spacing w:line="240" w:lineRule="auto"/>
              <w:rPr>
                <w:sz w:val="20"/>
                <w:szCs w:val="20"/>
              </w:rPr>
            </w:pPr>
            <w:r w:rsidRPr="004375FF">
              <w:rPr>
                <w:bCs/>
                <w:color w:val="212121"/>
                <w:sz w:val="20"/>
                <w:szCs w:val="20"/>
              </w:rPr>
              <w:t>Chief Advisor Pasifika</w:t>
            </w:r>
            <w:r w:rsidR="001B2CA3" w:rsidRPr="004375FF">
              <w:rPr>
                <w:bCs/>
                <w:color w:val="212121"/>
                <w:sz w:val="20"/>
                <w:szCs w:val="20"/>
              </w:rPr>
              <w:t xml:space="preserve">, </w:t>
            </w:r>
            <w:r w:rsidR="001B2CA3" w:rsidRPr="004375FF">
              <w:rPr>
                <w:sz w:val="20"/>
                <w:szCs w:val="20"/>
              </w:rPr>
              <w:t>International and Policy</w:t>
            </w:r>
          </w:p>
        </w:tc>
        <w:tc>
          <w:tcPr>
            <w:tcW w:w="1929" w:type="pct"/>
            <w:shd w:val="clear" w:color="auto" w:fill="F2F2F2" w:themeFill="background1" w:themeFillShade="F2"/>
          </w:tcPr>
          <w:p w14:paraId="382E6579" w14:textId="3EF75E2C" w:rsidR="005706D6" w:rsidRPr="004375FF" w:rsidRDefault="001B2CA3" w:rsidP="00BF09CC">
            <w:pPr>
              <w:spacing w:line="240" w:lineRule="auto"/>
              <w:rPr>
                <w:sz w:val="20"/>
                <w:szCs w:val="20"/>
              </w:rPr>
            </w:pPr>
            <w:r w:rsidRPr="004375FF">
              <w:rPr>
                <w:sz w:val="20"/>
                <w:szCs w:val="20"/>
              </w:rPr>
              <w:t>New Zealand Qualifications Authority</w:t>
            </w:r>
          </w:p>
        </w:tc>
      </w:tr>
      <w:tr w:rsidR="000014C2" w:rsidRPr="004375FF" w14:paraId="71E3D119" w14:textId="21F632D5" w:rsidTr="00505C2C">
        <w:tc>
          <w:tcPr>
            <w:tcW w:w="1387" w:type="pct"/>
            <w:shd w:val="clear" w:color="auto" w:fill="F2F2F2" w:themeFill="background1" w:themeFillShade="F2"/>
          </w:tcPr>
          <w:p w14:paraId="47D60157" w14:textId="489D45A5" w:rsidR="005706D6" w:rsidRPr="004375FF" w:rsidRDefault="001273BF" w:rsidP="00BF09CC">
            <w:pPr>
              <w:spacing w:line="240" w:lineRule="auto"/>
              <w:rPr>
                <w:sz w:val="20"/>
                <w:szCs w:val="20"/>
              </w:rPr>
            </w:pPr>
            <w:r w:rsidRPr="004375FF">
              <w:rPr>
                <w:bCs/>
                <w:color w:val="212121"/>
                <w:sz w:val="20"/>
                <w:szCs w:val="20"/>
              </w:rPr>
              <w:t xml:space="preserve">Ms </w:t>
            </w:r>
            <w:r w:rsidR="005706D6" w:rsidRPr="004375FF">
              <w:rPr>
                <w:bCs/>
                <w:color w:val="212121"/>
                <w:sz w:val="20"/>
                <w:szCs w:val="20"/>
              </w:rPr>
              <w:t>Karen Chalmers</w:t>
            </w:r>
          </w:p>
        </w:tc>
        <w:tc>
          <w:tcPr>
            <w:tcW w:w="1685" w:type="pct"/>
            <w:shd w:val="clear" w:color="auto" w:fill="F2F2F2" w:themeFill="background1" w:themeFillShade="F2"/>
          </w:tcPr>
          <w:p w14:paraId="77FE4D2E" w14:textId="748CE38C" w:rsidR="005706D6" w:rsidRPr="004375FF" w:rsidRDefault="001B2CA3" w:rsidP="00BF09CC">
            <w:pPr>
              <w:spacing w:line="240" w:lineRule="auto"/>
              <w:rPr>
                <w:sz w:val="20"/>
                <w:szCs w:val="20"/>
              </w:rPr>
            </w:pPr>
            <w:r w:rsidRPr="004375FF">
              <w:rPr>
                <w:sz w:val="20"/>
                <w:szCs w:val="20"/>
              </w:rPr>
              <w:t>Director International and Policy, International and Policy</w:t>
            </w:r>
          </w:p>
        </w:tc>
        <w:tc>
          <w:tcPr>
            <w:tcW w:w="1929" w:type="pct"/>
            <w:shd w:val="clear" w:color="auto" w:fill="F2F2F2" w:themeFill="background1" w:themeFillShade="F2"/>
          </w:tcPr>
          <w:p w14:paraId="7D08C7F4" w14:textId="03E80B8E" w:rsidR="005706D6" w:rsidRPr="004375FF" w:rsidRDefault="001B2CA3" w:rsidP="00BF09CC">
            <w:pPr>
              <w:spacing w:line="240" w:lineRule="auto"/>
              <w:rPr>
                <w:sz w:val="20"/>
                <w:szCs w:val="20"/>
              </w:rPr>
            </w:pPr>
            <w:r w:rsidRPr="004375FF">
              <w:rPr>
                <w:sz w:val="20"/>
                <w:szCs w:val="20"/>
              </w:rPr>
              <w:t>New Zealand Qualifications Authority</w:t>
            </w:r>
          </w:p>
        </w:tc>
      </w:tr>
      <w:tr w:rsidR="000014C2" w:rsidRPr="004375FF" w14:paraId="40E6AE5E" w14:textId="54EBCCC8" w:rsidTr="00505C2C">
        <w:tc>
          <w:tcPr>
            <w:tcW w:w="1387" w:type="pct"/>
          </w:tcPr>
          <w:p w14:paraId="4BD9A1CB" w14:textId="2ACB16B2" w:rsidR="005706D6" w:rsidRPr="004375FF" w:rsidRDefault="001273BF" w:rsidP="00BF09CC">
            <w:pPr>
              <w:spacing w:line="240" w:lineRule="auto"/>
              <w:rPr>
                <w:sz w:val="20"/>
                <w:szCs w:val="20"/>
              </w:rPr>
            </w:pPr>
            <w:r w:rsidRPr="004375FF">
              <w:rPr>
                <w:sz w:val="20"/>
                <w:szCs w:val="20"/>
              </w:rPr>
              <w:t xml:space="preserve">Dr </w:t>
            </w:r>
            <w:r w:rsidR="00E36C6B" w:rsidRPr="004375FF">
              <w:rPr>
                <w:sz w:val="20"/>
                <w:szCs w:val="20"/>
              </w:rPr>
              <w:t>Franco Rodie</w:t>
            </w:r>
          </w:p>
        </w:tc>
        <w:tc>
          <w:tcPr>
            <w:tcW w:w="1685" w:type="pct"/>
          </w:tcPr>
          <w:p w14:paraId="7720D05E" w14:textId="3C51B7A7" w:rsidR="005706D6" w:rsidRPr="004375FF" w:rsidRDefault="00E36C6B" w:rsidP="00BF09CC">
            <w:pPr>
              <w:spacing w:line="240" w:lineRule="auto"/>
              <w:rPr>
                <w:sz w:val="20"/>
                <w:szCs w:val="20"/>
              </w:rPr>
            </w:pPr>
            <w:r w:rsidRPr="004375FF">
              <w:rPr>
                <w:sz w:val="20"/>
                <w:szCs w:val="20"/>
              </w:rPr>
              <w:t xml:space="preserve">Permanent Secretary </w:t>
            </w:r>
          </w:p>
        </w:tc>
        <w:tc>
          <w:tcPr>
            <w:tcW w:w="1929" w:type="pct"/>
          </w:tcPr>
          <w:p w14:paraId="751BF948" w14:textId="3857CFD4" w:rsidR="005706D6" w:rsidRPr="004375FF" w:rsidRDefault="00105671" w:rsidP="00BF09CC">
            <w:pPr>
              <w:spacing w:line="240" w:lineRule="auto"/>
              <w:rPr>
                <w:sz w:val="20"/>
                <w:szCs w:val="20"/>
              </w:rPr>
            </w:pPr>
            <w:r w:rsidRPr="004375FF">
              <w:rPr>
                <w:sz w:val="20"/>
                <w:szCs w:val="20"/>
              </w:rPr>
              <w:t>Ministry of Education, Human Resource Development, Solomon Islands</w:t>
            </w:r>
          </w:p>
        </w:tc>
      </w:tr>
      <w:tr w:rsidR="0037585D" w:rsidRPr="004375FF" w14:paraId="3F43ADD8" w14:textId="77777777" w:rsidTr="00505C2C">
        <w:tc>
          <w:tcPr>
            <w:tcW w:w="1387" w:type="pct"/>
            <w:shd w:val="clear" w:color="auto" w:fill="F2F2F2" w:themeFill="background1" w:themeFillShade="F2"/>
          </w:tcPr>
          <w:p w14:paraId="6F6E6222" w14:textId="2C49A8E5" w:rsidR="00E36C6B" w:rsidRPr="004375FF" w:rsidRDefault="00B30652" w:rsidP="00BF09CC">
            <w:pPr>
              <w:spacing w:line="240" w:lineRule="auto"/>
              <w:rPr>
                <w:sz w:val="20"/>
                <w:szCs w:val="20"/>
              </w:rPr>
            </w:pPr>
            <w:r w:rsidRPr="004375FF">
              <w:rPr>
                <w:sz w:val="20"/>
                <w:szCs w:val="20"/>
              </w:rPr>
              <w:t xml:space="preserve">Mr </w:t>
            </w:r>
            <w:r w:rsidR="002D43DE" w:rsidRPr="004375FF">
              <w:rPr>
                <w:sz w:val="20"/>
                <w:szCs w:val="20"/>
              </w:rPr>
              <w:t xml:space="preserve">David </w:t>
            </w:r>
            <w:r w:rsidR="000014C2" w:rsidRPr="004375FF">
              <w:rPr>
                <w:sz w:val="20"/>
                <w:szCs w:val="20"/>
              </w:rPr>
              <w:t>Lambukly</w:t>
            </w:r>
          </w:p>
        </w:tc>
        <w:tc>
          <w:tcPr>
            <w:tcW w:w="1685" w:type="pct"/>
            <w:shd w:val="clear" w:color="auto" w:fill="F2F2F2" w:themeFill="background1" w:themeFillShade="F2"/>
          </w:tcPr>
          <w:p w14:paraId="78B79F98" w14:textId="720D1F35" w:rsidR="00E36C6B" w:rsidRPr="004375FF" w:rsidRDefault="002D43DE" w:rsidP="00BF09CC">
            <w:pPr>
              <w:spacing w:line="240" w:lineRule="auto"/>
              <w:rPr>
                <w:sz w:val="20"/>
                <w:szCs w:val="20"/>
              </w:rPr>
            </w:pPr>
            <w:r w:rsidRPr="004375FF">
              <w:rPr>
                <w:sz w:val="20"/>
                <w:szCs w:val="20"/>
              </w:rPr>
              <w:t>Chief Executive Officer</w:t>
            </w:r>
          </w:p>
        </w:tc>
        <w:tc>
          <w:tcPr>
            <w:tcW w:w="1929" w:type="pct"/>
            <w:shd w:val="clear" w:color="auto" w:fill="F2F2F2" w:themeFill="background1" w:themeFillShade="F2"/>
          </w:tcPr>
          <w:p w14:paraId="37728421" w14:textId="140E21FC" w:rsidR="00E36C6B" w:rsidRPr="004375FF" w:rsidRDefault="00E36C6B" w:rsidP="00BF09CC">
            <w:pPr>
              <w:spacing w:line="240" w:lineRule="auto"/>
              <w:rPr>
                <w:sz w:val="20"/>
                <w:szCs w:val="20"/>
              </w:rPr>
            </w:pPr>
            <w:r w:rsidRPr="004375FF">
              <w:rPr>
                <w:sz w:val="20"/>
                <w:szCs w:val="20"/>
              </w:rPr>
              <w:t>Vanuatu Qualifications Authority</w:t>
            </w:r>
            <w:r w:rsidR="002D43DE" w:rsidRPr="004375FF">
              <w:rPr>
                <w:sz w:val="20"/>
                <w:szCs w:val="20"/>
              </w:rPr>
              <w:t>, Vanuatu</w:t>
            </w:r>
          </w:p>
        </w:tc>
      </w:tr>
      <w:tr w:rsidR="000014C2" w:rsidRPr="004375FF" w14:paraId="40FC0931" w14:textId="77777777" w:rsidTr="00505C2C">
        <w:tc>
          <w:tcPr>
            <w:tcW w:w="1387" w:type="pct"/>
          </w:tcPr>
          <w:p w14:paraId="70979720" w14:textId="45D60863" w:rsidR="00105671" w:rsidRPr="004375FF" w:rsidRDefault="000014C2" w:rsidP="00BF09CC">
            <w:pPr>
              <w:spacing w:line="240" w:lineRule="auto"/>
              <w:rPr>
                <w:sz w:val="20"/>
                <w:szCs w:val="20"/>
              </w:rPr>
            </w:pPr>
            <w:r w:rsidRPr="004375FF">
              <w:rPr>
                <w:sz w:val="20"/>
                <w:szCs w:val="20"/>
              </w:rPr>
              <w:t>Pesetã Dr Desmond Mene Lee-Hang</w:t>
            </w:r>
          </w:p>
        </w:tc>
        <w:tc>
          <w:tcPr>
            <w:tcW w:w="1685" w:type="pct"/>
          </w:tcPr>
          <w:p w14:paraId="028D93A6" w14:textId="3F0C8838" w:rsidR="00105671" w:rsidRPr="004375FF" w:rsidRDefault="000014C2" w:rsidP="00BF09CC">
            <w:pPr>
              <w:spacing w:line="240" w:lineRule="auto"/>
              <w:rPr>
                <w:sz w:val="20"/>
                <w:szCs w:val="20"/>
              </w:rPr>
            </w:pPr>
            <w:r w:rsidRPr="004375FF">
              <w:rPr>
                <w:sz w:val="20"/>
                <w:szCs w:val="20"/>
              </w:rPr>
              <w:t>Deputy Vice Chancellor (Academic and Research)</w:t>
            </w:r>
          </w:p>
        </w:tc>
        <w:tc>
          <w:tcPr>
            <w:tcW w:w="1929" w:type="pct"/>
          </w:tcPr>
          <w:p w14:paraId="0C6605E0" w14:textId="17B58066" w:rsidR="00105671" w:rsidRPr="004375FF" w:rsidRDefault="00105671" w:rsidP="00BF09CC">
            <w:pPr>
              <w:spacing w:line="240" w:lineRule="auto"/>
              <w:rPr>
                <w:sz w:val="20"/>
                <w:szCs w:val="20"/>
              </w:rPr>
            </w:pPr>
            <w:r w:rsidRPr="004375FF">
              <w:rPr>
                <w:sz w:val="20"/>
                <w:szCs w:val="20"/>
              </w:rPr>
              <w:t>National University of Samoa</w:t>
            </w:r>
          </w:p>
        </w:tc>
      </w:tr>
      <w:tr w:rsidR="000014C2" w:rsidRPr="004375FF" w14:paraId="125C9499" w14:textId="77777777" w:rsidTr="00505C2C">
        <w:tc>
          <w:tcPr>
            <w:tcW w:w="1387" w:type="pct"/>
          </w:tcPr>
          <w:p w14:paraId="4DBEEAD4" w14:textId="415637AF" w:rsidR="00105671" w:rsidRPr="004375FF" w:rsidRDefault="0037585D" w:rsidP="00BF09CC">
            <w:pPr>
              <w:spacing w:line="240" w:lineRule="auto"/>
              <w:rPr>
                <w:sz w:val="20"/>
                <w:szCs w:val="20"/>
              </w:rPr>
            </w:pPr>
            <w:r w:rsidRPr="004375FF">
              <w:rPr>
                <w:sz w:val="20"/>
                <w:szCs w:val="20"/>
              </w:rPr>
              <w:t xml:space="preserve">Ms </w:t>
            </w:r>
            <w:r w:rsidR="000014C2" w:rsidRPr="004375FF">
              <w:rPr>
                <w:sz w:val="20"/>
                <w:szCs w:val="20"/>
              </w:rPr>
              <w:t>Tea Tepora Wright</w:t>
            </w:r>
          </w:p>
        </w:tc>
        <w:tc>
          <w:tcPr>
            <w:tcW w:w="1685" w:type="pct"/>
          </w:tcPr>
          <w:p w14:paraId="3043A9EC" w14:textId="78C12320" w:rsidR="00105671" w:rsidRPr="004375FF" w:rsidRDefault="000014C2" w:rsidP="00BF09CC">
            <w:pPr>
              <w:spacing w:line="240" w:lineRule="auto"/>
              <w:rPr>
                <w:sz w:val="20"/>
                <w:szCs w:val="20"/>
              </w:rPr>
            </w:pPr>
            <w:r w:rsidRPr="004375FF">
              <w:rPr>
                <w:sz w:val="20"/>
                <w:szCs w:val="20"/>
              </w:rPr>
              <w:t xml:space="preserve">Director, Academic Quality Unit </w:t>
            </w:r>
          </w:p>
        </w:tc>
        <w:tc>
          <w:tcPr>
            <w:tcW w:w="1929" w:type="pct"/>
          </w:tcPr>
          <w:p w14:paraId="2EDA9395" w14:textId="2D7EDD57" w:rsidR="00105671" w:rsidRPr="004375FF" w:rsidRDefault="00105671" w:rsidP="00BF09CC">
            <w:pPr>
              <w:spacing w:line="240" w:lineRule="auto"/>
              <w:rPr>
                <w:sz w:val="20"/>
                <w:szCs w:val="20"/>
              </w:rPr>
            </w:pPr>
            <w:r w:rsidRPr="004375FF">
              <w:rPr>
                <w:sz w:val="20"/>
                <w:szCs w:val="20"/>
              </w:rPr>
              <w:t>National University of Samoa</w:t>
            </w:r>
          </w:p>
        </w:tc>
      </w:tr>
      <w:tr w:rsidR="001A70BF" w:rsidRPr="004375FF" w14:paraId="4E519B86" w14:textId="77777777" w:rsidTr="00505C2C">
        <w:tc>
          <w:tcPr>
            <w:tcW w:w="1387" w:type="pct"/>
            <w:shd w:val="clear" w:color="auto" w:fill="F2F2F2" w:themeFill="background1" w:themeFillShade="F2"/>
          </w:tcPr>
          <w:p w14:paraId="222A7F7B" w14:textId="217D0F70" w:rsidR="001A70BF" w:rsidRPr="004375FF" w:rsidRDefault="001A70BF" w:rsidP="00BF09CC">
            <w:pPr>
              <w:spacing w:line="240" w:lineRule="auto"/>
              <w:rPr>
                <w:sz w:val="20"/>
                <w:szCs w:val="20"/>
              </w:rPr>
            </w:pPr>
            <w:r w:rsidRPr="004375FF">
              <w:rPr>
                <w:sz w:val="20"/>
                <w:szCs w:val="20"/>
              </w:rPr>
              <w:lastRenderedPageBreak/>
              <w:t xml:space="preserve">Ms Denise O’Brien </w:t>
            </w:r>
          </w:p>
        </w:tc>
        <w:tc>
          <w:tcPr>
            <w:tcW w:w="1685" w:type="pct"/>
            <w:shd w:val="clear" w:color="auto" w:fill="F2F2F2" w:themeFill="background1" w:themeFillShade="F2"/>
          </w:tcPr>
          <w:p w14:paraId="536953EB" w14:textId="55C5F109" w:rsidR="001A70BF" w:rsidRPr="004375FF" w:rsidRDefault="001A70BF" w:rsidP="00BF09CC">
            <w:pPr>
              <w:spacing w:line="240" w:lineRule="auto"/>
              <w:rPr>
                <w:sz w:val="20"/>
                <w:szCs w:val="20"/>
              </w:rPr>
            </w:pPr>
            <w:r w:rsidRPr="004375FF">
              <w:rPr>
                <w:sz w:val="20"/>
                <w:szCs w:val="20"/>
              </w:rPr>
              <w:t>Chief Executive Officer</w:t>
            </w:r>
          </w:p>
        </w:tc>
        <w:tc>
          <w:tcPr>
            <w:tcW w:w="1929" w:type="pct"/>
            <w:shd w:val="clear" w:color="auto" w:fill="F2F2F2" w:themeFill="background1" w:themeFillShade="F2"/>
          </w:tcPr>
          <w:p w14:paraId="0AC54E18" w14:textId="6BC5BF8C" w:rsidR="001A70BF" w:rsidRPr="004375FF" w:rsidRDefault="001A70BF" w:rsidP="00BF09CC">
            <w:pPr>
              <w:spacing w:line="240" w:lineRule="auto"/>
              <w:rPr>
                <w:sz w:val="20"/>
                <w:szCs w:val="20"/>
              </w:rPr>
            </w:pPr>
            <w:r w:rsidRPr="004375FF">
              <w:rPr>
                <w:sz w:val="20"/>
                <w:szCs w:val="20"/>
              </w:rPr>
              <w:t>Australia-Pacific Technical College (APTC)</w:t>
            </w:r>
          </w:p>
        </w:tc>
      </w:tr>
      <w:tr w:rsidR="001A70BF" w:rsidRPr="004375FF" w14:paraId="7A3CCB59" w14:textId="77777777" w:rsidTr="00505C2C">
        <w:tc>
          <w:tcPr>
            <w:tcW w:w="1387" w:type="pct"/>
            <w:shd w:val="clear" w:color="auto" w:fill="F2F2F2" w:themeFill="background1" w:themeFillShade="F2"/>
          </w:tcPr>
          <w:p w14:paraId="2A90F7AE" w14:textId="5CFFA209" w:rsidR="001A70BF" w:rsidRPr="004375FF" w:rsidRDefault="001A70BF" w:rsidP="00BF09CC">
            <w:pPr>
              <w:spacing w:line="240" w:lineRule="auto"/>
              <w:rPr>
                <w:sz w:val="20"/>
                <w:szCs w:val="20"/>
              </w:rPr>
            </w:pPr>
            <w:r w:rsidRPr="004375FF">
              <w:rPr>
                <w:sz w:val="20"/>
                <w:szCs w:val="20"/>
              </w:rPr>
              <w:t>Ms Carol-Anne Blecich</w:t>
            </w:r>
          </w:p>
        </w:tc>
        <w:tc>
          <w:tcPr>
            <w:tcW w:w="1685" w:type="pct"/>
            <w:shd w:val="clear" w:color="auto" w:fill="F2F2F2" w:themeFill="background1" w:themeFillShade="F2"/>
          </w:tcPr>
          <w:p w14:paraId="167A92A0" w14:textId="463078DB" w:rsidR="001A70BF" w:rsidRPr="004375FF" w:rsidRDefault="001A70BF" w:rsidP="00BF09CC">
            <w:pPr>
              <w:spacing w:line="240" w:lineRule="auto"/>
              <w:rPr>
                <w:sz w:val="20"/>
                <w:szCs w:val="20"/>
              </w:rPr>
            </w:pPr>
            <w:r w:rsidRPr="004375FF">
              <w:rPr>
                <w:sz w:val="20"/>
                <w:szCs w:val="20"/>
              </w:rPr>
              <w:t>Executive Director - Strategy</w:t>
            </w:r>
          </w:p>
        </w:tc>
        <w:tc>
          <w:tcPr>
            <w:tcW w:w="1929" w:type="pct"/>
            <w:shd w:val="clear" w:color="auto" w:fill="F2F2F2" w:themeFill="background1" w:themeFillShade="F2"/>
          </w:tcPr>
          <w:p w14:paraId="7757B161" w14:textId="57C20B5C" w:rsidR="001A70BF" w:rsidRPr="004375FF" w:rsidRDefault="001A70BF" w:rsidP="00BF09CC">
            <w:pPr>
              <w:spacing w:line="240" w:lineRule="auto"/>
              <w:rPr>
                <w:sz w:val="20"/>
                <w:szCs w:val="20"/>
              </w:rPr>
            </w:pPr>
            <w:r w:rsidRPr="004375FF">
              <w:rPr>
                <w:sz w:val="20"/>
                <w:szCs w:val="20"/>
              </w:rPr>
              <w:t>Australia-Pacific Technical College (APTC)</w:t>
            </w:r>
          </w:p>
        </w:tc>
      </w:tr>
      <w:tr w:rsidR="001A70BF" w:rsidRPr="004375FF" w14:paraId="04229903" w14:textId="77777777" w:rsidTr="00505C2C">
        <w:tc>
          <w:tcPr>
            <w:tcW w:w="1387" w:type="pct"/>
            <w:shd w:val="clear" w:color="auto" w:fill="FFFFFF" w:themeFill="background1"/>
          </w:tcPr>
          <w:p w14:paraId="388DA117" w14:textId="4470A6FB" w:rsidR="001A70BF" w:rsidRPr="004375FF" w:rsidRDefault="001A70BF" w:rsidP="00BF09CC">
            <w:pPr>
              <w:spacing w:line="240" w:lineRule="auto"/>
              <w:rPr>
                <w:sz w:val="20"/>
                <w:szCs w:val="20"/>
              </w:rPr>
            </w:pPr>
            <w:r w:rsidRPr="004375FF">
              <w:rPr>
                <w:sz w:val="20"/>
                <w:szCs w:val="20"/>
              </w:rPr>
              <w:t>Rev Dr Steve Currow</w:t>
            </w:r>
          </w:p>
        </w:tc>
        <w:tc>
          <w:tcPr>
            <w:tcW w:w="1685" w:type="pct"/>
            <w:shd w:val="clear" w:color="auto" w:fill="FFFFFF" w:themeFill="background1"/>
          </w:tcPr>
          <w:p w14:paraId="2C69CD64" w14:textId="2471FA33" w:rsidR="001A70BF" w:rsidRPr="004375FF" w:rsidRDefault="001A70BF" w:rsidP="00BF09CC">
            <w:pPr>
              <w:spacing w:line="240" w:lineRule="auto"/>
              <w:rPr>
                <w:sz w:val="20"/>
                <w:szCs w:val="20"/>
              </w:rPr>
            </w:pPr>
            <w:r w:rsidRPr="004375FF">
              <w:rPr>
                <w:sz w:val="20"/>
                <w:szCs w:val="20"/>
              </w:rPr>
              <w:t xml:space="preserve">Principal </w:t>
            </w:r>
          </w:p>
        </w:tc>
        <w:tc>
          <w:tcPr>
            <w:tcW w:w="1929" w:type="pct"/>
            <w:shd w:val="clear" w:color="auto" w:fill="FFFFFF" w:themeFill="background1"/>
          </w:tcPr>
          <w:p w14:paraId="71F94D97" w14:textId="10A0CCFD" w:rsidR="001A70BF" w:rsidRPr="004375FF" w:rsidRDefault="001A70BF" w:rsidP="00BF09CC">
            <w:pPr>
              <w:spacing w:line="240" w:lineRule="auto"/>
              <w:rPr>
                <w:sz w:val="20"/>
                <w:szCs w:val="20"/>
              </w:rPr>
            </w:pPr>
            <w:r w:rsidRPr="004375FF">
              <w:rPr>
                <w:sz w:val="20"/>
                <w:szCs w:val="20"/>
              </w:rPr>
              <w:t>Fulton College</w:t>
            </w:r>
            <w:r w:rsidR="001515B9" w:rsidRPr="004375FF">
              <w:rPr>
                <w:sz w:val="20"/>
                <w:szCs w:val="20"/>
              </w:rPr>
              <w:t xml:space="preserve"> (and </w:t>
            </w:r>
            <w:r w:rsidR="00505C2C" w:rsidRPr="004375FF">
              <w:rPr>
                <w:sz w:val="20"/>
                <w:szCs w:val="20"/>
              </w:rPr>
              <w:t xml:space="preserve">South Pacific Association of Theological Schools </w:t>
            </w:r>
            <w:r w:rsidR="001515B9" w:rsidRPr="004375FF">
              <w:rPr>
                <w:sz w:val="20"/>
                <w:szCs w:val="20"/>
              </w:rPr>
              <w:t>representative)</w:t>
            </w:r>
          </w:p>
        </w:tc>
      </w:tr>
      <w:bookmarkEnd w:id="15"/>
      <w:bookmarkEnd w:id="16"/>
    </w:tbl>
    <w:p w14:paraId="3DAC3E75" w14:textId="77777777" w:rsidR="004375FF" w:rsidRPr="004375FF" w:rsidRDefault="004375FF" w:rsidP="004375FF">
      <w:pPr>
        <w:spacing w:line="240" w:lineRule="auto"/>
        <w:rPr>
          <w:color w:val="95050F"/>
        </w:rPr>
      </w:pPr>
    </w:p>
    <w:p w14:paraId="4F5EED64" w14:textId="77777777" w:rsidR="004375FF" w:rsidRDefault="004375FF">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7C9E494A" w14:textId="4FA3AEAE" w:rsidR="00CC387A" w:rsidRDefault="0053388B" w:rsidP="00CC387A">
      <w:pPr>
        <w:pStyle w:val="Heading1"/>
        <w:rPr>
          <w:color w:val="95050F"/>
        </w:rPr>
      </w:pPr>
      <w:bookmarkStart w:id="90" w:name="_Toc458938592"/>
      <w:bookmarkStart w:id="91" w:name="_Toc462755575"/>
      <w:r>
        <w:rPr>
          <w:color w:val="95050F"/>
        </w:rPr>
        <w:lastRenderedPageBreak/>
        <w:t xml:space="preserve">Appendix </w:t>
      </w:r>
      <w:r w:rsidR="00AE7D04">
        <w:rPr>
          <w:color w:val="95050F"/>
        </w:rPr>
        <w:t>4</w:t>
      </w:r>
      <w:r>
        <w:rPr>
          <w:color w:val="95050F"/>
        </w:rPr>
        <w:t xml:space="preserve">: </w:t>
      </w:r>
      <w:r w:rsidR="00037E8B">
        <w:rPr>
          <w:color w:val="95050F"/>
        </w:rPr>
        <w:t xml:space="preserve">The </w:t>
      </w:r>
      <w:r w:rsidR="00CC387A">
        <w:rPr>
          <w:color w:val="95050F"/>
        </w:rPr>
        <w:t>PRQS model</w:t>
      </w:r>
      <w:bookmarkEnd w:id="90"/>
      <w:bookmarkEnd w:id="91"/>
    </w:p>
    <w:p w14:paraId="45DCE268" w14:textId="768ABFA5" w:rsidR="00037E8B" w:rsidRDefault="00037E8B" w:rsidP="00037E8B">
      <w:pPr>
        <w:pStyle w:val="Heading2"/>
      </w:pPr>
      <w:bookmarkStart w:id="92" w:name="_Toc458938593"/>
      <w:bookmarkStart w:id="93" w:name="_Toc462428005"/>
      <w:bookmarkStart w:id="94" w:name="_Toc462428353"/>
      <w:bookmarkStart w:id="95" w:name="_Toc462575668"/>
      <w:bookmarkStart w:id="96" w:name="_Toc462755576"/>
      <w:r w:rsidRPr="006D1C9B">
        <w:rPr>
          <w:color w:val="95050F"/>
        </w:rPr>
        <w:t>Purpose of the PRQS</w:t>
      </w:r>
      <w:bookmarkEnd w:id="92"/>
      <w:bookmarkEnd w:id="93"/>
      <w:bookmarkEnd w:id="94"/>
      <w:bookmarkEnd w:id="95"/>
      <w:bookmarkEnd w:id="96"/>
    </w:p>
    <w:p w14:paraId="45E6948F" w14:textId="77777777" w:rsidR="00037E8B" w:rsidRPr="003860CE" w:rsidRDefault="00037E8B" w:rsidP="00BF09CC">
      <w:pPr>
        <w:spacing w:line="240" w:lineRule="auto"/>
      </w:pPr>
      <w:r w:rsidRPr="003860CE">
        <w:t>The PRQS aim</w:t>
      </w:r>
      <w:r>
        <w:t>ed</w:t>
      </w:r>
      <w:r w:rsidRPr="003860CE">
        <w:t xml:space="preserve"> to:</w:t>
      </w:r>
    </w:p>
    <w:p w14:paraId="39DE178D" w14:textId="77777777" w:rsidR="00037E8B" w:rsidRPr="003860CE" w:rsidRDefault="00037E8B" w:rsidP="00456131">
      <w:pPr>
        <w:pStyle w:val="ListParagraph"/>
        <w:numPr>
          <w:ilvl w:val="0"/>
          <w:numId w:val="59"/>
        </w:numPr>
      </w:pPr>
      <w:r w:rsidRPr="003860CE">
        <w:t xml:space="preserve">Support the mobility of Pacific learners and labour through a common regional quality standard and recognition arrangement for either qualifications or occupational standards that foster and sustain regional integration. </w:t>
      </w:r>
    </w:p>
    <w:p w14:paraId="183A61C1" w14:textId="77777777" w:rsidR="00037E8B" w:rsidRDefault="00037E8B" w:rsidP="00456131">
      <w:pPr>
        <w:pStyle w:val="ListParagraph"/>
        <w:numPr>
          <w:ilvl w:val="0"/>
          <w:numId w:val="59"/>
        </w:numPr>
      </w:pPr>
      <w:r w:rsidRPr="003860CE">
        <w:t>Facilitate informed decisions and choices about comparable and recognised qualifications, accrediting agencies, education and training institutions, professional status of workers, and regional occupational standards in the Pacific region.</w:t>
      </w:r>
      <w:r>
        <w:rPr>
          <w:rStyle w:val="FootnoteReference"/>
        </w:rPr>
        <w:footnoteReference w:id="63"/>
      </w:r>
      <w:r w:rsidRPr="003860CE">
        <w:t xml:space="preserve"> </w:t>
      </w:r>
    </w:p>
    <w:p w14:paraId="12C4E150" w14:textId="77777777" w:rsidR="00037E8B" w:rsidRDefault="00037E8B" w:rsidP="00BF09CC">
      <w:pPr>
        <w:spacing w:line="240" w:lineRule="auto"/>
      </w:pPr>
      <w:r>
        <w:t xml:space="preserve">The PRQS is a database and comprises options to include: </w:t>
      </w:r>
    </w:p>
    <w:p w14:paraId="26047662" w14:textId="77777777" w:rsidR="00037E8B" w:rsidRPr="00682419" w:rsidRDefault="00037E8B" w:rsidP="00456131">
      <w:pPr>
        <w:pStyle w:val="ListParagraph"/>
        <w:numPr>
          <w:ilvl w:val="0"/>
          <w:numId w:val="11"/>
        </w:numPr>
      </w:pPr>
      <w:r w:rsidRPr="00682419">
        <w:t>Quality assured qualifications</w:t>
      </w:r>
    </w:p>
    <w:p w14:paraId="143E498C" w14:textId="77777777" w:rsidR="00037E8B" w:rsidRPr="00682419" w:rsidRDefault="00037E8B" w:rsidP="00456131">
      <w:pPr>
        <w:pStyle w:val="ListParagraph"/>
        <w:numPr>
          <w:ilvl w:val="0"/>
          <w:numId w:val="11"/>
        </w:numPr>
      </w:pPr>
      <w:r>
        <w:t>P</w:t>
      </w:r>
      <w:r w:rsidRPr="00682419">
        <w:t xml:space="preserve">acific traditional knowledge and indigenous skills </w:t>
      </w:r>
    </w:p>
    <w:p w14:paraId="34983F53" w14:textId="77777777" w:rsidR="00037E8B" w:rsidRPr="00682419" w:rsidRDefault="00037E8B" w:rsidP="00456131">
      <w:pPr>
        <w:pStyle w:val="ListParagraph"/>
        <w:numPr>
          <w:ilvl w:val="0"/>
          <w:numId w:val="11"/>
        </w:numPr>
      </w:pPr>
      <w:r w:rsidRPr="00682419">
        <w:t>Professional licen</w:t>
      </w:r>
      <w:r>
        <w:t>s</w:t>
      </w:r>
      <w:r w:rsidRPr="00682419">
        <w:t>ing and occupational standards</w:t>
      </w:r>
    </w:p>
    <w:p w14:paraId="4FC22739" w14:textId="77777777" w:rsidR="00037E8B" w:rsidRPr="00682419" w:rsidRDefault="00037E8B" w:rsidP="00456131">
      <w:pPr>
        <w:pStyle w:val="ListParagraph"/>
        <w:numPr>
          <w:ilvl w:val="0"/>
          <w:numId w:val="11"/>
        </w:numPr>
      </w:pPr>
      <w:r w:rsidRPr="00682419">
        <w:t>Regional benchmark</w:t>
      </w:r>
      <w:r>
        <w:t>s,</w:t>
      </w:r>
      <w:r w:rsidRPr="00682419">
        <w:t xml:space="preserve"> such as those related to literacy, numeracy and life skills for basic education. </w:t>
      </w:r>
    </w:p>
    <w:p w14:paraId="666787E7" w14:textId="47C6CA8D" w:rsidR="00037E8B" w:rsidRDefault="00037E8B" w:rsidP="00BF09CC">
      <w:pPr>
        <w:spacing w:line="240" w:lineRule="auto"/>
      </w:pPr>
      <w:r>
        <w:t xml:space="preserve">The database also hosts information on accrediting agencies, </w:t>
      </w:r>
      <w:r w:rsidRPr="000F2B1B">
        <w:t xml:space="preserve">quality assurance instruments used by each country and an overview of the educational systems of each </w:t>
      </w:r>
      <w:r>
        <w:t xml:space="preserve">of the </w:t>
      </w:r>
      <w:r w:rsidR="0090418E">
        <w:t xml:space="preserve">participating </w:t>
      </w:r>
      <w:r w:rsidRPr="000F2B1B">
        <w:t xml:space="preserve">Pacific </w:t>
      </w:r>
      <w:r w:rsidR="0090418E">
        <w:t>Nations</w:t>
      </w:r>
      <w:r w:rsidRPr="000F2B1B">
        <w:t>.</w:t>
      </w:r>
      <w:r w:rsidRPr="00233DBE">
        <w:t xml:space="preserve"> </w:t>
      </w:r>
      <w:r>
        <w:t xml:space="preserve">Functionality of the database is limited and information </w:t>
      </w:r>
      <w:r w:rsidR="00303466">
        <w:t xml:space="preserve">is not available </w:t>
      </w:r>
      <w:r>
        <w:t>on all these areas unless full access rights are provided.</w:t>
      </w:r>
    </w:p>
    <w:p w14:paraId="7328AF1E" w14:textId="43E7168D" w:rsidR="00037E8B" w:rsidRPr="00037E8B" w:rsidRDefault="00037E8B" w:rsidP="00037E8B">
      <w:pPr>
        <w:pStyle w:val="Heading2"/>
        <w:rPr>
          <w:color w:val="95050F"/>
        </w:rPr>
      </w:pPr>
      <w:bookmarkStart w:id="97" w:name="_Toc458938594"/>
      <w:bookmarkStart w:id="98" w:name="_Toc462428006"/>
      <w:bookmarkStart w:id="99" w:name="_Toc462428354"/>
      <w:bookmarkStart w:id="100" w:name="_Toc462575669"/>
      <w:bookmarkStart w:id="101" w:name="_Toc462755577"/>
      <w:r w:rsidRPr="00037E8B">
        <w:rPr>
          <w:color w:val="95050F"/>
        </w:rPr>
        <w:t>History of the PRQS model</w:t>
      </w:r>
      <w:bookmarkEnd w:id="97"/>
      <w:bookmarkEnd w:id="98"/>
      <w:bookmarkEnd w:id="99"/>
      <w:bookmarkEnd w:id="100"/>
      <w:bookmarkEnd w:id="101"/>
    </w:p>
    <w:p w14:paraId="7AD30489" w14:textId="7A88AD86" w:rsidR="00037E8B" w:rsidRDefault="00037E8B" w:rsidP="00BF09CC">
      <w:pPr>
        <w:spacing w:line="240" w:lineRule="auto"/>
      </w:pPr>
      <w:r>
        <w:t xml:space="preserve">The PRQS program became operational February 2009. The initial goal of the program was the development and maintenance of a Pacific Regional Qualifications Register.  The register </w:t>
      </w:r>
      <w:r w:rsidR="0023209C">
        <w:t xml:space="preserve">title </w:t>
      </w:r>
      <w:r>
        <w:t xml:space="preserve">changed to the Pacific Register of Qualifications and Standards (PRQS) to better reflect its various components.  </w:t>
      </w:r>
    </w:p>
    <w:p w14:paraId="0C61F8AE" w14:textId="68FD909C" w:rsidR="00037E8B" w:rsidRDefault="00037E8B" w:rsidP="00BF09CC">
      <w:pPr>
        <w:spacing w:line="240" w:lineRule="auto"/>
      </w:pPr>
      <w:r>
        <w:t>The proposal to set up a regional qualifications framework was first raised in 2001 at a meeting of Ministers of Education of PICTs in Auckland. During various discussions from 2001 to 2007</w:t>
      </w:r>
      <w:r w:rsidR="00303466">
        <w:t>,</w:t>
      </w:r>
      <w:r>
        <w:t xml:space="preserve"> the Ministers of Education in the Pacific confirmed that:</w:t>
      </w:r>
    </w:p>
    <w:p w14:paraId="258DD6E5" w14:textId="77777777" w:rsidR="00037E8B" w:rsidRPr="00292C4D" w:rsidRDefault="00037E8B" w:rsidP="00456131">
      <w:pPr>
        <w:pStyle w:val="ListParagraph"/>
        <w:numPr>
          <w:ilvl w:val="0"/>
          <w:numId w:val="22"/>
        </w:numPr>
      </w:pPr>
      <w:r w:rsidRPr="00292C4D">
        <w:t>A Pacif</w:t>
      </w:r>
      <w:r>
        <w:t>ic Qualifications Register</w:t>
      </w:r>
      <w:r w:rsidRPr="00292C4D">
        <w:t xml:space="preserve"> be developed as a first step towards a Pacific Regional Qualifications Framework (Pacific Heads of Education meeting 2004)</w:t>
      </w:r>
    </w:p>
    <w:p w14:paraId="4D79E50F" w14:textId="77777777" w:rsidR="00037E8B" w:rsidRPr="00292C4D" w:rsidRDefault="00037E8B" w:rsidP="00456131">
      <w:pPr>
        <w:pStyle w:val="ListParagraph"/>
        <w:numPr>
          <w:ilvl w:val="0"/>
          <w:numId w:val="22"/>
        </w:numPr>
      </w:pPr>
      <w:r w:rsidRPr="00292C4D">
        <w:t>The South Pacific Board of Education Assessment be tasked to coordinate the development of the register (2009)</w:t>
      </w:r>
      <w:r>
        <w:t>.</w:t>
      </w:r>
      <w:r w:rsidRPr="00292C4D">
        <w:rPr>
          <w:rStyle w:val="FootnoteReference"/>
        </w:rPr>
        <w:footnoteReference w:id="64"/>
      </w:r>
    </w:p>
    <w:p w14:paraId="5855506E" w14:textId="2C5E20CC" w:rsidR="00037E8B" w:rsidRDefault="00037E8B" w:rsidP="00BF09CC">
      <w:pPr>
        <w:spacing w:line="240" w:lineRule="auto"/>
      </w:pPr>
      <w:r>
        <w:t xml:space="preserve">Initial 5-year funding (November 2008 – January 2013) was provided by the Australian government through AusAID for the development of the PRQS. The second phase of funding was for the support of the Accreditation Unit, now called the Accreditation and Standards Unit, which implements the PRQS program.  This unit sits within the Education Quality and Assessment Program, formerly the Secretariat of </w:t>
      </w:r>
      <w:r>
        <w:lastRenderedPageBreak/>
        <w:t>the Pacific Board of Educational Assessment (SPBEA).</w:t>
      </w:r>
      <w:r>
        <w:rPr>
          <w:rStyle w:val="FootnoteReference"/>
        </w:rPr>
        <w:footnoteReference w:id="65"/>
      </w:r>
      <w:r w:rsidRPr="00292C4D">
        <w:t xml:space="preserve"> </w:t>
      </w:r>
      <w:r>
        <w:t>Australia’s financial support for the second phase was extended for another year to June 2014 and subsequently for another two years until June 2016.</w:t>
      </w:r>
    </w:p>
    <w:p w14:paraId="5BFB7FF3" w14:textId="77777777" w:rsidR="00037E8B" w:rsidRDefault="00037E8B" w:rsidP="00BF09CC">
      <w:pPr>
        <w:spacing w:line="240" w:lineRule="auto"/>
      </w:pPr>
      <w:r>
        <w:t>There have been two extensive reviews of PRQS commissioned by the Australian Aid Program and by SPC. They were:</w:t>
      </w:r>
    </w:p>
    <w:p w14:paraId="5A686E02" w14:textId="77777777" w:rsidR="00037E8B" w:rsidRPr="00942895" w:rsidRDefault="00037E8B" w:rsidP="00456131">
      <w:pPr>
        <w:pStyle w:val="ListParagraph"/>
        <w:numPr>
          <w:ilvl w:val="0"/>
          <w:numId w:val="13"/>
        </w:numPr>
      </w:pPr>
      <w:r w:rsidRPr="00402454">
        <w:t>Pacific Qualifications Register Independent Preliminary Progress Review: Final Report</w:t>
      </w:r>
      <w:r w:rsidRPr="00942895">
        <w:t xml:space="preserve"> (Eadie 2010)</w:t>
      </w:r>
    </w:p>
    <w:p w14:paraId="73512FAB" w14:textId="77777777" w:rsidR="00037E8B" w:rsidRPr="00942895" w:rsidRDefault="00037E8B" w:rsidP="00456131">
      <w:pPr>
        <w:pStyle w:val="ListParagraph"/>
        <w:numPr>
          <w:ilvl w:val="0"/>
          <w:numId w:val="12"/>
        </w:numPr>
      </w:pPr>
      <w:r w:rsidRPr="00402454">
        <w:t>Review of the Secretariat of the Pacific Board for Educational Assessment (SPBEA)</w:t>
      </w:r>
      <w:r w:rsidRPr="00942895">
        <w:t xml:space="preserve"> (Assessment Research Centre 2013)</w:t>
      </w:r>
      <w:r>
        <w:t>.</w:t>
      </w:r>
    </w:p>
    <w:p w14:paraId="0C9EB75F" w14:textId="1D95080C" w:rsidR="00037E8B" w:rsidRPr="00942895" w:rsidRDefault="00671DF2" w:rsidP="00BF09CC">
      <w:pPr>
        <w:spacing w:line="240" w:lineRule="auto"/>
      </w:pPr>
      <w:r>
        <w:t>In addition, a</w:t>
      </w:r>
      <w:r w:rsidR="00037E8B">
        <w:t>n</w:t>
      </w:r>
      <w:r w:rsidR="00037E8B" w:rsidRPr="00942895">
        <w:t xml:space="preserve"> </w:t>
      </w:r>
      <w:r w:rsidR="00037E8B">
        <w:t xml:space="preserve">Australian Aid Program </w:t>
      </w:r>
      <w:r w:rsidR="00037E8B" w:rsidRPr="00942895">
        <w:t>related review o</w:t>
      </w:r>
      <w:r w:rsidR="001557FA">
        <w:t>f</w:t>
      </w:r>
      <w:r w:rsidR="00037E8B" w:rsidRPr="00942895">
        <w:t xml:space="preserve"> quality assurance mechanisms in the Pacific commented on the PRQS and its role:</w:t>
      </w:r>
    </w:p>
    <w:p w14:paraId="3FED81EA" w14:textId="77777777" w:rsidR="00037E8B" w:rsidRPr="00942895" w:rsidRDefault="00037E8B" w:rsidP="00456131">
      <w:pPr>
        <w:pStyle w:val="ListParagraph"/>
        <w:numPr>
          <w:ilvl w:val="0"/>
          <w:numId w:val="12"/>
        </w:numPr>
      </w:pPr>
      <w:r w:rsidRPr="00402454">
        <w:t>Review of Quality Assurance Mechanisms for Post-Secondary Education in the Pacific</w:t>
      </w:r>
      <w:r w:rsidRPr="00942895">
        <w:t xml:space="preserve"> (Bateman 2013). </w:t>
      </w:r>
    </w:p>
    <w:p w14:paraId="159DD603" w14:textId="77777777" w:rsidR="00037E8B" w:rsidRDefault="00037E8B" w:rsidP="00BF09CC">
      <w:pPr>
        <w:spacing w:line="240" w:lineRule="auto"/>
      </w:pPr>
      <w:r w:rsidRPr="000F2B1B">
        <w:t>The first review looked into the progress of PRQS within the first phase and provided recommendations related to governance, communication and engagement of stakeholders. The second review looked into the quality assurance role of PRQS in the broader context of SPBEA/EQAP. The regional review looked into the potential role of PRQS within</w:t>
      </w:r>
      <w:r>
        <w:t xml:space="preserve"> the region</w:t>
      </w:r>
      <w:r w:rsidRPr="000F2B1B">
        <w:t>. All three reviews resulted in a number of recommendations for PRQS and SPBEA/EQAP, some of which have been implemented.</w:t>
      </w:r>
      <w:r>
        <w:t xml:space="preserve">  </w:t>
      </w:r>
    </w:p>
    <w:p w14:paraId="6327E90F" w14:textId="77777777" w:rsidR="00037E8B" w:rsidRDefault="00037E8B" w:rsidP="00BF09CC">
      <w:pPr>
        <w:spacing w:line="240" w:lineRule="auto"/>
      </w:pPr>
      <w:r>
        <w:t xml:space="preserve">DFAT and the EQAP, in August 2015, reviewed and clarified the PRQS program logic to refocus the program. The resulting redefined goal for PRQS was to strengthen Pacific quality assurance systems that facilitate the international recognition of Pacific qualifications and opportunities for learner and labour mobility. The premise of the program is that mutual recognition of qualifications will drive labour and learner mobility, which will in turn stimulate economic development. </w:t>
      </w:r>
    </w:p>
    <w:p w14:paraId="0D24D897" w14:textId="77777777" w:rsidR="00037E8B" w:rsidRDefault="00037E8B" w:rsidP="00BF09CC">
      <w:pPr>
        <w:spacing w:line="240" w:lineRule="auto"/>
      </w:pPr>
      <w:r>
        <w:t>The logic identified:</w:t>
      </w:r>
    </w:p>
    <w:p w14:paraId="5995E129" w14:textId="77777777" w:rsidR="00037E8B" w:rsidRPr="0023585C" w:rsidRDefault="00037E8B" w:rsidP="00456131">
      <w:pPr>
        <w:pStyle w:val="ListParagraph"/>
        <w:numPr>
          <w:ilvl w:val="0"/>
          <w:numId w:val="10"/>
        </w:numPr>
      </w:pPr>
      <w:r w:rsidRPr="0023585C">
        <w:t xml:space="preserve">Two end of program outcomes </w:t>
      </w:r>
    </w:p>
    <w:p w14:paraId="65EBC699" w14:textId="77777777" w:rsidR="00037E8B" w:rsidRPr="0023585C" w:rsidRDefault="00037E8B" w:rsidP="00456131">
      <w:pPr>
        <w:pStyle w:val="ListParagraph"/>
        <w:numPr>
          <w:ilvl w:val="1"/>
          <w:numId w:val="10"/>
        </w:numPr>
      </w:pPr>
      <w:r w:rsidRPr="0023585C">
        <w:t xml:space="preserve">Increased scope for job/study matching </w:t>
      </w:r>
    </w:p>
    <w:p w14:paraId="212EBA38" w14:textId="77777777" w:rsidR="00037E8B" w:rsidRPr="0023585C" w:rsidRDefault="00037E8B" w:rsidP="00456131">
      <w:pPr>
        <w:pStyle w:val="ListParagraph"/>
        <w:numPr>
          <w:ilvl w:val="1"/>
          <w:numId w:val="10"/>
        </w:numPr>
      </w:pPr>
      <w:r w:rsidRPr="0023585C">
        <w:t>Increased recognition of Pacific qualifications</w:t>
      </w:r>
      <w:r>
        <w:t>.</w:t>
      </w:r>
      <w:r w:rsidRPr="0023585C">
        <w:t xml:space="preserve"> </w:t>
      </w:r>
    </w:p>
    <w:p w14:paraId="18AAB9A2" w14:textId="77777777" w:rsidR="00037E8B" w:rsidRPr="0023585C" w:rsidRDefault="00037E8B" w:rsidP="00456131">
      <w:pPr>
        <w:pStyle w:val="ListParagraph"/>
        <w:numPr>
          <w:ilvl w:val="0"/>
          <w:numId w:val="10"/>
        </w:numPr>
      </w:pPr>
      <w:r w:rsidRPr="0023585C">
        <w:t xml:space="preserve">Intermediate outcomes </w:t>
      </w:r>
    </w:p>
    <w:p w14:paraId="68A033AC" w14:textId="77777777" w:rsidR="00037E8B" w:rsidRPr="0023585C" w:rsidRDefault="00037E8B" w:rsidP="00456131">
      <w:pPr>
        <w:pStyle w:val="ListParagraph"/>
        <w:numPr>
          <w:ilvl w:val="1"/>
          <w:numId w:val="10"/>
        </w:numPr>
      </w:pPr>
      <w:r w:rsidRPr="0023585C">
        <w:t>Graduates and employers apply the standards and frameworks</w:t>
      </w:r>
    </w:p>
    <w:p w14:paraId="64EB33AF" w14:textId="77777777" w:rsidR="00037E8B" w:rsidRPr="0023585C" w:rsidRDefault="00037E8B" w:rsidP="00456131">
      <w:pPr>
        <w:pStyle w:val="ListParagraph"/>
        <w:numPr>
          <w:ilvl w:val="1"/>
          <w:numId w:val="10"/>
        </w:numPr>
      </w:pPr>
      <w:r w:rsidRPr="0023585C">
        <w:t>Increased comparability of Pacific qualifications</w:t>
      </w:r>
    </w:p>
    <w:p w14:paraId="2E2AB77D" w14:textId="77777777" w:rsidR="00037E8B" w:rsidRPr="0023585C" w:rsidRDefault="00037E8B" w:rsidP="00456131">
      <w:pPr>
        <w:pStyle w:val="ListParagraph"/>
        <w:numPr>
          <w:ilvl w:val="1"/>
          <w:numId w:val="10"/>
        </w:numPr>
      </w:pPr>
      <w:r w:rsidRPr="0023585C">
        <w:t xml:space="preserve">Standards are understood and consistently applied </w:t>
      </w:r>
    </w:p>
    <w:p w14:paraId="37CDF401" w14:textId="77777777" w:rsidR="00037E8B" w:rsidRDefault="00037E8B" w:rsidP="00456131">
      <w:pPr>
        <w:pStyle w:val="ListParagraph"/>
        <w:numPr>
          <w:ilvl w:val="1"/>
          <w:numId w:val="10"/>
        </w:numPr>
      </w:pPr>
      <w:r w:rsidRPr="0023585C">
        <w:t>Institutions understand the role and benefits of quality assurance and recogni</w:t>
      </w:r>
      <w:r>
        <w:t>z</w:t>
      </w:r>
      <w:r w:rsidRPr="0023585C">
        <w:t>ed qualifications.</w:t>
      </w:r>
    </w:p>
    <w:p w14:paraId="17846CF3" w14:textId="7ADA6454" w:rsidR="00037E8B" w:rsidRDefault="00037E8B" w:rsidP="00037E8B">
      <w:pPr>
        <w:pStyle w:val="Heading2"/>
        <w:rPr>
          <w:color w:val="95050F"/>
        </w:rPr>
      </w:pPr>
      <w:bookmarkStart w:id="102" w:name="_Toc458938595"/>
      <w:bookmarkStart w:id="103" w:name="_Toc462428007"/>
      <w:bookmarkStart w:id="104" w:name="_Toc462428355"/>
      <w:bookmarkStart w:id="105" w:name="_Toc462575670"/>
      <w:bookmarkStart w:id="106" w:name="_Toc462755578"/>
      <w:r>
        <w:rPr>
          <w:color w:val="95050F"/>
        </w:rPr>
        <w:t>PRQS model</w:t>
      </w:r>
      <w:bookmarkEnd w:id="102"/>
      <w:bookmarkEnd w:id="103"/>
      <w:bookmarkEnd w:id="104"/>
      <w:bookmarkEnd w:id="105"/>
      <w:bookmarkEnd w:id="106"/>
    </w:p>
    <w:p w14:paraId="4E5474A7" w14:textId="77777777" w:rsidR="00037E8B" w:rsidRPr="007008FB" w:rsidRDefault="00037E8B" w:rsidP="00BF09CC">
      <w:pPr>
        <w:spacing w:line="240" w:lineRule="auto"/>
        <w:rPr>
          <w:rFonts w:ascii="Corbel" w:hAnsi="Corbel"/>
          <w:lang w:val="en-GB"/>
        </w:rPr>
      </w:pPr>
      <w:r w:rsidRPr="007008FB">
        <w:t xml:space="preserve">The PRQS aims to enhance and support regional cooperation in </w:t>
      </w:r>
      <w:r>
        <w:t>supporting</w:t>
      </w:r>
      <w:r w:rsidRPr="007008FB">
        <w:t xml:space="preserve"> the recognition of qualifications and learning, support the mobility of the region’s learners and labour, and support the implementation of regional trade agreements.</w:t>
      </w:r>
      <w:r w:rsidRPr="007008FB">
        <w:rPr>
          <w:rStyle w:val="FootnoteReference"/>
        </w:rPr>
        <w:footnoteReference w:id="66"/>
      </w:r>
      <w:r w:rsidRPr="007008FB">
        <w:t xml:space="preserve"> </w:t>
      </w:r>
    </w:p>
    <w:p w14:paraId="190C045C" w14:textId="77777777" w:rsidR="00037E8B" w:rsidRPr="00FA5C1F" w:rsidRDefault="00037E8B" w:rsidP="00BF09CC">
      <w:pPr>
        <w:spacing w:line="240" w:lineRule="auto"/>
        <w:rPr>
          <w:rFonts w:ascii="Corbel" w:hAnsi="Corbel"/>
          <w:lang w:val="en-GB"/>
        </w:rPr>
      </w:pPr>
      <w:r w:rsidRPr="00FA5C1F">
        <w:rPr>
          <w:rFonts w:ascii="Corbel" w:hAnsi="Corbel"/>
          <w:lang w:val="en-GB"/>
        </w:rPr>
        <w:lastRenderedPageBreak/>
        <w:t>T</w:t>
      </w:r>
      <w:r>
        <w:rPr>
          <w:rFonts w:ascii="Corbel" w:hAnsi="Corbel"/>
          <w:lang w:val="en-GB"/>
        </w:rPr>
        <w:t>o promote these aims t</w:t>
      </w:r>
      <w:r w:rsidRPr="00FA5C1F">
        <w:rPr>
          <w:rFonts w:ascii="Corbel" w:hAnsi="Corbel"/>
          <w:lang w:val="en-GB"/>
        </w:rPr>
        <w:t xml:space="preserve">he PRQS model links a regional qualifications framework and a regional quality assurance framework to that of a register of recognised agencies, approved qualifications and providers. </w:t>
      </w:r>
    </w:p>
    <w:p w14:paraId="7D100127" w14:textId="321D0714" w:rsidR="00037E8B" w:rsidRPr="007008FB" w:rsidRDefault="00037E8B" w:rsidP="00BF09CC">
      <w:pPr>
        <w:spacing w:line="240" w:lineRule="auto"/>
        <w:rPr>
          <w:rFonts w:ascii="Corbel" w:hAnsi="Corbel"/>
          <w:lang w:val="en-GB"/>
        </w:rPr>
      </w:pPr>
      <w:r w:rsidRPr="007008FB">
        <w:rPr>
          <w:rFonts w:ascii="Corbel" w:hAnsi="Corbel"/>
          <w:lang w:val="en-GB"/>
        </w:rPr>
        <w:t>The Pacific Qualifications Framework (PQF) is a common reference framework to link national qualifications frameworks of participating Pacific Island Forum countries and territories. It aim</w:t>
      </w:r>
      <w:r w:rsidR="0023209C">
        <w:rPr>
          <w:rFonts w:ascii="Corbel" w:hAnsi="Corbel"/>
          <w:lang w:val="en-GB"/>
        </w:rPr>
        <w:t>ed</w:t>
      </w:r>
      <w:r w:rsidRPr="007008FB">
        <w:rPr>
          <w:rFonts w:ascii="Corbel" w:hAnsi="Corbel"/>
          <w:lang w:val="en-GB"/>
        </w:rPr>
        <w:t xml:space="preserve"> to function similar to that of the European Qualifications Framework (EQF). </w:t>
      </w:r>
    </w:p>
    <w:p w14:paraId="6A093D29" w14:textId="0AB64BF2" w:rsidR="00037E8B" w:rsidRPr="007008FB" w:rsidRDefault="00037E8B" w:rsidP="00BF09CC">
      <w:pPr>
        <w:spacing w:line="240" w:lineRule="auto"/>
        <w:rPr>
          <w:rFonts w:ascii="Corbel" w:hAnsi="Corbel"/>
          <w:lang w:val="en-GB"/>
        </w:rPr>
      </w:pPr>
      <w:r w:rsidRPr="007008FB">
        <w:rPr>
          <w:rFonts w:ascii="Corbel" w:hAnsi="Corbel"/>
          <w:lang w:val="en-GB"/>
        </w:rPr>
        <w:t xml:space="preserve">Amongst a range of </w:t>
      </w:r>
      <w:r w:rsidR="00303466" w:rsidRPr="007008FB">
        <w:rPr>
          <w:rFonts w:ascii="Corbel" w:hAnsi="Corbel"/>
          <w:lang w:val="en-GB"/>
        </w:rPr>
        <w:t>purposes,</w:t>
      </w:r>
      <w:r w:rsidRPr="007008FB">
        <w:rPr>
          <w:rFonts w:ascii="Corbel" w:hAnsi="Corbel"/>
          <w:lang w:val="en-GB"/>
        </w:rPr>
        <w:t xml:space="preserve"> it aims to:</w:t>
      </w:r>
    </w:p>
    <w:p w14:paraId="7F7C41CE" w14:textId="77777777" w:rsidR="00037E8B" w:rsidRPr="007008FB" w:rsidRDefault="00037E8B" w:rsidP="00456131">
      <w:pPr>
        <w:pStyle w:val="ListParagraph"/>
        <w:numPr>
          <w:ilvl w:val="0"/>
          <w:numId w:val="28"/>
        </w:numPr>
        <w:rPr>
          <w:lang w:val="en-GB"/>
        </w:rPr>
      </w:pPr>
      <w:r w:rsidRPr="007008FB">
        <w:rPr>
          <w:lang w:val="en-GB"/>
        </w:rPr>
        <w:t>Enhance international comparability and recognition of Pacific qualifications to facilitate portability of learning and integration of labour mobility into the international labour market</w:t>
      </w:r>
    </w:p>
    <w:p w14:paraId="5CF57BF6" w14:textId="77777777" w:rsidR="00037E8B" w:rsidRPr="007008FB" w:rsidRDefault="00037E8B" w:rsidP="00456131">
      <w:pPr>
        <w:pStyle w:val="ListParagraph"/>
        <w:numPr>
          <w:ilvl w:val="0"/>
          <w:numId w:val="28"/>
        </w:numPr>
        <w:rPr>
          <w:lang w:val="en-GB"/>
        </w:rPr>
      </w:pPr>
      <w:r w:rsidRPr="007008FB">
        <w:rPr>
          <w:lang w:val="en-GB"/>
        </w:rPr>
        <w:t>Provide a platform for stakeholder communication and strengthening multi-sectoral cooperation.</w:t>
      </w:r>
      <w:r w:rsidRPr="007008FB">
        <w:rPr>
          <w:rStyle w:val="FootnoteReference"/>
          <w:rFonts w:ascii="Corbel" w:hAnsi="Corbel"/>
          <w:lang w:val="en-GB"/>
        </w:rPr>
        <w:footnoteReference w:id="67"/>
      </w:r>
    </w:p>
    <w:p w14:paraId="50A17D95" w14:textId="54049710" w:rsidR="00037E8B" w:rsidRPr="007008FB" w:rsidRDefault="00037E8B" w:rsidP="00BF09CC">
      <w:pPr>
        <w:spacing w:line="240" w:lineRule="auto"/>
      </w:pPr>
      <w:r w:rsidRPr="007008FB">
        <w:t>The PQF also has additional features (e.g. qualification descriptors and credit profile descriptors) that enable it</w:t>
      </w:r>
      <w:r w:rsidR="00303466">
        <w:t xml:space="preserve">s use </w:t>
      </w:r>
      <w:r w:rsidRPr="007008FB">
        <w:t xml:space="preserve">as a national qualifications framework for those countries that do not have the capacity to develop their own national qualifications framework. </w:t>
      </w:r>
    </w:p>
    <w:p w14:paraId="5E5BA893" w14:textId="77777777" w:rsidR="00037E8B" w:rsidRDefault="00037E8B" w:rsidP="00BF09CC">
      <w:pPr>
        <w:spacing w:line="240" w:lineRule="auto"/>
      </w:pPr>
      <w:r w:rsidRPr="007008FB">
        <w:t xml:space="preserve">The PRQS model is both complex and multi-faceted. </w:t>
      </w:r>
      <w:r>
        <w:t>The PRQS model goes beyond that of a common reference framework and includes:</w:t>
      </w:r>
    </w:p>
    <w:p w14:paraId="7D5EFB5F" w14:textId="77777777" w:rsidR="00037E8B" w:rsidRDefault="00037E8B" w:rsidP="00456131">
      <w:pPr>
        <w:pStyle w:val="ListParagraph"/>
        <w:numPr>
          <w:ilvl w:val="0"/>
          <w:numId w:val="60"/>
        </w:numPr>
      </w:pPr>
      <w:r>
        <w:t>A quality assurance framework</w:t>
      </w:r>
    </w:p>
    <w:p w14:paraId="3FDE61E6" w14:textId="77777777" w:rsidR="00037E8B" w:rsidRDefault="00037E8B" w:rsidP="00456131">
      <w:pPr>
        <w:pStyle w:val="ListParagraph"/>
        <w:numPr>
          <w:ilvl w:val="0"/>
          <w:numId w:val="60"/>
        </w:numPr>
      </w:pPr>
      <w:r>
        <w:t xml:space="preserve">A register of quality assured agencies and qualifications. </w:t>
      </w:r>
    </w:p>
    <w:p w14:paraId="337E0AE2" w14:textId="1EA5635C" w:rsidR="00037E8B" w:rsidRPr="007008FB" w:rsidRDefault="00037E8B" w:rsidP="00BF09CC">
      <w:pPr>
        <w:spacing w:line="240" w:lineRule="auto"/>
      </w:pPr>
      <w:r w:rsidRPr="007008FB">
        <w:t xml:space="preserve">The quality assurance framework includes </w:t>
      </w:r>
      <w:r w:rsidRPr="007008FB">
        <w:rPr>
          <w:rFonts w:ascii="Corbel" w:hAnsi="Corbel" w:cs="Arial"/>
        </w:rPr>
        <w:t xml:space="preserve">a set of quality assurance standards for agencies (including the registration of providers and accreditation processes of qualifications) and minimum standards for providers. </w:t>
      </w:r>
      <w:r w:rsidRPr="007008FB">
        <w:t xml:space="preserve">The quality assurance framework aims to: </w:t>
      </w:r>
    </w:p>
    <w:p w14:paraId="0574439E" w14:textId="77777777" w:rsidR="00037E8B" w:rsidRPr="007008FB" w:rsidRDefault="00037E8B" w:rsidP="00456131">
      <w:pPr>
        <w:pStyle w:val="ListParagraph"/>
        <w:numPr>
          <w:ilvl w:val="0"/>
          <w:numId w:val="29"/>
        </w:numPr>
      </w:pPr>
      <w:r w:rsidRPr="007008FB">
        <w:t>Improve the quality assurance functions and responsibilities of accrediting agencies</w:t>
      </w:r>
    </w:p>
    <w:p w14:paraId="5852AAC3" w14:textId="77777777" w:rsidR="00037E8B" w:rsidRPr="007008FB" w:rsidRDefault="00037E8B" w:rsidP="00456131">
      <w:pPr>
        <w:pStyle w:val="ListParagraph"/>
        <w:numPr>
          <w:ilvl w:val="0"/>
          <w:numId w:val="29"/>
        </w:numPr>
      </w:pPr>
      <w:r w:rsidRPr="007008FB">
        <w:t>Cultivate and maintain a culture of quality and excellence within Pacific institutions of learning.</w:t>
      </w:r>
      <w:r w:rsidRPr="007008FB">
        <w:rPr>
          <w:rStyle w:val="FootnoteReference"/>
          <w:rFonts w:ascii="Corbel" w:hAnsi="Corbel" w:cs="Arial"/>
        </w:rPr>
        <w:footnoteReference w:id="68"/>
      </w:r>
    </w:p>
    <w:p w14:paraId="766DD4AD" w14:textId="77777777" w:rsidR="00037E8B" w:rsidRPr="007008FB" w:rsidRDefault="00037E8B" w:rsidP="00BF09CC">
      <w:pPr>
        <w:spacing w:line="240" w:lineRule="auto"/>
      </w:pPr>
      <w:r w:rsidRPr="007008FB">
        <w:t xml:space="preserve">The quality assurance framework ensures that qualifications entered on the regional Register meet agreed standards. All qualifications entered onto the register are referenced against the PQF, for example, a PQF level profile is included in the information on the register. </w:t>
      </w:r>
    </w:p>
    <w:p w14:paraId="6E84E8E1" w14:textId="77777777" w:rsidR="00037E8B" w:rsidRPr="007008FB" w:rsidRDefault="00037E8B" w:rsidP="00BF09CC">
      <w:pPr>
        <w:spacing w:line="240" w:lineRule="auto"/>
      </w:pPr>
      <w:r>
        <w:t>The PRQS model also</w:t>
      </w:r>
      <w:r w:rsidRPr="007008FB">
        <w:t xml:space="preserve"> includes options for additional components:</w:t>
      </w:r>
    </w:p>
    <w:p w14:paraId="7BE6FFA3" w14:textId="77777777" w:rsidR="00037E8B" w:rsidRPr="007008FB" w:rsidRDefault="00037E8B" w:rsidP="00456131">
      <w:pPr>
        <w:pStyle w:val="ListParagraph"/>
        <w:numPr>
          <w:ilvl w:val="0"/>
          <w:numId w:val="27"/>
        </w:numPr>
      </w:pPr>
      <w:r w:rsidRPr="007008FB">
        <w:t>Professional licensing and occupational standards</w:t>
      </w:r>
    </w:p>
    <w:p w14:paraId="67EA12D0" w14:textId="77777777" w:rsidR="00037E8B" w:rsidRPr="007008FB" w:rsidRDefault="00037E8B" w:rsidP="00456131">
      <w:pPr>
        <w:pStyle w:val="ListParagraph"/>
        <w:numPr>
          <w:ilvl w:val="0"/>
          <w:numId w:val="27"/>
        </w:numPr>
      </w:pPr>
      <w:r w:rsidRPr="007008FB">
        <w:t>Traditional knowledge and indigenous skills</w:t>
      </w:r>
    </w:p>
    <w:p w14:paraId="19E0A67B" w14:textId="77777777" w:rsidR="00037E8B" w:rsidRPr="007008FB" w:rsidRDefault="00037E8B" w:rsidP="00456131">
      <w:pPr>
        <w:pStyle w:val="ListParagraph"/>
        <w:numPr>
          <w:ilvl w:val="0"/>
          <w:numId w:val="27"/>
        </w:numPr>
      </w:pPr>
      <w:r w:rsidRPr="007008FB">
        <w:t>Regional benchmarks (e.g. literacy, teacher standards).</w:t>
      </w:r>
      <w:r w:rsidRPr="007008FB">
        <w:rPr>
          <w:rStyle w:val="FootnoteReference"/>
        </w:rPr>
        <w:footnoteReference w:id="69"/>
      </w:r>
    </w:p>
    <w:p w14:paraId="614EAAF2" w14:textId="0B1585CA" w:rsidR="00616865" w:rsidRPr="00616865" w:rsidRDefault="00616865" w:rsidP="00037E8B">
      <w:pPr>
        <w:pStyle w:val="Heading2"/>
        <w:rPr>
          <w:color w:val="95050F"/>
        </w:rPr>
      </w:pPr>
      <w:bookmarkStart w:id="107" w:name="_Toc458938596"/>
      <w:bookmarkStart w:id="108" w:name="_Toc462428008"/>
      <w:bookmarkStart w:id="109" w:name="_Toc462428356"/>
      <w:bookmarkStart w:id="110" w:name="_Toc462575671"/>
      <w:bookmarkStart w:id="111" w:name="_Toc462755579"/>
      <w:r w:rsidRPr="000E3EB8">
        <w:rPr>
          <w:color w:val="95050F"/>
        </w:rPr>
        <w:t xml:space="preserve">Funding </w:t>
      </w:r>
      <w:r>
        <w:rPr>
          <w:color w:val="95050F"/>
        </w:rPr>
        <w:t xml:space="preserve">and staffing </w:t>
      </w:r>
      <w:r w:rsidRPr="000E3EB8">
        <w:rPr>
          <w:color w:val="95050F"/>
        </w:rPr>
        <w:t>of the PRQS</w:t>
      </w:r>
      <w:bookmarkEnd w:id="107"/>
      <w:bookmarkEnd w:id="108"/>
      <w:bookmarkEnd w:id="109"/>
      <w:bookmarkEnd w:id="110"/>
      <w:bookmarkEnd w:id="111"/>
    </w:p>
    <w:p w14:paraId="2200F3FC" w14:textId="6D0F5CEF" w:rsidR="00616865" w:rsidRDefault="00616865" w:rsidP="00BF09CC">
      <w:pPr>
        <w:spacing w:line="240" w:lineRule="auto"/>
      </w:pPr>
      <w:r>
        <w:t xml:space="preserve">Australia has funded the PRQS from its inception and funding </w:t>
      </w:r>
      <w:r w:rsidR="00445337">
        <w:t>was</w:t>
      </w:r>
      <w:r>
        <w:t xml:space="preserve"> extended to the end of December 2016.  The following table outlines the monies allocated over this period. </w:t>
      </w:r>
    </w:p>
    <w:p w14:paraId="77DF44A2" w14:textId="77777777" w:rsidR="00E716CF" w:rsidRDefault="00E716CF">
      <w:pPr>
        <w:spacing w:before="0" w:after="200" w:line="276" w:lineRule="auto"/>
        <w:rPr>
          <w:b/>
        </w:rPr>
      </w:pPr>
      <w:bookmarkStart w:id="112" w:name="_Toc458892557"/>
      <w:r>
        <w:rPr>
          <w:b/>
        </w:rPr>
        <w:br w:type="page"/>
      </w:r>
    </w:p>
    <w:p w14:paraId="199CDDDF" w14:textId="0ACA3967" w:rsidR="00616865" w:rsidRPr="00E21F50" w:rsidRDefault="00616865" w:rsidP="00BF09CC">
      <w:pPr>
        <w:spacing w:line="240" w:lineRule="auto"/>
        <w:rPr>
          <w:b/>
        </w:rPr>
      </w:pPr>
      <w:r w:rsidRPr="00E21F50">
        <w:rPr>
          <w:b/>
        </w:rPr>
        <w:lastRenderedPageBreak/>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2</w:t>
      </w:r>
      <w:r w:rsidRPr="00E21F50">
        <w:rPr>
          <w:b/>
        </w:rPr>
        <w:fldChar w:fldCharType="end"/>
      </w:r>
      <w:r w:rsidRPr="00E21F50">
        <w:rPr>
          <w:b/>
        </w:rPr>
        <w:t>: PRQS budget</w:t>
      </w:r>
      <w:bookmarkEnd w:id="112"/>
    </w:p>
    <w:tbl>
      <w:tblPr>
        <w:tblStyle w:val="TableGrid"/>
        <w:tblW w:w="0" w:type="auto"/>
        <w:tblInd w:w="108" w:type="dxa"/>
        <w:tblLook w:val="04A0" w:firstRow="1" w:lastRow="0" w:firstColumn="1" w:lastColumn="0" w:noHBand="0" w:noVBand="1"/>
      </w:tblPr>
      <w:tblGrid>
        <w:gridCol w:w="2839"/>
        <w:gridCol w:w="3173"/>
      </w:tblGrid>
      <w:tr w:rsidR="00616865" w:rsidRPr="00B074A5" w14:paraId="2B54C7E5" w14:textId="77777777" w:rsidTr="00777080">
        <w:trPr>
          <w:tblHeader/>
        </w:trPr>
        <w:tc>
          <w:tcPr>
            <w:tcW w:w="2839" w:type="dxa"/>
            <w:shd w:val="clear" w:color="auto" w:fill="D9D9D9" w:themeFill="background1" w:themeFillShade="D9"/>
          </w:tcPr>
          <w:p w14:paraId="31F866E4" w14:textId="77777777" w:rsidR="00616865" w:rsidRPr="00535C56" w:rsidRDefault="00616865" w:rsidP="005C649D">
            <w:pPr>
              <w:spacing w:after="0" w:line="240" w:lineRule="auto"/>
              <w:rPr>
                <w:b/>
                <w:sz w:val="20"/>
                <w:szCs w:val="20"/>
              </w:rPr>
            </w:pPr>
            <w:r w:rsidRPr="00535C56">
              <w:rPr>
                <w:b/>
                <w:sz w:val="20"/>
                <w:szCs w:val="20"/>
              </w:rPr>
              <w:t xml:space="preserve">Dates </w:t>
            </w:r>
          </w:p>
        </w:tc>
        <w:tc>
          <w:tcPr>
            <w:tcW w:w="3173" w:type="dxa"/>
            <w:shd w:val="clear" w:color="auto" w:fill="D9D9D9" w:themeFill="background1" w:themeFillShade="D9"/>
          </w:tcPr>
          <w:p w14:paraId="218FF91E" w14:textId="77777777" w:rsidR="00616865" w:rsidRPr="00816EBE" w:rsidRDefault="00616865" w:rsidP="005C649D">
            <w:pPr>
              <w:spacing w:after="0" w:line="240" w:lineRule="auto"/>
              <w:rPr>
                <w:b/>
                <w:sz w:val="20"/>
                <w:szCs w:val="20"/>
              </w:rPr>
            </w:pPr>
            <w:r w:rsidRPr="00816EBE">
              <w:rPr>
                <w:b/>
                <w:sz w:val="20"/>
                <w:szCs w:val="20"/>
              </w:rPr>
              <w:t>Amounts (AUD)</w:t>
            </w:r>
          </w:p>
        </w:tc>
      </w:tr>
      <w:tr w:rsidR="00616865" w:rsidRPr="00B074A5" w14:paraId="0EDD5BCD" w14:textId="77777777" w:rsidTr="00777080">
        <w:tc>
          <w:tcPr>
            <w:tcW w:w="6012" w:type="dxa"/>
            <w:gridSpan w:val="2"/>
          </w:tcPr>
          <w:p w14:paraId="6E85676B" w14:textId="77777777" w:rsidR="00616865" w:rsidRPr="00535C56" w:rsidRDefault="00616865" w:rsidP="005C649D">
            <w:pPr>
              <w:spacing w:after="0" w:line="240" w:lineRule="auto"/>
              <w:rPr>
                <w:sz w:val="20"/>
                <w:szCs w:val="20"/>
              </w:rPr>
            </w:pPr>
            <w:r w:rsidRPr="00535C56">
              <w:rPr>
                <w:rFonts w:eastAsia="Times New Roman"/>
                <w:b/>
                <w:bCs/>
                <w:sz w:val="20"/>
                <w:szCs w:val="20"/>
              </w:rPr>
              <w:t>RQR Budget</w:t>
            </w:r>
          </w:p>
        </w:tc>
      </w:tr>
      <w:tr w:rsidR="00616865" w:rsidRPr="00B074A5" w14:paraId="7489402A" w14:textId="77777777" w:rsidTr="00777080">
        <w:tc>
          <w:tcPr>
            <w:tcW w:w="2839" w:type="dxa"/>
          </w:tcPr>
          <w:p w14:paraId="5D17788D" w14:textId="77777777" w:rsidR="00616865" w:rsidRPr="00535C56" w:rsidRDefault="00616865" w:rsidP="005C649D">
            <w:pPr>
              <w:spacing w:after="0" w:line="240" w:lineRule="auto"/>
              <w:rPr>
                <w:sz w:val="20"/>
                <w:szCs w:val="20"/>
              </w:rPr>
            </w:pPr>
            <w:r w:rsidRPr="00535C56">
              <w:rPr>
                <w:rFonts w:eastAsia="Times New Roman"/>
                <w:sz w:val="20"/>
                <w:szCs w:val="20"/>
              </w:rPr>
              <w:t>15 June 2007</w:t>
            </w:r>
          </w:p>
        </w:tc>
        <w:tc>
          <w:tcPr>
            <w:tcW w:w="3173" w:type="dxa"/>
          </w:tcPr>
          <w:p w14:paraId="68789216" w14:textId="77777777" w:rsidR="00616865" w:rsidRPr="00816EBE" w:rsidRDefault="00616865" w:rsidP="005C649D">
            <w:pPr>
              <w:spacing w:after="0" w:line="240" w:lineRule="auto"/>
              <w:jc w:val="right"/>
              <w:rPr>
                <w:sz w:val="20"/>
                <w:szCs w:val="20"/>
              </w:rPr>
            </w:pPr>
            <w:r w:rsidRPr="00816EBE">
              <w:rPr>
                <w:rFonts w:eastAsia="Times New Roman"/>
                <w:sz w:val="20"/>
                <w:szCs w:val="20"/>
              </w:rPr>
              <w:t>120,000.00</w:t>
            </w:r>
          </w:p>
        </w:tc>
      </w:tr>
      <w:tr w:rsidR="00616865" w:rsidRPr="00B074A5" w14:paraId="5EBC8846" w14:textId="77777777" w:rsidTr="00777080">
        <w:tc>
          <w:tcPr>
            <w:tcW w:w="6012" w:type="dxa"/>
            <w:gridSpan w:val="2"/>
          </w:tcPr>
          <w:p w14:paraId="506F73DB" w14:textId="77777777" w:rsidR="00616865" w:rsidRPr="00535C56" w:rsidRDefault="00616865" w:rsidP="005C649D">
            <w:pPr>
              <w:spacing w:after="0" w:line="240" w:lineRule="auto"/>
              <w:rPr>
                <w:sz w:val="20"/>
                <w:szCs w:val="20"/>
              </w:rPr>
            </w:pPr>
            <w:r w:rsidRPr="00535C56">
              <w:rPr>
                <w:rFonts w:eastAsia="Times New Roman"/>
                <w:b/>
                <w:bCs/>
                <w:sz w:val="20"/>
                <w:szCs w:val="20"/>
              </w:rPr>
              <w:t>PRQS Budget</w:t>
            </w:r>
          </w:p>
        </w:tc>
      </w:tr>
      <w:tr w:rsidR="00616865" w:rsidRPr="00B074A5" w14:paraId="3E58A2CE" w14:textId="77777777" w:rsidTr="00777080">
        <w:tc>
          <w:tcPr>
            <w:tcW w:w="2839" w:type="dxa"/>
            <w:vAlign w:val="center"/>
          </w:tcPr>
          <w:p w14:paraId="01C4DEF8" w14:textId="77777777" w:rsidR="00616865" w:rsidRPr="00535C56" w:rsidRDefault="00616865" w:rsidP="005C649D">
            <w:pPr>
              <w:spacing w:after="0" w:line="240" w:lineRule="auto"/>
              <w:rPr>
                <w:sz w:val="20"/>
                <w:szCs w:val="20"/>
              </w:rPr>
            </w:pPr>
            <w:r w:rsidRPr="00535C56">
              <w:rPr>
                <w:rFonts w:eastAsia="Times New Roman"/>
                <w:sz w:val="20"/>
                <w:szCs w:val="20"/>
              </w:rPr>
              <w:t>25 November 2008</w:t>
            </w:r>
          </w:p>
        </w:tc>
        <w:tc>
          <w:tcPr>
            <w:tcW w:w="3173" w:type="dxa"/>
            <w:vAlign w:val="center"/>
          </w:tcPr>
          <w:p w14:paraId="78AA7508"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330,774.00 </w:t>
            </w:r>
          </w:p>
        </w:tc>
      </w:tr>
      <w:tr w:rsidR="00616865" w:rsidRPr="00B074A5" w14:paraId="508DA7A2" w14:textId="77777777" w:rsidTr="00777080">
        <w:tc>
          <w:tcPr>
            <w:tcW w:w="2839" w:type="dxa"/>
            <w:vAlign w:val="center"/>
          </w:tcPr>
          <w:p w14:paraId="696A7CCB" w14:textId="77777777" w:rsidR="00616865" w:rsidRPr="00535C56" w:rsidRDefault="00616865" w:rsidP="005C649D">
            <w:pPr>
              <w:spacing w:after="0" w:line="240" w:lineRule="auto"/>
              <w:rPr>
                <w:sz w:val="20"/>
                <w:szCs w:val="20"/>
              </w:rPr>
            </w:pPr>
            <w:r w:rsidRPr="00535C56">
              <w:rPr>
                <w:rFonts w:eastAsia="Times New Roman"/>
                <w:sz w:val="20"/>
                <w:szCs w:val="20"/>
              </w:rPr>
              <w:t>28 August 2009</w:t>
            </w:r>
          </w:p>
        </w:tc>
        <w:tc>
          <w:tcPr>
            <w:tcW w:w="3173" w:type="dxa"/>
            <w:vAlign w:val="center"/>
          </w:tcPr>
          <w:p w14:paraId="35426E49"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244,592.00 </w:t>
            </w:r>
          </w:p>
        </w:tc>
      </w:tr>
      <w:tr w:rsidR="00616865" w:rsidRPr="00B074A5" w14:paraId="42AE7A7C" w14:textId="77777777" w:rsidTr="00777080">
        <w:tc>
          <w:tcPr>
            <w:tcW w:w="2839" w:type="dxa"/>
            <w:vAlign w:val="center"/>
          </w:tcPr>
          <w:p w14:paraId="6564C5C5" w14:textId="77777777" w:rsidR="00616865" w:rsidRPr="00535C56" w:rsidRDefault="00616865" w:rsidP="005C649D">
            <w:pPr>
              <w:spacing w:after="0" w:line="240" w:lineRule="auto"/>
              <w:rPr>
                <w:sz w:val="20"/>
                <w:szCs w:val="20"/>
              </w:rPr>
            </w:pPr>
            <w:r w:rsidRPr="00535C56">
              <w:rPr>
                <w:rFonts w:eastAsia="Times New Roman"/>
                <w:sz w:val="20"/>
                <w:szCs w:val="20"/>
              </w:rPr>
              <w:t>4 May 2010</w:t>
            </w:r>
          </w:p>
        </w:tc>
        <w:tc>
          <w:tcPr>
            <w:tcW w:w="3173" w:type="dxa"/>
            <w:vAlign w:val="center"/>
          </w:tcPr>
          <w:p w14:paraId="66040130"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122,310.00 </w:t>
            </w:r>
          </w:p>
        </w:tc>
      </w:tr>
      <w:tr w:rsidR="00616865" w:rsidRPr="00B074A5" w14:paraId="4D01DE42" w14:textId="77777777" w:rsidTr="00777080">
        <w:tc>
          <w:tcPr>
            <w:tcW w:w="2839" w:type="dxa"/>
            <w:vAlign w:val="center"/>
          </w:tcPr>
          <w:p w14:paraId="3A9DBE0A" w14:textId="77777777" w:rsidR="00616865" w:rsidRPr="00535C56" w:rsidRDefault="00616865" w:rsidP="005C649D">
            <w:pPr>
              <w:spacing w:after="0" w:line="240" w:lineRule="auto"/>
              <w:rPr>
                <w:sz w:val="20"/>
                <w:szCs w:val="20"/>
              </w:rPr>
            </w:pPr>
            <w:r w:rsidRPr="00535C56">
              <w:rPr>
                <w:rFonts w:eastAsia="Times New Roman"/>
                <w:sz w:val="20"/>
                <w:szCs w:val="20"/>
              </w:rPr>
              <w:t>17 May 2010</w:t>
            </w:r>
          </w:p>
        </w:tc>
        <w:tc>
          <w:tcPr>
            <w:tcW w:w="3173" w:type="dxa"/>
            <w:vAlign w:val="center"/>
          </w:tcPr>
          <w:p w14:paraId="50905B0D"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122,310.00 </w:t>
            </w:r>
          </w:p>
        </w:tc>
      </w:tr>
      <w:tr w:rsidR="00616865" w:rsidRPr="00B074A5" w14:paraId="792A4CB6" w14:textId="77777777" w:rsidTr="00777080">
        <w:tc>
          <w:tcPr>
            <w:tcW w:w="2839" w:type="dxa"/>
            <w:vAlign w:val="center"/>
          </w:tcPr>
          <w:p w14:paraId="5BB87054" w14:textId="77777777" w:rsidR="00616865" w:rsidRPr="00535C56" w:rsidRDefault="00616865" w:rsidP="005C649D">
            <w:pPr>
              <w:spacing w:after="0" w:line="240" w:lineRule="auto"/>
              <w:rPr>
                <w:sz w:val="20"/>
                <w:szCs w:val="20"/>
              </w:rPr>
            </w:pPr>
            <w:r w:rsidRPr="00535C56">
              <w:rPr>
                <w:rFonts w:eastAsia="Times New Roman"/>
                <w:sz w:val="20"/>
                <w:szCs w:val="20"/>
              </w:rPr>
              <w:t>24 September 2010</w:t>
            </w:r>
          </w:p>
        </w:tc>
        <w:tc>
          <w:tcPr>
            <w:tcW w:w="3173" w:type="dxa"/>
            <w:vAlign w:val="center"/>
          </w:tcPr>
          <w:p w14:paraId="4DBA2500"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234,358.00 </w:t>
            </w:r>
          </w:p>
        </w:tc>
      </w:tr>
      <w:tr w:rsidR="00616865" w:rsidRPr="00B074A5" w14:paraId="54245EBD" w14:textId="77777777" w:rsidTr="00777080">
        <w:tc>
          <w:tcPr>
            <w:tcW w:w="2839" w:type="dxa"/>
            <w:vAlign w:val="center"/>
          </w:tcPr>
          <w:p w14:paraId="66CDC88B" w14:textId="77777777" w:rsidR="00616865" w:rsidRPr="00535C56" w:rsidRDefault="00616865" w:rsidP="005C649D">
            <w:pPr>
              <w:spacing w:after="0" w:line="240" w:lineRule="auto"/>
              <w:rPr>
                <w:sz w:val="20"/>
                <w:szCs w:val="20"/>
              </w:rPr>
            </w:pPr>
            <w:r w:rsidRPr="00535C56">
              <w:rPr>
                <w:rFonts w:eastAsia="Times New Roman"/>
                <w:sz w:val="20"/>
                <w:szCs w:val="20"/>
              </w:rPr>
              <w:t>2 June 2011</w:t>
            </w:r>
          </w:p>
        </w:tc>
        <w:tc>
          <w:tcPr>
            <w:tcW w:w="3173" w:type="dxa"/>
            <w:vAlign w:val="center"/>
          </w:tcPr>
          <w:p w14:paraId="7F936205"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237,522.00 </w:t>
            </w:r>
          </w:p>
        </w:tc>
      </w:tr>
      <w:tr w:rsidR="00616865" w:rsidRPr="00B074A5" w14:paraId="7BAA7640" w14:textId="77777777" w:rsidTr="00777080">
        <w:tc>
          <w:tcPr>
            <w:tcW w:w="2839" w:type="dxa"/>
            <w:vAlign w:val="center"/>
          </w:tcPr>
          <w:p w14:paraId="12535B7E" w14:textId="77777777" w:rsidR="00616865" w:rsidRPr="00535C56" w:rsidRDefault="00616865" w:rsidP="005C649D">
            <w:pPr>
              <w:spacing w:after="0" w:line="240" w:lineRule="auto"/>
              <w:rPr>
                <w:sz w:val="20"/>
                <w:szCs w:val="20"/>
              </w:rPr>
            </w:pPr>
            <w:r w:rsidRPr="00535C56">
              <w:rPr>
                <w:rFonts w:eastAsia="Times New Roman"/>
                <w:sz w:val="20"/>
                <w:szCs w:val="20"/>
              </w:rPr>
              <w:t>9 February 2012</w:t>
            </w:r>
          </w:p>
        </w:tc>
        <w:tc>
          <w:tcPr>
            <w:tcW w:w="3173" w:type="dxa"/>
            <w:vAlign w:val="center"/>
          </w:tcPr>
          <w:p w14:paraId="22E9BAA8"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384,826.00 </w:t>
            </w:r>
          </w:p>
        </w:tc>
      </w:tr>
      <w:tr w:rsidR="00616865" w:rsidRPr="00B074A5" w14:paraId="0804B248" w14:textId="77777777" w:rsidTr="00777080">
        <w:tc>
          <w:tcPr>
            <w:tcW w:w="2839" w:type="dxa"/>
            <w:vAlign w:val="center"/>
          </w:tcPr>
          <w:p w14:paraId="5587706E" w14:textId="77777777" w:rsidR="00616865" w:rsidRPr="00816EBE" w:rsidRDefault="00616865" w:rsidP="005C649D">
            <w:pPr>
              <w:spacing w:after="0" w:line="240" w:lineRule="auto"/>
              <w:rPr>
                <w:sz w:val="20"/>
                <w:szCs w:val="20"/>
              </w:rPr>
            </w:pPr>
            <w:r w:rsidRPr="00535C56">
              <w:rPr>
                <w:rFonts w:eastAsia="Times New Roman"/>
                <w:sz w:val="20"/>
                <w:szCs w:val="20"/>
              </w:rPr>
              <w:t>6 March 2013</w:t>
            </w:r>
          </w:p>
        </w:tc>
        <w:tc>
          <w:tcPr>
            <w:tcW w:w="3173" w:type="dxa"/>
            <w:vAlign w:val="center"/>
          </w:tcPr>
          <w:p w14:paraId="47F11D7A"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144,140.00 </w:t>
            </w:r>
          </w:p>
        </w:tc>
      </w:tr>
      <w:tr w:rsidR="00616865" w:rsidRPr="00B074A5" w14:paraId="5C195EAA" w14:textId="77777777" w:rsidTr="00777080">
        <w:tc>
          <w:tcPr>
            <w:tcW w:w="2839" w:type="dxa"/>
            <w:vAlign w:val="center"/>
          </w:tcPr>
          <w:p w14:paraId="37382948" w14:textId="77777777" w:rsidR="00616865" w:rsidRPr="00535C56" w:rsidRDefault="00616865" w:rsidP="005C649D">
            <w:pPr>
              <w:spacing w:after="0" w:line="240" w:lineRule="auto"/>
              <w:rPr>
                <w:sz w:val="20"/>
                <w:szCs w:val="20"/>
              </w:rPr>
            </w:pPr>
            <w:r w:rsidRPr="00535C56">
              <w:rPr>
                <w:rFonts w:eastAsia="Times New Roman"/>
                <w:sz w:val="20"/>
                <w:szCs w:val="20"/>
              </w:rPr>
              <w:t>22 January 2014</w:t>
            </w:r>
          </w:p>
        </w:tc>
        <w:tc>
          <w:tcPr>
            <w:tcW w:w="3173" w:type="dxa"/>
            <w:vAlign w:val="center"/>
          </w:tcPr>
          <w:p w14:paraId="009480AF"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200,000.00 </w:t>
            </w:r>
          </w:p>
        </w:tc>
      </w:tr>
      <w:tr w:rsidR="00616865" w:rsidRPr="00B074A5" w14:paraId="06112A24" w14:textId="77777777" w:rsidTr="00777080">
        <w:tc>
          <w:tcPr>
            <w:tcW w:w="2839" w:type="dxa"/>
            <w:vAlign w:val="center"/>
          </w:tcPr>
          <w:p w14:paraId="5451763A" w14:textId="77777777" w:rsidR="00616865" w:rsidRPr="00535C56" w:rsidRDefault="00616865" w:rsidP="005C649D">
            <w:pPr>
              <w:spacing w:after="0" w:line="240" w:lineRule="auto"/>
              <w:rPr>
                <w:sz w:val="20"/>
                <w:szCs w:val="20"/>
              </w:rPr>
            </w:pPr>
            <w:r w:rsidRPr="00535C56">
              <w:rPr>
                <w:rFonts w:eastAsia="Times New Roman"/>
                <w:sz w:val="20"/>
                <w:szCs w:val="20"/>
              </w:rPr>
              <w:t>27 March 2014</w:t>
            </w:r>
          </w:p>
        </w:tc>
        <w:tc>
          <w:tcPr>
            <w:tcW w:w="3173" w:type="dxa"/>
            <w:vAlign w:val="center"/>
          </w:tcPr>
          <w:p w14:paraId="54316589"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150,000.00 </w:t>
            </w:r>
          </w:p>
        </w:tc>
      </w:tr>
      <w:tr w:rsidR="00616865" w:rsidRPr="00B074A5" w14:paraId="7D3AD850" w14:textId="77777777" w:rsidTr="00777080">
        <w:tc>
          <w:tcPr>
            <w:tcW w:w="2839" w:type="dxa"/>
            <w:vAlign w:val="center"/>
          </w:tcPr>
          <w:p w14:paraId="5B8A53BC" w14:textId="77777777" w:rsidR="00616865" w:rsidRPr="00535C56" w:rsidRDefault="00616865" w:rsidP="005C649D">
            <w:pPr>
              <w:spacing w:after="0" w:line="240" w:lineRule="auto"/>
              <w:rPr>
                <w:sz w:val="20"/>
                <w:szCs w:val="20"/>
              </w:rPr>
            </w:pPr>
            <w:r w:rsidRPr="00535C56">
              <w:rPr>
                <w:rFonts w:eastAsia="Times New Roman"/>
                <w:sz w:val="20"/>
                <w:szCs w:val="20"/>
              </w:rPr>
              <w:t>15 October 2014</w:t>
            </w:r>
          </w:p>
        </w:tc>
        <w:tc>
          <w:tcPr>
            <w:tcW w:w="3173" w:type="dxa"/>
            <w:vAlign w:val="center"/>
          </w:tcPr>
          <w:p w14:paraId="64BB3706"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350,000.00 </w:t>
            </w:r>
          </w:p>
        </w:tc>
      </w:tr>
      <w:tr w:rsidR="00616865" w:rsidRPr="00B074A5" w14:paraId="151F29DA" w14:textId="77777777" w:rsidTr="00777080">
        <w:tc>
          <w:tcPr>
            <w:tcW w:w="2839" w:type="dxa"/>
            <w:vAlign w:val="center"/>
          </w:tcPr>
          <w:p w14:paraId="55896DEC" w14:textId="77777777" w:rsidR="00616865" w:rsidRPr="00535C56" w:rsidRDefault="00616865" w:rsidP="005C649D">
            <w:pPr>
              <w:spacing w:after="0" w:line="240" w:lineRule="auto"/>
              <w:rPr>
                <w:sz w:val="20"/>
                <w:szCs w:val="20"/>
              </w:rPr>
            </w:pPr>
            <w:r w:rsidRPr="00535C56">
              <w:rPr>
                <w:rFonts w:eastAsia="Times New Roman"/>
                <w:sz w:val="20"/>
                <w:szCs w:val="20"/>
              </w:rPr>
              <w:t>10 June 2015</w:t>
            </w:r>
          </w:p>
        </w:tc>
        <w:tc>
          <w:tcPr>
            <w:tcW w:w="3173" w:type="dxa"/>
            <w:vAlign w:val="center"/>
          </w:tcPr>
          <w:p w14:paraId="144AD020"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337,567.00 </w:t>
            </w:r>
          </w:p>
        </w:tc>
      </w:tr>
      <w:tr w:rsidR="00616865" w:rsidRPr="00B074A5" w14:paraId="476EAF7F" w14:textId="77777777" w:rsidTr="00777080">
        <w:tc>
          <w:tcPr>
            <w:tcW w:w="2839" w:type="dxa"/>
            <w:vAlign w:val="center"/>
          </w:tcPr>
          <w:p w14:paraId="67955BF2" w14:textId="77777777" w:rsidR="00616865" w:rsidRPr="00535C56" w:rsidRDefault="00616865" w:rsidP="005C649D">
            <w:pPr>
              <w:spacing w:after="0" w:line="240" w:lineRule="auto"/>
              <w:rPr>
                <w:sz w:val="20"/>
                <w:szCs w:val="20"/>
              </w:rPr>
            </w:pPr>
            <w:r w:rsidRPr="00535C56">
              <w:rPr>
                <w:rFonts w:eastAsia="Times New Roman"/>
                <w:sz w:val="20"/>
                <w:szCs w:val="20"/>
              </w:rPr>
              <w:t>19 April 2016</w:t>
            </w:r>
          </w:p>
        </w:tc>
        <w:tc>
          <w:tcPr>
            <w:tcW w:w="3173" w:type="dxa"/>
            <w:vAlign w:val="center"/>
          </w:tcPr>
          <w:p w14:paraId="67F54541" w14:textId="77777777" w:rsidR="00616865" w:rsidRPr="00816EBE" w:rsidRDefault="00616865" w:rsidP="005C649D">
            <w:pPr>
              <w:spacing w:after="0" w:line="240" w:lineRule="auto"/>
              <w:jc w:val="right"/>
              <w:rPr>
                <w:sz w:val="20"/>
                <w:szCs w:val="20"/>
              </w:rPr>
            </w:pPr>
            <w:r w:rsidRPr="00816EBE">
              <w:rPr>
                <w:rFonts w:eastAsia="Times New Roman"/>
                <w:sz w:val="20"/>
                <w:szCs w:val="20"/>
              </w:rPr>
              <w:t xml:space="preserve">80,000.00 </w:t>
            </w:r>
          </w:p>
        </w:tc>
      </w:tr>
      <w:tr w:rsidR="00616865" w:rsidRPr="00B074A5" w14:paraId="2C929901" w14:textId="77777777" w:rsidTr="00777080">
        <w:tc>
          <w:tcPr>
            <w:tcW w:w="2839" w:type="dxa"/>
            <w:vAlign w:val="center"/>
          </w:tcPr>
          <w:p w14:paraId="7C4F6FA7" w14:textId="77777777" w:rsidR="00616865" w:rsidRPr="00535C56" w:rsidRDefault="00616865" w:rsidP="005C649D">
            <w:pPr>
              <w:spacing w:after="0" w:line="240" w:lineRule="auto"/>
              <w:rPr>
                <w:rFonts w:eastAsia="Times New Roman"/>
                <w:b/>
                <w:sz w:val="20"/>
                <w:szCs w:val="20"/>
              </w:rPr>
            </w:pPr>
            <w:r w:rsidRPr="00535C56">
              <w:rPr>
                <w:rFonts w:eastAsia="Times New Roman"/>
                <w:b/>
                <w:sz w:val="20"/>
                <w:szCs w:val="20"/>
              </w:rPr>
              <w:t>Total</w:t>
            </w:r>
          </w:p>
        </w:tc>
        <w:tc>
          <w:tcPr>
            <w:tcW w:w="3173" w:type="dxa"/>
          </w:tcPr>
          <w:p w14:paraId="0E7B55AD" w14:textId="77777777" w:rsidR="00616865" w:rsidRPr="00535C56" w:rsidRDefault="00616865" w:rsidP="005C649D">
            <w:pPr>
              <w:spacing w:after="0" w:line="240" w:lineRule="auto"/>
              <w:jc w:val="right"/>
              <w:rPr>
                <w:b/>
                <w:sz w:val="20"/>
                <w:szCs w:val="20"/>
              </w:rPr>
            </w:pPr>
            <w:r w:rsidRPr="00816EBE">
              <w:rPr>
                <w:b/>
                <w:sz w:val="20"/>
                <w:szCs w:val="20"/>
              </w:rPr>
              <w:fldChar w:fldCharType="begin"/>
            </w:r>
            <w:r w:rsidRPr="00816EBE">
              <w:rPr>
                <w:b/>
                <w:sz w:val="20"/>
                <w:szCs w:val="20"/>
              </w:rPr>
              <w:instrText xml:space="preserve"> =SUM(ABOVE) </w:instrText>
            </w:r>
            <w:r w:rsidRPr="00816EBE">
              <w:rPr>
                <w:b/>
                <w:sz w:val="20"/>
                <w:szCs w:val="20"/>
              </w:rPr>
              <w:fldChar w:fldCharType="separate"/>
            </w:r>
            <w:r w:rsidRPr="00816EBE">
              <w:rPr>
                <w:b/>
                <w:noProof/>
                <w:sz w:val="20"/>
                <w:szCs w:val="20"/>
              </w:rPr>
              <w:t>3,058,399</w:t>
            </w:r>
            <w:r w:rsidRPr="00816EBE">
              <w:rPr>
                <w:b/>
                <w:sz w:val="20"/>
                <w:szCs w:val="20"/>
              </w:rPr>
              <w:fldChar w:fldCharType="end"/>
            </w:r>
          </w:p>
        </w:tc>
      </w:tr>
    </w:tbl>
    <w:p w14:paraId="3A2C6976" w14:textId="77777777" w:rsidR="00941B5B" w:rsidRDefault="00941B5B" w:rsidP="00BF09CC">
      <w:pPr>
        <w:spacing w:line="240" w:lineRule="auto"/>
      </w:pPr>
    </w:p>
    <w:p w14:paraId="0F0475F6" w14:textId="2179011D" w:rsidR="00616865" w:rsidRDefault="00616865" w:rsidP="00BF09CC">
      <w:pPr>
        <w:spacing w:line="240" w:lineRule="auto"/>
      </w:pPr>
      <w:r>
        <w:t xml:space="preserve">The </w:t>
      </w:r>
      <w:r w:rsidR="00941B5B">
        <w:t>figure</w:t>
      </w:r>
      <w:r w:rsidR="00445337">
        <w:t xml:space="preserve"> below outlines the </w:t>
      </w:r>
      <w:r>
        <w:t xml:space="preserve">allocation of expenditure of the period up to 2016. </w:t>
      </w:r>
    </w:p>
    <w:p w14:paraId="392E137E" w14:textId="77777777" w:rsidR="00616865" w:rsidRDefault="00616865" w:rsidP="00616865">
      <w:pPr>
        <w:spacing w:line="276" w:lineRule="auto"/>
        <w:rPr>
          <w:b/>
        </w:rPr>
      </w:pPr>
      <w:r>
        <w:rPr>
          <w:noProof/>
          <w:lang w:eastAsia="en-AU"/>
        </w:rPr>
        <w:drawing>
          <wp:inline distT="0" distB="0" distL="0" distR="0" wp14:anchorId="3725FCD2" wp14:editId="4760DD9A">
            <wp:extent cx="5091113" cy="3486150"/>
            <wp:effectExtent l="0" t="0" r="14605"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7AE9A4C" w14:textId="7D469212" w:rsidR="00616865" w:rsidRPr="00D9355A" w:rsidRDefault="00616865" w:rsidP="00BF09CC">
      <w:pPr>
        <w:spacing w:line="240" w:lineRule="auto"/>
        <w:rPr>
          <w:sz w:val="20"/>
          <w:szCs w:val="20"/>
        </w:rPr>
      </w:pPr>
      <w:bookmarkStart w:id="113" w:name="_Toc458892552"/>
      <w:r w:rsidRPr="00D9355A">
        <w:rPr>
          <w:b/>
          <w:sz w:val="20"/>
          <w:szCs w:val="20"/>
        </w:rPr>
        <w:t xml:space="preserve">Figure </w:t>
      </w:r>
      <w:r w:rsidRPr="00D9355A">
        <w:rPr>
          <w:b/>
          <w:sz w:val="20"/>
          <w:szCs w:val="20"/>
        </w:rPr>
        <w:fldChar w:fldCharType="begin"/>
      </w:r>
      <w:r w:rsidRPr="00D9355A">
        <w:rPr>
          <w:b/>
          <w:sz w:val="20"/>
          <w:szCs w:val="20"/>
        </w:rPr>
        <w:instrText xml:space="preserve"> SEQ Figure \* ARABIC </w:instrText>
      </w:r>
      <w:r w:rsidRPr="00D9355A">
        <w:rPr>
          <w:b/>
          <w:sz w:val="20"/>
          <w:szCs w:val="20"/>
        </w:rPr>
        <w:fldChar w:fldCharType="separate"/>
      </w:r>
      <w:r w:rsidR="000C512A">
        <w:rPr>
          <w:b/>
          <w:noProof/>
          <w:sz w:val="20"/>
          <w:szCs w:val="20"/>
        </w:rPr>
        <w:t>1</w:t>
      </w:r>
      <w:r w:rsidRPr="00D9355A">
        <w:rPr>
          <w:b/>
          <w:sz w:val="20"/>
          <w:szCs w:val="20"/>
        </w:rPr>
        <w:fldChar w:fldCharType="end"/>
      </w:r>
      <w:r w:rsidRPr="00D9355A">
        <w:rPr>
          <w:b/>
          <w:sz w:val="20"/>
          <w:szCs w:val="20"/>
        </w:rPr>
        <w:t>: Allocation of expenditure</w:t>
      </w:r>
      <w:bookmarkEnd w:id="113"/>
    </w:p>
    <w:p w14:paraId="40622110" w14:textId="6D84ADC7" w:rsidR="00616865" w:rsidRDefault="00616865" w:rsidP="00BF09CC">
      <w:pPr>
        <w:spacing w:line="240" w:lineRule="auto"/>
      </w:pPr>
      <w:r w:rsidRPr="0035384A">
        <w:lastRenderedPageBreak/>
        <w:t xml:space="preserve">As can be seen in the </w:t>
      </w:r>
      <w:r>
        <w:t>figure above</w:t>
      </w:r>
      <w:r w:rsidRPr="0035384A">
        <w:t>, over the funding period, the two most significant costs were staffing salaries and</w:t>
      </w:r>
      <w:r>
        <w:t xml:space="preserve"> benefits, and workshops/meetings and consultancy fees, with human resources costs being 74% of the overall expenditure. </w:t>
      </w:r>
    </w:p>
    <w:p w14:paraId="0F9B3948" w14:textId="5638360E" w:rsidR="00616865" w:rsidRDefault="00BF3F1D" w:rsidP="00BF09CC">
      <w:pPr>
        <w:spacing w:line="240" w:lineRule="auto"/>
      </w:pPr>
      <w:r>
        <w:t>Current s</w:t>
      </w:r>
      <w:r w:rsidR="00616865">
        <w:t>taffing include</w:t>
      </w:r>
      <w:r>
        <w:t>s</w:t>
      </w:r>
      <w:r w:rsidR="00616865">
        <w:t>:</w:t>
      </w:r>
    </w:p>
    <w:p w14:paraId="50F14A29" w14:textId="77777777" w:rsidR="00616865" w:rsidRPr="00D8283F" w:rsidRDefault="00616865" w:rsidP="00456131">
      <w:pPr>
        <w:pStyle w:val="ListParagraph"/>
        <w:numPr>
          <w:ilvl w:val="0"/>
          <w:numId w:val="12"/>
        </w:numPr>
      </w:pPr>
      <w:r>
        <w:t>One</w:t>
      </w:r>
      <w:r w:rsidRPr="00D8283F">
        <w:t xml:space="preserve"> Senior Education Specialist </w:t>
      </w:r>
      <w:r>
        <w:t>(</w:t>
      </w:r>
      <w:r w:rsidRPr="00D8283F">
        <w:t>Accreditation and Standards</w:t>
      </w:r>
      <w:r>
        <w:t>)</w:t>
      </w:r>
    </w:p>
    <w:p w14:paraId="53B6D9EA" w14:textId="77777777" w:rsidR="00616865" w:rsidRPr="00D8283F" w:rsidRDefault="00616865" w:rsidP="00456131">
      <w:pPr>
        <w:pStyle w:val="ListParagraph"/>
        <w:numPr>
          <w:ilvl w:val="0"/>
          <w:numId w:val="12"/>
        </w:numPr>
      </w:pPr>
      <w:r>
        <w:t>Two</w:t>
      </w:r>
      <w:r w:rsidRPr="00D8283F">
        <w:t xml:space="preserve"> E</w:t>
      </w:r>
      <w:r>
        <w:t>ducational Assessment Officers (</w:t>
      </w:r>
      <w:r w:rsidRPr="00D8283F">
        <w:t>Qualifications, and Quality</w:t>
      </w:r>
      <w:r>
        <w:t>)</w:t>
      </w:r>
      <w:r w:rsidRPr="00D8283F">
        <w:t>.</w:t>
      </w:r>
    </w:p>
    <w:p w14:paraId="28D2C9BD" w14:textId="49E172C6" w:rsidR="00616865" w:rsidRDefault="00616865" w:rsidP="00BF09CC">
      <w:pPr>
        <w:spacing w:line="240" w:lineRule="auto"/>
      </w:pPr>
      <w:r>
        <w:t>Workshops and in-country consultation costs, and consultancy fees accounted for 21% of expenditure. Since inception</w:t>
      </w:r>
      <w:r w:rsidR="0023209C">
        <w:t>,</w:t>
      </w:r>
      <w:r>
        <w:t xml:space="preserve"> there have been regular meetings and workshops, at regional, sub-regional and national levels. Regional workshops included those focussing on quality assurance (2011) and mutual recognition (2012), labour mobility (2013). Regional consultation meetings occurred in 2009, 2011, 2016. The team faced financial issues within 2015 due to a clerical error on an estimated ‘roll over’ which resulted in underfunding for that period.  This has </w:t>
      </w:r>
      <w:r w:rsidR="0023209C">
        <w:t>affected</w:t>
      </w:r>
      <w:r>
        <w:t xml:space="preserve"> the type and level of activity that the Accreditation Unit could undertake.     </w:t>
      </w:r>
    </w:p>
    <w:p w14:paraId="3992286F" w14:textId="705881DF" w:rsidR="00616865" w:rsidRDefault="00616865" w:rsidP="00BF09CC">
      <w:pPr>
        <w:spacing w:line="240" w:lineRule="auto"/>
      </w:pPr>
      <w:r>
        <w:t xml:space="preserve">The remainder of expenditure was just under 6% and included set up costs, good governance, marketing and physical resources. Good governance included membership to quality assurance networks (e.g. membership of </w:t>
      </w:r>
      <w:r>
        <w:rPr>
          <w:rFonts w:cs="Arial"/>
        </w:rPr>
        <w:t>Asia Pacific Quality Network</w:t>
      </w:r>
      <w:r>
        <w:t xml:space="preserve"> [APQN] and </w:t>
      </w:r>
      <w:r w:rsidRPr="004D1303">
        <w:t>International Network for Quality Assurance Agencies in Higher Education [</w:t>
      </w:r>
      <w:r>
        <w:t xml:space="preserve">INQAAHE]). More recently, savings have been gained through shared support services (e.g. information technology support and administrative assistance) with EQAP through Secretariat of the Pacific Community core funding to EQAP. </w:t>
      </w:r>
      <w:r w:rsidR="00F360EB">
        <w:t>Th</w:t>
      </w:r>
      <w:r w:rsidR="00941B5B">
        <w:t>ese</w:t>
      </w:r>
      <w:r w:rsidR="00F360EB">
        <w:t xml:space="preserve"> in-kind contributions should be </w:t>
      </w:r>
      <w:r w:rsidR="003F7767">
        <w:t>acknowledged</w:t>
      </w:r>
      <w:r w:rsidR="00F360EB">
        <w:t>.</w:t>
      </w:r>
    </w:p>
    <w:p w14:paraId="602DC19E" w14:textId="78A98A94" w:rsidR="00037E8B" w:rsidRPr="000E1C7A" w:rsidRDefault="00037E8B" w:rsidP="00E716CF">
      <w:pPr>
        <w:pStyle w:val="Heading2"/>
        <w:rPr>
          <w:color w:val="95050F"/>
        </w:rPr>
      </w:pPr>
      <w:bookmarkStart w:id="114" w:name="_Toc458938597"/>
      <w:bookmarkStart w:id="115" w:name="_Toc462428009"/>
      <w:bookmarkStart w:id="116" w:name="_Toc462428357"/>
      <w:bookmarkStart w:id="117" w:name="_Toc462575672"/>
      <w:bookmarkStart w:id="118" w:name="_Toc462755580"/>
      <w:r w:rsidRPr="000E1C7A">
        <w:rPr>
          <w:color w:val="95050F"/>
        </w:rPr>
        <w:t>Progress to date</w:t>
      </w:r>
      <w:bookmarkEnd w:id="114"/>
      <w:bookmarkEnd w:id="115"/>
      <w:bookmarkEnd w:id="116"/>
      <w:bookmarkEnd w:id="117"/>
      <w:bookmarkEnd w:id="118"/>
    </w:p>
    <w:p w14:paraId="5669AA3B" w14:textId="77777777" w:rsidR="00037E8B" w:rsidRDefault="00037E8B" w:rsidP="00C35EB4">
      <w:pPr>
        <w:pStyle w:val="PacHead3"/>
      </w:pPr>
      <w:r>
        <w:t>The register</w:t>
      </w:r>
    </w:p>
    <w:p w14:paraId="2EB47F7D" w14:textId="77777777" w:rsidR="00037E8B" w:rsidRDefault="00037E8B" w:rsidP="00BF09CC">
      <w:pPr>
        <w:spacing w:line="240" w:lineRule="auto"/>
      </w:pPr>
      <w:r>
        <w:t>A key focus of the PRQS is the register itself and much of its perceived success (or lack thereof) has been measured by the number of registered qualifications or standards on the database. The PRQS recognizes the following competent bodies:</w:t>
      </w:r>
    </w:p>
    <w:p w14:paraId="5D8BA105" w14:textId="77777777" w:rsidR="00037E8B" w:rsidRPr="007D1539" w:rsidRDefault="00037E8B" w:rsidP="00456131">
      <w:pPr>
        <w:pStyle w:val="ListParagraph"/>
        <w:numPr>
          <w:ilvl w:val="0"/>
          <w:numId w:val="31"/>
        </w:numPr>
      </w:pPr>
      <w:r w:rsidRPr="007D1539">
        <w:t>Regional accrediting agencies:</w:t>
      </w:r>
    </w:p>
    <w:p w14:paraId="50AD2903" w14:textId="77777777" w:rsidR="00037E8B" w:rsidRPr="007D1539" w:rsidRDefault="00037E8B" w:rsidP="00456131">
      <w:pPr>
        <w:pStyle w:val="ListParagraph"/>
        <w:numPr>
          <w:ilvl w:val="1"/>
          <w:numId w:val="31"/>
        </w:numPr>
      </w:pPr>
      <w:r w:rsidRPr="007D1539">
        <w:t>The Western Association of Schools and Colleges (WASC) of the United States.</w:t>
      </w:r>
    </w:p>
    <w:p w14:paraId="1E0B3D05" w14:textId="77777777" w:rsidR="00037E8B" w:rsidRPr="007D1539" w:rsidRDefault="00037E8B" w:rsidP="00456131">
      <w:pPr>
        <w:pStyle w:val="ListParagraph"/>
        <w:numPr>
          <w:ilvl w:val="0"/>
          <w:numId w:val="31"/>
        </w:numPr>
      </w:pPr>
      <w:r w:rsidRPr="007D1539">
        <w:t>National accrediting agencies:</w:t>
      </w:r>
    </w:p>
    <w:p w14:paraId="3030B5FE" w14:textId="77777777" w:rsidR="00037E8B" w:rsidRPr="007D1539" w:rsidRDefault="00037E8B" w:rsidP="00456131">
      <w:pPr>
        <w:pStyle w:val="ListParagraph"/>
        <w:numPr>
          <w:ilvl w:val="1"/>
          <w:numId w:val="31"/>
        </w:numPr>
      </w:pPr>
      <w:r w:rsidRPr="007D1539">
        <w:t>Fiji Higher Education Commission</w:t>
      </w:r>
    </w:p>
    <w:p w14:paraId="57C2AE8F" w14:textId="77777777" w:rsidR="00037E8B" w:rsidRPr="007D1539" w:rsidRDefault="00037E8B" w:rsidP="00456131">
      <w:pPr>
        <w:pStyle w:val="ListParagraph"/>
        <w:numPr>
          <w:ilvl w:val="1"/>
          <w:numId w:val="31"/>
        </w:numPr>
      </w:pPr>
      <w:r w:rsidRPr="007D1539">
        <w:t>New Zealand Qualifications Authority (</w:t>
      </w:r>
      <w:r>
        <w:t xml:space="preserve">it </w:t>
      </w:r>
      <w:r w:rsidRPr="007D1539">
        <w:t>quality assures Institutions and Programs in Cook Islands and Niue)</w:t>
      </w:r>
    </w:p>
    <w:p w14:paraId="62AF8342" w14:textId="77777777" w:rsidR="00037E8B" w:rsidRPr="00146C6D" w:rsidRDefault="00037E8B" w:rsidP="00456131">
      <w:pPr>
        <w:pStyle w:val="ListParagraph"/>
        <w:numPr>
          <w:ilvl w:val="1"/>
          <w:numId w:val="31"/>
        </w:numPr>
      </w:pPr>
      <w:r w:rsidRPr="00146C6D">
        <w:t>Papua New Guinea’s Office of Higher Education</w:t>
      </w:r>
    </w:p>
    <w:p w14:paraId="024B569E" w14:textId="77777777" w:rsidR="00037E8B" w:rsidRPr="007D1539" w:rsidRDefault="00037E8B" w:rsidP="00456131">
      <w:pPr>
        <w:pStyle w:val="ListParagraph"/>
        <w:numPr>
          <w:ilvl w:val="1"/>
          <w:numId w:val="31"/>
        </w:numPr>
      </w:pPr>
      <w:r w:rsidRPr="007D1539">
        <w:t>Samoa Qualifications Authority</w:t>
      </w:r>
    </w:p>
    <w:p w14:paraId="1F46A47F" w14:textId="77777777" w:rsidR="00037E8B" w:rsidRPr="007D1539" w:rsidRDefault="00037E8B" w:rsidP="00456131">
      <w:pPr>
        <w:pStyle w:val="ListParagraph"/>
        <w:numPr>
          <w:ilvl w:val="1"/>
          <w:numId w:val="31"/>
        </w:numPr>
      </w:pPr>
      <w:r w:rsidRPr="007D1539">
        <w:t>Tonga National Qualifications and Accrediting Board</w:t>
      </w:r>
    </w:p>
    <w:p w14:paraId="74215F59" w14:textId="77777777" w:rsidR="00037E8B" w:rsidRPr="007D1539" w:rsidRDefault="00037E8B" w:rsidP="00456131">
      <w:pPr>
        <w:pStyle w:val="ListParagraph"/>
        <w:numPr>
          <w:ilvl w:val="1"/>
          <w:numId w:val="31"/>
        </w:numPr>
      </w:pPr>
      <w:r w:rsidRPr="007D1539">
        <w:t>Vanuatu Qualifications Authority</w:t>
      </w:r>
      <w:r>
        <w:t>.</w:t>
      </w:r>
    </w:p>
    <w:p w14:paraId="3F53C78D" w14:textId="77777777" w:rsidR="00037E8B" w:rsidRPr="007D1539" w:rsidRDefault="00037E8B" w:rsidP="00456131">
      <w:pPr>
        <w:pStyle w:val="ListParagraph"/>
        <w:numPr>
          <w:ilvl w:val="0"/>
          <w:numId w:val="31"/>
        </w:numPr>
      </w:pPr>
      <w:r w:rsidRPr="007D1539">
        <w:t>Sectoral accrediting agencies for:</w:t>
      </w:r>
    </w:p>
    <w:p w14:paraId="0C1B4D8F" w14:textId="77777777" w:rsidR="00037E8B" w:rsidRPr="007D1539" w:rsidRDefault="00037E8B" w:rsidP="00456131">
      <w:pPr>
        <w:pStyle w:val="ListParagraph"/>
        <w:numPr>
          <w:ilvl w:val="1"/>
          <w:numId w:val="31"/>
        </w:numPr>
      </w:pPr>
      <w:r w:rsidRPr="007D1539">
        <w:t>Theological education: South Pacific Association of Theological Schools</w:t>
      </w:r>
    </w:p>
    <w:p w14:paraId="0E7B188E" w14:textId="77777777" w:rsidR="00037E8B" w:rsidRPr="007D1539" w:rsidRDefault="00037E8B" w:rsidP="00456131">
      <w:pPr>
        <w:pStyle w:val="ListParagraph"/>
        <w:numPr>
          <w:ilvl w:val="1"/>
          <w:numId w:val="31"/>
        </w:numPr>
      </w:pPr>
      <w:r w:rsidRPr="007D1539">
        <w:t>Maritime Training: SPC’s Transport Programme (Economic Development Division)</w:t>
      </w:r>
      <w:r>
        <w:t>.</w:t>
      </w:r>
      <w:r>
        <w:rPr>
          <w:rStyle w:val="FootnoteReference"/>
        </w:rPr>
        <w:footnoteReference w:id="70"/>
      </w:r>
    </w:p>
    <w:p w14:paraId="2369BC81" w14:textId="77777777" w:rsidR="00037E8B" w:rsidRPr="00ED1B8E" w:rsidRDefault="00037E8B" w:rsidP="00BF09CC">
      <w:pPr>
        <w:spacing w:line="240" w:lineRule="auto"/>
      </w:pPr>
      <w:r>
        <w:lastRenderedPageBreak/>
        <w:t xml:space="preserve">It was not clear whether the processes for </w:t>
      </w:r>
      <w:r w:rsidRPr="00ED1B8E">
        <w:t xml:space="preserve">populating the register were benchmarked against processes used by other similar regional registers that exist internationally e.g. </w:t>
      </w:r>
      <w:r w:rsidRPr="00ED1B8E">
        <w:rPr>
          <w:rFonts w:ascii="Verdana" w:hAnsi="Verdana"/>
          <w:sz w:val="18"/>
          <w:szCs w:val="18"/>
          <w:shd w:val="clear" w:color="auto" w:fill="FFFFFF"/>
        </w:rPr>
        <w:t>European Tertiary Education Register</w:t>
      </w:r>
      <w:r w:rsidRPr="00ED1B8E">
        <w:t>.</w:t>
      </w:r>
    </w:p>
    <w:p w14:paraId="2A716E31" w14:textId="77777777" w:rsidR="00037E8B" w:rsidRDefault="00037E8B" w:rsidP="00BF09CC">
      <w:pPr>
        <w:spacing w:line="240" w:lineRule="auto"/>
      </w:pPr>
      <w:r>
        <w:t>In terms of qualifications that have been accredited by these competent bodies, the most recent figures are noted in the table below. The population of the register is dependent on the preparedness of competent bodies and the capacity to quality assure qualification accreditation.</w:t>
      </w:r>
    </w:p>
    <w:p w14:paraId="5C9D12A9" w14:textId="773867CC" w:rsidR="00037E8B" w:rsidRPr="00E21F50" w:rsidRDefault="00037E8B" w:rsidP="00BF09CC">
      <w:pPr>
        <w:spacing w:line="240" w:lineRule="auto"/>
        <w:rPr>
          <w:b/>
        </w:rPr>
      </w:pPr>
      <w:bookmarkStart w:id="119" w:name="_Toc458892558"/>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3</w:t>
      </w:r>
      <w:r w:rsidRPr="00E21F50">
        <w:rPr>
          <w:b/>
        </w:rPr>
        <w:fldChar w:fldCharType="end"/>
      </w:r>
      <w:r w:rsidRPr="00E21F50">
        <w:rPr>
          <w:b/>
        </w:rPr>
        <w:t>: PRQS qualifications entries</w:t>
      </w:r>
      <w:bookmarkEnd w:id="119"/>
    </w:p>
    <w:tbl>
      <w:tblPr>
        <w:tblStyle w:val="TableGrid"/>
        <w:tblW w:w="5000" w:type="pct"/>
        <w:tblLook w:val="04A0" w:firstRow="1" w:lastRow="0" w:firstColumn="1" w:lastColumn="0" w:noHBand="0" w:noVBand="1"/>
      </w:tblPr>
      <w:tblGrid>
        <w:gridCol w:w="1641"/>
        <w:gridCol w:w="1275"/>
        <w:gridCol w:w="1372"/>
        <w:gridCol w:w="1174"/>
        <w:gridCol w:w="1370"/>
        <w:gridCol w:w="1175"/>
        <w:gridCol w:w="1173"/>
      </w:tblGrid>
      <w:tr w:rsidR="00037E8B" w:rsidRPr="00B21739" w14:paraId="44BBBB2C" w14:textId="77777777" w:rsidTr="00F610A8">
        <w:tc>
          <w:tcPr>
            <w:tcW w:w="893" w:type="pct"/>
            <w:shd w:val="clear" w:color="auto" w:fill="D9D9D9" w:themeFill="background1" w:themeFillShade="D9"/>
          </w:tcPr>
          <w:p w14:paraId="10E1B477" w14:textId="77777777" w:rsidR="00037E8B" w:rsidRPr="00B21739" w:rsidRDefault="00037E8B" w:rsidP="00F610A8">
            <w:pPr>
              <w:spacing w:before="100" w:after="0" w:line="240" w:lineRule="auto"/>
              <w:jc w:val="center"/>
              <w:rPr>
                <w:b/>
                <w:sz w:val="20"/>
                <w:szCs w:val="20"/>
              </w:rPr>
            </w:pPr>
            <w:r w:rsidRPr="00B21739">
              <w:rPr>
                <w:b/>
                <w:sz w:val="20"/>
                <w:szCs w:val="20"/>
              </w:rPr>
              <w:t>PQF Level</w:t>
            </w:r>
          </w:p>
        </w:tc>
        <w:tc>
          <w:tcPr>
            <w:tcW w:w="694" w:type="pct"/>
            <w:shd w:val="clear" w:color="auto" w:fill="D9D9D9" w:themeFill="background1" w:themeFillShade="D9"/>
          </w:tcPr>
          <w:p w14:paraId="3DD4EF41" w14:textId="77777777" w:rsidR="00037E8B" w:rsidRPr="00B21739" w:rsidRDefault="00037E8B" w:rsidP="00F610A8">
            <w:pPr>
              <w:spacing w:before="100" w:after="0" w:line="240" w:lineRule="auto"/>
              <w:jc w:val="center"/>
              <w:rPr>
                <w:b/>
                <w:sz w:val="20"/>
                <w:szCs w:val="20"/>
              </w:rPr>
            </w:pPr>
            <w:r w:rsidRPr="00B21739">
              <w:rPr>
                <w:b/>
                <w:sz w:val="20"/>
                <w:szCs w:val="20"/>
              </w:rPr>
              <w:t>APTC</w:t>
            </w:r>
          </w:p>
        </w:tc>
        <w:tc>
          <w:tcPr>
            <w:tcW w:w="747" w:type="pct"/>
            <w:shd w:val="clear" w:color="auto" w:fill="D9D9D9" w:themeFill="background1" w:themeFillShade="D9"/>
          </w:tcPr>
          <w:p w14:paraId="2CEB6908" w14:textId="77777777" w:rsidR="00037E8B" w:rsidRPr="00B21739" w:rsidRDefault="00037E8B" w:rsidP="00F610A8">
            <w:pPr>
              <w:spacing w:before="100" w:after="0" w:line="240" w:lineRule="auto"/>
              <w:jc w:val="center"/>
              <w:rPr>
                <w:b/>
                <w:sz w:val="20"/>
                <w:szCs w:val="20"/>
              </w:rPr>
            </w:pPr>
            <w:r w:rsidRPr="00B21739">
              <w:rPr>
                <w:b/>
                <w:sz w:val="20"/>
                <w:szCs w:val="20"/>
              </w:rPr>
              <w:t>Fiji</w:t>
            </w:r>
          </w:p>
        </w:tc>
        <w:tc>
          <w:tcPr>
            <w:tcW w:w="639" w:type="pct"/>
            <w:shd w:val="clear" w:color="auto" w:fill="D9D9D9" w:themeFill="background1" w:themeFillShade="D9"/>
          </w:tcPr>
          <w:p w14:paraId="5E291845" w14:textId="77777777" w:rsidR="00037E8B" w:rsidRPr="00B21739" w:rsidRDefault="00037E8B" w:rsidP="00F610A8">
            <w:pPr>
              <w:spacing w:before="100" w:after="0" w:line="240" w:lineRule="auto"/>
              <w:jc w:val="center"/>
              <w:rPr>
                <w:b/>
                <w:sz w:val="20"/>
                <w:szCs w:val="20"/>
              </w:rPr>
            </w:pPr>
            <w:r w:rsidRPr="00B21739">
              <w:rPr>
                <w:b/>
                <w:sz w:val="20"/>
                <w:szCs w:val="20"/>
              </w:rPr>
              <w:t>PNG</w:t>
            </w:r>
          </w:p>
        </w:tc>
        <w:tc>
          <w:tcPr>
            <w:tcW w:w="746" w:type="pct"/>
            <w:shd w:val="clear" w:color="auto" w:fill="D9D9D9" w:themeFill="background1" w:themeFillShade="D9"/>
          </w:tcPr>
          <w:p w14:paraId="6994EA07" w14:textId="77777777" w:rsidR="00037E8B" w:rsidRPr="00B21739" w:rsidRDefault="00037E8B" w:rsidP="00F610A8">
            <w:pPr>
              <w:spacing w:before="100" w:after="0" w:line="240" w:lineRule="auto"/>
              <w:jc w:val="center"/>
              <w:rPr>
                <w:b/>
                <w:sz w:val="20"/>
                <w:szCs w:val="20"/>
              </w:rPr>
            </w:pPr>
            <w:r w:rsidRPr="00B21739">
              <w:rPr>
                <w:b/>
                <w:sz w:val="20"/>
                <w:szCs w:val="20"/>
              </w:rPr>
              <w:t>Samoa</w:t>
            </w:r>
          </w:p>
        </w:tc>
        <w:tc>
          <w:tcPr>
            <w:tcW w:w="640" w:type="pct"/>
            <w:shd w:val="clear" w:color="auto" w:fill="D9D9D9" w:themeFill="background1" w:themeFillShade="D9"/>
          </w:tcPr>
          <w:p w14:paraId="10E2FC04" w14:textId="77777777" w:rsidR="00037E8B" w:rsidRPr="00B21739" w:rsidRDefault="00037E8B" w:rsidP="00F610A8">
            <w:pPr>
              <w:spacing w:before="100" w:after="0" w:line="240" w:lineRule="auto"/>
              <w:jc w:val="center"/>
              <w:rPr>
                <w:b/>
                <w:sz w:val="20"/>
                <w:szCs w:val="20"/>
              </w:rPr>
            </w:pPr>
            <w:r w:rsidRPr="00B21739">
              <w:rPr>
                <w:b/>
                <w:sz w:val="20"/>
                <w:szCs w:val="20"/>
              </w:rPr>
              <w:t>Tonga</w:t>
            </w:r>
          </w:p>
        </w:tc>
        <w:tc>
          <w:tcPr>
            <w:tcW w:w="639" w:type="pct"/>
            <w:shd w:val="clear" w:color="auto" w:fill="D9D9D9" w:themeFill="background1" w:themeFillShade="D9"/>
          </w:tcPr>
          <w:p w14:paraId="6EEAE763" w14:textId="77777777" w:rsidR="00037E8B" w:rsidRPr="00B21739" w:rsidRDefault="00037E8B" w:rsidP="00F610A8">
            <w:pPr>
              <w:spacing w:before="100" w:after="0" w:line="240" w:lineRule="auto"/>
              <w:jc w:val="center"/>
              <w:rPr>
                <w:b/>
                <w:sz w:val="20"/>
                <w:szCs w:val="20"/>
              </w:rPr>
            </w:pPr>
            <w:r w:rsidRPr="00B21739">
              <w:rPr>
                <w:b/>
                <w:sz w:val="20"/>
                <w:szCs w:val="20"/>
              </w:rPr>
              <w:t>Total</w:t>
            </w:r>
          </w:p>
        </w:tc>
      </w:tr>
      <w:tr w:rsidR="00037E8B" w:rsidRPr="00B21739" w14:paraId="27167CD7" w14:textId="77777777" w:rsidTr="00F610A8">
        <w:tc>
          <w:tcPr>
            <w:tcW w:w="893" w:type="pct"/>
            <w:shd w:val="clear" w:color="auto" w:fill="D9D9D9" w:themeFill="background1" w:themeFillShade="D9"/>
          </w:tcPr>
          <w:p w14:paraId="71086AB6" w14:textId="77777777" w:rsidR="00037E8B" w:rsidRPr="00B21739" w:rsidRDefault="00037E8B" w:rsidP="00F610A8">
            <w:pPr>
              <w:spacing w:before="100" w:after="0" w:line="240" w:lineRule="auto"/>
              <w:jc w:val="center"/>
              <w:rPr>
                <w:b/>
                <w:sz w:val="20"/>
                <w:szCs w:val="20"/>
              </w:rPr>
            </w:pPr>
            <w:r w:rsidRPr="00B21739">
              <w:rPr>
                <w:b/>
                <w:sz w:val="20"/>
                <w:szCs w:val="20"/>
              </w:rPr>
              <w:t>10</w:t>
            </w:r>
          </w:p>
        </w:tc>
        <w:tc>
          <w:tcPr>
            <w:tcW w:w="694" w:type="pct"/>
            <w:shd w:val="clear" w:color="auto" w:fill="F2F2F2" w:themeFill="background1" w:themeFillShade="F2"/>
          </w:tcPr>
          <w:p w14:paraId="6AF2BF40"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7D9FF341"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7C44124D"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5A7F0065"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553EF63C"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6B7949F0" w14:textId="77777777" w:rsidR="00037E8B" w:rsidRPr="00B21739" w:rsidRDefault="00037E8B" w:rsidP="00F610A8">
            <w:pPr>
              <w:spacing w:before="100" w:after="0" w:line="240" w:lineRule="auto"/>
              <w:rPr>
                <w:sz w:val="20"/>
                <w:szCs w:val="20"/>
              </w:rPr>
            </w:pPr>
          </w:p>
        </w:tc>
      </w:tr>
      <w:tr w:rsidR="00037E8B" w:rsidRPr="00B21739" w14:paraId="3AC54665" w14:textId="77777777" w:rsidTr="00F610A8">
        <w:tc>
          <w:tcPr>
            <w:tcW w:w="893" w:type="pct"/>
            <w:shd w:val="clear" w:color="auto" w:fill="D9D9D9" w:themeFill="background1" w:themeFillShade="D9"/>
          </w:tcPr>
          <w:p w14:paraId="24C0194D" w14:textId="77777777" w:rsidR="00037E8B" w:rsidRPr="00B21739" w:rsidRDefault="00037E8B" w:rsidP="00F610A8">
            <w:pPr>
              <w:spacing w:before="100" w:after="0" w:line="240" w:lineRule="auto"/>
              <w:jc w:val="center"/>
              <w:rPr>
                <w:b/>
                <w:sz w:val="20"/>
                <w:szCs w:val="20"/>
              </w:rPr>
            </w:pPr>
            <w:r w:rsidRPr="00B21739">
              <w:rPr>
                <w:b/>
                <w:sz w:val="20"/>
                <w:szCs w:val="20"/>
              </w:rPr>
              <w:t>9</w:t>
            </w:r>
          </w:p>
        </w:tc>
        <w:tc>
          <w:tcPr>
            <w:tcW w:w="694" w:type="pct"/>
            <w:shd w:val="clear" w:color="auto" w:fill="F2F2F2" w:themeFill="background1" w:themeFillShade="F2"/>
          </w:tcPr>
          <w:p w14:paraId="7897669A"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634814A9"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5F4D74D4"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3987D643"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2B339BBD"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75EA5B80" w14:textId="77777777" w:rsidR="00037E8B" w:rsidRPr="00B21739" w:rsidRDefault="00037E8B" w:rsidP="00F610A8">
            <w:pPr>
              <w:spacing w:before="100" w:after="0" w:line="240" w:lineRule="auto"/>
              <w:rPr>
                <w:sz w:val="20"/>
                <w:szCs w:val="20"/>
              </w:rPr>
            </w:pPr>
          </w:p>
        </w:tc>
      </w:tr>
      <w:tr w:rsidR="00037E8B" w:rsidRPr="00B21739" w14:paraId="5328A9FD" w14:textId="77777777" w:rsidTr="00F610A8">
        <w:tc>
          <w:tcPr>
            <w:tcW w:w="893" w:type="pct"/>
            <w:shd w:val="clear" w:color="auto" w:fill="D9D9D9" w:themeFill="background1" w:themeFillShade="D9"/>
          </w:tcPr>
          <w:p w14:paraId="3D2A6523" w14:textId="77777777" w:rsidR="00037E8B" w:rsidRPr="00B21739" w:rsidRDefault="00037E8B" w:rsidP="00F610A8">
            <w:pPr>
              <w:spacing w:before="100" w:after="0" w:line="240" w:lineRule="auto"/>
              <w:jc w:val="center"/>
              <w:rPr>
                <w:b/>
                <w:sz w:val="20"/>
                <w:szCs w:val="20"/>
              </w:rPr>
            </w:pPr>
            <w:r w:rsidRPr="00B21739">
              <w:rPr>
                <w:b/>
                <w:sz w:val="20"/>
                <w:szCs w:val="20"/>
              </w:rPr>
              <w:t>8</w:t>
            </w:r>
          </w:p>
        </w:tc>
        <w:tc>
          <w:tcPr>
            <w:tcW w:w="694" w:type="pct"/>
            <w:shd w:val="clear" w:color="auto" w:fill="F2F2F2" w:themeFill="background1" w:themeFillShade="F2"/>
          </w:tcPr>
          <w:p w14:paraId="1E76BE64"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4C72D187"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6BDD01A8"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18956D2A"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3789A3B9"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365AC447" w14:textId="77777777" w:rsidR="00037E8B" w:rsidRPr="00B21739" w:rsidRDefault="00037E8B" w:rsidP="00F610A8">
            <w:pPr>
              <w:spacing w:before="100" w:after="0" w:line="240" w:lineRule="auto"/>
              <w:rPr>
                <w:sz w:val="20"/>
                <w:szCs w:val="20"/>
              </w:rPr>
            </w:pPr>
          </w:p>
        </w:tc>
      </w:tr>
      <w:tr w:rsidR="00037E8B" w:rsidRPr="00B21739" w14:paraId="39A604C3" w14:textId="77777777" w:rsidTr="00F610A8">
        <w:tc>
          <w:tcPr>
            <w:tcW w:w="893" w:type="pct"/>
            <w:shd w:val="clear" w:color="auto" w:fill="D9D9D9" w:themeFill="background1" w:themeFillShade="D9"/>
          </w:tcPr>
          <w:p w14:paraId="5A0E32B7" w14:textId="77777777" w:rsidR="00037E8B" w:rsidRPr="00B21739" w:rsidRDefault="00037E8B" w:rsidP="00F610A8">
            <w:pPr>
              <w:spacing w:before="100" w:after="0" w:line="240" w:lineRule="auto"/>
              <w:jc w:val="center"/>
              <w:rPr>
                <w:b/>
                <w:sz w:val="20"/>
                <w:szCs w:val="20"/>
              </w:rPr>
            </w:pPr>
            <w:r w:rsidRPr="00B21739">
              <w:rPr>
                <w:b/>
                <w:sz w:val="20"/>
                <w:szCs w:val="20"/>
              </w:rPr>
              <w:t>7</w:t>
            </w:r>
          </w:p>
        </w:tc>
        <w:tc>
          <w:tcPr>
            <w:tcW w:w="694" w:type="pct"/>
            <w:shd w:val="clear" w:color="auto" w:fill="F2F2F2" w:themeFill="background1" w:themeFillShade="F2"/>
          </w:tcPr>
          <w:p w14:paraId="6DBC6E38"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70DD4F14"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752FB277"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41DE7757"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0E95250B"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0ABAC1B5" w14:textId="77777777" w:rsidR="00037E8B" w:rsidRPr="00B21739" w:rsidRDefault="00037E8B" w:rsidP="00F610A8">
            <w:pPr>
              <w:spacing w:before="100" w:after="0" w:line="240" w:lineRule="auto"/>
              <w:rPr>
                <w:sz w:val="20"/>
                <w:szCs w:val="20"/>
              </w:rPr>
            </w:pPr>
          </w:p>
        </w:tc>
      </w:tr>
      <w:tr w:rsidR="00037E8B" w:rsidRPr="00B21739" w14:paraId="6F099622" w14:textId="77777777" w:rsidTr="00F610A8">
        <w:tc>
          <w:tcPr>
            <w:tcW w:w="893" w:type="pct"/>
            <w:shd w:val="clear" w:color="auto" w:fill="D9D9D9" w:themeFill="background1" w:themeFillShade="D9"/>
          </w:tcPr>
          <w:p w14:paraId="311175AC" w14:textId="77777777" w:rsidR="00037E8B" w:rsidRPr="00B21739" w:rsidRDefault="00037E8B" w:rsidP="00F610A8">
            <w:pPr>
              <w:spacing w:before="100" w:after="0" w:line="240" w:lineRule="auto"/>
              <w:jc w:val="center"/>
              <w:rPr>
                <w:b/>
                <w:sz w:val="20"/>
                <w:szCs w:val="20"/>
              </w:rPr>
            </w:pPr>
            <w:r w:rsidRPr="00B21739">
              <w:rPr>
                <w:b/>
                <w:sz w:val="20"/>
                <w:szCs w:val="20"/>
              </w:rPr>
              <w:t>6</w:t>
            </w:r>
          </w:p>
        </w:tc>
        <w:tc>
          <w:tcPr>
            <w:tcW w:w="694" w:type="pct"/>
            <w:shd w:val="clear" w:color="auto" w:fill="F2F2F2" w:themeFill="background1" w:themeFillShade="F2"/>
          </w:tcPr>
          <w:p w14:paraId="05DC103E"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6667DC4F"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397BAEF9"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58F44BFD"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2F141854" w14:textId="77777777" w:rsidR="00037E8B" w:rsidRPr="00B21739" w:rsidRDefault="00037E8B" w:rsidP="00F610A8">
            <w:pPr>
              <w:spacing w:before="100" w:after="0" w:line="240" w:lineRule="auto"/>
              <w:rPr>
                <w:sz w:val="20"/>
                <w:szCs w:val="20"/>
              </w:rPr>
            </w:pPr>
            <w:r w:rsidRPr="00B21739">
              <w:rPr>
                <w:sz w:val="20"/>
                <w:szCs w:val="20"/>
              </w:rPr>
              <w:t>4</w:t>
            </w:r>
          </w:p>
        </w:tc>
        <w:tc>
          <w:tcPr>
            <w:tcW w:w="639" w:type="pct"/>
            <w:shd w:val="clear" w:color="auto" w:fill="FFFFFF" w:themeFill="background1"/>
          </w:tcPr>
          <w:p w14:paraId="30F62C2D" w14:textId="77777777" w:rsidR="00037E8B" w:rsidRPr="00B21739" w:rsidRDefault="00037E8B" w:rsidP="00F610A8">
            <w:pPr>
              <w:spacing w:before="100" w:after="0" w:line="240" w:lineRule="auto"/>
              <w:rPr>
                <w:sz w:val="20"/>
                <w:szCs w:val="20"/>
              </w:rPr>
            </w:pPr>
            <w:r w:rsidRPr="00B21739">
              <w:rPr>
                <w:sz w:val="20"/>
                <w:szCs w:val="20"/>
              </w:rPr>
              <w:t>4</w:t>
            </w:r>
          </w:p>
        </w:tc>
      </w:tr>
      <w:tr w:rsidR="00037E8B" w:rsidRPr="00B21739" w14:paraId="263BAD3A" w14:textId="77777777" w:rsidTr="00F610A8">
        <w:tc>
          <w:tcPr>
            <w:tcW w:w="893" w:type="pct"/>
            <w:shd w:val="clear" w:color="auto" w:fill="D9D9D9" w:themeFill="background1" w:themeFillShade="D9"/>
          </w:tcPr>
          <w:p w14:paraId="5DD183BF" w14:textId="77777777" w:rsidR="00037E8B" w:rsidRPr="00B21739" w:rsidRDefault="00037E8B" w:rsidP="00F610A8">
            <w:pPr>
              <w:spacing w:before="100" w:after="0" w:line="240" w:lineRule="auto"/>
              <w:jc w:val="center"/>
              <w:rPr>
                <w:b/>
                <w:sz w:val="20"/>
                <w:szCs w:val="20"/>
              </w:rPr>
            </w:pPr>
            <w:r w:rsidRPr="00B21739">
              <w:rPr>
                <w:b/>
                <w:sz w:val="20"/>
                <w:szCs w:val="20"/>
              </w:rPr>
              <w:t>5</w:t>
            </w:r>
          </w:p>
        </w:tc>
        <w:tc>
          <w:tcPr>
            <w:tcW w:w="694" w:type="pct"/>
            <w:shd w:val="clear" w:color="auto" w:fill="F2F2F2" w:themeFill="background1" w:themeFillShade="F2"/>
          </w:tcPr>
          <w:p w14:paraId="49B817B8"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3672C5CF" w14:textId="77777777" w:rsidR="00037E8B" w:rsidRPr="00B21739" w:rsidRDefault="00037E8B" w:rsidP="00F610A8">
            <w:pPr>
              <w:spacing w:before="100" w:after="0" w:line="240" w:lineRule="auto"/>
              <w:rPr>
                <w:sz w:val="20"/>
                <w:szCs w:val="20"/>
              </w:rPr>
            </w:pPr>
            <w:r w:rsidRPr="00B21739">
              <w:rPr>
                <w:sz w:val="20"/>
                <w:szCs w:val="20"/>
              </w:rPr>
              <w:t>1</w:t>
            </w:r>
          </w:p>
        </w:tc>
        <w:tc>
          <w:tcPr>
            <w:tcW w:w="639" w:type="pct"/>
            <w:shd w:val="clear" w:color="auto" w:fill="F2F2F2" w:themeFill="background1" w:themeFillShade="F2"/>
          </w:tcPr>
          <w:p w14:paraId="6C1B797A"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75103102" w14:textId="77777777" w:rsidR="00037E8B" w:rsidRPr="00B21739" w:rsidRDefault="00037E8B" w:rsidP="00F610A8">
            <w:pPr>
              <w:spacing w:before="100" w:after="0" w:line="240" w:lineRule="auto"/>
              <w:rPr>
                <w:sz w:val="20"/>
                <w:szCs w:val="20"/>
              </w:rPr>
            </w:pPr>
          </w:p>
        </w:tc>
        <w:tc>
          <w:tcPr>
            <w:tcW w:w="640" w:type="pct"/>
            <w:shd w:val="clear" w:color="auto" w:fill="F2F2F2" w:themeFill="background1" w:themeFillShade="F2"/>
          </w:tcPr>
          <w:p w14:paraId="093504F4" w14:textId="77777777" w:rsidR="00037E8B" w:rsidRPr="00B21739" w:rsidRDefault="00037E8B" w:rsidP="00F610A8">
            <w:pPr>
              <w:spacing w:before="100" w:after="0" w:line="240" w:lineRule="auto"/>
              <w:rPr>
                <w:sz w:val="20"/>
                <w:szCs w:val="20"/>
              </w:rPr>
            </w:pPr>
            <w:r w:rsidRPr="00B21739">
              <w:rPr>
                <w:sz w:val="20"/>
                <w:szCs w:val="20"/>
              </w:rPr>
              <w:t>5</w:t>
            </w:r>
          </w:p>
        </w:tc>
        <w:tc>
          <w:tcPr>
            <w:tcW w:w="639" w:type="pct"/>
            <w:shd w:val="clear" w:color="auto" w:fill="FFFFFF" w:themeFill="background1"/>
          </w:tcPr>
          <w:p w14:paraId="520BB56B" w14:textId="77777777" w:rsidR="00037E8B" w:rsidRPr="00B21739" w:rsidRDefault="00037E8B" w:rsidP="00F610A8">
            <w:pPr>
              <w:spacing w:before="100" w:after="0" w:line="240" w:lineRule="auto"/>
              <w:rPr>
                <w:sz w:val="20"/>
                <w:szCs w:val="20"/>
              </w:rPr>
            </w:pPr>
            <w:r w:rsidRPr="00B21739">
              <w:rPr>
                <w:sz w:val="20"/>
                <w:szCs w:val="20"/>
              </w:rPr>
              <w:t>6</w:t>
            </w:r>
          </w:p>
        </w:tc>
      </w:tr>
      <w:tr w:rsidR="00037E8B" w:rsidRPr="00B21739" w14:paraId="57C4F64B" w14:textId="77777777" w:rsidTr="00F610A8">
        <w:tc>
          <w:tcPr>
            <w:tcW w:w="893" w:type="pct"/>
            <w:shd w:val="clear" w:color="auto" w:fill="D9D9D9" w:themeFill="background1" w:themeFillShade="D9"/>
          </w:tcPr>
          <w:p w14:paraId="5A715E5D" w14:textId="77777777" w:rsidR="00037E8B" w:rsidRPr="00B21739" w:rsidRDefault="00037E8B" w:rsidP="00F610A8">
            <w:pPr>
              <w:spacing w:before="100" w:after="0" w:line="240" w:lineRule="auto"/>
              <w:jc w:val="center"/>
              <w:rPr>
                <w:b/>
                <w:sz w:val="20"/>
                <w:szCs w:val="20"/>
              </w:rPr>
            </w:pPr>
            <w:r w:rsidRPr="00B21739">
              <w:rPr>
                <w:b/>
                <w:sz w:val="20"/>
                <w:szCs w:val="20"/>
              </w:rPr>
              <w:t>4</w:t>
            </w:r>
          </w:p>
        </w:tc>
        <w:tc>
          <w:tcPr>
            <w:tcW w:w="694" w:type="pct"/>
            <w:shd w:val="clear" w:color="auto" w:fill="F2F2F2" w:themeFill="background1" w:themeFillShade="F2"/>
          </w:tcPr>
          <w:p w14:paraId="4A3DFCE3" w14:textId="77777777" w:rsidR="00037E8B" w:rsidRPr="00B21739" w:rsidRDefault="00037E8B" w:rsidP="00F610A8">
            <w:pPr>
              <w:spacing w:before="100" w:after="0" w:line="240" w:lineRule="auto"/>
              <w:rPr>
                <w:sz w:val="20"/>
                <w:szCs w:val="20"/>
              </w:rPr>
            </w:pPr>
            <w:r w:rsidRPr="00B21739">
              <w:rPr>
                <w:sz w:val="20"/>
                <w:szCs w:val="20"/>
              </w:rPr>
              <w:t>2</w:t>
            </w:r>
          </w:p>
        </w:tc>
        <w:tc>
          <w:tcPr>
            <w:tcW w:w="747" w:type="pct"/>
            <w:shd w:val="clear" w:color="auto" w:fill="FFFFFF" w:themeFill="background1"/>
          </w:tcPr>
          <w:p w14:paraId="471B67E8" w14:textId="77777777" w:rsidR="00037E8B" w:rsidRPr="00B21739" w:rsidRDefault="00037E8B" w:rsidP="00F610A8">
            <w:pPr>
              <w:spacing w:before="100" w:after="0" w:line="240" w:lineRule="auto"/>
              <w:rPr>
                <w:sz w:val="20"/>
                <w:szCs w:val="20"/>
              </w:rPr>
            </w:pPr>
            <w:r w:rsidRPr="00B21739">
              <w:rPr>
                <w:sz w:val="20"/>
                <w:szCs w:val="20"/>
              </w:rPr>
              <w:t>31</w:t>
            </w:r>
          </w:p>
        </w:tc>
        <w:tc>
          <w:tcPr>
            <w:tcW w:w="639" w:type="pct"/>
            <w:shd w:val="clear" w:color="auto" w:fill="F2F2F2" w:themeFill="background1" w:themeFillShade="F2"/>
          </w:tcPr>
          <w:p w14:paraId="016E0826"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753B5D9D" w14:textId="77777777" w:rsidR="00037E8B" w:rsidRPr="00B21739" w:rsidRDefault="00037E8B" w:rsidP="00F610A8">
            <w:pPr>
              <w:spacing w:before="100" w:after="0" w:line="240" w:lineRule="auto"/>
              <w:rPr>
                <w:sz w:val="20"/>
                <w:szCs w:val="20"/>
              </w:rPr>
            </w:pPr>
            <w:r w:rsidRPr="00B21739">
              <w:rPr>
                <w:sz w:val="20"/>
                <w:szCs w:val="20"/>
              </w:rPr>
              <w:t>13</w:t>
            </w:r>
          </w:p>
        </w:tc>
        <w:tc>
          <w:tcPr>
            <w:tcW w:w="640" w:type="pct"/>
            <w:shd w:val="clear" w:color="auto" w:fill="F2F2F2" w:themeFill="background1" w:themeFillShade="F2"/>
          </w:tcPr>
          <w:p w14:paraId="018338A4" w14:textId="77777777" w:rsidR="00037E8B" w:rsidRPr="00B21739" w:rsidRDefault="00037E8B" w:rsidP="00F610A8">
            <w:pPr>
              <w:spacing w:before="100" w:after="0" w:line="240" w:lineRule="auto"/>
              <w:rPr>
                <w:sz w:val="20"/>
                <w:szCs w:val="20"/>
              </w:rPr>
            </w:pPr>
            <w:r w:rsidRPr="00B21739">
              <w:rPr>
                <w:sz w:val="20"/>
                <w:szCs w:val="20"/>
              </w:rPr>
              <w:t>8</w:t>
            </w:r>
          </w:p>
        </w:tc>
        <w:tc>
          <w:tcPr>
            <w:tcW w:w="639" w:type="pct"/>
            <w:shd w:val="clear" w:color="auto" w:fill="FFFFFF" w:themeFill="background1"/>
          </w:tcPr>
          <w:p w14:paraId="22209A1C" w14:textId="77777777" w:rsidR="00037E8B" w:rsidRPr="00B21739" w:rsidRDefault="00037E8B" w:rsidP="00F610A8">
            <w:pPr>
              <w:spacing w:before="100" w:after="0" w:line="240" w:lineRule="auto"/>
              <w:rPr>
                <w:sz w:val="20"/>
                <w:szCs w:val="20"/>
              </w:rPr>
            </w:pPr>
            <w:r w:rsidRPr="00B21739">
              <w:rPr>
                <w:sz w:val="20"/>
                <w:szCs w:val="20"/>
              </w:rPr>
              <w:t>54</w:t>
            </w:r>
          </w:p>
        </w:tc>
      </w:tr>
      <w:tr w:rsidR="00037E8B" w:rsidRPr="00B21739" w14:paraId="355C26E9" w14:textId="77777777" w:rsidTr="00F610A8">
        <w:tc>
          <w:tcPr>
            <w:tcW w:w="893" w:type="pct"/>
            <w:shd w:val="clear" w:color="auto" w:fill="D9D9D9" w:themeFill="background1" w:themeFillShade="D9"/>
          </w:tcPr>
          <w:p w14:paraId="3A298396" w14:textId="77777777" w:rsidR="00037E8B" w:rsidRPr="00B21739" w:rsidRDefault="00037E8B" w:rsidP="00F610A8">
            <w:pPr>
              <w:spacing w:before="100" w:after="0" w:line="240" w:lineRule="auto"/>
              <w:jc w:val="center"/>
              <w:rPr>
                <w:b/>
                <w:sz w:val="20"/>
                <w:szCs w:val="20"/>
              </w:rPr>
            </w:pPr>
            <w:r w:rsidRPr="00B21739">
              <w:rPr>
                <w:b/>
                <w:sz w:val="20"/>
                <w:szCs w:val="20"/>
              </w:rPr>
              <w:t>3</w:t>
            </w:r>
          </w:p>
        </w:tc>
        <w:tc>
          <w:tcPr>
            <w:tcW w:w="694" w:type="pct"/>
            <w:shd w:val="clear" w:color="auto" w:fill="F2F2F2" w:themeFill="background1" w:themeFillShade="F2"/>
          </w:tcPr>
          <w:p w14:paraId="65A9D5AD" w14:textId="77777777" w:rsidR="00037E8B" w:rsidRPr="00B21739" w:rsidRDefault="00037E8B" w:rsidP="00F610A8">
            <w:pPr>
              <w:spacing w:before="100" w:after="0" w:line="240" w:lineRule="auto"/>
              <w:rPr>
                <w:sz w:val="20"/>
                <w:szCs w:val="20"/>
              </w:rPr>
            </w:pPr>
            <w:r w:rsidRPr="00B21739">
              <w:rPr>
                <w:sz w:val="20"/>
                <w:szCs w:val="20"/>
              </w:rPr>
              <w:t>15</w:t>
            </w:r>
          </w:p>
        </w:tc>
        <w:tc>
          <w:tcPr>
            <w:tcW w:w="747" w:type="pct"/>
            <w:shd w:val="clear" w:color="auto" w:fill="FFFFFF" w:themeFill="background1"/>
          </w:tcPr>
          <w:p w14:paraId="3F7732ED"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5AE98936"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4C41B1A9" w14:textId="77777777" w:rsidR="00037E8B" w:rsidRPr="00B21739" w:rsidRDefault="00037E8B" w:rsidP="00F610A8">
            <w:pPr>
              <w:spacing w:before="100" w:after="0" w:line="240" w:lineRule="auto"/>
              <w:rPr>
                <w:sz w:val="20"/>
                <w:szCs w:val="20"/>
              </w:rPr>
            </w:pPr>
            <w:r w:rsidRPr="00B21739">
              <w:rPr>
                <w:sz w:val="20"/>
                <w:szCs w:val="20"/>
              </w:rPr>
              <w:t>14</w:t>
            </w:r>
          </w:p>
        </w:tc>
        <w:tc>
          <w:tcPr>
            <w:tcW w:w="640" w:type="pct"/>
            <w:shd w:val="clear" w:color="auto" w:fill="F2F2F2" w:themeFill="background1" w:themeFillShade="F2"/>
          </w:tcPr>
          <w:p w14:paraId="0F498075" w14:textId="77777777" w:rsidR="00037E8B" w:rsidRPr="00B21739" w:rsidRDefault="00037E8B" w:rsidP="00F610A8">
            <w:pPr>
              <w:spacing w:before="100" w:after="0" w:line="240" w:lineRule="auto"/>
              <w:rPr>
                <w:sz w:val="20"/>
                <w:szCs w:val="20"/>
              </w:rPr>
            </w:pPr>
            <w:r w:rsidRPr="00B21739">
              <w:rPr>
                <w:sz w:val="20"/>
                <w:szCs w:val="20"/>
              </w:rPr>
              <w:t>1</w:t>
            </w:r>
          </w:p>
        </w:tc>
        <w:tc>
          <w:tcPr>
            <w:tcW w:w="639" w:type="pct"/>
            <w:shd w:val="clear" w:color="auto" w:fill="FFFFFF" w:themeFill="background1"/>
          </w:tcPr>
          <w:p w14:paraId="11D1B6BD" w14:textId="77777777" w:rsidR="00037E8B" w:rsidRPr="00B21739" w:rsidRDefault="00037E8B" w:rsidP="00F610A8">
            <w:pPr>
              <w:spacing w:before="100" w:after="0" w:line="240" w:lineRule="auto"/>
              <w:rPr>
                <w:sz w:val="20"/>
                <w:szCs w:val="20"/>
              </w:rPr>
            </w:pPr>
            <w:r w:rsidRPr="00B21739">
              <w:rPr>
                <w:sz w:val="20"/>
                <w:szCs w:val="20"/>
              </w:rPr>
              <w:t>30</w:t>
            </w:r>
          </w:p>
        </w:tc>
      </w:tr>
      <w:tr w:rsidR="00037E8B" w:rsidRPr="00B21739" w14:paraId="0E133CF6" w14:textId="77777777" w:rsidTr="00F610A8">
        <w:tc>
          <w:tcPr>
            <w:tcW w:w="893" w:type="pct"/>
            <w:shd w:val="clear" w:color="auto" w:fill="D9D9D9" w:themeFill="background1" w:themeFillShade="D9"/>
          </w:tcPr>
          <w:p w14:paraId="2B4D7F9A" w14:textId="77777777" w:rsidR="00037E8B" w:rsidRPr="00B21739" w:rsidRDefault="00037E8B" w:rsidP="00F610A8">
            <w:pPr>
              <w:spacing w:before="100" w:after="0" w:line="240" w:lineRule="auto"/>
              <w:jc w:val="center"/>
              <w:rPr>
                <w:b/>
                <w:sz w:val="20"/>
                <w:szCs w:val="20"/>
              </w:rPr>
            </w:pPr>
            <w:r w:rsidRPr="00B21739">
              <w:rPr>
                <w:b/>
                <w:sz w:val="20"/>
                <w:szCs w:val="20"/>
              </w:rPr>
              <w:t>2</w:t>
            </w:r>
          </w:p>
        </w:tc>
        <w:tc>
          <w:tcPr>
            <w:tcW w:w="694" w:type="pct"/>
            <w:shd w:val="clear" w:color="auto" w:fill="F2F2F2" w:themeFill="background1" w:themeFillShade="F2"/>
          </w:tcPr>
          <w:p w14:paraId="5725114F"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4415DFC9"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163704EE"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57C4C8F2" w14:textId="77777777" w:rsidR="00037E8B" w:rsidRPr="00B21739" w:rsidRDefault="00037E8B" w:rsidP="00F610A8">
            <w:pPr>
              <w:spacing w:before="100" w:after="0" w:line="240" w:lineRule="auto"/>
              <w:rPr>
                <w:sz w:val="20"/>
                <w:szCs w:val="20"/>
              </w:rPr>
            </w:pPr>
            <w:r w:rsidRPr="00B21739">
              <w:rPr>
                <w:sz w:val="20"/>
                <w:szCs w:val="20"/>
              </w:rPr>
              <w:t>14</w:t>
            </w:r>
          </w:p>
        </w:tc>
        <w:tc>
          <w:tcPr>
            <w:tcW w:w="640" w:type="pct"/>
            <w:shd w:val="clear" w:color="auto" w:fill="F2F2F2" w:themeFill="background1" w:themeFillShade="F2"/>
          </w:tcPr>
          <w:p w14:paraId="335DC561"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2F69EF6F" w14:textId="77777777" w:rsidR="00037E8B" w:rsidRPr="00B21739" w:rsidRDefault="00037E8B" w:rsidP="00F610A8">
            <w:pPr>
              <w:spacing w:before="100" w:after="0" w:line="240" w:lineRule="auto"/>
              <w:rPr>
                <w:sz w:val="20"/>
                <w:szCs w:val="20"/>
              </w:rPr>
            </w:pPr>
            <w:r w:rsidRPr="00B21739">
              <w:rPr>
                <w:sz w:val="20"/>
                <w:szCs w:val="20"/>
              </w:rPr>
              <w:t>14</w:t>
            </w:r>
          </w:p>
        </w:tc>
      </w:tr>
      <w:tr w:rsidR="00037E8B" w:rsidRPr="00B21739" w14:paraId="11D95544" w14:textId="77777777" w:rsidTr="00F610A8">
        <w:tc>
          <w:tcPr>
            <w:tcW w:w="893" w:type="pct"/>
            <w:shd w:val="clear" w:color="auto" w:fill="D9D9D9" w:themeFill="background1" w:themeFillShade="D9"/>
          </w:tcPr>
          <w:p w14:paraId="13164F5C" w14:textId="77777777" w:rsidR="00037E8B" w:rsidRPr="00B21739" w:rsidRDefault="00037E8B" w:rsidP="00F610A8">
            <w:pPr>
              <w:spacing w:before="100" w:after="0" w:line="240" w:lineRule="auto"/>
              <w:jc w:val="center"/>
              <w:rPr>
                <w:b/>
                <w:sz w:val="20"/>
                <w:szCs w:val="20"/>
              </w:rPr>
            </w:pPr>
            <w:r w:rsidRPr="00B21739">
              <w:rPr>
                <w:b/>
                <w:sz w:val="20"/>
                <w:szCs w:val="20"/>
              </w:rPr>
              <w:t>1</w:t>
            </w:r>
          </w:p>
        </w:tc>
        <w:tc>
          <w:tcPr>
            <w:tcW w:w="694" w:type="pct"/>
            <w:shd w:val="clear" w:color="auto" w:fill="F2F2F2" w:themeFill="background1" w:themeFillShade="F2"/>
          </w:tcPr>
          <w:p w14:paraId="59EF336B" w14:textId="77777777" w:rsidR="00037E8B" w:rsidRPr="00B21739" w:rsidRDefault="00037E8B" w:rsidP="00F610A8">
            <w:pPr>
              <w:spacing w:before="100" w:after="0" w:line="240" w:lineRule="auto"/>
              <w:rPr>
                <w:sz w:val="20"/>
                <w:szCs w:val="20"/>
              </w:rPr>
            </w:pPr>
          </w:p>
        </w:tc>
        <w:tc>
          <w:tcPr>
            <w:tcW w:w="747" w:type="pct"/>
            <w:shd w:val="clear" w:color="auto" w:fill="FFFFFF" w:themeFill="background1"/>
          </w:tcPr>
          <w:p w14:paraId="48947626" w14:textId="77777777" w:rsidR="00037E8B" w:rsidRPr="00B21739" w:rsidRDefault="00037E8B" w:rsidP="00F610A8">
            <w:pPr>
              <w:spacing w:before="100" w:after="0" w:line="240" w:lineRule="auto"/>
              <w:rPr>
                <w:sz w:val="20"/>
                <w:szCs w:val="20"/>
              </w:rPr>
            </w:pPr>
          </w:p>
        </w:tc>
        <w:tc>
          <w:tcPr>
            <w:tcW w:w="639" w:type="pct"/>
            <w:shd w:val="clear" w:color="auto" w:fill="F2F2F2" w:themeFill="background1" w:themeFillShade="F2"/>
          </w:tcPr>
          <w:p w14:paraId="02856753" w14:textId="77777777" w:rsidR="00037E8B" w:rsidRPr="00B21739" w:rsidRDefault="00037E8B" w:rsidP="00F610A8">
            <w:pPr>
              <w:spacing w:before="100" w:after="0" w:line="240" w:lineRule="auto"/>
              <w:rPr>
                <w:sz w:val="20"/>
                <w:szCs w:val="20"/>
              </w:rPr>
            </w:pPr>
          </w:p>
        </w:tc>
        <w:tc>
          <w:tcPr>
            <w:tcW w:w="746" w:type="pct"/>
            <w:shd w:val="clear" w:color="auto" w:fill="FFFFFF" w:themeFill="background1"/>
          </w:tcPr>
          <w:p w14:paraId="52D9949F" w14:textId="77777777" w:rsidR="00037E8B" w:rsidRPr="00B21739" w:rsidRDefault="00037E8B" w:rsidP="00F610A8">
            <w:pPr>
              <w:spacing w:before="100" w:after="0" w:line="240" w:lineRule="auto"/>
              <w:rPr>
                <w:sz w:val="20"/>
                <w:szCs w:val="20"/>
              </w:rPr>
            </w:pPr>
            <w:r w:rsidRPr="00B21739">
              <w:rPr>
                <w:sz w:val="20"/>
                <w:szCs w:val="20"/>
              </w:rPr>
              <w:t>2</w:t>
            </w:r>
          </w:p>
        </w:tc>
        <w:tc>
          <w:tcPr>
            <w:tcW w:w="640" w:type="pct"/>
            <w:shd w:val="clear" w:color="auto" w:fill="F2F2F2" w:themeFill="background1" w:themeFillShade="F2"/>
          </w:tcPr>
          <w:p w14:paraId="00277DD2" w14:textId="77777777" w:rsidR="00037E8B" w:rsidRPr="00B21739" w:rsidRDefault="00037E8B" w:rsidP="00F610A8">
            <w:pPr>
              <w:spacing w:before="100" w:after="0" w:line="240" w:lineRule="auto"/>
              <w:rPr>
                <w:sz w:val="20"/>
                <w:szCs w:val="20"/>
              </w:rPr>
            </w:pPr>
          </w:p>
        </w:tc>
        <w:tc>
          <w:tcPr>
            <w:tcW w:w="639" w:type="pct"/>
            <w:shd w:val="clear" w:color="auto" w:fill="FFFFFF" w:themeFill="background1"/>
          </w:tcPr>
          <w:p w14:paraId="0612948B" w14:textId="77777777" w:rsidR="00037E8B" w:rsidRPr="00B21739" w:rsidRDefault="00037E8B" w:rsidP="00F610A8">
            <w:pPr>
              <w:spacing w:before="100" w:after="0" w:line="240" w:lineRule="auto"/>
              <w:rPr>
                <w:sz w:val="20"/>
                <w:szCs w:val="20"/>
              </w:rPr>
            </w:pPr>
          </w:p>
        </w:tc>
      </w:tr>
      <w:tr w:rsidR="00037E8B" w:rsidRPr="00B21739" w14:paraId="2A749682" w14:textId="77777777" w:rsidTr="00F610A8">
        <w:tc>
          <w:tcPr>
            <w:tcW w:w="893" w:type="pct"/>
            <w:shd w:val="clear" w:color="auto" w:fill="D9D9D9" w:themeFill="background1" w:themeFillShade="D9"/>
          </w:tcPr>
          <w:p w14:paraId="59A8DF77" w14:textId="77777777" w:rsidR="00037E8B" w:rsidRPr="00B21739" w:rsidRDefault="00037E8B" w:rsidP="00F610A8">
            <w:pPr>
              <w:spacing w:before="100" w:after="0" w:line="240" w:lineRule="auto"/>
              <w:jc w:val="center"/>
              <w:rPr>
                <w:b/>
                <w:sz w:val="20"/>
                <w:szCs w:val="20"/>
              </w:rPr>
            </w:pPr>
            <w:r w:rsidRPr="00B21739">
              <w:rPr>
                <w:b/>
                <w:sz w:val="20"/>
                <w:szCs w:val="20"/>
              </w:rPr>
              <w:t>Total</w:t>
            </w:r>
          </w:p>
        </w:tc>
        <w:tc>
          <w:tcPr>
            <w:tcW w:w="694" w:type="pct"/>
            <w:shd w:val="clear" w:color="auto" w:fill="F2F2F2" w:themeFill="background1" w:themeFillShade="F2"/>
          </w:tcPr>
          <w:p w14:paraId="3E91B002" w14:textId="77777777" w:rsidR="00037E8B" w:rsidRPr="00B21739" w:rsidRDefault="00037E8B" w:rsidP="00F610A8">
            <w:pPr>
              <w:spacing w:before="100" w:after="0" w:line="240" w:lineRule="auto"/>
              <w:rPr>
                <w:b/>
                <w:sz w:val="20"/>
                <w:szCs w:val="20"/>
              </w:rPr>
            </w:pPr>
            <w:r w:rsidRPr="00B21739">
              <w:rPr>
                <w:b/>
                <w:sz w:val="20"/>
                <w:szCs w:val="20"/>
              </w:rPr>
              <w:t>17</w:t>
            </w:r>
          </w:p>
        </w:tc>
        <w:tc>
          <w:tcPr>
            <w:tcW w:w="747" w:type="pct"/>
            <w:shd w:val="clear" w:color="auto" w:fill="FFFFFF" w:themeFill="background1"/>
          </w:tcPr>
          <w:p w14:paraId="761A21BA" w14:textId="77777777" w:rsidR="00037E8B" w:rsidRPr="00B21739" w:rsidRDefault="00037E8B" w:rsidP="00F610A8">
            <w:pPr>
              <w:spacing w:before="100" w:after="0" w:line="240" w:lineRule="auto"/>
              <w:rPr>
                <w:b/>
                <w:sz w:val="20"/>
                <w:szCs w:val="20"/>
              </w:rPr>
            </w:pPr>
            <w:r w:rsidRPr="00B21739">
              <w:rPr>
                <w:b/>
                <w:sz w:val="20"/>
                <w:szCs w:val="20"/>
              </w:rPr>
              <w:t>32</w:t>
            </w:r>
          </w:p>
        </w:tc>
        <w:tc>
          <w:tcPr>
            <w:tcW w:w="639" w:type="pct"/>
            <w:shd w:val="clear" w:color="auto" w:fill="F2F2F2" w:themeFill="background1" w:themeFillShade="F2"/>
          </w:tcPr>
          <w:p w14:paraId="638CD714" w14:textId="77777777" w:rsidR="00037E8B" w:rsidRPr="00B21739" w:rsidRDefault="00037E8B" w:rsidP="00F610A8">
            <w:pPr>
              <w:spacing w:before="100" w:after="0" w:line="240" w:lineRule="auto"/>
              <w:rPr>
                <w:b/>
                <w:sz w:val="20"/>
                <w:szCs w:val="20"/>
              </w:rPr>
            </w:pPr>
            <w:r w:rsidRPr="00B21739">
              <w:rPr>
                <w:b/>
                <w:sz w:val="20"/>
                <w:szCs w:val="20"/>
              </w:rPr>
              <w:t>14*</w:t>
            </w:r>
          </w:p>
        </w:tc>
        <w:tc>
          <w:tcPr>
            <w:tcW w:w="746" w:type="pct"/>
            <w:shd w:val="clear" w:color="auto" w:fill="FFFFFF" w:themeFill="background1"/>
          </w:tcPr>
          <w:p w14:paraId="2D23F382" w14:textId="77777777" w:rsidR="00037E8B" w:rsidRPr="00B21739" w:rsidRDefault="00037E8B" w:rsidP="00F610A8">
            <w:pPr>
              <w:spacing w:before="100" w:after="0" w:line="240" w:lineRule="auto"/>
              <w:rPr>
                <w:b/>
                <w:sz w:val="20"/>
                <w:szCs w:val="20"/>
              </w:rPr>
            </w:pPr>
            <w:r w:rsidRPr="00B21739">
              <w:rPr>
                <w:b/>
                <w:sz w:val="20"/>
                <w:szCs w:val="20"/>
              </w:rPr>
              <w:t>43</w:t>
            </w:r>
          </w:p>
        </w:tc>
        <w:tc>
          <w:tcPr>
            <w:tcW w:w="640" w:type="pct"/>
            <w:shd w:val="clear" w:color="auto" w:fill="F2F2F2" w:themeFill="background1" w:themeFillShade="F2"/>
          </w:tcPr>
          <w:p w14:paraId="57418284" w14:textId="77777777" w:rsidR="00037E8B" w:rsidRPr="00B21739" w:rsidRDefault="00037E8B" w:rsidP="00F610A8">
            <w:pPr>
              <w:spacing w:before="100" w:after="0" w:line="240" w:lineRule="auto"/>
              <w:rPr>
                <w:b/>
                <w:sz w:val="20"/>
                <w:szCs w:val="20"/>
              </w:rPr>
            </w:pPr>
            <w:r w:rsidRPr="00B21739">
              <w:rPr>
                <w:b/>
                <w:sz w:val="20"/>
                <w:szCs w:val="20"/>
              </w:rPr>
              <w:t>18</w:t>
            </w:r>
          </w:p>
        </w:tc>
        <w:tc>
          <w:tcPr>
            <w:tcW w:w="639" w:type="pct"/>
            <w:shd w:val="clear" w:color="auto" w:fill="FFFFFF" w:themeFill="background1"/>
          </w:tcPr>
          <w:p w14:paraId="0738D5F4" w14:textId="77777777" w:rsidR="00037E8B" w:rsidRPr="00B21739" w:rsidRDefault="00037E8B" w:rsidP="00F610A8">
            <w:pPr>
              <w:spacing w:before="100" w:after="0" w:line="240" w:lineRule="auto"/>
              <w:rPr>
                <w:b/>
                <w:sz w:val="20"/>
                <w:szCs w:val="20"/>
              </w:rPr>
            </w:pPr>
            <w:r w:rsidRPr="00B21739">
              <w:rPr>
                <w:b/>
                <w:sz w:val="20"/>
                <w:szCs w:val="20"/>
              </w:rPr>
              <w:t>124</w:t>
            </w:r>
          </w:p>
        </w:tc>
      </w:tr>
    </w:tbl>
    <w:p w14:paraId="55BEBACA" w14:textId="77777777" w:rsidR="00037E8B" w:rsidRDefault="00037E8B" w:rsidP="003F6C25">
      <w:pPr>
        <w:spacing w:before="0"/>
        <w:rPr>
          <w:sz w:val="20"/>
        </w:rPr>
      </w:pPr>
      <w:r w:rsidRPr="00783847">
        <w:rPr>
          <w:sz w:val="20"/>
        </w:rPr>
        <w:t>Source: ASU May 2016</w:t>
      </w:r>
      <w:r>
        <w:rPr>
          <w:sz w:val="20"/>
        </w:rPr>
        <w:t xml:space="preserve">. *PQF level unassigned. </w:t>
      </w:r>
    </w:p>
    <w:p w14:paraId="1110AEC1" w14:textId="77777777" w:rsidR="00037E8B" w:rsidRPr="002B092A" w:rsidRDefault="00037E8B" w:rsidP="00941B5B">
      <w:pPr>
        <w:spacing w:line="240" w:lineRule="auto"/>
      </w:pPr>
      <w:r w:rsidRPr="002B092A">
        <w:t>The number of qualifications in each sector is summarised in the table below. Duplication of qualifications at a similar level is noted in a range of sectors</w:t>
      </w:r>
      <w:r>
        <w:t>,</w:t>
      </w:r>
      <w:r w:rsidRPr="002B092A">
        <w:t xml:space="preserve"> including agriculture, automotive, carpentry, cookery, electrical engineering, fabrication and welding, fitting and machining, heating and air conditioning, plumbing, and tourism and hospitality. </w:t>
      </w:r>
    </w:p>
    <w:p w14:paraId="480CCDA5" w14:textId="78740D38" w:rsidR="00037E8B" w:rsidRPr="00E21F50" w:rsidRDefault="00037E8B" w:rsidP="00BF09CC">
      <w:pPr>
        <w:spacing w:line="240" w:lineRule="auto"/>
        <w:rPr>
          <w:b/>
        </w:rPr>
      </w:pPr>
      <w:bookmarkStart w:id="120" w:name="_Toc458892559"/>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4</w:t>
      </w:r>
      <w:r w:rsidRPr="00E21F50">
        <w:rPr>
          <w:b/>
        </w:rPr>
        <w:fldChar w:fldCharType="end"/>
      </w:r>
      <w:r w:rsidRPr="00E21F50">
        <w:rPr>
          <w:b/>
        </w:rPr>
        <w:t>: PRQS qualifications by sector and level</w:t>
      </w:r>
      <w:bookmarkEnd w:id="120"/>
    </w:p>
    <w:tbl>
      <w:tblPr>
        <w:tblStyle w:val="TableGrid"/>
        <w:tblW w:w="5000" w:type="pct"/>
        <w:tblLook w:val="04A0" w:firstRow="1" w:lastRow="0" w:firstColumn="1" w:lastColumn="0" w:noHBand="0" w:noVBand="1"/>
      </w:tblPr>
      <w:tblGrid>
        <w:gridCol w:w="3113"/>
        <w:gridCol w:w="1135"/>
        <w:gridCol w:w="1417"/>
        <w:gridCol w:w="1135"/>
        <w:gridCol w:w="1133"/>
        <w:gridCol w:w="1247"/>
      </w:tblGrid>
      <w:tr w:rsidR="00037E8B" w:rsidRPr="007008FB" w14:paraId="1EE9B1F2" w14:textId="77777777" w:rsidTr="00F610A8">
        <w:trPr>
          <w:tblHeader/>
        </w:trPr>
        <w:tc>
          <w:tcPr>
            <w:tcW w:w="1696" w:type="pct"/>
            <w:shd w:val="clear" w:color="auto" w:fill="D9D9D9" w:themeFill="background1" w:themeFillShade="D9"/>
          </w:tcPr>
          <w:p w14:paraId="2E3A213D" w14:textId="77777777" w:rsidR="00037E8B" w:rsidRPr="007008FB" w:rsidRDefault="00037E8B" w:rsidP="00F610A8">
            <w:pPr>
              <w:spacing w:after="0" w:line="240" w:lineRule="auto"/>
              <w:rPr>
                <w:b/>
                <w:sz w:val="18"/>
                <w:szCs w:val="18"/>
              </w:rPr>
            </w:pPr>
            <w:r w:rsidRPr="007008FB">
              <w:rPr>
                <w:b/>
                <w:sz w:val="18"/>
                <w:szCs w:val="18"/>
              </w:rPr>
              <w:t>Qualification Sector</w:t>
            </w:r>
          </w:p>
        </w:tc>
        <w:tc>
          <w:tcPr>
            <w:tcW w:w="618" w:type="pct"/>
            <w:shd w:val="clear" w:color="auto" w:fill="D9D9D9" w:themeFill="background1" w:themeFillShade="D9"/>
          </w:tcPr>
          <w:p w14:paraId="0719E307" w14:textId="77777777" w:rsidR="00037E8B" w:rsidRPr="007008FB" w:rsidRDefault="00037E8B" w:rsidP="00F610A8">
            <w:pPr>
              <w:spacing w:after="0" w:line="240" w:lineRule="auto"/>
              <w:rPr>
                <w:b/>
                <w:sz w:val="18"/>
                <w:szCs w:val="18"/>
              </w:rPr>
            </w:pPr>
            <w:r w:rsidRPr="007008FB">
              <w:rPr>
                <w:b/>
                <w:sz w:val="18"/>
                <w:szCs w:val="18"/>
              </w:rPr>
              <w:t>APTC</w:t>
            </w:r>
          </w:p>
        </w:tc>
        <w:tc>
          <w:tcPr>
            <w:tcW w:w="772" w:type="pct"/>
            <w:shd w:val="clear" w:color="auto" w:fill="D9D9D9" w:themeFill="background1" w:themeFillShade="D9"/>
          </w:tcPr>
          <w:p w14:paraId="07272A0F" w14:textId="77777777" w:rsidR="00037E8B" w:rsidRPr="007008FB" w:rsidRDefault="00037E8B" w:rsidP="00F610A8">
            <w:pPr>
              <w:spacing w:after="0" w:line="240" w:lineRule="auto"/>
              <w:rPr>
                <w:b/>
                <w:sz w:val="18"/>
                <w:szCs w:val="18"/>
              </w:rPr>
            </w:pPr>
            <w:r w:rsidRPr="007008FB">
              <w:rPr>
                <w:b/>
                <w:sz w:val="18"/>
                <w:szCs w:val="18"/>
              </w:rPr>
              <w:t xml:space="preserve">Fiji </w:t>
            </w:r>
          </w:p>
        </w:tc>
        <w:tc>
          <w:tcPr>
            <w:tcW w:w="618" w:type="pct"/>
            <w:shd w:val="clear" w:color="auto" w:fill="D9D9D9" w:themeFill="background1" w:themeFillShade="D9"/>
          </w:tcPr>
          <w:p w14:paraId="048542DE" w14:textId="77777777" w:rsidR="00037E8B" w:rsidRPr="007008FB" w:rsidRDefault="00037E8B" w:rsidP="00F610A8">
            <w:pPr>
              <w:spacing w:after="0" w:line="240" w:lineRule="auto"/>
              <w:rPr>
                <w:b/>
                <w:sz w:val="18"/>
                <w:szCs w:val="18"/>
              </w:rPr>
            </w:pPr>
            <w:r w:rsidRPr="007008FB">
              <w:rPr>
                <w:b/>
                <w:sz w:val="18"/>
                <w:szCs w:val="18"/>
              </w:rPr>
              <w:t>PNG</w:t>
            </w:r>
          </w:p>
        </w:tc>
        <w:tc>
          <w:tcPr>
            <w:tcW w:w="617" w:type="pct"/>
            <w:shd w:val="clear" w:color="auto" w:fill="D9D9D9" w:themeFill="background1" w:themeFillShade="D9"/>
          </w:tcPr>
          <w:p w14:paraId="0762E1B8" w14:textId="77777777" w:rsidR="00037E8B" w:rsidRPr="007008FB" w:rsidRDefault="00037E8B" w:rsidP="00F610A8">
            <w:pPr>
              <w:spacing w:after="0" w:line="240" w:lineRule="auto"/>
              <w:rPr>
                <w:b/>
                <w:sz w:val="18"/>
                <w:szCs w:val="18"/>
              </w:rPr>
            </w:pPr>
            <w:r w:rsidRPr="007008FB">
              <w:rPr>
                <w:b/>
                <w:sz w:val="18"/>
                <w:szCs w:val="18"/>
              </w:rPr>
              <w:t xml:space="preserve">Samoa </w:t>
            </w:r>
          </w:p>
        </w:tc>
        <w:tc>
          <w:tcPr>
            <w:tcW w:w="679" w:type="pct"/>
            <w:shd w:val="clear" w:color="auto" w:fill="D9D9D9" w:themeFill="background1" w:themeFillShade="D9"/>
          </w:tcPr>
          <w:p w14:paraId="777A039E" w14:textId="77777777" w:rsidR="00037E8B" w:rsidRPr="007008FB" w:rsidRDefault="00037E8B" w:rsidP="00F610A8">
            <w:pPr>
              <w:spacing w:after="0" w:line="240" w:lineRule="auto"/>
              <w:rPr>
                <w:b/>
                <w:sz w:val="18"/>
                <w:szCs w:val="18"/>
              </w:rPr>
            </w:pPr>
            <w:r w:rsidRPr="007008FB">
              <w:rPr>
                <w:b/>
                <w:sz w:val="18"/>
                <w:szCs w:val="18"/>
              </w:rPr>
              <w:t>Tonga</w:t>
            </w:r>
          </w:p>
        </w:tc>
      </w:tr>
      <w:tr w:rsidR="00037E8B" w:rsidRPr="007008FB" w14:paraId="71B3227E" w14:textId="77777777" w:rsidTr="00F610A8">
        <w:tc>
          <w:tcPr>
            <w:tcW w:w="1696" w:type="pct"/>
            <w:shd w:val="clear" w:color="auto" w:fill="D9D9D9" w:themeFill="background1" w:themeFillShade="D9"/>
          </w:tcPr>
          <w:p w14:paraId="065C59F9" w14:textId="77777777" w:rsidR="00037E8B" w:rsidRPr="007008FB" w:rsidRDefault="00037E8B" w:rsidP="00F610A8">
            <w:pPr>
              <w:spacing w:after="0" w:line="240" w:lineRule="auto"/>
              <w:rPr>
                <w:b/>
                <w:sz w:val="18"/>
                <w:szCs w:val="18"/>
              </w:rPr>
            </w:pPr>
            <w:r w:rsidRPr="007008FB">
              <w:rPr>
                <w:b/>
                <w:sz w:val="18"/>
                <w:szCs w:val="18"/>
              </w:rPr>
              <w:t xml:space="preserve">Agriculture </w:t>
            </w:r>
          </w:p>
        </w:tc>
        <w:tc>
          <w:tcPr>
            <w:tcW w:w="618" w:type="pct"/>
            <w:shd w:val="clear" w:color="auto" w:fill="F2F2F2" w:themeFill="background1" w:themeFillShade="F2"/>
          </w:tcPr>
          <w:p w14:paraId="1FF45CC2"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7C9733E6"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4FAEEBF3"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49EAA9D" w14:textId="77777777" w:rsidR="00037E8B" w:rsidRPr="007008FB" w:rsidRDefault="00037E8B" w:rsidP="00F610A8">
            <w:pPr>
              <w:spacing w:after="0" w:line="240" w:lineRule="auto"/>
              <w:jc w:val="center"/>
              <w:rPr>
                <w:sz w:val="18"/>
                <w:szCs w:val="18"/>
              </w:rPr>
            </w:pPr>
            <w:r w:rsidRPr="007008FB">
              <w:rPr>
                <w:sz w:val="18"/>
                <w:szCs w:val="18"/>
              </w:rPr>
              <w:t>4 (L1,2,3,4)</w:t>
            </w:r>
          </w:p>
        </w:tc>
        <w:tc>
          <w:tcPr>
            <w:tcW w:w="679" w:type="pct"/>
            <w:shd w:val="clear" w:color="auto" w:fill="F2F2F2" w:themeFill="background1" w:themeFillShade="F2"/>
          </w:tcPr>
          <w:p w14:paraId="5603FAA3" w14:textId="77777777" w:rsidR="00037E8B" w:rsidRPr="007008FB" w:rsidRDefault="00037E8B" w:rsidP="00F610A8">
            <w:pPr>
              <w:spacing w:after="0" w:line="240" w:lineRule="auto"/>
              <w:jc w:val="center"/>
              <w:rPr>
                <w:sz w:val="18"/>
                <w:szCs w:val="18"/>
              </w:rPr>
            </w:pPr>
            <w:r w:rsidRPr="007008FB">
              <w:rPr>
                <w:sz w:val="18"/>
                <w:szCs w:val="18"/>
              </w:rPr>
              <w:t>4 (L4, 5)</w:t>
            </w:r>
          </w:p>
        </w:tc>
      </w:tr>
      <w:tr w:rsidR="00037E8B" w:rsidRPr="007008FB" w14:paraId="1D0E5739" w14:textId="77777777" w:rsidTr="00F610A8">
        <w:tc>
          <w:tcPr>
            <w:tcW w:w="1696" w:type="pct"/>
            <w:shd w:val="clear" w:color="auto" w:fill="D9D9D9" w:themeFill="background1" w:themeFillShade="D9"/>
          </w:tcPr>
          <w:p w14:paraId="003F2F78" w14:textId="77777777" w:rsidR="00037E8B" w:rsidRPr="007008FB" w:rsidRDefault="00037E8B" w:rsidP="00F610A8">
            <w:pPr>
              <w:spacing w:after="0" w:line="240" w:lineRule="auto"/>
              <w:rPr>
                <w:b/>
                <w:sz w:val="18"/>
                <w:szCs w:val="18"/>
              </w:rPr>
            </w:pPr>
            <w:r w:rsidRPr="007008FB">
              <w:rPr>
                <w:b/>
                <w:sz w:val="18"/>
                <w:szCs w:val="18"/>
              </w:rPr>
              <w:t xml:space="preserve">Aircraft Maintenance </w:t>
            </w:r>
          </w:p>
        </w:tc>
        <w:tc>
          <w:tcPr>
            <w:tcW w:w="618" w:type="pct"/>
            <w:shd w:val="clear" w:color="auto" w:fill="F2F2F2" w:themeFill="background1" w:themeFillShade="F2"/>
          </w:tcPr>
          <w:p w14:paraId="130CAD18"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6859226C"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3E8A73FD"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0908C65"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2466F694" w14:textId="77777777" w:rsidR="00037E8B" w:rsidRPr="007008FB" w:rsidRDefault="00037E8B" w:rsidP="00F610A8">
            <w:pPr>
              <w:spacing w:after="0" w:line="240" w:lineRule="auto"/>
              <w:jc w:val="center"/>
              <w:rPr>
                <w:sz w:val="18"/>
                <w:szCs w:val="18"/>
              </w:rPr>
            </w:pPr>
          </w:p>
        </w:tc>
      </w:tr>
      <w:tr w:rsidR="00037E8B" w:rsidRPr="007008FB" w14:paraId="0237A6F7" w14:textId="77777777" w:rsidTr="00F610A8">
        <w:tc>
          <w:tcPr>
            <w:tcW w:w="1696" w:type="pct"/>
            <w:shd w:val="clear" w:color="auto" w:fill="D9D9D9" w:themeFill="background1" w:themeFillShade="D9"/>
          </w:tcPr>
          <w:p w14:paraId="4A34D5D0" w14:textId="77777777" w:rsidR="00037E8B" w:rsidRPr="007008FB" w:rsidRDefault="00037E8B" w:rsidP="00F610A8">
            <w:pPr>
              <w:spacing w:after="0" w:line="240" w:lineRule="auto"/>
              <w:rPr>
                <w:b/>
                <w:sz w:val="18"/>
                <w:szCs w:val="18"/>
              </w:rPr>
            </w:pPr>
            <w:r w:rsidRPr="007008FB">
              <w:rPr>
                <w:b/>
                <w:sz w:val="18"/>
                <w:szCs w:val="18"/>
              </w:rPr>
              <w:t xml:space="preserve">Automotive </w:t>
            </w:r>
          </w:p>
        </w:tc>
        <w:tc>
          <w:tcPr>
            <w:tcW w:w="618" w:type="pct"/>
            <w:shd w:val="clear" w:color="auto" w:fill="F2F2F2" w:themeFill="background1" w:themeFillShade="F2"/>
          </w:tcPr>
          <w:p w14:paraId="67FB5790"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305B28B3" w14:textId="77777777" w:rsidR="00037E8B" w:rsidRPr="007008FB" w:rsidRDefault="00037E8B" w:rsidP="00F610A8">
            <w:pPr>
              <w:spacing w:after="0" w:line="240" w:lineRule="auto"/>
              <w:jc w:val="center"/>
              <w:rPr>
                <w:sz w:val="18"/>
                <w:szCs w:val="18"/>
              </w:rPr>
            </w:pPr>
            <w:r w:rsidRPr="007008FB">
              <w:rPr>
                <w:sz w:val="18"/>
                <w:szCs w:val="18"/>
              </w:rPr>
              <w:t>3 (L4)</w:t>
            </w:r>
          </w:p>
        </w:tc>
        <w:tc>
          <w:tcPr>
            <w:tcW w:w="618" w:type="pct"/>
            <w:shd w:val="clear" w:color="auto" w:fill="F2F2F2" w:themeFill="background1" w:themeFillShade="F2"/>
          </w:tcPr>
          <w:p w14:paraId="34351865"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73F5AB76"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32BFC6BA" w14:textId="77777777" w:rsidR="00037E8B" w:rsidRPr="007008FB" w:rsidRDefault="00037E8B" w:rsidP="00F610A8">
            <w:pPr>
              <w:spacing w:after="0" w:line="240" w:lineRule="auto"/>
              <w:jc w:val="center"/>
              <w:rPr>
                <w:sz w:val="18"/>
                <w:szCs w:val="18"/>
              </w:rPr>
            </w:pPr>
          </w:p>
        </w:tc>
      </w:tr>
      <w:tr w:rsidR="00037E8B" w:rsidRPr="007008FB" w14:paraId="6B2E88C3" w14:textId="77777777" w:rsidTr="00F610A8">
        <w:tc>
          <w:tcPr>
            <w:tcW w:w="1696" w:type="pct"/>
            <w:shd w:val="clear" w:color="auto" w:fill="D9D9D9" w:themeFill="background1" w:themeFillShade="D9"/>
          </w:tcPr>
          <w:p w14:paraId="2C0CF998" w14:textId="77777777" w:rsidR="00037E8B" w:rsidRPr="007008FB" w:rsidRDefault="00037E8B" w:rsidP="00F610A8">
            <w:pPr>
              <w:spacing w:after="0" w:line="240" w:lineRule="auto"/>
              <w:rPr>
                <w:b/>
                <w:sz w:val="18"/>
                <w:szCs w:val="18"/>
              </w:rPr>
            </w:pPr>
            <w:r w:rsidRPr="007008FB">
              <w:rPr>
                <w:b/>
                <w:sz w:val="18"/>
                <w:szCs w:val="18"/>
              </w:rPr>
              <w:t>Baking and Patisserie</w:t>
            </w:r>
          </w:p>
        </w:tc>
        <w:tc>
          <w:tcPr>
            <w:tcW w:w="618" w:type="pct"/>
            <w:shd w:val="clear" w:color="auto" w:fill="F2F2F2" w:themeFill="background1" w:themeFillShade="F2"/>
          </w:tcPr>
          <w:p w14:paraId="08D007FA"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2FCEBE70" w14:textId="77777777" w:rsidR="00037E8B" w:rsidRPr="007008FB" w:rsidRDefault="00037E8B" w:rsidP="00F610A8">
            <w:pPr>
              <w:spacing w:after="0" w:line="240" w:lineRule="auto"/>
              <w:jc w:val="center"/>
              <w:rPr>
                <w:sz w:val="18"/>
                <w:szCs w:val="18"/>
              </w:rPr>
            </w:pPr>
            <w:r w:rsidRPr="007008FB">
              <w:rPr>
                <w:sz w:val="18"/>
                <w:szCs w:val="18"/>
              </w:rPr>
              <w:t>2 (L4)</w:t>
            </w:r>
          </w:p>
        </w:tc>
        <w:tc>
          <w:tcPr>
            <w:tcW w:w="618" w:type="pct"/>
            <w:shd w:val="clear" w:color="auto" w:fill="F2F2F2" w:themeFill="background1" w:themeFillShade="F2"/>
          </w:tcPr>
          <w:p w14:paraId="296CA681"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483C7835"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52DC5ED2" w14:textId="77777777" w:rsidR="00037E8B" w:rsidRPr="007008FB" w:rsidRDefault="00037E8B" w:rsidP="00F610A8">
            <w:pPr>
              <w:spacing w:after="0" w:line="240" w:lineRule="auto"/>
              <w:jc w:val="center"/>
              <w:rPr>
                <w:sz w:val="18"/>
                <w:szCs w:val="18"/>
              </w:rPr>
            </w:pPr>
          </w:p>
        </w:tc>
      </w:tr>
      <w:tr w:rsidR="00037E8B" w:rsidRPr="007008FB" w14:paraId="738B0368" w14:textId="77777777" w:rsidTr="00F610A8">
        <w:tc>
          <w:tcPr>
            <w:tcW w:w="1696" w:type="pct"/>
            <w:shd w:val="clear" w:color="auto" w:fill="D9D9D9" w:themeFill="background1" w:themeFillShade="D9"/>
          </w:tcPr>
          <w:p w14:paraId="73417EF2" w14:textId="77777777" w:rsidR="00037E8B" w:rsidRPr="007008FB" w:rsidRDefault="00037E8B" w:rsidP="00F610A8">
            <w:pPr>
              <w:spacing w:after="0" w:line="240" w:lineRule="auto"/>
              <w:rPr>
                <w:b/>
                <w:sz w:val="18"/>
                <w:szCs w:val="18"/>
              </w:rPr>
            </w:pPr>
            <w:r w:rsidRPr="007008FB">
              <w:rPr>
                <w:b/>
                <w:sz w:val="18"/>
                <w:szCs w:val="18"/>
              </w:rPr>
              <w:t>Building &amp; Construction</w:t>
            </w:r>
          </w:p>
        </w:tc>
        <w:tc>
          <w:tcPr>
            <w:tcW w:w="618" w:type="pct"/>
            <w:shd w:val="clear" w:color="auto" w:fill="F2F2F2" w:themeFill="background1" w:themeFillShade="F2"/>
          </w:tcPr>
          <w:p w14:paraId="32B00F83" w14:textId="77777777" w:rsidR="00037E8B" w:rsidRPr="007008FB" w:rsidRDefault="00037E8B" w:rsidP="00F610A8">
            <w:pPr>
              <w:spacing w:after="0" w:line="240" w:lineRule="auto"/>
              <w:jc w:val="center"/>
              <w:rPr>
                <w:sz w:val="18"/>
                <w:szCs w:val="18"/>
              </w:rPr>
            </w:pPr>
            <w:r w:rsidRPr="007008FB">
              <w:rPr>
                <w:sz w:val="18"/>
                <w:szCs w:val="18"/>
              </w:rPr>
              <w:t>2 (L3)</w:t>
            </w:r>
          </w:p>
        </w:tc>
        <w:tc>
          <w:tcPr>
            <w:tcW w:w="772" w:type="pct"/>
            <w:shd w:val="clear" w:color="auto" w:fill="FFFFFF" w:themeFill="background1"/>
          </w:tcPr>
          <w:p w14:paraId="274FE956"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3FB74C6D"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75FBD6AC"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596785F6" w14:textId="77777777" w:rsidR="00037E8B" w:rsidRPr="007008FB" w:rsidRDefault="00037E8B" w:rsidP="00F610A8">
            <w:pPr>
              <w:spacing w:after="0" w:line="240" w:lineRule="auto"/>
              <w:jc w:val="center"/>
              <w:rPr>
                <w:sz w:val="18"/>
                <w:szCs w:val="18"/>
              </w:rPr>
            </w:pPr>
          </w:p>
        </w:tc>
      </w:tr>
      <w:tr w:rsidR="00037E8B" w:rsidRPr="007008FB" w14:paraId="20417F7D" w14:textId="77777777" w:rsidTr="00F610A8">
        <w:tc>
          <w:tcPr>
            <w:tcW w:w="1696" w:type="pct"/>
            <w:shd w:val="clear" w:color="auto" w:fill="D9D9D9" w:themeFill="background1" w:themeFillShade="D9"/>
          </w:tcPr>
          <w:p w14:paraId="370EB334" w14:textId="77777777" w:rsidR="00037E8B" w:rsidRPr="007008FB" w:rsidRDefault="00037E8B" w:rsidP="00F610A8">
            <w:pPr>
              <w:spacing w:after="0" w:line="240" w:lineRule="auto"/>
              <w:rPr>
                <w:b/>
                <w:sz w:val="18"/>
                <w:szCs w:val="18"/>
              </w:rPr>
            </w:pPr>
            <w:r w:rsidRPr="007008FB">
              <w:rPr>
                <w:b/>
                <w:sz w:val="18"/>
                <w:szCs w:val="18"/>
              </w:rPr>
              <w:t xml:space="preserve">Business &amp;Commerce </w:t>
            </w:r>
          </w:p>
        </w:tc>
        <w:tc>
          <w:tcPr>
            <w:tcW w:w="618" w:type="pct"/>
            <w:shd w:val="clear" w:color="auto" w:fill="F2F2F2" w:themeFill="background1" w:themeFillShade="F2"/>
          </w:tcPr>
          <w:p w14:paraId="49FDA6A2"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22EE7F67"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329A5122"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5276076"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32AC8A46" w14:textId="77777777" w:rsidR="00037E8B" w:rsidRPr="007008FB" w:rsidRDefault="00037E8B" w:rsidP="00F610A8">
            <w:pPr>
              <w:spacing w:after="0" w:line="240" w:lineRule="auto"/>
              <w:jc w:val="center"/>
              <w:rPr>
                <w:sz w:val="18"/>
                <w:szCs w:val="18"/>
              </w:rPr>
            </w:pPr>
            <w:r w:rsidRPr="007008FB">
              <w:rPr>
                <w:sz w:val="18"/>
                <w:szCs w:val="18"/>
              </w:rPr>
              <w:t>3 (L4, 6)</w:t>
            </w:r>
          </w:p>
        </w:tc>
      </w:tr>
      <w:tr w:rsidR="00037E8B" w:rsidRPr="007008FB" w14:paraId="39507BAF" w14:textId="77777777" w:rsidTr="00F610A8">
        <w:tc>
          <w:tcPr>
            <w:tcW w:w="1696" w:type="pct"/>
            <w:shd w:val="clear" w:color="auto" w:fill="D9D9D9" w:themeFill="background1" w:themeFillShade="D9"/>
          </w:tcPr>
          <w:p w14:paraId="0BC4B302" w14:textId="77777777" w:rsidR="00037E8B" w:rsidRPr="007008FB" w:rsidRDefault="00037E8B" w:rsidP="00F610A8">
            <w:pPr>
              <w:spacing w:after="0" w:line="240" w:lineRule="auto"/>
              <w:rPr>
                <w:b/>
                <w:sz w:val="18"/>
                <w:szCs w:val="18"/>
              </w:rPr>
            </w:pPr>
            <w:r w:rsidRPr="007008FB">
              <w:rPr>
                <w:b/>
                <w:sz w:val="18"/>
                <w:szCs w:val="18"/>
              </w:rPr>
              <w:t xml:space="preserve">Carpentry </w:t>
            </w:r>
          </w:p>
        </w:tc>
        <w:tc>
          <w:tcPr>
            <w:tcW w:w="618" w:type="pct"/>
            <w:shd w:val="clear" w:color="auto" w:fill="F2F2F2" w:themeFill="background1" w:themeFillShade="F2"/>
          </w:tcPr>
          <w:p w14:paraId="141409FA"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5FCF82C7" w14:textId="77777777" w:rsidR="00037E8B" w:rsidRPr="007008FB" w:rsidRDefault="00037E8B" w:rsidP="00F610A8">
            <w:pPr>
              <w:spacing w:after="0" w:line="240" w:lineRule="auto"/>
              <w:jc w:val="center"/>
              <w:rPr>
                <w:sz w:val="18"/>
                <w:szCs w:val="18"/>
              </w:rPr>
            </w:pPr>
            <w:r w:rsidRPr="007008FB">
              <w:rPr>
                <w:sz w:val="18"/>
                <w:szCs w:val="18"/>
              </w:rPr>
              <w:t>5 (L4)</w:t>
            </w:r>
          </w:p>
        </w:tc>
        <w:tc>
          <w:tcPr>
            <w:tcW w:w="618" w:type="pct"/>
            <w:shd w:val="clear" w:color="auto" w:fill="F2F2F2" w:themeFill="background1" w:themeFillShade="F2"/>
          </w:tcPr>
          <w:p w14:paraId="36D8E6A8"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3A15971E"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69533CCD" w14:textId="77777777" w:rsidR="00037E8B" w:rsidRPr="007008FB" w:rsidRDefault="00037E8B" w:rsidP="00F610A8">
            <w:pPr>
              <w:spacing w:after="0" w:line="240" w:lineRule="auto"/>
              <w:jc w:val="center"/>
              <w:rPr>
                <w:sz w:val="18"/>
                <w:szCs w:val="18"/>
              </w:rPr>
            </w:pPr>
            <w:r w:rsidRPr="007008FB">
              <w:rPr>
                <w:sz w:val="18"/>
                <w:szCs w:val="18"/>
              </w:rPr>
              <w:t>1 (L4)</w:t>
            </w:r>
          </w:p>
        </w:tc>
      </w:tr>
      <w:tr w:rsidR="00037E8B" w:rsidRPr="007008FB" w14:paraId="42A363D3" w14:textId="77777777" w:rsidTr="00F610A8">
        <w:tc>
          <w:tcPr>
            <w:tcW w:w="1696" w:type="pct"/>
            <w:shd w:val="clear" w:color="auto" w:fill="D9D9D9" w:themeFill="background1" w:themeFillShade="D9"/>
          </w:tcPr>
          <w:p w14:paraId="5FA5C209" w14:textId="77777777" w:rsidR="00037E8B" w:rsidRPr="007008FB" w:rsidRDefault="00037E8B" w:rsidP="00F610A8">
            <w:pPr>
              <w:spacing w:after="0" w:line="240" w:lineRule="auto"/>
              <w:rPr>
                <w:b/>
                <w:sz w:val="18"/>
                <w:szCs w:val="18"/>
              </w:rPr>
            </w:pPr>
            <w:r w:rsidRPr="007008FB">
              <w:rPr>
                <w:b/>
                <w:sz w:val="18"/>
                <w:szCs w:val="18"/>
              </w:rPr>
              <w:t xml:space="preserve">Cookery </w:t>
            </w:r>
          </w:p>
        </w:tc>
        <w:tc>
          <w:tcPr>
            <w:tcW w:w="618" w:type="pct"/>
            <w:shd w:val="clear" w:color="auto" w:fill="F2F2F2" w:themeFill="background1" w:themeFillShade="F2"/>
          </w:tcPr>
          <w:p w14:paraId="7511CED3"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473862A6" w14:textId="77777777" w:rsidR="00037E8B" w:rsidRPr="007008FB" w:rsidRDefault="00037E8B" w:rsidP="00F610A8">
            <w:pPr>
              <w:spacing w:after="0" w:line="240" w:lineRule="auto"/>
              <w:jc w:val="center"/>
              <w:rPr>
                <w:sz w:val="18"/>
                <w:szCs w:val="18"/>
              </w:rPr>
            </w:pPr>
            <w:r w:rsidRPr="007008FB">
              <w:rPr>
                <w:sz w:val="18"/>
                <w:szCs w:val="18"/>
              </w:rPr>
              <w:t>2 (L4)</w:t>
            </w:r>
          </w:p>
        </w:tc>
        <w:tc>
          <w:tcPr>
            <w:tcW w:w="618" w:type="pct"/>
            <w:shd w:val="clear" w:color="auto" w:fill="F2F2F2" w:themeFill="background1" w:themeFillShade="F2"/>
          </w:tcPr>
          <w:p w14:paraId="592D46A8"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38FC7865" w14:textId="77777777" w:rsidR="00037E8B" w:rsidRPr="007008FB" w:rsidRDefault="00037E8B" w:rsidP="00F610A8">
            <w:pPr>
              <w:spacing w:after="0" w:line="240" w:lineRule="auto"/>
              <w:jc w:val="center"/>
              <w:rPr>
                <w:sz w:val="18"/>
                <w:szCs w:val="18"/>
              </w:rPr>
            </w:pPr>
            <w:r w:rsidRPr="007008FB">
              <w:rPr>
                <w:sz w:val="18"/>
                <w:szCs w:val="18"/>
              </w:rPr>
              <w:t>1 (L3)</w:t>
            </w:r>
          </w:p>
        </w:tc>
        <w:tc>
          <w:tcPr>
            <w:tcW w:w="679" w:type="pct"/>
            <w:shd w:val="clear" w:color="auto" w:fill="F2F2F2" w:themeFill="background1" w:themeFillShade="F2"/>
          </w:tcPr>
          <w:p w14:paraId="48A37A9B" w14:textId="77777777" w:rsidR="00037E8B" w:rsidRPr="007008FB" w:rsidRDefault="00037E8B" w:rsidP="00F610A8">
            <w:pPr>
              <w:spacing w:after="0" w:line="240" w:lineRule="auto"/>
              <w:jc w:val="center"/>
              <w:rPr>
                <w:sz w:val="18"/>
                <w:szCs w:val="18"/>
              </w:rPr>
            </w:pPr>
          </w:p>
        </w:tc>
      </w:tr>
      <w:tr w:rsidR="00037E8B" w:rsidRPr="007008FB" w14:paraId="4FF757E8" w14:textId="77777777" w:rsidTr="00F610A8">
        <w:tc>
          <w:tcPr>
            <w:tcW w:w="1696" w:type="pct"/>
            <w:shd w:val="clear" w:color="auto" w:fill="D9D9D9" w:themeFill="background1" w:themeFillShade="D9"/>
          </w:tcPr>
          <w:p w14:paraId="1139757D" w14:textId="77777777" w:rsidR="00037E8B" w:rsidRPr="007008FB" w:rsidRDefault="00037E8B" w:rsidP="00F610A8">
            <w:pPr>
              <w:spacing w:after="0" w:line="240" w:lineRule="auto"/>
              <w:rPr>
                <w:b/>
                <w:sz w:val="18"/>
                <w:szCs w:val="18"/>
              </w:rPr>
            </w:pPr>
            <w:r w:rsidRPr="007008FB">
              <w:rPr>
                <w:b/>
                <w:sz w:val="18"/>
                <w:szCs w:val="18"/>
              </w:rPr>
              <w:t>Education</w:t>
            </w:r>
          </w:p>
        </w:tc>
        <w:tc>
          <w:tcPr>
            <w:tcW w:w="618" w:type="pct"/>
            <w:shd w:val="clear" w:color="auto" w:fill="F2F2F2" w:themeFill="background1" w:themeFillShade="F2"/>
          </w:tcPr>
          <w:p w14:paraId="645CFC19"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5E40340E"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6019E948"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5D175415" w14:textId="77777777" w:rsidR="00037E8B" w:rsidRPr="007008FB" w:rsidRDefault="00037E8B" w:rsidP="00F610A8">
            <w:pPr>
              <w:spacing w:after="0" w:line="240" w:lineRule="auto"/>
              <w:jc w:val="center"/>
              <w:rPr>
                <w:sz w:val="18"/>
                <w:szCs w:val="18"/>
              </w:rPr>
            </w:pPr>
            <w:r w:rsidRPr="007008FB">
              <w:rPr>
                <w:sz w:val="18"/>
                <w:szCs w:val="18"/>
              </w:rPr>
              <w:t>1 (L4)</w:t>
            </w:r>
          </w:p>
        </w:tc>
        <w:tc>
          <w:tcPr>
            <w:tcW w:w="679" w:type="pct"/>
            <w:shd w:val="clear" w:color="auto" w:fill="F2F2F2" w:themeFill="background1" w:themeFillShade="F2"/>
          </w:tcPr>
          <w:p w14:paraId="63019D2B" w14:textId="77777777" w:rsidR="00037E8B" w:rsidRPr="007008FB" w:rsidRDefault="00037E8B" w:rsidP="00F610A8">
            <w:pPr>
              <w:spacing w:after="0" w:line="240" w:lineRule="auto"/>
              <w:jc w:val="center"/>
              <w:rPr>
                <w:sz w:val="18"/>
                <w:szCs w:val="18"/>
              </w:rPr>
            </w:pPr>
          </w:p>
        </w:tc>
      </w:tr>
      <w:tr w:rsidR="00037E8B" w:rsidRPr="007008FB" w14:paraId="5A1B978C" w14:textId="77777777" w:rsidTr="00F610A8">
        <w:tc>
          <w:tcPr>
            <w:tcW w:w="1696" w:type="pct"/>
            <w:shd w:val="clear" w:color="auto" w:fill="D9D9D9" w:themeFill="background1" w:themeFillShade="D9"/>
          </w:tcPr>
          <w:p w14:paraId="5EF43E97" w14:textId="77777777" w:rsidR="00037E8B" w:rsidRPr="007008FB" w:rsidRDefault="00037E8B" w:rsidP="00F610A8">
            <w:pPr>
              <w:spacing w:after="0" w:line="240" w:lineRule="auto"/>
              <w:rPr>
                <w:b/>
                <w:sz w:val="18"/>
                <w:szCs w:val="18"/>
              </w:rPr>
            </w:pPr>
            <w:r w:rsidRPr="007008FB">
              <w:rPr>
                <w:b/>
                <w:sz w:val="18"/>
                <w:szCs w:val="18"/>
              </w:rPr>
              <w:t>Electrical Engineering</w:t>
            </w:r>
          </w:p>
        </w:tc>
        <w:tc>
          <w:tcPr>
            <w:tcW w:w="618" w:type="pct"/>
            <w:shd w:val="clear" w:color="auto" w:fill="F2F2F2" w:themeFill="background1" w:themeFillShade="F2"/>
          </w:tcPr>
          <w:p w14:paraId="5B12027E"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5CF67B3B" w14:textId="77777777" w:rsidR="00037E8B" w:rsidRPr="007008FB" w:rsidRDefault="00037E8B" w:rsidP="00F610A8">
            <w:pPr>
              <w:spacing w:after="0" w:line="240" w:lineRule="auto"/>
              <w:jc w:val="center"/>
              <w:rPr>
                <w:sz w:val="18"/>
                <w:szCs w:val="18"/>
              </w:rPr>
            </w:pPr>
            <w:r w:rsidRPr="007008FB">
              <w:rPr>
                <w:sz w:val="18"/>
                <w:szCs w:val="18"/>
              </w:rPr>
              <w:t>3 (L4)</w:t>
            </w:r>
          </w:p>
        </w:tc>
        <w:tc>
          <w:tcPr>
            <w:tcW w:w="618" w:type="pct"/>
            <w:shd w:val="clear" w:color="auto" w:fill="F2F2F2" w:themeFill="background1" w:themeFillShade="F2"/>
          </w:tcPr>
          <w:p w14:paraId="76E27001"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7EFD3F1"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76A2AEDF" w14:textId="77777777" w:rsidR="00037E8B" w:rsidRPr="007008FB" w:rsidRDefault="00037E8B" w:rsidP="00F610A8">
            <w:pPr>
              <w:spacing w:after="0" w:line="240" w:lineRule="auto"/>
              <w:jc w:val="center"/>
              <w:rPr>
                <w:sz w:val="18"/>
                <w:szCs w:val="18"/>
              </w:rPr>
            </w:pPr>
            <w:r w:rsidRPr="007008FB">
              <w:rPr>
                <w:sz w:val="18"/>
                <w:szCs w:val="18"/>
              </w:rPr>
              <w:t>1 (L4)</w:t>
            </w:r>
          </w:p>
        </w:tc>
      </w:tr>
      <w:tr w:rsidR="00037E8B" w:rsidRPr="007008FB" w14:paraId="5FF96BE2" w14:textId="77777777" w:rsidTr="00F610A8">
        <w:tc>
          <w:tcPr>
            <w:tcW w:w="1696" w:type="pct"/>
            <w:shd w:val="clear" w:color="auto" w:fill="D9D9D9" w:themeFill="background1" w:themeFillShade="D9"/>
          </w:tcPr>
          <w:p w14:paraId="6F91BD7C" w14:textId="77777777" w:rsidR="00037E8B" w:rsidRPr="007008FB" w:rsidRDefault="00037E8B" w:rsidP="00F610A8">
            <w:pPr>
              <w:spacing w:after="0" w:line="240" w:lineRule="auto"/>
              <w:rPr>
                <w:b/>
                <w:sz w:val="18"/>
                <w:szCs w:val="18"/>
              </w:rPr>
            </w:pPr>
            <w:r w:rsidRPr="007008FB">
              <w:rPr>
                <w:b/>
                <w:sz w:val="18"/>
                <w:szCs w:val="18"/>
              </w:rPr>
              <w:t>Electronic Engineering</w:t>
            </w:r>
          </w:p>
        </w:tc>
        <w:tc>
          <w:tcPr>
            <w:tcW w:w="618" w:type="pct"/>
            <w:shd w:val="clear" w:color="auto" w:fill="F2F2F2" w:themeFill="background1" w:themeFillShade="F2"/>
          </w:tcPr>
          <w:p w14:paraId="451F1FE7"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5617C373"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68B1E725"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BFD6484"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1305C8EA" w14:textId="77777777" w:rsidR="00037E8B" w:rsidRPr="007008FB" w:rsidRDefault="00037E8B" w:rsidP="00F610A8">
            <w:pPr>
              <w:spacing w:after="0" w:line="240" w:lineRule="auto"/>
              <w:jc w:val="center"/>
              <w:rPr>
                <w:sz w:val="18"/>
                <w:szCs w:val="18"/>
              </w:rPr>
            </w:pPr>
          </w:p>
        </w:tc>
      </w:tr>
      <w:tr w:rsidR="00037E8B" w:rsidRPr="007008FB" w14:paraId="7A03C78F" w14:textId="77777777" w:rsidTr="00F610A8">
        <w:tc>
          <w:tcPr>
            <w:tcW w:w="1696" w:type="pct"/>
            <w:shd w:val="clear" w:color="auto" w:fill="D9D9D9" w:themeFill="background1" w:themeFillShade="D9"/>
          </w:tcPr>
          <w:p w14:paraId="7EACA3C0" w14:textId="77777777" w:rsidR="00037E8B" w:rsidRPr="007008FB" w:rsidRDefault="00037E8B" w:rsidP="00F610A8">
            <w:pPr>
              <w:spacing w:after="0" w:line="240" w:lineRule="auto"/>
              <w:rPr>
                <w:b/>
                <w:sz w:val="18"/>
                <w:szCs w:val="18"/>
              </w:rPr>
            </w:pPr>
            <w:r w:rsidRPr="007008FB">
              <w:rPr>
                <w:b/>
                <w:sz w:val="18"/>
                <w:szCs w:val="18"/>
              </w:rPr>
              <w:t>Mechanical Engineering</w:t>
            </w:r>
          </w:p>
        </w:tc>
        <w:tc>
          <w:tcPr>
            <w:tcW w:w="618" w:type="pct"/>
            <w:shd w:val="clear" w:color="auto" w:fill="F2F2F2" w:themeFill="background1" w:themeFillShade="F2"/>
          </w:tcPr>
          <w:p w14:paraId="4012F71C" w14:textId="77777777" w:rsidR="00037E8B" w:rsidRPr="007008FB" w:rsidRDefault="00037E8B" w:rsidP="00F610A8">
            <w:pPr>
              <w:spacing w:after="0" w:line="240" w:lineRule="auto"/>
              <w:jc w:val="center"/>
              <w:rPr>
                <w:sz w:val="18"/>
                <w:szCs w:val="18"/>
              </w:rPr>
            </w:pPr>
            <w:r w:rsidRPr="007008FB">
              <w:rPr>
                <w:sz w:val="18"/>
                <w:szCs w:val="18"/>
              </w:rPr>
              <w:t>3 (L3)</w:t>
            </w:r>
          </w:p>
        </w:tc>
        <w:tc>
          <w:tcPr>
            <w:tcW w:w="772" w:type="pct"/>
            <w:shd w:val="clear" w:color="auto" w:fill="FFFFFF" w:themeFill="background1"/>
          </w:tcPr>
          <w:p w14:paraId="329EB87A"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0E17E8DB"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464CC671"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0A65AF53" w14:textId="77777777" w:rsidR="00037E8B" w:rsidRPr="007008FB" w:rsidRDefault="00037E8B" w:rsidP="00F610A8">
            <w:pPr>
              <w:spacing w:after="0" w:line="240" w:lineRule="auto"/>
              <w:jc w:val="center"/>
              <w:rPr>
                <w:sz w:val="18"/>
                <w:szCs w:val="18"/>
              </w:rPr>
            </w:pPr>
            <w:r w:rsidRPr="007008FB">
              <w:rPr>
                <w:sz w:val="18"/>
                <w:szCs w:val="18"/>
              </w:rPr>
              <w:t>1 (L4)</w:t>
            </w:r>
          </w:p>
        </w:tc>
      </w:tr>
      <w:tr w:rsidR="00037E8B" w:rsidRPr="007008FB" w14:paraId="6591579A" w14:textId="77777777" w:rsidTr="00F610A8">
        <w:tc>
          <w:tcPr>
            <w:tcW w:w="1696" w:type="pct"/>
            <w:shd w:val="clear" w:color="auto" w:fill="D9D9D9" w:themeFill="background1" w:themeFillShade="D9"/>
          </w:tcPr>
          <w:p w14:paraId="7E0BB2EE" w14:textId="77777777" w:rsidR="00037E8B" w:rsidRPr="007008FB" w:rsidRDefault="00037E8B" w:rsidP="00F610A8">
            <w:pPr>
              <w:spacing w:after="0" w:line="240" w:lineRule="auto"/>
              <w:rPr>
                <w:b/>
                <w:sz w:val="18"/>
                <w:szCs w:val="18"/>
              </w:rPr>
            </w:pPr>
            <w:r w:rsidRPr="007008FB">
              <w:rPr>
                <w:b/>
                <w:sz w:val="18"/>
                <w:szCs w:val="18"/>
              </w:rPr>
              <w:t>Fabrication &amp; Welding</w:t>
            </w:r>
          </w:p>
        </w:tc>
        <w:tc>
          <w:tcPr>
            <w:tcW w:w="618" w:type="pct"/>
            <w:shd w:val="clear" w:color="auto" w:fill="F2F2F2" w:themeFill="background1" w:themeFillShade="F2"/>
          </w:tcPr>
          <w:p w14:paraId="21DC4993"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1AFF62A6" w14:textId="77777777" w:rsidR="00037E8B" w:rsidRPr="007008FB" w:rsidRDefault="00037E8B" w:rsidP="00F610A8">
            <w:pPr>
              <w:spacing w:after="0" w:line="240" w:lineRule="auto"/>
              <w:jc w:val="center"/>
              <w:rPr>
                <w:sz w:val="18"/>
                <w:szCs w:val="18"/>
              </w:rPr>
            </w:pPr>
            <w:r w:rsidRPr="007008FB">
              <w:rPr>
                <w:sz w:val="18"/>
                <w:szCs w:val="18"/>
              </w:rPr>
              <w:t>2 (L4)</w:t>
            </w:r>
          </w:p>
        </w:tc>
        <w:tc>
          <w:tcPr>
            <w:tcW w:w="618" w:type="pct"/>
            <w:shd w:val="clear" w:color="auto" w:fill="F2F2F2" w:themeFill="background1" w:themeFillShade="F2"/>
          </w:tcPr>
          <w:p w14:paraId="52783067"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7E5BECD"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73D5A113" w14:textId="77777777" w:rsidR="00037E8B" w:rsidRPr="007008FB" w:rsidRDefault="00037E8B" w:rsidP="00F610A8">
            <w:pPr>
              <w:spacing w:after="0" w:line="240" w:lineRule="auto"/>
              <w:jc w:val="center"/>
              <w:rPr>
                <w:sz w:val="18"/>
                <w:szCs w:val="18"/>
              </w:rPr>
            </w:pPr>
          </w:p>
        </w:tc>
      </w:tr>
      <w:tr w:rsidR="00037E8B" w:rsidRPr="007008FB" w14:paraId="413CD53D" w14:textId="77777777" w:rsidTr="00F610A8">
        <w:tc>
          <w:tcPr>
            <w:tcW w:w="1696" w:type="pct"/>
            <w:shd w:val="clear" w:color="auto" w:fill="D9D9D9" w:themeFill="background1" w:themeFillShade="D9"/>
          </w:tcPr>
          <w:p w14:paraId="13DA98F9" w14:textId="77777777" w:rsidR="00037E8B" w:rsidRPr="007008FB" w:rsidRDefault="00037E8B" w:rsidP="00F610A8">
            <w:pPr>
              <w:spacing w:after="0" w:line="240" w:lineRule="auto"/>
              <w:rPr>
                <w:b/>
                <w:sz w:val="18"/>
                <w:szCs w:val="18"/>
              </w:rPr>
            </w:pPr>
            <w:r w:rsidRPr="007008FB">
              <w:rPr>
                <w:b/>
                <w:sz w:val="18"/>
                <w:szCs w:val="18"/>
              </w:rPr>
              <w:t>Fitting &amp; Machining</w:t>
            </w:r>
          </w:p>
        </w:tc>
        <w:tc>
          <w:tcPr>
            <w:tcW w:w="618" w:type="pct"/>
            <w:shd w:val="clear" w:color="auto" w:fill="F2F2F2" w:themeFill="background1" w:themeFillShade="F2"/>
          </w:tcPr>
          <w:p w14:paraId="442B3CC2"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49C6B013" w14:textId="77777777" w:rsidR="00037E8B" w:rsidRPr="007008FB" w:rsidRDefault="00037E8B" w:rsidP="00F610A8">
            <w:pPr>
              <w:spacing w:after="0" w:line="240" w:lineRule="auto"/>
              <w:jc w:val="center"/>
              <w:rPr>
                <w:sz w:val="18"/>
                <w:szCs w:val="18"/>
              </w:rPr>
            </w:pPr>
            <w:r w:rsidRPr="007008FB">
              <w:rPr>
                <w:sz w:val="18"/>
                <w:szCs w:val="18"/>
              </w:rPr>
              <w:t>2 (L4)</w:t>
            </w:r>
          </w:p>
        </w:tc>
        <w:tc>
          <w:tcPr>
            <w:tcW w:w="618" w:type="pct"/>
            <w:shd w:val="clear" w:color="auto" w:fill="F2F2F2" w:themeFill="background1" w:themeFillShade="F2"/>
          </w:tcPr>
          <w:p w14:paraId="665D9B52"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301C9180"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5306A6E1" w14:textId="77777777" w:rsidR="00037E8B" w:rsidRPr="007008FB" w:rsidRDefault="00037E8B" w:rsidP="00F610A8">
            <w:pPr>
              <w:spacing w:after="0" w:line="240" w:lineRule="auto"/>
              <w:jc w:val="center"/>
              <w:rPr>
                <w:sz w:val="18"/>
                <w:szCs w:val="18"/>
              </w:rPr>
            </w:pPr>
          </w:p>
        </w:tc>
      </w:tr>
      <w:tr w:rsidR="00037E8B" w:rsidRPr="007008FB" w14:paraId="0479F93D" w14:textId="77777777" w:rsidTr="00F610A8">
        <w:tc>
          <w:tcPr>
            <w:tcW w:w="1696" w:type="pct"/>
            <w:shd w:val="clear" w:color="auto" w:fill="D9D9D9" w:themeFill="background1" w:themeFillShade="D9"/>
          </w:tcPr>
          <w:p w14:paraId="55CD5449" w14:textId="77777777" w:rsidR="00037E8B" w:rsidRPr="007008FB" w:rsidRDefault="00037E8B" w:rsidP="00F610A8">
            <w:pPr>
              <w:spacing w:after="0" w:line="240" w:lineRule="auto"/>
              <w:rPr>
                <w:b/>
                <w:sz w:val="18"/>
                <w:szCs w:val="18"/>
              </w:rPr>
            </w:pPr>
            <w:r w:rsidRPr="007008FB">
              <w:rPr>
                <w:b/>
                <w:sz w:val="18"/>
                <w:szCs w:val="18"/>
              </w:rPr>
              <w:lastRenderedPageBreak/>
              <w:t xml:space="preserve">Health Science </w:t>
            </w:r>
          </w:p>
        </w:tc>
        <w:tc>
          <w:tcPr>
            <w:tcW w:w="618" w:type="pct"/>
            <w:shd w:val="clear" w:color="auto" w:fill="F2F2F2" w:themeFill="background1" w:themeFillShade="F2"/>
          </w:tcPr>
          <w:p w14:paraId="4127472A"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1AE1FD83"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6AC7499A"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7A5F8FEE"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3F218862" w14:textId="77777777" w:rsidR="00037E8B" w:rsidRPr="007008FB" w:rsidRDefault="00037E8B" w:rsidP="00F610A8">
            <w:pPr>
              <w:spacing w:after="0" w:line="240" w:lineRule="auto"/>
              <w:jc w:val="center"/>
              <w:rPr>
                <w:sz w:val="18"/>
                <w:szCs w:val="18"/>
              </w:rPr>
            </w:pPr>
            <w:r w:rsidRPr="007008FB">
              <w:rPr>
                <w:sz w:val="18"/>
                <w:szCs w:val="18"/>
              </w:rPr>
              <w:t>1 (6)</w:t>
            </w:r>
          </w:p>
        </w:tc>
      </w:tr>
      <w:tr w:rsidR="00037E8B" w:rsidRPr="007008FB" w14:paraId="29511AAE" w14:textId="77777777" w:rsidTr="00F610A8">
        <w:tc>
          <w:tcPr>
            <w:tcW w:w="1696" w:type="pct"/>
            <w:shd w:val="clear" w:color="auto" w:fill="D9D9D9" w:themeFill="background1" w:themeFillShade="D9"/>
          </w:tcPr>
          <w:p w14:paraId="565B4046" w14:textId="77777777" w:rsidR="00037E8B" w:rsidRPr="007008FB" w:rsidRDefault="00037E8B" w:rsidP="00F610A8">
            <w:pPr>
              <w:spacing w:after="0" w:line="240" w:lineRule="auto"/>
              <w:rPr>
                <w:b/>
                <w:sz w:val="18"/>
                <w:szCs w:val="18"/>
              </w:rPr>
            </w:pPr>
            <w:r w:rsidRPr="007008FB">
              <w:rPr>
                <w:b/>
                <w:sz w:val="18"/>
                <w:szCs w:val="18"/>
              </w:rPr>
              <w:t>Heating and Air-Conditioning</w:t>
            </w:r>
          </w:p>
        </w:tc>
        <w:tc>
          <w:tcPr>
            <w:tcW w:w="618" w:type="pct"/>
            <w:shd w:val="clear" w:color="auto" w:fill="F2F2F2" w:themeFill="background1" w:themeFillShade="F2"/>
          </w:tcPr>
          <w:p w14:paraId="05BD903B"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5452CFE5"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07FE6155"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44E8A4E3"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2C0A7C59" w14:textId="77777777" w:rsidR="00037E8B" w:rsidRPr="007008FB" w:rsidRDefault="00037E8B" w:rsidP="00F610A8">
            <w:pPr>
              <w:spacing w:after="0" w:line="240" w:lineRule="auto"/>
              <w:jc w:val="center"/>
              <w:rPr>
                <w:sz w:val="18"/>
                <w:szCs w:val="18"/>
              </w:rPr>
            </w:pPr>
          </w:p>
        </w:tc>
      </w:tr>
      <w:tr w:rsidR="00037E8B" w:rsidRPr="007008FB" w14:paraId="678B8909" w14:textId="77777777" w:rsidTr="00F610A8">
        <w:tc>
          <w:tcPr>
            <w:tcW w:w="1696" w:type="pct"/>
            <w:shd w:val="clear" w:color="auto" w:fill="D9D9D9" w:themeFill="background1" w:themeFillShade="D9"/>
          </w:tcPr>
          <w:p w14:paraId="27794F77" w14:textId="77777777" w:rsidR="00037E8B" w:rsidRPr="007008FB" w:rsidRDefault="00037E8B" w:rsidP="00F610A8">
            <w:pPr>
              <w:spacing w:after="0" w:line="240" w:lineRule="auto"/>
              <w:rPr>
                <w:b/>
                <w:sz w:val="18"/>
                <w:szCs w:val="18"/>
              </w:rPr>
            </w:pPr>
            <w:r w:rsidRPr="007008FB">
              <w:rPr>
                <w:b/>
                <w:sz w:val="18"/>
                <w:szCs w:val="18"/>
              </w:rPr>
              <w:t>Heavy Commercial Vehicle</w:t>
            </w:r>
          </w:p>
        </w:tc>
        <w:tc>
          <w:tcPr>
            <w:tcW w:w="618" w:type="pct"/>
            <w:shd w:val="clear" w:color="auto" w:fill="F2F2F2" w:themeFill="background1" w:themeFillShade="F2"/>
          </w:tcPr>
          <w:p w14:paraId="73EA624B"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01C9BDD4"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338414C1"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D1D066E"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0D8CA466" w14:textId="77777777" w:rsidR="00037E8B" w:rsidRPr="007008FB" w:rsidRDefault="00037E8B" w:rsidP="00F610A8">
            <w:pPr>
              <w:spacing w:after="0" w:line="240" w:lineRule="auto"/>
              <w:jc w:val="center"/>
              <w:rPr>
                <w:sz w:val="18"/>
                <w:szCs w:val="18"/>
              </w:rPr>
            </w:pPr>
          </w:p>
        </w:tc>
      </w:tr>
      <w:tr w:rsidR="00037E8B" w:rsidRPr="007008FB" w14:paraId="2A7E4B9F" w14:textId="77777777" w:rsidTr="00F610A8">
        <w:tc>
          <w:tcPr>
            <w:tcW w:w="1696" w:type="pct"/>
            <w:shd w:val="clear" w:color="auto" w:fill="D9D9D9" w:themeFill="background1" w:themeFillShade="D9"/>
          </w:tcPr>
          <w:p w14:paraId="6F151002" w14:textId="77777777" w:rsidR="00037E8B" w:rsidRPr="007008FB" w:rsidRDefault="00037E8B" w:rsidP="00F610A8">
            <w:pPr>
              <w:spacing w:after="0" w:line="240" w:lineRule="auto"/>
              <w:rPr>
                <w:b/>
                <w:sz w:val="18"/>
                <w:szCs w:val="18"/>
              </w:rPr>
            </w:pPr>
            <w:r w:rsidRPr="007008FB">
              <w:rPr>
                <w:b/>
                <w:sz w:val="18"/>
                <w:szCs w:val="18"/>
              </w:rPr>
              <w:t xml:space="preserve">Horticulture </w:t>
            </w:r>
          </w:p>
        </w:tc>
        <w:tc>
          <w:tcPr>
            <w:tcW w:w="618" w:type="pct"/>
            <w:shd w:val="clear" w:color="auto" w:fill="F2F2F2" w:themeFill="background1" w:themeFillShade="F2"/>
          </w:tcPr>
          <w:p w14:paraId="16141297"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1B19FA0F"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4E9AC4B3"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2278EA29" w14:textId="77777777" w:rsidR="00037E8B" w:rsidRPr="007008FB" w:rsidRDefault="00037E8B" w:rsidP="00F610A8">
            <w:pPr>
              <w:spacing w:after="0" w:line="240" w:lineRule="auto"/>
              <w:jc w:val="center"/>
              <w:rPr>
                <w:sz w:val="18"/>
                <w:szCs w:val="18"/>
              </w:rPr>
            </w:pPr>
            <w:r w:rsidRPr="007008FB">
              <w:rPr>
                <w:sz w:val="18"/>
                <w:szCs w:val="18"/>
              </w:rPr>
              <w:t>2 (L2,4)</w:t>
            </w:r>
          </w:p>
        </w:tc>
        <w:tc>
          <w:tcPr>
            <w:tcW w:w="679" w:type="pct"/>
            <w:shd w:val="clear" w:color="auto" w:fill="F2F2F2" w:themeFill="background1" w:themeFillShade="F2"/>
          </w:tcPr>
          <w:p w14:paraId="13BBE649" w14:textId="77777777" w:rsidR="00037E8B" w:rsidRPr="007008FB" w:rsidRDefault="00037E8B" w:rsidP="00F610A8">
            <w:pPr>
              <w:spacing w:after="0" w:line="240" w:lineRule="auto"/>
              <w:jc w:val="center"/>
              <w:rPr>
                <w:sz w:val="18"/>
                <w:szCs w:val="18"/>
              </w:rPr>
            </w:pPr>
          </w:p>
        </w:tc>
      </w:tr>
      <w:tr w:rsidR="00037E8B" w:rsidRPr="007008FB" w14:paraId="6BC19C6E" w14:textId="77777777" w:rsidTr="00F610A8">
        <w:tc>
          <w:tcPr>
            <w:tcW w:w="1696" w:type="pct"/>
            <w:shd w:val="clear" w:color="auto" w:fill="D9D9D9" w:themeFill="background1" w:themeFillShade="D9"/>
          </w:tcPr>
          <w:p w14:paraId="4A27E914" w14:textId="77777777" w:rsidR="00037E8B" w:rsidRPr="007008FB" w:rsidRDefault="00037E8B" w:rsidP="00F610A8">
            <w:pPr>
              <w:spacing w:after="0" w:line="240" w:lineRule="auto"/>
              <w:rPr>
                <w:b/>
                <w:sz w:val="18"/>
                <w:szCs w:val="18"/>
              </w:rPr>
            </w:pPr>
            <w:r w:rsidRPr="007008FB">
              <w:rPr>
                <w:b/>
                <w:sz w:val="18"/>
                <w:szCs w:val="18"/>
              </w:rPr>
              <w:t>Information Technology</w:t>
            </w:r>
          </w:p>
        </w:tc>
        <w:tc>
          <w:tcPr>
            <w:tcW w:w="618" w:type="pct"/>
            <w:shd w:val="clear" w:color="auto" w:fill="F2F2F2" w:themeFill="background1" w:themeFillShade="F2"/>
          </w:tcPr>
          <w:p w14:paraId="782587B1"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52D392ED"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19B8713B" w14:textId="77777777" w:rsidR="00037E8B" w:rsidRPr="007008FB" w:rsidRDefault="00037E8B" w:rsidP="00F610A8">
            <w:pPr>
              <w:spacing w:after="0" w:line="240" w:lineRule="auto"/>
              <w:jc w:val="center"/>
              <w:rPr>
                <w:sz w:val="18"/>
                <w:szCs w:val="18"/>
              </w:rPr>
            </w:pPr>
            <w:r w:rsidRPr="007008FB">
              <w:rPr>
                <w:sz w:val="18"/>
                <w:szCs w:val="18"/>
              </w:rPr>
              <w:t>3</w:t>
            </w:r>
          </w:p>
        </w:tc>
        <w:tc>
          <w:tcPr>
            <w:tcW w:w="617" w:type="pct"/>
            <w:shd w:val="clear" w:color="auto" w:fill="FFFFFF" w:themeFill="background1"/>
          </w:tcPr>
          <w:p w14:paraId="53DCA3D2"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5285A2C1" w14:textId="77777777" w:rsidR="00037E8B" w:rsidRPr="007008FB" w:rsidRDefault="00037E8B" w:rsidP="00F610A8">
            <w:pPr>
              <w:spacing w:after="0" w:line="240" w:lineRule="auto"/>
              <w:jc w:val="center"/>
              <w:rPr>
                <w:sz w:val="18"/>
                <w:szCs w:val="18"/>
              </w:rPr>
            </w:pPr>
            <w:r w:rsidRPr="007008FB">
              <w:rPr>
                <w:sz w:val="18"/>
                <w:szCs w:val="18"/>
              </w:rPr>
              <w:t>2 (L5,6)</w:t>
            </w:r>
          </w:p>
        </w:tc>
      </w:tr>
      <w:tr w:rsidR="00037E8B" w:rsidRPr="007008FB" w14:paraId="0654F351" w14:textId="77777777" w:rsidTr="00F610A8">
        <w:tc>
          <w:tcPr>
            <w:tcW w:w="1696" w:type="pct"/>
            <w:shd w:val="clear" w:color="auto" w:fill="D9D9D9" w:themeFill="background1" w:themeFillShade="D9"/>
          </w:tcPr>
          <w:p w14:paraId="7D9B0B63" w14:textId="77777777" w:rsidR="00037E8B" w:rsidRPr="007008FB" w:rsidRDefault="00037E8B" w:rsidP="00F610A8">
            <w:pPr>
              <w:spacing w:after="0" w:line="240" w:lineRule="auto"/>
              <w:rPr>
                <w:b/>
                <w:sz w:val="18"/>
                <w:szCs w:val="18"/>
              </w:rPr>
            </w:pPr>
            <w:r w:rsidRPr="007008FB">
              <w:rPr>
                <w:b/>
                <w:sz w:val="18"/>
                <w:szCs w:val="18"/>
              </w:rPr>
              <w:t>Marine Engineering</w:t>
            </w:r>
          </w:p>
        </w:tc>
        <w:tc>
          <w:tcPr>
            <w:tcW w:w="618" w:type="pct"/>
            <w:shd w:val="clear" w:color="auto" w:fill="F2F2F2" w:themeFill="background1" w:themeFillShade="F2"/>
          </w:tcPr>
          <w:p w14:paraId="4010D6AB"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610821C8" w14:textId="77777777" w:rsidR="00037E8B" w:rsidRPr="007008FB" w:rsidRDefault="00037E8B" w:rsidP="00F610A8">
            <w:pPr>
              <w:spacing w:after="0" w:line="240" w:lineRule="auto"/>
              <w:jc w:val="center"/>
              <w:rPr>
                <w:sz w:val="18"/>
                <w:szCs w:val="18"/>
              </w:rPr>
            </w:pPr>
            <w:r w:rsidRPr="007008FB">
              <w:rPr>
                <w:sz w:val="18"/>
                <w:szCs w:val="18"/>
              </w:rPr>
              <w:t>1 (L5)</w:t>
            </w:r>
          </w:p>
        </w:tc>
        <w:tc>
          <w:tcPr>
            <w:tcW w:w="618" w:type="pct"/>
            <w:shd w:val="clear" w:color="auto" w:fill="F2F2F2" w:themeFill="background1" w:themeFillShade="F2"/>
          </w:tcPr>
          <w:p w14:paraId="1004D053"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23B8AB63"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7E93C762" w14:textId="77777777" w:rsidR="00037E8B" w:rsidRPr="007008FB" w:rsidRDefault="00037E8B" w:rsidP="00F610A8">
            <w:pPr>
              <w:spacing w:after="0" w:line="240" w:lineRule="auto"/>
              <w:jc w:val="center"/>
              <w:rPr>
                <w:sz w:val="18"/>
                <w:szCs w:val="18"/>
              </w:rPr>
            </w:pPr>
          </w:p>
        </w:tc>
      </w:tr>
      <w:tr w:rsidR="00037E8B" w:rsidRPr="007008FB" w14:paraId="26466605" w14:textId="77777777" w:rsidTr="00F610A8">
        <w:tc>
          <w:tcPr>
            <w:tcW w:w="1696" w:type="pct"/>
            <w:shd w:val="clear" w:color="auto" w:fill="D9D9D9" w:themeFill="background1" w:themeFillShade="D9"/>
          </w:tcPr>
          <w:p w14:paraId="04070F85" w14:textId="77777777" w:rsidR="00037E8B" w:rsidRPr="007008FB" w:rsidRDefault="00037E8B" w:rsidP="00F610A8">
            <w:pPr>
              <w:spacing w:after="0" w:line="240" w:lineRule="auto"/>
              <w:rPr>
                <w:b/>
                <w:sz w:val="18"/>
                <w:szCs w:val="18"/>
              </w:rPr>
            </w:pPr>
            <w:r w:rsidRPr="007008FB">
              <w:rPr>
                <w:b/>
                <w:sz w:val="18"/>
                <w:szCs w:val="18"/>
              </w:rPr>
              <w:t>Maritime</w:t>
            </w:r>
          </w:p>
        </w:tc>
        <w:tc>
          <w:tcPr>
            <w:tcW w:w="618" w:type="pct"/>
            <w:shd w:val="clear" w:color="auto" w:fill="F2F2F2" w:themeFill="background1" w:themeFillShade="F2"/>
          </w:tcPr>
          <w:p w14:paraId="1DEB116C"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5E08273C"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79D6222D"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26EA2271"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7F3819E5" w14:textId="77777777" w:rsidR="00037E8B" w:rsidRPr="007008FB" w:rsidRDefault="00037E8B" w:rsidP="00F610A8">
            <w:pPr>
              <w:spacing w:after="0" w:line="240" w:lineRule="auto"/>
              <w:jc w:val="center"/>
              <w:rPr>
                <w:sz w:val="18"/>
                <w:szCs w:val="18"/>
              </w:rPr>
            </w:pPr>
          </w:p>
        </w:tc>
      </w:tr>
      <w:tr w:rsidR="00037E8B" w:rsidRPr="007008FB" w14:paraId="265F056C" w14:textId="77777777" w:rsidTr="00F610A8">
        <w:tc>
          <w:tcPr>
            <w:tcW w:w="1696" w:type="pct"/>
            <w:shd w:val="clear" w:color="auto" w:fill="D9D9D9" w:themeFill="background1" w:themeFillShade="D9"/>
          </w:tcPr>
          <w:p w14:paraId="75C4A328" w14:textId="77777777" w:rsidR="00037E8B" w:rsidRPr="007008FB" w:rsidRDefault="00037E8B" w:rsidP="00F610A8">
            <w:pPr>
              <w:spacing w:after="0" w:line="240" w:lineRule="auto"/>
              <w:rPr>
                <w:b/>
                <w:sz w:val="18"/>
                <w:szCs w:val="18"/>
              </w:rPr>
            </w:pPr>
            <w:r w:rsidRPr="007008FB">
              <w:rPr>
                <w:b/>
                <w:sz w:val="18"/>
                <w:szCs w:val="18"/>
              </w:rPr>
              <w:t>Mobile Plant</w:t>
            </w:r>
          </w:p>
        </w:tc>
        <w:tc>
          <w:tcPr>
            <w:tcW w:w="618" w:type="pct"/>
            <w:shd w:val="clear" w:color="auto" w:fill="F2F2F2" w:themeFill="background1" w:themeFillShade="F2"/>
          </w:tcPr>
          <w:p w14:paraId="13B43177"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02DA667F"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0F9AB576"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3D302080"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7A5B948E" w14:textId="77777777" w:rsidR="00037E8B" w:rsidRPr="007008FB" w:rsidRDefault="00037E8B" w:rsidP="00F610A8">
            <w:pPr>
              <w:spacing w:after="0" w:line="240" w:lineRule="auto"/>
              <w:jc w:val="center"/>
              <w:rPr>
                <w:sz w:val="18"/>
                <w:szCs w:val="18"/>
              </w:rPr>
            </w:pPr>
          </w:p>
        </w:tc>
      </w:tr>
      <w:tr w:rsidR="00037E8B" w:rsidRPr="007008FB" w14:paraId="1D5490D3" w14:textId="77777777" w:rsidTr="00F610A8">
        <w:tc>
          <w:tcPr>
            <w:tcW w:w="1696" w:type="pct"/>
            <w:shd w:val="clear" w:color="auto" w:fill="D9D9D9" w:themeFill="background1" w:themeFillShade="D9"/>
          </w:tcPr>
          <w:p w14:paraId="265FC133" w14:textId="77777777" w:rsidR="00037E8B" w:rsidRPr="007008FB" w:rsidRDefault="00037E8B" w:rsidP="00F610A8">
            <w:pPr>
              <w:spacing w:after="0" w:line="240" w:lineRule="auto"/>
              <w:rPr>
                <w:b/>
                <w:sz w:val="18"/>
                <w:szCs w:val="18"/>
              </w:rPr>
            </w:pPr>
            <w:r w:rsidRPr="007008FB">
              <w:rPr>
                <w:b/>
                <w:sz w:val="18"/>
                <w:szCs w:val="18"/>
              </w:rPr>
              <w:t>Navigation &amp; Seamanship</w:t>
            </w:r>
          </w:p>
        </w:tc>
        <w:tc>
          <w:tcPr>
            <w:tcW w:w="618" w:type="pct"/>
            <w:shd w:val="clear" w:color="auto" w:fill="F2F2F2" w:themeFill="background1" w:themeFillShade="F2"/>
          </w:tcPr>
          <w:p w14:paraId="42838783"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4AF27917"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531C52A7"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09BAEB5"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6F8A07A7" w14:textId="77777777" w:rsidR="00037E8B" w:rsidRPr="007008FB" w:rsidRDefault="00037E8B" w:rsidP="00F610A8">
            <w:pPr>
              <w:spacing w:after="0" w:line="240" w:lineRule="auto"/>
              <w:jc w:val="center"/>
              <w:rPr>
                <w:sz w:val="18"/>
                <w:szCs w:val="18"/>
              </w:rPr>
            </w:pPr>
          </w:p>
        </w:tc>
      </w:tr>
      <w:tr w:rsidR="00037E8B" w:rsidRPr="007008FB" w14:paraId="6F6528FE" w14:textId="77777777" w:rsidTr="00F610A8">
        <w:tc>
          <w:tcPr>
            <w:tcW w:w="1696" w:type="pct"/>
            <w:shd w:val="clear" w:color="auto" w:fill="D9D9D9" w:themeFill="background1" w:themeFillShade="D9"/>
          </w:tcPr>
          <w:p w14:paraId="5044B71B" w14:textId="77777777" w:rsidR="00037E8B" w:rsidRPr="007008FB" w:rsidRDefault="00037E8B" w:rsidP="00F610A8">
            <w:pPr>
              <w:spacing w:after="0" w:line="240" w:lineRule="auto"/>
              <w:rPr>
                <w:b/>
                <w:sz w:val="18"/>
                <w:szCs w:val="18"/>
              </w:rPr>
            </w:pPr>
            <w:r w:rsidRPr="007008FB">
              <w:rPr>
                <w:b/>
                <w:sz w:val="18"/>
                <w:szCs w:val="18"/>
              </w:rPr>
              <w:t>Office Administration</w:t>
            </w:r>
          </w:p>
        </w:tc>
        <w:tc>
          <w:tcPr>
            <w:tcW w:w="618" w:type="pct"/>
            <w:shd w:val="clear" w:color="auto" w:fill="F2F2F2" w:themeFill="background1" w:themeFillShade="F2"/>
          </w:tcPr>
          <w:p w14:paraId="77317972"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400D072C"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4ED8E718" w14:textId="77777777" w:rsidR="00037E8B" w:rsidRPr="007008FB" w:rsidRDefault="00037E8B" w:rsidP="00F610A8">
            <w:pPr>
              <w:spacing w:after="0" w:line="240" w:lineRule="auto"/>
              <w:jc w:val="center"/>
              <w:rPr>
                <w:sz w:val="18"/>
                <w:szCs w:val="18"/>
              </w:rPr>
            </w:pPr>
            <w:r w:rsidRPr="007008FB">
              <w:rPr>
                <w:sz w:val="18"/>
                <w:szCs w:val="18"/>
              </w:rPr>
              <w:t>3</w:t>
            </w:r>
          </w:p>
        </w:tc>
        <w:tc>
          <w:tcPr>
            <w:tcW w:w="617" w:type="pct"/>
            <w:shd w:val="clear" w:color="auto" w:fill="FFFFFF" w:themeFill="background1"/>
          </w:tcPr>
          <w:p w14:paraId="722661D3" w14:textId="77777777" w:rsidR="00037E8B" w:rsidRPr="007008FB" w:rsidRDefault="00037E8B" w:rsidP="00F610A8">
            <w:pPr>
              <w:spacing w:after="0" w:line="240" w:lineRule="auto"/>
              <w:jc w:val="center"/>
              <w:rPr>
                <w:sz w:val="18"/>
                <w:szCs w:val="18"/>
              </w:rPr>
            </w:pPr>
            <w:r w:rsidRPr="007008FB">
              <w:rPr>
                <w:sz w:val="18"/>
                <w:szCs w:val="18"/>
              </w:rPr>
              <w:t>2 (L2,3)</w:t>
            </w:r>
          </w:p>
        </w:tc>
        <w:tc>
          <w:tcPr>
            <w:tcW w:w="679" w:type="pct"/>
            <w:shd w:val="clear" w:color="auto" w:fill="F2F2F2" w:themeFill="background1" w:themeFillShade="F2"/>
          </w:tcPr>
          <w:p w14:paraId="4583E140" w14:textId="77777777" w:rsidR="00037E8B" w:rsidRPr="007008FB" w:rsidRDefault="00037E8B" w:rsidP="00F610A8">
            <w:pPr>
              <w:spacing w:after="0" w:line="240" w:lineRule="auto"/>
              <w:jc w:val="center"/>
              <w:rPr>
                <w:sz w:val="18"/>
                <w:szCs w:val="18"/>
              </w:rPr>
            </w:pPr>
            <w:r w:rsidRPr="007008FB">
              <w:rPr>
                <w:sz w:val="18"/>
                <w:szCs w:val="18"/>
              </w:rPr>
              <w:t>1 (L3)</w:t>
            </w:r>
          </w:p>
        </w:tc>
      </w:tr>
      <w:tr w:rsidR="00037E8B" w:rsidRPr="007008FB" w14:paraId="1198A556" w14:textId="77777777" w:rsidTr="00F610A8">
        <w:tc>
          <w:tcPr>
            <w:tcW w:w="1696" w:type="pct"/>
            <w:shd w:val="clear" w:color="auto" w:fill="D9D9D9" w:themeFill="background1" w:themeFillShade="D9"/>
          </w:tcPr>
          <w:p w14:paraId="16E282D3" w14:textId="77777777" w:rsidR="00037E8B" w:rsidRPr="007008FB" w:rsidRDefault="00037E8B" w:rsidP="00F610A8">
            <w:pPr>
              <w:spacing w:after="0" w:line="240" w:lineRule="auto"/>
              <w:rPr>
                <w:b/>
                <w:sz w:val="18"/>
                <w:szCs w:val="18"/>
              </w:rPr>
            </w:pPr>
            <w:r w:rsidRPr="007008FB">
              <w:rPr>
                <w:b/>
                <w:sz w:val="18"/>
                <w:szCs w:val="18"/>
              </w:rPr>
              <w:t xml:space="preserve">Panel Beating &amp; Spray Painting </w:t>
            </w:r>
          </w:p>
        </w:tc>
        <w:tc>
          <w:tcPr>
            <w:tcW w:w="618" w:type="pct"/>
            <w:shd w:val="clear" w:color="auto" w:fill="F2F2F2" w:themeFill="background1" w:themeFillShade="F2"/>
          </w:tcPr>
          <w:p w14:paraId="0AC19785"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3FDE8C01"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57ADCF2A"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41F15F11"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63D8DCBA" w14:textId="77777777" w:rsidR="00037E8B" w:rsidRPr="007008FB" w:rsidRDefault="00037E8B" w:rsidP="00F610A8">
            <w:pPr>
              <w:spacing w:after="0" w:line="240" w:lineRule="auto"/>
              <w:jc w:val="center"/>
              <w:rPr>
                <w:sz w:val="18"/>
                <w:szCs w:val="18"/>
              </w:rPr>
            </w:pPr>
          </w:p>
        </w:tc>
      </w:tr>
      <w:tr w:rsidR="00037E8B" w:rsidRPr="007008FB" w14:paraId="20F17919" w14:textId="77777777" w:rsidTr="00F610A8">
        <w:tc>
          <w:tcPr>
            <w:tcW w:w="1696" w:type="pct"/>
            <w:shd w:val="clear" w:color="auto" w:fill="D9D9D9" w:themeFill="background1" w:themeFillShade="D9"/>
          </w:tcPr>
          <w:p w14:paraId="280B9EF3" w14:textId="77777777" w:rsidR="00037E8B" w:rsidRPr="007008FB" w:rsidRDefault="00037E8B" w:rsidP="00F610A8">
            <w:pPr>
              <w:spacing w:after="0" w:line="240" w:lineRule="auto"/>
              <w:rPr>
                <w:b/>
                <w:sz w:val="18"/>
                <w:szCs w:val="18"/>
              </w:rPr>
            </w:pPr>
            <w:r w:rsidRPr="007008FB">
              <w:rPr>
                <w:b/>
                <w:sz w:val="18"/>
                <w:szCs w:val="18"/>
              </w:rPr>
              <w:t>Plumbing</w:t>
            </w:r>
          </w:p>
        </w:tc>
        <w:tc>
          <w:tcPr>
            <w:tcW w:w="618" w:type="pct"/>
            <w:shd w:val="clear" w:color="auto" w:fill="F2F2F2" w:themeFill="background1" w:themeFillShade="F2"/>
          </w:tcPr>
          <w:p w14:paraId="60DD876C" w14:textId="77777777" w:rsidR="00037E8B" w:rsidRPr="007008FB" w:rsidRDefault="00037E8B" w:rsidP="00F610A8">
            <w:pPr>
              <w:spacing w:after="0" w:line="240" w:lineRule="auto"/>
              <w:jc w:val="center"/>
              <w:rPr>
                <w:sz w:val="18"/>
                <w:szCs w:val="18"/>
              </w:rPr>
            </w:pPr>
            <w:r w:rsidRPr="007008FB">
              <w:rPr>
                <w:sz w:val="18"/>
                <w:szCs w:val="18"/>
              </w:rPr>
              <w:t>1 (L3)</w:t>
            </w:r>
          </w:p>
        </w:tc>
        <w:tc>
          <w:tcPr>
            <w:tcW w:w="772" w:type="pct"/>
            <w:shd w:val="clear" w:color="auto" w:fill="FFFFFF" w:themeFill="background1"/>
          </w:tcPr>
          <w:p w14:paraId="2DA12E73" w14:textId="77777777" w:rsidR="00037E8B" w:rsidRPr="007008FB" w:rsidRDefault="00037E8B" w:rsidP="00F610A8">
            <w:pPr>
              <w:spacing w:after="0" w:line="240" w:lineRule="auto"/>
              <w:jc w:val="center"/>
              <w:rPr>
                <w:sz w:val="18"/>
                <w:szCs w:val="18"/>
              </w:rPr>
            </w:pPr>
            <w:r w:rsidRPr="007008FB">
              <w:rPr>
                <w:sz w:val="18"/>
                <w:szCs w:val="18"/>
              </w:rPr>
              <w:t>2 (L4)</w:t>
            </w:r>
          </w:p>
        </w:tc>
        <w:tc>
          <w:tcPr>
            <w:tcW w:w="618" w:type="pct"/>
            <w:shd w:val="clear" w:color="auto" w:fill="F2F2F2" w:themeFill="background1" w:themeFillShade="F2"/>
          </w:tcPr>
          <w:p w14:paraId="1B7FC10E"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F1DF04F" w14:textId="77777777" w:rsidR="00037E8B" w:rsidRPr="007008FB" w:rsidRDefault="00037E8B" w:rsidP="00F610A8">
            <w:pPr>
              <w:spacing w:after="0" w:line="240" w:lineRule="auto"/>
              <w:jc w:val="center"/>
              <w:rPr>
                <w:sz w:val="18"/>
                <w:szCs w:val="18"/>
              </w:rPr>
            </w:pPr>
            <w:r w:rsidRPr="007008FB">
              <w:rPr>
                <w:sz w:val="18"/>
                <w:szCs w:val="18"/>
              </w:rPr>
              <w:t>3 (L2,3,4)</w:t>
            </w:r>
          </w:p>
        </w:tc>
        <w:tc>
          <w:tcPr>
            <w:tcW w:w="679" w:type="pct"/>
            <w:shd w:val="clear" w:color="auto" w:fill="F2F2F2" w:themeFill="background1" w:themeFillShade="F2"/>
          </w:tcPr>
          <w:p w14:paraId="0A98BF59" w14:textId="77777777" w:rsidR="00037E8B" w:rsidRPr="007008FB" w:rsidRDefault="00037E8B" w:rsidP="00F610A8">
            <w:pPr>
              <w:spacing w:after="0" w:line="240" w:lineRule="auto"/>
              <w:jc w:val="center"/>
              <w:rPr>
                <w:sz w:val="18"/>
                <w:szCs w:val="18"/>
              </w:rPr>
            </w:pPr>
          </w:p>
        </w:tc>
      </w:tr>
      <w:tr w:rsidR="00037E8B" w:rsidRPr="007008FB" w14:paraId="32DCC2C7" w14:textId="77777777" w:rsidTr="00F610A8">
        <w:tc>
          <w:tcPr>
            <w:tcW w:w="1696" w:type="pct"/>
            <w:shd w:val="clear" w:color="auto" w:fill="D9D9D9" w:themeFill="background1" w:themeFillShade="D9"/>
          </w:tcPr>
          <w:p w14:paraId="6ABF7DA9" w14:textId="77777777" w:rsidR="00037E8B" w:rsidRPr="007008FB" w:rsidRDefault="00037E8B" w:rsidP="00F610A8">
            <w:pPr>
              <w:spacing w:after="0" w:line="240" w:lineRule="auto"/>
              <w:rPr>
                <w:b/>
                <w:sz w:val="18"/>
                <w:szCs w:val="18"/>
              </w:rPr>
            </w:pPr>
            <w:r w:rsidRPr="007008FB">
              <w:rPr>
                <w:b/>
                <w:sz w:val="18"/>
                <w:szCs w:val="18"/>
              </w:rPr>
              <w:t xml:space="preserve">Printery </w:t>
            </w:r>
          </w:p>
        </w:tc>
        <w:tc>
          <w:tcPr>
            <w:tcW w:w="618" w:type="pct"/>
            <w:shd w:val="clear" w:color="auto" w:fill="F2F2F2" w:themeFill="background1" w:themeFillShade="F2"/>
          </w:tcPr>
          <w:p w14:paraId="4F44A478"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176674E6"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509F6535"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DFA914D"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60A4F1CA" w14:textId="77777777" w:rsidR="00037E8B" w:rsidRPr="007008FB" w:rsidRDefault="00037E8B" w:rsidP="00F610A8">
            <w:pPr>
              <w:spacing w:after="0" w:line="240" w:lineRule="auto"/>
              <w:jc w:val="center"/>
              <w:rPr>
                <w:sz w:val="18"/>
                <w:szCs w:val="18"/>
              </w:rPr>
            </w:pPr>
          </w:p>
        </w:tc>
      </w:tr>
      <w:tr w:rsidR="00037E8B" w:rsidRPr="007008FB" w14:paraId="216A8724" w14:textId="77777777" w:rsidTr="00F610A8">
        <w:tc>
          <w:tcPr>
            <w:tcW w:w="1696" w:type="pct"/>
            <w:shd w:val="clear" w:color="auto" w:fill="D9D9D9" w:themeFill="background1" w:themeFillShade="D9"/>
          </w:tcPr>
          <w:p w14:paraId="5A291173" w14:textId="77777777" w:rsidR="00037E8B" w:rsidRPr="007008FB" w:rsidRDefault="00037E8B" w:rsidP="00F610A8">
            <w:pPr>
              <w:spacing w:after="0" w:line="240" w:lineRule="auto"/>
              <w:rPr>
                <w:b/>
                <w:sz w:val="18"/>
                <w:szCs w:val="18"/>
              </w:rPr>
            </w:pPr>
            <w:r w:rsidRPr="007008FB">
              <w:rPr>
                <w:b/>
                <w:sz w:val="18"/>
                <w:szCs w:val="18"/>
              </w:rPr>
              <w:t>Saw Doctoring</w:t>
            </w:r>
          </w:p>
        </w:tc>
        <w:tc>
          <w:tcPr>
            <w:tcW w:w="618" w:type="pct"/>
            <w:shd w:val="clear" w:color="auto" w:fill="F2F2F2" w:themeFill="background1" w:themeFillShade="F2"/>
          </w:tcPr>
          <w:p w14:paraId="748F5BB7"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3ABE6DBF" w14:textId="77777777" w:rsidR="00037E8B" w:rsidRPr="007008FB" w:rsidRDefault="00037E8B" w:rsidP="00F610A8">
            <w:pPr>
              <w:spacing w:after="0" w:line="240" w:lineRule="auto"/>
              <w:jc w:val="center"/>
              <w:rPr>
                <w:sz w:val="18"/>
                <w:szCs w:val="18"/>
              </w:rPr>
            </w:pPr>
            <w:r w:rsidRPr="007008FB">
              <w:rPr>
                <w:sz w:val="18"/>
                <w:szCs w:val="18"/>
              </w:rPr>
              <w:t>1 (L4)</w:t>
            </w:r>
          </w:p>
        </w:tc>
        <w:tc>
          <w:tcPr>
            <w:tcW w:w="618" w:type="pct"/>
            <w:shd w:val="clear" w:color="auto" w:fill="F2F2F2" w:themeFill="background1" w:themeFillShade="F2"/>
          </w:tcPr>
          <w:p w14:paraId="36851260"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2A1ECC7C"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7A978231" w14:textId="77777777" w:rsidR="00037E8B" w:rsidRPr="007008FB" w:rsidRDefault="00037E8B" w:rsidP="00F610A8">
            <w:pPr>
              <w:spacing w:after="0" w:line="240" w:lineRule="auto"/>
              <w:jc w:val="center"/>
              <w:rPr>
                <w:sz w:val="18"/>
                <w:szCs w:val="18"/>
              </w:rPr>
            </w:pPr>
          </w:p>
        </w:tc>
      </w:tr>
      <w:tr w:rsidR="00037E8B" w:rsidRPr="007008FB" w14:paraId="168504F3" w14:textId="77777777" w:rsidTr="00F610A8">
        <w:tc>
          <w:tcPr>
            <w:tcW w:w="1696" w:type="pct"/>
            <w:shd w:val="clear" w:color="auto" w:fill="D9D9D9" w:themeFill="background1" w:themeFillShade="D9"/>
          </w:tcPr>
          <w:p w14:paraId="0ECF34F1" w14:textId="77777777" w:rsidR="00037E8B" w:rsidRPr="007008FB" w:rsidRDefault="00037E8B" w:rsidP="00F610A8">
            <w:pPr>
              <w:spacing w:after="0" w:line="240" w:lineRule="auto"/>
              <w:rPr>
                <w:b/>
                <w:sz w:val="18"/>
                <w:szCs w:val="18"/>
              </w:rPr>
            </w:pPr>
            <w:r w:rsidRPr="007008FB">
              <w:rPr>
                <w:b/>
                <w:sz w:val="18"/>
                <w:szCs w:val="18"/>
              </w:rPr>
              <w:t xml:space="preserve">Security </w:t>
            </w:r>
          </w:p>
        </w:tc>
        <w:tc>
          <w:tcPr>
            <w:tcW w:w="618" w:type="pct"/>
            <w:shd w:val="clear" w:color="auto" w:fill="F2F2F2" w:themeFill="background1" w:themeFillShade="F2"/>
          </w:tcPr>
          <w:p w14:paraId="3E2EB241"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20794401"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67328C6A"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1941A53D"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066CC9C3" w14:textId="77777777" w:rsidR="00037E8B" w:rsidRPr="007008FB" w:rsidRDefault="00037E8B" w:rsidP="00F610A8">
            <w:pPr>
              <w:spacing w:after="0" w:line="240" w:lineRule="auto"/>
              <w:jc w:val="center"/>
              <w:rPr>
                <w:sz w:val="18"/>
                <w:szCs w:val="18"/>
              </w:rPr>
            </w:pPr>
            <w:r w:rsidRPr="007008FB">
              <w:rPr>
                <w:sz w:val="18"/>
                <w:szCs w:val="18"/>
              </w:rPr>
              <w:t>2 (L5)</w:t>
            </w:r>
          </w:p>
        </w:tc>
      </w:tr>
      <w:tr w:rsidR="00037E8B" w:rsidRPr="007008FB" w14:paraId="2CDAF1E8" w14:textId="77777777" w:rsidTr="00F610A8">
        <w:tc>
          <w:tcPr>
            <w:tcW w:w="1696" w:type="pct"/>
            <w:shd w:val="clear" w:color="auto" w:fill="D9D9D9" w:themeFill="background1" w:themeFillShade="D9"/>
          </w:tcPr>
          <w:p w14:paraId="081BA038" w14:textId="77777777" w:rsidR="00037E8B" w:rsidRPr="007008FB" w:rsidRDefault="00037E8B" w:rsidP="00F610A8">
            <w:pPr>
              <w:spacing w:after="0" w:line="240" w:lineRule="auto"/>
              <w:rPr>
                <w:b/>
                <w:sz w:val="18"/>
                <w:szCs w:val="18"/>
              </w:rPr>
            </w:pPr>
            <w:r w:rsidRPr="007008FB">
              <w:rPr>
                <w:b/>
                <w:sz w:val="18"/>
                <w:szCs w:val="18"/>
              </w:rPr>
              <w:t xml:space="preserve">Social Services </w:t>
            </w:r>
          </w:p>
        </w:tc>
        <w:tc>
          <w:tcPr>
            <w:tcW w:w="618" w:type="pct"/>
            <w:shd w:val="clear" w:color="auto" w:fill="F2F2F2" w:themeFill="background1" w:themeFillShade="F2"/>
          </w:tcPr>
          <w:p w14:paraId="26DE31D4" w14:textId="77777777" w:rsidR="00037E8B" w:rsidRPr="007008FB" w:rsidRDefault="00037E8B" w:rsidP="00F610A8">
            <w:pPr>
              <w:spacing w:after="0" w:line="240" w:lineRule="auto"/>
              <w:jc w:val="center"/>
              <w:rPr>
                <w:sz w:val="18"/>
                <w:szCs w:val="18"/>
              </w:rPr>
            </w:pPr>
            <w:r w:rsidRPr="007008FB">
              <w:rPr>
                <w:sz w:val="18"/>
                <w:szCs w:val="18"/>
              </w:rPr>
              <w:t>4 (L3,4)</w:t>
            </w:r>
          </w:p>
        </w:tc>
        <w:tc>
          <w:tcPr>
            <w:tcW w:w="772" w:type="pct"/>
            <w:shd w:val="clear" w:color="auto" w:fill="FFFFFF" w:themeFill="background1"/>
          </w:tcPr>
          <w:p w14:paraId="352A4F4F"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33315381"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065D527C"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453211A0" w14:textId="77777777" w:rsidR="00037E8B" w:rsidRPr="007008FB" w:rsidRDefault="00037E8B" w:rsidP="00F610A8">
            <w:pPr>
              <w:spacing w:after="0" w:line="240" w:lineRule="auto"/>
              <w:jc w:val="center"/>
              <w:rPr>
                <w:sz w:val="18"/>
                <w:szCs w:val="18"/>
              </w:rPr>
            </w:pPr>
          </w:p>
        </w:tc>
      </w:tr>
      <w:tr w:rsidR="00037E8B" w:rsidRPr="007008FB" w14:paraId="3864B520" w14:textId="77777777" w:rsidTr="00F610A8">
        <w:tc>
          <w:tcPr>
            <w:tcW w:w="1696" w:type="pct"/>
            <w:shd w:val="clear" w:color="auto" w:fill="D9D9D9" w:themeFill="background1" w:themeFillShade="D9"/>
          </w:tcPr>
          <w:p w14:paraId="667F0F65" w14:textId="77777777" w:rsidR="00037E8B" w:rsidRPr="007008FB" w:rsidRDefault="00037E8B" w:rsidP="00F610A8">
            <w:pPr>
              <w:spacing w:after="0" w:line="240" w:lineRule="auto"/>
              <w:rPr>
                <w:b/>
                <w:sz w:val="18"/>
                <w:szCs w:val="18"/>
              </w:rPr>
            </w:pPr>
            <w:r w:rsidRPr="007008FB">
              <w:rPr>
                <w:b/>
                <w:sz w:val="18"/>
                <w:szCs w:val="18"/>
              </w:rPr>
              <w:t xml:space="preserve">Tourism &amp; Hospitality </w:t>
            </w:r>
          </w:p>
        </w:tc>
        <w:tc>
          <w:tcPr>
            <w:tcW w:w="618" w:type="pct"/>
            <w:shd w:val="clear" w:color="auto" w:fill="F2F2F2" w:themeFill="background1" w:themeFillShade="F2"/>
          </w:tcPr>
          <w:p w14:paraId="337E85C9" w14:textId="77777777" w:rsidR="00037E8B" w:rsidRPr="007008FB" w:rsidRDefault="00037E8B" w:rsidP="00F610A8">
            <w:pPr>
              <w:spacing w:after="0" w:line="240" w:lineRule="auto"/>
              <w:jc w:val="center"/>
              <w:rPr>
                <w:sz w:val="18"/>
                <w:szCs w:val="18"/>
              </w:rPr>
            </w:pPr>
            <w:r w:rsidRPr="007008FB">
              <w:rPr>
                <w:sz w:val="18"/>
                <w:szCs w:val="18"/>
              </w:rPr>
              <w:t>2 (L3)</w:t>
            </w:r>
          </w:p>
        </w:tc>
        <w:tc>
          <w:tcPr>
            <w:tcW w:w="772" w:type="pct"/>
            <w:shd w:val="clear" w:color="auto" w:fill="FFFFFF" w:themeFill="background1"/>
          </w:tcPr>
          <w:p w14:paraId="17DF3FAC"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6A9A602E"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3F68B57A" w14:textId="77777777" w:rsidR="00037E8B" w:rsidRPr="007008FB" w:rsidRDefault="00037E8B" w:rsidP="00F610A8">
            <w:pPr>
              <w:spacing w:after="0" w:line="240" w:lineRule="auto"/>
              <w:jc w:val="center"/>
              <w:rPr>
                <w:sz w:val="18"/>
                <w:szCs w:val="18"/>
              </w:rPr>
            </w:pPr>
            <w:r w:rsidRPr="007008FB">
              <w:rPr>
                <w:sz w:val="18"/>
                <w:szCs w:val="18"/>
              </w:rPr>
              <w:t>5 (L2,3,4)</w:t>
            </w:r>
          </w:p>
        </w:tc>
        <w:tc>
          <w:tcPr>
            <w:tcW w:w="679" w:type="pct"/>
            <w:shd w:val="clear" w:color="auto" w:fill="F2F2F2" w:themeFill="background1" w:themeFillShade="F2"/>
          </w:tcPr>
          <w:p w14:paraId="2F06F152" w14:textId="77777777" w:rsidR="00037E8B" w:rsidRPr="007008FB" w:rsidRDefault="00037E8B" w:rsidP="00F610A8">
            <w:pPr>
              <w:spacing w:after="0" w:line="240" w:lineRule="auto"/>
              <w:jc w:val="center"/>
              <w:rPr>
                <w:sz w:val="18"/>
                <w:szCs w:val="18"/>
              </w:rPr>
            </w:pPr>
            <w:r w:rsidRPr="007008FB">
              <w:rPr>
                <w:sz w:val="18"/>
                <w:szCs w:val="18"/>
              </w:rPr>
              <w:t>2 (L4)</w:t>
            </w:r>
          </w:p>
        </w:tc>
      </w:tr>
      <w:tr w:rsidR="00037E8B" w:rsidRPr="007008FB" w14:paraId="3F98AD36" w14:textId="77777777" w:rsidTr="00F610A8">
        <w:tc>
          <w:tcPr>
            <w:tcW w:w="1696" w:type="pct"/>
            <w:shd w:val="clear" w:color="auto" w:fill="D9D9D9" w:themeFill="background1" w:themeFillShade="D9"/>
          </w:tcPr>
          <w:p w14:paraId="0A855A67" w14:textId="77777777" w:rsidR="00037E8B" w:rsidRPr="007008FB" w:rsidRDefault="00037E8B" w:rsidP="00F610A8">
            <w:pPr>
              <w:spacing w:after="0" w:line="240" w:lineRule="auto"/>
              <w:rPr>
                <w:b/>
                <w:sz w:val="18"/>
                <w:szCs w:val="18"/>
              </w:rPr>
            </w:pPr>
            <w:r w:rsidRPr="007008FB">
              <w:rPr>
                <w:b/>
                <w:sz w:val="18"/>
                <w:szCs w:val="18"/>
              </w:rPr>
              <w:t>Trade Foundation Skills</w:t>
            </w:r>
          </w:p>
        </w:tc>
        <w:tc>
          <w:tcPr>
            <w:tcW w:w="618" w:type="pct"/>
            <w:shd w:val="clear" w:color="auto" w:fill="F2F2F2" w:themeFill="background1" w:themeFillShade="F2"/>
          </w:tcPr>
          <w:p w14:paraId="38E9E9B9"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00B842EA"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37EBC348" w14:textId="77777777" w:rsidR="00037E8B" w:rsidRPr="007008FB" w:rsidRDefault="00037E8B" w:rsidP="00F610A8">
            <w:pPr>
              <w:spacing w:after="0" w:line="240" w:lineRule="auto"/>
              <w:jc w:val="center"/>
              <w:rPr>
                <w:sz w:val="18"/>
                <w:szCs w:val="18"/>
              </w:rPr>
            </w:pPr>
          </w:p>
        </w:tc>
        <w:tc>
          <w:tcPr>
            <w:tcW w:w="617" w:type="pct"/>
            <w:shd w:val="clear" w:color="auto" w:fill="FFFFFF" w:themeFill="background1"/>
          </w:tcPr>
          <w:p w14:paraId="6AAF6471" w14:textId="77777777" w:rsidR="00037E8B" w:rsidRPr="007008FB" w:rsidRDefault="00037E8B" w:rsidP="00F610A8">
            <w:pPr>
              <w:spacing w:after="0" w:line="240" w:lineRule="auto"/>
              <w:jc w:val="center"/>
              <w:rPr>
                <w:sz w:val="18"/>
                <w:szCs w:val="18"/>
              </w:rPr>
            </w:pPr>
            <w:r w:rsidRPr="007008FB">
              <w:rPr>
                <w:sz w:val="18"/>
                <w:szCs w:val="18"/>
              </w:rPr>
              <w:t>1 (L1)</w:t>
            </w:r>
          </w:p>
        </w:tc>
        <w:tc>
          <w:tcPr>
            <w:tcW w:w="679" w:type="pct"/>
            <w:shd w:val="clear" w:color="auto" w:fill="F2F2F2" w:themeFill="background1" w:themeFillShade="F2"/>
          </w:tcPr>
          <w:p w14:paraId="65AD2CB3" w14:textId="77777777" w:rsidR="00037E8B" w:rsidRPr="007008FB" w:rsidRDefault="00037E8B" w:rsidP="00F610A8">
            <w:pPr>
              <w:spacing w:after="0" w:line="240" w:lineRule="auto"/>
              <w:jc w:val="center"/>
              <w:rPr>
                <w:sz w:val="18"/>
                <w:szCs w:val="18"/>
              </w:rPr>
            </w:pPr>
          </w:p>
        </w:tc>
      </w:tr>
      <w:tr w:rsidR="00037E8B" w:rsidRPr="007008FB" w14:paraId="2C1FB729" w14:textId="77777777" w:rsidTr="00F610A8">
        <w:tc>
          <w:tcPr>
            <w:tcW w:w="1696" w:type="pct"/>
            <w:shd w:val="clear" w:color="auto" w:fill="D9D9D9" w:themeFill="background1" w:themeFillShade="D9"/>
          </w:tcPr>
          <w:p w14:paraId="5F39D6D1" w14:textId="77777777" w:rsidR="00037E8B" w:rsidRPr="007008FB" w:rsidRDefault="00037E8B" w:rsidP="00F610A8">
            <w:pPr>
              <w:spacing w:after="0" w:line="240" w:lineRule="auto"/>
              <w:rPr>
                <w:b/>
                <w:sz w:val="18"/>
                <w:szCs w:val="18"/>
              </w:rPr>
            </w:pPr>
            <w:r w:rsidRPr="007008FB">
              <w:rPr>
                <w:b/>
                <w:sz w:val="18"/>
                <w:szCs w:val="18"/>
              </w:rPr>
              <w:t xml:space="preserve">Training &amp; Assessment </w:t>
            </w:r>
          </w:p>
        </w:tc>
        <w:tc>
          <w:tcPr>
            <w:tcW w:w="618" w:type="pct"/>
            <w:shd w:val="clear" w:color="auto" w:fill="F2F2F2" w:themeFill="background1" w:themeFillShade="F2"/>
          </w:tcPr>
          <w:p w14:paraId="48F306D6" w14:textId="77777777" w:rsidR="00037E8B" w:rsidRPr="007008FB" w:rsidRDefault="00037E8B" w:rsidP="00F610A8">
            <w:pPr>
              <w:spacing w:after="0" w:line="240" w:lineRule="auto"/>
              <w:jc w:val="center"/>
              <w:rPr>
                <w:sz w:val="18"/>
                <w:szCs w:val="18"/>
              </w:rPr>
            </w:pPr>
          </w:p>
        </w:tc>
        <w:tc>
          <w:tcPr>
            <w:tcW w:w="772" w:type="pct"/>
            <w:shd w:val="clear" w:color="auto" w:fill="FFFFFF" w:themeFill="background1"/>
          </w:tcPr>
          <w:p w14:paraId="2E5A23B3" w14:textId="77777777" w:rsidR="00037E8B" w:rsidRPr="007008FB" w:rsidRDefault="00037E8B" w:rsidP="00F610A8">
            <w:pPr>
              <w:spacing w:after="0" w:line="240" w:lineRule="auto"/>
              <w:jc w:val="center"/>
              <w:rPr>
                <w:sz w:val="18"/>
                <w:szCs w:val="18"/>
              </w:rPr>
            </w:pPr>
          </w:p>
        </w:tc>
        <w:tc>
          <w:tcPr>
            <w:tcW w:w="618" w:type="pct"/>
            <w:shd w:val="clear" w:color="auto" w:fill="F2F2F2" w:themeFill="background1" w:themeFillShade="F2"/>
          </w:tcPr>
          <w:p w14:paraId="53184957" w14:textId="77777777" w:rsidR="00037E8B" w:rsidRPr="007008FB" w:rsidRDefault="00037E8B" w:rsidP="00F610A8">
            <w:pPr>
              <w:spacing w:after="0" w:line="240" w:lineRule="auto"/>
              <w:jc w:val="center"/>
              <w:rPr>
                <w:sz w:val="18"/>
                <w:szCs w:val="18"/>
              </w:rPr>
            </w:pPr>
            <w:r w:rsidRPr="007008FB">
              <w:rPr>
                <w:sz w:val="18"/>
                <w:szCs w:val="18"/>
              </w:rPr>
              <w:t>8</w:t>
            </w:r>
          </w:p>
        </w:tc>
        <w:tc>
          <w:tcPr>
            <w:tcW w:w="617" w:type="pct"/>
            <w:shd w:val="clear" w:color="auto" w:fill="FFFFFF" w:themeFill="background1"/>
          </w:tcPr>
          <w:p w14:paraId="65C27B1A" w14:textId="77777777" w:rsidR="00037E8B" w:rsidRPr="007008FB" w:rsidRDefault="00037E8B" w:rsidP="00F610A8">
            <w:pPr>
              <w:spacing w:after="0" w:line="240" w:lineRule="auto"/>
              <w:jc w:val="center"/>
              <w:rPr>
                <w:sz w:val="18"/>
                <w:szCs w:val="18"/>
              </w:rPr>
            </w:pPr>
          </w:p>
        </w:tc>
        <w:tc>
          <w:tcPr>
            <w:tcW w:w="679" w:type="pct"/>
            <w:shd w:val="clear" w:color="auto" w:fill="F2F2F2" w:themeFill="background1" w:themeFillShade="F2"/>
          </w:tcPr>
          <w:p w14:paraId="70F96EE2" w14:textId="77777777" w:rsidR="00037E8B" w:rsidRPr="007008FB" w:rsidRDefault="00037E8B" w:rsidP="00F610A8">
            <w:pPr>
              <w:spacing w:after="0" w:line="240" w:lineRule="auto"/>
              <w:jc w:val="center"/>
              <w:rPr>
                <w:sz w:val="18"/>
                <w:szCs w:val="18"/>
              </w:rPr>
            </w:pPr>
          </w:p>
        </w:tc>
      </w:tr>
    </w:tbl>
    <w:p w14:paraId="57C25877" w14:textId="77777777" w:rsidR="00037E8B" w:rsidRDefault="00037E8B" w:rsidP="003F6C25">
      <w:pPr>
        <w:spacing w:before="0"/>
        <w:rPr>
          <w:sz w:val="20"/>
        </w:rPr>
      </w:pPr>
      <w:r w:rsidRPr="00783847">
        <w:rPr>
          <w:sz w:val="20"/>
        </w:rPr>
        <w:t>Source: ASU May 2016</w:t>
      </w:r>
      <w:r>
        <w:rPr>
          <w:sz w:val="20"/>
        </w:rPr>
        <w:t xml:space="preserve">. </w:t>
      </w:r>
    </w:p>
    <w:p w14:paraId="55C8AC63" w14:textId="77777777" w:rsidR="00037E8B" w:rsidRDefault="00037E8B" w:rsidP="00BF09CC">
      <w:pPr>
        <w:spacing w:line="240" w:lineRule="auto"/>
      </w:pPr>
      <w:r>
        <w:t xml:space="preserve">Other components of the PRQS (such as Professional licensing and occupational standards, and traditional knowledge and indigenous skills) have not been populated. </w:t>
      </w:r>
    </w:p>
    <w:p w14:paraId="0E8A4608" w14:textId="68D6A051" w:rsidR="00037E8B" w:rsidRPr="00C027E0" w:rsidRDefault="00037E8B" w:rsidP="00BF09CC">
      <w:pPr>
        <w:spacing w:line="240" w:lineRule="auto"/>
      </w:pPr>
      <w:r>
        <w:t xml:space="preserve">The standards in </w:t>
      </w:r>
      <w:r w:rsidR="00941B5B">
        <w:t xml:space="preserve">the </w:t>
      </w:r>
      <w:r>
        <w:t xml:space="preserve">education component of the register </w:t>
      </w:r>
      <w:r w:rsidR="00F64596">
        <w:t>include regional</w:t>
      </w:r>
      <w:r w:rsidRPr="00C027E0">
        <w:t xml:space="preserve"> benchmarks in literacy and numeracy</w:t>
      </w:r>
      <w:r>
        <w:t xml:space="preserve">, </w:t>
      </w:r>
      <w:r w:rsidR="00F64596" w:rsidRPr="00C027E0">
        <w:t xml:space="preserve">regional </w:t>
      </w:r>
      <w:r w:rsidRPr="00C027E0">
        <w:t>standards for school leaders</w:t>
      </w:r>
      <w:r>
        <w:t xml:space="preserve">, and </w:t>
      </w:r>
      <w:r w:rsidR="00F64596" w:rsidRPr="00C027E0">
        <w:t xml:space="preserve">regional </w:t>
      </w:r>
      <w:r w:rsidRPr="00C027E0">
        <w:t>standards for school teachers</w:t>
      </w:r>
      <w:r>
        <w:t>.</w:t>
      </w:r>
    </w:p>
    <w:p w14:paraId="69AD623E" w14:textId="77777777" w:rsidR="00037E8B" w:rsidRDefault="00037E8B" w:rsidP="00C35EB4">
      <w:pPr>
        <w:pStyle w:val="PacHead3"/>
      </w:pPr>
      <w:r>
        <w:t>Support to countries and territories</w:t>
      </w:r>
    </w:p>
    <w:p w14:paraId="3B9ECD59" w14:textId="77777777" w:rsidR="00037E8B" w:rsidRDefault="00037E8B" w:rsidP="00BF09CC">
      <w:pPr>
        <w:spacing w:line="240" w:lineRule="auto"/>
      </w:pPr>
      <w:r w:rsidRPr="00F02080">
        <w:t xml:space="preserve">The </w:t>
      </w:r>
      <w:r>
        <w:t>Accreditation and Standards Unit</w:t>
      </w:r>
      <w:r w:rsidRPr="00F02080">
        <w:t xml:space="preserve"> is </w:t>
      </w:r>
      <w:r>
        <w:t>currently</w:t>
      </w:r>
      <w:r w:rsidRPr="00F02080">
        <w:t xml:space="preserve"> supporting </w:t>
      </w:r>
      <w:r>
        <w:t>Kiribati and Tuvalu in the accreditation and registration processes within country. The Accreditation and Standards Unit</w:t>
      </w:r>
      <w:r w:rsidRPr="00F02080">
        <w:t xml:space="preserve"> </w:t>
      </w:r>
      <w:r>
        <w:t xml:space="preserve">has also supported the Solomon Islands in the initial drafting of its NQF and quality assurance arrangements. </w:t>
      </w:r>
    </w:p>
    <w:p w14:paraId="07F778AE" w14:textId="77777777" w:rsidR="00037E8B" w:rsidRDefault="00037E8B" w:rsidP="00616865">
      <w:pPr>
        <w:spacing w:line="276" w:lineRule="auto"/>
      </w:pPr>
    </w:p>
    <w:p w14:paraId="27541FA4" w14:textId="77777777" w:rsidR="00616865" w:rsidRDefault="00616865">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5A9DDE05" w14:textId="73CFD38F" w:rsidR="00F610A8" w:rsidRPr="00D50F39" w:rsidRDefault="00F610A8" w:rsidP="00F610A8">
      <w:pPr>
        <w:pStyle w:val="Heading1"/>
        <w:rPr>
          <w:color w:val="95050F"/>
        </w:rPr>
      </w:pPr>
      <w:bookmarkStart w:id="121" w:name="_Toc458938598"/>
      <w:bookmarkStart w:id="122" w:name="_Toc462755581"/>
      <w:r>
        <w:rPr>
          <w:color w:val="95050F"/>
        </w:rPr>
        <w:lastRenderedPageBreak/>
        <w:t xml:space="preserve">Appendix </w:t>
      </w:r>
      <w:r w:rsidR="00AE7D04">
        <w:rPr>
          <w:color w:val="95050F"/>
        </w:rPr>
        <w:t>5</w:t>
      </w:r>
      <w:r>
        <w:rPr>
          <w:color w:val="95050F"/>
        </w:rPr>
        <w:t>: International context</w:t>
      </w:r>
      <w:bookmarkEnd w:id="121"/>
      <w:bookmarkEnd w:id="122"/>
    </w:p>
    <w:p w14:paraId="03CE4C5B" w14:textId="77777777" w:rsidR="00F610A8" w:rsidRPr="004E0ED6" w:rsidRDefault="00F610A8" w:rsidP="00BC0530">
      <w:pPr>
        <w:pStyle w:val="PacHead2"/>
      </w:pPr>
      <w:bookmarkStart w:id="123" w:name="_Toc458938599"/>
      <w:r w:rsidRPr="004E0ED6">
        <w:t>Regional qualifications frameworks</w:t>
      </w:r>
      <w:bookmarkEnd w:id="123"/>
    </w:p>
    <w:p w14:paraId="1C53F130" w14:textId="7ED89AB4" w:rsidR="00F610A8" w:rsidRPr="007B52FF" w:rsidRDefault="00F610A8" w:rsidP="00BF09CC">
      <w:pPr>
        <w:spacing w:line="240" w:lineRule="auto"/>
        <w:rPr>
          <w:rFonts w:ascii="Corbel" w:hAnsi="Corbel" w:cs="Arial"/>
        </w:rPr>
      </w:pPr>
      <w:r w:rsidRPr="007B52FF">
        <w:rPr>
          <w:rFonts w:cs="Arial"/>
        </w:rPr>
        <w:t>A regional qualifications framework or a common reference framework is ‘a means of enabling one framework of qualifications to relate to others and subsequently for one qualification to relate to others that are normally located in another framework’</w:t>
      </w:r>
      <w:r w:rsidRPr="007B52FF">
        <w:rPr>
          <w:rFonts w:ascii="Corbel" w:hAnsi="Corbel" w:cs="Arial"/>
        </w:rPr>
        <w:t>.</w:t>
      </w:r>
      <w:r w:rsidRPr="007B52FF">
        <w:rPr>
          <w:rStyle w:val="FootnoteReference"/>
          <w:rFonts w:ascii="Corbel" w:hAnsi="Corbel" w:cs="Arial"/>
        </w:rPr>
        <w:footnoteReference w:id="71"/>
      </w:r>
      <w:r w:rsidRPr="007B52FF">
        <w:rPr>
          <w:rFonts w:ascii="Corbel" w:hAnsi="Corbel" w:cs="Arial"/>
        </w:rPr>
        <w:t xml:space="preserve"> </w:t>
      </w:r>
      <w:r w:rsidRPr="007B52FF">
        <w:rPr>
          <w:rFonts w:cs="Arial"/>
        </w:rPr>
        <w:t>Regional common reference frameworks can</w:t>
      </w:r>
      <w:r w:rsidRPr="007B52FF">
        <w:rPr>
          <w:rFonts w:ascii="Corbel" w:hAnsi="Corbel" w:cs="Arial"/>
        </w:rPr>
        <w:t>:</w:t>
      </w:r>
    </w:p>
    <w:p w14:paraId="5B5885C5" w14:textId="5B4786B8" w:rsidR="00F610A8" w:rsidRPr="00B21739" w:rsidRDefault="00F610A8" w:rsidP="00456131">
      <w:pPr>
        <w:pStyle w:val="ListParagraph"/>
        <w:numPr>
          <w:ilvl w:val="0"/>
          <w:numId w:val="32"/>
        </w:numPr>
      </w:pPr>
      <w:r w:rsidRPr="00B21739">
        <w:t>Deepen integration and harmoni</w:t>
      </w:r>
      <w:r w:rsidR="00ED1337">
        <w:t>s</w:t>
      </w:r>
      <w:r w:rsidRPr="00B21739">
        <w:t>ation</w:t>
      </w:r>
    </w:p>
    <w:p w14:paraId="6E10AD68" w14:textId="77777777" w:rsidR="00F610A8" w:rsidRPr="00B21739" w:rsidRDefault="00F610A8" w:rsidP="00456131">
      <w:pPr>
        <w:pStyle w:val="ListParagraph"/>
        <w:numPr>
          <w:ilvl w:val="0"/>
          <w:numId w:val="32"/>
        </w:numPr>
      </w:pPr>
      <w:r w:rsidRPr="00B21739">
        <w:t>Create a common identity</w:t>
      </w:r>
    </w:p>
    <w:p w14:paraId="10D95CA1" w14:textId="77777777" w:rsidR="00F610A8" w:rsidRPr="00B21739" w:rsidRDefault="00F610A8" w:rsidP="00456131">
      <w:pPr>
        <w:pStyle w:val="ListParagraph"/>
        <w:numPr>
          <w:ilvl w:val="0"/>
          <w:numId w:val="32"/>
        </w:numPr>
      </w:pPr>
      <w:r w:rsidRPr="00B21739">
        <w:t>Facilitate:</w:t>
      </w:r>
    </w:p>
    <w:p w14:paraId="7DC34B0D" w14:textId="77777777" w:rsidR="00F610A8" w:rsidRPr="00B21739" w:rsidRDefault="00F610A8" w:rsidP="00456131">
      <w:pPr>
        <w:pStyle w:val="ListParagraph"/>
        <w:numPr>
          <w:ilvl w:val="1"/>
          <w:numId w:val="23"/>
        </w:numPr>
      </w:pPr>
      <w:r w:rsidRPr="00B21739">
        <w:t>Transparency of multiple complex systems</w:t>
      </w:r>
    </w:p>
    <w:p w14:paraId="48232543" w14:textId="77777777" w:rsidR="00F610A8" w:rsidRPr="00B21739" w:rsidRDefault="00F610A8" w:rsidP="00456131">
      <w:pPr>
        <w:pStyle w:val="ListParagraph"/>
        <w:numPr>
          <w:ilvl w:val="1"/>
          <w:numId w:val="23"/>
        </w:numPr>
      </w:pPr>
      <w:r w:rsidRPr="00B21739">
        <w:t>Mobility of workers and students</w:t>
      </w:r>
    </w:p>
    <w:p w14:paraId="075958C7" w14:textId="32B302ED" w:rsidR="00F610A8" w:rsidRPr="00B21739" w:rsidRDefault="00F610A8" w:rsidP="00456131">
      <w:pPr>
        <w:pStyle w:val="ListParagraph"/>
        <w:numPr>
          <w:ilvl w:val="1"/>
          <w:numId w:val="23"/>
        </w:numPr>
      </w:pPr>
      <w:r w:rsidRPr="00B21739">
        <w:t>Recognition and credit transfer</w:t>
      </w:r>
    </w:p>
    <w:p w14:paraId="09AF912E" w14:textId="77777777" w:rsidR="00F610A8" w:rsidRPr="0028125B" w:rsidRDefault="00F610A8" w:rsidP="00456131">
      <w:pPr>
        <w:pStyle w:val="ListParagraph"/>
        <w:numPr>
          <w:ilvl w:val="0"/>
          <w:numId w:val="23"/>
        </w:numPr>
        <w:rPr>
          <w:sz w:val="22"/>
        </w:rPr>
      </w:pPr>
      <w:r w:rsidRPr="00B21739">
        <w:t>Support economic imperatives such as removal of barriers to trade</w:t>
      </w:r>
      <w:r w:rsidRPr="0028125B">
        <w:rPr>
          <w:sz w:val="22"/>
        </w:rPr>
        <w:t>.</w:t>
      </w:r>
      <w:r w:rsidRPr="0028125B">
        <w:rPr>
          <w:rStyle w:val="FootnoteReference"/>
          <w:rFonts w:ascii="Corbel" w:hAnsi="Corbel"/>
          <w:sz w:val="22"/>
        </w:rPr>
        <w:footnoteReference w:id="72"/>
      </w:r>
    </w:p>
    <w:p w14:paraId="2F613EBF" w14:textId="162D6970" w:rsidR="00F610A8" w:rsidRPr="0028125B" w:rsidRDefault="00F610A8" w:rsidP="00BF09CC">
      <w:pPr>
        <w:spacing w:line="240" w:lineRule="auto"/>
      </w:pPr>
      <w:r w:rsidRPr="0028125B">
        <w:t>There is considerable variation in the characteristics of regional qualification frameworks; they vary in their purposes, coverage of sectors, design and use.</w:t>
      </w:r>
      <w:r w:rsidRPr="0028125B">
        <w:rPr>
          <w:rStyle w:val="FootnoteReference"/>
          <w:rFonts w:ascii="Corbel" w:hAnsi="Corbel"/>
          <w:sz w:val="22"/>
        </w:rPr>
        <w:footnoteReference w:id="73"/>
      </w:r>
      <w:r w:rsidRPr="0028125B">
        <w:t xml:space="preserve">  There are </w:t>
      </w:r>
      <w:r>
        <w:t>several</w:t>
      </w:r>
      <w:r w:rsidRPr="0028125B">
        <w:t xml:space="preserve"> regional qualifications frameworks or common reference frameworks at various stages of development or implementation, each with a differen</w:t>
      </w:r>
      <w:r>
        <w:t>t</w:t>
      </w:r>
      <w:r w:rsidRPr="0028125B">
        <w:t xml:space="preserve"> focus or emphases</w:t>
      </w:r>
      <w:r>
        <w:t xml:space="preserve"> that are relevant to this review</w:t>
      </w:r>
      <w:r w:rsidRPr="0028125B">
        <w:t>. These include:</w:t>
      </w:r>
      <w:r w:rsidR="00AE7D04">
        <w:t xml:space="preserve"> </w:t>
      </w:r>
    </w:p>
    <w:p w14:paraId="40B0DF3B" w14:textId="50E76E30" w:rsidR="00F610A8" w:rsidRPr="00AE7D04" w:rsidRDefault="00F610A8" w:rsidP="00456131">
      <w:pPr>
        <w:pStyle w:val="ListParagraph"/>
        <w:numPr>
          <w:ilvl w:val="0"/>
          <w:numId w:val="39"/>
        </w:numPr>
      </w:pPr>
      <w:r w:rsidRPr="00AA794A">
        <w:t xml:space="preserve">The </w:t>
      </w:r>
      <w:r w:rsidRPr="009E1B85">
        <w:rPr>
          <w:i/>
        </w:rPr>
        <w:t>European Qualifications Framework (EQF)</w:t>
      </w:r>
      <w:r w:rsidRPr="00AA794A">
        <w:t xml:space="preserve"> is a translation tool that helps communication and comparison between qualifications systems in Europe. </w:t>
      </w:r>
      <w:r w:rsidR="0023209C">
        <w:t>The EQF is</w:t>
      </w:r>
      <w:r w:rsidRPr="00AA794A">
        <w:t xml:space="preserve"> a key instrument for the promotion of lifelong learning and its eight levels cover the ‘entire span of qualifications, from those achieved at the end of compulsory education to those awarded at the highest level’</w:t>
      </w:r>
      <w:r w:rsidRPr="0028125B">
        <w:rPr>
          <w:rFonts w:ascii="Corbel" w:hAnsi="Corbel"/>
          <w:sz w:val="22"/>
          <w:lang w:val="en-GB"/>
        </w:rPr>
        <w:t>.</w:t>
      </w:r>
      <w:r w:rsidRPr="0028125B">
        <w:rPr>
          <w:rStyle w:val="FootnoteReference"/>
          <w:rFonts w:ascii="Corbel" w:hAnsi="Corbel"/>
          <w:sz w:val="22"/>
        </w:rPr>
        <w:footnoteReference w:id="74"/>
      </w:r>
      <w:r w:rsidRPr="0028125B">
        <w:rPr>
          <w:rFonts w:ascii="Corbel" w:hAnsi="Corbel"/>
          <w:sz w:val="22"/>
          <w:lang w:val="en-GB"/>
        </w:rPr>
        <w:t xml:space="preserve"> </w:t>
      </w:r>
      <w:r w:rsidRPr="00AA794A">
        <w:t>This framework requires each country to undertake a rigorous referencing process of their qualifications framework and system to the EQF</w:t>
      </w:r>
      <w:r w:rsidR="00BF3F1D">
        <w:t xml:space="preserve"> that is peer reviewed</w:t>
      </w:r>
      <w:r w:rsidRPr="00AA794A">
        <w:t xml:space="preserve">. </w:t>
      </w:r>
      <w:r w:rsidR="00AE7D04" w:rsidRPr="0088529F">
        <w:t xml:space="preserve">The EQF is enshrined in </w:t>
      </w:r>
      <w:r w:rsidR="00AE7D04" w:rsidRPr="0088529F">
        <w:rPr>
          <w:i/>
        </w:rPr>
        <w:t xml:space="preserve">The Recommendation on the European Qualifications Framework for lifelong learning </w:t>
      </w:r>
      <w:r w:rsidR="00AE7D04" w:rsidRPr="0088529F">
        <w:t>adopted by the European Parliament and the Council on 23 April 2008</w:t>
      </w:r>
      <w:r w:rsidR="00AE7D04">
        <w:t>.</w:t>
      </w:r>
    </w:p>
    <w:p w14:paraId="5C70BCF6" w14:textId="19B3C816" w:rsidR="00F610A8" w:rsidRPr="0028125B" w:rsidRDefault="00F610A8" w:rsidP="00456131">
      <w:pPr>
        <w:pStyle w:val="ListParagraph"/>
        <w:numPr>
          <w:ilvl w:val="0"/>
          <w:numId w:val="39"/>
        </w:numPr>
        <w:rPr>
          <w:rFonts w:ascii="Corbel" w:hAnsi="Corbel"/>
          <w:sz w:val="22"/>
          <w:lang w:val="en-GB"/>
        </w:rPr>
      </w:pPr>
      <w:r w:rsidRPr="00AA794A">
        <w:t xml:space="preserve">The </w:t>
      </w:r>
      <w:r w:rsidRPr="009E1B85">
        <w:rPr>
          <w:i/>
        </w:rPr>
        <w:t>Caribbean Community (CARICOM</w:t>
      </w:r>
      <w:r w:rsidRPr="009E1B85">
        <w:rPr>
          <w:rFonts w:ascii="Corbel" w:hAnsi="Corbel"/>
          <w:i/>
          <w:sz w:val="22"/>
          <w:lang w:val="en-GB"/>
        </w:rPr>
        <w:t>)</w:t>
      </w:r>
      <w:r>
        <w:rPr>
          <w:rStyle w:val="FootnoteReference"/>
          <w:rFonts w:ascii="Corbel" w:hAnsi="Corbel"/>
          <w:sz w:val="22"/>
          <w:lang w:val="en-GB"/>
        </w:rPr>
        <w:footnoteReference w:id="75"/>
      </w:r>
      <w:r w:rsidRPr="0028125B">
        <w:rPr>
          <w:rFonts w:ascii="Corbel" w:hAnsi="Corbel"/>
          <w:sz w:val="22"/>
          <w:lang w:val="en-GB"/>
        </w:rPr>
        <w:t xml:space="preserve"> </w:t>
      </w:r>
      <w:r w:rsidRPr="00AA794A">
        <w:t xml:space="preserve">has established a shared 5-level vocational qualifications framework and has taken a number of initiatives in the development of regional occupational standards and qualifications. The regional association of national quality assurance agencies approves occupational standards and qualifications that developed at a national level </w:t>
      </w:r>
      <w:r w:rsidR="00F64596">
        <w:t>and which</w:t>
      </w:r>
      <w:r w:rsidRPr="00AA794A">
        <w:t xml:space="preserve"> meet the</w:t>
      </w:r>
      <w:r w:rsidR="00F64596">
        <w:t xml:space="preserve"> regional</w:t>
      </w:r>
      <w:r w:rsidRPr="00AA794A">
        <w:t xml:space="preserve"> development process and criteria to be identified as regional</w:t>
      </w:r>
      <w:r>
        <w:rPr>
          <w:rFonts w:ascii="Corbel" w:hAnsi="Corbel"/>
          <w:sz w:val="22"/>
          <w:lang w:val="en-GB"/>
        </w:rPr>
        <w:t>.</w:t>
      </w:r>
      <w:r>
        <w:rPr>
          <w:rStyle w:val="FootnoteReference"/>
          <w:rFonts w:ascii="Corbel" w:hAnsi="Corbel"/>
          <w:sz w:val="22"/>
          <w:lang w:val="en-GB"/>
        </w:rPr>
        <w:footnoteReference w:id="76"/>
      </w:r>
      <w:r>
        <w:rPr>
          <w:rFonts w:ascii="Corbel" w:hAnsi="Corbel"/>
          <w:sz w:val="22"/>
          <w:lang w:val="en-GB"/>
        </w:rPr>
        <w:t xml:space="preserve"> </w:t>
      </w:r>
      <w:r w:rsidRPr="00AA794A">
        <w:t>Documentation includes a list of competencies, the completion rules, nominal training hours</w:t>
      </w:r>
      <w:r>
        <w:rPr>
          <w:rStyle w:val="FootnoteReference"/>
          <w:rFonts w:ascii="Corbel" w:hAnsi="Corbel"/>
          <w:sz w:val="22"/>
          <w:lang w:val="en-GB"/>
        </w:rPr>
        <w:footnoteReference w:id="77"/>
      </w:r>
      <w:r>
        <w:rPr>
          <w:rFonts w:ascii="Corbel" w:hAnsi="Corbel"/>
          <w:sz w:val="22"/>
          <w:lang w:val="en-GB"/>
        </w:rPr>
        <w:t xml:space="preserve"> </w:t>
      </w:r>
      <w:r w:rsidRPr="00AA794A">
        <w:t xml:space="preserve">and units of competency. This association manages the quality assurance of agencies. CARICOM has </w:t>
      </w:r>
      <w:r w:rsidR="00BF3F1D">
        <w:t xml:space="preserve">recently </w:t>
      </w:r>
      <w:r w:rsidRPr="00AA794A">
        <w:t>proposed a 10-level regional qualifications framework to act as a translation device</w:t>
      </w:r>
      <w:r>
        <w:rPr>
          <w:rFonts w:ascii="Corbel" w:hAnsi="Corbel"/>
          <w:sz w:val="22"/>
          <w:lang w:val="en-GB"/>
        </w:rPr>
        <w:t>.</w:t>
      </w:r>
      <w:r>
        <w:rPr>
          <w:rStyle w:val="FootnoteReference"/>
          <w:rFonts w:ascii="Corbel" w:hAnsi="Corbel"/>
          <w:sz w:val="22"/>
          <w:lang w:val="en-GB"/>
        </w:rPr>
        <w:footnoteReference w:id="78"/>
      </w:r>
    </w:p>
    <w:p w14:paraId="6C0E2419" w14:textId="7842FCC3" w:rsidR="00F610A8" w:rsidRPr="00AE7D04" w:rsidRDefault="00F610A8" w:rsidP="00456131">
      <w:pPr>
        <w:pStyle w:val="ListParagraph"/>
        <w:numPr>
          <w:ilvl w:val="0"/>
          <w:numId w:val="39"/>
        </w:numPr>
        <w:rPr>
          <w:rFonts w:ascii="Corbel" w:hAnsi="Corbel" w:cs="Arial"/>
          <w:sz w:val="22"/>
        </w:rPr>
      </w:pPr>
      <w:r w:rsidRPr="00AE7D04">
        <w:rPr>
          <w:i/>
        </w:rPr>
        <w:t>ASEAN Qualifications Reference Framework (AQRF)</w:t>
      </w:r>
      <w:r w:rsidRPr="00AE7D04">
        <w:t xml:space="preserve"> is a common reference framework that will function as a translation device to enable comparisons of qualifications across participating </w:t>
      </w:r>
      <w:r w:rsidRPr="00AE7D04">
        <w:lastRenderedPageBreak/>
        <w:t>ASEAN countries</w:t>
      </w:r>
      <w:r w:rsidRPr="00AE7D04">
        <w:rPr>
          <w:rFonts w:ascii="Corbel" w:hAnsi="Corbel"/>
          <w:sz w:val="22"/>
          <w:lang w:val="en-GB"/>
        </w:rPr>
        <w:t>.</w:t>
      </w:r>
      <w:r w:rsidRPr="0028125B">
        <w:rPr>
          <w:rStyle w:val="FootnoteReference"/>
          <w:rFonts w:ascii="Corbel" w:hAnsi="Corbel"/>
          <w:sz w:val="22"/>
          <w:lang w:val="en-GB"/>
        </w:rPr>
        <w:footnoteReference w:id="79"/>
      </w:r>
      <w:r w:rsidRPr="00AE7D04">
        <w:rPr>
          <w:rFonts w:ascii="Corbel" w:hAnsi="Corbel"/>
          <w:sz w:val="22"/>
          <w:lang w:val="en-GB"/>
        </w:rPr>
        <w:t xml:space="preserve"> </w:t>
      </w:r>
      <w:r w:rsidRPr="00AE7D04">
        <w:t>Th</w:t>
      </w:r>
      <w:r w:rsidR="00F64596">
        <w:t>e development of th</w:t>
      </w:r>
      <w:r w:rsidRPr="00AE7D04">
        <w:t xml:space="preserve">is framework </w:t>
      </w:r>
      <w:r w:rsidR="00F64596">
        <w:t>was</w:t>
      </w:r>
      <w:r w:rsidRPr="00AE7D04">
        <w:t xml:space="preserve"> driven by the establishment of an economic community and free trade agreements; </w:t>
      </w:r>
      <w:r w:rsidR="00F64596">
        <w:t>and</w:t>
      </w:r>
      <w:r w:rsidR="00F64596" w:rsidRPr="00AE7D04">
        <w:t xml:space="preserve"> </w:t>
      </w:r>
      <w:r w:rsidRPr="00AE7D04">
        <w:t>will be linked to mutual recognition agreements.</w:t>
      </w:r>
      <w:r w:rsidRPr="00AE7D04">
        <w:rPr>
          <w:rFonts w:ascii="Corbel" w:hAnsi="Corbel"/>
          <w:sz w:val="22"/>
          <w:lang w:val="en-GB"/>
        </w:rPr>
        <w:t xml:space="preserve"> </w:t>
      </w:r>
      <w:r w:rsidR="00AE7D04" w:rsidRPr="0088529F">
        <w:t xml:space="preserve">The AQRF endorsement document was endorsed by three ministers (education, trade and economic) from each country to be enacted. </w:t>
      </w:r>
    </w:p>
    <w:p w14:paraId="2D841C99" w14:textId="15E619B5" w:rsidR="00F610A8" w:rsidRPr="000528BB" w:rsidRDefault="00F610A8" w:rsidP="00BC0530">
      <w:pPr>
        <w:pStyle w:val="PacHead2"/>
      </w:pPr>
      <w:bookmarkStart w:id="124" w:name="_Toc428976210"/>
      <w:bookmarkStart w:id="125" w:name="_Toc433884718"/>
      <w:bookmarkStart w:id="126" w:name="_Toc458938600"/>
      <w:r w:rsidRPr="00AE089C">
        <w:t>Regional quality assurance frameworks</w:t>
      </w:r>
      <w:bookmarkEnd w:id="124"/>
      <w:bookmarkEnd w:id="125"/>
      <w:bookmarkEnd w:id="126"/>
    </w:p>
    <w:p w14:paraId="4049DCB8" w14:textId="3CE7ADAA" w:rsidR="00F610A8" w:rsidRPr="00A84771" w:rsidRDefault="00F610A8" w:rsidP="00BF09CC">
      <w:pPr>
        <w:spacing w:after="0" w:line="240" w:lineRule="auto"/>
      </w:pPr>
      <w:r>
        <w:t>A</w:t>
      </w:r>
      <w:r w:rsidRPr="00A84771">
        <w:t xml:space="preserve"> key aim of a regional quality assurance framework is to develop mutual understanding </w:t>
      </w:r>
      <w:r>
        <w:t xml:space="preserve">of quality and quality assurance of qualifications </w:t>
      </w:r>
      <w:r w:rsidRPr="00A84771">
        <w:t xml:space="preserve">amongst member countries. In addition, </w:t>
      </w:r>
      <w:r w:rsidR="00BF3F1D">
        <w:t xml:space="preserve">it </w:t>
      </w:r>
      <w:r w:rsidRPr="00A84771">
        <w:t>can act as:</w:t>
      </w:r>
    </w:p>
    <w:p w14:paraId="6CA54F17" w14:textId="77777777" w:rsidR="00F610A8" w:rsidRPr="00544D28" w:rsidRDefault="00F610A8" w:rsidP="00BF09CC">
      <w:pPr>
        <w:numPr>
          <w:ilvl w:val="0"/>
          <w:numId w:val="24"/>
        </w:numPr>
        <w:spacing w:after="0" w:line="240" w:lineRule="auto"/>
      </w:pPr>
      <w:r w:rsidRPr="00544D28">
        <w:t>An instrument to promote and monitor the improvement of member countries’ education and training systems</w:t>
      </w:r>
    </w:p>
    <w:p w14:paraId="1CD813CD" w14:textId="77777777" w:rsidR="00F610A8" w:rsidRPr="00EA11D4" w:rsidRDefault="00F610A8" w:rsidP="00BF09CC">
      <w:pPr>
        <w:numPr>
          <w:ilvl w:val="0"/>
          <w:numId w:val="24"/>
        </w:numPr>
        <w:spacing w:after="0" w:line="240" w:lineRule="auto"/>
        <w:rPr>
          <w:sz w:val="22"/>
          <w:szCs w:val="22"/>
        </w:rPr>
      </w:pPr>
      <w:r w:rsidRPr="00544D28">
        <w:t>A reference instrument that outlines benchmarks to help member countries to assess clearly and consistently whether the measures necessary for improving the quality of their education and training systems have been implemented and whether they need to be reviewed</w:t>
      </w:r>
      <w:r w:rsidRPr="00EA11D4">
        <w:rPr>
          <w:sz w:val="22"/>
          <w:szCs w:val="22"/>
        </w:rPr>
        <w:t>.</w:t>
      </w:r>
      <w:r w:rsidRPr="00A84771">
        <w:rPr>
          <w:rStyle w:val="FootnoteReference"/>
          <w:sz w:val="22"/>
          <w:szCs w:val="22"/>
        </w:rPr>
        <w:footnoteReference w:id="80"/>
      </w:r>
      <w:r w:rsidRPr="00EA11D4">
        <w:rPr>
          <w:sz w:val="22"/>
          <w:szCs w:val="22"/>
        </w:rPr>
        <w:t xml:space="preserve"> </w:t>
      </w:r>
    </w:p>
    <w:p w14:paraId="287C6F6C" w14:textId="77777777" w:rsidR="00F610A8" w:rsidRPr="00A84771" w:rsidRDefault="00F610A8" w:rsidP="00BF09CC">
      <w:pPr>
        <w:spacing w:after="0" w:line="240" w:lineRule="auto"/>
      </w:pPr>
      <w:r w:rsidRPr="00A84771">
        <w:t xml:space="preserve">There are varying models or frameworks at </w:t>
      </w:r>
      <w:r>
        <w:t xml:space="preserve">a </w:t>
      </w:r>
      <w:r w:rsidRPr="00A84771">
        <w:t xml:space="preserve">regional level </w:t>
      </w:r>
      <w:r>
        <w:t>such as</w:t>
      </w:r>
      <w:r w:rsidRPr="00A84771">
        <w:t>:</w:t>
      </w:r>
    </w:p>
    <w:p w14:paraId="48CB54CE" w14:textId="0B369CC6" w:rsidR="00F610A8" w:rsidRPr="00544D28" w:rsidRDefault="008C2820" w:rsidP="00BF09CC">
      <w:pPr>
        <w:numPr>
          <w:ilvl w:val="0"/>
          <w:numId w:val="25"/>
        </w:numPr>
        <w:spacing w:after="0" w:line="240" w:lineRule="auto"/>
      </w:pPr>
      <w:r w:rsidRPr="008C2820">
        <w:t>The</w:t>
      </w:r>
      <w:r>
        <w:rPr>
          <w:i/>
        </w:rPr>
        <w:t xml:space="preserve"> </w:t>
      </w:r>
      <w:r w:rsidR="00F610A8" w:rsidRPr="00544D28">
        <w:rPr>
          <w:i/>
        </w:rPr>
        <w:t>European Quality Assurance Reference Framework for VET</w:t>
      </w:r>
      <w:r w:rsidR="00F610A8" w:rsidRPr="00544D28">
        <w:rPr>
          <w:rStyle w:val="FootnoteReference"/>
        </w:rPr>
        <w:footnoteReference w:id="81"/>
      </w:r>
      <w:r w:rsidR="00F610A8" w:rsidRPr="00544D28">
        <w:rPr>
          <w:i/>
        </w:rPr>
        <w:t xml:space="preserve"> </w:t>
      </w:r>
      <w:r w:rsidR="00F610A8" w:rsidRPr="00544D28">
        <w:t>was established through the European Parliament and Council in June 2009. Its key purpose is as ‘a reference instrument…to promote and monitor continuous improvement of…VET systems’.</w:t>
      </w:r>
      <w:r w:rsidR="00F610A8" w:rsidRPr="00544D28">
        <w:rPr>
          <w:rStyle w:val="FootnoteReference"/>
        </w:rPr>
        <w:footnoteReference w:id="82"/>
      </w:r>
      <w:r w:rsidR="00F610A8" w:rsidRPr="00544D28">
        <w:t xml:space="preserve"> The European Quality Assurance Reference Framework is supported by an active and highly effective community of practice</w:t>
      </w:r>
      <w:r w:rsidR="00F610A8" w:rsidRPr="00544D28">
        <w:rPr>
          <w:rStyle w:val="FootnoteReference"/>
        </w:rPr>
        <w:footnoteReference w:id="83"/>
      </w:r>
      <w:r w:rsidR="00F610A8" w:rsidRPr="00544D28">
        <w:t xml:space="preserve"> </w:t>
      </w:r>
      <w:r w:rsidR="00F64596">
        <w:t>(</w:t>
      </w:r>
      <w:r w:rsidR="00F610A8" w:rsidRPr="00544D28">
        <w:rPr>
          <w:shd w:val="clear" w:color="auto" w:fill="FFFFFF"/>
        </w:rPr>
        <w:t>Member States, employers</w:t>
      </w:r>
      <w:r w:rsidR="00F610A8" w:rsidRPr="00A84771">
        <w:rPr>
          <w:sz w:val="22"/>
          <w:szCs w:val="22"/>
          <w:shd w:val="clear" w:color="auto" w:fill="FFFFFF"/>
        </w:rPr>
        <w:t xml:space="preserve">, </w:t>
      </w:r>
      <w:r w:rsidR="00F610A8" w:rsidRPr="00544D28">
        <w:rPr>
          <w:shd w:val="clear" w:color="auto" w:fill="FFFFFF"/>
        </w:rPr>
        <w:t>trade unions and the European Commission</w:t>
      </w:r>
      <w:r w:rsidR="00F64596">
        <w:rPr>
          <w:shd w:val="clear" w:color="auto" w:fill="FFFFFF"/>
        </w:rPr>
        <w:t>)</w:t>
      </w:r>
      <w:r w:rsidR="00F610A8" w:rsidRPr="00544D28">
        <w:rPr>
          <w:shd w:val="clear" w:color="auto" w:fill="FFFFFF"/>
        </w:rPr>
        <w:t xml:space="preserve"> </w:t>
      </w:r>
      <w:r w:rsidR="00F64596">
        <w:rPr>
          <w:shd w:val="clear" w:color="auto" w:fill="FFFFFF"/>
        </w:rPr>
        <w:t>which</w:t>
      </w:r>
      <w:r w:rsidR="00F64596" w:rsidRPr="00544D28">
        <w:rPr>
          <w:shd w:val="clear" w:color="auto" w:fill="FFFFFF"/>
        </w:rPr>
        <w:t xml:space="preserve"> </w:t>
      </w:r>
      <w:r w:rsidR="00F610A8" w:rsidRPr="00544D28">
        <w:rPr>
          <w:shd w:val="clear" w:color="auto" w:fill="FFFFFF"/>
        </w:rPr>
        <w:t>promote</w:t>
      </w:r>
      <w:r w:rsidR="00941B5B">
        <w:rPr>
          <w:shd w:val="clear" w:color="auto" w:fill="FFFFFF"/>
        </w:rPr>
        <w:t>s</w:t>
      </w:r>
      <w:r w:rsidR="00F610A8" w:rsidRPr="00544D28">
        <w:rPr>
          <w:shd w:val="clear" w:color="auto" w:fill="FFFFFF"/>
        </w:rPr>
        <w:t xml:space="preserve"> European collaboration in developing and improving quality assurance.</w:t>
      </w:r>
    </w:p>
    <w:p w14:paraId="3B81431F" w14:textId="6DFA5771" w:rsidR="00F610A8" w:rsidRPr="007F70F1" w:rsidRDefault="00F610A8" w:rsidP="00456131">
      <w:pPr>
        <w:pStyle w:val="ListParagraph"/>
        <w:numPr>
          <w:ilvl w:val="0"/>
          <w:numId w:val="26"/>
        </w:numPr>
        <w:rPr>
          <w:sz w:val="22"/>
          <w:szCs w:val="22"/>
        </w:rPr>
      </w:pPr>
      <w:r w:rsidRPr="00544D28">
        <w:rPr>
          <w:i/>
        </w:rPr>
        <w:t>East Asia Summit Technical and Vocational Education and Training Quality Assurance Framework (EAS TVET QAF)</w:t>
      </w:r>
      <w:r w:rsidRPr="00544D28">
        <w:t xml:space="preserve"> is a recently developed quality assurance framework covering 18 countries</w:t>
      </w:r>
      <w:r w:rsidRPr="007F70F1">
        <w:rPr>
          <w:sz w:val="22"/>
          <w:szCs w:val="22"/>
        </w:rPr>
        <w:t>.</w:t>
      </w:r>
      <w:r w:rsidRPr="007F70F1">
        <w:rPr>
          <w:rStyle w:val="FootnoteReference"/>
          <w:sz w:val="22"/>
          <w:szCs w:val="22"/>
        </w:rPr>
        <w:footnoteReference w:id="84"/>
      </w:r>
      <w:r w:rsidRPr="007F70F1">
        <w:rPr>
          <w:sz w:val="22"/>
          <w:szCs w:val="22"/>
        </w:rPr>
        <w:t xml:space="preserve">  </w:t>
      </w:r>
      <w:r>
        <w:rPr>
          <w:sz w:val="22"/>
          <w:szCs w:val="22"/>
        </w:rPr>
        <w:br/>
      </w:r>
      <w:r w:rsidRPr="00544D28">
        <w:t>This framework</w:t>
      </w:r>
      <w:r w:rsidRPr="00544D28" w:rsidDel="00142936">
        <w:t xml:space="preserve"> </w:t>
      </w:r>
      <w:r w:rsidRPr="00544D28">
        <w:t xml:space="preserve">aims to </w:t>
      </w:r>
      <w:r w:rsidR="00BF3F1D">
        <w:t>support</w:t>
      </w:r>
      <w:r w:rsidR="00BF3F1D" w:rsidRPr="00544D28">
        <w:rPr>
          <w:rFonts w:cs="Calibri"/>
        </w:rPr>
        <w:t xml:space="preserve"> </w:t>
      </w:r>
      <w:r w:rsidRPr="00544D28">
        <w:rPr>
          <w:rFonts w:cs="Calibri"/>
        </w:rPr>
        <w:t>countries to promote and monitor the improvement of their quality assurance systems, facilitate cooperation and mutual understanding between member countries and to support other initiatives within and across the region that enhance connectivity, integration, education and labour mobility</w:t>
      </w:r>
      <w:r w:rsidRPr="007F70F1">
        <w:rPr>
          <w:rFonts w:cs="Calibri"/>
          <w:sz w:val="22"/>
          <w:szCs w:val="22"/>
        </w:rPr>
        <w:t>.</w:t>
      </w:r>
      <w:r w:rsidRPr="00A84771">
        <w:rPr>
          <w:rStyle w:val="FootnoteReference"/>
          <w:rFonts w:cs="Calibri"/>
          <w:sz w:val="22"/>
          <w:szCs w:val="22"/>
        </w:rPr>
        <w:footnoteReference w:id="85"/>
      </w:r>
    </w:p>
    <w:p w14:paraId="68F8BF65" w14:textId="37F96EC1" w:rsidR="00F610A8" w:rsidRPr="00544D28" w:rsidRDefault="00F610A8" w:rsidP="00BF09CC">
      <w:pPr>
        <w:numPr>
          <w:ilvl w:val="0"/>
          <w:numId w:val="25"/>
        </w:numPr>
        <w:spacing w:after="0" w:line="240" w:lineRule="auto"/>
      </w:pPr>
      <w:r w:rsidRPr="00544D28">
        <w:rPr>
          <w:i/>
        </w:rPr>
        <w:t>International Network for Quality Assurance Agencies in Higher Education (INQAAHE) Guidelines of Good Practice in Quality Assurance</w:t>
      </w:r>
      <w:r w:rsidRPr="00544D28">
        <w:rPr>
          <w:rStyle w:val="FootnoteReference"/>
        </w:rPr>
        <w:footnoteReference w:id="86"/>
      </w:r>
      <w:r w:rsidRPr="00544D28">
        <w:t xml:space="preserve"> i</w:t>
      </w:r>
      <w:r w:rsidRPr="00544D28">
        <w:rPr>
          <w:rFonts w:ascii="Corbel" w:hAnsi="Corbel" w:cs="Arial"/>
        </w:rPr>
        <w:t>s an international standard for agencies and providers</w:t>
      </w:r>
      <w:r w:rsidR="00F64596">
        <w:rPr>
          <w:rFonts w:ascii="Corbel" w:hAnsi="Corbel" w:cs="Arial"/>
        </w:rPr>
        <w:t>,</w:t>
      </w:r>
      <w:r w:rsidRPr="00544D28">
        <w:rPr>
          <w:rFonts w:ascii="Corbel" w:hAnsi="Corbel" w:cs="Arial"/>
        </w:rPr>
        <w:t xml:space="preserve"> agreed </w:t>
      </w:r>
      <w:r w:rsidR="00F64596">
        <w:rPr>
          <w:rFonts w:ascii="Corbel" w:hAnsi="Corbel" w:cs="Arial"/>
        </w:rPr>
        <w:t xml:space="preserve">to </w:t>
      </w:r>
      <w:r w:rsidRPr="00544D28">
        <w:rPr>
          <w:rFonts w:ascii="Corbel" w:hAnsi="Corbel" w:cs="Arial"/>
        </w:rPr>
        <w:t xml:space="preserve">by </w:t>
      </w:r>
      <w:r w:rsidR="00F64596">
        <w:rPr>
          <w:rFonts w:ascii="Corbel" w:hAnsi="Corbel" w:cs="Arial"/>
        </w:rPr>
        <w:t xml:space="preserve">its </w:t>
      </w:r>
      <w:r w:rsidRPr="00544D28">
        <w:rPr>
          <w:rFonts w:ascii="Corbel" w:hAnsi="Corbel" w:cs="Arial"/>
        </w:rPr>
        <w:t>member</w:t>
      </w:r>
      <w:r w:rsidR="00F64596">
        <w:rPr>
          <w:rFonts w:ascii="Corbel" w:hAnsi="Corbel" w:cs="Arial"/>
        </w:rPr>
        <w:t>s (e.g.</w:t>
      </w:r>
      <w:r w:rsidRPr="00544D28">
        <w:rPr>
          <w:rFonts w:ascii="Corbel" w:hAnsi="Corbel" w:cs="Arial"/>
        </w:rPr>
        <w:t xml:space="preserve"> quality assurance agencies or providers</w:t>
      </w:r>
      <w:r w:rsidR="00F64596">
        <w:rPr>
          <w:rFonts w:ascii="Corbel" w:hAnsi="Corbel" w:cs="Arial"/>
        </w:rPr>
        <w:t>)</w:t>
      </w:r>
      <w:r w:rsidRPr="00544D28">
        <w:rPr>
          <w:rFonts w:ascii="Corbel" w:hAnsi="Corbel" w:cs="Arial"/>
        </w:rPr>
        <w:t xml:space="preserve">. Obligations </w:t>
      </w:r>
      <w:r>
        <w:rPr>
          <w:rFonts w:ascii="Corbel" w:hAnsi="Corbel" w:cs="Arial"/>
        </w:rPr>
        <w:t xml:space="preserve">of </w:t>
      </w:r>
      <w:r w:rsidRPr="00544D28">
        <w:rPr>
          <w:rFonts w:ascii="Corbel" w:hAnsi="Corbel" w:cs="Arial"/>
        </w:rPr>
        <w:t>members require an external review every five years and the report being made public.</w:t>
      </w:r>
    </w:p>
    <w:p w14:paraId="1268CCAC" w14:textId="5DFC0289" w:rsidR="00F610A8" w:rsidRPr="00803AFE" w:rsidRDefault="004830D0" w:rsidP="00803AFE">
      <w:pPr>
        <w:numPr>
          <w:ilvl w:val="0"/>
          <w:numId w:val="25"/>
        </w:numPr>
        <w:spacing w:after="0" w:line="240" w:lineRule="auto"/>
        <w:rPr>
          <w:rFonts w:asciiTheme="majorHAnsi" w:eastAsiaTheme="majorEastAsia" w:hAnsiTheme="majorHAnsi" w:cstheme="majorBidi"/>
          <w:b/>
          <w:bCs/>
          <w:color w:val="95050F"/>
          <w:sz w:val="26"/>
          <w:szCs w:val="26"/>
        </w:rPr>
      </w:pPr>
      <w:r w:rsidRPr="004830D0">
        <w:t>The</w:t>
      </w:r>
      <w:r w:rsidRPr="00803AFE">
        <w:rPr>
          <w:i/>
        </w:rPr>
        <w:t xml:space="preserve"> </w:t>
      </w:r>
      <w:r w:rsidR="00F610A8" w:rsidRPr="00803AFE">
        <w:rPr>
          <w:i/>
        </w:rPr>
        <w:t>European Association for Quality Assurance in Higher Education (ENQA) Standards and Guidelines for Quality Assurance in the European Higher Education Area</w:t>
      </w:r>
      <w:r w:rsidR="00F610A8">
        <w:rPr>
          <w:rStyle w:val="FootnoteReference"/>
        </w:rPr>
        <w:footnoteReference w:id="87"/>
      </w:r>
      <w:r w:rsidR="00F610A8">
        <w:t xml:space="preserve"> aims to improve </w:t>
      </w:r>
      <w:r w:rsidR="00F610A8" w:rsidRPr="007F70F1">
        <w:t>consistency of quality assurance, strengthen procedures for recognition of qualifications, enhance credibility of quality assurance agencies, strengthen trust and assist mutual recognition.</w:t>
      </w:r>
      <w:r w:rsidR="00F610A8" w:rsidRPr="00803AFE">
        <w:rPr>
          <w:rFonts w:ascii="Whitman-RomanOsF" w:hAnsi="Whitman-RomanOsF" w:cs="Whitman-RomanOsF"/>
          <w:sz w:val="22"/>
          <w:szCs w:val="22"/>
        </w:rPr>
        <w:t xml:space="preserve"> </w:t>
      </w:r>
      <w:r w:rsidR="00F610A8">
        <w:br w:type="page"/>
      </w:r>
    </w:p>
    <w:p w14:paraId="71537852" w14:textId="5C4C9161" w:rsidR="00F610A8" w:rsidRPr="00F610A8" w:rsidRDefault="00F610A8" w:rsidP="00F610A8">
      <w:pPr>
        <w:pStyle w:val="Heading1"/>
        <w:rPr>
          <w:color w:val="95050F"/>
        </w:rPr>
      </w:pPr>
      <w:bookmarkStart w:id="127" w:name="_Toc458938601"/>
      <w:bookmarkStart w:id="128" w:name="_Toc462755582"/>
      <w:r w:rsidRPr="00F610A8">
        <w:rPr>
          <w:color w:val="95050F"/>
        </w:rPr>
        <w:lastRenderedPageBreak/>
        <w:t xml:space="preserve">Appendix </w:t>
      </w:r>
      <w:r w:rsidR="00AE7D04">
        <w:rPr>
          <w:color w:val="95050F"/>
        </w:rPr>
        <w:t>6</w:t>
      </w:r>
      <w:r w:rsidRPr="00F610A8">
        <w:rPr>
          <w:color w:val="95050F"/>
        </w:rPr>
        <w:t>: Regional context</w:t>
      </w:r>
      <w:bookmarkEnd w:id="127"/>
      <w:bookmarkEnd w:id="128"/>
    </w:p>
    <w:p w14:paraId="42AD8306" w14:textId="77777777" w:rsidR="00F610A8" w:rsidRPr="000A3860" w:rsidRDefault="00F610A8" w:rsidP="003C1C91">
      <w:pPr>
        <w:pStyle w:val="PacHead2"/>
      </w:pPr>
      <w:bookmarkStart w:id="129" w:name="_Toc458938602"/>
      <w:r w:rsidRPr="000A3860">
        <w:t>Stakeholders</w:t>
      </w:r>
      <w:bookmarkEnd w:id="129"/>
    </w:p>
    <w:p w14:paraId="15884856" w14:textId="77777777" w:rsidR="00F610A8" w:rsidRDefault="00F610A8" w:rsidP="00BF09CC">
      <w:pPr>
        <w:spacing w:line="240" w:lineRule="auto"/>
      </w:pPr>
      <w:r w:rsidRPr="00384E2B">
        <w:t>The region that encompasses the Pacific islands generally refers to those island countries and territories that are within the tropics, but can include those outside the tropics in certain instances</w:t>
      </w:r>
      <w:r>
        <w:t xml:space="preserve"> (</w:t>
      </w:r>
      <w:r w:rsidRPr="00384E2B">
        <w:t>e.g. Pitcairn Island</w:t>
      </w:r>
      <w:r>
        <w:t>)</w:t>
      </w:r>
      <w:r w:rsidRPr="00384E2B">
        <w:t>.</w:t>
      </w:r>
    </w:p>
    <w:p w14:paraId="41624000" w14:textId="77777777" w:rsidR="00344088" w:rsidRDefault="00F610A8" w:rsidP="00BF09CC">
      <w:pPr>
        <w:spacing w:line="240" w:lineRule="auto"/>
      </w:pPr>
      <w:r>
        <w:t>The PRQS</w:t>
      </w:r>
      <w:r>
        <w:rPr>
          <w:rStyle w:val="FootnoteReference"/>
        </w:rPr>
        <w:footnoteReference w:id="88"/>
      </w:r>
      <w:r>
        <w:t xml:space="preserve"> notes its education stakeholders as including Pacific accrediting agencies and Ministries of Education from PIF countries (i.e., Cook I</w:t>
      </w:r>
      <w:r w:rsidRPr="00855799">
        <w:t xml:space="preserve">slands, Fiji, Kiribati, Marshall Islands, Micronesia, Nauru, Niue, Palau, Papua New Guinea, Samoa, </w:t>
      </w:r>
      <w:r>
        <w:t xml:space="preserve">Solomon Islands, </w:t>
      </w:r>
      <w:r w:rsidRPr="00855799">
        <w:t>Tonga, Tuvalu and Vanuatu</w:t>
      </w:r>
      <w:r>
        <w:t>).</w:t>
      </w:r>
      <w:r>
        <w:rPr>
          <w:rStyle w:val="FootnoteReference"/>
        </w:rPr>
        <w:footnoteReference w:id="89"/>
      </w:r>
      <w:r>
        <w:t xml:space="preserve"> </w:t>
      </w:r>
    </w:p>
    <w:p w14:paraId="284BC5D6" w14:textId="2C8550E3" w:rsidR="00F610A8" w:rsidRDefault="00F610A8" w:rsidP="00BF09CC">
      <w:pPr>
        <w:spacing w:line="240" w:lineRule="auto"/>
      </w:pPr>
      <w:r>
        <w:t xml:space="preserve">However, the remit of the PRQS is not straightforward. The EQAP is within the Pacific Community with a membership of PIF countries and territories as well as </w:t>
      </w:r>
      <w:r w:rsidRPr="00EF31AF">
        <w:t>French Polynesia, Guam, New Caledonia, Northern Mariana Islands, Pitcairn Islands, Tokelau, and Wallis and Futuna</w:t>
      </w:r>
      <w:r>
        <w:t>.</w:t>
      </w:r>
      <w:r>
        <w:rPr>
          <w:rStyle w:val="FootnoteReference"/>
        </w:rPr>
        <w:footnoteReference w:id="90"/>
      </w:r>
      <w:r>
        <w:t xml:space="preserve"> To complicate </w:t>
      </w:r>
      <w:r w:rsidR="005D3092">
        <w:t xml:space="preserve">further </w:t>
      </w:r>
      <w:r>
        <w:t xml:space="preserve">the clarity of a stakeholder group, EQAP </w:t>
      </w:r>
      <w:r w:rsidRPr="00E5709D">
        <w:t xml:space="preserve">contribution paying </w:t>
      </w:r>
      <w:r>
        <w:t xml:space="preserve">Pacific island </w:t>
      </w:r>
      <w:r w:rsidRPr="00E5709D">
        <w:t>countries (</w:t>
      </w:r>
      <w:r>
        <w:t xml:space="preserve">i.e. </w:t>
      </w:r>
      <w:r w:rsidRPr="00E5709D">
        <w:t xml:space="preserve">members) </w:t>
      </w:r>
      <w:r>
        <w:t>include a smaller group</w:t>
      </w:r>
      <w:r w:rsidRPr="00E5709D">
        <w:t xml:space="preserve">: Fiji, Tonga, Samoa, Tokelau, Vanuatu, Tuvalu, Kiribati, </w:t>
      </w:r>
      <w:r>
        <w:t xml:space="preserve">and </w:t>
      </w:r>
      <w:r w:rsidRPr="00E5709D">
        <w:t>Solomon Islands</w:t>
      </w:r>
      <w:r>
        <w:t xml:space="preserve">. </w:t>
      </w:r>
    </w:p>
    <w:p w14:paraId="7DF17E3A" w14:textId="77777777" w:rsidR="00F610A8" w:rsidRPr="000A3860" w:rsidRDefault="00F610A8" w:rsidP="003C1C91">
      <w:pPr>
        <w:pStyle w:val="PacHead2"/>
      </w:pPr>
      <w:bookmarkStart w:id="130" w:name="_Toc458938603"/>
      <w:r w:rsidRPr="000A3860">
        <w:t>Status of countries</w:t>
      </w:r>
      <w:bookmarkEnd w:id="130"/>
    </w:p>
    <w:p w14:paraId="34846EF5" w14:textId="16EEA3F2" w:rsidR="00F610A8" w:rsidRDefault="00F610A8" w:rsidP="00BF09CC">
      <w:pPr>
        <w:spacing w:line="240" w:lineRule="auto"/>
      </w:pPr>
      <w:r>
        <w:t xml:space="preserve">Pacific Island countries and territories </w:t>
      </w:r>
      <w:r w:rsidRPr="0083789D">
        <w:t>are at varying stages of development in regards to national qualifications frameworks and quality assurance processes. In some countries</w:t>
      </w:r>
      <w:r w:rsidR="004830D0">
        <w:t>,</w:t>
      </w:r>
      <w:r w:rsidRPr="0083789D">
        <w:t xml:space="preserve"> the establishment of an NQF and a quality assurance agency is </w:t>
      </w:r>
      <w:r>
        <w:t>still in development</w:t>
      </w:r>
      <w:r w:rsidRPr="0083789D">
        <w:t xml:space="preserve"> </w:t>
      </w:r>
      <w:r>
        <w:t>(</w:t>
      </w:r>
      <w:r w:rsidRPr="0083789D">
        <w:t>e.g. Solomon</w:t>
      </w:r>
      <w:r>
        <w:t xml:space="preserve"> Islands)</w:t>
      </w:r>
      <w:r w:rsidRPr="0083789D">
        <w:t xml:space="preserve">. However, some </w:t>
      </w:r>
      <w:r w:rsidR="0090418E">
        <w:t>Pacific Nations</w:t>
      </w:r>
      <w:r w:rsidR="0090418E" w:rsidRPr="0083789D">
        <w:t xml:space="preserve"> </w:t>
      </w:r>
      <w:r w:rsidRPr="0083789D">
        <w:t>are not considering such approaches due to the expense of developing and maintaining a NQF and national quality assurance strategies in relation to the small number of providers and qualifications to be quality assured</w:t>
      </w:r>
      <w:r>
        <w:t xml:space="preserve"> (e.g. Tokelau)</w:t>
      </w:r>
      <w:r w:rsidRPr="0083789D">
        <w:t>.</w:t>
      </w:r>
      <w:r>
        <w:t xml:space="preserve"> There are others (e.g. the USA aligned countries) where there is no NQF and no national quality assurance agencies (although there are quality assurance agencies such as </w:t>
      </w:r>
      <w:r w:rsidRPr="00506527">
        <w:t>Western Association of Schools and Colleges</w:t>
      </w:r>
      <w:r>
        <w:t xml:space="preserve"> [WASC]).</w:t>
      </w:r>
    </w:p>
    <w:p w14:paraId="57A17875" w14:textId="722C71B0" w:rsidR="00F610A8" w:rsidRPr="00E21F50" w:rsidRDefault="00F610A8" w:rsidP="00BF09CC">
      <w:pPr>
        <w:spacing w:line="240" w:lineRule="auto"/>
        <w:rPr>
          <w:b/>
        </w:rPr>
      </w:pPr>
      <w:bookmarkStart w:id="131" w:name="_Toc458892560"/>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5</w:t>
      </w:r>
      <w:r w:rsidRPr="00E21F50">
        <w:rPr>
          <w:b/>
        </w:rPr>
        <w:fldChar w:fldCharType="end"/>
      </w:r>
      <w:r w:rsidRPr="00E21F50">
        <w:rPr>
          <w:b/>
        </w:rPr>
        <w:t>: Current status of countries</w:t>
      </w:r>
      <w:bookmarkEnd w:id="131"/>
    </w:p>
    <w:tbl>
      <w:tblPr>
        <w:tblStyle w:val="TableGrid"/>
        <w:tblW w:w="5000" w:type="pct"/>
        <w:tblLook w:val="04A0" w:firstRow="1" w:lastRow="0" w:firstColumn="1" w:lastColumn="0" w:noHBand="0" w:noVBand="1"/>
      </w:tblPr>
      <w:tblGrid>
        <w:gridCol w:w="1838"/>
        <w:gridCol w:w="5245"/>
        <w:gridCol w:w="2097"/>
      </w:tblGrid>
      <w:tr w:rsidR="00F610A8" w:rsidRPr="007D504D" w14:paraId="36D2C633" w14:textId="77777777" w:rsidTr="00F610A8">
        <w:trPr>
          <w:tblHeader/>
        </w:trPr>
        <w:tc>
          <w:tcPr>
            <w:tcW w:w="1001" w:type="pct"/>
            <w:shd w:val="clear" w:color="auto" w:fill="D9D9D9" w:themeFill="background1" w:themeFillShade="D9"/>
          </w:tcPr>
          <w:p w14:paraId="6896F6F8" w14:textId="77777777" w:rsidR="00F610A8" w:rsidRPr="007D504D" w:rsidRDefault="00F610A8" w:rsidP="00F610A8">
            <w:pPr>
              <w:spacing w:after="0" w:line="240" w:lineRule="auto"/>
              <w:rPr>
                <w:rFonts w:cs="Arial"/>
                <w:b/>
                <w:sz w:val="20"/>
                <w:szCs w:val="20"/>
                <w:lang w:val="en"/>
              </w:rPr>
            </w:pPr>
            <w:r w:rsidRPr="007D504D">
              <w:rPr>
                <w:rFonts w:cs="Arial"/>
                <w:b/>
                <w:sz w:val="20"/>
                <w:szCs w:val="20"/>
                <w:lang w:val="en"/>
              </w:rPr>
              <w:t>Country</w:t>
            </w:r>
          </w:p>
        </w:tc>
        <w:tc>
          <w:tcPr>
            <w:tcW w:w="2857" w:type="pct"/>
            <w:shd w:val="clear" w:color="auto" w:fill="D9D9D9" w:themeFill="background1" w:themeFillShade="D9"/>
          </w:tcPr>
          <w:p w14:paraId="028D7977" w14:textId="77777777" w:rsidR="00F610A8" w:rsidRPr="007D504D" w:rsidRDefault="00F610A8" w:rsidP="00F610A8">
            <w:pPr>
              <w:spacing w:after="0" w:line="240" w:lineRule="auto"/>
              <w:rPr>
                <w:rFonts w:cs="Arial"/>
                <w:b/>
                <w:sz w:val="20"/>
                <w:szCs w:val="20"/>
                <w:lang w:val="en"/>
              </w:rPr>
            </w:pPr>
            <w:r w:rsidRPr="007D504D">
              <w:rPr>
                <w:rFonts w:cs="Arial"/>
                <w:b/>
                <w:sz w:val="20"/>
                <w:szCs w:val="20"/>
                <w:lang w:val="en"/>
              </w:rPr>
              <w:t>Established QA and QF</w:t>
            </w:r>
          </w:p>
        </w:tc>
        <w:tc>
          <w:tcPr>
            <w:tcW w:w="1142" w:type="pct"/>
            <w:shd w:val="clear" w:color="auto" w:fill="D9D9D9" w:themeFill="background1" w:themeFillShade="D9"/>
          </w:tcPr>
          <w:p w14:paraId="087976E4" w14:textId="77777777" w:rsidR="00F610A8" w:rsidRPr="007D504D" w:rsidRDefault="00F610A8" w:rsidP="00F610A8">
            <w:pPr>
              <w:spacing w:after="0" w:line="240" w:lineRule="auto"/>
              <w:rPr>
                <w:rFonts w:cs="Arial"/>
                <w:b/>
                <w:sz w:val="20"/>
                <w:szCs w:val="20"/>
                <w:lang w:val="en"/>
              </w:rPr>
            </w:pPr>
            <w:r w:rsidRPr="007D504D">
              <w:rPr>
                <w:rFonts w:cs="Arial"/>
                <w:b/>
                <w:sz w:val="20"/>
                <w:szCs w:val="20"/>
                <w:lang w:val="en"/>
              </w:rPr>
              <w:t>QA Focus</w:t>
            </w:r>
          </w:p>
        </w:tc>
      </w:tr>
      <w:tr w:rsidR="00F610A8" w:rsidRPr="007D504D" w14:paraId="1292B59A" w14:textId="77777777" w:rsidTr="00F610A8">
        <w:tc>
          <w:tcPr>
            <w:tcW w:w="1001" w:type="pct"/>
          </w:tcPr>
          <w:p w14:paraId="4F0A53EE"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Cook Islands</w:t>
            </w:r>
          </w:p>
        </w:tc>
        <w:tc>
          <w:tcPr>
            <w:tcW w:w="2857" w:type="pct"/>
          </w:tcPr>
          <w:p w14:paraId="5A42B1F8"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NZQA registration and accreditation</w:t>
            </w:r>
            <w:r w:rsidRPr="007D504D">
              <w:rPr>
                <w:rFonts w:cs="Arial"/>
                <w:sz w:val="20"/>
                <w:szCs w:val="20"/>
                <w:lang w:val="en"/>
              </w:rPr>
              <w:br/>
              <w:t>New Zealand Qualifications Framework</w:t>
            </w:r>
          </w:p>
        </w:tc>
        <w:tc>
          <w:tcPr>
            <w:tcW w:w="1142" w:type="pct"/>
          </w:tcPr>
          <w:p w14:paraId="4BB24F22"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NZ</w:t>
            </w:r>
          </w:p>
        </w:tc>
      </w:tr>
      <w:tr w:rsidR="00F610A8" w:rsidRPr="007D504D" w14:paraId="4CBC2083" w14:textId="77777777" w:rsidTr="00F610A8">
        <w:tc>
          <w:tcPr>
            <w:tcW w:w="1001" w:type="pct"/>
          </w:tcPr>
          <w:p w14:paraId="214D9E2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Federated States of Micronesia</w:t>
            </w:r>
          </w:p>
        </w:tc>
        <w:tc>
          <w:tcPr>
            <w:tcW w:w="2857" w:type="pct"/>
          </w:tcPr>
          <w:p w14:paraId="39B9036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Seeks registration and accreditation with Western Association of Schools and Colleges (WASC)</w:t>
            </w:r>
          </w:p>
        </w:tc>
        <w:tc>
          <w:tcPr>
            <w:tcW w:w="1142" w:type="pct"/>
          </w:tcPr>
          <w:p w14:paraId="09C459F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WASC (USA)</w:t>
            </w:r>
          </w:p>
        </w:tc>
      </w:tr>
      <w:tr w:rsidR="00F610A8" w:rsidRPr="007D504D" w14:paraId="0C2795F8" w14:textId="77777777" w:rsidTr="00F610A8">
        <w:tc>
          <w:tcPr>
            <w:tcW w:w="1001" w:type="pct"/>
          </w:tcPr>
          <w:p w14:paraId="68381BE0"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Fiji</w:t>
            </w:r>
          </w:p>
        </w:tc>
        <w:tc>
          <w:tcPr>
            <w:tcW w:w="2857" w:type="pct"/>
          </w:tcPr>
          <w:p w14:paraId="4B925BDB"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Fiji Higher Education Commission</w:t>
            </w:r>
            <w:r w:rsidRPr="007D504D">
              <w:rPr>
                <w:rFonts w:cs="Arial"/>
                <w:sz w:val="20"/>
                <w:szCs w:val="20"/>
                <w:lang w:val="en"/>
              </w:rPr>
              <w:br/>
              <w:t xml:space="preserve">Fiji Qualifications Framework </w:t>
            </w:r>
          </w:p>
        </w:tc>
        <w:tc>
          <w:tcPr>
            <w:tcW w:w="1142" w:type="pct"/>
          </w:tcPr>
          <w:p w14:paraId="48DAC796"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 xml:space="preserve">National </w:t>
            </w:r>
          </w:p>
        </w:tc>
      </w:tr>
      <w:tr w:rsidR="00F610A8" w:rsidRPr="007D504D" w14:paraId="3DE43764" w14:textId="77777777" w:rsidTr="00F610A8">
        <w:tc>
          <w:tcPr>
            <w:tcW w:w="1001" w:type="pct"/>
          </w:tcPr>
          <w:p w14:paraId="65B101B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Kiribati</w:t>
            </w:r>
          </w:p>
        </w:tc>
        <w:tc>
          <w:tcPr>
            <w:tcW w:w="2857" w:type="pct"/>
          </w:tcPr>
          <w:p w14:paraId="529BB34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 xml:space="preserve">A legislative and policy framework for education has been established. Has sought services from EQAP to accredit qualifications and register providers. </w:t>
            </w:r>
          </w:p>
          <w:p w14:paraId="3A3996EA"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Adopted the PQF and PQAF</w:t>
            </w:r>
          </w:p>
        </w:tc>
        <w:tc>
          <w:tcPr>
            <w:tcW w:w="1142" w:type="pct"/>
          </w:tcPr>
          <w:p w14:paraId="4E5F6CF8" w14:textId="77777777" w:rsidR="00F610A8" w:rsidRPr="007D504D" w:rsidRDefault="00F610A8" w:rsidP="00F610A8">
            <w:pPr>
              <w:spacing w:after="0" w:line="240" w:lineRule="auto"/>
              <w:rPr>
                <w:rFonts w:cs="Arial"/>
                <w:i/>
                <w:sz w:val="20"/>
                <w:szCs w:val="20"/>
                <w:lang w:val="en"/>
              </w:rPr>
            </w:pPr>
            <w:r w:rsidRPr="007D504D">
              <w:rPr>
                <w:rFonts w:cs="Arial"/>
                <w:i/>
                <w:sz w:val="20"/>
                <w:szCs w:val="20"/>
                <w:lang w:val="en"/>
              </w:rPr>
              <w:t>EQAP (proposed)</w:t>
            </w:r>
          </w:p>
        </w:tc>
      </w:tr>
      <w:tr w:rsidR="00F610A8" w:rsidRPr="007D504D" w14:paraId="6728A19F" w14:textId="77777777" w:rsidTr="00F610A8">
        <w:tc>
          <w:tcPr>
            <w:tcW w:w="1001" w:type="pct"/>
          </w:tcPr>
          <w:p w14:paraId="772DD43C"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Nauru</w:t>
            </w:r>
          </w:p>
        </w:tc>
        <w:tc>
          <w:tcPr>
            <w:tcW w:w="2857" w:type="pct"/>
          </w:tcPr>
          <w:p w14:paraId="34340AFE"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Australian Qualifications Framework</w:t>
            </w:r>
          </w:p>
        </w:tc>
        <w:tc>
          <w:tcPr>
            <w:tcW w:w="1142" w:type="pct"/>
          </w:tcPr>
          <w:p w14:paraId="4B967C3A" w14:textId="77777777" w:rsidR="00F610A8" w:rsidRPr="007D504D" w:rsidRDefault="00F610A8" w:rsidP="00F610A8">
            <w:pPr>
              <w:spacing w:after="0" w:line="240" w:lineRule="auto"/>
              <w:rPr>
                <w:rFonts w:cs="Arial"/>
                <w:i/>
                <w:sz w:val="20"/>
                <w:szCs w:val="20"/>
                <w:lang w:val="en"/>
              </w:rPr>
            </w:pPr>
            <w:r w:rsidRPr="007D504D">
              <w:rPr>
                <w:rFonts w:cs="Arial"/>
                <w:i/>
                <w:sz w:val="20"/>
                <w:szCs w:val="20"/>
                <w:lang w:val="en"/>
              </w:rPr>
              <w:t>Australia (through registered provider)</w:t>
            </w:r>
          </w:p>
        </w:tc>
      </w:tr>
      <w:tr w:rsidR="00F610A8" w:rsidRPr="007D504D" w14:paraId="0AA78FB1" w14:textId="77777777" w:rsidTr="00F610A8">
        <w:tc>
          <w:tcPr>
            <w:tcW w:w="1001" w:type="pct"/>
          </w:tcPr>
          <w:p w14:paraId="1CCD47D3"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lastRenderedPageBreak/>
              <w:t>Niue</w:t>
            </w:r>
          </w:p>
        </w:tc>
        <w:tc>
          <w:tcPr>
            <w:tcW w:w="2857" w:type="pct"/>
          </w:tcPr>
          <w:p w14:paraId="0A49352F"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NZQA registration and accreditation</w:t>
            </w:r>
            <w:r w:rsidRPr="007D504D">
              <w:rPr>
                <w:rFonts w:cs="Arial"/>
                <w:sz w:val="20"/>
                <w:szCs w:val="20"/>
                <w:lang w:val="en"/>
              </w:rPr>
              <w:br/>
              <w:t>New Zealand Qualifications Framework</w:t>
            </w:r>
          </w:p>
        </w:tc>
        <w:tc>
          <w:tcPr>
            <w:tcW w:w="1142" w:type="pct"/>
          </w:tcPr>
          <w:p w14:paraId="358A0326"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NZ</w:t>
            </w:r>
          </w:p>
        </w:tc>
      </w:tr>
      <w:tr w:rsidR="00F610A8" w:rsidRPr="007D504D" w14:paraId="57CBA20C" w14:textId="77777777" w:rsidTr="00F610A8">
        <w:tc>
          <w:tcPr>
            <w:tcW w:w="1001" w:type="pct"/>
          </w:tcPr>
          <w:p w14:paraId="59402655"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Papua New Guinea</w:t>
            </w:r>
          </w:p>
        </w:tc>
        <w:tc>
          <w:tcPr>
            <w:tcW w:w="2857" w:type="pct"/>
          </w:tcPr>
          <w:p w14:paraId="0D0B6B17" w14:textId="77777777" w:rsidR="00F610A8" w:rsidRPr="007D504D" w:rsidRDefault="00F610A8" w:rsidP="00F610A8">
            <w:pPr>
              <w:spacing w:after="0" w:line="240" w:lineRule="auto"/>
              <w:rPr>
                <w:rFonts w:cs="Arial"/>
                <w:sz w:val="20"/>
                <w:szCs w:val="20"/>
                <w:lang w:val="en"/>
              </w:rPr>
            </w:pPr>
            <w:r w:rsidRPr="007D504D">
              <w:rPr>
                <w:sz w:val="20"/>
                <w:szCs w:val="20"/>
              </w:rPr>
              <w:t xml:space="preserve">Department of Higher Education, Research, Science and Technology </w:t>
            </w:r>
            <w:r w:rsidRPr="007D504D">
              <w:rPr>
                <w:sz w:val="20"/>
                <w:szCs w:val="20"/>
              </w:rPr>
              <w:br/>
            </w:r>
            <w:r w:rsidRPr="007D504D">
              <w:rPr>
                <w:rFonts w:cs="Arial"/>
                <w:sz w:val="20"/>
                <w:szCs w:val="20"/>
                <w:lang w:val="en"/>
              </w:rPr>
              <w:t>PNGNQF – schematic pathways</w:t>
            </w:r>
          </w:p>
        </w:tc>
        <w:tc>
          <w:tcPr>
            <w:tcW w:w="1142" w:type="pct"/>
          </w:tcPr>
          <w:p w14:paraId="0A180D8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National</w:t>
            </w:r>
          </w:p>
        </w:tc>
      </w:tr>
      <w:tr w:rsidR="00F610A8" w:rsidRPr="007D504D" w14:paraId="05412B59" w14:textId="77777777" w:rsidTr="00F610A8">
        <w:tc>
          <w:tcPr>
            <w:tcW w:w="1001" w:type="pct"/>
          </w:tcPr>
          <w:p w14:paraId="3A14946E"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Republic of Palau</w:t>
            </w:r>
          </w:p>
        </w:tc>
        <w:tc>
          <w:tcPr>
            <w:tcW w:w="2857" w:type="pct"/>
          </w:tcPr>
          <w:p w14:paraId="428F1348"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Seeks registration and accreditation with Western Association of Schools and Colleges (WASC)</w:t>
            </w:r>
          </w:p>
        </w:tc>
        <w:tc>
          <w:tcPr>
            <w:tcW w:w="1142" w:type="pct"/>
          </w:tcPr>
          <w:p w14:paraId="05E38A66"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WASC (USA)</w:t>
            </w:r>
          </w:p>
        </w:tc>
      </w:tr>
      <w:tr w:rsidR="00F610A8" w:rsidRPr="007D504D" w14:paraId="6036CFD3" w14:textId="77777777" w:rsidTr="00F610A8">
        <w:tc>
          <w:tcPr>
            <w:tcW w:w="1001" w:type="pct"/>
          </w:tcPr>
          <w:p w14:paraId="3028A2F7"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Republic of the Marshall Islands</w:t>
            </w:r>
          </w:p>
        </w:tc>
        <w:tc>
          <w:tcPr>
            <w:tcW w:w="2857" w:type="pct"/>
          </w:tcPr>
          <w:p w14:paraId="2200A8F6"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Seeks registration and accreditation with Western Association of Schools and Colleges (WASC)</w:t>
            </w:r>
          </w:p>
        </w:tc>
        <w:tc>
          <w:tcPr>
            <w:tcW w:w="1142" w:type="pct"/>
          </w:tcPr>
          <w:p w14:paraId="0E5EA6EF"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WASC (USA)</w:t>
            </w:r>
          </w:p>
        </w:tc>
      </w:tr>
      <w:tr w:rsidR="00F610A8" w:rsidRPr="007D504D" w14:paraId="09173763" w14:textId="77777777" w:rsidTr="00F610A8">
        <w:tc>
          <w:tcPr>
            <w:tcW w:w="1001" w:type="pct"/>
          </w:tcPr>
          <w:p w14:paraId="31CFC9EA"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Samoa</w:t>
            </w:r>
          </w:p>
        </w:tc>
        <w:tc>
          <w:tcPr>
            <w:tcW w:w="2857" w:type="pct"/>
          </w:tcPr>
          <w:p w14:paraId="0B81DDF1"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Samoa Qualifications Authority</w:t>
            </w:r>
            <w:r w:rsidRPr="007D504D">
              <w:rPr>
                <w:rFonts w:cs="Arial"/>
                <w:sz w:val="20"/>
                <w:szCs w:val="20"/>
                <w:lang w:val="en"/>
              </w:rPr>
              <w:br/>
              <w:t>Samoa Qualifications Framework</w:t>
            </w:r>
          </w:p>
        </w:tc>
        <w:tc>
          <w:tcPr>
            <w:tcW w:w="1142" w:type="pct"/>
          </w:tcPr>
          <w:p w14:paraId="102C286A"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National</w:t>
            </w:r>
          </w:p>
        </w:tc>
      </w:tr>
      <w:tr w:rsidR="00F610A8" w:rsidRPr="007D504D" w14:paraId="7DC15F85" w14:textId="77777777" w:rsidTr="00F610A8">
        <w:tc>
          <w:tcPr>
            <w:tcW w:w="1001" w:type="pct"/>
          </w:tcPr>
          <w:p w14:paraId="5AB49260"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Solomon Islands</w:t>
            </w:r>
          </w:p>
        </w:tc>
        <w:tc>
          <w:tcPr>
            <w:tcW w:w="2857" w:type="pct"/>
          </w:tcPr>
          <w:p w14:paraId="5C605CAB" w14:textId="77777777" w:rsidR="00F610A8" w:rsidRPr="007D504D" w:rsidRDefault="00F610A8" w:rsidP="00F610A8">
            <w:pPr>
              <w:spacing w:after="0" w:line="240" w:lineRule="auto"/>
              <w:rPr>
                <w:rFonts w:cs="Arial"/>
                <w:sz w:val="20"/>
                <w:szCs w:val="20"/>
                <w:lang w:val="en"/>
              </w:rPr>
            </w:pPr>
            <w:r w:rsidRPr="007D504D">
              <w:rPr>
                <w:rFonts w:cs="Arial"/>
                <w:i/>
                <w:sz w:val="20"/>
                <w:szCs w:val="20"/>
                <w:lang w:val="en"/>
              </w:rPr>
              <w:t>Proposed</w:t>
            </w:r>
            <w:r w:rsidRPr="007D504D">
              <w:rPr>
                <w:rFonts w:cs="Arial"/>
                <w:sz w:val="20"/>
                <w:szCs w:val="20"/>
                <w:lang w:val="en"/>
              </w:rPr>
              <w:t xml:space="preserve"> NQF and Quality Assurance agency</w:t>
            </w:r>
          </w:p>
        </w:tc>
        <w:tc>
          <w:tcPr>
            <w:tcW w:w="1142" w:type="pct"/>
          </w:tcPr>
          <w:p w14:paraId="77CFE642" w14:textId="77777777" w:rsidR="00F610A8" w:rsidRPr="007D504D" w:rsidRDefault="00F610A8" w:rsidP="00F610A8">
            <w:pPr>
              <w:spacing w:after="0" w:line="240" w:lineRule="auto"/>
              <w:rPr>
                <w:rFonts w:cs="Arial"/>
                <w:i/>
                <w:sz w:val="20"/>
                <w:szCs w:val="20"/>
                <w:lang w:val="en"/>
              </w:rPr>
            </w:pPr>
            <w:r w:rsidRPr="007D504D">
              <w:rPr>
                <w:rFonts w:cs="Arial"/>
                <w:i/>
                <w:sz w:val="20"/>
                <w:szCs w:val="20"/>
                <w:lang w:val="en"/>
              </w:rPr>
              <w:t>National (proposed)</w:t>
            </w:r>
          </w:p>
        </w:tc>
      </w:tr>
      <w:tr w:rsidR="00F610A8" w:rsidRPr="007D504D" w14:paraId="4F63778A" w14:textId="77777777" w:rsidTr="00F610A8">
        <w:tc>
          <w:tcPr>
            <w:tcW w:w="1001" w:type="pct"/>
          </w:tcPr>
          <w:p w14:paraId="7E7A60BB"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Tokelau</w:t>
            </w:r>
          </w:p>
        </w:tc>
        <w:tc>
          <w:tcPr>
            <w:tcW w:w="2857" w:type="pct"/>
          </w:tcPr>
          <w:p w14:paraId="37DDEA08" w14:textId="77777777" w:rsidR="00F610A8" w:rsidRPr="007D504D" w:rsidRDefault="00F610A8" w:rsidP="00F610A8">
            <w:pPr>
              <w:spacing w:after="0" w:line="240" w:lineRule="auto"/>
              <w:rPr>
                <w:rFonts w:cs="Arial"/>
                <w:sz w:val="20"/>
                <w:szCs w:val="20"/>
                <w:lang w:val="en"/>
              </w:rPr>
            </w:pPr>
          </w:p>
        </w:tc>
        <w:tc>
          <w:tcPr>
            <w:tcW w:w="1142" w:type="pct"/>
          </w:tcPr>
          <w:p w14:paraId="576817BC" w14:textId="77777777" w:rsidR="00F610A8" w:rsidRPr="007D504D" w:rsidRDefault="00F610A8" w:rsidP="00F610A8">
            <w:pPr>
              <w:spacing w:after="0" w:line="240" w:lineRule="auto"/>
              <w:rPr>
                <w:rFonts w:cs="Arial"/>
                <w:i/>
                <w:sz w:val="20"/>
                <w:szCs w:val="20"/>
                <w:lang w:val="en"/>
              </w:rPr>
            </w:pPr>
            <w:r w:rsidRPr="007D504D">
              <w:rPr>
                <w:rFonts w:cs="Arial"/>
                <w:i/>
                <w:sz w:val="20"/>
                <w:szCs w:val="20"/>
                <w:lang w:val="en"/>
              </w:rPr>
              <w:t>NZ (anticipated)</w:t>
            </w:r>
          </w:p>
        </w:tc>
      </w:tr>
      <w:tr w:rsidR="00F610A8" w:rsidRPr="007D504D" w14:paraId="28473CAE" w14:textId="77777777" w:rsidTr="00F610A8">
        <w:tc>
          <w:tcPr>
            <w:tcW w:w="1001" w:type="pct"/>
          </w:tcPr>
          <w:p w14:paraId="35EDC6B8"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Tonga</w:t>
            </w:r>
          </w:p>
        </w:tc>
        <w:tc>
          <w:tcPr>
            <w:tcW w:w="2857" w:type="pct"/>
          </w:tcPr>
          <w:p w14:paraId="7DED55A9"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TNQAB</w:t>
            </w:r>
            <w:r w:rsidRPr="007D504D">
              <w:rPr>
                <w:rFonts w:cs="Arial"/>
                <w:sz w:val="20"/>
                <w:szCs w:val="20"/>
                <w:lang w:val="en"/>
              </w:rPr>
              <w:br/>
              <w:t xml:space="preserve">Tonga Qualifications Framework </w:t>
            </w:r>
          </w:p>
        </w:tc>
        <w:tc>
          <w:tcPr>
            <w:tcW w:w="1142" w:type="pct"/>
          </w:tcPr>
          <w:p w14:paraId="14FC25EA"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National</w:t>
            </w:r>
          </w:p>
        </w:tc>
      </w:tr>
      <w:tr w:rsidR="00F610A8" w:rsidRPr="007D504D" w14:paraId="6F309FD1" w14:textId="77777777" w:rsidTr="00F610A8">
        <w:tc>
          <w:tcPr>
            <w:tcW w:w="1001" w:type="pct"/>
          </w:tcPr>
          <w:p w14:paraId="4FEF9B4E"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Tuvalu</w:t>
            </w:r>
          </w:p>
        </w:tc>
        <w:tc>
          <w:tcPr>
            <w:tcW w:w="2857" w:type="pct"/>
          </w:tcPr>
          <w:p w14:paraId="3625CCBD"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 xml:space="preserve">Has sought expert advice from EQAP to register and accredit </w:t>
            </w:r>
            <w:r w:rsidRPr="007D504D">
              <w:rPr>
                <w:rFonts w:cs="Arial"/>
                <w:sz w:val="20"/>
                <w:szCs w:val="20"/>
                <w:lang w:val="en"/>
              </w:rPr>
              <w:br/>
              <w:t>programs under the PQF.</w:t>
            </w:r>
          </w:p>
          <w:p w14:paraId="632C3A7C"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Adopted the PQF and PQAF, and is establishing a QA unit.</w:t>
            </w:r>
          </w:p>
        </w:tc>
        <w:tc>
          <w:tcPr>
            <w:tcW w:w="1142" w:type="pct"/>
          </w:tcPr>
          <w:p w14:paraId="32CCA05B"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National</w:t>
            </w:r>
          </w:p>
        </w:tc>
      </w:tr>
      <w:tr w:rsidR="00F610A8" w:rsidRPr="007D504D" w14:paraId="06AC29C2" w14:textId="77777777" w:rsidTr="00F610A8">
        <w:tc>
          <w:tcPr>
            <w:tcW w:w="1001" w:type="pct"/>
          </w:tcPr>
          <w:p w14:paraId="3770102F"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Vanuatu</w:t>
            </w:r>
          </w:p>
        </w:tc>
        <w:tc>
          <w:tcPr>
            <w:tcW w:w="2857" w:type="pct"/>
          </w:tcPr>
          <w:p w14:paraId="6129AD45"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Vanuatu Qualifications Authority</w:t>
            </w:r>
            <w:r w:rsidRPr="007D504D">
              <w:rPr>
                <w:rFonts w:cs="Arial"/>
                <w:sz w:val="20"/>
                <w:szCs w:val="20"/>
                <w:lang w:val="en"/>
              </w:rPr>
              <w:br/>
              <w:t xml:space="preserve">Vanuatu Qualifications Framework </w:t>
            </w:r>
          </w:p>
        </w:tc>
        <w:tc>
          <w:tcPr>
            <w:tcW w:w="1142" w:type="pct"/>
          </w:tcPr>
          <w:p w14:paraId="16E913E0" w14:textId="77777777" w:rsidR="00F610A8" w:rsidRPr="007D504D" w:rsidRDefault="00F610A8" w:rsidP="00F610A8">
            <w:pPr>
              <w:spacing w:after="0" w:line="240" w:lineRule="auto"/>
              <w:rPr>
                <w:rFonts w:cs="Arial"/>
                <w:sz w:val="20"/>
                <w:szCs w:val="20"/>
                <w:lang w:val="en"/>
              </w:rPr>
            </w:pPr>
            <w:r w:rsidRPr="007D504D">
              <w:rPr>
                <w:rFonts w:cs="Arial"/>
                <w:sz w:val="20"/>
                <w:szCs w:val="20"/>
                <w:lang w:val="en"/>
              </w:rPr>
              <w:t>National</w:t>
            </w:r>
          </w:p>
        </w:tc>
      </w:tr>
    </w:tbl>
    <w:p w14:paraId="15CA9F7E" w14:textId="77777777" w:rsidR="00F610A8" w:rsidRPr="009A3692" w:rsidRDefault="00F610A8" w:rsidP="003F6C25">
      <w:pPr>
        <w:spacing w:before="0" w:line="240" w:lineRule="auto"/>
        <w:rPr>
          <w:sz w:val="20"/>
        </w:rPr>
      </w:pPr>
      <w:r w:rsidRPr="009A3692">
        <w:rPr>
          <w:sz w:val="20"/>
        </w:rPr>
        <w:t>Source: Adapted and updated from Bateman (2013)</w:t>
      </w:r>
    </w:p>
    <w:p w14:paraId="1955581A" w14:textId="77777777" w:rsidR="00F610A8" w:rsidRDefault="00F610A8" w:rsidP="00941B5B">
      <w:pPr>
        <w:spacing w:line="240" w:lineRule="auto"/>
      </w:pPr>
      <w:r>
        <w:t xml:space="preserve">Countries are characterised by a small number of post-secondary providers with a narrow scope of offerings and reliance on donor funding for many of the quality assurance activities. In most cases, even countries with an established quality assurance agency and an NQF are still at the implementation stages of their NQF and quality assurance arrangements. </w:t>
      </w:r>
    </w:p>
    <w:p w14:paraId="21B16E8D" w14:textId="2CB2F606" w:rsidR="00F610A8" w:rsidRPr="00FD3A2D" w:rsidRDefault="00F610A8" w:rsidP="00F610A8">
      <w:pPr>
        <w:pStyle w:val="PacHead2"/>
      </w:pPr>
      <w:bookmarkStart w:id="132" w:name="_Toc458938604"/>
      <w:r>
        <w:t>L</w:t>
      </w:r>
      <w:r w:rsidRPr="00FD3A2D">
        <w:t xml:space="preserve">earner </w:t>
      </w:r>
      <w:r>
        <w:t xml:space="preserve">and labour </w:t>
      </w:r>
      <w:r w:rsidRPr="00FD3A2D">
        <w:t>mobility</w:t>
      </w:r>
      <w:bookmarkEnd w:id="132"/>
    </w:p>
    <w:p w14:paraId="2EEAD138" w14:textId="77777777" w:rsidR="00F610A8" w:rsidRPr="00F97232" w:rsidRDefault="00F610A8" w:rsidP="00C35EB4">
      <w:pPr>
        <w:pStyle w:val="PacHead3"/>
      </w:pPr>
      <w:r w:rsidRPr="00F97232">
        <w:t>Learner mobility</w:t>
      </w:r>
    </w:p>
    <w:p w14:paraId="01691B74" w14:textId="77777777" w:rsidR="00F610A8" w:rsidRDefault="00F610A8" w:rsidP="00BF09CC">
      <w:pPr>
        <w:spacing w:line="240" w:lineRule="auto"/>
      </w:pPr>
      <w:r w:rsidRPr="007F70F1">
        <w:t>The increasing demand for post</w:t>
      </w:r>
      <w:r>
        <w:t>-</w:t>
      </w:r>
      <w:r w:rsidRPr="007F70F1">
        <w:t xml:space="preserve">secondary education has influenced the growth of students seeking education in countries other than their own. One of the potential benefits of the PRQS is to assist in the assessment of qualifications to facilitate the mobility of students. </w:t>
      </w:r>
    </w:p>
    <w:p w14:paraId="384ED6E8" w14:textId="3FAA84A1" w:rsidR="00F610A8" w:rsidRPr="007F70F1" w:rsidRDefault="00F610A8" w:rsidP="00BF09CC">
      <w:pPr>
        <w:spacing w:line="240" w:lineRule="auto"/>
      </w:pPr>
      <w:r>
        <w:t>Collated d</w:t>
      </w:r>
      <w:r w:rsidRPr="00F97232">
        <w:t xml:space="preserve">ata to track the extent of </w:t>
      </w:r>
      <w:r>
        <w:t>learner</w:t>
      </w:r>
      <w:r w:rsidRPr="00F97232">
        <w:t xml:space="preserve"> mobility within the Pacific regional countries, not including Australia and New Zealand, </w:t>
      </w:r>
      <w:r>
        <w:t>is</w:t>
      </w:r>
      <w:r w:rsidRPr="00F97232">
        <w:t xml:space="preserve"> not easy to </w:t>
      </w:r>
      <w:r w:rsidRPr="00393401">
        <w:t>source</w:t>
      </w:r>
      <w:r>
        <w:t xml:space="preserve">. UNESCO </w:t>
      </w:r>
      <w:r w:rsidRPr="007F70F1">
        <w:t>Institute for Statistics</w:t>
      </w:r>
      <w:r>
        <w:t xml:space="preserve"> provides collated data of learner mobility in the Pacific, but this data is patchy in relation to country responses (excluding Australia and New Zealand). There is no known collated source of recognition of qualifications undertaken across the Pacific. </w:t>
      </w:r>
      <w:r w:rsidR="0057430F">
        <w:t>I</w:t>
      </w:r>
      <w:r>
        <w:t xml:space="preserve">ndividual organisations </w:t>
      </w:r>
      <w:r w:rsidR="0057430F">
        <w:t xml:space="preserve">were approached </w:t>
      </w:r>
      <w:r>
        <w:t>for</w:t>
      </w:r>
      <w:r w:rsidR="0057430F">
        <w:t xml:space="preserve"> data of</w:t>
      </w:r>
      <w:r>
        <w:t xml:space="preserve"> both learner mobility and re</w:t>
      </w:r>
      <w:r w:rsidR="0057430F">
        <w:t>cognition of qualifications</w:t>
      </w:r>
      <w:r>
        <w:t>; due to the time limitations on the collection period for this review, responses were restricted to those noted below</w:t>
      </w:r>
      <w:r w:rsidRPr="007F70F1">
        <w:t>.</w:t>
      </w:r>
      <w:r>
        <w:t xml:space="preserve"> A potential role for the </w:t>
      </w:r>
      <w:r>
        <w:rPr>
          <w:rFonts w:cs="Arial"/>
        </w:rPr>
        <w:t>Assessment and Standards Unit</w:t>
      </w:r>
      <w:r w:rsidRPr="006910A6">
        <w:t xml:space="preserve"> </w:t>
      </w:r>
      <w:r>
        <w:t xml:space="preserve">could be to facilitate country processes in terms of data collection and recognition processes. In addition, the ASU could provide a central responsibility of collated annual reports provided by each participating country of learner mobility and especially of qualifications recognition, to better inform other regional strategies. </w:t>
      </w:r>
    </w:p>
    <w:p w14:paraId="43974ABD" w14:textId="0E165A90" w:rsidR="00F610A8" w:rsidRPr="007F70F1" w:rsidRDefault="00F610A8" w:rsidP="00BF09CC">
      <w:pPr>
        <w:spacing w:line="240" w:lineRule="auto"/>
      </w:pPr>
      <w:r w:rsidRPr="007F70F1">
        <w:t>Learner mobility data derived from the UNESCO Institute for Statistics show</w:t>
      </w:r>
      <w:r>
        <w:t>s</w:t>
      </w:r>
      <w:r w:rsidRPr="007F70F1">
        <w:t xml:space="preserve"> significant differences in trends between countries in the Pacific community</w:t>
      </w:r>
      <w:r>
        <w:t>,</w:t>
      </w:r>
      <w:r w:rsidRPr="007F70F1">
        <w:t xml:space="preserve"> including Australia and New Zealand.  </w:t>
      </w:r>
      <w:r>
        <w:t>W</w:t>
      </w:r>
      <w:r w:rsidRPr="007F70F1">
        <w:t xml:space="preserve">hen Australia and New Zealand are excluded from the data set, in terms of inbound students only Fiji and Samoa from </w:t>
      </w:r>
      <w:r w:rsidRPr="007F70F1">
        <w:lastRenderedPageBreak/>
        <w:t xml:space="preserve">Pacific </w:t>
      </w:r>
      <w:r w:rsidR="0090418E">
        <w:t>Nations</w:t>
      </w:r>
      <w:r w:rsidRPr="007F70F1">
        <w:t xml:space="preserve"> received student</w:t>
      </w:r>
      <w:r>
        <w:t>s</w:t>
      </w:r>
      <w:r w:rsidRPr="007F70F1">
        <w:t xml:space="preserve">. For Fiji, </w:t>
      </w:r>
      <w:r>
        <w:t xml:space="preserve">available </w:t>
      </w:r>
      <w:r w:rsidRPr="007F70F1">
        <w:t xml:space="preserve">data was limited to years 2004 </w:t>
      </w:r>
      <w:r>
        <w:t>(</w:t>
      </w:r>
      <w:r w:rsidRPr="007F70F1">
        <w:t>4211 students</w:t>
      </w:r>
      <w:r>
        <w:t>)</w:t>
      </w:r>
      <w:r w:rsidRPr="007F70F1">
        <w:t xml:space="preserve"> and 2008 </w:t>
      </w:r>
      <w:r>
        <w:t>(</w:t>
      </w:r>
      <w:r w:rsidRPr="007F70F1">
        <w:t>7444 students</w:t>
      </w:r>
      <w:r>
        <w:t>)</w:t>
      </w:r>
      <w:r w:rsidRPr="007F70F1">
        <w:t xml:space="preserve">. For Samoa, </w:t>
      </w:r>
      <w:r>
        <w:t xml:space="preserve">available </w:t>
      </w:r>
      <w:r w:rsidRPr="007F70F1">
        <w:t xml:space="preserve">data is limited to years 1999 and 2000 with 221 students overall. </w:t>
      </w:r>
      <w:r>
        <w:t xml:space="preserve">The lack of data from other Pacific </w:t>
      </w:r>
      <w:r w:rsidR="0090418E">
        <w:t>Nations</w:t>
      </w:r>
      <w:r>
        <w:t xml:space="preserve"> possibly reflects a lack of systematic data collection activity as opposed to lack of activity. </w:t>
      </w:r>
    </w:p>
    <w:p w14:paraId="1E1B0C67" w14:textId="0A9CFF69" w:rsidR="00F610A8" w:rsidRPr="007F70F1" w:rsidRDefault="00F610A8" w:rsidP="00BF09CC">
      <w:pPr>
        <w:spacing w:line="240" w:lineRule="auto"/>
      </w:pPr>
      <w:r w:rsidRPr="007F70F1">
        <w:t>By comparison</w:t>
      </w:r>
      <w:r>
        <w:t xml:space="preserve">, </w:t>
      </w:r>
      <w:r w:rsidRPr="007F70F1">
        <w:t>outbound student data from the UNESCO Institute for Statistics show</w:t>
      </w:r>
      <w:r>
        <w:t>s</w:t>
      </w:r>
      <w:r w:rsidRPr="007F70F1">
        <w:t xml:space="preserve"> that students were leaving their home countries for further studies. </w:t>
      </w:r>
      <w:r>
        <w:t xml:space="preserve">Australia and New Zealand data was included to provide a comparison to Pacific islands country data. </w:t>
      </w:r>
      <w:r w:rsidRPr="007F70F1">
        <w:t xml:space="preserve">Considerable increases were found </w:t>
      </w:r>
      <w:r w:rsidR="004830D0" w:rsidRPr="007F70F1">
        <w:t>between 2011 and 2013</w:t>
      </w:r>
      <w:r w:rsidR="004830D0">
        <w:t xml:space="preserve"> </w:t>
      </w:r>
      <w:r w:rsidRPr="007F70F1">
        <w:t>for Timor Leste and the Solomon Islands. Other island countries that showed gradual increase in out-bound student numbers in the same period were Nauru, Papua New Guinea, Tokelau</w:t>
      </w:r>
      <w:r>
        <w:t>,</w:t>
      </w:r>
      <w:r w:rsidRPr="007F70F1">
        <w:t xml:space="preserve"> Tuvalu and Vanuatu. Samoa, Niue, Cook Islands and Marshall Isl</w:t>
      </w:r>
      <w:r>
        <w:t>ands showed a constant flow of o</w:t>
      </w:r>
      <w:r w:rsidRPr="007F70F1">
        <w:t>utbound student</w:t>
      </w:r>
      <w:r>
        <w:t>s</w:t>
      </w:r>
      <w:r w:rsidRPr="007F70F1">
        <w:t>.</w:t>
      </w:r>
      <w:r>
        <w:t xml:space="preserve"> Refer to the table below. </w:t>
      </w:r>
    </w:p>
    <w:p w14:paraId="0EB799CC" w14:textId="508966BA" w:rsidR="00F610A8" w:rsidRPr="00E21F50" w:rsidRDefault="00F610A8" w:rsidP="00BF09CC">
      <w:pPr>
        <w:spacing w:line="240" w:lineRule="auto"/>
        <w:rPr>
          <w:b/>
        </w:rPr>
      </w:pPr>
      <w:bookmarkStart w:id="133" w:name="_Toc458892561"/>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6</w:t>
      </w:r>
      <w:r w:rsidRPr="00E21F50">
        <w:rPr>
          <w:b/>
        </w:rPr>
        <w:fldChar w:fldCharType="end"/>
      </w:r>
      <w:r w:rsidRPr="00E21F50">
        <w:rPr>
          <w:b/>
        </w:rPr>
        <w:t xml:space="preserve">: Total outbound internationally mobile tertiary students studying abroad, all countries, </w:t>
      </w:r>
      <w:r>
        <w:rPr>
          <w:b/>
        </w:rPr>
        <w:tab/>
      </w:r>
      <w:r w:rsidRPr="00E21F50">
        <w:rPr>
          <w:b/>
        </w:rPr>
        <w:t xml:space="preserve">both </w:t>
      </w:r>
      <w:r>
        <w:rPr>
          <w:b/>
        </w:rPr>
        <w:tab/>
        <w:t xml:space="preserve"> </w:t>
      </w:r>
      <w:r w:rsidRPr="00E21F50">
        <w:rPr>
          <w:b/>
        </w:rPr>
        <w:t>sexes (number)</w:t>
      </w:r>
      <w:bookmarkEnd w:id="133"/>
    </w:p>
    <w:p w14:paraId="3493DA70" w14:textId="77777777" w:rsidR="00F610A8" w:rsidRPr="003808F4" w:rsidRDefault="00F610A8" w:rsidP="00F610A8">
      <w:pPr>
        <w:spacing w:after="0" w:line="276" w:lineRule="auto"/>
        <w:rPr>
          <w:sz w:val="22"/>
          <w:szCs w:val="22"/>
          <w:highlight w:val="yellow"/>
        </w:rPr>
      </w:pPr>
      <w:r w:rsidRPr="000315F9">
        <w:rPr>
          <w:noProof/>
          <w:highlight w:val="yellow"/>
          <w:lang w:eastAsia="en-AU"/>
        </w:rPr>
        <w:drawing>
          <wp:inline distT="0" distB="0" distL="0" distR="0" wp14:anchorId="456C9051" wp14:editId="70E93F67">
            <wp:extent cx="4212950" cy="382428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9793" cy="3830499"/>
                    </a:xfrm>
                    <a:prstGeom prst="rect">
                      <a:avLst/>
                    </a:prstGeom>
                    <a:noFill/>
                    <a:ln>
                      <a:noFill/>
                    </a:ln>
                  </pic:spPr>
                </pic:pic>
              </a:graphicData>
            </a:graphic>
          </wp:inline>
        </w:drawing>
      </w:r>
    </w:p>
    <w:p w14:paraId="272FBE6D" w14:textId="77777777" w:rsidR="00F610A8" w:rsidRPr="003312C4" w:rsidRDefault="00F610A8" w:rsidP="003F6C25">
      <w:pPr>
        <w:spacing w:before="0" w:line="240" w:lineRule="auto"/>
        <w:rPr>
          <w:sz w:val="20"/>
          <w:szCs w:val="22"/>
        </w:rPr>
      </w:pPr>
      <w:r w:rsidRPr="003312C4">
        <w:rPr>
          <w:sz w:val="20"/>
          <w:szCs w:val="22"/>
        </w:rPr>
        <w:t>Source: UNESCO 2016</w:t>
      </w:r>
    </w:p>
    <w:p w14:paraId="6DA916DD" w14:textId="1E212D58" w:rsidR="00F610A8" w:rsidRPr="007F70F1" w:rsidRDefault="00F610A8" w:rsidP="00941B5B">
      <w:pPr>
        <w:spacing w:line="240" w:lineRule="auto"/>
      </w:pPr>
      <w:r w:rsidRPr="007F70F1">
        <w:t>The University of the South Pacific</w:t>
      </w:r>
      <w:r>
        <w:t xml:space="preserve"> (USP)</w:t>
      </w:r>
      <w:r w:rsidRPr="007F70F1">
        <w:t xml:space="preserve"> student data indicates that between 2011 and 2015, an average of 9.5% of studen</w:t>
      </w:r>
      <w:r w:rsidR="00941B5B">
        <w:t>ts at the USP campuses in Fiji were</w:t>
      </w:r>
      <w:r w:rsidRPr="007F70F1">
        <w:t xml:space="preserve"> non-Fiji nationals from 74 countries in the five</w:t>
      </w:r>
      <w:r>
        <w:t>-</w:t>
      </w:r>
      <w:r w:rsidRPr="007F70F1">
        <w:t xml:space="preserve">year period. USP is a regional university </w:t>
      </w:r>
      <w:r>
        <w:t xml:space="preserve">jointly </w:t>
      </w:r>
      <w:r w:rsidRPr="007F70F1">
        <w:t xml:space="preserve">owned by </w:t>
      </w:r>
      <w:r>
        <w:t xml:space="preserve">the governments of </w:t>
      </w:r>
      <w:r w:rsidRPr="007F70F1">
        <w:t>12 countries.</w:t>
      </w:r>
      <w:r>
        <w:rPr>
          <w:rStyle w:val="FootnoteReference"/>
        </w:rPr>
        <w:footnoteReference w:id="91"/>
      </w:r>
      <w:r w:rsidRPr="007F70F1">
        <w:t xml:space="preserve"> The data indicates that</w:t>
      </w:r>
      <w:r>
        <w:t>,</w:t>
      </w:r>
      <w:r w:rsidRPr="007F70F1">
        <w:t xml:space="preserve"> apart from the 12 countries, between 2011 and 2015 students from 52 other countries outside of </w:t>
      </w:r>
      <w:r>
        <w:t>USP’s</w:t>
      </w:r>
      <w:r w:rsidRPr="007F70F1">
        <w:t xml:space="preserve"> </w:t>
      </w:r>
      <w:r>
        <w:t>scope</w:t>
      </w:r>
      <w:r w:rsidRPr="007F70F1">
        <w:t xml:space="preserve"> have come for further studies in Fiji. The table below outlines the number of </w:t>
      </w:r>
      <w:r>
        <w:br/>
      </w:r>
      <w:r w:rsidRPr="007F70F1">
        <w:t xml:space="preserve">non-nationals at </w:t>
      </w:r>
      <w:r>
        <w:t xml:space="preserve">five </w:t>
      </w:r>
      <w:r w:rsidRPr="007F70F1">
        <w:t>USP campuses</w:t>
      </w:r>
      <w:r>
        <w:t>, with other campuses not having international students</w:t>
      </w:r>
      <w:r w:rsidRPr="007F70F1">
        <w:t xml:space="preserve">. </w:t>
      </w:r>
    </w:p>
    <w:p w14:paraId="304B8533" w14:textId="77777777" w:rsidR="004830D0" w:rsidRDefault="004830D0">
      <w:pPr>
        <w:spacing w:before="0" w:after="200" w:line="276" w:lineRule="auto"/>
        <w:rPr>
          <w:b/>
        </w:rPr>
      </w:pPr>
      <w:bookmarkStart w:id="134" w:name="_Toc458892562"/>
      <w:r>
        <w:rPr>
          <w:b/>
        </w:rPr>
        <w:br w:type="page"/>
      </w:r>
    </w:p>
    <w:p w14:paraId="0ADF1021" w14:textId="14178A6F" w:rsidR="00F610A8" w:rsidRPr="00E21F50" w:rsidRDefault="00F610A8" w:rsidP="00BF09CC">
      <w:pPr>
        <w:spacing w:line="240" w:lineRule="auto"/>
        <w:rPr>
          <w:b/>
        </w:rPr>
      </w:pPr>
      <w:r w:rsidRPr="00E21F50">
        <w:rPr>
          <w:b/>
        </w:rPr>
        <w:lastRenderedPageBreak/>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7</w:t>
      </w:r>
      <w:r w:rsidRPr="00E21F50">
        <w:rPr>
          <w:b/>
        </w:rPr>
        <w:fldChar w:fldCharType="end"/>
      </w:r>
      <w:r w:rsidRPr="00E21F50">
        <w:rPr>
          <w:b/>
        </w:rPr>
        <w:t>: Headcount of international students in USP campuses (number)</w:t>
      </w:r>
      <w:bookmarkEnd w:id="134"/>
    </w:p>
    <w:tbl>
      <w:tblPr>
        <w:tblStyle w:val="TableGrid"/>
        <w:tblW w:w="5000" w:type="pct"/>
        <w:tblLook w:val="04A0" w:firstRow="1" w:lastRow="0" w:firstColumn="1" w:lastColumn="0" w:noHBand="0" w:noVBand="1"/>
      </w:tblPr>
      <w:tblGrid>
        <w:gridCol w:w="1662"/>
        <w:gridCol w:w="1526"/>
        <w:gridCol w:w="1526"/>
        <w:gridCol w:w="1526"/>
        <w:gridCol w:w="1528"/>
        <w:gridCol w:w="1412"/>
      </w:tblGrid>
      <w:tr w:rsidR="00F610A8" w:rsidRPr="00DC28F2" w14:paraId="709722A7" w14:textId="77777777" w:rsidTr="007E5A7F">
        <w:trPr>
          <w:trHeight w:val="284"/>
          <w:tblHeader/>
        </w:trPr>
        <w:tc>
          <w:tcPr>
            <w:tcW w:w="906" w:type="pct"/>
            <w:shd w:val="clear" w:color="auto" w:fill="D9D9D9" w:themeFill="background1" w:themeFillShade="D9"/>
          </w:tcPr>
          <w:p w14:paraId="2A7A6E92" w14:textId="77777777" w:rsidR="00F610A8" w:rsidRPr="00DC28F2" w:rsidRDefault="00F610A8" w:rsidP="00BF09CC">
            <w:pPr>
              <w:spacing w:line="240" w:lineRule="auto"/>
              <w:rPr>
                <w:b/>
                <w:sz w:val="20"/>
                <w:szCs w:val="22"/>
              </w:rPr>
            </w:pPr>
            <w:r w:rsidRPr="00DC28F2">
              <w:rPr>
                <w:b/>
                <w:sz w:val="20"/>
                <w:szCs w:val="22"/>
              </w:rPr>
              <w:t>Campuses</w:t>
            </w:r>
          </w:p>
        </w:tc>
        <w:tc>
          <w:tcPr>
            <w:tcW w:w="831" w:type="pct"/>
            <w:shd w:val="clear" w:color="auto" w:fill="D9D9D9" w:themeFill="background1" w:themeFillShade="D9"/>
          </w:tcPr>
          <w:p w14:paraId="35F0B3CD" w14:textId="77777777" w:rsidR="00F610A8" w:rsidRPr="00DC28F2" w:rsidRDefault="00F610A8" w:rsidP="00BF09CC">
            <w:pPr>
              <w:spacing w:line="240" w:lineRule="auto"/>
              <w:rPr>
                <w:b/>
                <w:sz w:val="20"/>
                <w:szCs w:val="22"/>
              </w:rPr>
            </w:pPr>
            <w:r w:rsidRPr="00DC28F2">
              <w:rPr>
                <w:b/>
                <w:sz w:val="20"/>
                <w:szCs w:val="22"/>
              </w:rPr>
              <w:t>2011</w:t>
            </w:r>
          </w:p>
        </w:tc>
        <w:tc>
          <w:tcPr>
            <w:tcW w:w="831" w:type="pct"/>
            <w:shd w:val="clear" w:color="auto" w:fill="D9D9D9" w:themeFill="background1" w:themeFillShade="D9"/>
          </w:tcPr>
          <w:p w14:paraId="6E2E945D" w14:textId="77777777" w:rsidR="00F610A8" w:rsidRPr="00DC28F2" w:rsidRDefault="00F610A8" w:rsidP="00BF09CC">
            <w:pPr>
              <w:spacing w:line="240" w:lineRule="auto"/>
              <w:rPr>
                <w:b/>
                <w:sz w:val="20"/>
                <w:szCs w:val="22"/>
              </w:rPr>
            </w:pPr>
            <w:r w:rsidRPr="00DC28F2">
              <w:rPr>
                <w:b/>
                <w:sz w:val="20"/>
                <w:szCs w:val="22"/>
              </w:rPr>
              <w:t>2012</w:t>
            </w:r>
          </w:p>
        </w:tc>
        <w:tc>
          <w:tcPr>
            <w:tcW w:w="831" w:type="pct"/>
            <w:shd w:val="clear" w:color="auto" w:fill="D9D9D9" w:themeFill="background1" w:themeFillShade="D9"/>
          </w:tcPr>
          <w:p w14:paraId="0BFEAC46" w14:textId="77777777" w:rsidR="00F610A8" w:rsidRPr="00DC28F2" w:rsidRDefault="00F610A8" w:rsidP="00BF09CC">
            <w:pPr>
              <w:spacing w:line="240" w:lineRule="auto"/>
              <w:rPr>
                <w:b/>
                <w:sz w:val="20"/>
                <w:szCs w:val="22"/>
              </w:rPr>
            </w:pPr>
            <w:r w:rsidRPr="00DC28F2">
              <w:rPr>
                <w:b/>
                <w:sz w:val="20"/>
                <w:szCs w:val="22"/>
              </w:rPr>
              <w:t>2013</w:t>
            </w:r>
          </w:p>
        </w:tc>
        <w:tc>
          <w:tcPr>
            <w:tcW w:w="832" w:type="pct"/>
            <w:shd w:val="clear" w:color="auto" w:fill="D9D9D9" w:themeFill="background1" w:themeFillShade="D9"/>
          </w:tcPr>
          <w:p w14:paraId="4423AFE7" w14:textId="77777777" w:rsidR="00F610A8" w:rsidRPr="00DC28F2" w:rsidRDefault="00F610A8" w:rsidP="00BF09CC">
            <w:pPr>
              <w:spacing w:line="240" w:lineRule="auto"/>
              <w:rPr>
                <w:b/>
                <w:sz w:val="20"/>
                <w:szCs w:val="22"/>
              </w:rPr>
            </w:pPr>
            <w:r w:rsidRPr="00DC28F2">
              <w:rPr>
                <w:b/>
                <w:sz w:val="20"/>
                <w:szCs w:val="22"/>
              </w:rPr>
              <w:t>2014</w:t>
            </w:r>
          </w:p>
        </w:tc>
        <w:tc>
          <w:tcPr>
            <w:tcW w:w="769" w:type="pct"/>
            <w:shd w:val="clear" w:color="auto" w:fill="D9D9D9" w:themeFill="background1" w:themeFillShade="D9"/>
          </w:tcPr>
          <w:p w14:paraId="28200CC8" w14:textId="77777777" w:rsidR="00F610A8" w:rsidRPr="00DC28F2" w:rsidRDefault="00F610A8" w:rsidP="00BF09CC">
            <w:pPr>
              <w:spacing w:line="240" w:lineRule="auto"/>
              <w:rPr>
                <w:b/>
                <w:sz w:val="20"/>
                <w:szCs w:val="22"/>
              </w:rPr>
            </w:pPr>
            <w:r w:rsidRPr="00DC28F2">
              <w:rPr>
                <w:b/>
                <w:sz w:val="20"/>
                <w:szCs w:val="22"/>
              </w:rPr>
              <w:t>2015</w:t>
            </w:r>
          </w:p>
        </w:tc>
      </w:tr>
      <w:tr w:rsidR="00F610A8" w:rsidRPr="00DC28F2" w14:paraId="0A709C8D" w14:textId="77777777" w:rsidTr="007E5A7F">
        <w:trPr>
          <w:trHeight w:val="284"/>
        </w:trPr>
        <w:tc>
          <w:tcPr>
            <w:tcW w:w="906" w:type="pct"/>
          </w:tcPr>
          <w:p w14:paraId="7119643D" w14:textId="77777777" w:rsidR="00F610A8" w:rsidRPr="007E5A7F" w:rsidRDefault="00F610A8" w:rsidP="00BF09CC">
            <w:pPr>
              <w:spacing w:line="240" w:lineRule="auto"/>
              <w:rPr>
                <w:sz w:val="20"/>
                <w:szCs w:val="20"/>
              </w:rPr>
            </w:pPr>
            <w:r w:rsidRPr="007E5A7F">
              <w:rPr>
                <w:sz w:val="20"/>
                <w:szCs w:val="20"/>
              </w:rPr>
              <w:t>Fiji</w:t>
            </w:r>
          </w:p>
        </w:tc>
        <w:tc>
          <w:tcPr>
            <w:tcW w:w="831" w:type="pct"/>
          </w:tcPr>
          <w:p w14:paraId="762776DC" w14:textId="77777777" w:rsidR="00F610A8" w:rsidRPr="007E5A7F" w:rsidRDefault="00F610A8" w:rsidP="00BF09CC">
            <w:pPr>
              <w:spacing w:line="240" w:lineRule="auto"/>
              <w:rPr>
                <w:sz w:val="20"/>
                <w:szCs w:val="20"/>
              </w:rPr>
            </w:pPr>
            <w:r w:rsidRPr="007E5A7F">
              <w:rPr>
                <w:sz w:val="20"/>
                <w:szCs w:val="20"/>
              </w:rPr>
              <w:t>2057</w:t>
            </w:r>
          </w:p>
        </w:tc>
        <w:tc>
          <w:tcPr>
            <w:tcW w:w="831" w:type="pct"/>
          </w:tcPr>
          <w:p w14:paraId="6307DC1E" w14:textId="77777777" w:rsidR="00F610A8" w:rsidRPr="007E5A7F" w:rsidRDefault="00F610A8" w:rsidP="00BF09CC">
            <w:pPr>
              <w:spacing w:line="240" w:lineRule="auto"/>
              <w:rPr>
                <w:sz w:val="20"/>
                <w:szCs w:val="20"/>
              </w:rPr>
            </w:pPr>
            <w:r w:rsidRPr="007E5A7F">
              <w:rPr>
                <w:sz w:val="20"/>
                <w:szCs w:val="20"/>
              </w:rPr>
              <w:t>2291</w:t>
            </w:r>
          </w:p>
        </w:tc>
        <w:tc>
          <w:tcPr>
            <w:tcW w:w="831" w:type="pct"/>
          </w:tcPr>
          <w:p w14:paraId="3F945107" w14:textId="77777777" w:rsidR="00F610A8" w:rsidRPr="007E5A7F" w:rsidRDefault="00F610A8" w:rsidP="00BF09CC">
            <w:pPr>
              <w:spacing w:line="240" w:lineRule="auto"/>
              <w:rPr>
                <w:sz w:val="20"/>
                <w:szCs w:val="20"/>
              </w:rPr>
            </w:pPr>
            <w:r w:rsidRPr="007E5A7F">
              <w:rPr>
                <w:sz w:val="20"/>
                <w:szCs w:val="20"/>
              </w:rPr>
              <w:t>2428</w:t>
            </w:r>
          </w:p>
        </w:tc>
        <w:tc>
          <w:tcPr>
            <w:tcW w:w="832" w:type="pct"/>
          </w:tcPr>
          <w:p w14:paraId="37F54320" w14:textId="77777777" w:rsidR="00F610A8" w:rsidRPr="007E5A7F" w:rsidRDefault="00F610A8" w:rsidP="00BF09CC">
            <w:pPr>
              <w:spacing w:line="240" w:lineRule="auto"/>
              <w:rPr>
                <w:sz w:val="20"/>
                <w:szCs w:val="20"/>
              </w:rPr>
            </w:pPr>
            <w:r w:rsidRPr="007E5A7F">
              <w:rPr>
                <w:sz w:val="20"/>
                <w:szCs w:val="20"/>
              </w:rPr>
              <w:t>2499</w:t>
            </w:r>
          </w:p>
        </w:tc>
        <w:tc>
          <w:tcPr>
            <w:tcW w:w="769" w:type="pct"/>
          </w:tcPr>
          <w:p w14:paraId="571CE456" w14:textId="77777777" w:rsidR="00F610A8" w:rsidRPr="007E5A7F" w:rsidRDefault="00F610A8" w:rsidP="00BF09CC">
            <w:pPr>
              <w:spacing w:line="240" w:lineRule="auto"/>
              <w:rPr>
                <w:sz w:val="20"/>
                <w:szCs w:val="20"/>
              </w:rPr>
            </w:pPr>
            <w:r w:rsidRPr="007E5A7F">
              <w:rPr>
                <w:sz w:val="20"/>
                <w:szCs w:val="20"/>
              </w:rPr>
              <w:t>2639</w:t>
            </w:r>
          </w:p>
        </w:tc>
      </w:tr>
      <w:tr w:rsidR="00F610A8" w:rsidRPr="00DC28F2" w14:paraId="35CFE85D" w14:textId="77777777" w:rsidTr="007E5A7F">
        <w:trPr>
          <w:trHeight w:val="284"/>
        </w:trPr>
        <w:tc>
          <w:tcPr>
            <w:tcW w:w="906" w:type="pct"/>
          </w:tcPr>
          <w:p w14:paraId="1D327084" w14:textId="77777777" w:rsidR="00F610A8" w:rsidRPr="007E5A7F" w:rsidRDefault="00F610A8" w:rsidP="00BF09CC">
            <w:pPr>
              <w:spacing w:line="240" w:lineRule="auto"/>
              <w:rPr>
                <w:sz w:val="20"/>
                <w:szCs w:val="20"/>
              </w:rPr>
            </w:pPr>
            <w:r w:rsidRPr="007E5A7F">
              <w:rPr>
                <w:sz w:val="20"/>
                <w:szCs w:val="20"/>
              </w:rPr>
              <w:t>Cook Island</w:t>
            </w:r>
          </w:p>
        </w:tc>
        <w:tc>
          <w:tcPr>
            <w:tcW w:w="831" w:type="pct"/>
          </w:tcPr>
          <w:p w14:paraId="331340A2" w14:textId="77777777" w:rsidR="00F610A8" w:rsidRPr="007E5A7F" w:rsidRDefault="00F610A8" w:rsidP="00BF09CC">
            <w:pPr>
              <w:spacing w:line="240" w:lineRule="auto"/>
              <w:rPr>
                <w:sz w:val="20"/>
                <w:szCs w:val="20"/>
              </w:rPr>
            </w:pPr>
            <w:r w:rsidRPr="007E5A7F">
              <w:rPr>
                <w:sz w:val="20"/>
                <w:szCs w:val="20"/>
              </w:rPr>
              <w:t>36</w:t>
            </w:r>
          </w:p>
        </w:tc>
        <w:tc>
          <w:tcPr>
            <w:tcW w:w="831" w:type="pct"/>
          </w:tcPr>
          <w:p w14:paraId="04A3680A" w14:textId="77777777" w:rsidR="00F610A8" w:rsidRPr="007E5A7F" w:rsidRDefault="00F610A8" w:rsidP="00BF09CC">
            <w:pPr>
              <w:spacing w:line="240" w:lineRule="auto"/>
              <w:rPr>
                <w:sz w:val="20"/>
                <w:szCs w:val="20"/>
              </w:rPr>
            </w:pPr>
            <w:r w:rsidRPr="007E5A7F">
              <w:rPr>
                <w:sz w:val="20"/>
                <w:szCs w:val="20"/>
              </w:rPr>
              <w:t>31</w:t>
            </w:r>
          </w:p>
        </w:tc>
        <w:tc>
          <w:tcPr>
            <w:tcW w:w="831" w:type="pct"/>
          </w:tcPr>
          <w:p w14:paraId="0BDAEB4D" w14:textId="77777777" w:rsidR="00F610A8" w:rsidRPr="007E5A7F" w:rsidRDefault="00F610A8" w:rsidP="00BF09CC">
            <w:pPr>
              <w:spacing w:line="240" w:lineRule="auto"/>
              <w:rPr>
                <w:sz w:val="20"/>
                <w:szCs w:val="20"/>
              </w:rPr>
            </w:pPr>
            <w:r w:rsidRPr="007E5A7F">
              <w:rPr>
                <w:sz w:val="20"/>
                <w:szCs w:val="20"/>
              </w:rPr>
              <w:t>28</w:t>
            </w:r>
          </w:p>
        </w:tc>
        <w:tc>
          <w:tcPr>
            <w:tcW w:w="832" w:type="pct"/>
          </w:tcPr>
          <w:p w14:paraId="6881AE21" w14:textId="77777777" w:rsidR="00F610A8" w:rsidRPr="007E5A7F" w:rsidRDefault="00F610A8" w:rsidP="00BF09CC">
            <w:pPr>
              <w:spacing w:line="240" w:lineRule="auto"/>
              <w:rPr>
                <w:sz w:val="20"/>
                <w:szCs w:val="20"/>
              </w:rPr>
            </w:pPr>
            <w:r w:rsidRPr="007E5A7F">
              <w:rPr>
                <w:sz w:val="20"/>
                <w:szCs w:val="20"/>
              </w:rPr>
              <w:t>32</w:t>
            </w:r>
          </w:p>
        </w:tc>
        <w:tc>
          <w:tcPr>
            <w:tcW w:w="769" w:type="pct"/>
          </w:tcPr>
          <w:p w14:paraId="52021AED" w14:textId="77777777" w:rsidR="00F610A8" w:rsidRPr="007E5A7F" w:rsidRDefault="00F610A8" w:rsidP="00BF09CC">
            <w:pPr>
              <w:spacing w:line="240" w:lineRule="auto"/>
              <w:rPr>
                <w:sz w:val="20"/>
                <w:szCs w:val="20"/>
              </w:rPr>
            </w:pPr>
            <w:r w:rsidRPr="007E5A7F">
              <w:rPr>
                <w:sz w:val="20"/>
                <w:szCs w:val="20"/>
              </w:rPr>
              <w:t>19</w:t>
            </w:r>
          </w:p>
        </w:tc>
      </w:tr>
      <w:tr w:rsidR="00F610A8" w:rsidRPr="00DC28F2" w14:paraId="631D8106" w14:textId="77777777" w:rsidTr="007E5A7F">
        <w:trPr>
          <w:trHeight w:val="284"/>
        </w:trPr>
        <w:tc>
          <w:tcPr>
            <w:tcW w:w="906" w:type="pct"/>
          </w:tcPr>
          <w:p w14:paraId="041211B4" w14:textId="77777777" w:rsidR="00F610A8" w:rsidRPr="007E5A7F" w:rsidRDefault="00F610A8" w:rsidP="00BF09CC">
            <w:pPr>
              <w:spacing w:line="240" w:lineRule="auto"/>
              <w:rPr>
                <w:sz w:val="20"/>
                <w:szCs w:val="20"/>
              </w:rPr>
            </w:pPr>
            <w:r w:rsidRPr="007E5A7F">
              <w:rPr>
                <w:sz w:val="20"/>
                <w:szCs w:val="20"/>
              </w:rPr>
              <w:t>Kiribati</w:t>
            </w:r>
          </w:p>
        </w:tc>
        <w:tc>
          <w:tcPr>
            <w:tcW w:w="831" w:type="pct"/>
          </w:tcPr>
          <w:p w14:paraId="443DD8AB" w14:textId="77777777" w:rsidR="00F610A8" w:rsidRPr="007E5A7F" w:rsidRDefault="00F610A8" w:rsidP="00BF09CC">
            <w:pPr>
              <w:spacing w:line="240" w:lineRule="auto"/>
              <w:rPr>
                <w:sz w:val="20"/>
                <w:szCs w:val="20"/>
              </w:rPr>
            </w:pPr>
            <w:r w:rsidRPr="007E5A7F">
              <w:rPr>
                <w:sz w:val="20"/>
                <w:szCs w:val="20"/>
              </w:rPr>
              <w:t>3</w:t>
            </w:r>
          </w:p>
        </w:tc>
        <w:tc>
          <w:tcPr>
            <w:tcW w:w="831" w:type="pct"/>
          </w:tcPr>
          <w:p w14:paraId="13ADED64" w14:textId="77777777" w:rsidR="00F610A8" w:rsidRPr="007E5A7F" w:rsidRDefault="00F610A8" w:rsidP="00BF09CC">
            <w:pPr>
              <w:spacing w:line="240" w:lineRule="auto"/>
              <w:rPr>
                <w:sz w:val="20"/>
                <w:szCs w:val="20"/>
              </w:rPr>
            </w:pPr>
            <w:r w:rsidRPr="007E5A7F">
              <w:rPr>
                <w:sz w:val="20"/>
                <w:szCs w:val="20"/>
              </w:rPr>
              <w:t>10</w:t>
            </w:r>
          </w:p>
        </w:tc>
        <w:tc>
          <w:tcPr>
            <w:tcW w:w="831" w:type="pct"/>
          </w:tcPr>
          <w:p w14:paraId="1278E3EE" w14:textId="77777777" w:rsidR="00F610A8" w:rsidRPr="007E5A7F" w:rsidRDefault="00F610A8" w:rsidP="00BF09CC">
            <w:pPr>
              <w:spacing w:line="240" w:lineRule="auto"/>
              <w:rPr>
                <w:sz w:val="20"/>
                <w:szCs w:val="20"/>
              </w:rPr>
            </w:pPr>
            <w:r w:rsidRPr="007E5A7F">
              <w:rPr>
                <w:sz w:val="20"/>
                <w:szCs w:val="20"/>
              </w:rPr>
              <w:t>9</w:t>
            </w:r>
          </w:p>
        </w:tc>
        <w:tc>
          <w:tcPr>
            <w:tcW w:w="832" w:type="pct"/>
          </w:tcPr>
          <w:p w14:paraId="42CCE9B1" w14:textId="77777777" w:rsidR="00F610A8" w:rsidRPr="007E5A7F" w:rsidRDefault="00F610A8" w:rsidP="00BF09CC">
            <w:pPr>
              <w:spacing w:line="240" w:lineRule="auto"/>
              <w:rPr>
                <w:sz w:val="20"/>
                <w:szCs w:val="20"/>
              </w:rPr>
            </w:pPr>
            <w:r w:rsidRPr="007E5A7F">
              <w:rPr>
                <w:sz w:val="20"/>
                <w:szCs w:val="20"/>
              </w:rPr>
              <w:t>8</w:t>
            </w:r>
          </w:p>
        </w:tc>
        <w:tc>
          <w:tcPr>
            <w:tcW w:w="769" w:type="pct"/>
          </w:tcPr>
          <w:p w14:paraId="4A2E0909" w14:textId="77777777" w:rsidR="00F610A8" w:rsidRPr="007E5A7F" w:rsidRDefault="00F610A8" w:rsidP="00BF09CC">
            <w:pPr>
              <w:spacing w:line="240" w:lineRule="auto"/>
              <w:rPr>
                <w:sz w:val="20"/>
                <w:szCs w:val="20"/>
              </w:rPr>
            </w:pPr>
            <w:r w:rsidRPr="007E5A7F">
              <w:rPr>
                <w:sz w:val="20"/>
                <w:szCs w:val="20"/>
              </w:rPr>
              <w:t>15</w:t>
            </w:r>
          </w:p>
        </w:tc>
      </w:tr>
      <w:tr w:rsidR="00F610A8" w:rsidRPr="00DC28F2" w14:paraId="01B50D8E" w14:textId="77777777" w:rsidTr="007E5A7F">
        <w:trPr>
          <w:trHeight w:val="284"/>
        </w:trPr>
        <w:tc>
          <w:tcPr>
            <w:tcW w:w="906" w:type="pct"/>
          </w:tcPr>
          <w:p w14:paraId="7DEBAC73" w14:textId="77777777" w:rsidR="00F610A8" w:rsidRPr="007E5A7F" w:rsidRDefault="00F610A8" w:rsidP="00BF09CC">
            <w:pPr>
              <w:spacing w:line="240" w:lineRule="auto"/>
              <w:rPr>
                <w:sz w:val="20"/>
                <w:szCs w:val="20"/>
              </w:rPr>
            </w:pPr>
            <w:r w:rsidRPr="007E5A7F">
              <w:rPr>
                <w:sz w:val="20"/>
                <w:szCs w:val="20"/>
              </w:rPr>
              <w:t>Samoa</w:t>
            </w:r>
          </w:p>
        </w:tc>
        <w:tc>
          <w:tcPr>
            <w:tcW w:w="831" w:type="pct"/>
          </w:tcPr>
          <w:p w14:paraId="5543BFD9" w14:textId="77777777" w:rsidR="00F610A8" w:rsidRPr="007E5A7F" w:rsidRDefault="00F610A8" w:rsidP="00BF09CC">
            <w:pPr>
              <w:spacing w:line="240" w:lineRule="auto"/>
              <w:rPr>
                <w:sz w:val="20"/>
                <w:szCs w:val="20"/>
              </w:rPr>
            </w:pPr>
            <w:r w:rsidRPr="007E5A7F">
              <w:rPr>
                <w:sz w:val="20"/>
                <w:szCs w:val="20"/>
              </w:rPr>
              <w:t>101</w:t>
            </w:r>
          </w:p>
        </w:tc>
        <w:tc>
          <w:tcPr>
            <w:tcW w:w="831" w:type="pct"/>
          </w:tcPr>
          <w:p w14:paraId="2323BC47" w14:textId="77777777" w:rsidR="00F610A8" w:rsidRPr="007E5A7F" w:rsidRDefault="00F610A8" w:rsidP="00BF09CC">
            <w:pPr>
              <w:spacing w:line="240" w:lineRule="auto"/>
              <w:rPr>
                <w:sz w:val="20"/>
                <w:szCs w:val="20"/>
              </w:rPr>
            </w:pPr>
            <w:r w:rsidRPr="007E5A7F">
              <w:rPr>
                <w:sz w:val="20"/>
                <w:szCs w:val="20"/>
              </w:rPr>
              <w:t>114</w:t>
            </w:r>
          </w:p>
        </w:tc>
        <w:tc>
          <w:tcPr>
            <w:tcW w:w="831" w:type="pct"/>
          </w:tcPr>
          <w:p w14:paraId="2CFABE78" w14:textId="77777777" w:rsidR="00F610A8" w:rsidRPr="007E5A7F" w:rsidRDefault="00F610A8" w:rsidP="00BF09CC">
            <w:pPr>
              <w:spacing w:line="240" w:lineRule="auto"/>
              <w:rPr>
                <w:sz w:val="20"/>
                <w:szCs w:val="20"/>
              </w:rPr>
            </w:pPr>
            <w:r w:rsidRPr="007E5A7F">
              <w:rPr>
                <w:sz w:val="20"/>
                <w:szCs w:val="20"/>
              </w:rPr>
              <w:t>126</w:t>
            </w:r>
          </w:p>
        </w:tc>
        <w:tc>
          <w:tcPr>
            <w:tcW w:w="832" w:type="pct"/>
          </w:tcPr>
          <w:p w14:paraId="2A69D0CB" w14:textId="77777777" w:rsidR="00F610A8" w:rsidRPr="007E5A7F" w:rsidRDefault="00F610A8" w:rsidP="00BF09CC">
            <w:pPr>
              <w:spacing w:line="240" w:lineRule="auto"/>
              <w:rPr>
                <w:sz w:val="20"/>
                <w:szCs w:val="20"/>
              </w:rPr>
            </w:pPr>
            <w:r w:rsidRPr="007E5A7F">
              <w:rPr>
                <w:sz w:val="20"/>
                <w:szCs w:val="20"/>
              </w:rPr>
              <w:t>133</w:t>
            </w:r>
          </w:p>
        </w:tc>
        <w:tc>
          <w:tcPr>
            <w:tcW w:w="769" w:type="pct"/>
          </w:tcPr>
          <w:p w14:paraId="387BD55C" w14:textId="77777777" w:rsidR="00F610A8" w:rsidRPr="007E5A7F" w:rsidRDefault="00F610A8" w:rsidP="00BF09CC">
            <w:pPr>
              <w:spacing w:line="240" w:lineRule="auto"/>
              <w:rPr>
                <w:sz w:val="20"/>
                <w:szCs w:val="20"/>
              </w:rPr>
            </w:pPr>
            <w:r w:rsidRPr="007E5A7F">
              <w:rPr>
                <w:sz w:val="20"/>
                <w:szCs w:val="20"/>
              </w:rPr>
              <w:t>153</w:t>
            </w:r>
          </w:p>
        </w:tc>
      </w:tr>
      <w:tr w:rsidR="00F610A8" w:rsidRPr="00DC28F2" w14:paraId="05143CA7" w14:textId="77777777" w:rsidTr="007E5A7F">
        <w:trPr>
          <w:trHeight w:val="284"/>
        </w:trPr>
        <w:tc>
          <w:tcPr>
            <w:tcW w:w="906" w:type="pct"/>
          </w:tcPr>
          <w:p w14:paraId="19D5BFFA" w14:textId="77777777" w:rsidR="00F610A8" w:rsidRPr="007E5A7F" w:rsidRDefault="00F610A8" w:rsidP="00BF09CC">
            <w:pPr>
              <w:spacing w:line="240" w:lineRule="auto"/>
              <w:rPr>
                <w:sz w:val="20"/>
                <w:szCs w:val="20"/>
              </w:rPr>
            </w:pPr>
            <w:r w:rsidRPr="007E5A7F">
              <w:rPr>
                <w:sz w:val="20"/>
                <w:szCs w:val="20"/>
              </w:rPr>
              <w:t>Vanuatu</w:t>
            </w:r>
          </w:p>
        </w:tc>
        <w:tc>
          <w:tcPr>
            <w:tcW w:w="831" w:type="pct"/>
          </w:tcPr>
          <w:p w14:paraId="3832A6ED" w14:textId="77777777" w:rsidR="00F610A8" w:rsidRPr="007E5A7F" w:rsidRDefault="00F610A8" w:rsidP="00BF09CC">
            <w:pPr>
              <w:spacing w:line="240" w:lineRule="auto"/>
              <w:rPr>
                <w:sz w:val="20"/>
                <w:szCs w:val="20"/>
              </w:rPr>
            </w:pPr>
            <w:r w:rsidRPr="007E5A7F">
              <w:rPr>
                <w:sz w:val="20"/>
                <w:szCs w:val="20"/>
              </w:rPr>
              <w:t>193</w:t>
            </w:r>
          </w:p>
        </w:tc>
        <w:tc>
          <w:tcPr>
            <w:tcW w:w="831" w:type="pct"/>
          </w:tcPr>
          <w:p w14:paraId="0A3A990F" w14:textId="77777777" w:rsidR="00F610A8" w:rsidRPr="007E5A7F" w:rsidRDefault="00F610A8" w:rsidP="00BF09CC">
            <w:pPr>
              <w:spacing w:line="240" w:lineRule="auto"/>
              <w:rPr>
                <w:sz w:val="20"/>
                <w:szCs w:val="20"/>
              </w:rPr>
            </w:pPr>
            <w:r w:rsidRPr="007E5A7F">
              <w:rPr>
                <w:sz w:val="20"/>
                <w:szCs w:val="20"/>
              </w:rPr>
              <w:t>217</w:t>
            </w:r>
          </w:p>
        </w:tc>
        <w:tc>
          <w:tcPr>
            <w:tcW w:w="831" w:type="pct"/>
          </w:tcPr>
          <w:p w14:paraId="050E8874" w14:textId="77777777" w:rsidR="00F610A8" w:rsidRPr="007E5A7F" w:rsidRDefault="00F610A8" w:rsidP="00BF09CC">
            <w:pPr>
              <w:spacing w:line="240" w:lineRule="auto"/>
              <w:rPr>
                <w:sz w:val="20"/>
                <w:szCs w:val="20"/>
              </w:rPr>
            </w:pPr>
            <w:r w:rsidRPr="007E5A7F">
              <w:rPr>
                <w:sz w:val="20"/>
                <w:szCs w:val="20"/>
              </w:rPr>
              <w:t>235</w:t>
            </w:r>
          </w:p>
        </w:tc>
        <w:tc>
          <w:tcPr>
            <w:tcW w:w="832" w:type="pct"/>
          </w:tcPr>
          <w:p w14:paraId="19957FDE" w14:textId="77777777" w:rsidR="00F610A8" w:rsidRPr="007E5A7F" w:rsidRDefault="00F610A8" w:rsidP="00BF09CC">
            <w:pPr>
              <w:spacing w:line="240" w:lineRule="auto"/>
              <w:rPr>
                <w:sz w:val="20"/>
                <w:szCs w:val="20"/>
              </w:rPr>
            </w:pPr>
            <w:r w:rsidRPr="007E5A7F">
              <w:rPr>
                <w:sz w:val="20"/>
                <w:szCs w:val="20"/>
              </w:rPr>
              <w:t>251</w:t>
            </w:r>
          </w:p>
        </w:tc>
        <w:tc>
          <w:tcPr>
            <w:tcW w:w="769" w:type="pct"/>
          </w:tcPr>
          <w:p w14:paraId="17572431" w14:textId="77777777" w:rsidR="00F610A8" w:rsidRPr="007E5A7F" w:rsidRDefault="00F610A8" w:rsidP="00BF09CC">
            <w:pPr>
              <w:spacing w:line="240" w:lineRule="auto"/>
              <w:rPr>
                <w:sz w:val="20"/>
                <w:szCs w:val="20"/>
              </w:rPr>
            </w:pPr>
            <w:r w:rsidRPr="007E5A7F">
              <w:rPr>
                <w:sz w:val="20"/>
                <w:szCs w:val="20"/>
              </w:rPr>
              <w:t>487</w:t>
            </w:r>
          </w:p>
        </w:tc>
      </w:tr>
    </w:tbl>
    <w:p w14:paraId="746785C4" w14:textId="77777777" w:rsidR="00F610A8" w:rsidRDefault="00F610A8" w:rsidP="0088438D">
      <w:pPr>
        <w:spacing w:before="0" w:line="240" w:lineRule="auto"/>
        <w:rPr>
          <w:sz w:val="20"/>
          <w:szCs w:val="22"/>
        </w:rPr>
      </w:pPr>
      <w:r w:rsidRPr="003312C4">
        <w:rPr>
          <w:sz w:val="20"/>
          <w:szCs w:val="22"/>
        </w:rPr>
        <w:t xml:space="preserve">Source: USP 2016. </w:t>
      </w:r>
    </w:p>
    <w:p w14:paraId="4283ABC3" w14:textId="77FB2770" w:rsidR="00F610A8" w:rsidRDefault="00F610A8" w:rsidP="00941B5B">
      <w:pPr>
        <w:spacing w:line="240" w:lineRule="auto"/>
      </w:pPr>
      <w:r>
        <w:t xml:space="preserve">USP’s main campus is in Fiji; the School of Agriculture and Food Technology is in Samoa; and, the School of Law is in Vanuatu. This has influenced the numbers of international students at these three campuses. At the three campuses there has been a consistent increase in international students with Vanuatu almost doubling in one year; in the other campuses (i.e. Kiribati and Cook Islands) the trend is less clear. </w:t>
      </w:r>
    </w:p>
    <w:p w14:paraId="50611F8C" w14:textId="2C9A0F0B" w:rsidR="00F610A8" w:rsidRDefault="0057430F" w:rsidP="00941B5B">
      <w:pPr>
        <w:spacing w:line="240" w:lineRule="auto"/>
      </w:pPr>
      <w:r>
        <w:t>D</w:t>
      </w:r>
      <w:r w:rsidR="00F610A8">
        <w:t xml:space="preserve">ata </w:t>
      </w:r>
      <w:r w:rsidR="007E5A7F">
        <w:t xml:space="preserve">was sought </w:t>
      </w:r>
      <w:r w:rsidR="00F610A8">
        <w:t>on qualification recognition activities across the Pacific</w:t>
      </w:r>
      <w:r>
        <w:t xml:space="preserve"> </w:t>
      </w:r>
      <w:r w:rsidR="00F610A8">
        <w:t xml:space="preserve">from ASU, relevant national agencies (only Fiji Higher Education Commission provided data) and USP. This data is indicative only of the level of activity of qualification recognition at these particular organisations and does not necessarily reflect total activity undertaken by other national agencies (e.g. ministries of labour) and institutions. The </w:t>
      </w:r>
      <w:r w:rsidR="00F610A8" w:rsidRPr="00362661">
        <w:t xml:space="preserve">New Zealand Qualifications Authority </w:t>
      </w:r>
      <w:r w:rsidR="00F610A8">
        <w:t xml:space="preserve">(NZQA) </w:t>
      </w:r>
      <w:r w:rsidR="00F610A8" w:rsidRPr="00362661">
        <w:t>Qualifica</w:t>
      </w:r>
      <w:r w:rsidR="00F610A8">
        <w:t xml:space="preserve">tions Recognition Services also provided data. </w:t>
      </w:r>
    </w:p>
    <w:p w14:paraId="3904112E" w14:textId="0D279860" w:rsidR="00F610A8" w:rsidRDefault="00F610A8" w:rsidP="00941B5B">
      <w:pPr>
        <w:spacing w:line="240" w:lineRule="auto"/>
      </w:pPr>
      <w:r w:rsidRPr="007F70F1">
        <w:t xml:space="preserve">Between 2009 and 2016, </w:t>
      </w:r>
      <w:r>
        <w:t>ASU</w:t>
      </w:r>
      <w:r w:rsidRPr="007F70F1">
        <w:t xml:space="preserve"> </w:t>
      </w:r>
      <w:r w:rsidR="00F57C61">
        <w:t xml:space="preserve">received 32 requests </w:t>
      </w:r>
      <w:r w:rsidRPr="007F70F1">
        <w:t>for assessment of qualifications to support applications for further studies in Fiji and abroad. The data provided indicates that 25 of the requests were for students wishing to seek tertiary education in Fiji institutions</w:t>
      </w:r>
      <w:r>
        <w:t>;</w:t>
      </w:r>
      <w:r w:rsidRPr="007F70F1">
        <w:t xml:space="preserve"> </w:t>
      </w:r>
      <w:r>
        <w:t>six</w:t>
      </w:r>
      <w:r w:rsidRPr="007F70F1">
        <w:t xml:space="preserve"> were requests by outbound students from Fiji, and </w:t>
      </w:r>
      <w:r>
        <w:t>two</w:t>
      </w:r>
      <w:r w:rsidRPr="007F70F1">
        <w:t xml:space="preserve"> were outbound students from Tuvalu.</w:t>
      </w:r>
      <w:r>
        <w:t xml:space="preserve"> The ASU has proposed that they limit their assessment activity to foreign (non-Pacific) qualifications.</w:t>
      </w:r>
    </w:p>
    <w:p w14:paraId="6C13EAF3" w14:textId="7893A168" w:rsidR="00F610A8" w:rsidRDefault="00F610A8" w:rsidP="00941B5B">
      <w:pPr>
        <w:spacing w:line="240" w:lineRule="auto"/>
      </w:pPr>
      <w:r>
        <w:t xml:space="preserve">For Fiji Higher Education Commission, applications for evaluation of qualifications for immigration, further study, employment and registration purposes are outlined </w:t>
      </w:r>
      <w:r w:rsidR="007E5A7F">
        <w:t xml:space="preserve">in the table </w:t>
      </w:r>
      <w:r>
        <w:t xml:space="preserve">below. </w:t>
      </w:r>
    </w:p>
    <w:p w14:paraId="735F489A" w14:textId="12B9775A" w:rsidR="00F610A8" w:rsidRPr="00E21F50" w:rsidRDefault="00F610A8" w:rsidP="00F610A8">
      <w:pPr>
        <w:spacing w:line="276" w:lineRule="auto"/>
        <w:rPr>
          <w:b/>
        </w:rPr>
      </w:pPr>
      <w:bookmarkStart w:id="135" w:name="_Toc458892563"/>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8</w:t>
      </w:r>
      <w:r w:rsidRPr="00E21F50">
        <w:rPr>
          <w:b/>
        </w:rPr>
        <w:fldChar w:fldCharType="end"/>
      </w:r>
      <w:r w:rsidRPr="00E21F50">
        <w:rPr>
          <w:b/>
        </w:rPr>
        <w:t>: Applications for qualifications assessment – Fiji Higher Education Commission</w:t>
      </w:r>
      <w:bookmarkEnd w:id="135"/>
    </w:p>
    <w:tbl>
      <w:tblPr>
        <w:tblStyle w:val="TableGrid"/>
        <w:tblW w:w="5000" w:type="pct"/>
        <w:tblLook w:val="04A0" w:firstRow="1" w:lastRow="0" w:firstColumn="1" w:lastColumn="0" w:noHBand="0" w:noVBand="1"/>
      </w:tblPr>
      <w:tblGrid>
        <w:gridCol w:w="3617"/>
        <w:gridCol w:w="1109"/>
        <w:gridCol w:w="1105"/>
        <w:gridCol w:w="1120"/>
        <w:gridCol w:w="1105"/>
        <w:gridCol w:w="1124"/>
      </w:tblGrid>
      <w:tr w:rsidR="00F610A8" w:rsidRPr="007E5A7F" w14:paraId="04292CDD" w14:textId="77777777" w:rsidTr="00F610A8">
        <w:trPr>
          <w:tblHeader/>
        </w:trPr>
        <w:tc>
          <w:tcPr>
            <w:tcW w:w="1970" w:type="pct"/>
            <w:shd w:val="clear" w:color="auto" w:fill="D9D9D9" w:themeFill="background1" w:themeFillShade="D9"/>
          </w:tcPr>
          <w:p w14:paraId="29713B7A" w14:textId="77777777" w:rsidR="00F610A8" w:rsidRPr="007E5A7F" w:rsidRDefault="00F610A8" w:rsidP="00F610A8">
            <w:pPr>
              <w:spacing w:line="240" w:lineRule="auto"/>
              <w:rPr>
                <w:b/>
                <w:sz w:val="20"/>
                <w:szCs w:val="20"/>
              </w:rPr>
            </w:pPr>
            <w:r w:rsidRPr="007E5A7F">
              <w:rPr>
                <w:b/>
                <w:sz w:val="20"/>
                <w:szCs w:val="20"/>
              </w:rPr>
              <w:t>Assessment required</w:t>
            </w:r>
          </w:p>
        </w:tc>
        <w:tc>
          <w:tcPr>
            <w:tcW w:w="604" w:type="pct"/>
            <w:shd w:val="clear" w:color="auto" w:fill="D9D9D9" w:themeFill="background1" w:themeFillShade="D9"/>
          </w:tcPr>
          <w:p w14:paraId="780370CA" w14:textId="77777777" w:rsidR="00F610A8" w:rsidRPr="007E5A7F" w:rsidRDefault="00F610A8" w:rsidP="00F610A8">
            <w:pPr>
              <w:spacing w:line="240" w:lineRule="auto"/>
              <w:rPr>
                <w:b/>
                <w:sz w:val="20"/>
                <w:szCs w:val="20"/>
              </w:rPr>
            </w:pPr>
            <w:r w:rsidRPr="007E5A7F">
              <w:rPr>
                <w:b/>
                <w:sz w:val="20"/>
                <w:szCs w:val="20"/>
              </w:rPr>
              <w:t>2012</w:t>
            </w:r>
          </w:p>
        </w:tc>
        <w:tc>
          <w:tcPr>
            <w:tcW w:w="602" w:type="pct"/>
            <w:shd w:val="clear" w:color="auto" w:fill="D9D9D9" w:themeFill="background1" w:themeFillShade="D9"/>
          </w:tcPr>
          <w:p w14:paraId="370ADB70" w14:textId="77777777" w:rsidR="00F610A8" w:rsidRPr="007E5A7F" w:rsidRDefault="00F610A8" w:rsidP="00F610A8">
            <w:pPr>
              <w:spacing w:line="240" w:lineRule="auto"/>
              <w:rPr>
                <w:b/>
                <w:sz w:val="20"/>
                <w:szCs w:val="20"/>
              </w:rPr>
            </w:pPr>
            <w:r w:rsidRPr="007E5A7F">
              <w:rPr>
                <w:b/>
                <w:sz w:val="20"/>
                <w:szCs w:val="20"/>
              </w:rPr>
              <w:t>2013</w:t>
            </w:r>
          </w:p>
        </w:tc>
        <w:tc>
          <w:tcPr>
            <w:tcW w:w="610" w:type="pct"/>
            <w:shd w:val="clear" w:color="auto" w:fill="D9D9D9" w:themeFill="background1" w:themeFillShade="D9"/>
          </w:tcPr>
          <w:p w14:paraId="36911A73" w14:textId="77777777" w:rsidR="00F610A8" w:rsidRPr="007E5A7F" w:rsidRDefault="00F610A8" w:rsidP="00F610A8">
            <w:pPr>
              <w:spacing w:line="240" w:lineRule="auto"/>
              <w:rPr>
                <w:b/>
                <w:sz w:val="20"/>
                <w:szCs w:val="20"/>
              </w:rPr>
            </w:pPr>
            <w:r w:rsidRPr="007E5A7F">
              <w:rPr>
                <w:b/>
                <w:sz w:val="20"/>
                <w:szCs w:val="20"/>
              </w:rPr>
              <w:t>2014</w:t>
            </w:r>
          </w:p>
        </w:tc>
        <w:tc>
          <w:tcPr>
            <w:tcW w:w="602" w:type="pct"/>
            <w:shd w:val="clear" w:color="auto" w:fill="D9D9D9" w:themeFill="background1" w:themeFillShade="D9"/>
          </w:tcPr>
          <w:p w14:paraId="77B0818B" w14:textId="77777777" w:rsidR="00F610A8" w:rsidRPr="007E5A7F" w:rsidRDefault="00F610A8" w:rsidP="00F610A8">
            <w:pPr>
              <w:spacing w:line="240" w:lineRule="auto"/>
              <w:rPr>
                <w:b/>
                <w:sz w:val="20"/>
                <w:szCs w:val="20"/>
              </w:rPr>
            </w:pPr>
            <w:r w:rsidRPr="007E5A7F">
              <w:rPr>
                <w:b/>
                <w:sz w:val="20"/>
                <w:szCs w:val="20"/>
              </w:rPr>
              <w:t>2015</w:t>
            </w:r>
          </w:p>
        </w:tc>
        <w:tc>
          <w:tcPr>
            <w:tcW w:w="614" w:type="pct"/>
            <w:shd w:val="clear" w:color="auto" w:fill="D9D9D9" w:themeFill="background1" w:themeFillShade="D9"/>
          </w:tcPr>
          <w:p w14:paraId="4966B48C" w14:textId="77777777" w:rsidR="00F610A8" w:rsidRPr="007E5A7F" w:rsidRDefault="00F610A8" w:rsidP="00F610A8">
            <w:pPr>
              <w:spacing w:line="240" w:lineRule="auto"/>
              <w:rPr>
                <w:b/>
                <w:sz w:val="20"/>
                <w:szCs w:val="20"/>
              </w:rPr>
            </w:pPr>
            <w:r w:rsidRPr="007E5A7F">
              <w:rPr>
                <w:b/>
                <w:sz w:val="20"/>
                <w:szCs w:val="20"/>
              </w:rPr>
              <w:t>2016</w:t>
            </w:r>
          </w:p>
        </w:tc>
      </w:tr>
      <w:tr w:rsidR="00F610A8" w:rsidRPr="007E5A7F" w14:paraId="4625DDB1" w14:textId="77777777" w:rsidTr="00F610A8">
        <w:trPr>
          <w:trHeight w:hRule="exact" w:val="360"/>
        </w:trPr>
        <w:tc>
          <w:tcPr>
            <w:tcW w:w="5000" w:type="pct"/>
            <w:gridSpan w:val="6"/>
          </w:tcPr>
          <w:p w14:paraId="3AAAD122" w14:textId="77777777" w:rsidR="00F610A8" w:rsidRPr="007E5A7F" w:rsidRDefault="00F610A8" w:rsidP="00F610A8">
            <w:pPr>
              <w:spacing w:line="240" w:lineRule="auto"/>
              <w:jc w:val="center"/>
              <w:rPr>
                <w:b/>
                <w:sz w:val="20"/>
                <w:szCs w:val="20"/>
              </w:rPr>
            </w:pPr>
            <w:r w:rsidRPr="007E5A7F">
              <w:rPr>
                <w:b/>
                <w:i/>
                <w:sz w:val="20"/>
                <w:szCs w:val="20"/>
              </w:rPr>
              <w:t>For further studies</w:t>
            </w:r>
          </w:p>
        </w:tc>
      </w:tr>
      <w:tr w:rsidR="00F610A8" w:rsidRPr="007E5A7F" w14:paraId="5F3218F6" w14:textId="77777777" w:rsidTr="00F610A8">
        <w:trPr>
          <w:trHeight w:hRule="exact" w:val="360"/>
        </w:trPr>
        <w:tc>
          <w:tcPr>
            <w:tcW w:w="1970" w:type="pct"/>
          </w:tcPr>
          <w:p w14:paraId="35B6AF0F" w14:textId="77777777" w:rsidR="00F610A8" w:rsidRPr="007E5A7F" w:rsidRDefault="00F610A8" w:rsidP="00F610A8">
            <w:pPr>
              <w:spacing w:line="240" w:lineRule="auto"/>
              <w:ind w:left="-23"/>
              <w:rPr>
                <w:sz w:val="20"/>
                <w:szCs w:val="20"/>
              </w:rPr>
            </w:pPr>
            <w:r w:rsidRPr="007E5A7F">
              <w:rPr>
                <w:sz w:val="20"/>
                <w:szCs w:val="20"/>
              </w:rPr>
              <w:t>Within Fiji</w:t>
            </w:r>
          </w:p>
        </w:tc>
        <w:tc>
          <w:tcPr>
            <w:tcW w:w="604" w:type="pct"/>
          </w:tcPr>
          <w:p w14:paraId="3C66B189"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4AB59B80" w14:textId="77777777" w:rsidR="00F610A8" w:rsidRPr="007E5A7F" w:rsidRDefault="00F610A8" w:rsidP="00F610A8">
            <w:pPr>
              <w:spacing w:line="240" w:lineRule="auto"/>
              <w:rPr>
                <w:sz w:val="20"/>
                <w:szCs w:val="20"/>
              </w:rPr>
            </w:pPr>
          </w:p>
        </w:tc>
        <w:tc>
          <w:tcPr>
            <w:tcW w:w="610" w:type="pct"/>
          </w:tcPr>
          <w:p w14:paraId="341B6953" w14:textId="77777777" w:rsidR="00F610A8" w:rsidRPr="007E5A7F" w:rsidRDefault="00F610A8" w:rsidP="00F610A8">
            <w:pPr>
              <w:spacing w:line="240" w:lineRule="auto"/>
              <w:rPr>
                <w:sz w:val="20"/>
                <w:szCs w:val="20"/>
              </w:rPr>
            </w:pPr>
          </w:p>
        </w:tc>
        <w:tc>
          <w:tcPr>
            <w:tcW w:w="602" w:type="pct"/>
          </w:tcPr>
          <w:p w14:paraId="1AA4573E" w14:textId="77777777" w:rsidR="00F610A8" w:rsidRPr="007E5A7F" w:rsidRDefault="00F610A8" w:rsidP="00F610A8">
            <w:pPr>
              <w:spacing w:line="240" w:lineRule="auto"/>
              <w:rPr>
                <w:sz w:val="20"/>
                <w:szCs w:val="20"/>
              </w:rPr>
            </w:pPr>
            <w:r w:rsidRPr="007E5A7F">
              <w:rPr>
                <w:sz w:val="20"/>
                <w:szCs w:val="20"/>
              </w:rPr>
              <w:t>1</w:t>
            </w:r>
          </w:p>
        </w:tc>
        <w:tc>
          <w:tcPr>
            <w:tcW w:w="614" w:type="pct"/>
          </w:tcPr>
          <w:p w14:paraId="2DB3A0F1" w14:textId="77777777" w:rsidR="00F610A8" w:rsidRPr="007E5A7F" w:rsidRDefault="00F610A8" w:rsidP="00F610A8">
            <w:pPr>
              <w:spacing w:line="240" w:lineRule="auto"/>
              <w:rPr>
                <w:sz w:val="20"/>
                <w:szCs w:val="20"/>
              </w:rPr>
            </w:pPr>
          </w:p>
        </w:tc>
      </w:tr>
      <w:tr w:rsidR="00F610A8" w:rsidRPr="007E5A7F" w14:paraId="3AFE206E" w14:textId="77777777" w:rsidTr="00F610A8">
        <w:trPr>
          <w:trHeight w:hRule="exact" w:val="360"/>
        </w:trPr>
        <w:tc>
          <w:tcPr>
            <w:tcW w:w="1970" w:type="pct"/>
          </w:tcPr>
          <w:p w14:paraId="1FF48649" w14:textId="77777777" w:rsidR="00F610A8" w:rsidRPr="007E5A7F" w:rsidRDefault="00F610A8" w:rsidP="00F610A8">
            <w:pPr>
              <w:spacing w:line="240" w:lineRule="auto"/>
              <w:rPr>
                <w:sz w:val="20"/>
                <w:szCs w:val="20"/>
              </w:rPr>
            </w:pPr>
            <w:r w:rsidRPr="007E5A7F">
              <w:rPr>
                <w:sz w:val="20"/>
                <w:szCs w:val="20"/>
              </w:rPr>
              <w:t>Fiji – Outbound</w:t>
            </w:r>
          </w:p>
        </w:tc>
        <w:tc>
          <w:tcPr>
            <w:tcW w:w="604" w:type="pct"/>
          </w:tcPr>
          <w:p w14:paraId="02D06E19" w14:textId="77777777" w:rsidR="00F610A8" w:rsidRPr="007E5A7F" w:rsidRDefault="00F610A8" w:rsidP="00F610A8">
            <w:pPr>
              <w:spacing w:line="240" w:lineRule="auto"/>
              <w:rPr>
                <w:sz w:val="20"/>
                <w:szCs w:val="20"/>
              </w:rPr>
            </w:pPr>
            <w:r w:rsidRPr="007E5A7F">
              <w:rPr>
                <w:sz w:val="20"/>
                <w:szCs w:val="20"/>
              </w:rPr>
              <w:t>4</w:t>
            </w:r>
          </w:p>
        </w:tc>
        <w:tc>
          <w:tcPr>
            <w:tcW w:w="602" w:type="pct"/>
          </w:tcPr>
          <w:p w14:paraId="111C64D1" w14:textId="77777777" w:rsidR="00F610A8" w:rsidRPr="007E5A7F" w:rsidRDefault="00F610A8" w:rsidP="00F610A8">
            <w:pPr>
              <w:spacing w:line="240" w:lineRule="auto"/>
              <w:rPr>
                <w:sz w:val="20"/>
                <w:szCs w:val="20"/>
              </w:rPr>
            </w:pPr>
            <w:r w:rsidRPr="007E5A7F">
              <w:rPr>
                <w:sz w:val="20"/>
                <w:szCs w:val="20"/>
              </w:rPr>
              <w:t>1</w:t>
            </w:r>
          </w:p>
        </w:tc>
        <w:tc>
          <w:tcPr>
            <w:tcW w:w="610" w:type="pct"/>
          </w:tcPr>
          <w:p w14:paraId="09544E18"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0244A0A0" w14:textId="77777777" w:rsidR="00F610A8" w:rsidRPr="007E5A7F" w:rsidRDefault="00F610A8" w:rsidP="00F610A8">
            <w:pPr>
              <w:spacing w:line="240" w:lineRule="auto"/>
              <w:rPr>
                <w:sz w:val="20"/>
                <w:szCs w:val="20"/>
              </w:rPr>
            </w:pPr>
            <w:r w:rsidRPr="007E5A7F">
              <w:rPr>
                <w:sz w:val="20"/>
                <w:szCs w:val="20"/>
              </w:rPr>
              <w:t>1</w:t>
            </w:r>
          </w:p>
        </w:tc>
        <w:tc>
          <w:tcPr>
            <w:tcW w:w="614" w:type="pct"/>
          </w:tcPr>
          <w:p w14:paraId="1DD2CC8E" w14:textId="77777777" w:rsidR="00F610A8" w:rsidRPr="007E5A7F" w:rsidRDefault="00F610A8" w:rsidP="00F610A8">
            <w:pPr>
              <w:spacing w:line="240" w:lineRule="auto"/>
              <w:rPr>
                <w:sz w:val="20"/>
                <w:szCs w:val="20"/>
              </w:rPr>
            </w:pPr>
          </w:p>
        </w:tc>
      </w:tr>
      <w:tr w:rsidR="00F610A8" w:rsidRPr="007E5A7F" w14:paraId="726FE086" w14:textId="77777777" w:rsidTr="00F610A8">
        <w:trPr>
          <w:trHeight w:hRule="exact" w:val="360"/>
        </w:trPr>
        <w:tc>
          <w:tcPr>
            <w:tcW w:w="1970" w:type="pct"/>
          </w:tcPr>
          <w:p w14:paraId="422EF952" w14:textId="77777777" w:rsidR="00F610A8" w:rsidRPr="007E5A7F" w:rsidRDefault="00F610A8" w:rsidP="00F610A8">
            <w:pPr>
              <w:spacing w:line="240" w:lineRule="auto"/>
              <w:rPr>
                <w:sz w:val="20"/>
                <w:szCs w:val="20"/>
              </w:rPr>
            </w:pPr>
            <w:r w:rsidRPr="007E5A7F">
              <w:rPr>
                <w:sz w:val="20"/>
                <w:szCs w:val="20"/>
              </w:rPr>
              <w:t>Fiji – Inbound</w:t>
            </w:r>
          </w:p>
        </w:tc>
        <w:tc>
          <w:tcPr>
            <w:tcW w:w="604" w:type="pct"/>
          </w:tcPr>
          <w:p w14:paraId="1F1FA512" w14:textId="77777777" w:rsidR="00F610A8" w:rsidRPr="007E5A7F" w:rsidRDefault="00F610A8" w:rsidP="00F610A8">
            <w:pPr>
              <w:spacing w:line="240" w:lineRule="auto"/>
              <w:rPr>
                <w:sz w:val="20"/>
                <w:szCs w:val="20"/>
              </w:rPr>
            </w:pPr>
            <w:r w:rsidRPr="007E5A7F">
              <w:rPr>
                <w:sz w:val="20"/>
                <w:szCs w:val="20"/>
              </w:rPr>
              <w:t>2</w:t>
            </w:r>
          </w:p>
        </w:tc>
        <w:tc>
          <w:tcPr>
            <w:tcW w:w="602" w:type="pct"/>
          </w:tcPr>
          <w:p w14:paraId="1C0C54B2" w14:textId="77777777" w:rsidR="00F610A8" w:rsidRPr="007E5A7F" w:rsidRDefault="00F610A8" w:rsidP="00F610A8">
            <w:pPr>
              <w:spacing w:line="240" w:lineRule="auto"/>
              <w:rPr>
                <w:sz w:val="20"/>
                <w:szCs w:val="20"/>
              </w:rPr>
            </w:pPr>
            <w:r w:rsidRPr="007E5A7F">
              <w:rPr>
                <w:sz w:val="20"/>
                <w:szCs w:val="20"/>
              </w:rPr>
              <w:t>1</w:t>
            </w:r>
          </w:p>
        </w:tc>
        <w:tc>
          <w:tcPr>
            <w:tcW w:w="610" w:type="pct"/>
          </w:tcPr>
          <w:p w14:paraId="2019EA23"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1D380068" w14:textId="77777777" w:rsidR="00F610A8" w:rsidRPr="007E5A7F" w:rsidRDefault="00F610A8" w:rsidP="00F610A8">
            <w:pPr>
              <w:spacing w:line="240" w:lineRule="auto"/>
              <w:rPr>
                <w:sz w:val="20"/>
                <w:szCs w:val="20"/>
              </w:rPr>
            </w:pPr>
            <w:r w:rsidRPr="007E5A7F">
              <w:rPr>
                <w:sz w:val="20"/>
                <w:szCs w:val="20"/>
              </w:rPr>
              <w:t>3</w:t>
            </w:r>
          </w:p>
        </w:tc>
        <w:tc>
          <w:tcPr>
            <w:tcW w:w="614" w:type="pct"/>
          </w:tcPr>
          <w:p w14:paraId="08745865" w14:textId="77777777" w:rsidR="00F610A8" w:rsidRPr="007E5A7F" w:rsidRDefault="00F610A8" w:rsidP="00F610A8">
            <w:pPr>
              <w:spacing w:line="240" w:lineRule="auto"/>
              <w:rPr>
                <w:sz w:val="20"/>
                <w:szCs w:val="20"/>
              </w:rPr>
            </w:pPr>
            <w:r w:rsidRPr="007E5A7F">
              <w:rPr>
                <w:sz w:val="20"/>
                <w:szCs w:val="20"/>
              </w:rPr>
              <w:t>1</w:t>
            </w:r>
          </w:p>
        </w:tc>
      </w:tr>
      <w:tr w:rsidR="00F610A8" w:rsidRPr="007E5A7F" w14:paraId="6D4B82EC" w14:textId="77777777" w:rsidTr="00F610A8">
        <w:trPr>
          <w:trHeight w:hRule="exact" w:val="360"/>
        </w:trPr>
        <w:tc>
          <w:tcPr>
            <w:tcW w:w="5000" w:type="pct"/>
            <w:gridSpan w:val="6"/>
          </w:tcPr>
          <w:p w14:paraId="4905599C" w14:textId="77777777" w:rsidR="00F610A8" w:rsidRPr="007E5A7F" w:rsidRDefault="00F610A8" w:rsidP="00F610A8">
            <w:pPr>
              <w:spacing w:line="240" w:lineRule="auto"/>
              <w:jc w:val="center"/>
              <w:rPr>
                <w:b/>
                <w:sz w:val="20"/>
                <w:szCs w:val="20"/>
              </w:rPr>
            </w:pPr>
            <w:r w:rsidRPr="007E5A7F">
              <w:rPr>
                <w:b/>
                <w:i/>
                <w:sz w:val="20"/>
                <w:szCs w:val="20"/>
              </w:rPr>
              <w:t>For Employment</w:t>
            </w:r>
          </w:p>
        </w:tc>
      </w:tr>
      <w:tr w:rsidR="00F610A8" w:rsidRPr="007E5A7F" w14:paraId="2D6F6AE3" w14:textId="77777777" w:rsidTr="00F610A8">
        <w:trPr>
          <w:trHeight w:hRule="exact" w:val="360"/>
        </w:trPr>
        <w:tc>
          <w:tcPr>
            <w:tcW w:w="1970" w:type="pct"/>
          </w:tcPr>
          <w:p w14:paraId="04EA7BFE" w14:textId="77777777" w:rsidR="00F610A8" w:rsidRPr="007E5A7F" w:rsidRDefault="00F610A8" w:rsidP="00F610A8">
            <w:pPr>
              <w:spacing w:line="240" w:lineRule="auto"/>
              <w:rPr>
                <w:sz w:val="20"/>
                <w:szCs w:val="20"/>
              </w:rPr>
            </w:pPr>
            <w:r w:rsidRPr="007E5A7F">
              <w:rPr>
                <w:sz w:val="20"/>
                <w:szCs w:val="20"/>
              </w:rPr>
              <w:t>Fiji – Outbound</w:t>
            </w:r>
          </w:p>
        </w:tc>
        <w:tc>
          <w:tcPr>
            <w:tcW w:w="604" w:type="pct"/>
          </w:tcPr>
          <w:p w14:paraId="32A37440"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43AF7ED6" w14:textId="77777777" w:rsidR="00F610A8" w:rsidRPr="007E5A7F" w:rsidRDefault="00F610A8" w:rsidP="00F610A8">
            <w:pPr>
              <w:spacing w:line="240" w:lineRule="auto"/>
              <w:rPr>
                <w:sz w:val="20"/>
                <w:szCs w:val="20"/>
              </w:rPr>
            </w:pPr>
          </w:p>
        </w:tc>
        <w:tc>
          <w:tcPr>
            <w:tcW w:w="610" w:type="pct"/>
          </w:tcPr>
          <w:p w14:paraId="3EA1AB70" w14:textId="77777777" w:rsidR="00F610A8" w:rsidRPr="007E5A7F" w:rsidRDefault="00F610A8" w:rsidP="00F610A8">
            <w:pPr>
              <w:spacing w:line="240" w:lineRule="auto"/>
              <w:rPr>
                <w:sz w:val="20"/>
                <w:szCs w:val="20"/>
              </w:rPr>
            </w:pPr>
          </w:p>
        </w:tc>
        <w:tc>
          <w:tcPr>
            <w:tcW w:w="602" w:type="pct"/>
          </w:tcPr>
          <w:p w14:paraId="5B3ABD67" w14:textId="77777777" w:rsidR="00F610A8" w:rsidRPr="007E5A7F" w:rsidRDefault="00F610A8" w:rsidP="00F610A8">
            <w:pPr>
              <w:spacing w:line="240" w:lineRule="auto"/>
              <w:rPr>
                <w:sz w:val="20"/>
                <w:szCs w:val="20"/>
              </w:rPr>
            </w:pPr>
          </w:p>
        </w:tc>
        <w:tc>
          <w:tcPr>
            <w:tcW w:w="614" w:type="pct"/>
          </w:tcPr>
          <w:p w14:paraId="778110D3" w14:textId="77777777" w:rsidR="00F610A8" w:rsidRPr="007E5A7F" w:rsidRDefault="00F610A8" w:rsidP="00F610A8">
            <w:pPr>
              <w:spacing w:line="240" w:lineRule="auto"/>
              <w:rPr>
                <w:sz w:val="20"/>
                <w:szCs w:val="20"/>
              </w:rPr>
            </w:pPr>
          </w:p>
        </w:tc>
      </w:tr>
      <w:tr w:rsidR="00F610A8" w:rsidRPr="007E5A7F" w14:paraId="6700DDF5" w14:textId="77777777" w:rsidTr="00F610A8">
        <w:trPr>
          <w:trHeight w:hRule="exact" w:val="360"/>
        </w:trPr>
        <w:tc>
          <w:tcPr>
            <w:tcW w:w="1970" w:type="pct"/>
          </w:tcPr>
          <w:p w14:paraId="2664403D" w14:textId="77777777" w:rsidR="00F610A8" w:rsidRPr="007E5A7F" w:rsidRDefault="00F610A8" w:rsidP="00F610A8">
            <w:pPr>
              <w:spacing w:line="240" w:lineRule="auto"/>
              <w:rPr>
                <w:sz w:val="20"/>
                <w:szCs w:val="20"/>
              </w:rPr>
            </w:pPr>
            <w:r w:rsidRPr="007E5A7F">
              <w:rPr>
                <w:sz w:val="20"/>
                <w:szCs w:val="20"/>
              </w:rPr>
              <w:t>Fiji – Inbound</w:t>
            </w:r>
          </w:p>
        </w:tc>
        <w:tc>
          <w:tcPr>
            <w:tcW w:w="604" w:type="pct"/>
          </w:tcPr>
          <w:p w14:paraId="6F01195B" w14:textId="77777777" w:rsidR="00F610A8" w:rsidRPr="007E5A7F" w:rsidRDefault="00F610A8" w:rsidP="00F610A8">
            <w:pPr>
              <w:spacing w:line="240" w:lineRule="auto"/>
              <w:rPr>
                <w:sz w:val="20"/>
                <w:szCs w:val="20"/>
              </w:rPr>
            </w:pPr>
          </w:p>
        </w:tc>
        <w:tc>
          <w:tcPr>
            <w:tcW w:w="602" w:type="pct"/>
          </w:tcPr>
          <w:p w14:paraId="1836B6EA" w14:textId="77777777" w:rsidR="00F610A8" w:rsidRPr="007E5A7F" w:rsidRDefault="00F610A8" w:rsidP="00F610A8">
            <w:pPr>
              <w:spacing w:line="240" w:lineRule="auto"/>
              <w:rPr>
                <w:sz w:val="20"/>
                <w:szCs w:val="20"/>
              </w:rPr>
            </w:pPr>
            <w:r w:rsidRPr="007E5A7F">
              <w:rPr>
                <w:sz w:val="20"/>
                <w:szCs w:val="20"/>
              </w:rPr>
              <w:t>1</w:t>
            </w:r>
          </w:p>
        </w:tc>
        <w:tc>
          <w:tcPr>
            <w:tcW w:w="610" w:type="pct"/>
          </w:tcPr>
          <w:p w14:paraId="0613F66B"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46E11E51" w14:textId="77777777" w:rsidR="00F610A8" w:rsidRPr="007E5A7F" w:rsidRDefault="00F610A8" w:rsidP="00F610A8">
            <w:pPr>
              <w:spacing w:line="240" w:lineRule="auto"/>
              <w:rPr>
                <w:sz w:val="20"/>
                <w:szCs w:val="20"/>
              </w:rPr>
            </w:pPr>
            <w:r w:rsidRPr="007E5A7F">
              <w:rPr>
                <w:sz w:val="20"/>
                <w:szCs w:val="20"/>
              </w:rPr>
              <w:t>12</w:t>
            </w:r>
          </w:p>
        </w:tc>
        <w:tc>
          <w:tcPr>
            <w:tcW w:w="614" w:type="pct"/>
          </w:tcPr>
          <w:p w14:paraId="4554F326" w14:textId="77777777" w:rsidR="00F610A8" w:rsidRPr="007E5A7F" w:rsidRDefault="00F610A8" w:rsidP="00F610A8">
            <w:pPr>
              <w:spacing w:line="240" w:lineRule="auto"/>
              <w:rPr>
                <w:sz w:val="20"/>
                <w:szCs w:val="20"/>
              </w:rPr>
            </w:pPr>
            <w:r w:rsidRPr="007E5A7F">
              <w:rPr>
                <w:sz w:val="20"/>
                <w:szCs w:val="20"/>
              </w:rPr>
              <w:t>2</w:t>
            </w:r>
          </w:p>
        </w:tc>
      </w:tr>
      <w:tr w:rsidR="00F610A8" w:rsidRPr="007E5A7F" w14:paraId="13C15F55" w14:textId="77777777" w:rsidTr="00F610A8">
        <w:trPr>
          <w:trHeight w:hRule="exact" w:val="360"/>
        </w:trPr>
        <w:tc>
          <w:tcPr>
            <w:tcW w:w="1970" w:type="pct"/>
          </w:tcPr>
          <w:p w14:paraId="274FE216" w14:textId="77777777" w:rsidR="00F610A8" w:rsidRPr="007E5A7F" w:rsidRDefault="00F610A8" w:rsidP="00F610A8">
            <w:pPr>
              <w:spacing w:line="240" w:lineRule="auto"/>
              <w:rPr>
                <w:sz w:val="20"/>
                <w:szCs w:val="20"/>
              </w:rPr>
            </w:pPr>
            <w:r w:rsidRPr="007E5A7F">
              <w:rPr>
                <w:sz w:val="20"/>
                <w:szCs w:val="20"/>
              </w:rPr>
              <w:t>Within Fiji</w:t>
            </w:r>
          </w:p>
        </w:tc>
        <w:tc>
          <w:tcPr>
            <w:tcW w:w="604" w:type="pct"/>
          </w:tcPr>
          <w:p w14:paraId="3EA136EA" w14:textId="77777777" w:rsidR="00F610A8" w:rsidRPr="007E5A7F" w:rsidRDefault="00F610A8" w:rsidP="00F610A8">
            <w:pPr>
              <w:spacing w:line="240" w:lineRule="auto"/>
              <w:rPr>
                <w:sz w:val="20"/>
                <w:szCs w:val="20"/>
              </w:rPr>
            </w:pPr>
          </w:p>
        </w:tc>
        <w:tc>
          <w:tcPr>
            <w:tcW w:w="602" w:type="pct"/>
          </w:tcPr>
          <w:p w14:paraId="49C48F71" w14:textId="77777777" w:rsidR="00F610A8" w:rsidRPr="007E5A7F" w:rsidRDefault="00F610A8" w:rsidP="00F610A8">
            <w:pPr>
              <w:spacing w:line="240" w:lineRule="auto"/>
              <w:rPr>
                <w:sz w:val="20"/>
                <w:szCs w:val="20"/>
              </w:rPr>
            </w:pPr>
          </w:p>
        </w:tc>
        <w:tc>
          <w:tcPr>
            <w:tcW w:w="610" w:type="pct"/>
          </w:tcPr>
          <w:p w14:paraId="14BFB320" w14:textId="77777777" w:rsidR="00F610A8" w:rsidRPr="007E5A7F" w:rsidRDefault="00F610A8" w:rsidP="00F610A8">
            <w:pPr>
              <w:spacing w:line="240" w:lineRule="auto"/>
              <w:rPr>
                <w:sz w:val="20"/>
                <w:szCs w:val="20"/>
              </w:rPr>
            </w:pPr>
          </w:p>
        </w:tc>
        <w:tc>
          <w:tcPr>
            <w:tcW w:w="602" w:type="pct"/>
          </w:tcPr>
          <w:p w14:paraId="19479AA2" w14:textId="77777777" w:rsidR="00F610A8" w:rsidRPr="007E5A7F" w:rsidRDefault="00F610A8" w:rsidP="00F610A8">
            <w:pPr>
              <w:spacing w:line="240" w:lineRule="auto"/>
              <w:rPr>
                <w:sz w:val="20"/>
                <w:szCs w:val="20"/>
              </w:rPr>
            </w:pPr>
            <w:r w:rsidRPr="007E5A7F">
              <w:rPr>
                <w:sz w:val="20"/>
                <w:szCs w:val="20"/>
              </w:rPr>
              <w:t>1</w:t>
            </w:r>
          </w:p>
        </w:tc>
        <w:tc>
          <w:tcPr>
            <w:tcW w:w="614" w:type="pct"/>
          </w:tcPr>
          <w:p w14:paraId="6B0401AE" w14:textId="77777777" w:rsidR="00F610A8" w:rsidRPr="007E5A7F" w:rsidRDefault="00F610A8" w:rsidP="00F610A8">
            <w:pPr>
              <w:spacing w:line="240" w:lineRule="auto"/>
              <w:rPr>
                <w:sz w:val="20"/>
                <w:szCs w:val="20"/>
              </w:rPr>
            </w:pPr>
          </w:p>
        </w:tc>
      </w:tr>
      <w:tr w:rsidR="00F610A8" w:rsidRPr="007E5A7F" w14:paraId="6316A2E6" w14:textId="77777777" w:rsidTr="00F610A8">
        <w:trPr>
          <w:trHeight w:hRule="exact" w:val="360"/>
        </w:trPr>
        <w:tc>
          <w:tcPr>
            <w:tcW w:w="5000" w:type="pct"/>
            <w:gridSpan w:val="6"/>
          </w:tcPr>
          <w:p w14:paraId="7C7301BD" w14:textId="77777777" w:rsidR="00F610A8" w:rsidRPr="007E5A7F" w:rsidRDefault="00F610A8" w:rsidP="00F610A8">
            <w:pPr>
              <w:spacing w:line="240" w:lineRule="auto"/>
              <w:jc w:val="center"/>
              <w:rPr>
                <w:b/>
                <w:i/>
                <w:sz w:val="20"/>
                <w:szCs w:val="20"/>
              </w:rPr>
            </w:pPr>
            <w:r w:rsidRPr="007E5A7F">
              <w:rPr>
                <w:b/>
                <w:i/>
                <w:sz w:val="20"/>
                <w:szCs w:val="20"/>
              </w:rPr>
              <w:t>General evaluation of qualifications</w:t>
            </w:r>
          </w:p>
        </w:tc>
      </w:tr>
      <w:tr w:rsidR="00F610A8" w:rsidRPr="007E5A7F" w14:paraId="74F1F4AA" w14:textId="77777777" w:rsidTr="00F610A8">
        <w:trPr>
          <w:trHeight w:hRule="exact" w:val="360"/>
        </w:trPr>
        <w:tc>
          <w:tcPr>
            <w:tcW w:w="1970" w:type="pct"/>
          </w:tcPr>
          <w:p w14:paraId="7674397A" w14:textId="77777777" w:rsidR="00F610A8" w:rsidRPr="007E5A7F" w:rsidRDefault="00F610A8" w:rsidP="00F610A8">
            <w:pPr>
              <w:spacing w:line="240" w:lineRule="auto"/>
              <w:rPr>
                <w:sz w:val="20"/>
                <w:szCs w:val="20"/>
              </w:rPr>
            </w:pPr>
            <w:r w:rsidRPr="007E5A7F">
              <w:rPr>
                <w:sz w:val="20"/>
                <w:szCs w:val="20"/>
              </w:rPr>
              <w:t>Within Fiji</w:t>
            </w:r>
          </w:p>
        </w:tc>
        <w:tc>
          <w:tcPr>
            <w:tcW w:w="604" w:type="pct"/>
          </w:tcPr>
          <w:p w14:paraId="63CDFB0C"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7024F3C4" w14:textId="77777777" w:rsidR="00F610A8" w:rsidRPr="007E5A7F" w:rsidRDefault="00F610A8" w:rsidP="00F610A8">
            <w:pPr>
              <w:spacing w:line="240" w:lineRule="auto"/>
              <w:rPr>
                <w:sz w:val="20"/>
                <w:szCs w:val="20"/>
              </w:rPr>
            </w:pPr>
          </w:p>
        </w:tc>
        <w:tc>
          <w:tcPr>
            <w:tcW w:w="610" w:type="pct"/>
          </w:tcPr>
          <w:p w14:paraId="54A8A26F" w14:textId="77777777" w:rsidR="00F610A8" w:rsidRPr="007E5A7F" w:rsidRDefault="00F610A8" w:rsidP="00F610A8">
            <w:pPr>
              <w:spacing w:line="240" w:lineRule="auto"/>
              <w:rPr>
                <w:sz w:val="20"/>
                <w:szCs w:val="20"/>
              </w:rPr>
            </w:pPr>
          </w:p>
        </w:tc>
        <w:tc>
          <w:tcPr>
            <w:tcW w:w="602" w:type="pct"/>
          </w:tcPr>
          <w:p w14:paraId="646C5C75" w14:textId="77777777" w:rsidR="00F610A8" w:rsidRPr="007E5A7F" w:rsidRDefault="00F610A8" w:rsidP="00F610A8">
            <w:pPr>
              <w:spacing w:line="240" w:lineRule="auto"/>
              <w:rPr>
                <w:sz w:val="20"/>
                <w:szCs w:val="20"/>
              </w:rPr>
            </w:pPr>
            <w:r w:rsidRPr="007E5A7F">
              <w:rPr>
                <w:sz w:val="20"/>
                <w:szCs w:val="20"/>
              </w:rPr>
              <w:t>1</w:t>
            </w:r>
          </w:p>
        </w:tc>
        <w:tc>
          <w:tcPr>
            <w:tcW w:w="614" w:type="pct"/>
          </w:tcPr>
          <w:p w14:paraId="2C23D011" w14:textId="77777777" w:rsidR="00F610A8" w:rsidRPr="007E5A7F" w:rsidRDefault="00F610A8" w:rsidP="00F610A8">
            <w:pPr>
              <w:spacing w:line="240" w:lineRule="auto"/>
              <w:rPr>
                <w:sz w:val="20"/>
                <w:szCs w:val="20"/>
              </w:rPr>
            </w:pPr>
          </w:p>
        </w:tc>
      </w:tr>
      <w:tr w:rsidR="00F610A8" w:rsidRPr="007E5A7F" w14:paraId="6CFFBB43" w14:textId="77777777" w:rsidTr="00F610A8">
        <w:trPr>
          <w:trHeight w:hRule="exact" w:val="360"/>
        </w:trPr>
        <w:tc>
          <w:tcPr>
            <w:tcW w:w="1970" w:type="pct"/>
          </w:tcPr>
          <w:p w14:paraId="01440B75" w14:textId="77777777" w:rsidR="00F610A8" w:rsidRPr="007E5A7F" w:rsidRDefault="00F610A8" w:rsidP="00F610A8">
            <w:pPr>
              <w:spacing w:line="240" w:lineRule="auto"/>
              <w:rPr>
                <w:sz w:val="20"/>
                <w:szCs w:val="20"/>
              </w:rPr>
            </w:pPr>
            <w:r w:rsidRPr="007E5A7F">
              <w:rPr>
                <w:sz w:val="20"/>
                <w:szCs w:val="20"/>
              </w:rPr>
              <w:t xml:space="preserve"> for NZQA</w:t>
            </w:r>
          </w:p>
        </w:tc>
        <w:tc>
          <w:tcPr>
            <w:tcW w:w="604" w:type="pct"/>
          </w:tcPr>
          <w:p w14:paraId="2A7837FC" w14:textId="77777777" w:rsidR="00F610A8" w:rsidRPr="007E5A7F" w:rsidRDefault="00F610A8" w:rsidP="00F610A8">
            <w:pPr>
              <w:spacing w:line="240" w:lineRule="auto"/>
              <w:rPr>
                <w:sz w:val="20"/>
                <w:szCs w:val="20"/>
              </w:rPr>
            </w:pPr>
            <w:r w:rsidRPr="007E5A7F">
              <w:rPr>
                <w:sz w:val="20"/>
                <w:szCs w:val="20"/>
              </w:rPr>
              <w:t>1</w:t>
            </w:r>
          </w:p>
        </w:tc>
        <w:tc>
          <w:tcPr>
            <w:tcW w:w="602" w:type="pct"/>
          </w:tcPr>
          <w:p w14:paraId="61088607" w14:textId="77777777" w:rsidR="00F610A8" w:rsidRPr="007E5A7F" w:rsidRDefault="00F610A8" w:rsidP="00F610A8">
            <w:pPr>
              <w:spacing w:line="240" w:lineRule="auto"/>
              <w:rPr>
                <w:sz w:val="20"/>
                <w:szCs w:val="20"/>
              </w:rPr>
            </w:pPr>
          </w:p>
        </w:tc>
        <w:tc>
          <w:tcPr>
            <w:tcW w:w="610" w:type="pct"/>
          </w:tcPr>
          <w:p w14:paraId="1F0AAAD3" w14:textId="77777777" w:rsidR="00F610A8" w:rsidRPr="007E5A7F" w:rsidRDefault="00F610A8" w:rsidP="00F610A8">
            <w:pPr>
              <w:spacing w:line="240" w:lineRule="auto"/>
              <w:rPr>
                <w:sz w:val="20"/>
                <w:szCs w:val="20"/>
              </w:rPr>
            </w:pPr>
          </w:p>
        </w:tc>
        <w:tc>
          <w:tcPr>
            <w:tcW w:w="602" w:type="pct"/>
          </w:tcPr>
          <w:p w14:paraId="77482E93" w14:textId="77777777" w:rsidR="00F610A8" w:rsidRPr="007E5A7F" w:rsidRDefault="00F610A8" w:rsidP="00F610A8">
            <w:pPr>
              <w:spacing w:line="240" w:lineRule="auto"/>
              <w:rPr>
                <w:sz w:val="20"/>
                <w:szCs w:val="20"/>
              </w:rPr>
            </w:pPr>
          </w:p>
        </w:tc>
        <w:tc>
          <w:tcPr>
            <w:tcW w:w="614" w:type="pct"/>
          </w:tcPr>
          <w:p w14:paraId="272FBA03" w14:textId="77777777" w:rsidR="00F610A8" w:rsidRPr="007E5A7F" w:rsidRDefault="00F610A8" w:rsidP="00F610A8">
            <w:pPr>
              <w:spacing w:line="240" w:lineRule="auto"/>
              <w:rPr>
                <w:sz w:val="20"/>
                <w:szCs w:val="20"/>
              </w:rPr>
            </w:pPr>
          </w:p>
        </w:tc>
      </w:tr>
      <w:tr w:rsidR="00F610A8" w:rsidRPr="007E5A7F" w14:paraId="555FE758" w14:textId="77777777" w:rsidTr="00F610A8">
        <w:trPr>
          <w:trHeight w:hRule="exact" w:val="360"/>
        </w:trPr>
        <w:tc>
          <w:tcPr>
            <w:tcW w:w="1970" w:type="pct"/>
          </w:tcPr>
          <w:p w14:paraId="29BFDFB2" w14:textId="77777777" w:rsidR="00F610A8" w:rsidRPr="007E5A7F" w:rsidRDefault="00F610A8" w:rsidP="00F610A8">
            <w:pPr>
              <w:spacing w:line="240" w:lineRule="auto"/>
              <w:rPr>
                <w:b/>
                <w:sz w:val="20"/>
                <w:szCs w:val="20"/>
              </w:rPr>
            </w:pPr>
            <w:r w:rsidRPr="007E5A7F">
              <w:rPr>
                <w:b/>
                <w:sz w:val="20"/>
                <w:szCs w:val="20"/>
              </w:rPr>
              <w:t>TOTALS</w:t>
            </w:r>
          </w:p>
        </w:tc>
        <w:tc>
          <w:tcPr>
            <w:tcW w:w="604" w:type="pct"/>
          </w:tcPr>
          <w:p w14:paraId="40F567EF" w14:textId="77777777" w:rsidR="00F610A8" w:rsidRPr="007E5A7F" w:rsidRDefault="00F610A8" w:rsidP="00F610A8">
            <w:pPr>
              <w:spacing w:line="240" w:lineRule="auto"/>
              <w:rPr>
                <w:b/>
                <w:sz w:val="20"/>
                <w:szCs w:val="20"/>
              </w:rPr>
            </w:pPr>
            <w:r w:rsidRPr="007E5A7F">
              <w:rPr>
                <w:b/>
                <w:sz w:val="20"/>
                <w:szCs w:val="20"/>
              </w:rPr>
              <w:t>10</w:t>
            </w:r>
          </w:p>
        </w:tc>
        <w:tc>
          <w:tcPr>
            <w:tcW w:w="602" w:type="pct"/>
          </w:tcPr>
          <w:p w14:paraId="21A1257A" w14:textId="77777777" w:rsidR="00F610A8" w:rsidRPr="007E5A7F" w:rsidRDefault="00F610A8" w:rsidP="00F610A8">
            <w:pPr>
              <w:spacing w:line="240" w:lineRule="auto"/>
              <w:rPr>
                <w:b/>
                <w:sz w:val="20"/>
                <w:szCs w:val="20"/>
              </w:rPr>
            </w:pPr>
            <w:r w:rsidRPr="007E5A7F">
              <w:rPr>
                <w:b/>
                <w:sz w:val="20"/>
                <w:szCs w:val="20"/>
              </w:rPr>
              <w:t>3</w:t>
            </w:r>
          </w:p>
        </w:tc>
        <w:tc>
          <w:tcPr>
            <w:tcW w:w="610" w:type="pct"/>
          </w:tcPr>
          <w:p w14:paraId="3E277124" w14:textId="77777777" w:rsidR="00F610A8" w:rsidRPr="007E5A7F" w:rsidRDefault="00F610A8" w:rsidP="00F610A8">
            <w:pPr>
              <w:spacing w:line="240" w:lineRule="auto"/>
              <w:rPr>
                <w:b/>
                <w:sz w:val="20"/>
                <w:szCs w:val="20"/>
              </w:rPr>
            </w:pPr>
            <w:r w:rsidRPr="007E5A7F">
              <w:rPr>
                <w:b/>
                <w:sz w:val="20"/>
                <w:szCs w:val="20"/>
              </w:rPr>
              <w:t>3</w:t>
            </w:r>
          </w:p>
        </w:tc>
        <w:tc>
          <w:tcPr>
            <w:tcW w:w="602" w:type="pct"/>
          </w:tcPr>
          <w:p w14:paraId="0A2C5849" w14:textId="77777777" w:rsidR="00F610A8" w:rsidRPr="007E5A7F" w:rsidRDefault="00F610A8" w:rsidP="00F610A8">
            <w:pPr>
              <w:spacing w:line="240" w:lineRule="auto"/>
              <w:rPr>
                <w:b/>
                <w:sz w:val="20"/>
                <w:szCs w:val="20"/>
              </w:rPr>
            </w:pPr>
            <w:r w:rsidRPr="007E5A7F">
              <w:rPr>
                <w:b/>
                <w:sz w:val="20"/>
                <w:szCs w:val="20"/>
              </w:rPr>
              <w:t>19</w:t>
            </w:r>
          </w:p>
        </w:tc>
        <w:tc>
          <w:tcPr>
            <w:tcW w:w="614" w:type="pct"/>
          </w:tcPr>
          <w:p w14:paraId="624392B4" w14:textId="77777777" w:rsidR="00F610A8" w:rsidRPr="007E5A7F" w:rsidRDefault="00F610A8" w:rsidP="00F610A8">
            <w:pPr>
              <w:spacing w:line="240" w:lineRule="auto"/>
              <w:rPr>
                <w:b/>
                <w:sz w:val="20"/>
                <w:szCs w:val="20"/>
              </w:rPr>
            </w:pPr>
            <w:r w:rsidRPr="007E5A7F">
              <w:rPr>
                <w:b/>
                <w:sz w:val="20"/>
                <w:szCs w:val="20"/>
              </w:rPr>
              <w:t>3</w:t>
            </w:r>
          </w:p>
        </w:tc>
      </w:tr>
    </w:tbl>
    <w:p w14:paraId="5B3B00A5" w14:textId="77777777" w:rsidR="00F610A8" w:rsidRDefault="00F610A8" w:rsidP="00BF09CC">
      <w:pPr>
        <w:spacing w:before="0" w:line="240" w:lineRule="auto"/>
        <w:rPr>
          <w:sz w:val="20"/>
        </w:rPr>
      </w:pPr>
      <w:r>
        <w:rPr>
          <w:sz w:val="20"/>
        </w:rPr>
        <w:t>Source FHEC, 2016</w:t>
      </w:r>
    </w:p>
    <w:p w14:paraId="0194A671" w14:textId="3F9FBFD3" w:rsidR="00F610A8" w:rsidRPr="00362661" w:rsidRDefault="00F610A8" w:rsidP="00BF09CC">
      <w:pPr>
        <w:spacing w:line="240" w:lineRule="auto"/>
      </w:pPr>
      <w:r w:rsidRPr="00362661">
        <w:lastRenderedPageBreak/>
        <w:t>The NZQA Qualifica</w:t>
      </w:r>
      <w:r>
        <w:t>tions Recognition Services</w:t>
      </w:r>
      <w:r w:rsidRPr="00362661">
        <w:t xml:space="preserve"> has also received applications from Pacific citizens for</w:t>
      </w:r>
      <w:r>
        <w:t xml:space="preserve"> evaluation of qualifications for immigration, further study, employment and registration purposes. </w:t>
      </w:r>
      <w:r>
        <w:br/>
        <w:t xml:space="preserve">The overwhelming majority of applications between 2013 and 2015 have come from Fiji.  Over the same </w:t>
      </w:r>
      <w:r w:rsidR="00DB593A">
        <w:t>period,</w:t>
      </w:r>
      <w:r>
        <w:t xml:space="preserve"> </w:t>
      </w:r>
      <w:r w:rsidR="00DB593A">
        <w:t>both Samoa and Tonga</w:t>
      </w:r>
      <w:r w:rsidR="00C6410A">
        <w:t xml:space="preserve"> received such applications</w:t>
      </w:r>
      <w:r>
        <w:t xml:space="preserve">, most recently, from French Polynesia and New Caledonia. It is interesting to note that </w:t>
      </w:r>
      <w:r w:rsidR="00DB593A">
        <w:t xml:space="preserve">no </w:t>
      </w:r>
      <w:r>
        <w:t xml:space="preserve">applications </w:t>
      </w:r>
      <w:r w:rsidR="00DB593A">
        <w:t xml:space="preserve">were </w:t>
      </w:r>
      <w:r>
        <w:t>received from other Pacific island countries (e.g. Solomon Islands, Kiribati or Vanuatu) which have emerging national qualifications frameworks or no current national qualifications framework in place. Refer to the table below.</w:t>
      </w:r>
    </w:p>
    <w:p w14:paraId="3EC1F120" w14:textId="24B56190" w:rsidR="00F610A8" w:rsidRPr="00E21F50" w:rsidRDefault="00F610A8" w:rsidP="00BF09CC">
      <w:pPr>
        <w:spacing w:line="240" w:lineRule="auto"/>
        <w:rPr>
          <w:b/>
        </w:rPr>
      </w:pPr>
      <w:bookmarkStart w:id="136" w:name="_Toc458892564"/>
      <w:r w:rsidRPr="00E21F50">
        <w:rPr>
          <w:b/>
        </w:rPr>
        <w:t xml:space="preserve">Table </w:t>
      </w:r>
      <w:r w:rsidRPr="00E21F50">
        <w:rPr>
          <w:b/>
        </w:rPr>
        <w:fldChar w:fldCharType="begin"/>
      </w:r>
      <w:r w:rsidRPr="00E21F50">
        <w:rPr>
          <w:b/>
        </w:rPr>
        <w:instrText xml:space="preserve"> SEQ Table \* ARABIC </w:instrText>
      </w:r>
      <w:r w:rsidRPr="00E21F50">
        <w:rPr>
          <w:b/>
        </w:rPr>
        <w:fldChar w:fldCharType="separate"/>
      </w:r>
      <w:r w:rsidR="000C512A">
        <w:rPr>
          <w:b/>
          <w:noProof/>
        </w:rPr>
        <w:t>9</w:t>
      </w:r>
      <w:r w:rsidRPr="00E21F50">
        <w:rPr>
          <w:b/>
        </w:rPr>
        <w:fldChar w:fldCharType="end"/>
      </w:r>
      <w:r w:rsidRPr="00E21F50">
        <w:rPr>
          <w:b/>
        </w:rPr>
        <w:t>: Applications for qualifications assessment – NZQA Qualifications Recognition Services</w:t>
      </w:r>
      <w:bookmarkEnd w:id="136"/>
    </w:p>
    <w:tbl>
      <w:tblPr>
        <w:tblStyle w:val="TableGrid"/>
        <w:tblW w:w="5000" w:type="pct"/>
        <w:tblLook w:val="04A0" w:firstRow="1" w:lastRow="0" w:firstColumn="1" w:lastColumn="0" w:noHBand="0" w:noVBand="1"/>
      </w:tblPr>
      <w:tblGrid>
        <w:gridCol w:w="3007"/>
        <w:gridCol w:w="1906"/>
        <w:gridCol w:w="2159"/>
        <w:gridCol w:w="2108"/>
      </w:tblGrid>
      <w:tr w:rsidR="00F610A8" w:rsidRPr="005E5D6A" w14:paraId="621ACC42" w14:textId="77777777" w:rsidTr="00F610A8">
        <w:tc>
          <w:tcPr>
            <w:tcW w:w="1638" w:type="pct"/>
            <w:shd w:val="clear" w:color="auto" w:fill="D9D9D9" w:themeFill="background1" w:themeFillShade="D9"/>
          </w:tcPr>
          <w:p w14:paraId="314C3BAF" w14:textId="77777777" w:rsidR="00F610A8" w:rsidRPr="005E5D6A" w:rsidRDefault="00F610A8" w:rsidP="00F610A8">
            <w:pPr>
              <w:spacing w:line="240" w:lineRule="auto"/>
              <w:rPr>
                <w:b/>
                <w:sz w:val="20"/>
              </w:rPr>
            </w:pPr>
            <w:r w:rsidRPr="005E5D6A">
              <w:rPr>
                <w:b/>
                <w:sz w:val="20"/>
              </w:rPr>
              <w:t>Country of individual</w:t>
            </w:r>
          </w:p>
        </w:tc>
        <w:tc>
          <w:tcPr>
            <w:tcW w:w="1038" w:type="pct"/>
            <w:shd w:val="clear" w:color="auto" w:fill="D9D9D9" w:themeFill="background1" w:themeFillShade="D9"/>
          </w:tcPr>
          <w:p w14:paraId="549A6C75" w14:textId="77777777" w:rsidR="00F610A8" w:rsidRPr="005E5D6A" w:rsidRDefault="00F610A8" w:rsidP="00F610A8">
            <w:pPr>
              <w:spacing w:line="240" w:lineRule="auto"/>
              <w:jc w:val="center"/>
              <w:rPr>
                <w:b/>
                <w:sz w:val="20"/>
              </w:rPr>
            </w:pPr>
            <w:r w:rsidRPr="005E5D6A">
              <w:rPr>
                <w:b/>
                <w:sz w:val="20"/>
              </w:rPr>
              <w:t>2013FY</w:t>
            </w:r>
          </w:p>
        </w:tc>
        <w:tc>
          <w:tcPr>
            <w:tcW w:w="1176" w:type="pct"/>
            <w:shd w:val="clear" w:color="auto" w:fill="D9D9D9" w:themeFill="background1" w:themeFillShade="D9"/>
          </w:tcPr>
          <w:p w14:paraId="433FB412" w14:textId="77777777" w:rsidR="00F610A8" w:rsidRPr="005E5D6A" w:rsidRDefault="00F610A8" w:rsidP="00F610A8">
            <w:pPr>
              <w:spacing w:line="240" w:lineRule="auto"/>
              <w:jc w:val="center"/>
              <w:rPr>
                <w:b/>
                <w:sz w:val="20"/>
              </w:rPr>
            </w:pPr>
            <w:r w:rsidRPr="005E5D6A">
              <w:rPr>
                <w:b/>
                <w:sz w:val="20"/>
              </w:rPr>
              <w:t>2014FY</w:t>
            </w:r>
          </w:p>
        </w:tc>
        <w:tc>
          <w:tcPr>
            <w:tcW w:w="1148" w:type="pct"/>
            <w:shd w:val="clear" w:color="auto" w:fill="D9D9D9" w:themeFill="background1" w:themeFillShade="D9"/>
          </w:tcPr>
          <w:p w14:paraId="7DEC0222" w14:textId="77777777" w:rsidR="00F610A8" w:rsidRPr="005E5D6A" w:rsidRDefault="00F610A8" w:rsidP="00F610A8">
            <w:pPr>
              <w:spacing w:line="240" w:lineRule="auto"/>
              <w:jc w:val="center"/>
              <w:rPr>
                <w:b/>
                <w:sz w:val="20"/>
              </w:rPr>
            </w:pPr>
            <w:r w:rsidRPr="005E5D6A">
              <w:rPr>
                <w:b/>
                <w:sz w:val="20"/>
              </w:rPr>
              <w:t>2015FY</w:t>
            </w:r>
          </w:p>
        </w:tc>
      </w:tr>
      <w:tr w:rsidR="00F610A8" w:rsidRPr="005E5D6A" w14:paraId="52680DB1" w14:textId="77777777" w:rsidTr="00F610A8">
        <w:tc>
          <w:tcPr>
            <w:tcW w:w="1638" w:type="pct"/>
          </w:tcPr>
          <w:p w14:paraId="391AEE32" w14:textId="77777777" w:rsidR="00F610A8" w:rsidRPr="005E5D6A" w:rsidRDefault="00F610A8" w:rsidP="00F610A8">
            <w:pPr>
              <w:spacing w:line="240" w:lineRule="auto"/>
              <w:rPr>
                <w:sz w:val="20"/>
              </w:rPr>
            </w:pPr>
            <w:r w:rsidRPr="005E5D6A">
              <w:rPr>
                <w:sz w:val="20"/>
              </w:rPr>
              <w:t>Fiji</w:t>
            </w:r>
          </w:p>
        </w:tc>
        <w:tc>
          <w:tcPr>
            <w:tcW w:w="1038" w:type="pct"/>
          </w:tcPr>
          <w:p w14:paraId="5930D56B" w14:textId="77777777" w:rsidR="00F610A8" w:rsidRPr="005E5D6A" w:rsidRDefault="00F610A8" w:rsidP="00F610A8">
            <w:pPr>
              <w:spacing w:line="240" w:lineRule="auto"/>
              <w:rPr>
                <w:sz w:val="20"/>
              </w:rPr>
            </w:pPr>
            <w:r w:rsidRPr="005E5D6A">
              <w:rPr>
                <w:sz w:val="20"/>
              </w:rPr>
              <w:t>308 (IQA)</w:t>
            </w:r>
          </w:p>
        </w:tc>
        <w:tc>
          <w:tcPr>
            <w:tcW w:w="1176" w:type="pct"/>
          </w:tcPr>
          <w:p w14:paraId="4178613B" w14:textId="77777777" w:rsidR="00F610A8" w:rsidRPr="005E5D6A" w:rsidRDefault="00F610A8" w:rsidP="00F610A8">
            <w:pPr>
              <w:spacing w:line="240" w:lineRule="auto"/>
              <w:rPr>
                <w:sz w:val="20"/>
              </w:rPr>
            </w:pPr>
            <w:r w:rsidRPr="005E5D6A">
              <w:rPr>
                <w:sz w:val="20"/>
              </w:rPr>
              <w:t xml:space="preserve">103 </w:t>
            </w:r>
          </w:p>
        </w:tc>
        <w:tc>
          <w:tcPr>
            <w:tcW w:w="1148" w:type="pct"/>
          </w:tcPr>
          <w:p w14:paraId="4236FBD6" w14:textId="77777777" w:rsidR="00F610A8" w:rsidRPr="005E5D6A" w:rsidRDefault="00F610A8" w:rsidP="00F610A8">
            <w:pPr>
              <w:spacing w:line="240" w:lineRule="auto"/>
              <w:rPr>
                <w:sz w:val="20"/>
              </w:rPr>
            </w:pPr>
            <w:r w:rsidRPr="005E5D6A">
              <w:rPr>
                <w:sz w:val="20"/>
              </w:rPr>
              <w:t>258 (IQA)</w:t>
            </w:r>
          </w:p>
        </w:tc>
      </w:tr>
      <w:tr w:rsidR="00F610A8" w:rsidRPr="005E5D6A" w14:paraId="4B1972EE" w14:textId="77777777" w:rsidTr="00F610A8">
        <w:tc>
          <w:tcPr>
            <w:tcW w:w="1638" w:type="pct"/>
          </w:tcPr>
          <w:p w14:paraId="7CE22E0B" w14:textId="77777777" w:rsidR="00F610A8" w:rsidRPr="005E5D6A" w:rsidRDefault="00F610A8" w:rsidP="00F610A8">
            <w:pPr>
              <w:spacing w:line="240" w:lineRule="auto"/>
              <w:rPr>
                <w:sz w:val="20"/>
              </w:rPr>
            </w:pPr>
          </w:p>
        </w:tc>
        <w:tc>
          <w:tcPr>
            <w:tcW w:w="1038" w:type="pct"/>
          </w:tcPr>
          <w:p w14:paraId="0C0D47AC" w14:textId="77777777" w:rsidR="00F610A8" w:rsidRPr="005E5D6A" w:rsidRDefault="00F610A8" w:rsidP="00F610A8">
            <w:pPr>
              <w:spacing w:line="240" w:lineRule="auto"/>
              <w:rPr>
                <w:sz w:val="20"/>
              </w:rPr>
            </w:pPr>
            <w:r w:rsidRPr="005E5D6A">
              <w:rPr>
                <w:sz w:val="20"/>
              </w:rPr>
              <w:t>120 (PAR)</w:t>
            </w:r>
          </w:p>
        </w:tc>
        <w:tc>
          <w:tcPr>
            <w:tcW w:w="1176" w:type="pct"/>
          </w:tcPr>
          <w:p w14:paraId="748345B5" w14:textId="77777777" w:rsidR="00F610A8" w:rsidRPr="005E5D6A" w:rsidRDefault="00F610A8" w:rsidP="00F610A8">
            <w:pPr>
              <w:spacing w:line="240" w:lineRule="auto"/>
              <w:rPr>
                <w:sz w:val="20"/>
              </w:rPr>
            </w:pPr>
            <w:r w:rsidRPr="005E5D6A">
              <w:rPr>
                <w:sz w:val="20"/>
              </w:rPr>
              <w:t xml:space="preserve"> </w:t>
            </w:r>
          </w:p>
        </w:tc>
        <w:tc>
          <w:tcPr>
            <w:tcW w:w="1148" w:type="pct"/>
          </w:tcPr>
          <w:p w14:paraId="6B1621BE" w14:textId="77777777" w:rsidR="00F610A8" w:rsidRPr="005E5D6A" w:rsidRDefault="00F610A8" w:rsidP="00F610A8">
            <w:pPr>
              <w:spacing w:line="240" w:lineRule="auto"/>
              <w:rPr>
                <w:sz w:val="20"/>
              </w:rPr>
            </w:pPr>
            <w:r w:rsidRPr="005E5D6A">
              <w:rPr>
                <w:sz w:val="20"/>
              </w:rPr>
              <w:t xml:space="preserve">  95 (PAR)</w:t>
            </w:r>
          </w:p>
        </w:tc>
      </w:tr>
      <w:tr w:rsidR="00F610A8" w:rsidRPr="005E5D6A" w14:paraId="413D380E" w14:textId="77777777" w:rsidTr="00F610A8">
        <w:tc>
          <w:tcPr>
            <w:tcW w:w="1638" w:type="pct"/>
          </w:tcPr>
          <w:p w14:paraId="2A5AE682" w14:textId="77777777" w:rsidR="00F610A8" w:rsidRPr="005E5D6A" w:rsidRDefault="00F610A8" w:rsidP="00F610A8">
            <w:pPr>
              <w:spacing w:line="240" w:lineRule="auto"/>
              <w:rPr>
                <w:sz w:val="20"/>
              </w:rPr>
            </w:pPr>
            <w:r w:rsidRPr="005E5D6A">
              <w:rPr>
                <w:sz w:val="20"/>
              </w:rPr>
              <w:t>Tonga</w:t>
            </w:r>
          </w:p>
        </w:tc>
        <w:tc>
          <w:tcPr>
            <w:tcW w:w="1038" w:type="pct"/>
          </w:tcPr>
          <w:p w14:paraId="7C49DF17" w14:textId="77777777" w:rsidR="00F610A8" w:rsidRPr="005E5D6A" w:rsidRDefault="00F610A8" w:rsidP="00F610A8">
            <w:pPr>
              <w:spacing w:line="240" w:lineRule="auto"/>
              <w:rPr>
                <w:sz w:val="20"/>
              </w:rPr>
            </w:pPr>
            <w:r w:rsidRPr="005E5D6A">
              <w:rPr>
                <w:sz w:val="20"/>
              </w:rPr>
              <w:t>6 (IQA</w:t>
            </w:r>
          </w:p>
        </w:tc>
        <w:tc>
          <w:tcPr>
            <w:tcW w:w="1176" w:type="pct"/>
          </w:tcPr>
          <w:p w14:paraId="39007BB4" w14:textId="77777777" w:rsidR="00F610A8" w:rsidRPr="005E5D6A" w:rsidRDefault="00F610A8" w:rsidP="00F610A8">
            <w:pPr>
              <w:spacing w:line="240" w:lineRule="auto"/>
              <w:rPr>
                <w:sz w:val="20"/>
              </w:rPr>
            </w:pPr>
            <w:r w:rsidRPr="005E5D6A">
              <w:rPr>
                <w:sz w:val="20"/>
              </w:rPr>
              <w:t xml:space="preserve"> 11</w:t>
            </w:r>
          </w:p>
        </w:tc>
        <w:tc>
          <w:tcPr>
            <w:tcW w:w="1148" w:type="pct"/>
          </w:tcPr>
          <w:p w14:paraId="62967617" w14:textId="77777777" w:rsidR="00F610A8" w:rsidRPr="005E5D6A" w:rsidRDefault="00F610A8" w:rsidP="00F610A8">
            <w:pPr>
              <w:spacing w:line="240" w:lineRule="auto"/>
              <w:rPr>
                <w:sz w:val="20"/>
              </w:rPr>
            </w:pPr>
            <w:r w:rsidRPr="005E5D6A">
              <w:rPr>
                <w:sz w:val="20"/>
              </w:rPr>
              <w:t xml:space="preserve">   2 (IQA)</w:t>
            </w:r>
          </w:p>
        </w:tc>
      </w:tr>
      <w:tr w:rsidR="00F610A8" w:rsidRPr="005E5D6A" w14:paraId="5FDB16FC" w14:textId="77777777" w:rsidTr="00F610A8">
        <w:tc>
          <w:tcPr>
            <w:tcW w:w="1638" w:type="pct"/>
          </w:tcPr>
          <w:p w14:paraId="649C59E9" w14:textId="77777777" w:rsidR="00F610A8" w:rsidRPr="005E5D6A" w:rsidRDefault="00F610A8" w:rsidP="00F610A8">
            <w:pPr>
              <w:spacing w:line="240" w:lineRule="auto"/>
              <w:rPr>
                <w:sz w:val="20"/>
              </w:rPr>
            </w:pPr>
            <w:r w:rsidRPr="005E5D6A">
              <w:rPr>
                <w:sz w:val="20"/>
              </w:rPr>
              <w:t>Samoa</w:t>
            </w:r>
          </w:p>
        </w:tc>
        <w:tc>
          <w:tcPr>
            <w:tcW w:w="1038" w:type="pct"/>
          </w:tcPr>
          <w:p w14:paraId="5D321DE7" w14:textId="77777777" w:rsidR="00F610A8" w:rsidRPr="005E5D6A" w:rsidRDefault="00F610A8" w:rsidP="00F610A8">
            <w:pPr>
              <w:spacing w:line="240" w:lineRule="auto"/>
              <w:rPr>
                <w:sz w:val="20"/>
              </w:rPr>
            </w:pPr>
            <w:r w:rsidRPr="005E5D6A">
              <w:rPr>
                <w:sz w:val="20"/>
              </w:rPr>
              <w:t>4 (IQA)</w:t>
            </w:r>
          </w:p>
        </w:tc>
        <w:tc>
          <w:tcPr>
            <w:tcW w:w="1176" w:type="pct"/>
          </w:tcPr>
          <w:p w14:paraId="66B21416" w14:textId="77777777" w:rsidR="00F610A8" w:rsidRPr="005E5D6A" w:rsidRDefault="00F610A8" w:rsidP="00F610A8">
            <w:pPr>
              <w:spacing w:line="240" w:lineRule="auto"/>
              <w:rPr>
                <w:sz w:val="20"/>
              </w:rPr>
            </w:pPr>
            <w:r w:rsidRPr="005E5D6A">
              <w:rPr>
                <w:sz w:val="20"/>
              </w:rPr>
              <w:t xml:space="preserve">  3</w:t>
            </w:r>
          </w:p>
        </w:tc>
        <w:tc>
          <w:tcPr>
            <w:tcW w:w="1148" w:type="pct"/>
          </w:tcPr>
          <w:p w14:paraId="58B982C8" w14:textId="77777777" w:rsidR="00F610A8" w:rsidRPr="005E5D6A" w:rsidRDefault="00F610A8" w:rsidP="00F610A8">
            <w:pPr>
              <w:spacing w:line="240" w:lineRule="auto"/>
              <w:rPr>
                <w:sz w:val="20"/>
              </w:rPr>
            </w:pPr>
            <w:r>
              <w:rPr>
                <w:sz w:val="20"/>
              </w:rPr>
              <w:t>-</w:t>
            </w:r>
          </w:p>
        </w:tc>
      </w:tr>
      <w:tr w:rsidR="00F610A8" w:rsidRPr="005E5D6A" w14:paraId="3BDBAB3E" w14:textId="77777777" w:rsidTr="00F610A8">
        <w:tc>
          <w:tcPr>
            <w:tcW w:w="1638" w:type="pct"/>
          </w:tcPr>
          <w:p w14:paraId="730DA3B3" w14:textId="77777777" w:rsidR="00F610A8" w:rsidRPr="005E5D6A" w:rsidRDefault="00F610A8" w:rsidP="00F610A8">
            <w:pPr>
              <w:spacing w:line="240" w:lineRule="auto"/>
              <w:rPr>
                <w:sz w:val="20"/>
              </w:rPr>
            </w:pPr>
            <w:r w:rsidRPr="005E5D6A">
              <w:rPr>
                <w:sz w:val="20"/>
              </w:rPr>
              <w:t>French Polynesia</w:t>
            </w:r>
          </w:p>
        </w:tc>
        <w:tc>
          <w:tcPr>
            <w:tcW w:w="1038" w:type="pct"/>
          </w:tcPr>
          <w:p w14:paraId="6D4E0847" w14:textId="77777777" w:rsidR="00F610A8" w:rsidRPr="005E5D6A" w:rsidRDefault="00F610A8" w:rsidP="00F610A8">
            <w:pPr>
              <w:spacing w:line="240" w:lineRule="auto"/>
              <w:rPr>
                <w:sz w:val="20"/>
              </w:rPr>
            </w:pPr>
            <w:r>
              <w:rPr>
                <w:sz w:val="20"/>
              </w:rPr>
              <w:t>-</w:t>
            </w:r>
          </w:p>
        </w:tc>
        <w:tc>
          <w:tcPr>
            <w:tcW w:w="1176" w:type="pct"/>
          </w:tcPr>
          <w:p w14:paraId="65A08E8A" w14:textId="77777777" w:rsidR="00F610A8" w:rsidRPr="005E5D6A" w:rsidRDefault="00F610A8" w:rsidP="00F610A8">
            <w:pPr>
              <w:spacing w:line="240" w:lineRule="auto"/>
              <w:rPr>
                <w:sz w:val="20"/>
              </w:rPr>
            </w:pPr>
            <w:r>
              <w:rPr>
                <w:sz w:val="20"/>
              </w:rPr>
              <w:t>-</w:t>
            </w:r>
          </w:p>
        </w:tc>
        <w:tc>
          <w:tcPr>
            <w:tcW w:w="1148" w:type="pct"/>
          </w:tcPr>
          <w:p w14:paraId="5B8942FC" w14:textId="77777777" w:rsidR="00F610A8" w:rsidRPr="005E5D6A" w:rsidRDefault="00F610A8" w:rsidP="00F610A8">
            <w:pPr>
              <w:spacing w:line="240" w:lineRule="auto"/>
              <w:rPr>
                <w:sz w:val="20"/>
              </w:rPr>
            </w:pPr>
            <w:r w:rsidRPr="005E5D6A">
              <w:rPr>
                <w:sz w:val="20"/>
              </w:rPr>
              <w:t xml:space="preserve"> 1 (PAR)</w:t>
            </w:r>
          </w:p>
        </w:tc>
      </w:tr>
      <w:tr w:rsidR="00F610A8" w:rsidRPr="005E5D6A" w14:paraId="6188C584" w14:textId="77777777" w:rsidTr="00F610A8">
        <w:tc>
          <w:tcPr>
            <w:tcW w:w="1638" w:type="pct"/>
          </w:tcPr>
          <w:p w14:paraId="7545405D" w14:textId="77777777" w:rsidR="00F610A8" w:rsidRPr="005E5D6A" w:rsidRDefault="00F610A8" w:rsidP="00F610A8">
            <w:pPr>
              <w:spacing w:line="240" w:lineRule="auto"/>
              <w:rPr>
                <w:sz w:val="20"/>
              </w:rPr>
            </w:pPr>
            <w:r w:rsidRPr="005E5D6A">
              <w:rPr>
                <w:sz w:val="20"/>
              </w:rPr>
              <w:t>New Caledonia</w:t>
            </w:r>
          </w:p>
        </w:tc>
        <w:tc>
          <w:tcPr>
            <w:tcW w:w="1038" w:type="pct"/>
          </w:tcPr>
          <w:p w14:paraId="7CC31DA0" w14:textId="77777777" w:rsidR="00F610A8" w:rsidRPr="005E5D6A" w:rsidRDefault="00F610A8" w:rsidP="00F610A8">
            <w:pPr>
              <w:spacing w:line="240" w:lineRule="auto"/>
              <w:rPr>
                <w:sz w:val="20"/>
              </w:rPr>
            </w:pPr>
            <w:r>
              <w:rPr>
                <w:sz w:val="20"/>
              </w:rPr>
              <w:t>-</w:t>
            </w:r>
          </w:p>
        </w:tc>
        <w:tc>
          <w:tcPr>
            <w:tcW w:w="1176" w:type="pct"/>
          </w:tcPr>
          <w:p w14:paraId="64548E6A" w14:textId="77777777" w:rsidR="00F610A8" w:rsidRPr="005E5D6A" w:rsidRDefault="00F610A8" w:rsidP="00F610A8">
            <w:pPr>
              <w:spacing w:line="240" w:lineRule="auto"/>
              <w:rPr>
                <w:sz w:val="20"/>
              </w:rPr>
            </w:pPr>
            <w:r>
              <w:rPr>
                <w:sz w:val="20"/>
              </w:rPr>
              <w:t>-</w:t>
            </w:r>
          </w:p>
        </w:tc>
        <w:tc>
          <w:tcPr>
            <w:tcW w:w="1148" w:type="pct"/>
          </w:tcPr>
          <w:p w14:paraId="1AE86C20" w14:textId="77777777" w:rsidR="00F610A8" w:rsidRPr="005E5D6A" w:rsidRDefault="00F610A8" w:rsidP="00F610A8">
            <w:pPr>
              <w:spacing w:line="240" w:lineRule="auto"/>
              <w:rPr>
                <w:sz w:val="20"/>
              </w:rPr>
            </w:pPr>
            <w:r w:rsidRPr="005E5D6A">
              <w:rPr>
                <w:sz w:val="20"/>
              </w:rPr>
              <w:t xml:space="preserve"> 1 (PAR)</w:t>
            </w:r>
          </w:p>
        </w:tc>
      </w:tr>
      <w:tr w:rsidR="00F610A8" w:rsidRPr="005E5D6A" w14:paraId="278A9812" w14:textId="77777777" w:rsidTr="00F610A8">
        <w:tc>
          <w:tcPr>
            <w:tcW w:w="1638" w:type="pct"/>
          </w:tcPr>
          <w:p w14:paraId="570E3424" w14:textId="77777777" w:rsidR="00F610A8" w:rsidRPr="005E5D6A" w:rsidRDefault="00F610A8" w:rsidP="00F610A8">
            <w:pPr>
              <w:spacing w:line="240" w:lineRule="auto"/>
              <w:rPr>
                <w:sz w:val="20"/>
              </w:rPr>
            </w:pPr>
            <w:r w:rsidRPr="005E5D6A">
              <w:rPr>
                <w:sz w:val="20"/>
              </w:rPr>
              <w:t>PNG</w:t>
            </w:r>
          </w:p>
        </w:tc>
        <w:tc>
          <w:tcPr>
            <w:tcW w:w="1038" w:type="pct"/>
          </w:tcPr>
          <w:p w14:paraId="56F32517" w14:textId="77777777" w:rsidR="00F610A8" w:rsidRPr="005E5D6A" w:rsidRDefault="00F610A8" w:rsidP="00F610A8">
            <w:pPr>
              <w:spacing w:line="240" w:lineRule="auto"/>
              <w:rPr>
                <w:sz w:val="20"/>
              </w:rPr>
            </w:pPr>
            <w:r>
              <w:rPr>
                <w:sz w:val="20"/>
              </w:rPr>
              <w:t>-</w:t>
            </w:r>
          </w:p>
        </w:tc>
        <w:tc>
          <w:tcPr>
            <w:tcW w:w="1176" w:type="pct"/>
          </w:tcPr>
          <w:p w14:paraId="48E2BF4B" w14:textId="77777777" w:rsidR="00F610A8" w:rsidRPr="005E5D6A" w:rsidRDefault="00F610A8" w:rsidP="00F610A8">
            <w:pPr>
              <w:spacing w:line="240" w:lineRule="auto"/>
              <w:rPr>
                <w:sz w:val="20"/>
              </w:rPr>
            </w:pPr>
            <w:r>
              <w:rPr>
                <w:sz w:val="20"/>
              </w:rPr>
              <w:t>-</w:t>
            </w:r>
          </w:p>
        </w:tc>
        <w:tc>
          <w:tcPr>
            <w:tcW w:w="1148" w:type="pct"/>
          </w:tcPr>
          <w:p w14:paraId="3DD17537" w14:textId="77777777" w:rsidR="00F610A8" w:rsidRPr="005E5D6A" w:rsidRDefault="00F610A8" w:rsidP="00F610A8">
            <w:pPr>
              <w:spacing w:line="240" w:lineRule="auto"/>
              <w:rPr>
                <w:sz w:val="20"/>
              </w:rPr>
            </w:pPr>
            <w:r>
              <w:rPr>
                <w:sz w:val="20"/>
              </w:rPr>
              <w:t>-</w:t>
            </w:r>
          </w:p>
        </w:tc>
      </w:tr>
    </w:tbl>
    <w:p w14:paraId="0AF8C342" w14:textId="77777777" w:rsidR="00F610A8" w:rsidRPr="001C71B8" w:rsidRDefault="00F610A8" w:rsidP="00F610A8">
      <w:pPr>
        <w:spacing w:before="0" w:line="240" w:lineRule="auto"/>
        <w:rPr>
          <w:sz w:val="18"/>
          <w:szCs w:val="18"/>
        </w:rPr>
      </w:pPr>
      <w:r w:rsidRPr="001C71B8">
        <w:rPr>
          <w:sz w:val="18"/>
          <w:szCs w:val="18"/>
        </w:rPr>
        <w:t>Note: IQA – international qualifications assessment, PAR – pre-assessment results. There was no breakdown b</w:t>
      </w:r>
      <w:r>
        <w:rPr>
          <w:sz w:val="18"/>
          <w:szCs w:val="18"/>
        </w:rPr>
        <w:t xml:space="preserve">etween </w:t>
      </w:r>
      <w:r w:rsidRPr="001C71B8">
        <w:rPr>
          <w:sz w:val="18"/>
          <w:szCs w:val="18"/>
        </w:rPr>
        <w:t xml:space="preserve">international qualifications assessment and pre-assessment results provided for 2014 figures. </w:t>
      </w:r>
    </w:p>
    <w:p w14:paraId="0F6125AD" w14:textId="77777777" w:rsidR="00F610A8" w:rsidRPr="00F97232" w:rsidRDefault="00F610A8" w:rsidP="00F610A8">
      <w:pPr>
        <w:spacing w:line="276" w:lineRule="auto"/>
        <w:rPr>
          <w:b/>
          <w:color w:val="C00000"/>
          <w:sz w:val="22"/>
        </w:rPr>
      </w:pPr>
      <w:r w:rsidRPr="00F97232">
        <w:rPr>
          <w:b/>
          <w:color w:val="C00000"/>
          <w:sz w:val="22"/>
        </w:rPr>
        <w:t>Labour mob</w:t>
      </w:r>
      <w:r w:rsidRPr="00DA4D91">
        <w:rPr>
          <w:rStyle w:val="PacHead3Char"/>
        </w:rPr>
        <w:t>i</w:t>
      </w:r>
      <w:r w:rsidRPr="00F97232">
        <w:rPr>
          <w:b/>
          <w:color w:val="C00000"/>
          <w:sz w:val="22"/>
        </w:rPr>
        <w:t>lity</w:t>
      </w:r>
    </w:p>
    <w:p w14:paraId="1DA30A5B" w14:textId="6F508F38" w:rsidR="00F610A8" w:rsidRDefault="00F610A8" w:rsidP="009777CB">
      <w:pPr>
        <w:spacing w:line="240" w:lineRule="auto"/>
      </w:pPr>
      <w:r w:rsidRPr="00F97232">
        <w:t>The decision in 2003 to develop a regional qualification</w:t>
      </w:r>
      <w:r>
        <w:t>s</w:t>
      </w:r>
      <w:r w:rsidRPr="00F97232">
        <w:t xml:space="preserve"> register</w:t>
      </w:r>
      <w:r>
        <w:t xml:space="preserve"> (</w:t>
      </w:r>
      <w:r w:rsidRPr="00F97232">
        <w:t xml:space="preserve">which later morphed </w:t>
      </w:r>
      <w:r>
        <w:t>in</w:t>
      </w:r>
      <w:r w:rsidRPr="00F97232">
        <w:t>to the PRQS</w:t>
      </w:r>
      <w:r>
        <w:t>)</w:t>
      </w:r>
      <w:r w:rsidRPr="00F97232">
        <w:t xml:space="preserve"> aim</w:t>
      </w:r>
      <w:r w:rsidR="00DB593A">
        <w:t>ed</w:t>
      </w:r>
      <w:r w:rsidRPr="00F97232">
        <w:t xml:space="preserve"> </w:t>
      </w:r>
      <w:r>
        <w:t>to</w:t>
      </w:r>
      <w:r w:rsidRPr="00F97232">
        <w:t xml:space="preserve"> improve comparability, access and quality of </w:t>
      </w:r>
      <w:r>
        <w:t>Pacific</w:t>
      </w:r>
      <w:r w:rsidRPr="00F97232">
        <w:t xml:space="preserve"> qualifications. The register was intended to facilitate international recognition of qualifications and enable the mobility of both learners and labour. The importance of the register was underscored by</w:t>
      </w:r>
      <w:r>
        <w:t>:</w:t>
      </w:r>
    </w:p>
    <w:p w14:paraId="12D11336" w14:textId="6C5C0E25" w:rsidR="00F610A8" w:rsidRPr="00894AF2" w:rsidRDefault="00F610A8" w:rsidP="00456131">
      <w:pPr>
        <w:pStyle w:val="ListParagraph"/>
        <w:numPr>
          <w:ilvl w:val="0"/>
          <w:numId w:val="40"/>
        </w:numPr>
        <w:rPr>
          <w:i/>
        </w:rPr>
      </w:pPr>
      <w:r w:rsidRPr="00785F15">
        <w:t>An action point from Recommendation 3 of the 2013 PRQS review</w:t>
      </w:r>
      <w:r w:rsidRPr="005715AB">
        <w:rPr>
          <w:rStyle w:val="FootnoteReference"/>
        </w:rPr>
        <w:footnoteReference w:id="92"/>
      </w:r>
      <w:r w:rsidRPr="005715AB">
        <w:t xml:space="preserve"> specified</w:t>
      </w:r>
      <w:r w:rsidR="00DB593A" w:rsidRPr="0089170C">
        <w:t>,</w:t>
      </w:r>
      <w:r w:rsidRPr="00894AF2">
        <w:t xml:space="preserve"> “That the goal for </w:t>
      </w:r>
      <w:r w:rsidRPr="00894AF2">
        <w:rPr>
          <w:i/>
        </w:rPr>
        <w:t xml:space="preserve">the next phase (of PRQS) is to facilitate labour mobility and qualifications portability”. </w:t>
      </w:r>
    </w:p>
    <w:p w14:paraId="79DAC366" w14:textId="77777777" w:rsidR="00F610A8" w:rsidRPr="00485020" w:rsidRDefault="00F610A8" w:rsidP="00456131">
      <w:pPr>
        <w:pStyle w:val="ListParagraph"/>
        <w:numPr>
          <w:ilvl w:val="0"/>
          <w:numId w:val="40"/>
        </w:numPr>
        <w:rPr>
          <w:lang w:val="en-US"/>
        </w:rPr>
      </w:pPr>
      <w:r w:rsidRPr="00BA2649">
        <w:t>The Pacific Com</w:t>
      </w:r>
      <w:r w:rsidRPr="002815FD">
        <w:t>munity Strategic Plan 2016 –2020</w:t>
      </w:r>
      <w:r w:rsidRPr="00BA2649">
        <w:rPr>
          <w:rStyle w:val="FootnoteReference"/>
        </w:rPr>
        <w:footnoteReference w:id="93"/>
      </w:r>
      <w:r w:rsidRPr="00BA2649">
        <w:t xml:space="preserve"> states: “Goal 1: </w:t>
      </w:r>
      <w:r w:rsidRPr="002815FD">
        <w:rPr>
          <w:lang w:val="en-US"/>
        </w:rPr>
        <w:t xml:space="preserve">Pacific people benefit from sustainable economic development” and one of the initiatives is to </w:t>
      </w:r>
      <w:r w:rsidRPr="00485020">
        <w:rPr>
          <w:color w:val="0A5D70"/>
          <w:lang w:val="en-US"/>
        </w:rPr>
        <w:t>“</w:t>
      </w:r>
      <w:r w:rsidRPr="00485020">
        <w:rPr>
          <w:lang w:val="en-US"/>
        </w:rPr>
        <w:t xml:space="preserve">Improve pathways to international markets </w:t>
      </w:r>
      <w:r w:rsidRPr="00485020">
        <w:rPr>
          <w:rFonts w:cs="AGaramondPro-Regular"/>
          <w:lang w:val="en-US"/>
        </w:rPr>
        <w:t>by facilitating the mobility of learners and workers, assisting private enterprises to access international markets, and providing support to PICTs to improve their capacity to meet phytosanitary and biosecurity standards to safeguard trade.”</w:t>
      </w:r>
    </w:p>
    <w:p w14:paraId="58871684" w14:textId="77777777" w:rsidR="00F610A8" w:rsidRPr="007F70F1" w:rsidRDefault="00F610A8" w:rsidP="00BF09CC">
      <w:pPr>
        <w:spacing w:line="240" w:lineRule="auto"/>
      </w:pPr>
      <w:r w:rsidRPr="00F97232">
        <w:t xml:space="preserve">Data to track the extent of labour mobility within the Pacific region, not including Australia and New Zealand, </w:t>
      </w:r>
      <w:r>
        <w:t>is</w:t>
      </w:r>
      <w:r w:rsidRPr="00F97232">
        <w:t xml:space="preserve"> not easy to </w:t>
      </w:r>
      <w:r w:rsidRPr="00393401">
        <w:t xml:space="preserve">source. </w:t>
      </w:r>
      <w:r>
        <w:t xml:space="preserve">The </w:t>
      </w:r>
      <w:r w:rsidRPr="00393401">
        <w:t>Pacific Dialogue Ltd (2012) report</w:t>
      </w:r>
      <w:r>
        <w:t xml:space="preserve"> on south-south labour mobility </w:t>
      </w:r>
      <w:r w:rsidRPr="007F70F1">
        <w:t>identified that there is a weakness in Pacific islands mobility literature with specific references to the lack of data gathering and analysis. The absence of data (and its analysis) has been identified to significantly undermine policy development in labour mobility within the region. However</w:t>
      </w:r>
      <w:r>
        <w:t>,</w:t>
      </w:r>
      <w:r w:rsidRPr="007F70F1">
        <w:t xml:space="preserve"> both </w:t>
      </w:r>
      <w:r w:rsidRPr="00393401">
        <w:t>Australia and New Zealand</w:t>
      </w:r>
      <w:r w:rsidRPr="00393401">
        <w:rPr>
          <w:sz w:val="22"/>
          <w:szCs w:val="22"/>
        </w:rPr>
        <w:t xml:space="preserve"> </w:t>
      </w:r>
      <w:r w:rsidRPr="00393401">
        <w:t xml:space="preserve">have reported on the mutually beneficial movement of labour in the Pacific region (Ball 2015, Stott </w:t>
      </w:r>
      <w:r>
        <w:t>and</w:t>
      </w:r>
      <w:r w:rsidRPr="00393401">
        <w:t xml:space="preserve"> Malaulau 2014).</w:t>
      </w:r>
      <w:r w:rsidRPr="007F70F1">
        <w:t xml:space="preserve"> </w:t>
      </w:r>
    </w:p>
    <w:p w14:paraId="5177A689" w14:textId="7A627078" w:rsidR="00F610A8" w:rsidRPr="007F70F1" w:rsidRDefault="00F610A8" w:rsidP="00BF09CC">
      <w:pPr>
        <w:spacing w:line="240" w:lineRule="auto"/>
      </w:pPr>
      <w:r w:rsidRPr="007F70F1">
        <w:t xml:space="preserve">The report by Stott </w:t>
      </w:r>
      <w:r>
        <w:t>and</w:t>
      </w:r>
      <w:r w:rsidRPr="007F70F1">
        <w:t xml:space="preserve"> Malaulau (2014) on New Zealand labour market forecast an increase in labour supply of under 30,000 per year by end of 2021. The number will not match the average demand for 35,500 </w:t>
      </w:r>
      <w:r w:rsidRPr="007F70F1">
        <w:lastRenderedPageBreak/>
        <w:t xml:space="preserve">workers forecast in the same period. The shortfall presents employment opportunities for Pacific Islanders across all skill levels where the key areas are agriculture, construction, tourism and hospitality, and caring in the health sector. </w:t>
      </w:r>
    </w:p>
    <w:p w14:paraId="763CB4C7" w14:textId="77777777" w:rsidR="00F610A8" w:rsidRDefault="00F610A8" w:rsidP="00BF09CC">
      <w:pPr>
        <w:spacing w:line="240" w:lineRule="auto"/>
      </w:pPr>
      <w:r w:rsidRPr="00F97232">
        <w:t xml:space="preserve">Data stated by Stott and Malaulau (2014) indicated that in </w:t>
      </w:r>
      <w:r>
        <w:t xml:space="preserve">New Zealand in </w:t>
      </w:r>
      <w:r w:rsidRPr="00F97232">
        <w:t>2009/10, 16, 728 work visas were approved for Pacific Island Forum country workers. The number declined to 13, 772 in 2013/14. Numbers of visa approval for skilled workers (mainly from Fiji) dropped from 3,760 in 2009/10 to 2</w:t>
      </w:r>
      <w:r>
        <w:t>,</w:t>
      </w:r>
      <w:r w:rsidRPr="00F97232">
        <w:t>120 in 2013/14. These numbers represent 11.4% and 6.6% respectively of all skilled worker approva</w:t>
      </w:r>
      <w:r>
        <w:t>ls</w:t>
      </w:r>
      <w:r w:rsidRPr="00F97232">
        <w:t xml:space="preserve"> from all countries. Fiji makes up 80% of the temporary visa approvals for skilled workers and the decrease noted w</w:t>
      </w:r>
      <w:r>
        <w:t>as</w:t>
      </w:r>
      <w:r w:rsidRPr="00F97232">
        <w:t xml:space="preserve"> probably due to sanctions imposed on Fiji citizens after the military coup.</w:t>
      </w:r>
      <w:r>
        <w:t xml:space="preserve"> </w:t>
      </w:r>
    </w:p>
    <w:p w14:paraId="11F01C6C" w14:textId="2CA599C3" w:rsidR="00F610A8" w:rsidRDefault="00DB593A" w:rsidP="00BF09CC">
      <w:pPr>
        <w:spacing w:line="240" w:lineRule="auto"/>
      </w:pPr>
      <w:r>
        <w:t>Data that is more recent</w:t>
      </w:r>
      <w:r w:rsidR="00F610A8">
        <w:t xml:space="preserve"> provides indicative figures for visa on arrival into New Zealand from Pacific </w:t>
      </w:r>
      <w:r w:rsidR="0090418E">
        <w:t>Nations</w:t>
      </w:r>
      <w:r w:rsidR="00F610A8">
        <w:t xml:space="preserve"> (refer to the table below). Individual arrivals (not persons who enter multiple times) totalled 320,777. Of these 16,048 visa were for work purposes, and that 6,739 were for study. The country that had the largest number of visas for work or study purposes was Fiji, followed by Tonga and Samoa. </w:t>
      </w:r>
    </w:p>
    <w:p w14:paraId="437F24E4" w14:textId="773981CF" w:rsidR="00F610A8" w:rsidRPr="00737650" w:rsidRDefault="00F610A8" w:rsidP="00F610A8">
      <w:pPr>
        <w:pStyle w:val="Caption"/>
        <w:keepNext/>
        <w:rPr>
          <w:b w:val="0"/>
          <w:color w:val="auto"/>
          <w:sz w:val="21"/>
          <w:szCs w:val="21"/>
        </w:rPr>
      </w:pPr>
      <w:bookmarkStart w:id="137" w:name="_Toc458892565"/>
      <w:r w:rsidRPr="00737650">
        <w:rPr>
          <w:color w:val="auto"/>
          <w:sz w:val="21"/>
          <w:szCs w:val="21"/>
        </w:rPr>
        <w:t xml:space="preserve">Table </w:t>
      </w:r>
      <w:r w:rsidRPr="00737650">
        <w:rPr>
          <w:color w:val="auto"/>
          <w:sz w:val="21"/>
          <w:szCs w:val="21"/>
        </w:rPr>
        <w:fldChar w:fldCharType="begin"/>
      </w:r>
      <w:r w:rsidRPr="00737650">
        <w:rPr>
          <w:color w:val="auto"/>
          <w:sz w:val="21"/>
          <w:szCs w:val="21"/>
        </w:rPr>
        <w:instrText xml:space="preserve"> SEQ Table \* ARABIC </w:instrText>
      </w:r>
      <w:r w:rsidRPr="00737650">
        <w:rPr>
          <w:color w:val="auto"/>
          <w:sz w:val="21"/>
          <w:szCs w:val="21"/>
        </w:rPr>
        <w:fldChar w:fldCharType="separate"/>
      </w:r>
      <w:r w:rsidR="000C512A">
        <w:rPr>
          <w:noProof/>
          <w:color w:val="auto"/>
          <w:sz w:val="21"/>
          <w:szCs w:val="21"/>
        </w:rPr>
        <w:t>10</w:t>
      </w:r>
      <w:r w:rsidRPr="00737650">
        <w:rPr>
          <w:color w:val="auto"/>
          <w:sz w:val="21"/>
          <w:szCs w:val="21"/>
        </w:rPr>
        <w:fldChar w:fldCharType="end"/>
      </w:r>
      <w:r w:rsidRPr="00737650">
        <w:rPr>
          <w:color w:val="auto"/>
          <w:sz w:val="21"/>
          <w:szCs w:val="21"/>
        </w:rPr>
        <w:t>: Work and student visas on arrival, New Zealand, 2013</w:t>
      </w:r>
      <w:r w:rsidR="00F55A3D">
        <w:rPr>
          <w:color w:val="auto"/>
          <w:sz w:val="21"/>
          <w:szCs w:val="21"/>
        </w:rPr>
        <w:t>–</w:t>
      </w:r>
      <w:r w:rsidRPr="00737650">
        <w:rPr>
          <w:color w:val="auto"/>
          <w:sz w:val="21"/>
          <w:szCs w:val="21"/>
        </w:rPr>
        <w:t>2016</w:t>
      </w:r>
      <w:bookmarkEnd w:id="13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84"/>
        <w:gridCol w:w="2572"/>
        <w:gridCol w:w="1658"/>
        <w:gridCol w:w="1566"/>
      </w:tblGrid>
      <w:tr w:rsidR="00F610A8" w:rsidRPr="008A259F" w14:paraId="45B67061" w14:textId="77777777" w:rsidTr="00F610A8">
        <w:trPr>
          <w:trHeight w:val="285"/>
        </w:trPr>
        <w:tc>
          <w:tcPr>
            <w:tcW w:w="1843" w:type="pct"/>
            <w:shd w:val="clear" w:color="auto" w:fill="D9D9D9" w:themeFill="background1" w:themeFillShade="D9"/>
            <w:noWrap/>
            <w:tcMar>
              <w:top w:w="0" w:type="dxa"/>
              <w:left w:w="108" w:type="dxa"/>
              <w:bottom w:w="0" w:type="dxa"/>
              <w:right w:w="108" w:type="dxa"/>
            </w:tcMar>
            <w:vAlign w:val="bottom"/>
            <w:hideMark/>
          </w:tcPr>
          <w:p w14:paraId="7FB70781"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Sum of Number of Clients</w:t>
            </w:r>
          </w:p>
        </w:tc>
        <w:tc>
          <w:tcPr>
            <w:tcW w:w="1401" w:type="pct"/>
            <w:shd w:val="clear" w:color="auto" w:fill="D9D9D9" w:themeFill="background1" w:themeFillShade="D9"/>
            <w:noWrap/>
            <w:tcMar>
              <w:top w:w="0" w:type="dxa"/>
              <w:left w:w="108" w:type="dxa"/>
              <w:bottom w:w="0" w:type="dxa"/>
              <w:right w:w="108" w:type="dxa"/>
            </w:tcMar>
            <w:vAlign w:val="bottom"/>
            <w:hideMark/>
          </w:tcPr>
          <w:p w14:paraId="2BA7E769" w14:textId="77777777" w:rsidR="00F610A8" w:rsidRPr="008A259F" w:rsidRDefault="00F610A8" w:rsidP="00F610A8">
            <w:pPr>
              <w:spacing w:line="240" w:lineRule="auto"/>
              <w:rPr>
                <w:rFonts w:eastAsia="Times New Roman"/>
                <w:sz w:val="20"/>
                <w:szCs w:val="20"/>
              </w:rPr>
            </w:pPr>
          </w:p>
        </w:tc>
        <w:tc>
          <w:tcPr>
            <w:tcW w:w="1756" w:type="pct"/>
            <w:gridSpan w:val="2"/>
            <w:shd w:val="clear" w:color="auto" w:fill="D9D9D9" w:themeFill="background1" w:themeFillShade="D9"/>
            <w:noWrap/>
            <w:tcMar>
              <w:top w:w="0" w:type="dxa"/>
              <w:left w:w="108" w:type="dxa"/>
              <w:bottom w:w="0" w:type="dxa"/>
              <w:right w:w="108" w:type="dxa"/>
            </w:tcMar>
            <w:vAlign w:val="bottom"/>
            <w:hideMark/>
          </w:tcPr>
          <w:p w14:paraId="6365713F" w14:textId="77777777" w:rsidR="00F610A8" w:rsidRPr="008A259F" w:rsidRDefault="00F610A8" w:rsidP="00F610A8">
            <w:pPr>
              <w:spacing w:line="240" w:lineRule="auto"/>
              <w:rPr>
                <w:rFonts w:eastAsia="Times New Roman"/>
                <w:sz w:val="20"/>
                <w:szCs w:val="20"/>
                <w:lang w:eastAsia="en-AU"/>
              </w:rPr>
            </w:pPr>
            <w:r w:rsidRPr="008A259F">
              <w:rPr>
                <w:rFonts w:eastAsia="Times New Roman" w:cs="Arial"/>
                <w:b/>
                <w:bCs/>
                <w:color w:val="000000"/>
                <w:sz w:val="20"/>
                <w:szCs w:val="20"/>
                <w:lang w:eastAsia="en-NZ"/>
              </w:rPr>
              <w:t>Visa on Arrival</w:t>
            </w:r>
          </w:p>
        </w:tc>
      </w:tr>
      <w:tr w:rsidR="00F610A8" w:rsidRPr="008A259F" w14:paraId="38E238B7" w14:textId="77777777" w:rsidTr="00F610A8">
        <w:trPr>
          <w:trHeight w:val="285"/>
        </w:trPr>
        <w:tc>
          <w:tcPr>
            <w:tcW w:w="1843" w:type="pct"/>
            <w:shd w:val="clear" w:color="auto" w:fill="D9D9D9" w:themeFill="background1" w:themeFillShade="D9"/>
            <w:noWrap/>
            <w:tcMar>
              <w:top w:w="0" w:type="dxa"/>
              <w:left w:w="108" w:type="dxa"/>
              <w:bottom w:w="0" w:type="dxa"/>
              <w:right w:w="108" w:type="dxa"/>
            </w:tcMar>
            <w:vAlign w:val="bottom"/>
            <w:hideMark/>
          </w:tcPr>
          <w:p w14:paraId="030201B3"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Nationality</w:t>
            </w:r>
          </w:p>
        </w:tc>
        <w:tc>
          <w:tcPr>
            <w:tcW w:w="1401" w:type="pct"/>
            <w:shd w:val="clear" w:color="auto" w:fill="D9D9D9" w:themeFill="background1" w:themeFillShade="D9"/>
            <w:noWrap/>
            <w:tcMar>
              <w:top w:w="0" w:type="dxa"/>
              <w:left w:w="108" w:type="dxa"/>
              <w:bottom w:w="0" w:type="dxa"/>
              <w:right w:w="108" w:type="dxa"/>
            </w:tcMar>
            <w:vAlign w:val="bottom"/>
            <w:hideMark/>
          </w:tcPr>
          <w:p w14:paraId="7F07D5F0"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Financial Year of Arrival</w:t>
            </w:r>
          </w:p>
        </w:tc>
        <w:tc>
          <w:tcPr>
            <w:tcW w:w="903" w:type="pct"/>
            <w:shd w:val="clear" w:color="auto" w:fill="D9D9D9" w:themeFill="background1" w:themeFillShade="D9"/>
            <w:noWrap/>
            <w:tcMar>
              <w:top w:w="0" w:type="dxa"/>
              <w:left w:w="108" w:type="dxa"/>
              <w:bottom w:w="0" w:type="dxa"/>
              <w:right w:w="108" w:type="dxa"/>
            </w:tcMar>
            <w:vAlign w:val="bottom"/>
            <w:hideMark/>
          </w:tcPr>
          <w:p w14:paraId="6AA754F1" w14:textId="77777777" w:rsidR="00F610A8" w:rsidRPr="008A259F" w:rsidRDefault="00F610A8" w:rsidP="00594742">
            <w:pPr>
              <w:spacing w:line="240" w:lineRule="auto"/>
              <w:rPr>
                <w:rFonts w:eastAsia="Times New Roman"/>
                <w:sz w:val="20"/>
                <w:szCs w:val="20"/>
              </w:rPr>
            </w:pPr>
            <w:r w:rsidRPr="008A259F">
              <w:rPr>
                <w:rFonts w:eastAsia="Times New Roman" w:cs="Arial"/>
                <w:b/>
                <w:bCs/>
                <w:color w:val="000000"/>
                <w:sz w:val="20"/>
                <w:szCs w:val="20"/>
                <w:lang w:eastAsia="en-NZ"/>
              </w:rPr>
              <w:t>Student</w:t>
            </w:r>
          </w:p>
        </w:tc>
        <w:tc>
          <w:tcPr>
            <w:tcW w:w="854" w:type="pct"/>
            <w:shd w:val="clear" w:color="auto" w:fill="D9D9D9" w:themeFill="background1" w:themeFillShade="D9"/>
            <w:vAlign w:val="bottom"/>
          </w:tcPr>
          <w:p w14:paraId="3072A2F4" w14:textId="77777777" w:rsidR="00F610A8" w:rsidRPr="008A259F" w:rsidRDefault="00F610A8" w:rsidP="00594742">
            <w:pPr>
              <w:spacing w:line="240" w:lineRule="auto"/>
              <w:rPr>
                <w:rFonts w:eastAsia="Times New Roman" w:cs="Arial"/>
                <w:b/>
                <w:bCs/>
                <w:color w:val="000000"/>
                <w:sz w:val="20"/>
                <w:szCs w:val="20"/>
                <w:lang w:eastAsia="en-NZ"/>
              </w:rPr>
            </w:pPr>
            <w:r w:rsidRPr="007D08AF">
              <w:rPr>
                <w:rFonts w:eastAsia="Times New Roman" w:cs="Arial"/>
                <w:b/>
                <w:bCs/>
                <w:color w:val="000000"/>
                <w:sz w:val="20"/>
                <w:szCs w:val="20"/>
                <w:lang w:eastAsia="en-NZ"/>
              </w:rPr>
              <w:t>Work</w:t>
            </w:r>
          </w:p>
        </w:tc>
      </w:tr>
      <w:tr w:rsidR="00F610A8" w:rsidRPr="008A259F" w14:paraId="1102A691" w14:textId="77777777" w:rsidTr="00F610A8">
        <w:trPr>
          <w:trHeight w:val="285"/>
        </w:trPr>
        <w:tc>
          <w:tcPr>
            <w:tcW w:w="1843" w:type="pct"/>
            <w:noWrap/>
            <w:tcMar>
              <w:top w:w="0" w:type="dxa"/>
              <w:left w:w="108" w:type="dxa"/>
              <w:bottom w:w="0" w:type="dxa"/>
              <w:right w:w="108" w:type="dxa"/>
            </w:tcMar>
            <w:vAlign w:val="bottom"/>
            <w:hideMark/>
          </w:tcPr>
          <w:p w14:paraId="59A6A8A9"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American Samoa</w:t>
            </w:r>
          </w:p>
        </w:tc>
        <w:tc>
          <w:tcPr>
            <w:tcW w:w="1401" w:type="pct"/>
            <w:noWrap/>
            <w:tcMar>
              <w:top w:w="0" w:type="dxa"/>
              <w:left w:w="108" w:type="dxa"/>
              <w:bottom w:w="0" w:type="dxa"/>
              <w:right w:w="108" w:type="dxa"/>
            </w:tcMar>
            <w:vAlign w:val="bottom"/>
            <w:hideMark/>
          </w:tcPr>
          <w:p w14:paraId="69A12F9D"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hideMark/>
          </w:tcPr>
          <w:p w14:paraId="67AC7A2B" w14:textId="77777777" w:rsidR="00F610A8" w:rsidRPr="008A259F" w:rsidRDefault="00F610A8" w:rsidP="00F610A8">
            <w:pPr>
              <w:spacing w:line="240" w:lineRule="auto"/>
              <w:rPr>
                <w:rFonts w:eastAsia="Times New Roman"/>
                <w:sz w:val="20"/>
                <w:szCs w:val="20"/>
              </w:rPr>
            </w:pPr>
          </w:p>
        </w:tc>
        <w:tc>
          <w:tcPr>
            <w:tcW w:w="854" w:type="pct"/>
            <w:vAlign w:val="bottom"/>
          </w:tcPr>
          <w:p w14:paraId="5ED79F2F" w14:textId="77777777" w:rsidR="00F610A8" w:rsidRPr="008A259F" w:rsidRDefault="00F610A8" w:rsidP="00F610A8">
            <w:pPr>
              <w:spacing w:line="240" w:lineRule="auto"/>
              <w:rPr>
                <w:rFonts w:eastAsia="Times New Roman"/>
                <w:sz w:val="20"/>
                <w:szCs w:val="20"/>
              </w:rPr>
            </w:pPr>
          </w:p>
        </w:tc>
      </w:tr>
      <w:tr w:rsidR="00F610A8" w:rsidRPr="008A259F" w14:paraId="03FC8C53" w14:textId="77777777" w:rsidTr="00F610A8">
        <w:trPr>
          <w:trHeight w:val="285"/>
        </w:trPr>
        <w:tc>
          <w:tcPr>
            <w:tcW w:w="1843" w:type="pct"/>
            <w:noWrap/>
            <w:tcMar>
              <w:top w:w="0" w:type="dxa"/>
              <w:left w:w="108" w:type="dxa"/>
              <w:bottom w:w="0" w:type="dxa"/>
              <w:right w:w="108" w:type="dxa"/>
            </w:tcMar>
            <w:vAlign w:val="bottom"/>
          </w:tcPr>
          <w:p w14:paraId="2DBCD002" w14:textId="77777777" w:rsidR="00F610A8" w:rsidRPr="008A259F" w:rsidRDefault="00F610A8" w:rsidP="00F610A8">
            <w:pPr>
              <w:spacing w:line="240" w:lineRule="auto"/>
              <w:rPr>
                <w:rFonts w:eastAsia="Times New Roman" w:cs="Arial"/>
                <w:b/>
                <w:bCs/>
                <w:color w:val="000000"/>
                <w:sz w:val="20"/>
                <w:szCs w:val="20"/>
                <w:lang w:eastAsia="en-NZ"/>
              </w:rPr>
            </w:pPr>
            <w:r w:rsidRPr="008A259F">
              <w:rPr>
                <w:rFonts w:eastAsia="Times New Roman" w:cs="Arial"/>
                <w:b/>
                <w:bCs/>
                <w:color w:val="000000"/>
                <w:sz w:val="20"/>
                <w:szCs w:val="20"/>
                <w:lang w:eastAsia="en-NZ"/>
              </w:rPr>
              <w:t>Federated States of Micronesia</w:t>
            </w:r>
          </w:p>
        </w:tc>
        <w:tc>
          <w:tcPr>
            <w:tcW w:w="1401" w:type="pct"/>
            <w:noWrap/>
            <w:tcMar>
              <w:top w:w="0" w:type="dxa"/>
              <w:left w:w="108" w:type="dxa"/>
              <w:bottom w:w="0" w:type="dxa"/>
              <w:right w:w="108" w:type="dxa"/>
            </w:tcMar>
            <w:vAlign w:val="bottom"/>
          </w:tcPr>
          <w:p w14:paraId="3F84B392"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tcPr>
          <w:p w14:paraId="60E9AF85"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Cs/>
                <w:color w:val="000000"/>
                <w:sz w:val="20"/>
                <w:szCs w:val="20"/>
                <w:lang w:eastAsia="en-NZ"/>
              </w:rPr>
              <w:t>12</w:t>
            </w:r>
          </w:p>
        </w:tc>
        <w:tc>
          <w:tcPr>
            <w:tcW w:w="854" w:type="pct"/>
            <w:vAlign w:val="bottom"/>
          </w:tcPr>
          <w:p w14:paraId="7FFF6617" w14:textId="77777777" w:rsidR="00F610A8" w:rsidRPr="008A259F" w:rsidRDefault="00F610A8" w:rsidP="00594742">
            <w:pPr>
              <w:spacing w:line="240" w:lineRule="auto"/>
              <w:ind w:right="84"/>
              <w:jc w:val="right"/>
              <w:rPr>
                <w:rFonts w:eastAsia="Times New Roman" w:cs="Arial"/>
                <w:bCs/>
                <w:color w:val="000000"/>
                <w:sz w:val="20"/>
                <w:szCs w:val="20"/>
                <w:lang w:eastAsia="en-NZ"/>
              </w:rPr>
            </w:pPr>
            <w:r w:rsidRPr="007D08AF">
              <w:rPr>
                <w:rFonts w:eastAsia="Times New Roman" w:cs="Arial"/>
                <w:bCs/>
                <w:color w:val="000000"/>
                <w:sz w:val="20"/>
                <w:szCs w:val="20"/>
                <w:lang w:eastAsia="en-NZ"/>
              </w:rPr>
              <w:t>8</w:t>
            </w:r>
          </w:p>
        </w:tc>
      </w:tr>
      <w:tr w:rsidR="00F610A8" w:rsidRPr="008A259F" w14:paraId="137105B5" w14:textId="77777777" w:rsidTr="00F610A8">
        <w:trPr>
          <w:trHeight w:val="285"/>
        </w:trPr>
        <w:tc>
          <w:tcPr>
            <w:tcW w:w="1843" w:type="pct"/>
            <w:noWrap/>
            <w:tcMar>
              <w:top w:w="0" w:type="dxa"/>
              <w:left w:w="108" w:type="dxa"/>
              <w:bottom w:w="0" w:type="dxa"/>
              <w:right w:w="108" w:type="dxa"/>
            </w:tcMar>
            <w:vAlign w:val="bottom"/>
            <w:hideMark/>
          </w:tcPr>
          <w:p w14:paraId="0AA00B52"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Fiji</w:t>
            </w:r>
          </w:p>
        </w:tc>
        <w:tc>
          <w:tcPr>
            <w:tcW w:w="1401" w:type="pct"/>
            <w:noWrap/>
            <w:tcMar>
              <w:top w:w="0" w:type="dxa"/>
              <w:left w:w="108" w:type="dxa"/>
              <w:bottom w:w="0" w:type="dxa"/>
              <w:right w:w="108" w:type="dxa"/>
            </w:tcMar>
            <w:vAlign w:val="bottom"/>
            <w:hideMark/>
          </w:tcPr>
          <w:p w14:paraId="38DF00FC"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hideMark/>
          </w:tcPr>
          <w:p w14:paraId="5E35A63A"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Cs/>
                <w:color w:val="000000"/>
                <w:sz w:val="20"/>
                <w:szCs w:val="20"/>
                <w:lang w:eastAsia="en-NZ"/>
              </w:rPr>
              <w:t>4,088</w:t>
            </w:r>
          </w:p>
        </w:tc>
        <w:tc>
          <w:tcPr>
            <w:tcW w:w="854" w:type="pct"/>
            <w:vAlign w:val="bottom"/>
          </w:tcPr>
          <w:p w14:paraId="4B36E160" w14:textId="77777777" w:rsidR="00F610A8" w:rsidRPr="008A259F" w:rsidRDefault="00F610A8" w:rsidP="00594742">
            <w:pPr>
              <w:spacing w:line="240" w:lineRule="auto"/>
              <w:ind w:right="84"/>
              <w:jc w:val="right"/>
              <w:rPr>
                <w:rFonts w:eastAsia="Times New Roman" w:cs="Arial"/>
                <w:bCs/>
                <w:color w:val="000000"/>
                <w:sz w:val="20"/>
                <w:szCs w:val="20"/>
                <w:lang w:eastAsia="en-NZ"/>
              </w:rPr>
            </w:pPr>
            <w:r w:rsidRPr="007D08AF">
              <w:rPr>
                <w:rFonts w:eastAsia="Times New Roman" w:cs="Arial"/>
                <w:bCs/>
                <w:color w:val="000000"/>
                <w:sz w:val="20"/>
                <w:szCs w:val="20"/>
                <w:lang w:eastAsia="en-NZ"/>
              </w:rPr>
              <w:t>11,650</w:t>
            </w:r>
          </w:p>
        </w:tc>
      </w:tr>
      <w:tr w:rsidR="00F610A8" w:rsidRPr="008A259F" w14:paraId="33E7C258" w14:textId="77777777" w:rsidTr="00F610A8">
        <w:trPr>
          <w:trHeight w:val="285"/>
        </w:trPr>
        <w:tc>
          <w:tcPr>
            <w:tcW w:w="1843" w:type="pct"/>
            <w:noWrap/>
            <w:tcMar>
              <w:top w:w="0" w:type="dxa"/>
              <w:left w:w="108" w:type="dxa"/>
              <w:bottom w:w="0" w:type="dxa"/>
              <w:right w:w="108" w:type="dxa"/>
            </w:tcMar>
            <w:vAlign w:val="bottom"/>
            <w:hideMark/>
          </w:tcPr>
          <w:p w14:paraId="71F49E75"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Samoa</w:t>
            </w:r>
          </w:p>
        </w:tc>
        <w:tc>
          <w:tcPr>
            <w:tcW w:w="1401" w:type="pct"/>
            <w:noWrap/>
            <w:tcMar>
              <w:top w:w="0" w:type="dxa"/>
              <w:left w:w="108" w:type="dxa"/>
              <w:bottom w:w="0" w:type="dxa"/>
              <w:right w:w="108" w:type="dxa"/>
            </w:tcMar>
            <w:vAlign w:val="bottom"/>
            <w:hideMark/>
          </w:tcPr>
          <w:p w14:paraId="506FE710"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hideMark/>
          </w:tcPr>
          <w:p w14:paraId="700034B0"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Cs/>
                <w:color w:val="000000"/>
                <w:sz w:val="20"/>
                <w:szCs w:val="20"/>
                <w:lang w:eastAsia="en-NZ"/>
              </w:rPr>
              <w:t>920</w:t>
            </w:r>
          </w:p>
        </w:tc>
        <w:tc>
          <w:tcPr>
            <w:tcW w:w="854" w:type="pct"/>
            <w:vAlign w:val="bottom"/>
          </w:tcPr>
          <w:p w14:paraId="52F24902" w14:textId="77777777" w:rsidR="00F610A8" w:rsidRPr="008A259F" w:rsidRDefault="00F610A8" w:rsidP="00594742">
            <w:pPr>
              <w:spacing w:line="240" w:lineRule="auto"/>
              <w:ind w:right="84"/>
              <w:jc w:val="right"/>
              <w:rPr>
                <w:rFonts w:eastAsia="Times New Roman" w:cs="Arial"/>
                <w:bCs/>
                <w:color w:val="000000"/>
                <w:sz w:val="20"/>
                <w:szCs w:val="20"/>
                <w:lang w:eastAsia="en-NZ"/>
              </w:rPr>
            </w:pPr>
            <w:r w:rsidRPr="007D08AF">
              <w:rPr>
                <w:rFonts w:eastAsia="Times New Roman" w:cs="Arial"/>
                <w:bCs/>
                <w:color w:val="000000"/>
                <w:sz w:val="20"/>
                <w:szCs w:val="20"/>
                <w:lang w:eastAsia="en-NZ"/>
              </w:rPr>
              <w:t>2,070</w:t>
            </w:r>
          </w:p>
        </w:tc>
      </w:tr>
      <w:tr w:rsidR="00F610A8" w:rsidRPr="008A259F" w14:paraId="73D1B9DF" w14:textId="77777777" w:rsidTr="00F610A8">
        <w:trPr>
          <w:trHeight w:val="353"/>
        </w:trPr>
        <w:tc>
          <w:tcPr>
            <w:tcW w:w="1843" w:type="pct"/>
            <w:noWrap/>
            <w:tcMar>
              <w:top w:w="0" w:type="dxa"/>
              <w:left w:w="108" w:type="dxa"/>
              <w:bottom w:w="0" w:type="dxa"/>
              <w:right w:w="108" w:type="dxa"/>
            </w:tcMar>
            <w:vAlign w:val="bottom"/>
            <w:hideMark/>
          </w:tcPr>
          <w:p w14:paraId="5D178408"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Tonga</w:t>
            </w:r>
          </w:p>
        </w:tc>
        <w:tc>
          <w:tcPr>
            <w:tcW w:w="1401" w:type="pct"/>
            <w:noWrap/>
            <w:tcMar>
              <w:top w:w="0" w:type="dxa"/>
              <w:left w:w="108" w:type="dxa"/>
              <w:bottom w:w="0" w:type="dxa"/>
              <w:right w:w="108" w:type="dxa"/>
            </w:tcMar>
            <w:vAlign w:val="bottom"/>
            <w:hideMark/>
          </w:tcPr>
          <w:p w14:paraId="6A310D7B"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hideMark/>
          </w:tcPr>
          <w:p w14:paraId="76DF1B12"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Cs/>
                <w:color w:val="000000"/>
                <w:sz w:val="20"/>
                <w:szCs w:val="20"/>
                <w:lang w:eastAsia="en-NZ"/>
              </w:rPr>
              <w:t>1,597</w:t>
            </w:r>
          </w:p>
        </w:tc>
        <w:tc>
          <w:tcPr>
            <w:tcW w:w="854" w:type="pct"/>
            <w:vAlign w:val="bottom"/>
          </w:tcPr>
          <w:p w14:paraId="681E7740" w14:textId="77777777" w:rsidR="00F610A8" w:rsidRPr="008A259F" w:rsidRDefault="00F610A8" w:rsidP="00594742">
            <w:pPr>
              <w:spacing w:line="240" w:lineRule="auto"/>
              <w:ind w:right="84"/>
              <w:jc w:val="right"/>
              <w:rPr>
                <w:rFonts w:eastAsia="Times New Roman" w:cs="Arial"/>
                <w:bCs/>
                <w:color w:val="000000"/>
                <w:sz w:val="20"/>
                <w:szCs w:val="20"/>
                <w:lang w:eastAsia="en-NZ"/>
              </w:rPr>
            </w:pPr>
            <w:r w:rsidRPr="007D08AF">
              <w:rPr>
                <w:rFonts w:eastAsia="Times New Roman" w:cs="Arial"/>
                <w:bCs/>
                <w:color w:val="000000"/>
                <w:sz w:val="20"/>
                <w:szCs w:val="20"/>
                <w:lang w:eastAsia="en-NZ"/>
              </w:rPr>
              <w:t>2,299</w:t>
            </w:r>
          </w:p>
        </w:tc>
      </w:tr>
      <w:tr w:rsidR="00F610A8" w:rsidRPr="008A259F" w14:paraId="6F93E17C" w14:textId="77777777" w:rsidTr="00F610A8">
        <w:trPr>
          <w:trHeight w:val="285"/>
        </w:trPr>
        <w:tc>
          <w:tcPr>
            <w:tcW w:w="1843" w:type="pct"/>
            <w:noWrap/>
            <w:tcMar>
              <w:top w:w="0" w:type="dxa"/>
              <w:left w:w="108" w:type="dxa"/>
              <w:bottom w:w="0" w:type="dxa"/>
              <w:right w:w="108" w:type="dxa"/>
            </w:tcMar>
            <w:vAlign w:val="bottom"/>
            <w:hideMark/>
          </w:tcPr>
          <w:p w14:paraId="4FD4A83B"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Tuvalu</w:t>
            </w:r>
          </w:p>
        </w:tc>
        <w:tc>
          <w:tcPr>
            <w:tcW w:w="1401" w:type="pct"/>
            <w:noWrap/>
            <w:tcMar>
              <w:top w:w="0" w:type="dxa"/>
              <w:left w:w="108" w:type="dxa"/>
              <w:bottom w:w="0" w:type="dxa"/>
              <w:right w:w="108" w:type="dxa"/>
            </w:tcMar>
            <w:vAlign w:val="bottom"/>
            <w:hideMark/>
          </w:tcPr>
          <w:p w14:paraId="2C46C1F7" w14:textId="77777777" w:rsidR="00F610A8" w:rsidRPr="008A259F" w:rsidRDefault="00F610A8" w:rsidP="00F610A8">
            <w:pPr>
              <w:spacing w:line="240" w:lineRule="auto"/>
              <w:rPr>
                <w:rFonts w:eastAsia="Times New Roman"/>
                <w:sz w:val="20"/>
                <w:szCs w:val="20"/>
              </w:rPr>
            </w:pPr>
            <w:r w:rsidRPr="008A259F">
              <w:rPr>
                <w:rFonts w:eastAsia="Times New Roman" w:cs="Arial"/>
                <w:color w:val="000000"/>
                <w:sz w:val="20"/>
                <w:szCs w:val="20"/>
                <w:lang w:eastAsia="en-NZ"/>
              </w:rPr>
              <w:t>2013/16</w:t>
            </w:r>
          </w:p>
        </w:tc>
        <w:tc>
          <w:tcPr>
            <w:tcW w:w="903" w:type="pct"/>
            <w:noWrap/>
            <w:tcMar>
              <w:top w:w="0" w:type="dxa"/>
              <w:left w:w="108" w:type="dxa"/>
              <w:bottom w:w="0" w:type="dxa"/>
              <w:right w:w="108" w:type="dxa"/>
            </w:tcMar>
            <w:vAlign w:val="bottom"/>
            <w:hideMark/>
          </w:tcPr>
          <w:p w14:paraId="318BF51A"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Cs/>
                <w:color w:val="000000"/>
                <w:sz w:val="20"/>
                <w:szCs w:val="20"/>
                <w:lang w:eastAsia="en-NZ"/>
              </w:rPr>
              <w:t>122</w:t>
            </w:r>
          </w:p>
        </w:tc>
        <w:tc>
          <w:tcPr>
            <w:tcW w:w="854" w:type="pct"/>
            <w:vAlign w:val="bottom"/>
          </w:tcPr>
          <w:p w14:paraId="6146AE26" w14:textId="77777777" w:rsidR="00F610A8" w:rsidRPr="008A259F" w:rsidRDefault="00F610A8" w:rsidP="00594742">
            <w:pPr>
              <w:spacing w:line="240" w:lineRule="auto"/>
              <w:ind w:right="84"/>
              <w:jc w:val="right"/>
              <w:rPr>
                <w:rFonts w:eastAsia="Times New Roman" w:cs="Arial"/>
                <w:bCs/>
                <w:color w:val="000000"/>
                <w:sz w:val="20"/>
                <w:szCs w:val="20"/>
                <w:lang w:eastAsia="en-NZ"/>
              </w:rPr>
            </w:pPr>
            <w:r w:rsidRPr="007D08AF">
              <w:rPr>
                <w:rFonts w:eastAsia="Times New Roman" w:cs="Arial"/>
                <w:bCs/>
                <w:color w:val="000000"/>
                <w:sz w:val="20"/>
                <w:szCs w:val="20"/>
                <w:lang w:eastAsia="en-NZ"/>
              </w:rPr>
              <w:t>21</w:t>
            </w:r>
          </w:p>
        </w:tc>
      </w:tr>
      <w:tr w:rsidR="00F610A8" w:rsidRPr="008A259F" w14:paraId="6392CA32" w14:textId="77777777" w:rsidTr="00F610A8">
        <w:trPr>
          <w:trHeight w:val="285"/>
        </w:trPr>
        <w:tc>
          <w:tcPr>
            <w:tcW w:w="1843" w:type="pct"/>
            <w:shd w:val="clear" w:color="auto" w:fill="FFFFFF" w:themeFill="background1"/>
            <w:noWrap/>
            <w:tcMar>
              <w:top w:w="0" w:type="dxa"/>
              <w:left w:w="108" w:type="dxa"/>
              <w:bottom w:w="0" w:type="dxa"/>
              <w:right w:w="108" w:type="dxa"/>
            </w:tcMar>
            <w:vAlign w:val="bottom"/>
            <w:hideMark/>
          </w:tcPr>
          <w:p w14:paraId="173E51A7" w14:textId="77777777" w:rsidR="00F610A8" w:rsidRPr="008A259F" w:rsidRDefault="00F610A8" w:rsidP="00F610A8">
            <w:pPr>
              <w:spacing w:line="240" w:lineRule="auto"/>
              <w:rPr>
                <w:rFonts w:eastAsia="Times New Roman"/>
                <w:sz w:val="20"/>
                <w:szCs w:val="20"/>
              </w:rPr>
            </w:pPr>
            <w:r w:rsidRPr="008A259F">
              <w:rPr>
                <w:rFonts w:eastAsia="Times New Roman" w:cs="Arial"/>
                <w:b/>
                <w:bCs/>
                <w:color w:val="000000"/>
                <w:sz w:val="20"/>
                <w:szCs w:val="20"/>
                <w:lang w:eastAsia="en-NZ"/>
              </w:rPr>
              <w:t>Grand Total</w:t>
            </w:r>
          </w:p>
        </w:tc>
        <w:tc>
          <w:tcPr>
            <w:tcW w:w="1401" w:type="pct"/>
            <w:shd w:val="clear" w:color="auto" w:fill="FFFFFF" w:themeFill="background1"/>
            <w:noWrap/>
            <w:tcMar>
              <w:top w:w="0" w:type="dxa"/>
              <w:left w:w="108" w:type="dxa"/>
              <w:bottom w:w="0" w:type="dxa"/>
              <w:right w:w="108" w:type="dxa"/>
            </w:tcMar>
            <w:vAlign w:val="bottom"/>
            <w:hideMark/>
          </w:tcPr>
          <w:p w14:paraId="4CCF3408" w14:textId="77777777" w:rsidR="00F610A8" w:rsidRPr="008A259F" w:rsidRDefault="00F610A8" w:rsidP="00F610A8">
            <w:pPr>
              <w:spacing w:line="240" w:lineRule="auto"/>
              <w:rPr>
                <w:rFonts w:eastAsia="Times New Roman"/>
                <w:sz w:val="20"/>
                <w:szCs w:val="20"/>
              </w:rPr>
            </w:pPr>
          </w:p>
        </w:tc>
        <w:tc>
          <w:tcPr>
            <w:tcW w:w="903" w:type="pct"/>
            <w:shd w:val="clear" w:color="auto" w:fill="FFFFFF" w:themeFill="background1"/>
            <w:noWrap/>
            <w:tcMar>
              <w:top w:w="0" w:type="dxa"/>
              <w:left w:w="108" w:type="dxa"/>
              <w:bottom w:w="0" w:type="dxa"/>
              <w:right w:w="108" w:type="dxa"/>
            </w:tcMar>
            <w:vAlign w:val="bottom"/>
            <w:hideMark/>
          </w:tcPr>
          <w:p w14:paraId="440BF1DF" w14:textId="77777777" w:rsidR="00F610A8" w:rsidRPr="008A259F" w:rsidRDefault="00F610A8" w:rsidP="00F610A8">
            <w:pPr>
              <w:spacing w:line="240" w:lineRule="auto"/>
              <w:jc w:val="right"/>
              <w:rPr>
                <w:rFonts w:eastAsia="Times New Roman"/>
                <w:sz w:val="20"/>
                <w:szCs w:val="20"/>
              </w:rPr>
            </w:pPr>
            <w:r w:rsidRPr="008A259F">
              <w:rPr>
                <w:rFonts w:eastAsia="Times New Roman" w:cs="Arial"/>
                <w:b/>
                <w:bCs/>
                <w:color w:val="000000"/>
                <w:sz w:val="20"/>
                <w:szCs w:val="20"/>
                <w:lang w:eastAsia="en-NZ"/>
              </w:rPr>
              <w:t>6,739</w:t>
            </w:r>
          </w:p>
        </w:tc>
        <w:tc>
          <w:tcPr>
            <w:tcW w:w="854" w:type="pct"/>
            <w:shd w:val="clear" w:color="auto" w:fill="FFFFFF" w:themeFill="background1"/>
            <w:vAlign w:val="bottom"/>
          </w:tcPr>
          <w:p w14:paraId="194ABF1F" w14:textId="77777777" w:rsidR="00F610A8" w:rsidRPr="008A259F" w:rsidRDefault="00F610A8" w:rsidP="00594742">
            <w:pPr>
              <w:spacing w:line="240" w:lineRule="auto"/>
              <w:ind w:right="84"/>
              <w:jc w:val="right"/>
              <w:rPr>
                <w:rFonts w:eastAsia="Times New Roman" w:cs="Arial"/>
                <w:b/>
                <w:bCs/>
                <w:color w:val="000000"/>
                <w:sz w:val="20"/>
                <w:szCs w:val="20"/>
                <w:lang w:eastAsia="en-NZ"/>
              </w:rPr>
            </w:pPr>
            <w:r w:rsidRPr="007D08AF">
              <w:rPr>
                <w:rFonts w:eastAsia="Times New Roman" w:cs="Arial"/>
                <w:b/>
                <w:bCs/>
                <w:color w:val="000000"/>
                <w:sz w:val="20"/>
                <w:szCs w:val="20"/>
                <w:lang w:eastAsia="en-NZ"/>
              </w:rPr>
              <w:t>16,048</w:t>
            </w:r>
          </w:p>
        </w:tc>
      </w:tr>
    </w:tbl>
    <w:p w14:paraId="1163DA60" w14:textId="77777777" w:rsidR="00F610A8" w:rsidRPr="008A259F" w:rsidRDefault="00F610A8" w:rsidP="0088438D">
      <w:pPr>
        <w:spacing w:before="0" w:line="240" w:lineRule="auto"/>
        <w:rPr>
          <w:sz w:val="20"/>
        </w:rPr>
      </w:pPr>
      <w:r w:rsidRPr="008A259F">
        <w:rPr>
          <w:sz w:val="20"/>
        </w:rPr>
        <w:t>Source:</w:t>
      </w:r>
      <w:r w:rsidRPr="008A259F">
        <w:rPr>
          <w:rFonts w:eastAsia="Times New Roman" w:cs="Arial"/>
          <w:sz w:val="20"/>
        </w:rPr>
        <w:t xml:space="preserve"> </w:t>
      </w:r>
      <w:hyperlink r:id="rId16" w:history="1">
        <w:r w:rsidRPr="008A259F">
          <w:rPr>
            <w:rStyle w:val="Hyperlink"/>
            <w:rFonts w:eastAsia="Times New Roman" w:cs="Arial"/>
            <w:sz w:val="20"/>
          </w:rPr>
          <w:t>https://www.immigration.govt.nz/about-us/research-and-statistics/statistics</w:t>
        </w:r>
      </w:hyperlink>
      <w:r w:rsidRPr="008A259F">
        <w:rPr>
          <w:rFonts w:eastAsia="Times New Roman" w:cs="Arial"/>
          <w:sz w:val="20"/>
        </w:rPr>
        <w:t>, 15/07/2016</w:t>
      </w:r>
    </w:p>
    <w:p w14:paraId="3EBD522B" w14:textId="77777777" w:rsidR="00F610A8" w:rsidRPr="004E42BD" w:rsidRDefault="00F610A8" w:rsidP="00BF09CC">
      <w:pPr>
        <w:spacing w:line="240" w:lineRule="auto"/>
      </w:pPr>
      <w:r w:rsidRPr="004E42BD">
        <w:t>For Australia, Ball (2015) notes that the Pacific is not an important source of migrants to Australia</w:t>
      </w:r>
      <w:r>
        <w:t>. However, o</w:t>
      </w:r>
      <w:r w:rsidRPr="004E42BD">
        <w:t>f the 166,272 Pacific Islanders in Australia, 35% are from Melanesia, 64% from Polynesia and 1% from Micronesia. Melanesia, especially Fiji, is the dominant country of origin for Pacific Islanders moving to Australia, while the Polynesian countries of Samoa and Tonga are more important for New Zealand (refer to Australian Census data 2011).</w:t>
      </w:r>
    </w:p>
    <w:p w14:paraId="0006056E" w14:textId="2B585AF3" w:rsidR="00F610A8" w:rsidRPr="004E42BD" w:rsidRDefault="00F610A8" w:rsidP="00BF09CC">
      <w:pPr>
        <w:spacing w:line="240" w:lineRule="auto"/>
      </w:pPr>
      <w:r w:rsidRPr="004E42BD">
        <w:t xml:space="preserve">Ball (2015) indicated that skilled migration from the Pacific to Australia is very low. Although Pacific Islanders have the same opportunities as people from other countries to seek work and residence in Australia and New Zealand, access is constrained by </w:t>
      </w:r>
      <w:r>
        <w:t>a</w:t>
      </w:r>
      <w:r w:rsidRPr="004E42BD">
        <w:t xml:space="preserve"> points-based selection system for skilled migration. Ball (2015) stated that the skills-based points systems do not target the skills of most Pacific peoples, especially those from rural areas. </w:t>
      </w:r>
      <w:r w:rsidR="00DB593A" w:rsidRPr="004E42BD">
        <w:t>Fijian Indians who have gained entry under this points system dominate skilled migration from the Pacific</w:t>
      </w:r>
      <w:r w:rsidRPr="004E42BD">
        <w:t xml:space="preserve">. </w:t>
      </w:r>
    </w:p>
    <w:p w14:paraId="020AFD38" w14:textId="5C3F0C9F" w:rsidR="00F610A8" w:rsidRPr="004E42BD" w:rsidRDefault="00F610A8" w:rsidP="00BF09CC">
      <w:pPr>
        <w:spacing w:line="240" w:lineRule="auto"/>
      </w:pPr>
      <w:r w:rsidRPr="004E42BD">
        <w:t>Ball (2015) noted that any temporary and permanent employment opportunities for Pacific Islanders in Australia would be best strategically linked to growth sectors of the Australian economy</w:t>
      </w:r>
      <w:r w:rsidR="006A06C0">
        <w:t>. Bell</w:t>
      </w:r>
      <w:r w:rsidRPr="004E42BD">
        <w:t xml:space="preserve"> </w:t>
      </w:r>
      <w:r w:rsidR="00DE1453">
        <w:t xml:space="preserve">(2105) </w:t>
      </w:r>
      <w:r w:rsidRPr="004E42BD">
        <w:t>suggests five sectors</w:t>
      </w:r>
      <w:r w:rsidR="006A06C0">
        <w:t>,</w:t>
      </w:r>
      <w:r w:rsidRPr="004E42BD">
        <w:t xml:space="preserve"> </w:t>
      </w:r>
      <w:r>
        <w:t xml:space="preserve">which </w:t>
      </w:r>
      <w:r w:rsidRPr="004E42BD">
        <w:t>offer both high growth rates and Australian advantage</w:t>
      </w:r>
      <w:r w:rsidR="006A06C0">
        <w:t>,</w:t>
      </w:r>
      <w:r w:rsidRPr="004E42BD">
        <w:t xml:space="preserve"> </w:t>
      </w:r>
      <w:r w:rsidR="006A06C0">
        <w:t>as</w:t>
      </w:r>
      <w:r w:rsidR="006A06C0" w:rsidRPr="004E42BD">
        <w:t xml:space="preserve"> </w:t>
      </w:r>
      <w:r w:rsidRPr="004E42BD">
        <w:t xml:space="preserve">agribusiness, gas, tourism, international education, and wealth management. </w:t>
      </w:r>
    </w:p>
    <w:p w14:paraId="7AA0FFEB" w14:textId="77777777" w:rsidR="00F610A8" w:rsidRPr="004E42BD" w:rsidRDefault="00F610A8" w:rsidP="00BF09CC">
      <w:pPr>
        <w:spacing w:line="240" w:lineRule="auto"/>
      </w:pPr>
      <w:r w:rsidRPr="004E42BD">
        <w:rPr>
          <w:sz w:val="22"/>
        </w:rPr>
        <w:t xml:space="preserve">In terms of seasonal worker programs in both New Zealand and Australia, </w:t>
      </w:r>
      <w:r w:rsidRPr="004E42BD">
        <w:t xml:space="preserve">productivity outcomes of using Pacific seasonal workers have been positive for both Australia and </w:t>
      </w:r>
      <w:r w:rsidRPr="004E42BD">
        <w:rPr>
          <w:sz w:val="22"/>
        </w:rPr>
        <w:t xml:space="preserve">New Zealand. </w:t>
      </w:r>
      <w:r w:rsidRPr="004E42BD">
        <w:t xml:space="preserve">The Australian </w:t>
      </w:r>
      <w:r w:rsidRPr="004E42BD">
        <w:lastRenderedPageBreak/>
        <w:t xml:space="preserve">seasonal worker programs allow for small gradual growth in labour demand in Australia, well under the </w:t>
      </w:r>
      <w:r w:rsidRPr="004E42BD">
        <w:rPr>
          <w:sz w:val="22"/>
        </w:rPr>
        <w:t xml:space="preserve">New Zealand </w:t>
      </w:r>
      <w:r w:rsidRPr="004E42BD">
        <w:t xml:space="preserve">scheme of 9,000 by year 2015/16 with just 4,250 visas available. </w:t>
      </w:r>
    </w:p>
    <w:p w14:paraId="0D86D92C" w14:textId="485AD6B4" w:rsidR="00F610A8" w:rsidRPr="003312C4" w:rsidRDefault="00F610A8" w:rsidP="00BF09CC">
      <w:pPr>
        <w:spacing w:line="240" w:lineRule="auto"/>
        <w:rPr>
          <w:sz w:val="20"/>
          <w:szCs w:val="22"/>
        </w:rPr>
      </w:pPr>
      <w:r w:rsidRPr="004E42BD">
        <w:t>Based on current population trend</w:t>
      </w:r>
      <w:r>
        <w:t>s</w:t>
      </w:r>
      <w:r w:rsidRPr="004E42BD">
        <w:t xml:space="preserve">, youth and working age populations in the </w:t>
      </w:r>
      <w:r>
        <w:t xml:space="preserve">Pacific </w:t>
      </w:r>
      <w:r w:rsidR="0090418E">
        <w:t xml:space="preserve">Nations </w:t>
      </w:r>
      <w:r w:rsidRPr="004E42BD">
        <w:t>(especially Melanesia) will continue to grow and remain high compared to Australia and New Zealand. While population growth rates vary by reg</w:t>
      </w:r>
      <w:r>
        <w:t>ion, the working age population (15</w:t>
      </w:r>
      <w:r w:rsidRPr="004E42BD">
        <w:t xml:space="preserve">–64) in </w:t>
      </w:r>
      <w:r>
        <w:t xml:space="preserve">Pacific </w:t>
      </w:r>
      <w:r w:rsidR="0090418E">
        <w:t>Nations</w:t>
      </w:r>
      <w:r w:rsidRPr="004E42BD">
        <w:t xml:space="preserve"> ha</w:t>
      </w:r>
      <w:r>
        <w:t>s</w:t>
      </w:r>
      <w:r w:rsidRPr="004E42BD">
        <w:t xml:space="preserve"> steadily increased since 1970s</w:t>
      </w:r>
      <w:r>
        <w:t>. This proportion will reach 63</w:t>
      </w:r>
      <w:r w:rsidRPr="004E42BD">
        <w:t xml:space="preserve">–65% of the regional population by 2035. In contrast, for Australia and New Zealand, this figure will decline between now and 2030 to approximately 60% of the total population. These figures indicate both the </w:t>
      </w:r>
      <w:r w:rsidR="004830D0" w:rsidRPr="004E42BD">
        <w:t>long-term</w:t>
      </w:r>
      <w:r w:rsidRPr="004E42BD">
        <w:t xml:space="preserve"> need to generate employment for Pacific youth, and the clear demographic capacity to meet growing labour demand in Australia and New Zealand</w:t>
      </w:r>
      <w:r>
        <w:t xml:space="preserve"> (Ball 2015).</w:t>
      </w:r>
    </w:p>
    <w:p w14:paraId="0946258F" w14:textId="6895207D" w:rsidR="00F610A8" w:rsidRPr="00FD3A2D" w:rsidRDefault="00F610A8" w:rsidP="00F610A8">
      <w:pPr>
        <w:pStyle w:val="PacHead2"/>
      </w:pPr>
      <w:bookmarkStart w:id="138" w:name="_Toc458938605"/>
      <w:r>
        <w:t>Regional</w:t>
      </w:r>
      <w:r w:rsidRPr="00FD3A2D">
        <w:t xml:space="preserve"> initiatives</w:t>
      </w:r>
      <w:bookmarkEnd w:id="138"/>
    </w:p>
    <w:p w14:paraId="631B97BE" w14:textId="77777777" w:rsidR="00F610A8" w:rsidRDefault="00F610A8" w:rsidP="0053388B">
      <w:pPr>
        <w:spacing w:line="240" w:lineRule="auto"/>
      </w:pPr>
      <w:r>
        <w:t>The need for a regional approach to quality assurance and to mutual recognition of qualifications has long been acknowledged by the PICTs</w:t>
      </w:r>
      <w:r w:rsidRPr="0041568C">
        <w:t xml:space="preserve">. Given the increased interest in labour mobility </w:t>
      </w:r>
      <w:r>
        <w:t>in addition to</w:t>
      </w:r>
      <w:r w:rsidRPr="0041568C">
        <w:t xml:space="preserve"> learner mobility the focus has turned to the PRQS to further facilitate mutual recognition</w:t>
      </w:r>
      <w:r>
        <w:t xml:space="preserve"> of qualifications</w:t>
      </w:r>
      <w:r w:rsidRPr="0041568C">
        <w:t>.</w:t>
      </w:r>
      <w:r>
        <w:t xml:space="preserve"> </w:t>
      </w:r>
    </w:p>
    <w:p w14:paraId="34994817" w14:textId="1E18C7CD" w:rsidR="00F610A8" w:rsidRDefault="00F610A8" w:rsidP="0053388B">
      <w:pPr>
        <w:spacing w:line="240" w:lineRule="auto"/>
      </w:pPr>
      <w:r>
        <w:t>In 2015, the Hiri Declaration</w:t>
      </w:r>
      <w:r w:rsidR="00941B5B">
        <w:t>,</w:t>
      </w:r>
      <w:r>
        <w:t xml:space="preserve"> “strengthening connections to enhance Pacific regionalism” commits Pacific Island Forum countries to deepening regional integration and cooperation in three core areas: people to people, institutional, and physical connectivity. Clause 11.b specifically refers to strengthening linkages through labour mobility, committing PICs to:</w:t>
      </w:r>
    </w:p>
    <w:p w14:paraId="776F5BB1" w14:textId="77777777" w:rsidR="00F610A8" w:rsidRPr="008B7985" w:rsidRDefault="00F610A8" w:rsidP="0053388B">
      <w:pPr>
        <w:spacing w:line="240" w:lineRule="auto"/>
        <w:ind w:left="720"/>
        <w:rPr>
          <w:i/>
        </w:rPr>
      </w:pPr>
      <w:r w:rsidRPr="008B7985">
        <w:rPr>
          <w:i/>
        </w:rPr>
        <w:t>11. Encourage and strengthen our linkages and common aspirations through enhanced […] Economic, trade, business and investment arrangements including labour mobility and reduction of trade barriers.</w:t>
      </w:r>
    </w:p>
    <w:p w14:paraId="061D7E21" w14:textId="2FE2E3FC" w:rsidR="00F610A8" w:rsidRDefault="00F610A8" w:rsidP="0053388B">
      <w:pPr>
        <w:spacing w:line="240" w:lineRule="auto"/>
      </w:pPr>
      <w:r>
        <w:t>In recent years</w:t>
      </w:r>
      <w:r w:rsidR="006A06C0">
        <w:t>,</w:t>
      </w:r>
      <w:r>
        <w:t xml:space="preserve"> there has been the Pacific Island Countries Trade Agreement (PICTA)</w:t>
      </w:r>
      <w:r w:rsidR="006A06C0">
        <w:t>,</w:t>
      </w:r>
      <w:r>
        <w:t xml:space="preserve"> which is a free trade agreement amongst the 14 countries. Under this agreement, virtually all barriers (import tariffs and quotas) to merchandise trade between Forum Island countries will be subsequently removed. </w:t>
      </w:r>
      <w:r>
        <w:br/>
        <w:t>The initial PICTA, which only cover</w:t>
      </w:r>
      <w:r w:rsidR="009777CB">
        <w:t>ed</w:t>
      </w:r>
      <w:r>
        <w:t xml:space="preserve"> trade in goods, was signed in 2001 and came into force in 2006. Currently, the agreement is being broadened to trade in services. It covers 11 service sectors: business communication, construction, distribution, educational, environmental, financial, health, tourism, recreational and transport; it also includes temporary movement of natural persons (labour mobility).</w:t>
      </w:r>
      <w:r>
        <w:rPr>
          <w:rStyle w:val="FootnoteReference"/>
        </w:rPr>
        <w:footnoteReference w:id="94"/>
      </w:r>
    </w:p>
    <w:p w14:paraId="347C6FF6" w14:textId="77777777" w:rsidR="00F610A8" w:rsidRDefault="00F610A8" w:rsidP="0053388B">
      <w:pPr>
        <w:spacing w:line="240" w:lineRule="auto"/>
      </w:pPr>
      <w:r>
        <w:t xml:space="preserve">The focus on labour mobility has intensified with another regional initiative, PACER Plus trade agreement. PACER Plus includes the PIF countries and territories including Australia and New Zealand. PACER Plus aims to provide long-term opportunities to create jobs, enhance private sector growth, raise standards of living, and boost economic growth in PIF countries and territories. It recognizes that labour mobility is a key factor if countries are to reap the full benefits of this trading agreement. </w:t>
      </w:r>
    </w:p>
    <w:p w14:paraId="24DFFE25" w14:textId="77777777" w:rsidR="00F610A8" w:rsidRDefault="00F610A8" w:rsidP="0053388B">
      <w:pPr>
        <w:spacing w:line="240" w:lineRule="auto"/>
      </w:pPr>
      <w:r>
        <w:t xml:space="preserve">Currently, the PACER Plus negotiations are yet to be finalised; however, the impact of PACER Plus on the future focus of the Pacific model will be significant. Current draft PACER Plus documents indicate that mutual recognition of qualifications is a key factor in facilitating labour mobility. </w:t>
      </w:r>
    </w:p>
    <w:p w14:paraId="402599BF" w14:textId="77777777" w:rsidR="00F610A8" w:rsidRDefault="00F610A8" w:rsidP="0053388B">
      <w:pPr>
        <w:spacing w:line="240" w:lineRule="auto"/>
      </w:pPr>
      <w:r>
        <w:t xml:space="preserve">In the chapter of the draft PACER agreement related to labour mobility, paragraph 9 Facilitation of Recognition of Qualifications and Registration of Occupations notes: </w:t>
      </w: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80"/>
      </w:tblGrid>
      <w:tr w:rsidR="00F610A8" w:rsidRPr="0088438D" w14:paraId="5DC1A871" w14:textId="77777777" w:rsidTr="00F610A8">
        <w:tc>
          <w:tcPr>
            <w:tcW w:w="5000" w:type="pct"/>
          </w:tcPr>
          <w:p w14:paraId="7D881916" w14:textId="77777777" w:rsidR="00F610A8" w:rsidRPr="0088438D" w:rsidRDefault="00F610A8" w:rsidP="00456131">
            <w:pPr>
              <w:pStyle w:val="ListParagraph"/>
              <w:numPr>
                <w:ilvl w:val="0"/>
                <w:numId w:val="58"/>
              </w:numPr>
              <w:rPr>
                <w:sz w:val="20"/>
              </w:rPr>
            </w:pPr>
            <w:r w:rsidRPr="0088438D">
              <w:rPr>
                <w:sz w:val="20"/>
              </w:rPr>
              <w:t xml:space="preserve">The Participants acknowledge the importance of recognition of qualifications throughout the region and will consider the opportunities offered in this area by their accession to the Revised Asia-Pacific Regional Convention on the Recognition of Qualifications in Higher Education 2011. </w:t>
            </w:r>
          </w:p>
          <w:p w14:paraId="693765FD" w14:textId="77777777" w:rsidR="00F610A8" w:rsidRPr="0088438D" w:rsidRDefault="00F610A8" w:rsidP="00456131">
            <w:pPr>
              <w:pStyle w:val="ListParagraph"/>
              <w:numPr>
                <w:ilvl w:val="0"/>
                <w:numId w:val="58"/>
              </w:numPr>
              <w:rPr>
                <w:sz w:val="20"/>
              </w:rPr>
            </w:pPr>
            <w:r w:rsidRPr="0088438D">
              <w:rPr>
                <w:sz w:val="20"/>
              </w:rPr>
              <w:lastRenderedPageBreak/>
              <w:t>The developed country Participants will, to the extent possible, support the developing country Participants to increase their capacity to assess qualifications and facilitate the development, accreditation and registration of qualifications and recognition of those qualifications.</w:t>
            </w:r>
          </w:p>
          <w:p w14:paraId="0D5084A3" w14:textId="77777777" w:rsidR="00F610A8" w:rsidRPr="0088438D" w:rsidRDefault="00F610A8" w:rsidP="00456131">
            <w:pPr>
              <w:pStyle w:val="ListParagraph"/>
              <w:numPr>
                <w:ilvl w:val="0"/>
                <w:numId w:val="58"/>
              </w:numPr>
              <w:rPr>
                <w:sz w:val="20"/>
              </w:rPr>
            </w:pPr>
            <w:r w:rsidRPr="0088438D">
              <w:rPr>
                <w:sz w:val="20"/>
              </w:rPr>
              <w:t>For licensed and registered occupations, the Participants will endeavour to make publicly available the regulations and processes to be followed by applicants to achieve licensing or registration by the accredited boards.</w:t>
            </w:r>
          </w:p>
          <w:p w14:paraId="64FD2001" w14:textId="77777777" w:rsidR="00F610A8" w:rsidRPr="0088438D" w:rsidRDefault="00F610A8" w:rsidP="00456131">
            <w:pPr>
              <w:pStyle w:val="ListParagraph"/>
              <w:numPr>
                <w:ilvl w:val="0"/>
                <w:numId w:val="58"/>
              </w:numPr>
              <w:rPr>
                <w:sz w:val="20"/>
              </w:rPr>
            </w:pPr>
            <w:r w:rsidRPr="0088438D">
              <w:rPr>
                <w:sz w:val="20"/>
              </w:rPr>
              <w:t>The Participants will encourage their relevant qualification and occupation assessment and accreditation bodies to consult with each other and with relevant regional bodies with a view to exploring possibilities of recognition of qualifications within a reasonable period of time following the commencement of this arrangement.</w:t>
            </w:r>
          </w:p>
        </w:tc>
      </w:tr>
    </w:tbl>
    <w:p w14:paraId="6967EE56" w14:textId="77A67A7D" w:rsidR="00F610A8" w:rsidRPr="005D3011" w:rsidRDefault="00F610A8" w:rsidP="0053388B">
      <w:pPr>
        <w:spacing w:line="240" w:lineRule="auto"/>
        <w:rPr>
          <w:rFonts w:ascii="Corbel" w:hAnsi="Corbel" w:cs="Arial"/>
          <w:sz w:val="22"/>
        </w:rPr>
      </w:pPr>
      <w:r>
        <w:lastRenderedPageBreak/>
        <w:t>This paragraph emphasises the need to assess/recognise qualifications and reference</w:t>
      </w:r>
      <w:r w:rsidR="003B7607">
        <w:t>s</w:t>
      </w:r>
      <w:r>
        <w:t xml:space="preserve"> the </w:t>
      </w:r>
      <w:r w:rsidRPr="00B55B19">
        <w:t>Revised Asia-Pacific Regional Convention on the Recognition of Qualifications in Higher Education 2011. This</w:t>
      </w:r>
      <w:r w:rsidRPr="00911574">
        <w:t xml:space="preserve"> Convention provides general guidelines intended to facilitate the implementation of regional cooperation regarding recognition of qualifications in the higher education/TVET sector. The basic principles addressed in the Convention include:</w:t>
      </w:r>
    </w:p>
    <w:p w14:paraId="532F39AD" w14:textId="77777777" w:rsidR="00F610A8" w:rsidRPr="00DD2BA7" w:rsidRDefault="00F610A8" w:rsidP="00456131">
      <w:pPr>
        <w:pStyle w:val="ListParagraph"/>
        <w:numPr>
          <w:ilvl w:val="0"/>
          <w:numId w:val="34"/>
        </w:numPr>
      </w:pPr>
      <w:r w:rsidRPr="00DD2BA7">
        <w:t>The assessment of qualifications</w:t>
      </w:r>
    </w:p>
    <w:p w14:paraId="55C472EB" w14:textId="77777777" w:rsidR="00F610A8" w:rsidRPr="00DD2BA7" w:rsidRDefault="00F610A8" w:rsidP="00456131">
      <w:pPr>
        <w:pStyle w:val="ListParagraph"/>
        <w:numPr>
          <w:ilvl w:val="0"/>
          <w:numId w:val="34"/>
        </w:numPr>
      </w:pPr>
      <w:r w:rsidRPr="00DD2BA7">
        <w:t>Recognition providing access to programs</w:t>
      </w:r>
    </w:p>
    <w:p w14:paraId="6C798FBD" w14:textId="77777777" w:rsidR="00F610A8" w:rsidRPr="00DD2BA7" w:rsidRDefault="00F610A8" w:rsidP="00456131">
      <w:pPr>
        <w:pStyle w:val="ListParagraph"/>
        <w:numPr>
          <w:ilvl w:val="0"/>
          <w:numId w:val="34"/>
        </w:numPr>
      </w:pPr>
      <w:r w:rsidRPr="00DD2BA7">
        <w:t>Recognition of partial studies</w:t>
      </w:r>
    </w:p>
    <w:p w14:paraId="0E8C34DB" w14:textId="77777777" w:rsidR="00F610A8" w:rsidRPr="00DD2BA7" w:rsidRDefault="00F610A8" w:rsidP="00456131">
      <w:pPr>
        <w:pStyle w:val="ListParagraph"/>
        <w:numPr>
          <w:ilvl w:val="0"/>
          <w:numId w:val="34"/>
        </w:numPr>
      </w:pPr>
      <w:r w:rsidRPr="00DD2BA7">
        <w:t>Recognition of qualifications</w:t>
      </w:r>
    </w:p>
    <w:p w14:paraId="33D47E51" w14:textId="77777777" w:rsidR="00F610A8" w:rsidRPr="00DD2BA7" w:rsidRDefault="00F610A8" w:rsidP="00456131">
      <w:pPr>
        <w:pStyle w:val="ListParagraph"/>
        <w:numPr>
          <w:ilvl w:val="0"/>
          <w:numId w:val="34"/>
        </w:numPr>
      </w:pPr>
      <w:r w:rsidRPr="00DD2BA7">
        <w:t>Recognition of qualifications held by refugees</w:t>
      </w:r>
    </w:p>
    <w:p w14:paraId="79FEAB36" w14:textId="77777777" w:rsidR="00F610A8" w:rsidRPr="00DD2BA7" w:rsidRDefault="00F610A8" w:rsidP="00456131">
      <w:pPr>
        <w:pStyle w:val="ListParagraph"/>
        <w:numPr>
          <w:ilvl w:val="0"/>
          <w:numId w:val="34"/>
        </w:numPr>
      </w:pPr>
      <w:r w:rsidRPr="00DD2BA7">
        <w:t>Displaced persons and persons in a refugee-like situation</w:t>
      </w:r>
    </w:p>
    <w:p w14:paraId="39FB22E4" w14:textId="77777777" w:rsidR="00F610A8" w:rsidRPr="00DD2BA7" w:rsidRDefault="00F610A8" w:rsidP="00456131">
      <w:pPr>
        <w:pStyle w:val="ListParagraph"/>
        <w:numPr>
          <w:ilvl w:val="0"/>
          <w:numId w:val="34"/>
        </w:numPr>
      </w:pPr>
      <w:r w:rsidRPr="00DD2BA7">
        <w:t xml:space="preserve">The provision of information </w:t>
      </w:r>
    </w:p>
    <w:p w14:paraId="72764A6F" w14:textId="77777777" w:rsidR="00F610A8" w:rsidRPr="00DD2BA7" w:rsidRDefault="00F610A8" w:rsidP="00456131">
      <w:pPr>
        <w:pStyle w:val="ListParagraph"/>
        <w:numPr>
          <w:ilvl w:val="0"/>
          <w:numId w:val="34"/>
        </w:numPr>
      </w:pPr>
      <w:r w:rsidRPr="00DD2BA7">
        <w:t xml:space="preserve">The implementation of the convention. </w:t>
      </w:r>
    </w:p>
    <w:p w14:paraId="3F127AB6" w14:textId="77777777" w:rsidR="00F610A8" w:rsidRDefault="00F610A8" w:rsidP="0053388B">
      <w:pPr>
        <w:spacing w:line="240" w:lineRule="auto"/>
      </w:pPr>
      <w:r>
        <w:t>Currently none of the Pacific island countries or territories are signatories to this Convention.</w:t>
      </w:r>
      <w:r>
        <w:rPr>
          <w:rStyle w:val="FootnoteReference"/>
        </w:rPr>
        <w:footnoteReference w:id="95"/>
      </w:r>
      <w:r>
        <w:t xml:space="preserve"> However, once the Pacific island countries or territories are signatories, the implications of the role of the PRQS in assisting and encouraging the uptake of the principles, and providing support for benchmarking and harmonising recognition approaches across the region, could be significant. </w:t>
      </w:r>
    </w:p>
    <w:p w14:paraId="42FA71A8" w14:textId="2E511A9C" w:rsidR="00F610A8" w:rsidRDefault="00F610A8" w:rsidP="0053388B">
      <w:pPr>
        <w:spacing w:line="240" w:lineRule="auto"/>
      </w:pPr>
      <w:r>
        <w:t>In addition, in the PACER Plus draft chapter related to Trades in Services, paragraph 8 Recognition</w:t>
      </w:r>
      <w:r w:rsidR="009777CB">
        <w:t>,</w:t>
      </w:r>
      <w:r>
        <w:t xml:space="preserve"> a number of paragraphs are specifically relevant, including the following:</w:t>
      </w:r>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9180"/>
      </w:tblGrid>
      <w:tr w:rsidR="00F610A8" w:rsidRPr="003B7607" w14:paraId="29418D3E" w14:textId="77777777" w:rsidTr="00F610A8">
        <w:tc>
          <w:tcPr>
            <w:tcW w:w="5000" w:type="pct"/>
          </w:tcPr>
          <w:p w14:paraId="1CE71632" w14:textId="77777777" w:rsidR="00F610A8" w:rsidRPr="003B7607" w:rsidRDefault="00F610A8" w:rsidP="00456131">
            <w:pPr>
              <w:pStyle w:val="ListParagraph"/>
              <w:numPr>
                <w:ilvl w:val="0"/>
                <w:numId w:val="50"/>
              </w:numPr>
              <w:rPr>
                <w:sz w:val="20"/>
              </w:rPr>
            </w:pPr>
            <w:r w:rsidRPr="003B7607">
              <w:rPr>
                <w:sz w:val="20"/>
              </w:rPr>
              <w:t>For the purposes of the fulfilment, in whole or in part, of its standards or criteria for the authorisation, licensing or certification of service suppliers, and subject to the requirements of Paragraph 4, a Party may recognise the education or experience obtained, requirements met, or licenses or certifications granted in a particular country.  Such recognition, which may be achieved through harmonization or otherwise, may be based upon an agreement or arrangement with the country concerned or may be accorded autonomously.</w:t>
            </w:r>
          </w:p>
          <w:p w14:paraId="684B3FAC" w14:textId="77777777" w:rsidR="00F610A8" w:rsidRPr="003B7607" w:rsidRDefault="00F610A8" w:rsidP="00456131">
            <w:pPr>
              <w:pStyle w:val="ListParagraph"/>
              <w:numPr>
                <w:ilvl w:val="0"/>
                <w:numId w:val="51"/>
              </w:numPr>
              <w:rPr>
                <w:sz w:val="20"/>
              </w:rPr>
            </w:pPr>
            <w:r w:rsidRPr="003B7607">
              <w:rPr>
                <w:sz w:val="20"/>
              </w:rPr>
              <w:t>Where appropriate, recognition should be based on multilaterally agreed criteria.  In appropriate cases, Parties shall work in co-operation with relevant inter-governmental and non-governmental organisations towards the establishment and adoption of common international standards and criteria for recognition and common international standards for the practice of relevant services trades and professions.</w:t>
            </w:r>
          </w:p>
          <w:p w14:paraId="29D69C93" w14:textId="77777777" w:rsidR="00F610A8" w:rsidRPr="003B7607" w:rsidRDefault="00F610A8" w:rsidP="00456131">
            <w:pPr>
              <w:pStyle w:val="ListParagraph"/>
              <w:numPr>
                <w:ilvl w:val="0"/>
                <w:numId w:val="51"/>
              </w:numPr>
              <w:rPr>
                <w:sz w:val="20"/>
              </w:rPr>
            </w:pPr>
            <w:r w:rsidRPr="003B7607">
              <w:rPr>
                <w:sz w:val="20"/>
              </w:rPr>
              <w:t xml:space="preserve">The Parties shall actively encourage their competent bodies to consult with each other and with relevant regional bodies after entry into force of this Agreement to explore the possibilities for recognition of </w:t>
            </w:r>
            <w:r w:rsidRPr="003B7607">
              <w:rPr>
                <w:sz w:val="20"/>
              </w:rPr>
              <w:lastRenderedPageBreak/>
              <w:t>qualifications or professional recognition or registration. The Parties shall report periodically to the Joint Committee for review.</w:t>
            </w:r>
          </w:p>
        </w:tc>
      </w:tr>
    </w:tbl>
    <w:p w14:paraId="2CE76DD0" w14:textId="2621D2BC" w:rsidR="00F610A8" w:rsidRDefault="00F610A8" w:rsidP="00BC1BCB">
      <w:pPr>
        <w:spacing w:line="240" w:lineRule="auto"/>
        <w:rPr>
          <w:color w:val="95050F"/>
        </w:rPr>
      </w:pPr>
      <w:r>
        <w:lastRenderedPageBreak/>
        <w:t>This chapter calls upon countries to develop harmoni</w:t>
      </w:r>
      <w:r w:rsidR="00ED1337">
        <w:t>s</w:t>
      </w:r>
      <w:r>
        <w:t xml:space="preserve">ation or mutually agreed strategies to facilitate the recognition of qualifications or professional recognition or registration. </w:t>
      </w:r>
      <w:r>
        <w:rPr>
          <w:color w:val="95050F"/>
        </w:rPr>
        <w:br w:type="page"/>
      </w:r>
    </w:p>
    <w:p w14:paraId="396FDC2E" w14:textId="66FE08DA" w:rsidR="00053789" w:rsidRDefault="00053789" w:rsidP="00053789">
      <w:pPr>
        <w:pStyle w:val="Heading1"/>
        <w:rPr>
          <w:color w:val="95050F"/>
        </w:rPr>
      </w:pPr>
      <w:bookmarkStart w:id="139" w:name="_Toc456958020"/>
      <w:bookmarkStart w:id="140" w:name="_Toc458938606"/>
      <w:bookmarkStart w:id="141" w:name="_Toc462755583"/>
      <w:r>
        <w:rPr>
          <w:color w:val="95050F"/>
        </w:rPr>
        <w:lastRenderedPageBreak/>
        <w:t>Appendix 7: AQRF referencing criteria</w:t>
      </w:r>
      <w:bookmarkEnd w:id="139"/>
      <w:bookmarkEnd w:id="140"/>
      <w:bookmarkEnd w:id="141"/>
    </w:p>
    <w:p w14:paraId="135EB139" w14:textId="77777777" w:rsidR="00053789" w:rsidRDefault="00053789" w:rsidP="00053789">
      <w:pPr>
        <w:pStyle w:val="Default"/>
        <w:rPr>
          <w:rFonts w:asciiTheme="minorHAnsi" w:hAnsiTheme="minorHAnsi" w:cs="Calibri"/>
          <w:sz w:val="21"/>
          <w:szCs w:val="21"/>
        </w:rPr>
      </w:pPr>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180"/>
      </w:tblGrid>
      <w:tr w:rsidR="00053789" w:rsidRPr="004E1C52" w14:paraId="6DA54D8D" w14:textId="77777777" w:rsidTr="0096293D">
        <w:tc>
          <w:tcPr>
            <w:tcW w:w="9406" w:type="dxa"/>
          </w:tcPr>
          <w:p w14:paraId="32C18963" w14:textId="77777777" w:rsidR="00053789" w:rsidRPr="004E1C52" w:rsidRDefault="00053789" w:rsidP="008915D0">
            <w:pPr>
              <w:pStyle w:val="Default"/>
              <w:spacing w:before="120" w:after="120"/>
              <w:rPr>
                <w:rFonts w:asciiTheme="minorHAnsi" w:hAnsiTheme="minorHAnsi" w:cs="Calibri"/>
                <w:sz w:val="20"/>
                <w:szCs w:val="20"/>
              </w:rPr>
            </w:pPr>
            <w:r w:rsidRPr="004E1C52">
              <w:rPr>
                <w:rFonts w:asciiTheme="minorHAnsi" w:hAnsiTheme="minorHAnsi" w:cs="Calibri"/>
                <w:sz w:val="20"/>
                <w:szCs w:val="20"/>
              </w:rPr>
              <w:t>The referencing process includes 11 criteria:</w:t>
            </w:r>
          </w:p>
          <w:p w14:paraId="45C05EDA"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structure of the education and training system is described.</w:t>
            </w:r>
          </w:p>
          <w:p w14:paraId="00039A68"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responsibilities and legal basis of all relevant national bodies involved in the referencing process are clearly determined and published by the main public authority responsible for the referencing process.</w:t>
            </w:r>
          </w:p>
          <w:p w14:paraId="254726A7"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procedures for inclusion of qualifications in the national qualifications framework or for describing the place of qualifications in the national qualification system are transparent.</w:t>
            </w:r>
          </w:p>
          <w:p w14:paraId="35A2A837"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There is a clear and demonstrable link between the qualifications levels in the national qualifications framework or system and the level descriptors of the AQRF.</w:t>
            </w:r>
          </w:p>
          <w:p w14:paraId="3C1C1B96"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 xml:space="preserve">The basis in agreed standards of the national framework or qualifications system and its qualifications is described.  </w:t>
            </w:r>
          </w:p>
          <w:p w14:paraId="1D5B244F"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national quality assurance system(s) for education and training refer(s) to the national qualifications framework or system are described. All of the bodies responsible for quality assurance state their unequivocal support for the referencing outcome.</w:t>
            </w:r>
          </w:p>
          <w:p w14:paraId="4C8CA3DE"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process of referencing has been devised by the main public authority and has been endorsed by the main stakeholders in the qualifications system.</w:t>
            </w:r>
          </w:p>
          <w:p w14:paraId="4A776C31"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People from other countries who are experienced in the field of qualifications are involved in the referencing process and its reporting.</w:t>
            </w:r>
          </w:p>
          <w:p w14:paraId="627E66E5"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One comprehensive report, setting out the referencing and the evidence supporting it shall be published by the competent national bodies and shall address separately and in order each of the referencing criteria.</w:t>
            </w:r>
          </w:p>
          <w:p w14:paraId="263E49E4"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The outcome of referencing is published by the ASEAN Secretariat and by the main national public body.</w:t>
            </w:r>
          </w:p>
          <w:p w14:paraId="3EA57C7B" w14:textId="77777777" w:rsidR="00053789" w:rsidRPr="004E1C52" w:rsidRDefault="00053789" w:rsidP="00261785">
            <w:pPr>
              <w:pStyle w:val="Default"/>
              <w:numPr>
                <w:ilvl w:val="0"/>
                <w:numId w:val="43"/>
              </w:numPr>
              <w:spacing w:before="120" w:after="120"/>
              <w:ind w:left="714" w:hanging="357"/>
              <w:rPr>
                <w:rFonts w:asciiTheme="minorHAnsi" w:hAnsiTheme="minorHAnsi" w:cs="Calibri"/>
                <w:sz w:val="20"/>
                <w:szCs w:val="20"/>
              </w:rPr>
            </w:pPr>
            <w:r w:rsidRPr="004E1C52">
              <w:rPr>
                <w:rFonts w:asciiTheme="minorHAnsi" w:hAnsiTheme="minorHAnsi" w:cs="Calibri"/>
                <w:sz w:val="20"/>
                <w:szCs w:val="20"/>
              </w:rPr>
              <w:t>Following the referencing process all certification and awarding bodies are encouraged to indicate a clear reference to the appropriate AQRF level on new qualification certificates, diplomas issued.</w:t>
            </w:r>
            <w:r w:rsidRPr="004E1C52">
              <w:rPr>
                <w:rStyle w:val="FootnoteReference"/>
                <w:rFonts w:asciiTheme="minorHAnsi" w:hAnsiTheme="minorHAnsi" w:cs="Calibri"/>
                <w:sz w:val="20"/>
                <w:szCs w:val="20"/>
              </w:rPr>
              <w:footnoteReference w:id="96"/>
            </w:r>
          </w:p>
        </w:tc>
      </w:tr>
    </w:tbl>
    <w:p w14:paraId="03ADB11A" w14:textId="77777777" w:rsidR="00053789" w:rsidRDefault="00053789">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0DA03C9E" w14:textId="20EABED4" w:rsidR="00DA00FD" w:rsidRDefault="00DA00FD" w:rsidP="00435408">
      <w:pPr>
        <w:pStyle w:val="Heading1"/>
        <w:rPr>
          <w:color w:val="95050F"/>
        </w:rPr>
      </w:pPr>
      <w:bookmarkStart w:id="142" w:name="_Toc458938607"/>
      <w:bookmarkStart w:id="143" w:name="_Toc462755584"/>
      <w:r>
        <w:rPr>
          <w:color w:val="95050F"/>
        </w:rPr>
        <w:lastRenderedPageBreak/>
        <w:t xml:space="preserve">Appendix </w:t>
      </w:r>
      <w:r w:rsidR="00053789">
        <w:rPr>
          <w:color w:val="95050F"/>
        </w:rPr>
        <w:t>8</w:t>
      </w:r>
      <w:r>
        <w:rPr>
          <w:color w:val="95050F"/>
        </w:rPr>
        <w:t>: Future model</w:t>
      </w:r>
      <w:bookmarkEnd w:id="142"/>
      <w:bookmarkEnd w:id="143"/>
    </w:p>
    <w:p w14:paraId="312E1DCA" w14:textId="42142CA5" w:rsidR="00DA00FD" w:rsidRDefault="00DA00FD" w:rsidP="00BF09CC">
      <w:pPr>
        <w:spacing w:line="240" w:lineRule="auto"/>
      </w:pPr>
      <w:r>
        <w:t>The review team, as part of their scope of work, proposed a revised model for the Pacific. T</w:t>
      </w:r>
      <w:r w:rsidR="0057430F">
        <w:t xml:space="preserve">his </w:t>
      </w:r>
      <w:r>
        <w:t>proposed model would require further consultation, refinement and agreement by the participating</w:t>
      </w:r>
      <w:r w:rsidR="00AE7D04">
        <w:t xml:space="preserve"> PIF countries and territories, and is merely presented here as a</w:t>
      </w:r>
      <w:r w:rsidR="00E716CF">
        <w:t>n informed</w:t>
      </w:r>
      <w:r w:rsidR="00AE7D04">
        <w:t xml:space="preserve"> suggestion. </w:t>
      </w:r>
    </w:p>
    <w:p w14:paraId="513991D1" w14:textId="5FEBA336" w:rsidR="00DA00FD" w:rsidRDefault="00DA00FD" w:rsidP="00BF09CC">
      <w:pPr>
        <w:spacing w:line="240" w:lineRule="auto"/>
      </w:pPr>
      <w:r>
        <w:t xml:space="preserve">This proposed model builds on the approach and the body of work undertaken to date by the PRQS team. The future model outlines </w:t>
      </w:r>
      <w:r w:rsidR="00E716CF">
        <w:t>suggested</w:t>
      </w:r>
      <w:r>
        <w:t xml:space="preserve"> key focus, structures and governance arrangements. </w:t>
      </w:r>
    </w:p>
    <w:p w14:paraId="289BEB0D" w14:textId="493429BE" w:rsidR="00DA00FD" w:rsidRDefault="00DA00FD" w:rsidP="00BF09CC">
      <w:pPr>
        <w:spacing w:line="240" w:lineRule="auto"/>
      </w:pPr>
      <w:r>
        <w:t xml:space="preserve">For the future model it is proposed that a new title be ‘coined’ to distinguish it from the previous phase; a working title proposed is the ‘Greater Pacific Qualifications Framework (GPQF)’. This working title brings the focus back to a regional qualifications framework (which is internationally understood) and </w:t>
      </w:r>
      <w:r w:rsidR="004830D0">
        <w:t xml:space="preserve">emphasises that </w:t>
      </w:r>
      <w:r>
        <w:t>the framework is relevant to countries in the greater Pacific region.</w:t>
      </w:r>
    </w:p>
    <w:p w14:paraId="00950953" w14:textId="77777777" w:rsidR="00DA00FD" w:rsidRPr="00F872E7" w:rsidRDefault="00DA00FD" w:rsidP="00C35EB4">
      <w:pPr>
        <w:pStyle w:val="PacHead3"/>
      </w:pPr>
      <w:r w:rsidRPr="00F872E7">
        <w:t>Focus and purpose</w:t>
      </w:r>
    </w:p>
    <w:p w14:paraId="70936015" w14:textId="77777777" w:rsidR="00DA00FD" w:rsidRDefault="00DA00FD" w:rsidP="00BF09CC">
      <w:pPr>
        <w:spacing w:line="240" w:lineRule="auto"/>
      </w:pPr>
      <w:r>
        <w:t xml:space="preserve">Although the focus of the GPQF will be on the qualifications meta framework, the key purposes as documented in the PRQS (SPC2015a), PQF (SPC 2015b) and PQAF (SPC 2015c) documents have not intrinsically changed. Any re-write of the model will require rationalisation and restructuring of purposes and benefits. </w:t>
      </w:r>
    </w:p>
    <w:p w14:paraId="60DA08E7" w14:textId="77777777" w:rsidR="00DA00FD" w:rsidRPr="00F872E7" w:rsidRDefault="00DA00FD" w:rsidP="00C35EB4">
      <w:pPr>
        <w:pStyle w:val="PacHead3"/>
      </w:pPr>
      <w:r w:rsidRPr="00F872E7">
        <w:t>Structures</w:t>
      </w:r>
    </w:p>
    <w:p w14:paraId="2794744A" w14:textId="77777777" w:rsidR="00DA00FD" w:rsidRDefault="00DA00FD" w:rsidP="00BF09CC">
      <w:pPr>
        <w:spacing w:line="240" w:lineRule="auto"/>
      </w:pPr>
      <w:r>
        <w:t>The GPQF will remain a common reference framework that will function as a translation device for Pacific NQFs. The PQF level descriptors will not change; it will remain a 10-level framework.</w:t>
      </w:r>
    </w:p>
    <w:p w14:paraId="053E03B8" w14:textId="77777777" w:rsidR="00DA00FD" w:rsidRPr="005F6018" w:rsidRDefault="00DA00FD" w:rsidP="00BF09CC">
      <w:pPr>
        <w:spacing w:line="240" w:lineRule="auto"/>
      </w:pPr>
      <w:r>
        <w:t xml:space="preserve">The meta framework should not be confused with the components that are part of a national qualifications framework. The additional structures are discussed later in this section. </w:t>
      </w:r>
    </w:p>
    <w:p w14:paraId="37214C3D" w14:textId="77777777" w:rsidR="00DA00FD" w:rsidRDefault="00DA00FD" w:rsidP="00C35EB4">
      <w:pPr>
        <w:pStyle w:val="PacHead3"/>
      </w:pPr>
      <w:r>
        <w:t>Support structures, mechanisms and documents</w:t>
      </w:r>
    </w:p>
    <w:p w14:paraId="137681F3" w14:textId="77777777" w:rsidR="00DA00FD" w:rsidRPr="00DD2BA7" w:rsidRDefault="00DA00FD" w:rsidP="00BF09CC">
      <w:pPr>
        <w:spacing w:line="240" w:lineRule="auto"/>
      </w:pPr>
      <w:r w:rsidRPr="004E2DDE">
        <w:t xml:space="preserve">The </w:t>
      </w:r>
      <w:r w:rsidRPr="00DD2BA7">
        <w:t xml:space="preserve">meta framework will be supported by a number of structures, mechanisms and documents. </w:t>
      </w:r>
    </w:p>
    <w:p w14:paraId="44640D2F" w14:textId="77777777" w:rsidR="00DA00FD" w:rsidRPr="00DD2BA7" w:rsidRDefault="00DA00FD" w:rsidP="00456131">
      <w:pPr>
        <w:pStyle w:val="ListParagraph"/>
        <w:numPr>
          <w:ilvl w:val="0"/>
          <w:numId w:val="54"/>
        </w:numPr>
      </w:pPr>
      <w:r w:rsidRPr="00DD2BA7">
        <w:rPr>
          <w:b/>
        </w:rPr>
        <w:t>Pacific Quality Assurance Framework (PQAF)</w:t>
      </w:r>
      <w:r w:rsidRPr="00DD2BA7">
        <w:t xml:space="preserve">. This framework will not change and includes quality standards related to the practice of competent bodies, accreditation and registration (provider standards). It should be clear that these standards are the minimum quality standards to which the competent bodies for each representative country agree to meet within their national quality assurance processes. Countries that do not have a quality assurance framework can adopt the PQAF as a national quality assurance framework. </w:t>
      </w:r>
    </w:p>
    <w:p w14:paraId="4D5AAFF8" w14:textId="77777777" w:rsidR="00DA00FD" w:rsidRPr="00DD2BA7" w:rsidRDefault="00DA00FD" w:rsidP="00456131">
      <w:pPr>
        <w:pStyle w:val="ListParagraph"/>
        <w:numPr>
          <w:ilvl w:val="0"/>
          <w:numId w:val="54"/>
        </w:numPr>
      </w:pPr>
      <w:r w:rsidRPr="00DD2BA7">
        <w:t>Pacific Register will contain:</w:t>
      </w:r>
    </w:p>
    <w:p w14:paraId="2B1DAC84" w14:textId="53082A01" w:rsidR="00DA00FD" w:rsidRPr="00DD2BA7" w:rsidRDefault="00E11E11" w:rsidP="00456131">
      <w:pPr>
        <w:pStyle w:val="ListParagraph"/>
        <w:numPr>
          <w:ilvl w:val="0"/>
          <w:numId w:val="56"/>
        </w:numPr>
      </w:pPr>
      <w:r>
        <w:rPr>
          <w:b/>
        </w:rPr>
        <w:t>Competent QA bodies</w:t>
      </w:r>
      <w:r w:rsidR="00DA00FD" w:rsidRPr="00DD2BA7">
        <w:rPr>
          <w:b/>
        </w:rPr>
        <w:t xml:space="preserve"> </w:t>
      </w:r>
      <w:r w:rsidR="00DA00FD" w:rsidRPr="00DD2BA7">
        <w:t>recognised by the governing committee, including details and website</w:t>
      </w:r>
    </w:p>
    <w:p w14:paraId="2C6FFB40" w14:textId="7E5018A3" w:rsidR="00DA00FD" w:rsidRPr="00DD2BA7" w:rsidRDefault="00DA00FD" w:rsidP="00456131">
      <w:pPr>
        <w:pStyle w:val="ListParagraph"/>
        <w:numPr>
          <w:ilvl w:val="0"/>
          <w:numId w:val="56"/>
        </w:numPr>
      </w:pPr>
      <w:r w:rsidRPr="00DD2BA7">
        <w:rPr>
          <w:b/>
        </w:rPr>
        <w:t xml:space="preserve">Qualifications (including short programs and skill sets) </w:t>
      </w:r>
      <w:r w:rsidRPr="00DD2BA7">
        <w:t xml:space="preserve">that the competent bodies have approved according to agreed protocols (e.g. accreditation standards). This register will continue to identify the PQF level of each of these qualifications, short programs and skill sets. Competent bodies will submit with each accreditation submission an accreditation summary document and a rating/levelling form clearly showing the process used and outcomes. The submission of this additional evidence places the obligations on the competent body to justify the alignment of the accredited program to that of the PQF. </w:t>
      </w:r>
      <w:r w:rsidR="006A06C0" w:rsidRPr="00DD2BA7">
        <w:t>T</w:t>
      </w:r>
      <w:r w:rsidRPr="00DD2BA7">
        <w:t>he Secretariat</w:t>
      </w:r>
      <w:r w:rsidR="006A06C0" w:rsidRPr="00DD2BA7">
        <w:t>,</w:t>
      </w:r>
      <w:r w:rsidRPr="00DD2BA7">
        <w:t xml:space="preserve"> on behalf of the governing committee</w:t>
      </w:r>
      <w:r w:rsidR="006A06C0" w:rsidRPr="00DD2BA7">
        <w:t>, will review this justification</w:t>
      </w:r>
      <w:r w:rsidRPr="00DD2BA7">
        <w:t xml:space="preserve">. </w:t>
      </w:r>
      <w:r w:rsidR="004F1A08" w:rsidRPr="00DD2BA7">
        <w:t xml:space="preserve">To be listed on the Pacific Register, </w:t>
      </w:r>
      <w:r w:rsidRPr="00DD2BA7">
        <w:t xml:space="preserve">qualifications, short programs and skill sets entries need to be accredited and approved by a recognised competent body. </w:t>
      </w:r>
      <w:r w:rsidR="00E457FF">
        <w:t xml:space="preserve">Regional qualifications (and components) will be included as for national entries. </w:t>
      </w:r>
    </w:p>
    <w:p w14:paraId="5F06A209" w14:textId="77777777" w:rsidR="00DA00FD" w:rsidRPr="00DD2BA7" w:rsidRDefault="00DA00FD" w:rsidP="00456131">
      <w:pPr>
        <w:pStyle w:val="ListParagraph"/>
        <w:numPr>
          <w:ilvl w:val="0"/>
          <w:numId w:val="56"/>
        </w:numPr>
      </w:pPr>
      <w:r w:rsidRPr="00DD2BA7">
        <w:rPr>
          <w:b/>
        </w:rPr>
        <w:t>Professional and occupational standards</w:t>
      </w:r>
      <w:r w:rsidRPr="00DD2BA7">
        <w:rPr>
          <w:b/>
        </w:rPr>
        <w:br/>
      </w:r>
      <w:r w:rsidRPr="00DD2BA7">
        <w:t xml:space="preserve">It is proposed that the professional standards component remain for at least another 3–5 years to enable the governing committee to keep a watching brief on developments in the region. It </w:t>
      </w:r>
      <w:r w:rsidRPr="00DD2BA7">
        <w:lastRenderedPageBreak/>
        <w:t xml:space="preserve">should contain at a minimum a register of regional professional bodies and links to their websites, standards and licensing arrangements. </w:t>
      </w:r>
    </w:p>
    <w:p w14:paraId="1C8320AB" w14:textId="77777777" w:rsidR="00DA00FD" w:rsidRPr="008A1FDF" w:rsidRDefault="00DA00FD" w:rsidP="00456131">
      <w:pPr>
        <w:pStyle w:val="ListParagraph"/>
        <w:numPr>
          <w:ilvl w:val="0"/>
          <w:numId w:val="56"/>
        </w:numPr>
      </w:pPr>
      <w:r w:rsidRPr="00225E50">
        <w:rPr>
          <w:b/>
        </w:rPr>
        <w:t>Traditional knowledge and indigenous skills</w:t>
      </w:r>
      <w:r>
        <w:br/>
      </w:r>
      <w:r w:rsidRPr="00DD2BA7">
        <w:t xml:space="preserve">It is proposed that the traditional knowledge and indigenous skills component of the register remains for at least another 3–5 years to enable the governing committee to determine the best approach to deal with this domain at a regional level. A better approach may be for the future Pacific model to provide a central point for sharing practice within and beyond the Pacific and, therefore, not directly be part of the register. </w:t>
      </w:r>
    </w:p>
    <w:p w14:paraId="6D88FB16" w14:textId="6D02B116" w:rsidR="00DA00FD" w:rsidRPr="00C06DE5" w:rsidRDefault="00DA00FD" w:rsidP="00456131">
      <w:pPr>
        <w:pStyle w:val="ListParagraph"/>
        <w:numPr>
          <w:ilvl w:val="0"/>
          <w:numId w:val="54"/>
        </w:numPr>
      </w:pPr>
      <w:r w:rsidRPr="002F727B">
        <w:rPr>
          <w:b/>
        </w:rPr>
        <w:t>Harmoni</w:t>
      </w:r>
      <w:r w:rsidR="00ED1337">
        <w:rPr>
          <w:b/>
        </w:rPr>
        <w:t>s</w:t>
      </w:r>
      <w:r w:rsidRPr="002F727B">
        <w:rPr>
          <w:b/>
        </w:rPr>
        <w:t>ation mechanisms and agreements</w:t>
      </w:r>
      <w:r w:rsidRPr="00C06DE5">
        <w:t xml:space="preserve"> that aim to build trust </w:t>
      </w:r>
      <w:r>
        <w:t xml:space="preserve">and </w:t>
      </w:r>
      <w:r w:rsidRPr="00C06DE5">
        <w:t xml:space="preserve">support recognition </w:t>
      </w:r>
    </w:p>
    <w:p w14:paraId="1DD63D7C" w14:textId="3A2682B4" w:rsidR="00344088" w:rsidRDefault="00DA00FD" w:rsidP="00456131">
      <w:pPr>
        <w:pStyle w:val="ListParagraph"/>
        <w:numPr>
          <w:ilvl w:val="0"/>
          <w:numId w:val="57"/>
        </w:numPr>
      </w:pPr>
      <w:r w:rsidRPr="007850C3">
        <w:rPr>
          <w:b/>
        </w:rPr>
        <w:t>Regionally agreed occupational standards/qualifications</w:t>
      </w:r>
      <w:r w:rsidRPr="00603A15">
        <w:br/>
      </w:r>
      <w:r w:rsidRPr="00DD2BA7">
        <w:t>This component form</w:t>
      </w:r>
      <w:r w:rsidR="00E11E11">
        <w:t>s</w:t>
      </w:r>
      <w:r w:rsidRPr="00DD2BA7">
        <w:t xml:space="preserve"> the basis of agreed occupational standards (and qualification outcomes) for identified occupations in the Pacific. These occupations standards will be developed </w:t>
      </w:r>
      <w:r w:rsidR="00CD54D8">
        <w:t xml:space="preserve">and agreed </w:t>
      </w:r>
      <w:r w:rsidR="00E11E11">
        <w:t xml:space="preserve">according to a </w:t>
      </w:r>
      <w:r w:rsidRPr="00DD2BA7">
        <w:t xml:space="preserve">protocol and will include an occupational standard and assessment standard (as per Australian </w:t>
      </w:r>
      <w:r w:rsidR="00992080">
        <w:t>training package</w:t>
      </w:r>
      <w:r w:rsidR="00992080" w:rsidRPr="00DD2BA7">
        <w:t xml:space="preserve"> </w:t>
      </w:r>
      <w:r w:rsidRPr="00DD2BA7">
        <w:t>competencies), a qualification standard (</w:t>
      </w:r>
      <w:r w:rsidR="00CD54D8">
        <w:t xml:space="preserve">completion rules, </w:t>
      </w:r>
      <w:r w:rsidR="00E11E11">
        <w:t>PQF</w:t>
      </w:r>
      <w:r w:rsidRPr="00DD2BA7">
        <w:t xml:space="preserve"> level and possibly a qualification title as per the PQF, and a training standard limited to credit point profile).</w:t>
      </w:r>
      <w:r w:rsidRPr="00DD2BA7">
        <w:rPr>
          <w:rStyle w:val="FootnoteReference"/>
        </w:rPr>
        <w:footnoteReference w:id="97"/>
      </w:r>
      <w:r w:rsidRPr="00DD2BA7">
        <w:rPr>
          <w:rStyle w:val="FootnoteReference"/>
        </w:rPr>
        <w:t xml:space="preserve"> </w:t>
      </w:r>
      <w:r w:rsidRPr="00DD2BA7">
        <w:t xml:space="preserve">Another option is that these occupational standards have the potential to be documented in a full program accreditation template for a qualification, but may require a slightly simpler template due to national variations in certain areas. </w:t>
      </w:r>
    </w:p>
    <w:p w14:paraId="3B157952" w14:textId="073E6452" w:rsidR="00DA00FD" w:rsidRPr="008A1FDF" w:rsidRDefault="00DA00FD" w:rsidP="00344088">
      <w:pPr>
        <w:spacing w:line="240" w:lineRule="auto"/>
        <w:ind w:left="720"/>
      </w:pPr>
      <w:r w:rsidRPr="008A1FDF">
        <w:t xml:space="preserve">An agreed template may be designed and agreed by member countries to enable competent </w:t>
      </w:r>
      <w:r w:rsidR="00E11E11">
        <w:t xml:space="preserve">QA </w:t>
      </w:r>
      <w:r w:rsidRPr="008A1FDF">
        <w:t xml:space="preserve">bodies to accredit the qualification. This </w:t>
      </w:r>
      <w:r w:rsidR="00344088">
        <w:t xml:space="preserve">aspect of the </w:t>
      </w:r>
      <w:r w:rsidRPr="008A1FDF">
        <w:t xml:space="preserve">model </w:t>
      </w:r>
      <w:r w:rsidR="00344088">
        <w:t>will</w:t>
      </w:r>
      <w:r w:rsidR="00344088" w:rsidRPr="008A1FDF">
        <w:t xml:space="preserve"> </w:t>
      </w:r>
      <w:r w:rsidRPr="008A1FDF">
        <w:t xml:space="preserve">focus on </w:t>
      </w:r>
      <w:r w:rsidR="00992080">
        <w:t>T</w:t>
      </w:r>
      <w:r w:rsidRPr="008A1FDF">
        <w:t xml:space="preserve">VET, but it does not preclude </w:t>
      </w:r>
      <w:r w:rsidR="00E11E11">
        <w:t xml:space="preserve">regional </w:t>
      </w:r>
      <w:r w:rsidRPr="008A1FDF">
        <w:t xml:space="preserve">occupational standards (and qualifications) to be developed in the </w:t>
      </w:r>
      <w:r w:rsidR="00992080" w:rsidRPr="008A1FDF">
        <w:t xml:space="preserve">Higher Education </w:t>
      </w:r>
      <w:r w:rsidRPr="008A1FDF">
        <w:t xml:space="preserve">sector. </w:t>
      </w:r>
    </w:p>
    <w:p w14:paraId="5BB3DD5B" w14:textId="03AEF935" w:rsidR="00E11E11" w:rsidRDefault="00DA00FD" w:rsidP="00BF09CC">
      <w:pPr>
        <w:spacing w:line="240" w:lineRule="auto"/>
        <w:ind w:left="720"/>
      </w:pPr>
      <w:r w:rsidRPr="007850C3">
        <w:t>Regionally agreed qualifications</w:t>
      </w:r>
      <w:r w:rsidRPr="008A1FDF">
        <w:t xml:space="preserve"> will be listed on the register </w:t>
      </w:r>
      <w:r w:rsidR="00DD257F">
        <w:t>but</w:t>
      </w:r>
      <w:r w:rsidR="00E11E11">
        <w:t xml:space="preserve"> </w:t>
      </w:r>
      <w:r w:rsidR="00DD257F">
        <w:t>will be</w:t>
      </w:r>
      <w:r w:rsidR="00DD257F" w:rsidRPr="008A1FDF">
        <w:t xml:space="preserve"> </w:t>
      </w:r>
      <w:r w:rsidRPr="008A1FDF">
        <w:t xml:space="preserve">accredited by the individual competent </w:t>
      </w:r>
      <w:r w:rsidR="00DD257F">
        <w:t xml:space="preserve">QA </w:t>
      </w:r>
      <w:r w:rsidRPr="008A1FDF">
        <w:t>bodies</w:t>
      </w:r>
      <w:r w:rsidR="00E11E11">
        <w:t xml:space="preserve"> at a national</w:t>
      </w:r>
      <w:r w:rsidRPr="008A1FDF">
        <w:t xml:space="preserve">. </w:t>
      </w:r>
      <w:r w:rsidR="00E11E11">
        <w:t>The register will identify that the</w:t>
      </w:r>
      <w:r w:rsidRPr="008A1FDF">
        <w:t xml:space="preserve"> </w:t>
      </w:r>
      <w:r w:rsidR="00E11E11">
        <w:t>occupational standards/</w:t>
      </w:r>
      <w:r w:rsidRPr="008A1FDF">
        <w:t xml:space="preserve">qualification </w:t>
      </w:r>
      <w:r w:rsidR="00E11E11">
        <w:t>have</w:t>
      </w:r>
      <w:r w:rsidRPr="008A1FDF">
        <w:t xml:space="preserve"> been regionally agreed. </w:t>
      </w:r>
    </w:p>
    <w:p w14:paraId="61CE2DCF" w14:textId="3F60CF09" w:rsidR="00E457FF" w:rsidRDefault="00E457FF" w:rsidP="00BF09CC">
      <w:pPr>
        <w:spacing w:line="240" w:lineRule="auto"/>
        <w:ind w:left="720"/>
      </w:pPr>
      <w:r>
        <w:t xml:space="preserve">Full details of the qualifications (including the occupational standards, assessment standards, qualification completion rules and PQF level) will be included in addition to the register listing. </w:t>
      </w:r>
    </w:p>
    <w:p w14:paraId="41DC2238" w14:textId="00F28EC6" w:rsidR="00DA00FD" w:rsidRPr="008A1FDF" w:rsidRDefault="00DD257F" w:rsidP="00BF09CC">
      <w:pPr>
        <w:spacing w:line="240" w:lineRule="auto"/>
        <w:ind w:left="720"/>
      </w:pPr>
      <w:r>
        <w:t xml:space="preserve">Pacific Nations may also agree to include a notation on the certification issued to indicate alignment to the regional qualification. </w:t>
      </w:r>
      <w:r w:rsidR="00E11E11">
        <w:t>Alternatively,</w:t>
      </w:r>
      <w:r>
        <w:t xml:space="preserve"> they could utilise the Pacific Diploma Supplement model to include this information. </w:t>
      </w:r>
    </w:p>
    <w:p w14:paraId="3519999B" w14:textId="4D7C845D" w:rsidR="00DA00FD" w:rsidRPr="00DD2BA7" w:rsidRDefault="00DA00FD" w:rsidP="00456131">
      <w:pPr>
        <w:pStyle w:val="ListParagraph"/>
        <w:numPr>
          <w:ilvl w:val="0"/>
          <w:numId w:val="57"/>
        </w:numPr>
      </w:pPr>
      <w:r w:rsidRPr="00DD2BA7">
        <w:t>An agreed</w:t>
      </w:r>
      <w:r w:rsidRPr="00DD2BA7">
        <w:rPr>
          <w:b/>
        </w:rPr>
        <w:t xml:space="preserve"> Pacific Diploma Supplement model </w:t>
      </w:r>
      <w:r w:rsidRPr="00DD2BA7">
        <w:t>is in development but needs reconsideration.</w:t>
      </w:r>
      <w:r w:rsidRPr="00DD2BA7">
        <w:rPr>
          <w:b/>
        </w:rPr>
        <w:t xml:space="preserve"> </w:t>
      </w:r>
      <w:r w:rsidRPr="00DD2BA7">
        <w:t>This model should consider a name that is more meaningful to the region</w:t>
      </w:r>
      <w:r w:rsidRPr="00DD2BA7">
        <w:rPr>
          <w:rStyle w:val="FootnoteReference"/>
        </w:rPr>
        <w:footnoteReference w:id="98"/>
      </w:r>
      <w:r w:rsidRPr="00DD2BA7">
        <w:t xml:space="preserve"> and some clear guidance on data retention. The fields that should contain agreed common text should outline the GPQF including the PQF and the PQAF</w:t>
      </w:r>
      <w:r w:rsidR="00344088" w:rsidRPr="00DD2BA7">
        <w:t>, and the register</w:t>
      </w:r>
      <w:r w:rsidRPr="00DD2BA7">
        <w:t xml:space="preserve">. This approach will promote </w:t>
      </w:r>
      <w:r w:rsidR="004F1A08" w:rsidRPr="00DD2BA7">
        <w:t xml:space="preserve">internationally </w:t>
      </w:r>
      <w:r w:rsidRPr="00DD2BA7">
        <w:t>the quality assurance of qualifications in the Pacific. Only countries that have met initial recognition requirements and continue to meet their obligations as members of the GPQF can utilise the regional information on the Pacific Diploma Supplement.</w:t>
      </w:r>
    </w:p>
    <w:p w14:paraId="3226B24A" w14:textId="77777777" w:rsidR="00DA00FD" w:rsidRPr="00DD2BA7" w:rsidRDefault="00DA00FD" w:rsidP="00456131">
      <w:pPr>
        <w:pStyle w:val="ListParagraph"/>
        <w:numPr>
          <w:ilvl w:val="0"/>
          <w:numId w:val="57"/>
        </w:numPr>
      </w:pPr>
      <w:r w:rsidRPr="00DD2BA7">
        <w:t xml:space="preserve">To support a common understanding of critical issues, obligations of members, and transparency of processes for the Pacific members, </w:t>
      </w:r>
      <w:r w:rsidRPr="00DD2BA7">
        <w:rPr>
          <w:b/>
        </w:rPr>
        <w:t>concept notes, guidelines</w:t>
      </w:r>
      <w:r w:rsidRPr="00DD2BA7">
        <w:t xml:space="preserve"> </w:t>
      </w:r>
      <w:r w:rsidRPr="00DD2BA7">
        <w:rPr>
          <w:b/>
        </w:rPr>
        <w:t>and protocols</w:t>
      </w:r>
      <w:r w:rsidRPr="00DD2BA7">
        <w:t xml:space="preserve"> should be developed and approved by the governing committee. These documents shall be available in the public domain. It is proposed that the following concept notes and guidelines will need to be developed:</w:t>
      </w:r>
    </w:p>
    <w:p w14:paraId="235E5F76" w14:textId="77777777" w:rsidR="00DD257F" w:rsidRDefault="00DD257F">
      <w:pPr>
        <w:spacing w:before="0" w:after="200" w:line="276" w:lineRule="auto"/>
      </w:pPr>
      <w:r>
        <w:lastRenderedPageBreak/>
        <w:br w:type="page"/>
      </w:r>
    </w:p>
    <w:p w14:paraId="119298B4" w14:textId="0CFB6500" w:rsidR="00DA00FD" w:rsidRPr="0003268E" w:rsidRDefault="00DA00FD" w:rsidP="00BF09CC">
      <w:pPr>
        <w:spacing w:line="240" w:lineRule="auto"/>
        <w:ind w:left="720"/>
      </w:pPr>
      <w:r w:rsidRPr="0003268E">
        <w:lastRenderedPageBreak/>
        <w:t>Concept notes:</w:t>
      </w:r>
    </w:p>
    <w:p w14:paraId="3FF8E05F" w14:textId="77777777" w:rsidR="00DA00FD" w:rsidRPr="00DD2BA7" w:rsidRDefault="00DA00FD" w:rsidP="00456131">
      <w:pPr>
        <w:pStyle w:val="ListParagraph"/>
        <w:numPr>
          <w:ilvl w:val="2"/>
          <w:numId w:val="55"/>
        </w:numPr>
      </w:pPr>
      <w:r w:rsidRPr="00DD2BA7">
        <w:t xml:space="preserve">Learning outcomes </w:t>
      </w:r>
    </w:p>
    <w:p w14:paraId="49C47214" w14:textId="77777777" w:rsidR="00DA00FD" w:rsidRPr="00DD2BA7" w:rsidRDefault="00DA00FD" w:rsidP="00456131">
      <w:pPr>
        <w:pStyle w:val="ListParagraph"/>
        <w:numPr>
          <w:ilvl w:val="2"/>
          <w:numId w:val="55"/>
        </w:numPr>
      </w:pPr>
      <w:r w:rsidRPr="00DD2BA7">
        <w:t xml:space="preserve">Graduate outcomes </w:t>
      </w:r>
    </w:p>
    <w:p w14:paraId="105953BE" w14:textId="77777777" w:rsidR="00DA00FD" w:rsidRPr="00DD2BA7" w:rsidRDefault="00DA00FD" w:rsidP="00456131">
      <w:pPr>
        <w:pStyle w:val="ListParagraph"/>
        <w:numPr>
          <w:ilvl w:val="2"/>
          <w:numId w:val="55"/>
        </w:numPr>
      </w:pPr>
      <w:r w:rsidRPr="00DD2BA7">
        <w:t>Recognition of non-formal and informal learning</w:t>
      </w:r>
    </w:p>
    <w:p w14:paraId="4DEE57C5" w14:textId="77777777" w:rsidR="00DA00FD" w:rsidRPr="00DD2BA7" w:rsidRDefault="00DA00FD" w:rsidP="00456131">
      <w:pPr>
        <w:pStyle w:val="ListParagraph"/>
        <w:numPr>
          <w:ilvl w:val="2"/>
          <w:numId w:val="55"/>
        </w:numPr>
      </w:pPr>
      <w:r w:rsidRPr="00DD2BA7">
        <w:t>Traditional knowledge and indigenous skills</w:t>
      </w:r>
    </w:p>
    <w:p w14:paraId="3600E6B2" w14:textId="27AB6FD6" w:rsidR="003D3CF0" w:rsidRPr="003D3CF0" w:rsidRDefault="003D3CF0" w:rsidP="00BF09CC">
      <w:pPr>
        <w:spacing w:line="240" w:lineRule="auto"/>
        <w:ind w:left="720"/>
      </w:pPr>
      <w:r w:rsidRPr="003D3CF0">
        <w:t xml:space="preserve">Guidelines </w:t>
      </w:r>
      <w:r w:rsidR="00B06F41">
        <w:t>or</w:t>
      </w:r>
      <w:r w:rsidRPr="003D3CF0">
        <w:t xml:space="preserve"> protocols:</w:t>
      </w:r>
    </w:p>
    <w:p w14:paraId="4BA9FFCD" w14:textId="5B9F000C" w:rsidR="00DA00FD" w:rsidRPr="0003268E" w:rsidRDefault="00DA00FD" w:rsidP="00456131">
      <w:pPr>
        <w:pStyle w:val="ListParagraph"/>
        <w:numPr>
          <w:ilvl w:val="0"/>
          <w:numId w:val="53"/>
        </w:numPr>
      </w:pPr>
      <w:r w:rsidRPr="003D3CF0">
        <w:t>Referencing guidelines</w:t>
      </w:r>
    </w:p>
    <w:p w14:paraId="53C73024" w14:textId="77777777" w:rsidR="00DA00FD" w:rsidRPr="00DD2BA7" w:rsidRDefault="00DA00FD" w:rsidP="00456131">
      <w:pPr>
        <w:pStyle w:val="ListParagraph"/>
        <w:numPr>
          <w:ilvl w:val="0"/>
          <w:numId w:val="53"/>
        </w:numPr>
      </w:pPr>
      <w:r w:rsidRPr="00DD2BA7">
        <w:t>Protocols for developing and maintaining regional occupational standards and/or regional qualifications</w:t>
      </w:r>
    </w:p>
    <w:p w14:paraId="1B8EB8A9" w14:textId="77777777" w:rsidR="00DA00FD" w:rsidRPr="00DD2BA7" w:rsidRDefault="00DA00FD" w:rsidP="00456131">
      <w:pPr>
        <w:pStyle w:val="ListParagraph"/>
        <w:numPr>
          <w:ilvl w:val="0"/>
          <w:numId w:val="53"/>
        </w:numPr>
      </w:pPr>
      <w:r w:rsidRPr="00DD2BA7">
        <w:t>Protocols for entry onto the Pacific Register</w:t>
      </w:r>
    </w:p>
    <w:p w14:paraId="4D4EEE3B" w14:textId="77777777" w:rsidR="00DA00FD" w:rsidRPr="00DD2BA7" w:rsidRDefault="00DA00FD" w:rsidP="00456131">
      <w:pPr>
        <w:pStyle w:val="ListParagraph"/>
        <w:numPr>
          <w:ilvl w:val="0"/>
          <w:numId w:val="53"/>
        </w:numPr>
      </w:pPr>
      <w:r w:rsidRPr="00DD2BA7">
        <w:t>Pacific Diploma Supplement model and guidelines</w:t>
      </w:r>
    </w:p>
    <w:p w14:paraId="6816282B" w14:textId="77777777" w:rsidR="00DA00FD" w:rsidRPr="00DD2BA7" w:rsidRDefault="00DA00FD" w:rsidP="00456131">
      <w:pPr>
        <w:pStyle w:val="ListParagraph"/>
        <w:numPr>
          <w:ilvl w:val="0"/>
          <w:numId w:val="53"/>
        </w:numPr>
      </w:pPr>
      <w:r w:rsidRPr="00DD2BA7">
        <w:t>Recognition of qualifications guidelines</w:t>
      </w:r>
    </w:p>
    <w:p w14:paraId="350FF88D" w14:textId="77777777" w:rsidR="00DA00FD" w:rsidRPr="00DD2BA7" w:rsidRDefault="00DA00FD" w:rsidP="00456131">
      <w:pPr>
        <w:pStyle w:val="ListParagraph"/>
        <w:numPr>
          <w:ilvl w:val="0"/>
          <w:numId w:val="53"/>
        </w:numPr>
      </w:pPr>
      <w:r w:rsidRPr="00DD2BA7">
        <w:t>Mutual recognition of agency decisions guidelines</w:t>
      </w:r>
    </w:p>
    <w:p w14:paraId="40BF0786" w14:textId="77777777" w:rsidR="00DA00FD" w:rsidRPr="00DD2BA7" w:rsidRDefault="00DA00FD" w:rsidP="00456131">
      <w:pPr>
        <w:pStyle w:val="ListParagraph"/>
        <w:numPr>
          <w:ilvl w:val="0"/>
          <w:numId w:val="53"/>
        </w:numPr>
      </w:pPr>
      <w:r w:rsidRPr="00DD2BA7">
        <w:t>Mutual recognition of qualifications guidelines</w:t>
      </w:r>
    </w:p>
    <w:p w14:paraId="7B907266" w14:textId="76EE348A" w:rsidR="00DA00FD" w:rsidRPr="00DD2BA7" w:rsidRDefault="00DA00FD" w:rsidP="00456131">
      <w:pPr>
        <w:pStyle w:val="ListParagraph"/>
        <w:numPr>
          <w:ilvl w:val="0"/>
          <w:numId w:val="53"/>
        </w:numPr>
      </w:pPr>
      <w:r w:rsidRPr="00DD2BA7">
        <w:t>Internal and external evaluation, and continuous improvement guidelines.</w:t>
      </w:r>
      <w:r w:rsidRPr="00DD2BA7">
        <w:rPr>
          <w:rStyle w:val="FootnoteReference"/>
        </w:rPr>
        <w:footnoteReference w:id="99"/>
      </w:r>
    </w:p>
    <w:p w14:paraId="6F81A146" w14:textId="77777777" w:rsidR="00DA00FD" w:rsidRPr="0003268E" w:rsidRDefault="00DA00FD" w:rsidP="00456131">
      <w:pPr>
        <w:pStyle w:val="ListParagraph"/>
        <w:numPr>
          <w:ilvl w:val="0"/>
          <w:numId w:val="57"/>
        </w:numPr>
      </w:pPr>
      <w:r w:rsidRPr="002F727B">
        <w:rPr>
          <w:b/>
        </w:rPr>
        <w:t xml:space="preserve">Referencing </w:t>
      </w:r>
      <w:r>
        <w:br/>
      </w:r>
      <w:r w:rsidRPr="00DD2BA7">
        <w:t xml:space="preserve">A full and robust referencing process shall be introduced into the future model. Recognised competent bodies shall be obligated to undertake a referencing process as soon as possible. This referencing process shall be similar in format to the European Qualifications Framework and ASEAN Qualifications Reference Framework, but should be fit-for-purpose, given the size and scope of the qualifications systems and desired level of engagement by relevant stakeholders. </w:t>
      </w:r>
      <w:r w:rsidRPr="00DD2BA7">
        <w:br/>
        <w:t xml:space="preserve">It shall be driven by the participating member and include a national referencing panel which will comprise stakeholders (including industry) representation, one international expert in qualifications frameworks/referencing and one Pacific member representative.  Referencing panel membership, roles and responsibilities will be outlined in the referencing guidelines. </w:t>
      </w:r>
    </w:p>
    <w:p w14:paraId="5B14DBC3" w14:textId="77777777" w:rsidR="00DA00FD" w:rsidRPr="0003268E" w:rsidRDefault="00DA00FD" w:rsidP="00BF09CC">
      <w:pPr>
        <w:spacing w:line="240" w:lineRule="auto"/>
        <w:ind w:left="720"/>
      </w:pPr>
      <w:r w:rsidRPr="0003268E">
        <w:t xml:space="preserve">The referencing process will include the country benchmarking their qualifications system to the GPQF and quality assurance arrangements specifically to the PQAF. It will include peer review by members of the governing committee and finalisation of an agreed national report that will be made public on the GPQF website. </w:t>
      </w:r>
    </w:p>
    <w:p w14:paraId="4A3F9FE1" w14:textId="77777777" w:rsidR="00DA00FD" w:rsidRPr="0003268E" w:rsidRDefault="00DA00FD" w:rsidP="00BF09CC">
      <w:pPr>
        <w:spacing w:line="240" w:lineRule="auto"/>
        <w:ind w:left="720"/>
        <w:rPr>
          <w:rFonts w:asciiTheme="majorHAnsi" w:hAnsiTheme="majorHAnsi" w:cs="Gill Sans MT"/>
          <w:color w:val="000000"/>
          <w:sz w:val="22"/>
          <w:szCs w:val="22"/>
          <w:lang w:val="en-US"/>
        </w:rPr>
      </w:pPr>
      <w:r w:rsidRPr="00DA3CE8">
        <w:rPr>
          <w:rFonts w:eastAsia="Calibri" w:cs="Times New Roman"/>
        </w:rPr>
        <w:t>Guidelines will need to be developed to include criteria for referencing, and guidance to support member countries and territories. It is suggested that criteria will outline how the referencing process will be conducted, and obligations of the member countries and territories</w:t>
      </w:r>
      <w:r w:rsidRPr="0003268E">
        <w:rPr>
          <w:rFonts w:asciiTheme="majorHAnsi" w:hAnsiTheme="majorHAnsi" w:cs="Gill Sans MT"/>
          <w:color w:val="000000"/>
          <w:sz w:val="22"/>
          <w:szCs w:val="22"/>
          <w:lang w:val="en-US"/>
        </w:rPr>
        <w:t>.</w:t>
      </w:r>
      <w:r>
        <w:rPr>
          <w:rStyle w:val="FootnoteReference"/>
          <w:rFonts w:asciiTheme="majorHAnsi" w:hAnsiTheme="majorHAnsi" w:cs="Gill Sans MT"/>
          <w:color w:val="000000"/>
          <w:sz w:val="22"/>
          <w:szCs w:val="22"/>
          <w:lang w:val="en-US"/>
        </w:rPr>
        <w:footnoteReference w:id="100"/>
      </w:r>
      <w:r>
        <w:rPr>
          <w:rFonts w:asciiTheme="majorHAnsi" w:hAnsiTheme="majorHAnsi" w:cs="Gill Sans MT"/>
          <w:color w:val="000000"/>
          <w:sz w:val="22"/>
          <w:szCs w:val="22"/>
          <w:lang w:val="en-US"/>
        </w:rPr>
        <w:t xml:space="preserve"> </w:t>
      </w:r>
      <w:r w:rsidRPr="00DA3CE8">
        <w:rPr>
          <w:rFonts w:eastAsia="Calibri" w:cs="Times New Roman"/>
        </w:rPr>
        <w:t xml:space="preserve">Referencing reports will be placed on the website. </w:t>
      </w:r>
    </w:p>
    <w:p w14:paraId="05E564FE" w14:textId="5BAAD928" w:rsidR="00DA00FD" w:rsidRPr="0003268E" w:rsidRDefault="00456131" w:rsidP="00456131">
      <w:pPr>
        <w:pStyle w:val="ListParagraph"/>
        <w:numPr>
          <w:ilvl w:val="0"/>
          <w:numId w:val="57"/>
        </w:numPr>
      </w:pPr>
      <w:r>
        <w:rPr>
          <w:b/>
        </w:rPr>
        <w:t>Recognition of qualifications</w:t>
      </w:r>
      <w:r w:rsidR="00DA00FD" w:rsidRPr="002F727B">
        <w:rPr>
          <w:b/>
        </w:rPr>
        <w:br/>
      </w:r>
      <w:r w:rsidR="00DA00FD" w:rsidRPr="00DD2BA7">
        <w:t>Recognition services against the PQF</w:t>
      </w:r>
      <w:r w:rsidR="00DA00FD" w:rsidRPr="00DD2BA7">
        <w:rPr>
          <w:b/>
        </w:rPr>
        <w:t xml:space="preserve"> </w:t>
      </w:r>
      <w:r w:rsidR="00DA00FD" w:rsidRPr="00DD2BA7">
        <w:t>could be a key service of the Secretariat.</w:t>
      </w:r>
      <w:r w:rsidR="00DA00FD" w:rsidRPr="00DD2BA7">
        <w:rPr>
          <w:b/>
        </w:rPr>
        <w:t xml:space="preserve"> </w:t>
      </w:r>
      <w:r w:rsidR="00DA00FD" w:rsidRPr="00DD2BA7">
        <w:t xml:space="preserve">As the GPQF gains more traction it is anticipated that the role of the Secretariat (on behalf of the governing body) </w:t>
      </w:r>
      <w:r w:rsidR="00B14641">
        <w:t>could</w:t>
      </w:r>
      <w:r w:rsidR="00DA00FD" w:rsidRPr="00DD2BA7">
        <w:t xml:space="preserve"> undertake assessments of foreign qualifications and comparability to the PQF. This role is the only function that is not directly facilitating regional processes and will require database development. </w:t>
      </w:r>
    </w:p>
    <w:p w14:paraId="4C60071D" w14:textId="39DD5FFE" w:rsidR="00DA00FD" w:rsidRPr="00B15A7C" w:rsidRDefault="00DA00FD" w:rsidP="00BF09CC">
      <w:pPr>
        <w:spacing w:line="240" w:lineRule="auto"/>
        <w:ind w:left="720"/>
      </w:pPr>
      <w:r w:rsidRPr="0003268E">
        <w:t xml:space="preserve">In addition, the Secretariat (on behalf of the governing body) could establish a central </w:t>
      </w:r>
      <w:r>
        <w:t>r</w:t>
      </w:r>
      <w:r w:rsidRPr="0003268E">
        <w:t xml:space="preserve">epository and information centre </w:t>
      </w:r>
      <w:r>
        <w:t>details pertaining to</w:t>
      </w:r>
      <w:r w:rsidRPr="0003268E">
        <w:t xml:space="preserve"> international qualifications system and provide </w:t>
      </w:r>
      <w:r>
        <w:t xml:space="preserve">a </w:t>
      </w:r>
      <w:r>
        <w:lastRenderedPageBreak/>
        <w:t>service</w:t>
      </w:r>
      <w:r w:rsidRPr="0003268E">
        <w:t xml:space="preserve"> to competent bodies on recognition of foreign qualifications. This </w:t>
      </w:r>
      <w:r w:rsidR="00B14641">
        <w:t>then w</w:t>
      </w:r>
      <w:r w:rsidRPr="0003268E">
        <w:t xml:space="preserve">ould be a service that Pacific island competent bodies </w:t>
      </w:r>
      <w:r w:rsidRPr="00816EBE">
        <w:t xml:space="preserve">do not need to replicate. This facility could link with those in Australia and New Zealand. </w:t>
      </w:r>
    </w:p>
    <w:p w14:paraId="1AFDCF23" w14:textId="39497FC4" w:rsidR="00DA00FD" w:rsidRPr="0003268E" w:rsidRDefault="00DA00FD" w:rsidP="00BF09CC">
      <w:pPr>
        <w:spacing w:line="240" w:lineRule="auto"/>
        <w:ind w:left="720"/>
      </w:pPr>
      <w:r w:rsidRPr="00816EBE">
        <w:t>Careful consideration should be given of both these services, as they both require database support and significant research input.</w:t>
      </w:r>
      <w:r>
        <w:t xml:space="preserve"> </w:t>
      </w:r>
    </w:p>
    <w:p w14:paraId="16001EE6" w14:textId="77777777" w:rsidR="00DA00FD" w:rsidRPr="0003268E" w:rsidRDefault="00DA00FD" w:rsidP="00BF09CC">
      <w:pPr>
        <w:spacing w:line="240" w:lineRule="auto"/>
        <w:ind w:left="720"/>
      </w:pPr>
      <w:r w:rsidRPr="0003268E">
        <w:t xml:space="preserve">The </w:t>
      </w:r>
      <w:r>
        <w:t>GPQF</w:t>
      </w:r>
      <w:r w:rsidRPr="0003268E">
        <w:t xml:space="preserve"> website should </w:t>
      </w:r>
      <w:r>
        <w:t xml:space="preserve">also </w:t>
      </w:r>
      <w:r w:rsidRPr="0003268E">
        <w:t xml:space="preserve">include summaries of qualifications systems of member countries that are publicly accessible to raise the profile of Pacific qualifications and systems. The aim is to facilitate transparency of qualifications systems and support any </w:t>
      </w:r>
      <w:r>
        <w:t xml:space="preserve">benchmarking or </w:t>
      </w:r>
      <w:r w:rsidRPr="0003268E">
        <w:t>recognition of Pacific qualifications internationally.</w:t>
      </w:r>
    </w:p>
    <w:p w14:paraId="1DAE2557" w14:textId="77777777" w:rsidR="00DA00FD" w:rsidRPr="00816EBE" w:rsidRDefault="00DA00FD" w:rsidP="00C35EB4">
      <w:pPr>
        <w:pStyle w:val="PacHead3"/>
      </w:pPr>
      <w:r w:rsidRPr="00816EBE">
        <w:t>Quality assurance of competent bodies</w:t>
      </w:r>
    </w:p>
    <w:p w14:paraId="3CDB2E88" w14:textId="78BB6450" w:rsidR="00DA00FD" w:rsidRPr="00816EBE" w:rsidRDefault="00DA00FD" w:rsidP="00344088">
      <w:pPr>
        <w:spacing w:line="240" w:lineRule="auto"/>
      </w:pPr>
      <w:r w:rsidRPr="00816EBE">
        <w:t xml:space="preserve">Competent </w:t>
      </w:r>
      <w:r w:rsidR="00C822A0">
        <w:t xml:space="preserve">QA </w:t>
      </w:r>
      <w:r w:rsidRPr="00816EBE">
        <w:t xml:space="preserve">body inclusion on the register has always been predicated on a quality assurance process, and that inclusion confers some form of recognition of quality. To further enhance trust and support mutual recognition strategies it is proposed that the model should strengthen initial recognition process and internal review, as well as external review. </w:t>
      </w:r>
    </w:p>
    <w:p w14:paraId="3F94EC86" w14:textId="77777777" w:rsidR="00DA00FD" w:rsidRPr="00442594" w:rsidRDefault="00DA00FD" w:rsidP="00DA00FD">
      <w:pPr>
        <w:spacing w:line="276" w:lineRule="auto"/>
        <w:rPr>
          <w:b/>
        </w:rPr>
      </w:pPr>
      <w:r w:rsidRPr="00B15A7C">
        <w:rPr>
          <w:b/>
        </w:rPr>
        <w:t>Initial recognition</w:t>
      </w:r>
    </w:p>
    <w:p w14:paraId="4F42B7B5" w14:textId="7C674383" w:rsidR="00DA00FD" w:rsidRDefault="00DA00FD" w:rsidP="00730F5E">
      <w:pPr>
        <w:spacing w:line="240" w:lineRule="auto"/>
      </w:pPr>
      <w:r>
        <w:t xml:space="preserve">To be a recognised competent </w:t>
      </w:r>
      <w:r w:rsidR="00C822A0">
        <w:t xml:space="preserve">QA </w:t>
      </w:r>
      <w:r>
        <w:t>body, the body needs to apply to the governing committee for inclusion. It is proposed that the competent body will undertake a:</w:t>
      </w:r>
    </w:p>
    <w:p w14:paraId="4D8E6B3A" w14:textId="77777777" w:rsidR="00DA00FD" w:rsidRPr="005715AB" w:rsidRDefault="00DA00FD" w:rsidP="00456131">
      <w:pPr>
        <w:pStyle w:val="ListParagraph"/>
        <w:numPr>
          <w:ilvl w:val="0"/>
          <w:numId w:val="63"/>
        </w:numPr>
      </w:pPr>
      <w:r w:rsidRPr="00785F15">
        <w:t>Levelling exercise of the NQF against the P</w:t>
      </w:r>
      <w:r w:rsidRPr="005715AB">
        <w:t>QF</w:t>
      </w:r>
    </w:p>
    <w:p w14:paraId="6BB46D0E" w14:textId="77777777" w:rsidR="00DA00FD" w:rsidRPr="005715AB" w:rsidRDefault="00DA00FD" w:rsidP="00456131">
      <w:pPr>
        <w:pStyle w:val="ListParagraph"/>
        <w:numPr>
          <w:ilvl w:val="0"/>
          <w:numId w:val="63"/>
        </w:numPr>
      </w:pPr>
      <w:r w:rsidRPr="005715AB">
        <w:t>Evaluation of the national quality assurance arrangements against the PQAF</w:t>
      </w:r>
    </w:p>
    <w:p w14:paraId="03C89BE4" w14:textId="77777777" w:rsidR="00DA00FD" w:rsidRPr="0089170C" w:rsidRDefault="00DA00FD" w:rsidP="00456131">
      <w:pPr>
        <w:pStyle w:val="ListParagraph"/>
        <w:numPr>
          <w:ilvl w:val="0"/>
          <w:numId w:val="63"/>
        </w:numPr>
      </w:pPr>
      <w:r w:rsidRPr="0089170C">
        <w:t xml:space="preserve">Evaluation of level of implementation across the qualifications system. </w:t>
      </w:r>
    </w:p>
    <w:p w14:paraId="42111939" w14:textId="77777777" w:rsidR="00DA00FD" w:rsidRDefault="00DA00FD" w:rsidP="00730F5E">
      <w:pPr>
        <w:spacing w:line="240" w:lineRule="auto"/>
      </w:pPr>
      <w:r>
        <w:t xml:space="preserve">This self-assessment needs to include a representative of another competent body and an international person experienced in the field of quality assurance. The report shall be submitted to the governing committee for comment, discussion/queries/clarification and subsequent acceptance. </w:t>
      </w:r>
    </w:p>
    <w:p w14:paraId="174E17C9" w14:textId="77777777" w:rsidR="00DA00FD" w:rsidRPr="00442594" w:rsidRDefault="00DA00FD" w:rsidP="00DA00FD">
      <w:pPr>
        <w:spacing w:line="276" w:lineRule="auto"/>
        <w:rPr>
          <w:b/>
        </w:rPr>
      </w:pPr>
      <w:r w:rsidRPr="00442594">
        <w:rPr>
          <w:b/>
        </w:rPr>
        <w:t>Internal and external review</w:t>
      </w:r>
    </w:p>
    <w:p w14:paraId="29F3367D" w14:textId="2AFD5CED" w:rsidR="00DA00FD" w:rsidRDefault="00DA00FD" w:rsidP="00730F5E">
      <w:pPr>
        <w:spacing w:line="240" w:lineRule="auto"/>
      </w:pPr>
      <w:r>
        <w:t xml:space="preserve">The PQAF currently includes the requirement for competent </w:t>
      </w:r>
      <w:r w:rsidR="00C822A0">
        <w:t xml:space="preserve">QA </w:t>
      </w:r>
      <w:r>
        <w:t>bodies to undertake their own internal review and continuous improvement</w:t>
      </w:r>
      <w:r w:rsidR="00D925AA">
        <w:t>. C</w:t>
      </w:r>
      <w:r>
        <w:t xml:space="preserve">ompetent </w:t>
      </w:r>
      <w:r w:rsidR="00C822A0">
        <w:t xml:space="preserve">QA </w:t>
      </w:r>
      <w:r>
        <w:t xml:space="preserve">bodies </w:t>
      </w:r>
      <w:r w:rsidR="00D925AA">
        <w:t xml:space="preserve">will </w:t>
      </w:r>
      <w:r>
        <w:t>need to adhere to</w:t>
      </w:r>
      <w:r w:rsidR="00D925AA">
        <w:t xml:space="preserve"> this obligation</w:t>
      </w:r>
      <w:r>
        <w:t xml:space="preserve">. </w:t>
      </w:r>
    </w:p>
    <w:p w14:paraId="727E2349" w14:textId="2C903795" w:rsidR="00DA00FD" w:rsidRDefault="00293694" w:rsidP="00730F5E">
      <w:pPr>
        <w:spacing w:line="240" w:lineRule="auto"/>
      </w:pPr>
      <w:r>
        <w:t>All</w:t>
      </w:r>
      <w:r w:rsidR="00DA00FD">
        <w:t xml:space="preserve"> competent </w:t>
      </w:r>
      <w:r w:rsidR="00C822A0">
        <w:t xml:space="preserve">QA </w:t>
      </w:r>
      <w:r w:rsidR="00DA00FD">
        <w:t xml:space="preserve">bodies </w:t>
      </w:r>
      <w:r>
        <w:t xml:space="preserve">will be required </w:t>
      </w:r>
      <w:r w:rsidR="00DA00FD">
        <w:t>to undertake an external review of their compliance with the PQAF. This external review</w:t>
      </w:r>
      <w:r>
        <w:t>,</w:t>
      </w:r>
      <w:r w:rsidR="00DA00FD">
        <w:t xml:space="preserve"> commissioned by the competent </w:t>
      </w:r>
      <w:r w:rsidR="00C822A0">
        <w:t xml:space="preserve">QA </w:t>
      </w:r>
      <w:r w:rsidR="00DA00FD">
        <w:t xml:space="preserve">body, </w:t>
      </w:r>
      <w:r>
        <w:t>moves the responsibility from the Secretariat undertaking the review but still require the competent QA body to have an external review. The review panel will include</w:t>
      </w:r>
      <w:r w:rsidR="00DA00FD">
        <w:t xml:space="preserve"> at least one independent quality assurance expert and one representative from another Pacific competent </w:t>
      </w:r>
      <w:r w:rsidR="00C822A0">
        <w:t xml:space="preserve">QA </w:t>
      </w:r>
      <w:r>
        <w:t xml:space="preserve">body. </w:t>
      </w:r>
      <w:r w:rsidR="00DA00FD">
        <w:t xml:space="preserve">The inclusion of </w:t>
      </w:r>
      <w:r>
        <w:t>an</w:t>
      </w:r>
      <w:r w:rsidR="00DA00FD">
        <w:t xml:space="preserve"> independent quality assurance expert will promote the independence and externality of the review; the inclusion of one Pacific competent </w:t>
      </w:r>
      <w:r w:rsidR="00C822A0">
        <w:t xml:space="preserve">QA </w:t>
      </w:r>
      <w:r w:rsidR="00DA00FD">
        <w:t xml:space="preserve">body representative aims to promote confidence and sharing of good practice within the Pacific. </w:t>
      </w:r>
    </w:p>
    <w:p w14:paraId="6C1CAB77" w14:textId="77777777" w:rsidR="00DA00FD" w:rsidRDefault="00DA00FD" w:rsidP="00730F5E">
      <w:pPr>
        <w:spacing w:line="240" w:lineRule="auto"/>
      </w:pPr>
      <w:r>
        <w:t xml:space="preserve">The external review shall be required to be undertaken every five years and the responsibility for managing a schedule of reviews and ensuring obligations are met will be the role of the governing committee supported by the Secretariat. </w:t>
      </w:r>
    </w:p>
    <w:p w14:paraId="22EAEF7D" w14:textId="3BAA9C28" w:rsidR="00DA00FD" w:rsidRPr="00AF0F20" w:rsidRDefault="00DA00FD" w:rsidP="00730F5E">
      <w:pPr>
        <w:spacing w:line="240" w:lineRule="auto"/>
      </w:pPr>
      <w:r>
        <w:t xml:space="preserve">The report shall be submitted to the governing committee for comment, discussion/queries/clarification and subsequent acceptance. This report shall be made available to all members and </w:t>
      </w:r>
      <w:r w:rsidR="00C822A0">
        <w:t xml:space="preserve">be </w:t>
      </w:r>
      <w:r>
        <w:t xml:space="preserve">public on the competent </w:t>
      </w:r>
      <w:r w:rsidR="00C822A0">
        <w:t xml:space="preserve">QA </w:t>
      </w:r>
      <w:r>
        <w:t>bod</w:t>
      </w:r>
      <w:r w:rsidR="00C822A0">
        <w:t>y</w:t>
      </w:r>
      <w:r>
        <w:t>’</w:t>
      </w:r>
      <w:r w:rsidR="00C822A0">
        <w:t>s</w:t>
      </w:r>
      <w:r>
        <w:t xml:space="preserve"> website, and potentially on the GPQF website. The competent </w:t>
      </w:r>
      <w:r w:rsidR="00C822A0">
        <w:t xml:space="preserve">QA </w:t>
      </w:r>
      <w:r>
        <w:t xml:space="preserve">body can supplement this report with an action plan to </w:t>
      </w:r>
      <w:r w:rsidR="00293694">
        <w:t xml:space="preserve">describe </w:t>
      </w:r>
      <w:r>
        <w:t xml:space="preserve">how any issues and/or suggestions identified will be addressed. </w:t>
      </w:r>
      <w:r w:rsidR="004F1A08">
        <w:t>The governing committee will undertake monitoring of the</w:t>
      </w:r>
      <w:r w:rsidR="00293694">
        <w:t>se</w:t>
      </w:r>
      <w:r w:rsidR="004F1A08">
        <w:t xml:space="preserve"> action plan</w:t>
      </w:r>
      <w:r w:rsidR="00293694">
        <w:t>s</w:t>
      </w:r>
      <w:r>
        <w:t xml:space="preserve">. </w:t>
      </w:r>
    </w:p>
    <w:p w14:paraId="29F2609C" w14:textId="77777777" w:rsidR="00DA00FD" w:rsidRPr="005F6018" w:rsidRDefault="00DA00FD" w:rsidP="00C35EB4">
      <w:pPr>
        <w:pStyle w:val="PacHead3"/>
      </w:pPr>
      <w:r>
        <w:t>Additional n</w:t>
      </w:r>
      <w:r w:rsidRPr="005F6018">
        <w:t>ational structures</w:t>
      </w:r>
    </w:p>
    <w:p w14:paraId="25B3502B" w14:textId="69D7C886" w:rsidR="00DA00FD" w:rsidRDefault="00DA00FD" w:rsidP="00A00B42">
      <w:pPr>
        <w:spacing w:line="240" w:lineRule="auto"/>
        <w:rPr>
          <w:rFonts w:ascii="Calibri" w:eastAsia="Times New Roman" w:hAnsi="Calibri" w:cs="Times New Roman"/>
          <w:b/>
          <w:bCs/>
          <w:lang w:val="en-US" w:bidi="en-US"/>
        </w:rPr>
      </w:pPr>
      <w:r w:rsidRPr="00884813">
        <w:t xml:space="preserve">The PQF can also function as a NQF for countries that have chosen to utilize the existing </w:t>
      </w:r>
      <w:r>
        <w:t>10-level</w:t>
      </w:r>
      <w:r w:rsidRPr="00884813">
        <w:t xml:space="preserve"> framework (the PQF), but separation of the Regional Qualifications Framework (RQF) and that of the NQF is paramount. For this purpose there are currently in place: documented qualification types, qualifications </w:t>
      </w:r>
      <w:r w:rsidRPr="00884813">
        <w:lastRenderedPageBreak/>
        <w:t>descriptors and credit profile. It should be clear that these additional structures are not part of the meta framework. These structures should remain. Overtime these will need to be reviewed to ensure the currency and applicability</w:t>
      </w:r>
      <w:r>
        <w:t>.</w:t>
      </w:r>
      <w:r w:rsidR="00B06F41">
        <w:t xml:space="preserve"> </w:t>
      </w:r>
      <w:r w:rsidRPr="00D36B6E">
        <w:t>The following diagram summarises the key structures</w:t>
      </w:r>
      <w:r>
        <w:t>, outputs</w:t>
      </w:r>
      <w:r w:rsidRPr="00D36B6E">
        <w:t xml:space="preserve"> and mechanisms</w:t>
      </w:r>
      <w:r>
        <w:t xml:space="preserve"> of </w:t>
      </w:r>
      <w:r w:rsidR="00A2213A">
        <w:t>a</w:t>
      </w:r>
      <w:r>
        <w:t xml:space="preserve"> proposed Greater Pacific Qualifications Framework. </w:t>
      </w:r>
    </w:p>
    <w:tbl>
      <w:tblPr>
        <w:tblStyle w:val="LightShading-Accent6"/>
        <w:tblW w:w="5000" w:type="pct"/>
        <w:tblLook w:val="04A0" w:firstRow="1" w:lastRow="0" w:firstColumn="1" w:lastColumn="0" w:noHBand="0" w:noVBand="1"/>
      </w:tblPr>
      <w:tblGrid>
        <w:gridCol w:w="9190"/>
      </w:tblGrid>
      <w:tr w:rsidR="00DA00FD" w:rsidRPr="001A140A" w14:paraId="7A16CFCB" w14:textId="77777777" w:rsidTr="00777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Pr>
          <w:p w14:paraId="6B175B4F" w14:textId="77777777" w:rsidR="00DA00FD" w:rsidRPr="001A140A" w:rsidRDefault="00DA00FD" w:rsidP="00777080">
            <w:pPr>
              <w:spacing w:after="0" w:line="240" w:lineRule="auto"/>
              <w:jc w:val="center"/>
              <w:rPr>
                <w:b w:val="0"/>
                <w:sz w:val="20"/>
                <w:szCs w:val="20"/>
              </w:rPr>
            </w:pPr>
            <w:r w:rsidRPr="001A140A">
              <w:rPr>
                <w:noProof/>
                <w:sz w:val="20"/>
                <w:szCs w:val="20"/>
                <w:lang w:eastAsia="en-AU"/>
              </w:rPr>
              <w:drawing>
                <wp:inline distT="0" distB="0" distL="0" distR="0" wp14:anchorId="44402197" wp14:editId="0AC40624">
                  <wp:extent cx="5600700" cy="23622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r w:rsidR="00DA00FD" w:rsidRPr="00B074A5" w14:paraId="10BF9494" w14:textId="77777777" w:rsidTr="00777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CADBA8" w:themeFill="text2" w:themeFillTint="66"/>
          </w:tcPr>
          <w:p w14:paraId="582EA6BD" w14:textId="77777777" w:rsidR="00DA00FD" w:rsidRPr="00B074A5" w:rsidRDefault="00DA00FD" w:rsidP="00777080">
            <w:pPr>
              <w:spacing w:after="0" w:line="240" w:lineRule="auto"/>
              <w:jc w:val="center"/>
              <w:rPr>
                <w:sz w:val="19"/>
                <w:szCs w:val="19"/>
              </w:rPr>
            </w:pPr>
            <w:r w:rsidRPr="00B074A5">
              <w:rPr>
                <w:sz w:val="19"/>
                <w:szCs w:val="19"/>
              </w:rPr>
              <w:t>Register:</w:t>
            </w:r>
          </w:p>
        </w:tc>
      </w:tr>
      <w:tr w:rsidR="00DA00FD" w:rsidRPr="00211986" w14:paraId="0FF8FA82" w14:textId="77777777" w:rsidTr="00777080">
        <w:tc>
          <w:tcPr>
            <w:cnfStyle w:val="001000000000" w:firstRow="0" w:lastRow="0" w:firstColumn="1" w:lastColumn="0" w:oddVBand="0" w:evenVBand="0" w:oddHBand="0" w:evenHBand="0" w:firstRowFirstColumn="0" w:firstRowLastColumn="0" w:lastRowFirstColumn="0" w:lastRowLastColumn="0"/>
            <w:tcW w:w="5000" w:type="pct"/>
            <w:shd w:val="clear" w:color="auto" w:fill="E4EDD3" w:themeFill="text2" w:themeFillTint="33"/>
          </w:tcPr>
          <w:p w14:paraId="20B3A52B" w14:textId="75C4C350" w:rsidR="00DA00FD" w:rsidRPr="00211986" w:rsidRDefault="00DA00FD" w:rsidP="00B06F41">
            <w:pPr>
              <w:spacing w:before="80" w:after="80" w:line="240" w:lineRule="auto"/>
              <w:rPr>
                <w:b w:val="0"/>
                <w:sz w:val="18"/>
                <w:szCs w:val="18"/>
              </w:rPr>
            </w:pPr>
            <w:r w:rsidRPr="00211986">
              <w:rPr>
                <w:b w:val="0"/>
                <w:sz w:val="18"/>
                <w:szCs w:val="18"/>
              </w:rPr>
              <w:t xml:space="preserve">Recognised </w:t>
            </w:r>
            <w:r w:rsidR="00C822A0" w:rsidRPr="00211986">
              <w:rPr>
                <w:b w:val="0"/>
                <w:sz w:val="18"/>
                <w:szCs w:val="18"/>
              </w:rPr>
              <w:t>competent QA bod</w:t>
            </w:r>
            <w:r w:rsidR="00806103" w:rsidRPr="00211986">
              <w:rPr>
                <w:b w:val="0"/>
                <w:sz w:val="18"/>
                <w:szCs w:val="18"/>
              </w:rPr>
              <w:t>ies</w:t>
            </w:r>
            <w:r w:rsidR="00C822A0" w:rsidRPr="00211986">
              <w:rPr>
                <w:b w:val="0"/>
                <w:sz w:val="18"/>
                <w:szCs w:val="18"/>
              </w:rPr>
              <w:t xml:space="preserve"> </w:t>
            </w:r>
            <w:r w:rsidRPr="00211986">
              <w:rPr>
                <w:b w:val="0"/>
                <w:sz w:val="18"/>
                <w:szCs w:val="18"/>
              </w:rPr>
              <w:t>(including contact details)</w:t>
            </w:r>
          </w:p>
          <w:p w14:paraId="26D42D54" w14:textId="77777777" w:rsidR="00DA00FD" w:rsidRPr="00211986" w:rsidRDefault="00DA00FD" w:rsidP="00B06F41">
            <w:pPr>
              <w:spacing w:before="80" w:after="80" w:line="240" w:lineRule="auto"/>
              <w:rPr>
                <w:b w:val="0"/>
                <w:sz w:val="18"/>
                <w:szCs w:val="18"/>
              </w:rPr>
            </w:pPr>
            <w:r w:rsidRPr="00211986">
              <w:rPr>
                <w:b w:val="0"/>
                <w:sz w:val="18"/>
                <w:szCs w:val="18"/>
              </w:rPr>
              <w:t>Nationally accredited:</w:t>
            </w:r>
          </w:p>
          <w:p w14:paraId="34DBA6AA" w14:textId="77777777" w:rsidR="00DA00FD" w:rsidRPr="00D141C3" w:rsidRDefault="00DA00FD" w:rsidP="00456131">
            <w:pPr>
              <w:pStyle w:val="ListParagraph"/>
              <w:numPr>
                <w:ilvl w:val="0"/>
                <w:numId w:val="46"/>
              </w:numPr>
              <w:rPr>
                <w:b w:val="0"/>
                <w:sz w:val="18"/>
              </w:rPr>
            </w:pPr>
            <w:r w:rsidRPr="00D141C3">
              <w:rPr>
                <w:b w:val="0"/>
                <w:sz w:val="18"/>
              </w:rPr>
              <w:t>Qualifications</w:t>
            </w:r>
          </w:p>
          <w:p w14:paraId="6995959B" w14:textId="5F6C9AA0" w:rsidR="00DA00FD" w:rsidRPr="00D141C3" w:rsidRDefault="00DA00FD" w:rsidP="00456131">
            <w:pPr>
              <w:pStyle w:val="ListParagraph"/>
              <w:numPr>
                <w:ilvl w:val="0"/>
                <w:numId w:val="46"/>
              </w:numPr>
              <w:rPr>
                <w:b w:val="0"/>
                <w:sz w:val="18"/>
              </w:rPr>
            </w:pPr>
            <w:r w:rsidRPr="00D141C3">
              <w:rPr>
                <w:b w:val="0"/>
                <w:sz w:val="18"/>
              </w:rPr>
              <w:t>Short programs</w:t>
            </w:r>
            <w:r w:rsidR="00806103" w:rsidRPr="00D141C3">
              <w:rPr>
                <w:b w:val="0"/>
                <w:sz w:val="18"/>
              </w:rPr>
              <w:t>/Skill sets</w:t>
            </w:r>
          </w:p>
          <w:p w14:paraId="56C3347F" w14:textId="77777777" w:rsidR="00DA00FD" w:rsidRPr="00211986" w:rsidRDefault="00DA00FD" w:rsidP="00B06F41">
            <w:pPr>
              <w:spacing w:before="80" w:after="80" w:line="240" w:lineRule="auto"/>
              <w:rPr>
                <w:b w:val="0"/>
                <w:sz w:val="18"/>
                <w:szCs w:val="18"/>
              </w:rPr>
            </w:pPr>
            <w:r w:rsidRPr="00211986">
              <w:rPr>
                <w:b w:val="0"/>
                <w:sz w:val="18"/>
                <w:szCs w:val="18"/>
              </w:rPr>
              <w:t>Each entry will:</w:t>
            </w:r>
          </w:p>
          <w:p w14:paraId="19C1CB26" w14:textId="77777777" w:rsidR="00DA00FD" w:rsidRPr="00D141C3" w:rsidRDefault="00DA00FD" w:rsidP="00456131">
            <w:pPr>
              <w:pStyle w:val="ListParagraph"/>
              <w:numPr>
                <w:ilvl w:val="0"/>
                <w:numId w:val="46"/>
              </w:numPr>
              <w:rPr>
                <w:b w:val="0"/>
                <w:sz w:val="18"/>
              </w:rPr>
            </w:pPr>
            <w:r w:rsidRPr="00D141C3">
              <w:rPr>
                <w:b w:val="0"/>
                <w:sz w:val="18"/>
              </w:rPr>
              <w:t>Include core details (e.g. accrediting agency, PQF level, currency)</w:t>
            </w:r>
          </w:p>
          <w:p w14:paraId="3A9B3092" w14:textId="77777777" w:rsidR="00DA00FD" w:rsidRPr="00D141C3" w:rsidRDefault="00DA00FD" w:rsidP="00456131">
            <w:pPr>
              <w:pStyle w:val="ListParagraph"/>
              <w:numPr>
                <w:ilvl w:val="0"/>
                <w:numId w:val="46"/>
              </w:numPr>
              <w:rPr>
                <w:b w:val="0"/>
                <w:sz w:val="18"/>
              </w:rPr>
            </w:pPr>
            <w:r w:rsidRPr="00D141C3">
              <w:rPr>
                <w:b w:val="0"/>
                <w:sz w:val="18"/>
              </w:rPr>
              <w:t xml:space="preserve">Identify if it meets, exceeds or partially meets a regional occupational standard/ qualification. </w:t>
            </w:r>
          </w:p>
          <w:p w14:paraId="6EA31A9E" w14:textId="1885C894" w:rsidR="00DA00FD" w:rsidRPr="00D141C3" w:rsidRDefault="00DA00FD" w:rsidP="00456131">
            <w:pPr>
              <w:pStyle w:val="ListParagraph"/>
              <w:numPr>
                <w:ilvl w:val="0"/>
                <w:numId w:val="46"/>
              </w:numPr>
              <w:rPr>
                <w:b w:val="0"/>
                <w:sz w:val="18"/>
              </w:rPr>
            </w:pPr>
            <w:r w:rsidRPr="00D141C3">
              <w:rPr>
                <w:b w:val="0"/>
                <w:sz w:val="18"/>
              </w:rPr>
              <w:t>Be accompanied by a summary document, including purpose, list of components (core/elective)</w:t>
            </w:r>
            <w:r w:rsidR="000B60E4" w:rsidRPr="00D141C3">
              <w:rPr>
                <w:b w:val="0"/>
                <w:sz w:val="18"/>
              </w:rPr>
              <w:t xml:space="preserve">, summary </w:t>
            </w:r>
            <w:r w:rsidRPr="00D141C3">
              <w:rPr>
                <w:b w:val="0"/>
                <w:sz w:val="18"/>
              </w:rPr>
              <w:t>completion rules,</w:t>
            </w:r>
            <w:r w:rsidR="000B60E4" w:rsidRPr="00D141C3">
              <w:rPr>
                <w:b w:val="0"/>
                <w:sz w:val="18"/>
              </w:rPr>
              <w:t xml:space="preserve"> and</w:t>
            </w:r>
            <w:r w:rsidRPr="00D141C3">
              <w:rPr>
                <w:b w:val="0"/>
                <w:sz w:val="18"/>
              </w:rPr>
              <w:t xml:space="preserve"> period of accreditation.</w:t>
            </w:r>
          </w:p>
          <w:p w14:paraId="0241077A" w14:textId="77777777" w:rsidR="00DA00FD" w:rsidRPr="00D141C3" w:rsidRDefault="00DA00FD" w:rsidP="00456131">
            <w:pPr>
              <w:pStyle w:val="ListParagraph"/>
              <w:numPr>
                <w:ilvl w:val="0"/>
                <w:numId w:val="46"/>
              </w:numPr>
              <w:rPr>
                <w:b w:val="0"/>
                <w:sz w:val="18"/>
              </w:rPr>
            </w:pPr>
            <w:r w:rsidRPr="00D141C3">
              <w:rPr>
                <w:b w:val="0"/>
                <w:sz w:val="18"/>
              </w:rPr>
              <w:t>Indicate whether it is a qualification based on Traditional knowledge and indigenous skills</w:t>
            </w:r>
          </w:p>
          <w:p w14:paraId="5309D7B6" w14:textId="4C9DFF2F" w:rsidR="00887DC6" w:rsidRPr="00211986" w:rsidRDefault="00887DC6" w:rsidP="00B06F41">
            <w:pPr>
              <w:spacing w:before="80" w:after="80" w:line="240" w:lineRule="auto"/>
              <w:rPr>
                <w:b w:val="0"/>
                <w:sz w:val="18"/>
                <w:szCs w:val="18"/>
              </w:rPr>
            </w:pPr>
            <w:r w:rsidRPr="00211986">
              <w:rPr>
                <w:b w:val="0"/>
                <w:sz w:val="18"/>
                <w:szCs w:val="18"/>
              </w:rPr>
              <w:t>Regionally agreed occupational standards/qualifications with assessment standard and completion rules to meet either</w:t>
            </w:r>
            <w:r w:rsidR="000B3500" w:rsidRPr="00211986">
              <w:rPr>
                <w:b w:val="0"/>
                <w:sz w:val="18"/>
                <w:szCs w:val="18"/>
              </w:rPr>
              <w:t xml:space="preserve"> a: skills set or qualification</w:t>
            </w:r>
            <w:r w:rsidRPr="00211986">
              <w:rPr>
                <w:b w:val="0"/>
                <w:sz w:val="18"/>
                <w:szCs w:val="18"/>
              </w:rPr>
              <w:t xml:space="preserve">. </w:t>
            </w:r>
            <w:r w:rsidR="000B60E4" w:rsidRPr="00211986">
              <w:rPr>
                <w:b w:val="0"/>
                <w:sz w:val="18"/>
                <w:szCs w:val="18"/>
              </w:rPr>
              <w:t>Each entry will include:</w:t>
            </w:r>
          </w:p>
          <w:p w14:paraId="03C7A771" w14:textId="5FF3AB20" w:rsidR="000B60E4" w:rsidRPr="00D141C3" w:rsidRDefault="000B60E4" w:rsidP="00456131">
            <w:pPr>
              <w:pStyle w:val="ListParagraph"/>
              <w:numPr>
                <w:ilvl w:val="0"/>
                <w:numId w:val="46"/>
              </w:numPr>
              <w:rPr>
                <w:b w:val="0"/>
                <w:sz w:val="18"/>
              </w:rPr>
            </w:pPr>
            <w:r w:rsidRPr="00D141C3">
              <w:rPr>
                <w:b w:val="0"/>
                <w:sz w:val="18"/>
              </w:rPr>
              <w:t>Include core details (e.g. PQF level, currency)</w:t>
            </w:r>
          </w:p>
          <w:p w14:paraId="53FACED3" w14:textId="72C07218" w:rsidR="000B60E4" w:rsidRPr="00D141C3" w:rsidRDefault="000B60E4" w:rsidP="00456131">
            <w:pPr>
              <w:pStyle w:val="ListParagraph"/>
              <w:numPr>
                <w:ilvl w:val="0"/>
                <w:numId w:val="46"/>
              </w:numPr>
              <w:rPr>
                <w:b w:val="0"/>
                <w:sz w:val="18"/>
              </w:rPr>
            </w:pPr>
            <w:r w:rsidRPr="00D141C3">
              <w:rPr>
                <w:b w:val="0"/>
                <w:sz w:val="18"/>
              </w:rPr>
              <w:t>Be accompanied by a summary document, including purpose, list of components (core/elective), summary completion rules, and period of approval.</w:t>
            </w:r>
          </w:p>
          <w:p w14:paraId="786B0DCD" w14:textId="2988AC57" w:rsidR="000B60E4" w:rsidRPr="00D141C3" w:rsidRDefault="000B60E4" w:rsidP="00456131">
            <w:pPr>
              <w:pStyle w:val="ListParagraph"/>
              <w:numPr>
                <w:ilvl w:val="0"/>
                <w:numId w:val="46"/>
              </w:numPr>
              <w:rPr>
                <w:b w:val="0"/>
                <w:sz w:val="18"/>
              </w:rPr>
            </w:pPr>
            <w:r w:rsidRPr="00D141C3">
              <w:rPr>
                <w:b w:val="0"/>
                <w:sz w:val="18"/>
              </w:rPr>
              <w:t>Indicate whether it is a qualification based on Traditional knowledge and indigenous skills.</w:t>
            </w:r>
          </w:p>
          <w:p w14:paraId="13C89257" w14:textId="77777777" w:rsidR="00DA00FD" w:rsidRPr="00211986" w:rsidRDefault="00DA00FD" w:rsidP="00B06F41">
            <w:pPr>
              <w:spacing w:before="80" w:after="80" w:line="240" w:lineRule="auto"/>
              <w:rPr>
                <w:b w:val="0"/>
                <w:sz w:val="18"/>
                <w:szCs w:val="18"/>
              </w:rPr>
            </w:pPr>
            <w:r w:rsidRPr="00211986">
              <w:rPr>
                <w:b w:val="0"/>
                <w:sz w:val="18"/>
                <w:szCs w:val="18"/>
              </w:rPr>
              <w:t>Regional professional and licensing associations/bodies:</w:t>
            </w:r>
          </w:p>
          <w:p w14:paraId="10A2BDDF" w14:textId="77777777" w:rsidR="00DA00FD" w:rsidRPr="00D141C3" w:rsidRDefault="00DA00FD" w:rsidP="00456131">
            <w:pPr>
              <w:pStyle w:val="ListParagraph"/>
              <w:numPr>
                <w:ilvl w:val="0"/>
                <w:numId w:val="46"/>
              </w:numPr>
              <w:rPr>
                <w:b w:val="0"/>
                <w:sz w:val="18"/>
              </w:rPr>
            </w:pPr>
            <w:r w:rsidRPr="00D141C3">
              <w:rPr>
                <w:b w:val="0"/>
                <w:sz w:val="18"/>
              </w:rPr>
              <w:t>Title and detail of regional associations/bodies</w:t>
            </w:r>
          </w:p>
          <w:p w14:paraId="4E5AC936" w14:textId="77777777" w:rsidR="00DA00FD" w:rsidRPr="00D141C3" w:rsidRDefault="00DA00FD" w:rsidP="00456131">
            <w:pPr>
              <w:pStyle w:val="ListParagraph"/>
              <w:numPr>
                <w:ilvl w:val="0"/>
                <w:numId w:val="46"/>
              </w:numPr>
              <w:rPr>
                <w:b w:val="0"/>
                <w:sz w:val="18"/>
              </w:rPr>
            </w:pPr>
            <w:r w:rsidRPr="00D141C3">
              <w:rPr>
                <w:b w:val="0"/>
                <w:sz w:val="18"/>
              </w:rPr>
              <w:t xml:space="preserve">Weblink </w:t>
            </w:r>
          </w:p>
          <w:p w14:paraId="0BE5F51C" w14:textId="39A5FD7F" w:rsidR="00DA00FD" w:rsidRPr="00211986" w:rsidRDefault="00DA00FD" w:rsidP="00B06F41">
            <w:pPr>
              <w:spacing w:before="80" w:after="80" w:line="240" w:lineRule="auto"/>
              <w:rPr>
                <w:b w:val="0"/>
                <w:sz w:val="18"/>
                <w:szCs w:val="18"/>
              </w:rPr>
            </w:pPr>
            <w:r w:rsidRPr="00211986">
              <w:rPr>
                <w:b w:val="0"/>
                <w:i/>
                <w:sz w:val="18"/>
                <w:szCs w:val="18"/>
              </w:rPr>
              <w:t>N</w:t>
            </w:r>
            <w:r w:rsidR="00B06F41" w:rsidRPr="00211986">
              <w:rPr>
                <w:b w:val="0"/>
                <w:i/>
                <w:sz w:val="18"/>
                <w:szCs w:val="18"/>
              </w:rPr>
              <w:t>ote: P</w:t>
            </w:r>
            <w:r w:rsidRPr="00211986">
              <w:rPr>
                <w:b w:val="0"/>
                <w:i/>
                <w:sz w:val="18"/>
                <w:szCs w:val="18"/>
              </w:rPr>
              <w:t>rofessional associations and licensing bodies should be responsible for maintaining professional standards or licensing requirements on their website, and maintain a list of members, licensed workers.</w:t>
            </w:r>
          </w:p>
        </w:tc>
      </w:tr>
      <w:tr w:rsidR="00DA00FD" w:rsidRPr="00B074A5" w14:paraId="1D47D03D" w14:textId="77777777" w:rsidTr="00777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D6D1B7" w:themeFill="accent5" w:themeFillTint="66"/>
          </w:tcPr>
          <w:p w14:paraId="5DAEFDB4" w14:textId="1B509500" w:rsidR="00DA00FD" w:rsidRPr="00B074A5" w:rsidRDefault="00DA00FD" w:rsidP="00ED1337">
            <w:pPr>
              <w:spacing w:after="0" w:line="240" w:lineRule="auto"/>
              <w:jc w:val="center"/>
              <w:rPr>
                <w:sz w:val="19"/>
                <w:szCs w:val="19"/>
              </w:rPr>
            </w:pPr>
            <w:r w:rsidRPr="00B074A5">
              <w:rPr>
                <w:sz w:val="19"/>
                <w:szCs w:val="19"/>
              </w:rPr>
              <w:t>Reports, Harmoni</w:t>
            </w:r>
            <w:r w:rsidR="00ED1337">
              <w:rPr>
                <w:sz w:val="19"/>
                <w:szCs w:val="19"/>
              </w:rPr>
              <w:t>s</w:t>
            </w:r>
            <w:r w:rsidRPr="00B074A5">
              <w:rPr>
                <w:sz w:val="19"/>
                <w:szCs w:val="19"/>
              </w:rPr>
              <w:t>ation documents and Agreements:</w:t>
            </w:r>
          </w:p>
        </w:tc>
      </w:tr>
      <w:tr w:rsidR="00DA00FD" w:rsidRPr="00211986" w14:paraId="0C785889" w14:textId="77777777" w:rsidTr="00777080">
        <w:tc>
          <w:tcPr>
            <w:cnfStyle w:val="001000000000" w:firstRow="0" w:lastRow="0" w:firstColumn="1" w:lastColumn="0" w:oddVBand="0" w:evenVBand="0" w:oddHBand="0" w:evenHBand="0" w:firstRowFirstColumn="0" w:firstRowLastColumn="0" w:lastRowFirstColumn="0" w:lastRowLastColumn="0"/>
            <w:tcW w:w="5000" w:type="pct"/>
            <w:shd w:val="clear" w:color="auto" w:fill="EAE8DB" w:themeFill="accent5" w:themeFillTint="33"/>
          </w:tcPr>
          <w:p w14:paraId="5D9822D1" w14:textId="514B35B8" w:rsidR="000B60E4" w:rsidRPr="00211986" w:rsidRDefault="000B60E4" w:rsidP="00B06F41">
            <w:pPr>
              <w:spacing w:before="80" w:after="80" w:line="240" w:lineRule="auto"/>
              <w:rPr>
                <w:b w:val="0"/>
                <w:sz w:val="18"/>
                <w:szCs w:val="18"/>
              </w:rPr>
            </w:pPr>
            <w:r w:rsidRPr="00211986">
              <w:rPr>
                <w:b w:val="0"/>
                <w:sz w:val="18"/>
                <w:szCs w:val="18"/>
              </w:rPr>
              <w:t xml:space="preserve">Regionally agreed occupational standards/qualifications with assessment standard and completion rules to meet either a: skills set or qualification. This entry will include all details of the occupational standards, assessment standards and completion rules. </w:t>
            </w:r>
          </w:p>
          <w:p w14:paraId="670C7293" w14:textId="307C859E" w:rsidR="00DA00FD" w:rsidRPr="00211986" w:rsidRDefault="00DA00FD" w:rsidP="00B06F41">
            <w:pPr>
              <w:spacing w:before="80" w:after="80" w:line="240" w:lineRule="auto"/>
              <w:rPr>
                <w:b w:val="0"/>
                <w:sz w:val="18"/>
                <w:szCs w:val="18"/>
              </w:rPr>
            </w:pPr>
            <w:r w:rsidRPr="00211986">
              <w:rPr>
                <w:b w:val="0"/>
                <w:sz w:val="18"/>
                <w:szCs w:val="18"/>
              </w:rPr>
              <w:t>Reports:</w:t>
            </w:r>
          </w:p>
          <w:p w14:paraId="63945701" w14:textId="77777777" w:rsidR="00DA00FD" w:rsidRPr="00D141C3" w:rsidRDefault="00DA00FD" w:rsidP="00456131">
            <w:pPr>
              <w:pStyle w:val="ListParagraph"/>
              <w:numPr>
                <w:ilvl w:val="0"/>
                <w:numId w:val="46"/>
              </w:numPr>
              <w:rPr>
                <w:b w:val="0"/>
                <w:sz w:val="18"/>
              </w:rPr>
            </w:pPr>
            <w:r w:rsidRPr="00D141C3">
              <w:rPr>
                <w:b w:val="0"/>
                <w:sz w:val="18"/>
              </w:rPr>
              <w:lastRenderedPageBreak/>
              <w:t>Referencing reports of qualifications system (NQF to PQF), including national quality assurance systems to PQAF</w:t>
            </w:r>
          </w:p>
          <w:p w14:paraId="4CDAA6E4" w14:textId="77777777" w:rsidR="00DA00FD" w:rsidRPr="00D141C3" w:rsidRDefault="00DA00FD" w:rsidP="00456131">
            <w:pPr>
              <w:pStyle w:val="ListParagraph"/>
              <w:numPr>
                <w:ilvl w:val="0"/>
                <w:numId w:val="46"/>
              </w:numPr>
              <w:rPr>
                <w:b w:val="0"/>
                <w:sz w:val="18"/>
              </w:rPr>
            </w:pPr>
            <w:r w:rsidRPr="00D141C3">
              <w:rPr>
                <w:b w:val="0"/>
                <w:sz w:val="18"/>
              </w:rPr>
              <w:t xml:space="preserve">External evaluation quality reports </w:t>
            </w:r>
          </w:p>
          <w:p w14:paraId="613C0436" w14:textId="64E6BAD0" w:rsidR="00887DC6" w:rsidRPr="00D141C3" w:rsidRDefault="00887DC6" w:rsidP="00456131">
            <w:pPr>
              <w:pStyle w:val="ListParagraph"/>
              <w:numPr>
                <w:ilvl w:val="0"/>
                <w:numId w:val="46"/>
              </w:numPr>
              <w:rPr>
                <w:b w:val="0"/>
                <w:sz w:val="18"/>
              </w:rPr>
            </w:pPr>
            <w:r w:rsidRPr="00D141C3">
              <w:rPr>
                <w:b w:val="0"/>
                <w:sz w:val="18"/>
              </w:rPr>
              <w:t>Country benchmarking reports of national qualifications to regional occupational standards/qualifications.</w:t>
            </w:r>
          </w:p>
          <w:p w14:paraId="7B415762" w14:textId="77777777" w:rsidR="00DA00FD" w:rsidRPr="00211986" w:rsidRDefault="00DA00FD" w:rsidP="00B06F41">
            <w:pPr>
              <w:spacing w:before="80" w:after="80" w:line="240" w:lineRule="auto"/>
              <w:rPr>
                <w:b w:val="0"/>
                <w:sz w:val="18"/>
                <w:szCs w:val="18"/>
              </w:rPr>
            </w:pPr>
            <w:r w:rsidRPr="00211986">
              <w:rPr>
                <w:b w:val="0"/>
                <w:sz w:val="18"/>
                <w:szCs w:val="18"/>
              </w:rPr>
              <w:t>Concept notes</w:t>
            </w:r>
          </w:p>
          <w:p w14:paraId="14C253A6" w14:textId="77777777" w:rsidR="00DA00FD" w:rsidRPr="00D141C3" w:rsidRDefault="00DA00FD" w:rsidP="00456131">
            <w:pPr>
              <w:pStyle w:val="ListParagraph"/>
              <w:numPr>
                <w:ilvl w:val="0"/>
                <w:numId w:val="46"/>
              </w:numPr>
              <w:rPr>
                <w:b w:val="0"/>
                <w:sz w:val="18"/>
              </w:rPr>
            </w:pPr>
            <w:r w:rsidRPr="00D141C3">
              <w:rPr>
                <w:b w:val="0"/>
                <w:sz w:val="18"/>
              </w:rPr>
              <w:t xml:space="preserve">Learning outcomes </w:t>
            </w:r>
          </w:p>
          <w:p w14:paraId="7E0FC352" w14:textId="77777777" w:rsidR="00DA00FD" w:rsidRPr="00D141C3" w:rsidRDefault="00DA00FD" w:rsidP="00456131">
            <w:pPr>
              <w:pStyle w:val="ListParagraph"/>
              <w:numPr>
                <w:ilvl w:val="0"/>
                <w:numId w:val="46"/>
              </w:numPr>
              <w:rPr>
                <w:b w:val="0"/>
                <w:sz w:val="18"/>
              </w:rPr>
            </w:pPr>
            <w:r w:rsidRPr="00D141C3">
              <w:rPr>
                <w:b w:val="0"/>
                <w:sz w:val="18"/>
              </w:rPr>
              <w:t xml:space="preserve">Graduate outcomes </w:t>
            </w:r>
          </w:p>
          <w:p w14:paraId="3DC50D96" w14:textId="77777777" w:rsidR="00DA00FD" w:rsidRPr="00D141C3" w:rsidRDefault="00DA00FD" w:rsidP="00456131">
            <w:pPr>
              <w:pStyle w:val="ListParagraph"/>
              <w:numPr>
                <w:ilvl w:val="0"/>
                <w:numId w:val="46"/>
              </w:numPr>
              <w:rPr>
                <w:b w:val="0"/>
                <w:sz w:val="18"/>
              </w:rPr>
            </w:pPr>
            <w:r w:rsidRPr="00D141C3">
              <w:rPr>
                <w:b w:val="0"/>
                <w:sz w:val="18"/>
              </w:rPr>
              <w:t>Recognition of non-formal and informal learning</w:t>
            </w:r>
          </w:p>
          <w:p w14:paraId="4BA70371" w14:textId="77777777" w:rsidR="00DA00FD" w:rsidRPr="00D141C3" w:rsidRDefault="00DA00FD" w:rsidP="00456131">
            <w:pPr>
              <w:pStyle w:val="ListParagraph"/>
              <w:numPr>
                <w:ilvl w:val="0"/>
                <w:numId w:val="46"/>
              </w:numPr>
              <w:rPr>
                <w:b w:val="0"/>
                <w:sz w:val="18"/>
              </w:rPr>
            </w:pPr>
            <w:r w:rsidRPr="00D141C3">
              <w:rPr>
                <w:b w:val="0"/>
                <w:sz w:val="18"/>
              </w:rPr>
              <w:t>Traditional knowledge and indigenous skills</w:t>
            </w:r>
          </w:p>
          <w:p w14:paraId="613BD89F" w14:textId="77777777" w:rsidR="00DA00FD" w:rsidRPr="00211986" w:rsidRDefault="00DA00FD" w:rsidP="00B06F41">
            <w:pPr>
              <w:spacing w:before="80" w:after="80" w:line="240" w:lineRule="auto"/>
              <w:rPr>
                <w:b w:val="0"/>
                <w:sz w:val="18"/>
                <w:szCs w:val="18"/>
              </w:rPr>
            </w:pPr>
            <w:r w:rsidRPr="00211986">
              <w:rPr>
                <w:b w:val="0"/>
                <w:sz w:val="18"/>
                <w:szCs w:val="18"/>
              </w:rPr>
              <w:t>Guidelines:</w:t>
            </w:r>
          </w:p>
          <w:p w14:paraId="4FF22C0B" w14:textId="77777777" w:rsidR="00DA00FD" w:rsidRPr="00D141C3" w:rsidRDefault="00DA00FD" w:rsidP="00456131">
            <w:pPr>
              <w:pStyle w:val="ListParagraph"/>
              <w:numPr>
                <w:ilvl w:val="0"/>
                <w:numId w:val="46"/>
              </w:numPr>
              <w:rPr>
                <w:b w:val="0"/>
                <w:sz w:val="18"/>
              </w:rPr>
            </w:pPr>
            <w:r w:rsidRPr="00D141C3">
              <w:rPr>
                <w:b w:val="0"/>
                <w:sz w:val="18"/>
              </w:rPr>
              <w:t>Referencing guidelines</w:t>
            </w:r>
          </w:p>
          <w:p w14:paraId="18908B7F" w14:textId="77777777" w:rsidR="00DA00FD" w:rsidRPr="00D141C3" w:rsidRDefault="00DA00FD" w:rsidP="00456131">
            <w:pPr>
              <w:pStyle w:val="ListParagraph"/>
              <w:numPr>
                <w:ilvl w:val="0"/>
                <w:numId w:val="46"/>
              </w:numPr>
              <w:rPr>
                <w:b w:val="0"/>
                <w:sz w:val="18"/>
              </w:rPr>
            </w:pPr>
            <w:r w:rsidRPr="00D141C3">
              <w:rPr>
                <w:b w:val="0"/>
                <w:sz w:val="18"/>
              </w:rPr>
              <w:t>Pacific Diploma Supplement model and guidelines</w:t>
            </w:r>
          </w:p>
          <w:p w14:paraId="7C445762" w14:textId="77777777" w:rsidR="00DA00FD" w:rsidRPr="00D141C3" w:rsidRDefault="00DA00FD" w:rsidP="00456131">
            <w:pPr>
              <w:pStyle w:val="ListParagraph"/>
              <w:numPr>
                <w:ilvl w:val="0"/>
                <w:numId w:val="46"/>
              </w:numPr>
              <w:rPr>
                <w:b w:val="0"/>
                <w:sz w:val="18"/>
              </w:rPr>
            </w:pPr>
            <w:r w:rsidRPr="00D141C3">
              <w:rPr>
                <w:b w:val="0"/>
                <w:sz w:val="18"/>
              </w:rPr>
              <w:t>Recognition of qualifications guidelines</w:t>
            </w:r>
          </w:p>
          <w:p w14:paraId="64D9390B" w14:textId="77777777" w:rsidR="00DA00FD" w:rsidRPr="00D141C3" w:rsidRDefault="00DA00FD" w:rsidP="00456131">
            <w:pPr>
              <w:pStyle w:val="ListParagraph"/>
              <w:numPr>
                <w:ilvl w:val="0"/>
                <w:numId w:val="46"/>
              </w:numPr>
              <w:rPr>
                <w:b w:val="0"/>
                <w:sz w:val="18"/>
              </w:rPr>
            </w:pPr>
            <w:r w:rsidRPr="00D141C3">
              <w:rPr>
                <w:b w:val="0"/>
                <w:sz w:val="18"/>
              </w:rPr>
              <w:t>Mutual recognition of agency decisions guidelines</w:t>
            </w:r>
          </w:p>
          <w:p w14:paraId="7C6E514E" w14:textId="77777777" w:rsidR="00DA00FD" w:rsidRPr="00D141C3" w:rsidRDefault="00DA00FD" w:rsidP="00456131">
            <w:pPr>
              <w:pStyle w:val="ListParagraph"/>
              <w:numPr>
                <w:ilvl w:val="0"/>
                <w:numId w:val="46"/>
              </w:numPr>
              <w:rPr>
                <w:b w:val="0"/>
                <w:sz w:val="18"/>
              </w:rPr>
            </w:pPr>
            <w:r w:rsidRPr="00D141C3">
              <w:rPr>
                <w:b w:val="0"/>
                <w:sz w:val="18"/>
              </w:rPr>
              <w:t>Mutual recognition of qualifications guidelines</w:t>
            </w:r>
          </w:p>
          <w:p w14:paraId="2F321646" w14:textId="77777777" w:rsidR="00DA00FD" w:rsidRPr="00D141C3" w:rsidRDefault="00DA00FD" w:rsidP="00456131">
            <w:pPr>
              <w:pStyle w:val="ListParagraph"/>
              <w:numPr>
                <w:ilvl w:val="0"/>
                <w:numId w:val="46"/>
              </w:numPr>
              <w:rPr>
                <w:b w:val="0"/>
                <w:sz w:val="18"/>
              </w:rPr>
            </w:pPr>
            <w:r w:rsidRPr="00D141C3">
              <w:rPr>
                <w:b w:val="0"/>
                <w:sz w:val="18"/>
              </w:rPr>
              <w:t>Internal review and external evaluation, and continuous improvement guidelines</w:t>
            </w:r>
          </w:p>
          <w:p w14:paraId="2F8D3580" w14:textId="77777777" w:rsidR="00DA00FD" w:rsidRPr="00211986" w:rsidRDefault="00DA00FD" w:rsidP="00B06F41">
            <w:pPr>
              <w:spacing w:before="80" w:after="80" w:line="240" w:lineRule="auto"/>
              <w:rPr>
                <w:b w:val="0"/>
                <w:sz w:val="18"/>
                <w:szCs w:val="18"/>
              </w:rPr>
            </w:pPr>
            <w:r w:rsidRPr="00211986">
              <w:rPr>
                <w:b w:val="0"/>
                <w:sz w:val="18"/>
                <w:szCs w:val="18"/>
              </w:rPr>
              <w:t>Protocols</w:t>
            </w:r>
          </w:p>
          <w:p w14:paraId="574A4092" w14:textId="77777777" w:rsidR="00DA00FD" w:rsidRPr="00D141C3" w:rsidRDefault="00DA00FD" w:rsidP="00456131">
            <w:pPr>
              <w:pStyle w:val="ListParagraph"/>
              <w:numPr>
                <w:ilvl w:val="0"/>
                <w:numId w:val="46"/>
              </w:numPr>
              <w:rPr>
                <w:b w:val="0"/>
                <w:sz w:val="18"/>
              </w:rPr>
            </w:pPr>
            <w:r w:rsidRPr="00D141C3">
              <w:rPr>
                <w:b w:val="0"/>
                <w:sz w:val="18"/>
              </w:rPr>
              <w:t>Protocols for developing and maintaining regional occupational standards and/or regional qualifications (including agreed process for development, approval and review, templates)</w:t>
            </w:r>
          </w:p>
          <w:p w14:paraId="569C0F68" w14:textId="77777777" w:rsidR="00DA00FD" w:rsidRPr="00D141C3" w:rsidRDefault="00DA00FD" w:rsidP="00456131">
            <w:pPr>
              <w:pStyle w:val="ListParagraph"/>
              <w:numPr>
                <w:ilvl w:val="0"/>
                <w:numId w:val="46"/>
              </w:numPr>
              <w:rPr>
                <w:b w:val="0"/>
                <w:sz w:val="18"/>
              </w:rPr>
            </w:pPr>
            <w:r w:rsidRPr="00D141C3">
              <w:rPr>
                <w:b w:val="0"/>
                <w:sz w:val="18"/>
              </w:rPr>
              <w:t>Protocols for entry onto the Pacific Register</w:t>
            </w:r>
          </w:p>
          <w:p w14:paraId="18C0FA94" w14:textId="77777777" w:rsidR="00DA00FD" w:rsidRPr="00211986" w:rsidRDefault="00DA00FD" w:rsidP="00B06F41">
            <w:pPr>
              <w:spacing w:before="80" w:after="80" w:line="240" w:lineRule="auto"/>
              <w:rPr>
                <w:b w:val="0"/>
                <w:sz w:val="18"/>
                <w:szCs w:val="18"/>
              </w:rPr>
            </w:pPr>
            <w:r w:rsidRPr="00211986">
              <w:rPr>
                <w:b w:val="0"/>
                <w:sz w:val="18"/>
                <w:szCs w:val="18"/>
              </w:rPr>
              <w:t>Diploma Supplement template that includes option to record:</w:t>
            </w:r>
          </w:p>
          <w:p w14:paraId="3E59C18E" w14:textId="77777777" w:rsidR="00DA00FD" w:rsidRPr="00D141C3" w:rsidRDefault="00DA00FD" w:rsidP="00456131">
            <w:pPr>
              <w:pStyle w:val="ListParagraph"/>
              <w:numPr>
                <w:ilvl w:val="0"/>
                <w:numId w:val="46"/>
              </w:numPr>
              <w:rPr>
                <w:b w:val="0"/>
                <w:sz w:val="18"/>
              </w:rPr>
            </w:pPr>
            <w:r w:rsidRPr="00D141C3">
              <w:rPr>
                <w:b w:val="0"/>
                <w:sz w:val="18"/>
              </w:rPr>
              <w:t xml:space="preserve">Alignment of qualification to regional occupational standards and/or regional qualifications </w:t>
            </w:r>
          </w:p>
          <w:p w14:paraId="14632A7F" w14:textId="77777777" w:rsidR="00DA00FD" w:rsidRPr="00D141C3" w:rsidRDefault="00DA00FD" w:rsidP="00456131">
            <w:pPr>
              <w:pStyle w:val="ListParagraph"/>
              <w:numPr>
                <w:ilvl w:val="0"/>
                <w:numId w:val="46"/>
              </w:numPr>
              <w:rPr>
                <w:b w:val="0"/>
                <w:sz w:val="18"/>
              </w:rPr>
            </w:pPr>
            <w:r w:rsidRPr="00D141C3">
              <w:rPr>
                <w:b w:val="0"/>
                <w:sz w:val="18"/>
              </w:rPr>
              <w:t xml:space="preserve">PQF alignment to NQF or specific qualification </w:t>
            </w:r>
          </w:p>
          <w:p w14:paraId="3B620FAC" w14:textId="77777777" w:rsidR="00DA00FD" w:rsidRPr="00D141C3" w:rsidRDefault="00DA00FD" w:rsidP="00456131">
            <w:pPr>
              <w:pStyle w:val="ListParagraph"/>
              <w:numPr>
                <w:ilvl w:val="0"/>
                <w:numId w:val="46"/>
              </w:numPr>
              <w:rPr>
                <w:b w:val="0"/>
                <w:sz w:val="18"/>
              </w:rPr>
            </w:pPr>
            <w:r w:rsidRPr="00D141C3">
              <w:rPr>
                <w:b w:val="0"/>
                <w:sz w:val="18"/>
              </w:rPr>
              <w:t>QA alignment to PQAF</w:t>
            </w:r>
          </w:p>
          <w:p w14:paraId="3C00028A" w14:textId="77777777" w:rsidR="00DA00FD" w:rsidRPr="00211986" w:rsidRDefault="00DA00FD" w:rsidP="00B06F41">
            <w:pPr>
              <w:spacing w:before="80" w:after="80" w:line="240" w:lineRule="auto"/>
              <w:rPr>
                <w:b w:val="0"/>
                <w:sz w:val="18"/>
                <w:szCs w:val="18"/>
              </w:rPr>
            </w:pPr>
            <w:r w:rsidRPr="00211986">
              <w:rPr>
                <w:b w:val="0"/>
                <w:sz w:val="18"/>
                <w:szCs w:val="18"/>
              </w:rPr>
              <w:t xml:space="preserve">NQF support for those countries wishing to use the PQF as an NQF. Additional support documents include: qualification type descriptors and credit profile. </w:t>
            </w:r>
          </w:p>
          <w:p w14:paraId="676E45CB" w14:textId="77777777" w:rsidR="00DA00FD" w:rsidRPr="00211986" w:rsidRDefault="00DA00FD" w:rsidP="00B06F41">
            <w:pPr>
              <w:spacing w:before="80" w:after="80" w:line="240" w:lineRule="auto"/>
              <w:rPr>
                <w:b w:val="0"/>
                <w:sz w:val="18"/>
                <w:szCs w:val="18"/>
              </w:rPr>
            </w:pPr>
            <w:r w:rsidRPr="00211986">
              <w:rPr>
                <w:b w:val="0"/>
                <w:sz w:val="18"/>
                <w:szCs w:val="18"/>
              </w:rPr>
              <w:t>Recognition services: Information, application forms. A database will need to be maintained for applications and decisions, and another for details of international qualifications systems</w:t>
            </w:r>
            <w:r w:rsidRPr="00211986">
              <w:rPr>
                <w:b w:val="0"/>
                <w:i/>
                <w:sz w:val="18"/>
                <w:szCs w:val="18"/>
              </w:rPr>
              <w:t>.</w:t>
            </w:r>
          </w:p>
        </w:tc>
      </w:tr>
      <w:tr w:rsidR="00DA00FD" w:rsidRPr="00B074A5" w14:paraId="334E07CE" w14:textId="77777777" w:rsidTr="00777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FAC395" w:themeFill="accent4" w:themeFillTint="66"/>
          </w:tcPr>
          <w:p w14:paraId="7FE946CC" w14:textId="77777777" w:rsidR="00DA00FD" w:rsidRPr="00B074A5" w:rsidRDefault="00DA00FD" w:rsidP="00777080">
            <w:pPr>
              <w:spacing w:after="0" w:line="240" w:lineRule="auto"/>
              <w:jc w:val="center"/>
              <w:rPr>
                <w:sz w:val="19"/>
                <w:szCs w:val="19"/>
              </w:rPr>
            </w:pPr>
            <w:r w:rsidRPr="00B074A5">
              <w:rPr>
                <w:sz w:val="19"/>
                <w:szCs w:val="19"/>
              </w:rPr>
              <w:lastRenderedPageBreak/>
              <w:t>Website:</w:t>
            </w:r>
          </w:p>
        </w:tc>
      </w:tr>
      <w:tr w:rsidR="00DA00FD" w:rsidRPr="005A46C1" w14:paraId="68989404" w14:textId="77777777" w:rsidTr="00777080">
        <w:tc>
          <w:tcPr>
            <w:cnfStyle w:val="001000000000" w:firstRow="0" w:lastRow="0" w:firstColumn="1" w:lastColumn="0" w:oddVBand="0" w:evenVBand="0" w:oddHBand="0" w:evenHBand="0" w:firstRowFirstColumn="0" w:firstRowLastColumn="0" w:lastRowFirstColumn="0" w:lastRowLastColumn="0"/>
            <w:tcW w:w="5000" w:type="pct"/>
            <w:shd w:val="clear" w:color="auto" w:fill="FDE1CA" w:themeFill="accent4" w:themeFillTint="33"/>
          </w:tcPr>
          <w:p w14:paraId="538E41E0" w14:textId="77777777" w:rsidR="00DA00FD" w:rsidRPr="00174EBA" w:rsidRDefault="00DA00FD" w:rsidP="00B06F41">
            <w:pPr>
              <w:spacing w:before="80" w:after="80" w:line="240" w:lineRule="auto"/>
              <w:rPr>
                <w:b w:val="0"/>
                <w:sz w:val="18"/>
              </w:rPr>
            </w:pPr>
            <w:r w:rsidRPr="00174EBA">
              <w:rPr>
                <w:b w:val="0"/>
                <w:sz w:val="18"/>
              </w:rPr>
              <w:t>Endorsed regional qualifications framework</w:t>
            </w:r>
          </w:p>
          <w:p w14:paraId="138218A0" w14:textId="77777777" w:rsidR="00DA00FD" w:rsidRPr="00174EBA" w:rsidRDefault="00DA00FD" w:rsidP="00B06F41">
            <w:pPr>
              <w:spacing w:before="80" w:after="80" w:line="240" w:lineRule="auto"/>
              <w:rPr>
                <w:b w:val="0"/>
                <w:sz w:val="18"/>
              </w:rPr>
            </w:pPr>
            <w:r w:rsidRPr="00174EBA">
              <w:rPr>
                <w:b w:val="0"/>
                <w:sz w:val="18"/>
              </w:rPr>
              <w:t>Endorsed regional quality assurance framework</w:t>
            </w:r>
          </w:p>
          <w:p w14:paraId="00F77B56" w14:textId="77777777" w:rsidR="00DA00FD" w:rsidRPr="00174EBA" w:rsidRDefault="00DA00FD" w:rsidP="00B06F41">
            <w:pPr>
              <w:spacing w:before="80" w:after="80" w:line="240" w:lineRule="auto"/>
              <w:rPr>
                <w:b w:val="0"/>
                <w:sz w:val="18"/>
              </w:rPr>
            </w:pPr>
            <w:r w:rsidRPr="00174EBA">
              <w:rPr>
                <w:b w:val="0"/>
                <w:sz w:val="18"/>
              </w:rPr>
              <w:t>Summary of qualifications system for each member country</w:t>
            </w:r>
          </w:p>
          <w:p w14:paraId="3143311D" w14:textId="77777777" w:rsidR="00DA00FD" w:rsidRPr="00174EBA" w:rsidRDefault="00DA00FD" w:rsidP="00B06F41">
            <w:pPr>
              <w:spacing w:before="80" w:after="80" w:line="240" w:lineRule="auto"/>
              <w:rPr>
                <w:b w:val="0"/>
                <w:sz w:val="18"/>
              </w:rPr>
            </w:pPr>
            <w:r w:rsidRPr="00174EBA">
              <w:rPr>
                <w:b w:val="0"/>
                <w:sz w:val="18"/>
              </w:rPr>
              <w:t>Facility to compare NQFs with PQF (currently in place)</w:t>
            </w:r>
          </w:p>
          <w:p w14:paraId="79BFF914" w14:textId="77777777" w:rsidR="00DA00FD" w:rsidRPr="00174EBA" w:rsidRDefault="00DA00FD" w:rsidP="00B06F41">
            <w:pPr>
              <w:spacing w:before="80" w:after="80" w:line="240" w:lineRule="auto"/>
              <w:rPr>
                <w:b w:val="0"/>
                <w:sz w:val="18"/>
              </w:rPr>
            </w:pPr>
            <w:r w:rsidRPr="00174EBA">
              <w:rPr>
                <w:b w:val="0"/>
                <w:sz w:val="18"/>
              </w:rPr>
              <w:t>Facility to compare national QA systems with PQAF</w:t>
            </w:r>
          </w:p>
          <w:p w14:paraId="54C36DE9" w14:textId="7D70EC26" w:rsidR="00DA00FD" w:rsidRPr="00174EBA" w:rsidRDefault="00DA00FD" w:rsidP="00B06F41">
            <w:pPr>
              <w:spacing w:before="80" w:after="80" w:line="240" w:lineRule="auto"/>
              <w:rPr>
                <w:b w:val="0"/>
                <w:sz w:val="18"/>
              </w:rPr>
            </w:pPr>
            <w:r w:rsidRPr="00174EBA">
              <w:rPr>
                <w:b w:val="0"/>
                <w:sz w:val="18"/>
              </w:rPr>
              <w:t>All harmoni</w:t>
            </w:r>
            <w:r w:rsidR="00ED1337">
              <w:rPr>
                <w:b w:val="0"/>
                <w:sz w:val="18"/>
              </w:rPr>
              <w:t>s</w:t>
            </w:r>
            <w:r w:rsidRPr="00174EBA">
              <w:rPr>
                <w:b w:val="0"/>
                <w:sz w:val="18"/>
              </w:rPr>
              <w:t>ation documents (concept notes, guidelines and protocols; templates)</w:t>
            </w:r>
          </w:p>
          <w:p w14:paraId="685C6C9E" w14:textId="77777777" w:rsidR="00DA00FD" w:rsidRPr="00174EBA" w:rsidRDefault="00DA00FD" w:rsidP="00B06F41">
            <w:pPr>
              <w:spacing w:before="80" w:after="80" w:line="240" w:lineRule="auto"/>
              <w:rPr>
                <w:b w:val="0"/>
                <w:sz w:val="18"/>
              </w:rPr>
            </w:pPr>
            <w:r w:rsidRPr="00174EBA">
              <w:rPr>
                <w:b w:val="0"/>
                <w:sz w:val="18"/>
              </w:rPr>
              <w:t>All referencing reports and external evaluation quality reports</w:t>
            </w:r>
          </w:p>
          <w:p w14:paraId="3CBFD598" w14:textId="77777777" w:rsidR="00DA00FD" w:rsidRPr="00174EBA" w:rsidRDefault="00DA00FD" w:rsidP="00B06F41">
            <w:pPr>
              <w:spacing w:before="80" w:after="80" w:line="240" w:lineRule="auto"/>
              <w:rPr>
                <w:b w:val="0"/>
                <w:sz w:val="18"/>
              </w:rPr>
            </w:pPr>
            <w:r w:rsidRPr="00174EBA">
              <w:rPr>
                <w:b w:val="0"/>
                <w:sz w:val="18"/>
              </w:rPr>
              <w:t xml:space="preserve">Shared best practice of Traditional knowledge and indigenous skills </w:t>
            </w:r>
          </w:p>
          <w:p w14:paraId="26720D26" w14:textId="77777777" w:rsidR="00DA00FD" w:rsidRPr="00174EBA" w:rsidRDefault="00DA00FD" w:rsidP="00B06F41">
            <w:pPr>
              <w:spacing w:before="80" w:after="80" w:line="240" w:lineRule="auto"/>
              <w:rPr>
                <w:b w:val="0"/>
                <w:sz w:val="18"/>
              </w:rPr>
            </w:pPr>
            <w:r w:rsidRPr="00174EBA">
              <w:rPr>
                <w:b w:val="0"/>
                <w:sz w:val="18"/>
              </w:rPr>
              <w:t xml:space="preserve">Regionally agreed occupational standards with assessment and completion rules to meet either a: skills set or qualification. Currently the regional benchmarks are PDF documents. Consideration as to whether occupational standards/qualifications should be treated in the same way. </w:t>
            </w:r>
          </w:p>
          <w:p w14:paraId="006F37FC" w14:textId="77777777" w:rsidR="00DA00FD" w:rsidRPr="00174EBA" w:rsidRDefault="00DA00FD" w:rsidP="00B06F41">
            <w:pPr>
              <w:spacing w:before="80" w:after="80" w:line="240" w:lineRule="auto"/>
              <w:rPr>
                <w:b w:val="0"/>
                <w:sz w:val="18"/>
              </w:rPr>
            </w:pPr>
            <w:r w:rsidRPr="00174EBA">
              <w:rPr>
                <w:b w:val="0"/>
                <w:sz w:val="18"/>
              </w:rPr>
              <w:t>Register (Agencies and qualifications, Regional professional associations and licensing)</w:t>
            </w:r>
          </w:p>
          <w:p w14:paraId="45C37578" w14:textId="77777777" w:rsidR="00DA00FD" w:rsidRPr="00174EBA" w:rsidRDefault="00DA00FD" w:rsidP="00B06F41">
            <w:pPr>
              <w:spacing w:before="80" w:after="80" w:line="240" w:lineRule="auto"/>
              <w:rPr>
                <w:b w:val="0"/>
                <w:sz w:val="18"/>
              </w:rPr>
            </w:pPr>
            <w:r w:rsidRPr="00174EBA">
              <w:rPr>
                <w:b w:val="0"/>
                <w:sz w:val="18"/>
              </w:rPr>
              <w:t>Recognition services: information and application form</w:t>
            </w:r>
          </w:p>
          <w:p w14:paraId="767E5BE7" w14:textId="77777777" w:rsidR="00DA00FD" w:rsidRPr="00174EBA" w:rsidRDefault="00DA00FD" w:rsidP="00B06F41">
            <w:pPr>
              <w:spacing w:before="80" w:after="80" w:line="240" w:lineRule="auto"/>
              <w:rPr>
                <w:sz w:val="18"/>
              </w:rPr>
            </w:pPr>
            <w:r w:rsidRPr="00174EBA">
              <w:rPr>
                <w:b w:val="0"/>
                <w:sz w:val="18"/>
              </w:rPr>
              <w:t>Additional support documents for the PQF to be used as an NQF: PQF qualification type descriptors and credit profile</w:t>
            </w:r>
          </w:p>
        </w:tc>
      </w:tr>
    </w:tbl>
    <w:p w14:paraId="40735B42" w14:textId="664C3CA2" w:rsidR="00DA00FD" w:rsidRPr="001A140A" w:rsidRDefault="00DA00FD" w:rsidP="00456131">
      <w:pPr>
        <w:spacing w:line="240" w:lineRule="auto"/>
        <w:rPr>
          <w:b/>
          <w:color w:val="C00000"/>
        </w:rPr>
      </w:pPr>
      <w:bookmarkStart w:id="144" w:name="_Toc458892553"/>
      <w:r w:rsidRPr="001A140A">
        <w:rPr>
          <w:b/>
        </w:rPr>
        <w:lastRenderedPageBreak/>
        <w:t xml:space="preserve">Figure </w:t>
      </w:r>
      <w:r w:rsidRPr="001A140A">
        <w:rPr>
          <w:b/>
        </w:rPr>
        <w:fldChar w:fldCharType="begin"/>
      </w:r>
      <w:r w:rsidRPr="001A140A">
        <w:rPr>
          <w:b/>
        </w:rPr>
        <w:instrText xml:space="preserve"> SEQ Figure \* ARABIC </w:instrText>
      </w:r>
      <w:r w:rsidRPr="001A140A">
        <w:rPr>
          <w:b/>
        </w:rPr>
        <w:fldChar w:fldCharType="separate"/>
      </w:r>
      <w:r w:rsidR="000C512A">
        <w:rPr>
          <w:b/>
          <w:noProof/>
        </w:rPr>
        <w:t>2</w:t>
      </w:r>
      <w:r w:rsidRPr="001A140A">
        <w:rPr>
          <w:b/>
        </w:rPr>
        <w:fldChar w:fldCharType="end"/>
      </w:r>
      <w:r w:rsidRPr="001A140A">
        <w:rPr>
          <w:b/>
        </w:rPr>
        <w:t>: Proposed Greater Pacific Qualifications Framework</w:t>
      </w:r>
      <w:bookmarkEnd w:id="144"/>
    </w:p>
    <w:p w14:paraId="7C18E147" w14:textId="77777777" w:rsidR="00DA00FD" w:rsidRDefault="00DA00FD" w:rsidP="00DA00FD">
      <w:pPr>
        <w:spacing w:line="276" w:lineRule="auto"/>
        <w:rPr>
          <w:b/>
          <w:color w:val="C00000"/>
        </w:rPr>
      </w:pPr>
      <w:r w:rsidRPr="00BC57B6">
        <w:rPr>
          <w:b/>
          <w:color w:val="C00000"/>
        </w:rPr>
        <w:t>Governance</w:t>
      </w:r>
    </w:p>
    <w:p w14:paraId="61874964" w14:textId="73D7E762" w:rsidR="00DA00FD" w:rsidRDefault="00DA00FD" w:rsidP="00730F5E">
      <w:pPr>
        <w:spacing w:line="240" w:lineRule="auto"/>
      </w:pPr>
      <w:r>
        <w:t xml:space="preserve">The </w:t>
      </w:r>
      <w:r w:rsidR="004F1A08">
        <w:t xml:space="preserve">governing committee with manage and monitor </w:t>
      </w:r>
      <w:r>
        <w:t xml:space="preserve">the GPQF and associated structures and mechanisms. </w:t>
      </w:r>
    </w:p>
    <w:p w14:paraId="1E17710C" w14:textId="0F6550BF" w:rsidR="00DA00FD" w:rsidRDefault="00DA00FD" w:rsidP="00730F5E">
      <w:pPr>
        <w:spacing w:line="240" w:lineRule="auto"/>
      </w:pPr>
      <w:r>
        <w:t>The governing committee shall include all PIF</w:t>
      </w:r>
      <w:r w:rsidR="00C822A0">
        <w:t>s</w:t>
      </w:r>
      <w:r w:rsidR="00124F2B">
        <w:t xml:space="preserve"> </w:t>
      </w:r>
      <w:r>
        <w:t>as voting members (1 member per country, although additional staff can attend as observers).</w:t>
      </w:r>
      <w:r>
        <w:rPr>
          <w:rStyle w:val="FootnoteReference"/>
        </w:rPr>
        <w:footnoteReference w:id="101"/>
      </w:r>
      <w:r>
        <w:t xml:space="preserve"> All other Pacific </w:t>
      </w:r>
      <w:r w:rsidR="0090418E">
        <w:t xml:space="preserve">Nations </w:t>
      </w:r>
      <w:r>
        <w:t>recognised by PIF or SPC shall be given observer status.</w:t>
      </w:r>
      <w:r>
        <w:rPr>
          <w:rStyle w:val="FootnoteReference"/>
        </w:rPr>
        <w:footnoteReference w:id="102"/>
      </w:r>
      <w:r>
        <w:t xml:space="preserve"> Additional observers shall include:</w:t>
      </w:r>
    </w:p>
    <w:p w14:paraId="0458AC89" w14:textId="3F52DB58" w:rsidR="00DA00FD" w:rsidRPr="005715AB" w:rsidRDefault="00DA00FD" w:rsidP="00456131">
      <w:pPr>
        <w:pStyle w:val="ListParagraph"/>
        <w:numPr>
          <w:ilvl w:val="0"/>
          <w:numId w:val="47"/>
        </w:numPr>
      </w:pPr>
      <w:r w:rsidRPr="00785F15">
        <w:t xml:space="preserve">Donor representatives (1 per </w:t>
      </w:r>
      <w:r w:rsidR="00124F2B">
        <w:t xml:space="preserve">major </w:t>
      </w:r>
      <w:r w:rsidRPr="00785F15">
        <w:t>donor)</w:t>
      </w:r>
    </w:p>
    <w:p w14:paraId="58DFA8B5" w14:textId="77777777" w:rsidR="00DA00FD" w:rsidRPr="005715AB" w:rsidRDefault="00DA00FD" w:rsidP="00456131">
      <w:pPr>
        <w:pStyle w:val="ListParagraph"/>
        <w:numPr>
          <w:ilvl w:val="0"/>
          <w:numId w:val="47"/>
        </w:numPr>
      </w:pPr>
      <w:r w:rsidRPr="005715AB">
        <w:t xml:space="preserve">PIF advisors (3 = trade, education and economics). </w:t>
      </w:r>
    </w:p>
    <w:p w14:paraId="175816A7" w14:textId="77777777" w:rsidR="00DA00FD" w:rsidRDefault="00DA00FD" w:rsidP="00730F5E">
      <w:pPr>
        <w:spacing w:line="240" w:lineRule="auto"/>
      </w:pPr>
      <w:r>
        <w:t xml:space="preserve">Protocols for accepting new members, especially voting membership, should be developed over time. </w:t>
      </w:r>
    </w:p>
    <w:p w14:paraId="2969B18D" w14:textId="51BDE9BF" w:rsidR="00DA00FD" w:rsidRDefault="005B34D5" w:rsidP="00730F5E">
      <w:pPr>
        <w:spacing w:line="240" w:lineRule="auto"/>
      </w:pPr>
      <w:r>
        <w:t>Election of a</w:t>
      </w:r>
      <w:r w:rsidR="00DA00FD">
        <w:t xml:space="preserve"> Chair and Vice Chair shall be for up to a 2-year period. Selection shall be in line with PIF protocols or, alternatively, they could be voted in, or be on rotating basis. Voting protocols shall also be in line with PIF protocols. </w:t>
      </w:r>
    </w:p>
    <w:p w14:paraId="56CD407E" w14:textId="77777777" w:rsidR="00DA00FD" w:rsidRDefault="00DA00FD" w:rsidP="00730F5E">
      <w:pPr>
        <w:spacing w:line="240" w:lineRule="auto"/>
      </w:pPr>
      <w:r>
        <w:t>Face-to-face meetings shall be conducted on a regular basis for the next 3–5 years, at least twice a year, to best inform the members and allow time for discussion:</w:t>
      </w:r>
    </w:p>
    <w:p w14:paraId="1B300C8C" w14:textId="1D0FE168" w:rsidR="00DA00FD" w:rsidRPr="005715AB" w:rsidRDefault="00DA00FD" w:rsidP="00B928AC">
      <w:pPr>
        <w:pStyle w:val="ListParagraph"/>
        <w:numPr>
          <w:ilvl w:val="0"/>
          <w:numId w:val="88"/>
        </w:numPr>
      </w:pPr>
      <w:r w:rsidRPr="00785F15">
        <w:t>Meetings shall focus on confirming reports, concept notes and guidelines. For Pacific members to und</w:t>
      </w:r>
      <w:r w:rsidRPr="005715AB">
        <w:t xml:space="preserve">erstand the issues, meetings may be preceded by a workshop focussing on the issues to be discussed. </w:t>
      </w:r>
    </w:p>
    <w:p w14:paraId="1D5E2A7B" w14:textId="5D2F1F7D" w:rsidR="00DA00FD" w:rsidRPr="005715AB" w:rsidRDefault="001C5364" w:rsidP="00B928AC">
      <w:pPr>
        <w:pStyle w:val="ListParagraph"/>
        <w:numPr>
          <w:ilvl w:val="0"/>
          <w:numId w:val="88"/>
        </w:numPr>
      </w:pPr>
      <w:r>
        <w:t>Distribution of m</w:t>
      </w:r>
      <w:r w:rsidR="00DA00FD" w:rsidRPr="005715AB">
        <w:t xml:space="preserve">eeting papers to members no later than two weeks prior to the meeting. </w:t>
      </w:r>
    </w:p>
    <w:p w14:paraId="40907F6F" w14:textId="64D0C49B" w:rsidR="00DA00FD" w:rsidRDefault="001C5364" w:rsidP="00730F5E">
      <w:pPr>
        <w:spacing w:line="240" w:lineRule="auto"/>
      </w:pPr>
      <w:r>
        <w:t xml:space="preserve">To </w:t>
      </w:r>
      <w:r w:rsidR="00DA00FD">
        <w:t xml:space="preserve">promote support, engagement and drive </w:t>
      </w:r>
      <w:r>
        <w:t xml:space="preserve">progress, additional meetings via Skype or teleconferences can be undertaken. </w:t>
      </w:r>
      <w:r w:rsidR="00DA00FD">
        <w:t xml:space="preserve"> </w:t>
      </w:r>
    </w:p>
    <w:p w14:paraId="02759B7F" w14:textId="77777777" w:rsidR="00DA00FD" w:rsidRDefault="00DA00FD" w:rsidP="00730F5E">
      <w:pPr>
        <w:spacing w:line="240" w:lineRule="auto"/>
      </w:pPr>
      <w:r>
        <w:t>The governing committee terms of reference shall include:</w:t>
      </w:r>
    </w:p>
    <w:p w14:paraId="74DB0644" w14:textId="77777777" w:rsidR="00DA00FD" w:rsidRPr="005715AB" w:rsidRDefault="00DA00FD" w:rsidP="00456131">
      <w:pPr>
        <w:pStyle w:val="ListParagraph"/>
        <w:numPr>
          <w:ilvl w:val="0"/>
          <w:numId w:val="87"/>
        </w:numPr>
      </w:pPr>
      <w:r w:rsidRPr="00456131">
        <w:rPr>
          <w:lang w:val="en-US"/>
        </w:rPr>
        <w:t xml:space="preserve">Ensuring </w:t>
      </w:r>
      <w:r w:rsidRPr="005715AB">
        <w:t>that the GPQF is implemented in a transparent, trustworthy and coherent way across the Pacific member countries:</w:t>
      </w:r>
    </w:p>
    <w:p w14:paraId="118C4237" w14:textId="77777777" w:rsidR="00DA00FD" w:rsidRPr="0089170C" w:rsidRDefault="00DA00FD" w:rsidP="00456131">
      <w:pPr>
        <w:pStyle w:val="ListParagraph"/>
      </w:pPr>
      <w:r w:rsidRPr="005715AB">
        <w:t>Strategic management for the continued implementation of the GPQF and associated structures and mechanisms</w:t>
      </w:r>
    </w:p>
    <w:p w14:paraId="4CD4E490" w14:textId="77777777" w:rsidR="00DA00FD" w:rsidRPr="00894AF2" w:rsidRDefault="00DA00FD" w:rsidP="00456131">
      <w:pPr>
        <w:pStyle w:val="ListParagraph"/>
      </w:pPr>
      <w:r w:rsidRPr="00894AF2">
        <w:t>Consideration of self-assessment reports submitted from each ‘new’ competent body on how the national qualification system relates to the levels of the PQF and PQAF</w:t>
      </w:r>
    </w:p>
    <w:p w14:paraId="1E514513" w14:textId="77777777" w:rsidR="00DA00FD" w:rsidRPr="00BA2649" w:rsidRDefault="00DA00FD" w:rsidP="00456131">
      <w:pPr>
        <w:pStyle w:val="ListParagraph"/>
      </w:pPr>
      <w:r w:rsidRPr="00894AF2">
        <w:t>Consideration of external review reports submitted from each recognized competent body o</w:t>
      </w:r>
      <w:r w:rsidRPr="00BA2649">
        <w:t>n how its quality assurance arrangements meet PQAF (every 5 years), including follow up of any action plans</w:t>
      </w:r>
    </w:p>
    <w:p w14:paraId="2ED3BECC" w14:textId="77777777" w:rsidR="00DA00FD" w:rsidRPr="00DD2BA7" w:rsidRDefault="00DA00FD" w:rsidP="00456131">
      <w:pPr>
        <w:pStyle w:val="ListParagraph"/>
        <w:rPr>
          <w:lang w:val="en-US"/>
        </w:rPr>
      </w:pPr>
      <w:r w:rsidRPr="002815FD">
        <w:t>Consid</w:t>
      </w:r>
      <w:r w:rsidRPr="00DD2BA7">
        <w:rPr>
          <w:lang w:val="en-US"/>
        </w:rPr>
        <w:t>eration of a referencing report submitted from each PIF’s referencing panel on how the national qualification system relates to the levels of the PQF and PQAF</w:t>
      </w:r>
    </w:p>
    <w:p w14:paraId="0C4B6A3C" w14:textId="77777777" w:rsidR="00DA00FD" w:rsidRPr="00DD2BA7" w:rsidRDefault="00DA00FD" w:rsidP="00456131">
      <w:pPr>
        <w:pStyle w:val="ListParagraph"/>
      </w:pPr>
      <w:r w:rsidRPr="00DD2BA7">
        <w:t xml:space="preserve">Oversight of the schedules for external review and for referencing by each participating PIF </w:t>
      </w:r>
    </w:p>
    <w:p w14:paraId="44373645" w14:textId="77777777" w:rsidR="00DA00FD" w:rsidRPr="00BA2649" w:rsidRDefault="00DA00FD" w:rsidP="00456131">
      <w:pPr>
        <w:pStyle w:val="ListParagraph"/>
      </w:pPr>
      <w:r w:rsidRPr="00DD2BA7">
        <w:lastRenderedPageBreak/>
        <w:t>Facilitation of the identification and development of regional occupational standards and resultant regional qualifications; and approving these outcomes.</w:t>
      </w:r>
      <w:r w:rsidRPr="00BA2649">
        <w:footnoteReference w:id="103"/>
      </w:r>
      <w:r w:rsidRPr="00BA2649">
        <w:t xml:space="preserve"> These standards will be listed on the Pacific Register as regional occupational standards (and qualifications).</w:t>
      </w:r>
    </w:p>
    <w:p w14:paraId="1529D0EE" w14:textId="77777777" w:rsidR="00DA00FD" w:rsidRPr="002815FD" w:rsidRDefault="00DA00FD" w:rsidP="00456131">
      <w:pPr>
        <w:pStyle w:val="ListParagraph"/>
      </w:pPr>
      <w:r w:rsidRPr="00BA2649">
        <w:t>Facilitation of benchmarking activities, including: benchmarking of accreditation and registration criteria and processes of PIFs com</w:t>
      </w:r>
      <w:r w:rsidRPr="002815FD">
        <w:t>petent bodies, evaluation and assessment of foreign qualifications for learner or labour mobility, and, country processes for assigning PQF levels for country qualifications entry onto the register</w:t>
      </w:r>
    </w:p>
    <w:p w14:paraId="00410877" w14:textId="77777777" w:rsidR="00DA00FD" w:rsidRPr="00DD2BA7" w:rsidRDefault="00DA00FD" w:rsidP="00456131">
      <w:pPr>
        <w:pStyle w:val="ListParagraph"/>
      </w:pPr>
      <w:r w:rsidRPr="00DD2BA7">
        <w:t>Promotion of the use of the GPQF among PIFs to enable support for lifelong learning (for flexible qualification linkages and pathways in education and training within and across all education and business sectors, including recognition of non-formal and informal learning)</w:t>
      </w:r>
    </w:p>
    <w:p w14:paraId="59EE7414" w14:textId="77777777" w:rsidR="00DA00FD" w:rsidRPr="00DD2BA7" w:rsidRDefault="00DA00FD" w:rsidP="00456131">
      <w:pPr>
        <w:pStyle w:val="ListParagraph"/>
      </w:pPr>
      <w:r w:rsidRPr="00DD2BA7">
        <w:t>Promotion of the quality assurance processes that underpin the GPQF and fostering use of quality assurance frameworks as a benchmark</w:t>
      </w:r>
    </w:p>
    <w:p w14:paraId="2BE7FB9C" w14:textId="77777777" w:rsidR="00DA00FD" w:rsidRPr="00DD2BA7" w:rsidRDefault="00DA00FD" w:rsidP="00456131">
      <w:pPr>
        <w:pStyle w:val="ListParagraph"/>
      </w:pPr>
      <w:r w:rsidRPr="00DD2BA7">
        <w:t>Facilitation of the GPQF in addressing emerging regional and international qualifications framework issues in the regional and international arena</w:t>
      </w:r>
    </w:p>
    <w:p w14:paraId="7DAC5773" w14:textId="77777777" w:rsidR="00DA00FD" w:rsidRPr="00DD2BA7" w:rsidRDefault="00DA00FD" w:rsidP="00456131">
      <w:pPr>
        <w:pStyle w:val="ListParagraph"/>
      </w:pPr>
      <w:r w:rsidRPr="00DD2BA7">
        <w:t>Enhancing the effectiveness of the GPQF by monitoring and evaluating its implementation</w:t>
      </w:r>
    </w:p>
    <w:p w14:paraId="57A3D76E" w14:textId="77777777" w:rsidR="00DA00FD" w:rsidRPr="00DD2BA7" w:rsidRDefault="00DA00FD" w:rsidP="00456131">
      <w:pPr>
        <w:pStyle w:val="ListParagraph"/>
      </w:pPr>
      <w:r w:rsidRPr="00DD2BA7">
        <w:t>Periodically reporting to higher relevant bodies on progress and activities and on further strategic steps to improve regional and national consistency and relevance, such as PIF ministers and donors</w:t>
      </w:r>
    </w:p>
    <w:p w14:paraId="438C6C28" w14:textId="77777777" w:rsidR="00DA00FD" w:rsidRPr="00DD2BA7" w:rsidRDefault="00DA00FD" w:rsidP="00456131">
      <w:pPr>
        <w:pStyle w:val="ListParagraph"/>
      </w:pPr>
      <w:r w:rsidRPr="00DD2BA7">
        <w:t>Provision of information and advice on the GPQF to interested parties</w:t>
      </w:r>
    </w:p>
    <w:p w14:paraId="7D1E0229" w14:textId="77777777" w:rsidR="00DA00FD" w:rsidRPr="00DD2BA7" w:rsidRDefault="00DA00FD" w:rsidP="00456131">
      <w:pPr>
        <w:pStyle w:val="ListParagraph"/>
      </w:pPr>
      <w:r w:rsidRPr="00DD2BA7">
        <w:t>Sharing approaches for further capacity building related to GPQF among PIFs</w:t>
      </w:r>
    </w:p>
    <w:p w14:paraId="0345D19D" w14:textId="77777777" w:rsidR="00DA00FD" w:rsidRPr="00DD2BA7" w:rsidRDefault="00DA00FD" w:rsidP="00456131">
      <w:pPr>
        <w:pStyle w:val="ListParagraph"/>
      </w:pPr>
      <w:r w:rsidRPr="00DD2BA7">
        <w:t xml:space="preserve">Consideration of concept notes and guidelines (e.g. for referencing) to enhance a common understanding of PIFs. </w:t>
      </w:r>
    </w:p>
    <w:p w14:paraId="28872B1C" w14:textId="77777777" w:rsidR="00DA00FD" w:rsidRDefault="00DA00FD" w:rsidP="00C35EB4">
      <w:pPr>
        <w:pStyle w:val="PacHead3"/>
      </w:pPr>
      <w:r>
        <w:t>Secretariat</w:t>
      </w:r>
    </w:p>
    <w:p w14:paraId="648D980E" w14:textId="1DA62076" w:rsidR="00DA00FD" w:rsidRDefault="00DA00FD" w:rsidP="00730F5E">
      <w:pPr>
        <w:spacing w:line="240" w:lineRule="auto"/>
      </w:pPr>
      <w:r>
        <w:t xml:space="preserve">The roles of the governing committee are extensive and it will require significant support by the Secretariat to ease the management and administrative burden of the governing committee. </w:t>
      </w:r>
      <w:r w:rsidR="005B34D5">
        <w:t>The</w:t>
      </w:r>
      <w:r>
        <w:t xml:space="preserve"> Secretariat </w:t>
      </w:r>
      <w:r w:rsidR="005B34D5">
        <w:t>should</w:t>
      </w:r>
      <w:r>
        <w:t xml:space="preserve"> work closely with and support the Chair and Vice Chair.</w:t>
      </w:r>
    </w:p>
    <w:p w14:paraId="270F3B7C" w14:textId="77777777" w:rsidR="00DA00FD" w:rsidRDefault="00DA00FD" w:rsidP="00730F5E">
      <w:pPr>
        <w:spacing w:line="240" w:lineRule="auto"/>
      </w:pPr>
      <w:r>
        <w:t>The Secretariat shall have the following key functions:</w:t>
      </w:r>
    </w:p>
    <w:p w14:paraId="0E69DB31" w14:textId="77777777" w:rsidR="00DA00FD" w:rsidRPr="00DD2BA7" w:rsidRDefault="00DA00FD" w:rsidP="00456131">
      <w:pPr>
        <w:pStyle w:val="ListParagraph"/>
        <w:numPr>
          <w:ilvl w:val="0"/>
          <w:numId w:val="45"/>
        </w:numPr>
      </w:pPr>
      <w:r w:rsidRPr="00DD2BA7">
        <w:t>Provide support to the governing committee and work directly with the Chair. This function will include, but is not limited to:</w:t>
      </w:r>
    </w:p>
    <w:p w14:paraId="0E0AA3CC" w14:textId="3CD76E67" w:rsidR="00DA00FD" w:rsidRPr="00DD2BA7" w:rsidRDefault="00DA00FD" w:rsidP="00456131">
      <w:pPr>
        <w:pStyle w:val="ListParagraph"/>
        <w:numPr>
          <w:ilvl w:val="1"/>
          <w:numId w:val="41"/>
        </w:numPr>
      </w:pPr>
      <w:r w:rsidRPr="00DD2BA7">
        <w:t xml:space="preserve">Management of the Pacific Register. This includes review of submitted entries by recognised competent bodies and making robust evidence-based recommendations to the governing committee in </w:t>
      </w:r>
      <w:r w:rsidR="004F1A08" w:rsidRPr="00DD2BA7">
        <w:t xml:space="preserve">relation </w:t>
      </w:r>
      <w:r w:rsidRPr="00DD2BA7">
        <w:t>to inclusion on the register.</w:t>
      </w:r>
    </w:p>
    <w:p w14:paraId="493A770A" w14:textId="77777777" w:rsidR="00DA00FD" w:rsidRPr="00DD2BA7" w:rsidRDefault="00DA00FD" w:rsidP="00456131">
      <w:pPr>
        <w:pStyle w:val="ListParagraph"/>
        <w:numPr>
          <w:ilvl w:val="1"/>
          <w:numId w:val="41"/>
        </w:numPr>
      </w:pPr>
      <w:r w:rsidRPr="00DD2BA7">
        <w:t xml:space="preserve">Management of schedules, meetings, workshops </w:t>
      </w:r>
    </w:p>
    <w:p w14:paraId="62F5A1BB" w14:textId="77777777" w:rsidR="00DA00FD" w:rsidRPr="00DD2BA7" w:rsidRDefault="00DA00FD" w:rsidP="00456131">
      <w:pPr>
        <w:pStyle w:val="ListParagraph"/>
        <w:numPr>
          <w:ilvl w:val="1"/>
          <w:numId w:val="41"/>
        </w:numPr>
      </w:pPr>
      <w:r w:rsidRPr="00DD2BA7">
        <w:t xml:space="preserve">Management of the development of regional occupations (and/or qualifications), including sourcing supplementary funding to assist the development – although, as much as possible, collaboration between the countries and territories is the desired model. </w:t>
      </w:r>
    </w:p>
    <w:p w14:paraId="044A80BE" w14:textId="77777777" w:rsidR="00DA00FD" w:rsidRPr="00DD2BA7" w:rsidRDefault="00DA00FD" w:rsidP="00456131">
      <w:pPr>
        <w:pStyle w:val="ListParagraph"/>
        <w:numPr>
          <w:ilvl w:val="1"/>
          <w:numId w:val="41"/>
        </w:numPr>
      </w:pPr>
      <w:r w:rsidRPr="00DD2BA7">
        <w:t>Provision of robust evidence-based recommendations to the governing committee in terms of approving regional occupational standards and qualifications. Monitoring and maintenance of the regional occupational standards and qualifications to ensure the currency and ongoing relevance.</w:t>
      </w:r>
    </w:p>
    <w:p w14:paraId="3939AB87" w14:textId="77777777" w:rsidR="00DA00FD" w:rsidRPr="00DD2BA7" w:rsidRDefault="00DA00FD" w:rsidP="00456131">
      <w:pPr>
        <w:pStyle w:val="ListParagraph"/>
        <w:numPr>
          <w:ilvl w:val="1"/>
          <w:numId w:val="41"/>
        </w:numPr>
      </w:pPr>
      <w:r w:rsidRPr="00DD2BA7">
        <w:lastRenderedPageBreak/>
        <w:t>Maintaining the website and providing a central point for international relationships, including representing the governing committee in international fora</w:t>
      </w:r>
    </w:p>
    <w:p w14:paraId="74761DDA" w14:textId="77777777" w:rsidR="00DA00FD" w:rsidRPr="00DD2BA7" w:rsidRDefault="00DA00FD" w:rsidP="00456131">
      <w:pPr>
        <w:pStyle w:val="ListParagraph"/>
        <w:numPr>
          <w:ilvl w:val="1"/>
          <w:numId w:val="41"/>
        </w:numPr>
      </w:pPr>
      <w:r w:rsidRPr="00DD2BA7">
        <w:t>Preparing all reporting documents and ensuring timelines are met, including to donors, and PIF ministers.</w:t>
      </w:r>
    </w:p>
    <w:p w14:paraId="05B18778" w14:textId="77777777" w:rsidR="00DA00FD" w:rsidRPr="00DD2BA7" w:rsidRDefault="00DA00FD" w:rsidP="00456131">
      <w:pPr>
        <w:pStyle w:val="ListParagraph"/>
        <w:numPr>
          <w:ilvl w:val="0"/>
          <w:numId w:val="45"/>
        </w:numPr>
      </w:pPr>
      <w:r w:rsidRPr="00DD2BA7">
        <w:t xml:space="preserve">Providing technical support to PIF countries and territories. </w:t>
      </w:r>
      <w:r w:rsidRPr="00DD2BA7">
        <w:br/>
        <w:t xml:space="preserve">The Secretariat will provide (or source) support to members. This support needs to be regionally strategic but also responsive to national priorities. The support should align with the core functions of the future model and should encourage the implementation of the said model. </w:t>
      </w:r>
    </w:p>
    <w:p w14:paraId="59133F97" w14:textId="77777777" w:rsidR="00C234F2" w:rsidRDefault="00DA00FD" w:rsidP="00456131">
      <w:pPr>
        <w:pStyle w:val="ListParagraph"/>
        <w:numPr>
          <w:ilvl w:val="0"/>
          <w:numId w:val="45"/>
        </w:numPr>
      </w:pPr>
      <w:r w:rsidRPr="00DD2BA7">
        <w:t>Ensuring donor reporting requirements are met and collating annual reports</w:t>
      </w:r>
    </w:p>
    <w:p w14:paraId="61226EB5" w14:textId="0A4702F8" w:rsidR="00C234F2" w:rsidRPr="00DD2BA7" w:rsidRDefault="00C234F2" w:rsidP="00C234F2">
      <w:pPr>
        <w:pStyle w:val="ListParagraph"/>
        <w:numPr>
          <w:ilvl w:val="0"/>
          <w:numId w:val="45"/>
        </w:numPr>
      </w:pPr>
      <w:r w:rsidRPr="00DD2BA7">
        <w:t xml:space="preserve">Support recognition services. </w:t>
      </w:r>
      <w:r w:rsidRPr="00DD2BA7">
        <w:br/>
        <w:t xml:space="preserve">The Secretariat will provide recognition services in relation to foreign qualifications on behalf of the governing committee, ensuring that the decisions are consistent and evidence based. </w:t>
      </w:r>
      <w:r w:rsidRPr="00DD2BA7">
        <w:br/>
        <w:t>The Secretariat will also maintain an information repository of details of international qualifications systems to better inform the national competent bodies. This facility will aim to support the consistency of qualification evaluation decisions made by competent bodies, as well as encourage consistent data collection of recognition services undertaken by Member Nations. It is to provide a central point for collated data on the level and nature of recognition of qualifications, to better inform regional initiatives.</w:t>
      </w:r>
      <w:r>
        <w:rPr>
          <w:rStyle w:val="FootnoteReference"/>
        </w:rPr>
        <w:footnoteReference w:id="104"/>
      </w:r>
      <w:r w:rsidRPr="00DD2BA7">
        <w:t xml:space="preserve"> </w:t>
      </w:r>
    </w:p>
    <w:p w14:paraId="3B77191A" w14:textId="77777777" w:rsidR="00F610A8" w:rsidRDefault="00F610A8" w:rsidP="00C35EB4">
      <w:pPr>
        <w:pStyle w:val="PacHead3"/>
      </w:pPr>
      <w:r>
        <w:t>Timelines</w:t>
      </w:r>
    </w:p>
    <w:p w14:paraId="630ABFC1" w14:textId="77777777" w:rsidR="00F610A8" w:rsidRDefault="00F610A8" w:rsidP="00730F5E">
      <w:pPr>
        <w:spacing w:line="240" w:lineRule="auto"/>
      </w:pPr>
      <w:r>
        <w:t>The proposed governing committee and its Secretariat will need to develop:</w:t>
      </w:r>
    </w:p>
    <w:p w14:paraId="2E6B29A1" w14:textId="77777777" w:rsidR="00F610A8" w:rsidRPr="00DD2BA7" w:rsidRDefault="00F610A8" w:rsidP="00456131">
      <w:pPr>
        <w:pStyle w:val="ListParagraph"/>
        <w:numPr>
          <w:ilvl w:val="0"/>
          <w:numId w:val="48"/>
        </w:numPr>
      </w:pPr>
      <w:r w:rsidRPr="00DD2BA7">
        <w:t>A strategic plan</w:t>
      </w:r>
    </w:p>
    <w:p w14:paraId="6028C926" w14:textId="77777777" w:rsidR="00F610A8" w:rsidRPr="00DD2BA7" w:rsidRDefault="00F610A8" w:rsidP="00456131">
      <w:pPr>
        <w:pStyle w:val="ListParagraph"/>
        <w:numPr>
          <w:ilvl w:val="0"/>
          <w:numId w:val="48"/>
        </w:numPr>
      </w:pPr>
      <w:r w:rsidRPr="00DD2BA7">
        <w:t xml:space="preserve">A business case for transition. </w:t>
      </w:r>
    </w:p>
    <w:p w14:paraId="17B99179" w14:textId="66ECDF1D" w:rsidR="00F610A8" w:rsidRDefault="00F610A8" w:rsidP="00730F5E">
      <w:pPr>
        <w:spacing w:line="240" w:lineRule="auto"/>
      </w:pPr>
      <w:r>
        <w:t xml:space="preserve">The implementation of the revised model should include achievable and identifiable steps. These steps as documented are skeletal in nature, but outline clearly what needs to be achieved over the next eight years. It is important for the governing committee to establish a well-grounded monitoring and evaluation plan to effectively inform their practices. The monitoring and evaluation plan should look beyond the achievement of key actions (e.g. number of meetings, document confirmed) to focus on whether trust and confidence in member countries has been achieved; how well the structures and mechanisms have contributed to the developments; and, what future strategic directions could considered. </w:t>
      </w:r>
    </w:p>
    <w:p w14:paraId="450E7A31" w14:textId="77777777" w:rsidR="00F610A8" w:rsidRDefault="00F610A8" w:rsidP="00730F5E">
      <w:pPr>
        <w:spacing w:line="240" w:lineRule="auto"/>
      </w:pPr>
      <w:r>
        <w:t>It is suggested that the following timelines for 1, 3, 5 and 8 years be considered.</w:t>
      </w:r>
    </w:p>
    <w:p w14:paraId="57727C39" w14:textId="71CB82BD" w:rsidR="00F610A8" w:rsidRPr="00122600" w:rsidRDefault="00F610A8" w:rsidP="00730F5E">
      <w:pPr>
        <w:pStyle w:val="Caption"/>
        <w:spacing w:line="240" w:lineRule="auto"/>
        <w:rPr>
          <w:rFonts w:asciiTheme="minorHAnsi" w:hAnsiTheme="minorHAnsi"/>
          <w:b w:val="0"/>
          <w:color w:val="auto"/>
          <w:sz w:val="21"/>
          <w:szCs w:val="21"/>
        </w:rPr>
      </w:pPr>
      <w:bookmarkStart w:id="145" w:name="_Toc458892566"/>
      <w:r w:rsidRPr="00122600">
        <w:rPr>
          <w:rFonts w:asciiTheme="minorHAnsi" w:hAnsiTheme="minorHAnsi"/>
          <w:color w:val="auto"/>
          <w:sz w:val="21"/>
          <w:szCs w:val="21"/>
        </w:rPr>
        <w:t xml:space="preserve">Table </w:t>
      </w:r>
      <w:r w:rsidRPr="00122600">
        <w:rPr>
          <w:rFonts w:asciiTheme="minorHAnsi" w:hAnsiTheme="minorHAnsi"/>
          <w:color w:val="auto"/>
          <w:sz w:val="21"/>
          <w:szCs w:val="21"/>
        </w:rPr>
        <w:fldChar w:fldCharType="begin"/>
      </w:r>
      <w:r w:rsidRPr="00122600">
        <w:rPr>
          <w:rFonts w:asciiTheme="minorHAnsi" w:hAnsiTheme="minorHAnsi"/>
          <w:color w:val="auto"/>
          <w:sz w:val="21"/>
          <w:szCs w:val="21"/>
        </w:rPr>
        <w:instrText xml:space="preserve"> SEQ Table \* ARABIC </w:instrText>
      </w:r>
      <w:r w:rsidRPr="00122600">
        <w:rPr>
          <w:rFonts w:asciiTheme="minorHAnsi" w:hAnsiTheme="minorHAnsi"/>
          <w:color w:val="auto"/>
          <w:sz w:val="21"/>
          <w:szCs w:val="21"/>
        </w:rPr>
        <w:fldChar w:fldCharType="separate"/>
      </w:r>
      <w:r w:rsidR="000C512A">
        <w:rPr>
          <w:rFonts w:asciiTheme="minorHAnsi" w:hAnsiTheme="minorHAnsi"/>
          <w:noProof/>
          <w:color w:val="auto"/>
          <w:sz w:val="21"/>
          <w:szCs w:val="21"/>
        </w:rPr>
        <w:t>11</w:t>
      </w:r>
      <w:r w:rsidRPr="00122600">
        <w:rPr>
          <w:rFonts w:asciiTheme="minorHAnsi" w:hAnsiTheme="minorHAnsi"/>
          <w:color w:val="auto"/>
          <w:sz w:val="21"/>
          <w:szCs w:val="21"/>
        </w:rPr>
        <w:fldChar w:fldCharType="end"/>
      </w:r>
      <w:r w:rsidRPr="00122600">
        <w:rPr>
          <w:rFonts w:asciiTheme="minorHAnsi" w:hAnsiTheme="minorHAnsi"/>
          <w:color w:val="auto"/>
          <w:sz w:val="21"/>
          <w:szCs w:val="21"/>
        </w:rPr>
        <w:t>: Timelines and actions</w:t>
      </w:r>
      <w:bookmarkEnd w:id="145"/>
    </w:p>
    <w:tbl>
      <w:tblPr>
        <w:tblStyle w:val="TableGrid"/>
        <w:tblW w:w="5000" w:type="pct"/>
        <w:tblLayout w:type="fixed"/>
        <w:tblLook w:val="04A0" w:firstRow="1" w:lastRow="0" w:firstColumn="1" w:lastColumn="0" w:noHBand="0" w:noVBand="1"/>
      </w:tblPr>
      <w:tblGrid>
        <w:gridCol w:w="1129"/>
        <w:gridCol w:w="8051"/>
      </w:tblGrid>
      <w:tr w:rsidR="00F610A8" w:rsidRPr="00D141C3" w14:paraId="6BEAE9BA" w14:textId="77777777" w:rsidTr="00F610A8">
        <w:trPr>
          <w:tblHeader/>
        </w:trPr>
        <w:tc>
          <w:tcPr>
            <w:tcW w:w="615" w:type="pct"/>
            <w:shd w:val="clear" w:color="auto" w:fill="D9D9D9" w:themeFill="background1" w:themeFillShade="D9"/>
          </w:tcPr>
          <w:p w14:paraId="5E14690D" w14:textId="77777777" w:rsidR="00F610A8" w:rsidRPr="00D141C3" w:rsidRDefault="00F610A8" w:rsidP="00F610A8">
            <w:pPr>
              <w:spacing w:after="0" w:line="240" w:lineRule="auto"/>
              <w:rPr>
                <w:b/>
                <w:sz w:val="20"/>
                <w:szCs w:val="20"/>
              </w:rPr>
            </w:pPr>
            <w:r w:rsidRPr="00D141C3">
              <w:rPr>
                <w:b/>
                <w:sz w:val="20"/>
                <w:szCs w:val="20"/>
              </w:rPr>
              <w:t xml:space="preserve">Timelines </w:t>
            </w:r>
          </w:p>
        </w:tc>
        <w:tc>
          <w:tcPr>
            <w:tcW w:w="4385" w:type="pct"/>
            <w:shd w:val="clear" w:color="auto" w:fill="D9D9D9" w:themeFill="background1" w:themeFillShade="D9"/>
          </w:tcPr>
          <w:p w14:paraId="500F0977" w14:textId="77777777" w:rsidR="00F610A8" w:rsidRPr="00D141C3" w:rsidRDefault="00F610A8" w:rsidP="00F610A8">
            <w:pPr>
              <w:spacing w:after="0" w:line="240" w:lineRule="auto"/>
              <w:rPr>
                <w:b/>
                <w:sz w:val="20"/>
                <w:szCs w:val="20"/>
              </w:rPr>
            </w:pPr>
            <w:r w:rsidRPr="00D141C3">
              <w:rPr>
                <w:b/>
                <w:sz w:val="20"/>
                <w:szCs w:val="20"/>
              </w:rPr>
              <w:t>Actions to be completed</w:t>
            </w:r>
          </w:p>
        </w:tc>
      </w:tr>
      <w:tr w:rsidR="00F610A8" w:rsidRPr="00D141C3" w14:paraId="615B89CA" w14:textId="77777777" w:rsidTr="00F610A8">
        <w:tc>
          <w:tcPr>
            <w:tcW w:w="615" w:type="pct"/>
          </w:tcPr>
          <w:p w14:paraId="2E157A0F" w14:textId="77777777" w:rsidR="00F610A8" w:rsidRPr="00D141C3" w:rsidRDefault="00F610A8" w:rsidP="00F610A8">
            <w:pPr>
              <w:spacing w:line="240" w:lineRule="auto"/>
              <w:rPr>
                <w:sz w:val="20"/>
                <w:szCs w:val="20"/>
              </w:rPr>
            </w:pPr>
            <w:r w:rsidRPr="00D141C3">
              <w:rPr>
                <w:sz w:val="20"/>
                <w:szCs w:val="20"/>
              </w:rPr>
              <w:t>1 year</w:t>
            </w:r>
          </w:p>
        </w:tc>
        <w:tc>
          <w:tcPr>
            <w:tcW w:w="4385" w:type="pct"/>
          </w:tcPr>
          <w:p w14:paraId="08F86419" w14:textId="77777777" w:rsidR="00F610A8" w:rsidRPr="00D141C3" w:rsidRDefault="00F610A8" w:rsidP="00F610A8">
            <w:pPr>
              <w:spacing w:line="240" w:lineRule="auto"/>
              <w:rPr>
                <w:sz w:val="20"/>
                <w:szCs w:val="20"/>
              </w:rPr>
            </w:pPr>
            <w:r w:rsidRPr="00D141C3">
              <w:rPr>
                <w:sz w:val="20"/>
                <w:szCs w:val="20"/>
              </w:rPr>
              <w:t xml:space="preserve">Concept document for the revised Pacific model finalised and confirmed by governing committee and by PIF ministers, including framework, support structures and mechanisms, obligations of members, role of governing committee. </w:t>
            </w:r>
          </w:p>
          <w:p w14:paraId="3C24D3F8" w14:textId="77777777" w:rsidR="00F610A8" w:rsidRPr="00D141C3" w:rsidRDefault="00F610A8" w:rsidP="00F610A8">
            <w:pPr>
              <w:spacing w:line="240" w:lineRule="auto"/>
              <w:rPr>
                <w:sz w:val="20"/>
                <w:szCs w:val="20"/>
              </w:rPr>
            </w:pPr>
            <w:r w:rsidRPr="00D141C3">
              <w:rPr>
                <w:sz w:val="20"/>
                <w:szCs w:val="20"/>
              </w:rPr>
              <w:t>Separation of associated NQF documents finalised</w:t>
            </w:r>
          </w:p>
          <w:p w14:paraId="6BE4B678" w14:textId="77777777" w:rsidR="00F610A8" w:rsidRPr="00D141C3" w:rsidRDefault="00F610A8" w:rsidP="00F610A8">
            <w:pPr>
              <w:spacing w:line="240" w:lineRule="auto"/>
              <w:rPr>
                <w:sz w:val="20"/>
                <w:szCs w:val="20"/>
              </w:rPr>
            </w:pPr>
            <w:r w:rsidRPr="00D141C3">
              <w:rPr>
                <w:sz w:val="20"/>
                <w:szCs w:val="20"/>
              </w:rPr>
              <w:t xml:space="preserve">Governance roles and responsibilities confirmed </w:t>
            </w:r>
          </w:p>
          <w:p w14:paraId="40391095" w14:textId="77777777" w:rsidR="00F610A8" w:rsidRPr="00D141C3" w:rsidRDefault="00F610A8" w:rsidP="00F610A8">
            <w:pPr>
              <w:spacing w:line="240" w:lineRule="auto"/>
              <w:rPr>
                <w:sz w:val="20"/>
                <w:szCs w:val="20"/>
              </w:rPr>
            </w:pPr>
            <w:r w:rsidRPr="00D141C3">
              <w:rPr>
                <w:sz w:val="20"/>
                <w:szCs w:val="20"/>
              </w:rPr>
              <w:t>Communication strategy confirmed; such as common text for competent bodies to use in marketing material and websites.</w:t>
            </w:r>
          </w:p>
          <w:p w14:paraId="683DE8B0" w14:textId="7020751F" w:rsidR="00F610A8" w:rsidRPr="00D141C3" w:rsidRDefault="00F610A8" w:rsidP="00F610A8">
            <w:pPr>
              <w:spacing w:line="240" w:lineRule="auto"/>
              <w:rPr>
                <w:sz w:val="20"/>
                <w:szCs w:val="20"/>
              </w:rPr>
            </w:pPr>
            <w:r w:rsidRPr="00D141C3">
              <w:rPr>
                <w:sz w:val="20"/>
                <w:szCs w:val="20"/>
              </w:rPr>
              <w:t>Harmoni</w:t>
            </w:r>
            <w:r w:rsidR="00ED1337" w:rsidRPr="00D141C3">
              <w:rPr>
                <w:sz w:val="20"/>
                <w:szCs w:val="20"/>
              </w:rPr>
              <w:t>s</w:t>
            </w:r>
            <w:r w:rsidRPr="00D141C3">
              <w:rPr>
                <w:sz w:val="20"/>
                <w:szCs w:val="20"/>
              </w:rPr>
              <w:t>ation of national accreditation and registration processes</w:t>
            </w:r>
          </w:p>
          <w:p w14:paraId="2A14897F" w14:textId="77777777" w:rsidR="00F610A8" w:rsidRPr="00D141C3" w:rsidRDefault="00F610A8" w:rsidP="00F610A8">
            <w:pPr>
              <w:spacing w:line="240" w:lineRule="auto"/>
              <w:rPr>
                <w:sz w:val="20"/>
                <w:szCs w:val="20"/>
              </w:rPr>
            </w:pPr>
            <w:r w:rsidRPr="00D141C3">
              <w:rPr>
                <w:sz w:val="20"/>
                <w:szCs w:val="20"/>
              </w:rPr>
              <w:t>Schedules confirmed:</w:t>
            </w:r>
          </w:p>
          <w:p w14:paraId="70EB93A4" w14:textId="77777777" w:rsidR="00F610A8" w:rsidRPr="00D141C3" w:rsidRDefault="00F610A8" w:rsidP="00456131">
            <w:pPr>
              <w:pStyle w:val="ListParagraph"/>
              <w:numPr>
                <w:ilvl w:val="0"/>
                <w:numId w:val="49"/>
              </w:numPr>
              <w:rPr>
                <w:sz w:val="20"/>
                <w:szCs w:val="20"/>
              </w:rPr>
            </w:pPr>
            <w:r w:rsidRPr="00D141C3">
              <w:rPr>
                <w:sz w:val="20"/>
                <w:szCs w:val="20"/>
              </w:rPr>
              <w:lastRenderedPageBreak/>
              <w:t>Meetings of governing committee</w:t>
            </w:r>
          </w:p>
          <w:p w14:paraId="188BF7DC" w14:textId="77777777" w:rsidR="00F610A8" w:rsidRPr="00D141C3" w:rsidRDefault="00F610A8" w:rsidP="00456131">
            <w:pPr>
              <w:pStyle w:val="ListParagraph"/>
              <w:numPr>
                <w:ilvl w:val="0"/>
                <w:numId w:val="49"/>
              </w:numPr>
              <w:rPr>
                <w:sz w:val="20"/>
                <w:szCs w:val="20"/>
              </w:rPr>
            </w:pPr>
            <w:r w:rsidRPr="00D141C3">
              <w:rPr>
                <w:sz w:val="20"/>
                <w:szCs w:val="20"/>
              </w:rPr>
              <w:t xml:space="preserve">External review </w:t>
            </w:r>
          </w:p>
          <w:p w14:paraId="4CB0815F" w14:textId="77777777" w:rsidR="00F610A8" w:rsidRPr="00D141C3" w:rsidRDefault="00F610A8" w:rsidP="00456131">
            <w:pPr>
              <w:pStyle w:val="ListParagraph"/>
              <w:numPr>
                <w:ilvl w:val="0"/>
                <w:numId w:val="49"/>
              </w:numPr>
              <w:rPr>
                <w:sz w:val="20"/>
                <w:szCs w:val="20"/>
              </w:rPr>
            </w:pPr>
            <w:r w:rsidRPr="00D141C3">
              <w:rPr>
                <w:sz w:val="20"/>
                <w:szCs w:val="20"/>
              </w:rPr>
              <w:t xml:space="preserve">Referencing </w:t>
            </w:r>
          </w:p>
          <w:p w14:paraId="2A5FFA2C" w14:textId="77777777" w:rsidR="00F610A8" w:rsidRPr="00D141C3" w:rsidRDefault="00F610A8" w:rsidP="00456131">
            <w:pPr>
              <w:pStyle w:val="ListParagraph"/>
              <w:numPr>
                <w:ilvl w:val="0"/>
                <w:numId w:val="49"/>
              </w:numPr>
              <w:rPr>
                <w:sz w:val="20"/>
                <w:szCs w:val="20"/>
              </w:rPr>
            </w:pPr>
            <w:r w:rsidRPr="00D141C3">
              <w:rPr>
                <w:sz w:val="20"/>
                <w:szCs w:val="20"/>
              </w:rPr>
              <w:t>Any reporting requirements.</w:t>
            </w:r>
          </w:p>
          <w:p w14:paraId="3F0D2999" w14:textId="77777777" w:rsidR="00F610A8" w:rsidRPr="00D141C3" w:rsidRDefault="00F610A8" w:rsidP="00F610A8">
            <w:pPr>
              <w:spacing w:line="240" w:lineRule="auto"/>
              <w:rPr>
                <w:sz w:val="20"/>
                <w:szCs w:val="20"/>
              </w:rPr>
            </w:pPr>
            <w:r w:rsidRPr="00D141C3">
              <w:rPr>
                <w:sz w:val="20"/>
                <w:szCs w:val="20"/>
              </w:rPr>
              <w:t>The following protocols developed and confirmed:</w:t>
            </w:r>
          </w:p>
          <w:p w14:paraId="7701B496" w14:textId="77777777" w:rsidR="00F610A8" w:rsidRPr="00D141C3" w:rsidRDefault="00F610A8" w:rsidP="00456131">
            <w:pPr>
              <w:pStyle w:val="ListParagraph"/>
              <w:numPr>
                <w:ilvl w:val="0"/>
                <w:numId w:val="49"/>
              </w:numPr>
              <w:rPr>
                <w:sz w:val="20"/>
                <w:szCs w:val="20"/>
              </w:rPr>
            </w:pPr>
            <w:r w:rsidRPr="00D141C3">
              <w:rPr>
                <w:sz w:val="20"/>
                <w:szCs w:val="20"/>
              </w:rPr>
              <w:t>Protocols for development and approval of occupational standards (and qualifications) including agreed templates</w:t>
            </w:r>
          </w:p>
          <w:p w14:paraId="1779CED0" w14:textId="77777777" w:rsidR="00F610A8" w:rsidRPr="00D141C3" w:rsidRDefault="00F610A8" w:rsidP="00456131">
            <w:pPr>
              <w:pStyle w:val="ListParagraph"/>
              <w:numPr>
                <w:ilvl w:val="0"/>
                <w:numId w:val="49"/>
              </w:numPr>
              <w:rPr>
                <w:sz w:val="20"/>
                <w:szCs w:val="20"/>
              </w:rPr>
            </w:pPr>
            <w:r w:rsidRPr="00D141C3">
              <w:rPr>
                <w:sz w:val="20"/>
                <w:szCs w:val="20"/>
              </w:rPr>
              <w:t xml:space="preserve">Protocols for entry onto the Pacific Register. </w:t>
            </w:r>
          </w:p>
          <w:p w14:paraId="36FFBFD4" w14:textId="77777777" w:rsidR="00F610A8" w:rsidRPr="00D141C3" w:rsidRDefault="00F610A8" w:rsidP="00F610A8">
            <w:pPr>
              <w:spacing w:line="240" w:lineRule="auto"/>
              <w:rPr>
                <w:sz w:val="20"/>
                <w:szCs w:val="20"/>
              </w:rPr>
            </w:pPr>
            <w:r w:rsidRPr="00D141C3">
              <w:rPr>
                <w:sz w:val="20"/>
                <w:szCs w:val="20"/>
              </w:rPr>
              <w:t>The following guidelines developed and confirmed:</w:t>
            </w:r>
          </w:p>
          <w:p w14:paraId="0C6EFFAF" w14:textId="77777777" w:rsidR="00F610A8" w:rsidRPr="00D141C3" w:rsidRDefault="00F610A8" w:rsidP="00456131">
            <w:pPr>
              <w:pStyle w:val="ListParagraph"/>
              <w:numPr>
                <w:ilvl w:val="0"/>
                <w:numId w:val="49"/>
              </w:numPr>
              <w:rPr>
                <w:sz w:val="20"/>
                <w:szCs w:val="20"/>
              </w:rPr>
            </w:pPr>
            <w:r w:rsidRPr="00D141C3">
              <w:rPr>
                <w:sz w:val="20"/>
                <w:szCs w:val="20"/>
              </w:rPr>
              <w:t xml:space="preserve">Referencing guidelines </w:t>
            </w:r>
          </w:p>
          <w:p w14:paraId="1953A3FC" w14:textId="77777777" w:rsidR="00F610A8" w:rsidRPr="00D141C3" w:rsidRDefault="00F610A8" w:rsidP="00456131">
            <w:pPr>
              <w:pStyle w:val="ListParagraph"/>
              <w:numPr>
                <w:ilvl w:val="0"/>
                <w:numId w:val="49"/>
              </w:numPr>
              <w:rPr>
                <w:sz w:val="20"/>
                <w:szCs w:val="20"/>
              </w:rPr>
            </w:pPr>
            <w:r w:rsidRPr="00D141C3">
              <w:rPr>
                <w:sz w:val="20"/>
                <w:szCs w:val="20"/>
              </w:rPr>
              <w:t>Recognition of competent body decisions</w:t>
            </w:r>
          </w:p>
          <w:p w14:paraId="38C6B1FF" w14:textId="77777777" w:rsidR="00F610A8" w:rsidRPr="00D141C3" w:rsidRDefault="00F610A8" w:rsidP="00456131">
            <w:pPr>
              <w:pStyle w:val="ListParagraph"/>
              <w:numPr>
                <w:ilvl w:val="0"/>
                <w:numId w:val="49"/>
              </w:numPr>
              <w:rPr>
                <w:sz w:val="20"/>
                <w:szCs w:val="20"/>
              </w:rPr>
            </w:pPr>
            <w:r w:rsidRPr="00D141C3">
              <w:rPr>
                <w:sz w:val="20"/>
                <w:szCs w:val="20"/>
              </w:rPr>
              <w:t>Recognition of qualifications</w:t>
            </w:r>
          </w:p>
          <w:p w14:paraId="39A746FF" w14:textId="77777777" w:rsidR="00F610A8" w:rsidRPr="00D141C3" w:rsidRDefault="00F610A8" w:rsidP="00456131">
            <w:pPr>
              <w:pStyle w:val="ListParagraph"/>
              <w:numPr>
                <w:ilvl w:val="0"/>
                <w:numId w:val="49"/>
              </w:numPr>
              <w:rPr>
                <w:sz w:val="20"/>
                <w:szCs w:val="20"/>
              </w:rPr>
            </w:pPr>
            <w:r w:rsidRPr="00D141C3">
              <w:rPr>
                <w:sz w:val="20"/>
                <w:szCs w:val="20"/>
              </w:rPr>
              <w:t xml:space="preserve">Internal and external review, continuous improvement. </w:t>
            </w:r>
          </w:p>
        </w:tc>
      </w:tr>
      <w:tr w:rsidR="00F610A8" w:rsidRPr="00D141C3" w14:paraId="09BA467B" w14:textId="77777777" w:rsidTr="00F610A8">
        <w:tc>
          <w:tcPr>
            <w:tcW w:w="615" w:type="pct"/>
          </w:tcPr>
          <w:p w14:paraId="0FC1EC78" w14:textId="77777777" w:rsidR="00F610A8" w:rsidRPr="00D141C3" w:rsidRDefault="00F610A8" w:rsidP="00F610A8">
            <w:pPr>
              <w:spacing w:line="240" w:lineRule="auto"/>
              <w:rPr>
                <w:sz w:val="20"/>
                <w:szCs w:val="20"/>
              </w:rPr>
            </w:pPr>
            <w:r w:rsidRPr="00D141C3">
              <w:rPr>
                <w:sz w:val="20"/>
                <w:szCs w:val="20"/>
              </w:rPr>
              <w:lastRenderedPageBreak/>
              <w:t>2 year</w:t>
            </w:r>
          </w:p>
        </w:tc>
        <w:tc>
          <w:tcPr>
            <w:tcW w:w="4385" w:type="pct"/>
          </w:tcPr>
          <w:p w14:paraId="1D996228" w14:textId="77777777" w:rsidR="00F610A8" w:rsidRPr="00D141C3" w:rsidRDefault="00F610A8" w:rsidP="00F610A8">
            <w:pPr>
              <w:spacing w:line="240" w:lineRule="auto"/>
              <w:rPr>
                <w:sz w:val="20"/>
                <w:szCs w:val="20"/>
              </w:rPr>
            </w:pPr>
            <w:r w:rsidRPr="00D141C3">
              <w:rPr>
                <w:sz w:val="20"/>
                <w:szCs w:val="20"/>
              </w:rPr>
              <w:t xml:space="preserve">Strategic plan and business case developed for transition at the end of year eight. This could include proposed funding by members and donors, future as a CROP member, fee for services activities, and identification of any other opportunities (e.g. Pacific skills passport). </w:t>
            </w:r>
          </w:p>
          <w:p w14:paraId="2057529A" w14:textId="77777777" w:rsidR="00F610A8" w:rsidRPr="00D141C3" w:rsidRDefault="00F610A8" w:rsidP="00F610A8">
            <w:pPr>
              <w:spacing w:line="240" w:lineRule="auto"/>
              <w:rPr>
                <w:sz w:val="20"/>
                <w:szCs w:val="20"/>
              </w:rPr>
            </w:pPr>
            <w:r w:rsidRPr="00D141C3">
              <w:rPr>
                <w:sz w:val="20"/>
                <w:szCs w:val="20"/>
              </w:rPr>
              <w:t>Identification, development and approval of three occupational standards (and qualifications)</w:t>
            </w:r>
          </w:p>
          <w:p w14:paraId="5108AF04" w14:textId="77777777" w:rsidR="00F610A8" w:rsidRPr="00D141C3" w:rsidRDefault="00F610A8" w:rsidP="00F610A8">
            <w:pPr>
              <w:spacing w:line="240" w:lineRule="auto"/>
              <w:rPr>
                <w:sz w:val="20"/>
                <w:szCs w:val="20"/>
              </w:rPr>
            </w:pPr>
            <w:r w:rsidRPr="00D141C3">
              <w:rPr>
                <w:sz w:val="20"/>
                <w:szCs w:val="20"/>
              </w:rPr>
              <w:t>Concept notes developed and confirmed:</w:t>
            </w:r>
          </w:p>
          <w:p w14:paraId="552F1AD2" w14:textId="77777777" w:rsidR="00F610A8" w:rsidRPr="00D141C3" w:rsidRDefault="00F610A8" w:rsidP="00456131">
            <w:pPr>
              <w:pStyle w:val="ListParagraph"/>
              <w:numPr>
                <w:ilvl w:val="0"/>
                <w:numId w:val="49"/>
              </w:numPr>
              <w:rPr>
                <w:sz w:val="20"/>
                <w:szCs w:val="20"/>
              </w:rPr>
            </w:pPr>
            <w:r w:rsidRPr="00D141C3">
              <w:rPr>
                <w:sz w:val="20"/>
                <w:szCs w:val="20"/>
              </w:rPr>
              <w:t>Recognition of non-formal and informal learning</w:t>
            </w:r>
          </w:p>
          <w:p w14:paraId="0B24D97C" w14:textId="77777777" w:rsidR="00F610A8" w:rsidRPr="00D141C3" w:rsidRDefault="00F610A8" w:rsidP="00456131">
            <w:pPr>
              <w:pStyle w:val="ListParagraph"/>
              <w:numPr>
                <w:ilvl w:val="0"/>
                <w:numId w:val="49"/>
              </w:numPr>
              <w:rPr>
                <w:sz w:val="20"/>
                <w:szCs w:val="20"/>
              </w:rPr>
            </w:pPr>
            <w:r w:rsidRPr="00D141C3">
              <w:rPr>
                <w:sz w:val="20"/>
                <w:szCs w:val="20"/>
              </w:rPr>
              <w:t>Learning outcomes</w:t>
            </w:r>
          </w:p>
          <w:p w14:paraId="1FB832CE" w14:textId="77777777" w:rsidR="00F610A8" w:rsidRPr="00D141C3" w:rsidRDefault="00F610A8" w:rsidP="00456131">
            <w:pPr>
              <w:pStyle w:val="ListParagraph"/>
              <w:numPr>
                <w:ilvl w:val="0"/>
                <w:numId w:val="49"/>
              </w:numPr>
              <w:rPr>
                <w:sz w:val="20"/>
                <w:szCs w:val="20"/>
              </w:rPr>
            </w:pPr>
            <w:r w:rsidRPr="00D141C3">
              <w:rPr>
                <w:sz w:val="20"/>
                <w:szCs w:val="20"/>
              </w:rPr>
              <w:t>Graduate outcomes</w:t>
            </w:r>
          </w:p>
          <w:p w14:paraId="7881CA9F" w14:textId="77777777" w:rsidR="00F610A8" w:rsidRPr="00D141C3" w:rsidRDefault="00F610A8" w:rsidP="00F610A8">
            <w:pPr>
              <w:spacing w:line="240" w:lineRule="auto"/>
              <w:rPr>
                <w:sz w:val="20"/>
                <w:szCs w:val="20"/>
              </w:rPr>
            </w:pPr>
            <w:r w:rsidRPr="00D141C3">
              <w:rPr>
                <w:sz w:val="20"/>
                <w:szCs w:val="20"/>
              </w:rPr>
              <w:t>The following guideline developed and confirmed:</w:t>
            </w:r>
          </w:p>
          <w:p w14:paraId="26472209" w14:textId="77777777" w:rsidR="00F610A8" w:rsidRPr="00D141C3" w:rsidRDefault="00F610A8" w:rsidP="00456131">
            <w:pPr>
              <w:pStyle w:val="ListParagraph"/>
              <w:numPr>
                <w:ilvl w:val="0"/>
                <w:numId w:val="49"/>
              </w:numPr>
              <w:rPr>
                <w:sz w:val="20"/>
                <w:szCs w:val="20"/>
              </w:rPr>
            </w:pPr>
            <w:r w:rsidRPr="00D141C3">
              <w:rPr>
                <w:sz w:val="20"/>
                <w:szCs w:val="20"/>
              </w:rPr>
              <w:t>Mutual recognition of qualifications guidelines</w:t>
            </w:r>
          </w:p>
          <w:p w14:paraId="11F178E2" w14:textId="77777777" w:rsidR="00F610A8" w:rsidRPr="00D141C3" w:rsidRDefault="00F610A8" w:rsidP="00F610A8">
            <w:pPr>
              <w:spacing w:line="240" w:lineRule="auto"/>
              <w:rPr>
                <w:sz w:val="20"/>
                <w:szCs w:val="20"/>
              </w:rPr>
            </w:pPr>
            <w:r w:rsidRPr="00D141C3">
              <w:rPr>
                <w:sz w:val="20"/>
                <w:szCs w:val="20"/>
              </w:rPr>
              <w:t>Five competent bodies complete external review and reports accepted by governing committee</w:t>
            </w:r>
          </w:p>
          <w:p w14:paraId="77B71FC2" w14:textId="77777777" w:rsidR="00F610A8" w:rsidRPr="00D141C3" w:rsidRDefault="00F610A8" w:rsidP="00F610A8">
            <w:pPr>
              <w:spacing w:line="240" w:lineRule="auto"/>
              <w:rPr>
                <w:sz w:val="20"/>
                <w:szCs w:val="20"/>
              </w:rPr>
            </w:pPr>
            <w:r w:rsidRPr="00D141C3">
              <w:rPr>
                <w:sz w:val="20"/>
                <w:szCs w:val="20"/>
              </w:rPr>
              <w:t xml:space="preserve">Concept design for recognition of qualifications database for international qualifications assessment completed. </w:t>
            </w:r>
          </w:p>
          <w:p w14:paraId="474A5561" w14:textId="283A2844" w:rsidR="00F610A8" w:rsidRPr="00D141C3" w:rsidRDefault="00F610A8" w:rsidP="00F610A8">
            <w:pPr>
              <w:spacing w:line="240" w:lineRule="auto"/>
              <w:rPr>
                <w:sz w:val="20"/>
                <w:szCs w:val="20"/>
              </w:rPr>
            </w:pPr>
            <w:r w:rsidRPr="00D141C3">
              <w:rPr>
                <w:sz w:val="20"/>
                <w:szCs w:val="20"/>
              </w:rPr>
              <w:t>Harmoni</w:t>
            </w:r>
            <w:r w:rsidR="00ED1337" w:rsidRPr="00D141C3">
              <w:rPr>
                <w:sz w:val="20"/>
                <w:szCs w:val="20"/>
              </w:rPr>
              <w:t>s</w:t>
            </w:r>
            <w:r w:rsidRPr="00D141C3">
              <w:rPr>
                <w:sz w:val="20"/>
                <w:szCs w:val="20"/>
              </w:rPr>
              <w:t>ation of recognition of qualifications processes. Underway.</w:t>
            </w:r>
          </w:p>
        </w:tc>
      </w:tr>
      <w:tr w:rsidR="00F610A8" w:rsidRPr="00D141C3" w14:paraId="0F2C0888" w14:textId="77777777" w:rsidTr="00F610A8">
        <w:tc>
          <w:tcPr>
            <w:tcW w:w="615" w:type="pct"/>
          </w:tcPr>
          <w:p w14:paraId="4A2E80CC" w14:textId="77777777" w:rsidR="00F610A8" w:rsidRPr="00D141C3" w:rsidRDefault="00F610A8" w:rsidP="00F610A8">
            <w:pPr>
              <w:spacing w:line="240" w:lineRule="auto"/>
              <w:rPr>
                <w:sz w:val="20"/>
                <w:szCs w:val="20"/>
              </w:rPr>
            </w:pPr>
            <w:r w:rsidRPr="00D141C3">
              <w:rPr>
                <w:sz w:val="20"/>
                <w:szCs w:val="20"/>
              </w:rPr>
              <w:t>3 years</w:t>
            </w:r>
          </w:p>
        </w:tc>
        <w:tc>
          <w:tcPr>
            <w:tcW w:w="4385" w:type="pct"/>
          </w:tcPr>
          <w:p w14:paraId="75100113" w14:textId="77777777" w:rsidR="00F610A8" w:rsidRPr="00D141C3" w:rsidRDefault="00F610A8" w:rsidP="00F610A8">
            <w:pPr>
              <w:spacing w:line="240" w:lineRule="auto"/>
              <w:rPr>
                <w:sz w:val="20"/>
                <w:szCs w:val="20"/>
              </w:rPr>
            </w:pPr>
            <w:r w:rsidRPr="00D141C3">
              <w:rPr>
                <w:sz w:val="20"/>
                <w:szCs w:val="20"/>
              </w:rPr>
              <w:t>Three additional competent bodies complete external review and reports accepted by governing committee</w:t>
            </w:r>
          </w:p>
          <w:p w14:paraId="0206367C" w14:textId="77777777" w:rsidR="00F610A8" w:rsidRPr="00D141C3" w:rsidRDefault="00F610A8" w:rsidP="00F610A8">
            <w:pPr>
              <w:spacing w:line="240" w:lineRule="auto"/>
              <w:rPr>
                <w:sz w:val="20"/>
                <w:szCs w:val="20"/>
              </w:rPr>
            </w:pPr>
            <w:r w:rsidRPr="00D141C3">
              <w:rPr>
                <w:sz w:val="20"/>
                <w:szCs w:val="20"/>
              </w:rPr>
              <w:t>Three countries complete referencing of the NQFs and qualifications to the regional framework, with reports accepted by governing committee</w:t>
            </w:r>
          </w:p>
          <w:p w14:paraId="4364DAD5" w14:textId="5A2771DF" w:rsidR="00F610A8" w:rsidRPr="00D141C3" w:rsidRDefault="00F610A8" w:rsidP="00F610A8">
            <w:pPr>
              <w:spacing w:line="240" w:lineRule="auto"/>
              <w:rPr>
                <w:sz w:val="20"/>
                <w:szCs w:val="20"/>
              </w:rPr>
            </w:pPr>
            <w:r w:rsidRPr="00D141C3">
              <w:rPr>
                <w:sz w:val="20"/>
                <w:szCs w:val="20"/>
              </w:rPr>
              <w:t>Harmoni</w:t>
            </w:r>
            <w:r w:rsidR="00ED1337" w:rsidRPr="00D141C3">
              <w:rPr>
                <w:sz w:val="20"/>
                <w:szCs w:val="20"/>
              </w:rPr>
              <w:t>s</w:t>
            </w:r>
            <w:r w:rsidRPr="00D141C3">
              <w:rPr>
                <w:sz w:val="20"/>
                <w:szCs w:val="20"/>
              </w:rPr>
              <w:t>ation of recognition of qualifications processes. Complete.</w:t>
            </w:r>
          </w:p>
        </w:tc>
      </w:tr>
      <w:tr w:rsidR="00F610A8" w:rsidRPr="00D141C3" w14:paraId="16A22AF8" w14:textId="77777777" w:rsidTr="00F610A8">
        <w:tc>
          <w:tcPr>
            <w:tcW w:w="615" w:type="pct"/>
          </w:tcPr>
          <w:p w14:paraId="27500A25" w14:textId="77777777" w:rsidR="00F610A8" w:rsidRPr="00D141C3" w:rsidRDefault="00F610A8" w:rsidP="00F610A8">
            <w:pPr>
              <w:spacing w:line="240" w:lineRule="auto"/>
              <w:rPr>
                <w:sz w:val="20"/>
                <w:szCs w:val="20"/>
              </w:rPr>
            </w:pPr>
            <w:r w:rsidRPr="00D141C3">
              <w:rPr>
                <w:sz w:val="20"/>
                <w:szCs w:val="20"/>
              </w:rPr>
              <w:t>5 years</w:t>
            </w:r>
          </w:p>
        </w:tc>
        <w:tc>
          <w:tcPr>
            <w:tcW w:w="4385" w:type="pct"/>
          </w:tcPr>
          <w:p w14:paraId="44A204E2" w14:textId="77777777" w:rsidR="00F610A8" w:rsidRPr="00D141C3" w:rsidRDefault="00F610A8" w:rsidP="00F610A8">
            <w:pPr>
              <w:spacing w:line="240" w:lineRule="auto"/>
              <w:rPr>
                <w:sz w:val="20"/>
                <w:szCs w:val="20"/>
              </w:rPr>
            </w:pPr>
            <w:r w:rsidRPr="00D141C3">
              <w:rPr>
                <w:sz w:val="20"/>
                <w:szCs w:val="20"/>
              </w:rPr>
              <w:t>Five additional countries complete referencing of the NQFs and qualifications to the regional framework, with reports accepted by governing committee</w:t>
            </w:r>
          </w:p>
        </w:tc>
      </w:tr>
      <w:tr w:rsidR="00F610A8" w:rsidRPr="00D141C3" w14:paraId="526F4CAC" w14:textId="77777777" w:rsidTr="00F610A8">
        <w:tc>
          <w:tcPr>
            <w:tcW w:w="615" w:type="pct"/>
          </w:tcPr>
          <w:p w14:paraId="66572FE7" w14:textId="77777777" w:rsidR="00F610A8" w:rsidRPr="00D141C3" w:rsidRDefault="00F610A8" w:rsidP="00F610A8">
            <w:pPr>
              <w:spacing w:line="240" w:lineRule="auto"/>
              <w:rPr>
                <w:sz w:val="20"/>
                <w:szCs w:val="20"/>
              </w:rPr>
            </w:pPr>
            <w:r w:rsidRPr="00D141C3">
              <w:rPr>
                <w:sz w:val="20"/>
                <w:szCs w:val="20"/>
              </w:rPr>
              <w:t>8 years</w:t>
            </w:r>
          </w:p>
        </w:tc>
        <w:tc>
          <w:tcPr>
            <w:tcW w:w="4385" w:type="pct"/>
          </w:tcPr>
          <w:p w14:paraId="39D59985" w14:textId="77777777" w:rsidR="00F610A8" w:rsidRPr="00D141C3" w:rsidRDefault="00F610A8" w:rsidP="00F610A8">
            <w:pPr>
              <w:spacing w:line="240" w:lineRule="auto"/>
              <w:rPr>
                <w:sz w:val="20"/>
                <w:szCs w:val="20"/>
              </w:rPr>
            </w:pPr>
            <w:r w:rsidRPr="00D141C3">
              <w:rPr>
                <w:sz w:val="20"/>
                <w:szCs w:val="20"/>
              </w:rPr>
              <w:t xml:space="preserve">Transition arrangements established, member funding agreed and implemented, and fee for service activity agreed. </w:t>
            </w:r>
          </w:p>
        </w:tc>
      </w:tr>
    </w:tbl>
    <w:p w14:paraId="12DD35A8" w14:textId="77777777" w:rsidR="00F610A8" w:rsidRPr="00FB46FD" w:rsidRDefault="00F610A8" w:rsidP="00F610A8">
      <w:pPr>
        <w:spacing w:line="276" w:lineRule="auto"/>
      </w:pPr>
    </w:p>
    <w:p w14:paraId="20D19E46" w14:textId="77777777" w:rsidR="00DA00FD" w:rsidRDefault="00DA00FD">
      <w:pPr>
        <w:spacing w:before="0" w:after="200" w:line="276" w:lineRule="auto"/>
        <w:rPr>
          <w:rFonts w:asciiTheme="majorHAnsi" w:eastAsiaTheme="majorEastAsia" w:hAnsiTheme="majorHAnsi" w:cstheme="majorBidi"/>
          <w:b/>
          <w:bCs/>
          <w:color w:val="95050F"/>
          <w:sz w:val="32"/>
          <w:szCs w:val="28"/>
        </w:rPr>
      </w:pPr>
      <w:r>
        <w:rPr>
          <w:color w:val="95050F"/>
        </w:rPr>
        <w:lastRenderedPageBreak/>
        <w:br w:type="page"/>
      </w:r>
    </w:p>
    <w:p w14:paraId="30E967E4" w14:textId="654B8724" w:rsidR="00F53E4B" w:rsidRDefault="00053789" w:rsidP="00F53E4B">
      <w:pPr>
        <w:pStyle w:val="Heading1"/>
        <w:rPr>
          <w:color w:val="95050F"/>
        </w:rPr>
      </w:pPr>
      <w:bookmarkStart w:id="146" w:name="_Toc458938608"/>
      <w:bookmarkStart w:id="147" w:name="_Toc462755585"/>
      <w:r>
        <w:rPr>
          <w:color w:val="95050F"/>
        </w:rPr>
        <w:lastRenderedPageBreak/>
        <w:t>Appendix 9</w:t>
      </w:r>
      <w:r w:rsidR="00F53E4B">
        <w:rPr>
          <w:color w:val="95050F"/>
        </w:rPr>
        <w:t>: Glossary</w:t>
      </w:r>
      <w:bookmarkEnd w:id="146"/>
      <w:bookmarkEnd w:id="147"/>
    </w:p>
    <w:tbl>
      <w:tblPr>
        <w:tblStyle w:val="TableGrid"/>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124"/>
        <w:gridCol w:w="7056"/>
      </w:tblGrid>
      <w:tr w:rsidR="00F53E4B" w:rsidRPr="00D60780" w14:paraId="0725A7A5" w14:textId="77777777" w:rsidTr="00777080">
        <w:tc>
          <w:tcPr>
            <w:tcW w:w="1157" w:type="pct"/>
          </w:tcPr>
          <w:p w14:paraId="05436D33" w14:textId="77777777" w:rsidR="00F53E4B" w:rsidRPr="00D60780" w:rsidRDefault="00F53E4B" w:rsidP="00730F5E">
            <w:pPr>
              <w:spacing w:line="240" w:lineRule="auto"/>
              <w:rPr>
                <w:sz w:val="20"/>
              </w:rPr>
            </w:pPr>
            <w:r w:rsidRPr="00D60780">
              <w:rPr>
                <w:sz w:val="20"/>
              </w:rPr>
              <w:t>Achievement standards</w:t>
            </w:r>
          </w:p>
        </w:tc>
        <w:tc>
          <w:tcPr>
            <w:tcW w:w="3843" w:type="pct"/>
          </w:tcPr>
          <w:p w14:paraId="06C0E911" w14:textId="77777777" w:rsidR="00F53E4B" w:rsidRPr="00441AE7" w:rsidRDefault="00F53E4B" w:rsidP="00730F5E">
            <w:pPr>
              <w:spacing w:line="240" w:lineRule="auto"/>
              <w:rPr>
                <w:sz w:val="20"/>
                <w:szCs w:val="20"/>
              </w:rPr>
            </w:pPr>
            <w:r w:rsidRPr="00441AE7">
              <w:rPr>
                <w:sz w:val="20"/>
                <w:szCs w:val="20"/>
              </w:rPr>
              <w:t xml:space="preserve">Statement approved and formalised by a competent body, which defines the rules to follow in a given context or the results to be achieved. A distinction can be made between competency, educational, occupational, assessment, validation or certification standards: </w:t>
            </w:r>
          </w:p>
          <w:p w14:paraId="31B9D2BF" w14:textId="77777777" w:rsidR="00F53E4B" w:rsidRPr="00441AE7" w:rsidRDefault="00F53E4B" w:rsidP="00261785">
            <w:pPr>
              <w:widowControl w:val="0"/>
              <w:numPr>
                <w:ilvl w:val="0"/>
                <w:numId w:val="42"/>
              </w:numPr>
              <w:spacing w:line="240" w:lineRule="auto"/>
              <w:jc w:val="both"/>
              <w:rPr>
                <w:sz w:val="20"/>
                <w:szCs w:val="20"/>
              </w:rPr>
            </w:pPr>
            <w:r w:rsidRPr="00441AE7">
              <w:rPr>
                <w:sz w:val="20"/>
                <w:szCs w:val="20"/>
              </w:rPr>
              <w:t>competency standard refers to the knowledge, skills and/or competencies linked to practising a job;</w:t>
            </w:r>
          </w:p>
          <w:p w14:paraId="40D6AB40" w14:textId="77777777" w:rsidR="00F53E4B" w:rsidRPr="00441AE7" w:rsidRDefault="00F53E4B" w:rsidP="00261785">
            <w:pPr>
              <w:widowControl w:val="0"/>
              <w:numPr>
                <w:ilvl w:val="0"/>
                <w:numId w:val="42"/>
              </w:numPr>
              <w:spacing w:line="240" w:lineRule="auto"/>
              <w:jc w:val="both"/>
              <w:rPr>
                <w:sz w:val="20"/>
                <w:szCs w:val="20"/>
              </w:rPr>
            </w:pPr>
            <w:r w:rsidRPr="00441AE7">
              <w:rPr>
                <w:sz w:val="20"/>
                <w:szCs w:val="20"/>
              </w:rPr>
              <w:t>educational standard refers to statements of learning objectives, content of curricula, entry requirements and resources required to meet learning objectives;</w:t>
            </w:r>
          </w:p>
          <w:p w14:paraId="06748321" w14:textId="77777777" w:rsidR="00F53E4B" w:rsidRPr="00441AE7" w:rsidRDefault="00F53E4B" w:rsidP="00261785">
            <w:pPr>
              <w:widowControl w:val="0"/>
              <w:numPr>
                <w:ilvl w:val="0"/>
                <w:numId w:val="42"/>
              </w:numPr>
              <w:spacing w:line="240" w:lineRule="auto"/>
              <w:jc w:val="both"/>
              <w:rPr>
                <w:sz w:val="20"/>
                <w:szCs w:val="20"/>
              </w:rPr>
            </w:pPr>
            <w:r w:rsidRPr="00441AE7">
              <w:rPr>
                <w:sz w:val="20"/>
                <w:szCs w:val="20"/>
              </w:rPr>
              <w:t>occupational standard refers to statements of activities and tasks related to a specific job and to its practise;</w:t>
            </w:r>
          </w:p>
          <w:p w14:paraId="3ED74A67" w14:textId="77777777" w:rsidR="00F53E4B" w:rsidRPr="00441AE7" w:rsidRDefault="00F53E4B" w:rsidP="00261785">
            <w:pPr>
              <w:widowControl w:val="0"/>
              <w:numPr>
                <w:ilvl w:val="0"/>
                <w:numId w:val="42"/>
              </w:numPr>
              <w:spacing w:line="240" w:lineRule="auto"/>
              <w:jc w:val="both"/>
              <w:rPr>
                <w:sz w:val="20"/>
                <w:szCs w:val="20"/>
              </w:rPr>
            </w:pPr>
            <w:r w:rsidRPr="00441AE7">
              <w:rPr>
                <w:sz w:val="20"/>
                <w:szCs w:val="20"/>
              </w:rPr>
              <w:t>assessment standard refers to statements of learning outcomes to be assessed and methodology used;</w:t>
            </w:r>
          </w:p>
          <w:p w14:paraId="644E1AD9" w14:textId="77777777" w:rsidR="00F53E4B" w:rsidRDefault="00F53E4B" w:rsidP="00261785">
            <w:pPr>
              <w:widowControl w:val="0"/>
              <w:numPr>
                <w:ilvl w:val="0"/>
                <w:numId w:val="42"/>
              </w:numPr>
              <w:spacing w:line="240" w:lineRule="auto"/>
              <w:jc w:val="both"/>
              <w:rPr>
                <w:sz w:val="20"/>
                <w:szCs w:val="20"/>
              </w:rPr>
            </w:pPr>
            <w:r w:rsidRPr="00441AE7">
              <w:rPr>
                <w:sz w:val="20"/>
                <w:szCs w:val="20"/>
              </w:rPr>
              <w:t>validation standard refers to statements of level of achievement to be reached by the person assessed, and the methodology used;</w:t>
            </w:r>
          </w:p>
          <w:p w14:paraId="2368D0F9" w14:textId="477AE5D8" w:rsidR="00F53E4B" w:rsidRPr="00485020" w:rsidRDefault="00806103" w:rsidP="00456131">
            <w:pPr>
              <w:widowControl w:val="0"/>
              <w:numPr>
                <w:ilvl w:val="0"/>
                <w:numId w:val="42"/>
              </w:numPr>
              <w:spacing w:line="240" w:lineRule="auto"/>
              <w:jc w:val="both"/>
            </w:pPr>
            <w:r w:rsidRPr="001C5364">
              <w:t>certification standard refers to statements or rules applicable to obtaining a qualification (e.g. certificate or diploma) as well as the rights conferred</w:t>
            </w:r>
            <w:r>
              <w:t>.</w:t>
            </w:r>
            <w:r>
              <w:rPr>
                <w:rStyle w:val="FootnoteReference"/>
                <w:sz w:val="20"/>
                <w:szCs w:val="20"/>
              </w:rPr>
              <w:footnoteReference w:id="105"/>
            </w:r>
          </w:p>
        </w:tc>
      </w:tr>
      <w:tr w:rsidR="00885719" w:rsidRPr="00453ADC" w14:paraId="70C32C53" w14:textId="77777777" w:rsidTr="00777080">
        <w:tc>
          <w:tcPr>
            <w:tcW w:w="1157" w:type="pct"/>
          </w:tcPr>
          <w:p w14:paraId="3F48CC41" w14:textId="4FA73026" w:rsidR="00885719" w:rsidRPr="00885719" w:rsidRDefault="00885719" w:rsidP="00885719">
            <w:pPr>
              <w:spacing w:line="240" w:lineRule="auto"/>
              <w:rPr>
                <w:sz w:val="20"/>
              </w:rPr>
            </w:pPr>
            <w:r w:rsidRPr="00885719">
              <w:rPr>
                <w:sz w:val="20"/>
              </w:rPr>
              <w:t>Accreditation</w:t>
            </w:r>
          </w:p>
        </w:tc>
        <w:tc>
          <w:tcPr>
            <w:tcW w:w="3843" w:type="pct"/>
          </w:tcPr>
          <w:p w14:paraId="66D0BBD8" w14:textId="5A2B147D" w:rsidR="00885719" w:rsidRPr="00885719" w:rsidRDefault="00885719" w:rsidP="00885719">
            <w:pPr>
              <w:spacing w:line="240" w:lineRule="auto"/>
              <w:rPr>
                <w:sz w:val="20"/>
              </w:rPr>
            </w:pPr>
            <w:bookmarkStart w:id="148" w:name="OLE_LINK1"/>
            <w:bookmarkStart w:id="149" w:name="OLE_LINK2"/>
            <w:r w:rsidRPr="00885719">
              <w:rPr>
                <w:sz w:val="20"/>
              </w:rPr>
              <w:t>The official approval of achievement standards, including qualifications or unit(s) of a qualification, usually for a particular period of time, as being able to meet particular requirements defined by an accrediting agency.</w:t>
            </w:r>
            <w:r>
              <w:rPr>
                <w:rStyle w:val="FootnoteReference"/>
                <w:sz w:val="20"/>
              </w:rPr>
              <w:footnoteReference w:id="106"/>
            </w:r>
            <w:r w:rsidRPr="00885719">
              <w:rPr>
                <w:sz w:val="20"/>
              </w:rPr>
              <w:t xml:space="preserve"> </w:t>
            </w:r>
            <w:bookmarkEnd w:id="148"/>
            <w:bookmarkEnd w:id="149"/>
          </w:p>
        </w:tc>
      </w:tr>
      <w:tr w:rsidR="00885719" w:rsidRPr="00453ADC" w14:paraId="30B7C5BC" w14:textId="77777777" w:rsidTr="00777080">
        <w:tc>
          <w:tcPr>
            <w:tcW w:w="1157" w:type="pct"/>
          </w:tcPr>
          <w:p w14:paraId="37A8DFE3" w14:textId="3C0340B4" w:rsidR="00885719" w:rsidRPr="00885719" w:rsidRDefault="00885719" w:rsidP="00885719">
            <w:pPr>
              <w:spacing w:line="240" w:lineRule="auto"/>
              <w:rPr>
                <w:sz w:val="20"/>
              </w:rPr>
            </w:pPr>
            <w:r w:rsidRPr="00885719">
              <w:rPr>
                <w:sz w:val="20"/>
              </w:rPr>
              <w:t>Accrediting agency</w:t>
            </w:r>
          </w:p>
        </w:tc>
        <w:tc>
          <w:tcPr>
            <w:tcW w:w="3843" w:type="pct"/>
          </w:tcPr>
          <w:p w14:paraId="64A1DD68" w14:textId="4E4672F7" w:rsidR="00885719" w:rsidRPr="00885719" w:rsidRDefault="00885719" w:rsidP="00885719">
            <w:pPr>
              <w:spacing w:line="240" w:lineRule="auto"/>
              <w:rPr>
                <w:sz w:val="20"/>
                <w:szCs w:val="20"/>
              </w:rPr>
            </w:pPr>
            <w:r w:rsidRPr="00885719">
              <w:rPr>
                <w:sz w:val="20"/>
              </w:rPr>
              <w:t>Accrediting agencies are those competent bodies (such as national qualifications agencies, national accreditation agencies, official review boards or other nationally approved bodies or agencies with the responsibility to approve qualifications) that manage program and qualifications accreditation under national legislation. Accrediting agencies function within a quality assurance system.</w:t>
            </w:r>
            <w:r>
              <w:rPr>
                <w:rStyle w:val="FootnoteReference"/>
                <w:sz w:val="20"/>
              </w:rPr>
              <w:footnoteReference w:id="107"/>
            </w:r>
            <w:r w:rsidRPr="00885719">
              <w:rPr>
                <w:sz w:val="20"/>
              </w:rPr>
              <w:t xml:space="preserve"> </w:t>
            </w:r>
          </w:p>
        </w:tc>
      </w:tr>
      <w:tr w:rsidR="00F53E4B" w:rsidRPr="00D60780" w14:paraId="5ADF3C98" w14:textId="77777777" w:rsidTr="00777080">
        <w:tc>
          <w:tcPr>
            <w:tcW w:w="1157" w:type="pct"/>
          </w:tcPr>
          <w:p w14:paraId="4A9D077C" w14:textId="77777777" w:rsidR="00F53E4B" w:rsidRPr="00D60780" w:rsidRDefault="00F53E4B" w:rsidP="00730F5E">
            <w:pPr>
              <w:spacing w:line="240" w:lineRule="auto"/>
              <w:rPr>
                <w:sz w:val="20"/>
              </w:rPr>
            </w:pPr>
            <w:r w:rsidRPr="00D60780">
              <w:rPr>
                <w:sz w:val="20"/>
              </w:rPr>
              <w:t>Qualifications framework</w:t>
            </w:r>
          </w:p>
        </w:tc>
        <w:tc>
          <w:tcPr>
            <w:tcW w:w="3843" w:type="pct"/>
          </w:tcPr>
          <w:p w14:paraId="0534EFC6" w14:textId="77777777" w:rsidR="00F53E4B" w:rsidRPr="00D60780" w:rsidRDefault="00F53E4B" w:rsidP="00730F5E">
            <w:pPr>
              <w:spacing w:line="240" w:lineRule="auto"/>
              <w:rPr>
                <w:sz w:val="20"/>
              </w:rPr>
            </w:pPr>
            <w:r w:rsidRPr="00D60780">
              <w:rPr>
                <w:sz w:val="20"/>
              </w:rPr>
              <w:t>Instrument for development and classification of qualifications (at national or sectoral levels) according to a set of criteria (such as using descriptors) applicable to specified levels of learning outcomes.</w:t>
            </w:r>
            <w:r w:rsidRPr="00D60780">
              <w:rPr>
                <w:rStyle w:val="FootnoteReference"/>
                <w:sz w:val="20"/>
              </w:rPr>
              <w:footnoteReference w:id="108"/>
            </w:r>
          </w:p>
        </w:tc>
      </w:tr>
      <w:tr w:rsidR="00F53E4B" w:rsidRPr="00D60780" w14:paraId="282D1336" w14:textId="77777777" w:rsidTr="00777080">
        <w:trPr>
          <w:trHeight w:val="666"/>
        </w:trPr>
        <w:tc>
          <w:tcPr>
            <w:tcW w:w="1157" w:type="pct"/>
          </w:tcPr>
          <w:p w14:paraId="41247FDD" w14:textId="77777777" w:rsidR="00F53E4B" w:rsidRPr="00D60780" w:rsidRDefault="00F53E4B" w:rsidP="00730F5E">
            <w:pPr>
              <w:widowControl w:val="0"/>
              <w:spacing w:line="240" w:lineRule="auto"/>
              <w:rPr>
                <w:sz w:val="20"/>
              </w:rPr>
            </w:pPr>
            <w:r w:rsidRPr="00D60780">
              <w:rPr>
                <w:sz w:val="20"/>
              </w:rPr>
              <w:t>Qualifications system</w:t>
            </w:r>
          </w:p>
        </w:tc>
        <w:tc>
          <w:tcPr>
            <w:tcW w:w="3843" w:type="pct"/>
          </w:tcPr>
          <w:p w14:paraId="304A29A9" w14:textId="77777777" w:rsidR="00F53E4B" w:rsidRPr="00D60780" w:rsidRDefault="00F53E4B" w:rsidP="00730F5E">
            <w:pPr>
              <w:widowControl w:val="0"/>
              <w:spacing w:line="240" w:lineRule="auto"/>
              <w:rPr>
                <w:sz w:val="20"/>
              </w:rPr>
            </w:pPr>
            <w:r w:rsidRPr="00D60780">
              <w:rPr>
                <w:sz w:val="20"/>
              </w:rPr>
              <w:t>Qualifications system includes all aspects of a country's activity that result in the recognition of learning. These systems include the means of developing and operationalising national or regional policy on qualifications, institutional arrangements, quality assurance processes, assessment and awarding processes, skills recognition and other mechanisms that link education and training to the labour market and civil society. Qualifications systems may be more or less integrated and coherent. One feature of a qualifications system may be an explicit framework of qualifications.</w:t>
            </w:r>
            <w:r w:rsidRPr="00D60780">
              <w:rPr>
                <w:rStyle w:val="FootnoteReference"/>
                <w:sz w:val="20"/>
              </w:rPr>
              <w:footnoteReference w:id="109"/>
            </w:r>
          </w:p>
        </w:tc>
      </w:tr>
      <w:tr w:rsidR="00F53E4B" w:rsidRPr="00D60780" w14:paraId="57A18968" w14:textId="77777777" w:rsidTr="00777080">
        <w:trPr>
          <w:trHeight w:val="368"/>
        </w:trPr>
        <w:tc>
          <w:tcPr>
            <w:tcW w:w="1157" w:type="pct"/>
          </w:tcPr>
          <w:p w14:paraId="6446B7C9" w14:textId="77777777" w:rsidR="00F53E4B" w:rsidRPr="00D60780" w:rsidRDefault="00F53E4B" w:rsidP="00730F5E">
            <w:pPr>
              <w:widowControl w:val="0"/>
              <w:spacing w:line="240" w:lineRule="auto"/>
              <w:rPr>
                <w:sz w:val="20"/>
              </w:rPr>
            </w:pPr>
            <w:r w:rsidRPr="00D60780">
              <w:rPr>
                <w:sz w:val="20"/>
              </w:rPr>
              <w:t xml:space="preserve">Quality assurance </w:t>
            </w:r>
            <w:r w:rsidRPr="00D60780">
              <w:rPr>
                <w:sz w:val="20"/>
              </w:rPr>
              <w:lastRenderedPageBreak/>
              <w:t>framework</w:t>
            </w:r>
          </w:p>
        </w:tc>
        <w:tc>
          <w:tcPr>
            <w:tcW w:w="3843" w:type="pct"/>
          </w:tcPr>
          <w:p w14:paraId="08058A91" w14:textId="77777777" w:rsidR="00F53E4B" w:rsidRPr="00D60780" w:rsidRDefault="00F53E4B" w:rsidP="00730F5E">
            <w:pPr>
              <w:widowControl w:val="0"/>
              <w:spacing w:line="240" w:lineRule="auto"/>
              <w:rPr>
                <w:sz w:val="20"/>
              </w:rPr>
            </w:pPr>
            <w:r w:rsidRPr="00D60780">
              <w:rPr>
                <w:sz w:val="20"/>
              </w:rPr>
              <w:lastRenderedPageBreak/>
              <w:t xml:space="preserve">A set of principles, guidelines, tools and standards that act as a reference for </w:t>
            </w:r>
            <w:r w:rsidRPr="00D60780">
              <w:rPr>
                <w:sz w:val="20"/>
              </w:rPr>
              <w:lastRenderedPageBreak/>
              <w:t>guiding the consistent application of quality assurance activities.</w:t>
            </w:r>
            <w:r w:rsidRPr="00D60780">
              <w:rPr>
                <w:rStyle w:val="FootnoteReference"/>
                <w:sz w:val="20"/>
              </w:rPr>
              <w:footnoteReference w:id="110"/>
            </w:r>
            <w:r w:rsidRPr="00D60780">
              <w:rPr>
                <w:sz w:val="20"/>
              </w:rPr>
              <w:t xml:space="preserve">  </w:t>
            </w:r>
          </w:p>
        </w:tc>
      </w:tr>
      <w:tr w:rsidR="00F53E4B" w:rsidRPr="00D60780" w14:paraId="40445230" w14:textId="77777777" w:rsidTr="00777080">
        <w:trPr>
          <w:trHeight w:val="1033"/>
        </w:trPr>
        <w:tc>
          <w:tcPr>
            <w:tcW w:w="1157" w:type="pct"/>
          </w:tcPr>
          <w:p w14:paraId="6B21457A" w14:textId="77777777" w:rsidR="00F53E4B" w:rsidRPr="00D60780" w:rsidRDefault="00F53E4B" w:rsidP="00730F5E">
            <w:pPr>
              <w:widowControl w:val="0"/>
              <w:spacing w:line="240" w:lineRule="auto"/>
              <w:rPr>
                <w:sz w:val="20"/>
              </w:rPr>
            </w:pPr>
            <w:r w:rsidRPr="00D60780">
              <w:rPr>
                <w:sz w:val="20"/>
              </w:rPr>
              <w:lastRenderedPageBreak/>
              <w:t>Referencing</w:t>
            </w:r>
          </w:p>
        </w:tc>
        <w:tc>
          <w:tcPr>
            <w:tcW w:w="3843" w:type="pct"/>
          </w:tcPr>
          <w:p w14:paraId="76734C55" w14:textId="77777777" w:rsidR="00F53E4B" w:rsidRPr="00D60780" w:rsidRDefault="00F53E4B" w:rsidP="00730F5E">
            <w:pPr>
              <w:widowControl w:val="0"/>
              <w:spacing w:line="240" w:lineRule="auto"/>
              <w:rPr>
                <w:sz w:val="20"/>
              </w:rPr>
            </w:pPr>
            <w:r w:rsidRPr="00D60780">
              <w:rPr>
                <w:sz w:val="20"/>
              </w:rPr>
              <w:t xml:space="preserve">Referencing is a process that results in the establishment of a relationship between the national qualifications framework and that of a regional qualifications framework. </w:t>
            </w:r>
          </w:p>
        </w:tc>
      </w:tr>
      <w:tr w:rsidR="00F53E4B" w:rsidRPr="00D60780" w14:paraId="2443F840" w14:textId="77777777" w:rsidTr="00777080">
        <w:trPr>
          <w:trHeight w:val="1033"/>
        </w:trPr>
        <w:tc>
          <w:tcPr>
            <w:tcW w:w="1157" w:type="pct"/>
          </w:tcPr>
          <w:p w14:paraId="1811D847" w14:textId="77777777" w:rsidR="00F53E4B" w:rsidRPr="00D60780" w:rsidRDefault="00F53E4B" w:rsidP="00730F5E">
            <w:pPr>
              <w:widowControl w:val="0"/>
              <w:spacing w:line="240" w:lineRule="auto"/>
              <w:rPr>
                <w:sz w:val="20"/>
              </w:rPr>
            </w:pPr>
            <w:r w:rsidRPr="00D60780">
              <w:rPr>
                <w:sz w:val="20"/>
              </w:rPr>
              <w:t>Regional qualifications framework</w:t>
            </w:r>
          </w:p>
        </w:tc>
        <w:tc>
          <w:tcPr>
            <w:tcW w:w="3843" w:type="pct"/>
          </w:tcPr>
          <w:p w14:paraId="7FA2D14A" w14:textId="77777777" w:rsidR="00F53E4B" w:rsidRPr="00D60780" w:rsidRDefault="00F53E4B" w:rsidP="00730F5E">
            <w:pPr>
              <w:widowControl w:val="0"/>
              <w:spacing w:line="240" w:lineRule="auto"/>
              <w:rPr>
                <w:sz w:val="20"/>
              </w:rPr>
            </w:pPr>
            <w:r w:rsidRPr="00D60780">
              <w:rPr>
                <w:sz w:val="20"/>
              </w:rPr>
              <w:t>A broad structure of levels of learning outcomes that is agreed by countries in a geographical region. A means of enabling one national framework of qualifications to relate to another and, subsequently, for a qualification in one country to be compared to a qualification from another country.</w:t>
            </w:r>
          </w:p>
        </w:tc>
      </w:tr>
      <w:tr w:rsidR="00885719" w:rsidRPr="00D60780" w14:paraId="02A95A16" w14:textId="77777777" w:rsidTr="00777080">
        <w:trPr>
          <w:trHeight w:val="1033"/>
        </w:trPr>
        <w:tc>
          <w:tcPr>
            <w:tcW w:w="1157" w:type="pct"/>
          </w:tcPr>
          <w:p w14:paraId="32F88D6D" w14:textId="1C44CF1C" w:rsidR="00885719" w:rsidRPr="00885719" w:rsidRDefault="00885719" w:rsidP="00885719">
            <w:pPr>
              <w:widowControl w:val="0"/>
              <w:spacing w:line="240" w:lineRule="auto"/>
              <w:rPr>
                <w:sz w:val="20"/>
              </w:rPr>
            </w:pPr>
            <w:r w:rsidRPr="00885719">
              <w:rPr>
                <w:sz w:val="20"/>
              </w:rPr>
              <w:t>Registering agency</w:t>
            </w:r>
          </w:p>
        </w:tc>
        <w:tc>
          <w:tcPr>
            <w:tcW w:w="3843" w:type="pct"/>
          </w:tcPr>
          <w:p w14:paraId="04566D3C" w14:textId="3EE2CFA4" w:rsidR="00885719" w:rsidRPr="00885719" w:rsidRDefault="00885719" w:rsidP="00885719">
            <w:pPr>
              <w:widowControl w:val="0"/>
              <w:spacing w:line="240" w:lineRule="auto"/>
              <w:rPr>
                <w:sz w:val="20"/>
              </w:rPr>
            </w:pPr>
            <w:r w:rsidRPr="00885719">
              <w:rPr>
                <w:sz w:val="20"/>
              </w:rPr>
              <w:t>Registering agencies are those competent bodies responsible for approving education and training providers e.g. national qualifications agencies, official review boards or other nationally approved bodies or agencies.  Registering agencies function within a quality assurance system.</w:t>
            </w:r>
            <w:r>
              <w:rPr>
                <w:rStyle w:val="FootnoteReference"/>
                <w:sz w:val="20"/>
              </w:rPr>
              <w:footnoteReference w:id="111"/>
            </w:r>
          </w:p>
        </w:tc>
      </w:tr>
      <w:tr w:rsidR="00885719" w:rsidRPr="00D60780" w14:paraId="52EF4180" w14:textId="77777777" w:rsidTr="00777080">
        <w:trPr>
          <w:trHeight w:val="1033"/>
        </w:trPr>
        <w:tc>
          <w:tcPr>
            <w:tcW w:w="1157" w:type="pct"/>
          </w:tcPr>
          <w:p w14:paraId="5D1A90C1" w14:textId="6403543F" w:rsidR="00885719" w:rsidRPr="00885719" w:rsidRDefault="00885719" w:rsidP="00885719">
            <w:pPr>
              <w:widowControl w:val="0"/>
              <w:spacing w:line="240" w:lineRule="auto"/>
              <w:rPr>
                <w:sz w:val="20"/>
              </w:rPr>
            </w:pPr>
            <w:r w:rsidRPr="00885719">
              <w:rPr>
                <w:sz w:val="20"/>
              </w:rPr>
              <w:t>Registration of providers</w:t>
            </w:r>
          </w:p>
        </w:tc>
        <w:tc>
          <w:tcPr>
            <w:tcW w:w="3843" w:type="pct"/>
          </w:tcPr>
          <w:p w14:paraId="6EC3F2D7" w14:textId="77777777" w:rsidR="00885719" w:rsidRPr="00885719" w:rsidRDefault="00885719" w:rsidP="00885719">
            <w:pPr>
              <w:widowControl w:val="0"/>
              <w:spacing w:line="240" w:lineRule="auto"/>
              <w:rPr>
                <w:sz w:val="20"/>
              </w:rPr>
            </w:pPr>
            <w:r w:rsidRPr="00885719">
              <w:rPr>
                <w:sz w:val="20"/>
              </w:rPr>
              <w:t xml:space="preserve">Registration processes include formal acknowledgement by a registering agency that a provider meets relevant quality standards. Under NQFs it is usual for a provider to be registered in order to deliver and assess accredited programs and issue awards. </w:t>
            </w:r>
          </w:p>
          <w:p w14:paraId="6E4808E8" w14:textId="77777777" w:rsidR="00885719" w:rsidRPr="00885719" w:rsidRDefault="00885719" w:rsidP="00885719">
            <w:pPr>
              <w:widowControl w:val="0"/>
              <w:spacing w:line="240" w:lineRule="auto"/>
              <w:rPr>
                <w:sz w:val="20"/>
              </w:rPr>
            </w:pPr>
            <w:r w:rsidRPr="00885719">
              <w:rPr>
                <w:sz w:val="20"/>
              </w:rPr>
              <w:t>Some agencies differentiate between the two processes, e.g.:</w:t>
            </w:r>
          </w:p>
          <w:p w14:paraId="5C8A8E36" w14:textId="77777777" w:rsidR="00885719" w:rsidRPr="00885719" w:rsidRDefault="00885719" w:rsidP="00CD4869">
            <w:pPr>
              <w:widowControl w:val="0"/>
              <w:numPr>
                <w:ilvl w:val="0"/>
                <w:numId w:val="81"/>
              </w:numPr>
              <w:spacing w:before="0" w:after="200" w:line="240" w:lineRule="auto"/>
              <w:rPr>
                <w:sz w:val="20"/>
              </w:rPr>
            </w:pPr>
            <w:r w:rsidRPr="00885719">
              <w:rPr>
                <w:sz w:val="20"/>
              </w:rPr>
              <w:t xml:space="preserve">formal acknowledgement that the provider meets key generic standards </w:t>
            </w:r>
          </w:p>
          <w:p w14:paraId="4A7E970A" w14:textId="7CFBBC60" w:rsidR="00885719" w:rsidRPr="00885719" w:rsidRDefault="00885719" w:rsidP="00CD4869">
            <w:pPr>
              <w:widowControl w:val="0"/>
              <w:numPr>
                <w:ilvl w:val="0"/>
                <w:numId w:val="81"/>
              </w:numPr>
              <w:spacing w:before="0" w:after="200" w:line="240" w:lineRule="auto"/>
              <w:rPr>
                <w:sz w:val="20"/>
              </w:rPr>
            </w:pPr>
            <w:r w:rsidRPr="00885719">
              <w:rPr>
                <w:sz w:val="20"/>
              </w:rPr>
              <w:t>formal acknowledgement that the provider meets specific standards related to the provision of teaching, learning and assessment of a specific program.</w:t>
            </w:r>
            <w:r>
              <w:rPr>
                <w:rStyle w:val="FootnoteReference"/>
                <w:sz w:val="20"/>
              </w:rPr>
              <w:footnoteReference w:id="112"/>
            </w:r>
          </w:p>
          <w:p w14:paraId="5F301700" w14:textId="602EC300" w:rsidR="00885719" w:rsidRPr="00885719" w:rsidRDefault="00885719" w:rsidP="00885719">
            <w:pPr>
              <w:widowControl w:val="0"/>
              <w:spacing w:line="240" w:lineRule="auto"/>
              <w:rPr>
                <w:sz w:val="20"/>
              </w:rPr>
            </w:pPr>
            <w:r w:rsidRPr="00885719">
              <w:rPr>
                <w:sz w:val="20"/>
              </w:rPr>
              <w:t xml:space="preserve">For the purpose of </w:t>
            </w:r>
            <w:r>
              <w:rPr>
                <w:sz w:val="20"/>
              </w:rPr>
              <w:t>this report</w:t>
            </w:r>
            <w:r w:rsidRPr="00885719">
              <w:rPr>
                <w:sz w:val="20"/>
              </w:rPr>
              <w:t xml:space="preserve">, registration of providers is the term used for both processes. </w:t>
            </w:r>
          </w:p>
        </w:tc>
      </w:tr>
      <w:tr w:rsidR="00F53E4B" w:rsidRPr="00D60780" w14:paraId="7A0169E1" w14:textId="77777777" w:rsidTr="00777080">
        <w:trPr>
          <w:trHeight w:val="1033"/>
        </w:trPr>
        <w:tc>
          <w:tcPr>
            <w:tcW w:w="1157" w:type="pct"/>
          </w:tcPr>
          <w:p w14:paraId="5E97662C" w14:textId="77777777" w:rsidR="00F53E4B" w:rsidRPr="00D60780" w:rsidRDefault="00F53E4B" w:rsidP="00730F5E">
            <w:pPr>
              <w:widowControl w:val="0"/>
              <w:spacing w:line="240" w:lineRule="auto"/>
              <w:rPr>
                <w:sz w:val="20"/>
              </w:rPr>
            </w:pPr>
            <w:r w:rsidRPr="00D60780">
              <w:rPr>
                <w:sz w:val="20"/>
              </w:rPr>
              <w:t>Training standard</w:t>
            </w:r>
          </w:p>
        </w:tc>
        <w:tc>
          <w:tcPr>
            <w:tcW w:w="3843" w:type="pct"/>
          </w:tcPr>
          <w:p w14:paraId="7137854A" w14:textId="77777777" w:rsidR="00F53E4B" w:rsidRPr="00D60780" w:rsidRDefault="00F53E4B" w:rsidP="00730F5E">
            <w:pPr>
              <w:widowControl w:val="0"/>
              <w:spacing w:line="240" w:lineRule="auto"/>
              <w:rPr>
                <w:sz w:val="20"/>
              </w:rPr>
            </w:pPr>
            <w:r w:rsidRPr="00D60780">
              <w:rPr>
                <w:sz w:val="20"/>
              </w:rPr>
              <w:t>A training standard could be an educational standard as noted in ‘Achievement Standards’ or could be a standard that is less detailed and provides advice related to training expectations and inputs, such as associated achievement standards; resources (for example staff, students, materials) which should be available in an institution; duration or volume of learning of the programme; NQF level of qualification. This working definition for the literature review includes both these notions.</w:t>
            </w:r>
          </w:p>
        </w:tc>
      </w:tr>
    </w:tbl>
    <w:p w14:paraId="2EEF3061" w14:textId="77777777" w:rsidR="00F53E4B" w:rsidRDefault="00F53E4B" w:rsidP="00730F5E">
      <w:pPr>
        <w:widowControl w:val="0"/>
        <w:spacing w:line="240" w:lineRule="auto"/>
        <w:rPr>
          <w:color w:val="95050F"/>
        </w:rPr>
      </w:pPr>
    </w:p>
    <w:p w14:paraId="413FCDFD" w14:textId="77777777" w:rsidR="00F53E4B" w:rsidRDefault="00F53E4B">
      <w:pPr>
        <w:spacing w:before="0" w:after="200" w:line="276" w:lineRule="auto"/>
        <w:rPr>
          <w:rFonts w:asciiTheme="majorHAnsi" w:eastAsiaTheme="majorEastAsia" w:hAnsiTheme="majorHAnsi" w:cstheme="majorBidi"/>
          <w:b/>
          <w:bCs/>
          <w:color w:val="95050F"/>
          <w:sz w:val="32"/>
          <w:szCs w:val="28"/>
        </w:rPr>
      </w:pPr>
      <w:r>
        <w:rPr>
          <w:color w:val="95050F"/>
        </w:rPr>
        <w:br w:type="page"/>
      </w:r>
    </w:p>
    <w:p w14:paraId="3B84FEAA" w14:textId="291FBA6E" w:rsidR="001328F3" w:rsidRPr="00435408" w:rsidRDefault="00435408" w:rsidP="00435408">
      <w:pPr>
        <w:pStyle w:val="Heading1"/>
        <w:rPr>
          <w:color w:val="95050F"/>
        </w:rPr>
      </w:pPr>
      <w:bookmarkStart w:id="150" w:name="_Toc458938609"/>
      <w:bookmarkStart w:id="151" w:name="_Toc462755586"/>
      <w:r w:rsidRPr="00435408">
        <w:rPr>
          <w:color w:val="95050F"/>
        </w:rPr>
        <w:lastRenderedPageBreak/>
        <w:t>References</w:t>
      </w:r>
      <w:bookmarkEnd w:id="150"/>
      <w:bookmarkEnd w:id="151"/>
    </w:p>
    <w:p w14:paraId="6FC2B70E" w14:textId="00738C69" w:rsidR="0065789A" w:rsidRDefault="0065789A" w:rsidP="00730F5E">
      <w:pPr>
        <w:spacing w:after="0" w:line="240" w:lineRule="auto"/>
        <w:ind w:left="284" w:hanging="284"/>
        <w:rPr>
          <w:sz w:val="20"/>
          <w:szCs w:val="20"/>
        </w:rPr>
      </w:pPr>
      <w:r>
        <w:rPr>
          <w:sz w:val="20"/>
          <w:szCs w:val="20"/>
        </w:rPr>
        <w:t xml:space="preserve">ASEAN 2015, ASEAN Qualifications Reference Framework, ASEAN Secretariat, Jakarta. </w:t>
      </w:r>
    </w:p>
    <w:p w14:paraId="3966AA60" w14:textId="1BF57E1D" w:rsidR="00726B5C" w:rsidRPr="009923E2" w:rsidRDefault="00726B5C" w:rsidP="00730F5E">
      <w:pPr>
        <w:spacing w:after="0" w:line="240" w:lineRule="auto"/>
        <w:ind w:left="284" w:hanging="284"/>
        <w:rPr>
          <w:sz w:val="20"/>
          <w:szCs w:val="20"/>
        </w:rPr>
      </w:pPr>
      <w:r w:rsidRPr="009923E2">
        <w:rPr>
          <w:sz w:val="20"/>
          <w:szCs w:val="20"/>
        </w:rPr>
        <w:t xml:space="preserve">Assessment Research Centre </w:t>
      </w:r>
      <w:r w:rsidR="001B2CA3" w:rsidRPr="009923E2">
        <w:rPr>
          <w:sz w:val="20"/>
          <w:szCs w:val="20"/>
        </w:rPr>
        <w:t>(</w:t>
      </w:r>
      <w:r w:rsidRPr="009923E2">
        <w:rPr>
          <w:sz w:val="20"/>
          <w:szCs w:val="20"/>
        </w:rPr>
        <w:t>2013</w:t>
      </w:r>
      <w:r w:rsidR="001B2CA3" w:rsidRPr="009923E2">
        <w:rPr>
          <w:sz w:val="20"/>
          <w:szCs w:val="20"/>
        </w:rPr>
        <w:t>)</w:t>
      </w:r>
      <w:r w:rsidRPr="009923E2">
        <w:rPr>
          <w:sz w:val="20"/>
          <w:szCs w:val="20"/>
        </w:rPr>
        <w:t xml:space="preserve"> </w:t>
      </w:r>
      <w:r w:rsidRPr="009923E2">
        <w:rPr>
          <w:i/>
          <w:sz w:val="20"/>
          <w:szCs w:val="20"/>
        </w:rPr>
        <w:t>Review of the Secretariat of the Pacific Board for Educational Assessment (SPBEA): Review conducted for the Secretariat of the Pacific Community</w:t>
      </w:r>
      <w:r w:rsidRPr="009923E2">
        <w:rPr>
          <w:sz w:val="20"/>
          <w:szCs w:val="20"/>
        </w:rPr>
        <w:t xml:space="preserve">, University of Melbourne, Melbourne. </w:t>
      </w:r>
    </w:p>
    <w:p w14:paraId="33EDBFDF" w14:textId="129096F9" w:rsidR="00393401" w:rsidRPr="009923E2" w:rsidRDefault="00393401" w:rsidP="00730F5E">
      <w:pPr>
        <w:spacing w:after="0" w:line="240" w:lineRule="auto"/>
        <w:ind w:left="284" w:hanging="284"/>
        <w:rPr>
          <w:sz w:val="20"/>
          <w:szCs w:val="20"/>
        </w:rPr>
      </w:pPr>
      <w:r w:rsidRPr="009923E2">
        <w:rPr>
          <w:sz w:val="20"/>
          <w:szCs w:val="20"/>
        </w:rPr>
        <w:t xml:space="preserve">Ball, R (2015) </w:t>
      </w:r>
      <w:r w:rsidRPr="009923E2">
        <w:rPr>
          <w:i/>
          <w:sz w:val="20"/>
          <w:szCs w:val="20"/>
        </w:rPr>
        <w:t>Australian Labour Market Analysis –Labour Export Opportunities for Pacific Island Countries.</w:t>
      </w:r>
    </w:p>
    <w:p w14:paraId="603B6783" w14:textId="42E69C29" w:rsidR="006A1541" w:rsidRPr="009923E2" w:rsidRDefault="006A1541" w:rsidP="00730F5E">
      <w:pPr>
        <w:spacing w:after="0" w:line="240" w:lineRule="auto"/>
        <w:ind w:left="284" w:hanging="284"/>
        <w:rPr>
          <w:sz w:val="20"/>
          <w:szCs w:val="20"/>
        </w:rPr>
      </w:pPr>
      <w:r w:rsidRPr="009923E2">
        <w:rPr>
          <w:sz w:val="20"/>
          <w:szCs w:val="20"/>
        </w:rPr>
        <w:t xml:space="preserve">Bateman, A </w:t>
      </w:r>
      <w:r w:rsidR="001B2CA3" w:rsidRPr="009923E2">
        <w:rPr>
          <w:sz w:val="20"/>
          <w:szCs w:val="20"/>
        </w:rPr>
        <w:t>(</w:t>
      </w:r>
      <w:r w:rsidRPr="009923E2">
        <w:rPr>
          <w:sz w:val="20"/>
          <w:szCs w:val="20"/>
        </w:rPr>
        <w:t>2013</w:t>
      </w:r>
      <w:r w:rsidR="001B2CA3" w:rsidRPr="009923E2">
        <w:rPr>
          <w:sz w:val="20"/>
          <w:szCs w:val="20"/>
        </w:rPr>
        <w:t>)</w:t>
      </w:r>
      <w:r w:rsidRPr="009923E2">
        <w:rPr>
          <w:sz w:val="20"/>
          <w:szCs w:val="20"/>
        </w:rPr>
        <w:t xml:space="preserve"> </w:t>
      </w:r>
      <w:r w:rsidRPr="009923E2">
        <w:rPr>
          <w:i/>
          <w:sz w:val="20"/>
          <w:szCs w:val="20"/>
        </w:rPr>
        <w:t>Review of quality assurance mechanisms for post-secondary education in the Pacific</w:t>
      </w:r>
      <w:r w:rsidRPr="009923E2">
        <w:rPr>
          <w:sz w:val="20"/>
          <w:szCs w:val="20"/>
        </w:rPr>
        <w:t xml:space="preserve">, Education Resource Facility, department of Foreign Affairs and Trade. </w:t>
      </w:r>
    </w:p>
    <w:p w14:paraId="5944E724" w14:textId="77777777" w:rsidR="008143D1" w:rsidRPr="009923E2" w:rsidRDefault="008143D1" w:rsidP="00730F5E">
      <w:pPr>
        <w:spacing w:after="0" w:line="240" w:lineRule="auto"/>
        <w:ind w:left="284" w:hanging="284"/>
        <w:rPr>
          <w:rFonts w:cs="Arial"/>
          <w:sz w:val="20"/>
          <w:szCs w:val="20"/>
          <w:lang w:val="en-US"/>
        </w:rPr>
      </w:pPr>
      <w:r w:rsidRPr="009923E2">
        <w:rPr>
          <w:rFonts w:cs="Arial"/>
          <w:sz w:val="20"/>
          <w:szCs w:val="20"/>
          <w:lang w:val="en-US"/>
        </w:rPr>
        <w:t xml:space="preserve">Bateman, A &amp; Coles, M (2013) </w:t>
      </w:r>
      <w:r w:rsidRPr="009923E2">
        <w:rPr>
          <w:rFonts w:cs="Arial"/>
          <w:i/>
          <w:sz w:val="20"/>
          <w:szCs w:val="20"/>
          <w:lang w:val="en-US"/>
        </w:rPr>
        <w:t xml:space="preserve">Qualifications frameworks and quality assurance of education and training, </w:t>
      </w:r>
      <w:r w:rsidRPr="009923E2">
        <w:rPr>
          <w:rFonts w:cs="Arial"/>
          <w:sz w:val="20"/>
          <w:szCs w:val="20"/>
          <w:lang w:val="en-US"/>
        </w:rPr>
        <w:t>World Bank Group, Washington.</w:t>
      </w:r>
    </w:p>
    <w:p w14:paraId="6D5CFC89" w14:textId="77777777" w:rsidR="00446DCC" w:rsidRPr="009923E2" w:rsidRDefault="00446DCC" w:rsidP="00730F5E">
      <w:pPr>
        <w:pStyle w:val="VUparagraph"/>
        <w:spacing w:before="120" w:line="240" w:lineRule="auto"/>
        <w:ind w:left="284" w:hanging="284"/>
        <w:rPr>
          <w:rFonts w:asciiTheme="minorHAnsi" w:hAnsiTheme="minorHAnsi" w:cs="Arial"/>
          <w:sz w:val="20"/>
          <w:szCs w:val="20"/>
        </w:rPr>
      </w:pPr>
      <w:r w:rsidRPr="009923E2">
        <w:rPr>
          <w:rFonts w:asciiTheme="minorHAnsi" w:hAnsiTheme="minorHAnsi" w:cs="Arial"/>
          <w:sz w:val="20"/>
          <w:szCs w:val="20"/>
        </w:rPr>
        <w:t xml:space="preserve">Bateman, A and Coles, M (2014) </w:t>
      </w:r>
      <w:r w:rsidRPr="009923E2">
        <w:rPr>
          <w:rFonts w:asciiTheme="minorHAnsi" w:hAnsiTheme="minorHAnsi"/>
          <w:i/>
          <w:sz w:val="20"/>
          <w:szCs w:val="20"/>
          <w:lang w:val="en-AU"/>
        </w:rPr>
        <w:t>The ASEAN Qualifications Reference Framework</w:t>
      </w:r>
      <w:r w:rsidRPr="009923E2">
        <w:rPr>
          <w:rFonts w:asciiTheme="minorHAnsi" w:hAnsiTheme="minorHAnsi"/>
          <w:sz w:val="20"/>
          <w:szCs w:val="20"/>
          <w:lang w:val="en-AU"/>
        </w:rPr>
        <w:t xml:space="preserve">, ASEAN Secretariat, Jakarta, Indonesia. </w:t>
      </w:r>
    </w:p>
    <w:p w14:paraId="39AB5D85" w14:textId="764BB808" w:rsidR="00C32891" w:rsidRPr="009923E2" w:rsidRDefault="00C32891" w:rsidP="00730F5E">
      <w:pPr>
        <w:spacing w:after="0" w:line="240" w:lineRule="auto"/>
        <w:ind w:left="284" w:hanging="284"/>
        <w:rPr>
          <w:rFonts w:cs="Arial"/>
          <w:sz w:val="20"/>
          <w:szCs w:val="20"/>
          <w:lang w:val="en-US"/>
        </w:rPr>
      </w:pPr>
      <w:r w:rsidRPr="009923E2">
        <w:rPr>
          <w:rFonts w:cs="Arial"/>
          <w:sz w:val="20"/>
          <w:szCs w:val="20"/>
          <w:lang w:val="en-US"/>
        </w:rPr>
        <w:t xml:space="preserve">Bateman, A and Coles, M (2015) </w:t>
      </w:r>
      <w:r w:rsidRPr="009923E2">
        <w:rPr>
          <w:rFonts w:cs="Arial"/>
          <w:i/>
          <w:sz w:val="20"/>
          <w:szCs w:val="20"/>
          <w:lang w:val="en-US"/>
        </w:rPr>
        <w:t>APEC Integrated Referencing Framework for Skills Recognition and Mobility: Literature review and discussion paper</w:t>
      </w:r>
      <w:r w:rsidRPr="009923E2">
        <w:rPr>
          <w:rFonts w:cs="Arial"/>
          <w:sz w:val="20"/>
          <w:szCs w:val="20"/>
          <w:lang w:val="en-US"/>
        </w:rPr>
        <w:t xml:space="preserve">, Department of Education and Training, Canberra. </w:t>
      </w:r>
    </w:p>
    <w:p w14:paraId="4F8D8B7E" w14:textId="7E2F9619" w:rsidR="008143D1" w:rsidRPr="009923E2" w:rsidRDefault="008143D1" w:rsidP="00730F5E">
      <w:pPr>
        <w:spacing w:after="0" w:line="240" w:lineRule="auto"/>
        <w:ind w:left="284" w:hanging="284"/>
        <w:rPr>
          <w:rFonts w:cs="Arial"/>
          <w:sz w:val="20"/>
          <w:szCs w:val="20"/>
          <w:lang w:val="en-US"/>
        </w:rPr>
      </w:pPr>
      <w:r w:rsidRPr="009923E2">
        <w:rPr>
          <w:rFonts w:cs="Arial"/>
          <w:sz w:val="20"/>
          <w:szCs w:val="20"/>
          <w:lang w:val="en-US"/>
        </w:rPr>
        <w:t xml:space="preserve">Bateman, A, Keating, J, Gillis, S, Dyson, C, Burke, G &amp; Coles, M (2012) </w:t>
      </w:r>
      <w:r w:rsidRPr="009923E2">
        <w:rPr>
          <w:rFonts w:cs="Arial"/>
          <w:i/>
          <w:sz w:val="20"/>
          <w:szCs w:val="20"/>
          <w:lang w:val="en-US"/>
        </w:rPr>
        <w:t>Concept Paper: EAST ASIA SUMMIT Vocational Education and Training Quality Assurance Framework</w:t>
      </w:r>
      <w:r w:rsidRPr="009923E2">
        <w:rPr>
          <w:rFonts w:cs="Arial"/>
          <w:sz w:val="20"/>
          <w:szCs w:val="20"/>
          <w:lang w:val="en-US"/>
        </w:rPr>
        <w:t>, Volume II.</w:t>
      </w:r>
    </w:p>
    <w:p w14:paraId="08B2C103" w14:textId="66ACB25D" w:rsidR="00F05DEC" w:rsidRPr="009923E2" w:rsidRDefault="007C0B98" w:rsidP="00730F5E">
      <w:pPr>
        <w:pStyle w:val="VUparagraph"/>
        <w:spacing w:before="120" w:line="240" w:lineRule="auto"/>
        <w:ind w:left="284" w:hanging="284"/>
        <w:rPr>
          <w:rFonts w:asciiTheme="minorHAnsi" w:hAnsiTheme="minorHAnsi" w:cs="Calibri"/>
          <w:sz w:val="20"/>
          <w:szCs w:val="20"/>
          <w:lang w:val="en-AU"/>
        </w:rPr>
      </w:pPr>
      <w:r w:rsidRPr="009923E2">
        <w:rPr>
          <w:rFonts w:asciiTheme="minorHAnsi" w:hAnsiTheme="minorHAnsi" w:cs="Calibri"/>
          <w:sz w:val="20"/>
          <w:szCs w:val="20"/>
          <w:lang w:val="en-AU"/>
        </w:rPr>
        <w:t xml:space="preserve">CEDEFOP </w:t>
      </w:r>
      <w:r w:rsidR="00F05DEC" w:rsidRPr="009923E2">
        <w:rPr>
          <w:rFonts w:asciiTheme="minorHAnsi" w:hAnsiTheme="minorHAnsi" w:cs="Calibri"/>
          <w:sz w:val="20"/>
          <w:szCs w:val="20"/>
          <w:lang w:val="en-AU"/>
        </w:rPr>
        <w:t xml:space="preserve">(2011) </w:t>
      </w:r>
      <w:r w:rsidR="00F05DEC" w:rsidRPr="009923E2">
        <w:rPr>
          <w:rFonts w:asciiTheme="minorHAnsi" w:hAnsiTheme="minorHAnsi" w:cs="Calibri"/>
          <w:i/>
          <w:sz w:val="20"/>
          <w:szCs w:val="20"/>
          <w:lang w:val="en-AU"/>
        </w:rPr>
        <w:t>Glossary: Quality in education and training</w:t>
      </w:r>
      <w:r w:rsidR="00F05DEC" w:rsidRPr="009923E2">
        <w:rPr>
          <w:rFonts w:asciiTheme="minorHAnsi" w:hAnsiTheme="minorHAnsi" w:cs="Calibri"/>
          <w:sz w:val="20"/>
          <w:szCs w:val="20"/>
          <w:lang w:val="en-AU"/>
        </w:rPr>
        <w:t xml:space="preserve">, Office of the European Union, Luxembourg. </w:t>
      </w:r>
    </w:p>
    <w:p w14:paraId="7221A60F" w14:textId="5B3895F5" w:rsidR="00446DCC" w:rsidRPr="009923E2" w:rsidRDefault="007C0B98" w:rsidP="00730F5E">
      <w:pPr>
        <w:pStyle w:val="VUparagraph"/>
        <w:spacing w:before="120" w:line="240" w:lineRule="auto"/>
        <w:ind w:left="284" w:hanging="284"/>
        <w:rPr>
          <w:sz w:val="20"/>
          <w:szCs w:val="20"/>
        </w:rPr>
      </w:pPr>
      <w:r w:rsidRPr="009923E2">
        <w:rPr>
          <w:rFonts w:asciiTheme="minorHAnsi" w:hAnsiTheme="minorHAnsi"/>
          <w:sz w:val="20"/>
          <w:szCs w:val="20"/>
        </w:rPr>
        <w:t xml:space="preserve">CEDEFOP </w:t>
      </w:r>
      <w:r w:rsidR="00446DCC" w:rsidRPr="009923E2">
        <w:rPr>
          <w:rFonts w:asciiTheme="minorHAnsi" w:hAnsiTheme="minorHAnsi"/>
          <w:sz w:val="20"/>
          <w:szCs w:val="20"/>
        </w:rPr>
        <w:t xml:space="preserve">(2015) </w:t>
      </w:r>
      <w:r w:rsidR="00446DCC" w:rsidRPr="009923E2">
        <w:rPr>
          <w:rFonts w:asciiTheme="minorHAnsi" w:hAnsiTheme="minorHAnsi"/>
          <w:i/>
          <w:sz w:val="20"/>
          <w:szCs w:val="20"/>
        </w:rPr>
        <w:t>National qualifications framework developments in Europe – Anniversary edition</w:t>
      </w:r>
      <w:r w:rsidR="00446DCC" w:rsidRPr="009923E2">
        <w:rPr>
          <w:rFonts w:asciiTheme="minorHAnsi" w:hAnsiTheme="minorHAnsi"/>
          <w:sz w:val="20"/>
          <w:szCs w:val="20"/>
        </w:rPr>
        <w:t>, Luxembourg: Publications office of the European Union.</w:t>
      </w:r>
    </w:p>
    <w:p w14:paraId="5212F4C3" w14:textId="77777777" w:rsidR="00446DCC" w:rsidRPr="009923E2" w:rsidRDefault="00446DCC" w:rsidP="00730F5E">
      <w:pPr>
        <w:autoSpaceDE w:val="0"/>
        <w:autoSpaceDN w:val="0"/>
        <w:adjustRightInd w:val="0"/>
        <w:spacing w:after="0" w:line="240" w:lineRule="auto"/>
        <w:ind w:left="284" w:hanging="284"/>
        <w:rPr>
          <w:iCs/>
          <w:sz w:val="20"/>
          <w:szCs w:val="20"/>
        </w:rPr>
      </w:pPr>
      <w:r w:rsidRPr="009923E2">
        <w:rPr>
          <w:rFonts w:cs="TT1B6t00"/>
          <w:color w:val="000000"/>
          <w:sz w:val="20"/>
          <w:szCs w:val="20"/>
        </w:rPr>
        <w:t xml:space="preserve">CINTERFOR (2005) </w:t>
      </w:r>
      <w:r w:rsidRPr="009923E2">
        <w:rPr>
          <w:rFonts w:cs="TT1B6t00"/>
          <w:i/>
          <w:color w:val="000000"/>
          <w:sz w:val="20"/>
          <w:szCs w:val="20"/>
        </w:rPr>
        <w:t xml:space="preserve">CARICOM process for workforce training, assessment and certification, </w:t>
      </w:r>
      <w:r w:rsidRPr="009923E2">
        <w:rPr>
          <w:rFonts w:cs="TT1B6t00"/>
          <w:color w:val="000000"/>
          <w:sz w:val="20"/>
          <w:szCs w:val="20"/>
        </w:rPr>
        <w:t xml:space="preserve">accessed via the worldwide web March 2010, </w:t>
      </w:r>
      <w:r w:rsidRPr="009923E2">
        <w:rPr>
          <w:rFonts w:cs="TT1B6t00"/>
          <w:color w:val="0000FF"/>
          <w:sz w:val="20"/>
          <w:szCs w:val="20"/>
        </w:rPr>
        <w:t>www2.ilo.org/public/english/region/ampro/cinterfor/news/biblio/car_wtac.htm</w:t>
      </w:r>
    </w:p>
    <w:p w14:paraId="782A8F41" w14:textId="0A49F47D" w:rsidR="00435408" w:rsidRPr="009923E2" w:rsidRDefault="001B2CA3" w:rsidP="00730F5E">
      <w:pPr>
        <w:spacing w:after="0" w:line="240" w:lineRule="auto"/>
        <w:ind w:left="284" w:hanging="284"/>
        <w:rPr>
          <w:sz w:val="20"/>
          <w:szCs w:val="20"/>
          <w:lang w:val="en-US"/>
        </w:rPr>
      </w:pPr>
      <w:r w:rsidRPr="009923E2">
        <w:rPr>
          <w:sz w:val="20"/>
          <w:szCs w:val="20"/>
        </w:rPr>
        <w:t>Coles, M. and Oates, T.</w:t>
      </w:r>
      <w:r w:rsidR="00FF3E62" w:rsidRPr="009923E2">
        <w:rPr>
          <w:sz w:val="20"/>
          <w:szCs w:val="20"/>
        </w:rPr>
        <w:t xml:space="preserve"> </w:t>
      </w:r>
      <w:r w:rsidRPr="009923E2">
        <w:rPr>
          <w:sz w:val="20"/>
          <w:szCs w:val="20"/>
        </w:rPr>
        <w:t>(</w:t>
      </w:r>
      <w:r w:rsidR="00FF3E62" w:rsidRPr="009923E2">
        <w:rPr>
          <w:sz w:val="20"/>
          <w:szCs w:val="20"/>
        </w:rPr>
        <w:t>2005</w:t>
      </w:r>
      <w:r w:rsidRPr="009923E2">
        <w:rPr>
          <w:sz w:val="20"/>
          <w:szCs w:val="20"/>
        </w:rPr>
        <w:t>)</w:t>
      </w:r>
      <w:r w:rsidR="00FF3E62" w:rsidRPr="009923E2">
        <w:rPr>
          <w:sz w:val="20"/>
          <w:szCs w:val="20"/>
        </w:rPr>
        <w:t xml:space="preserve"> </w:t>
      </w:r>
      <w:r w:rsidR="00FF3E62" w:rsidRPr="009923E2">
        <w:rPr>
          <w:i/>
          <w:sz w:val="20"/>
          <w:szCs w:val="20"/>
          <w:lang w:val="en-US"/>
        </w:rPr>
        <w:t>European reference levels for education and training promoting credit transfer and mutual trust</w:t>
      </w:r>
      <w:r w:rsidR="00FF3E62" w:rsidRPr="009923E2">
        <w:rPr>
          <w:sz w:val="20"/>
          <w:szCs w:val="20"/>
          <w:lang w:val="en-US"/>
        </w:rPr>
        <w:t>, Cedefop, Luxembourg</w:t>
      </w:r>
    </w:p>
    <w:p w14:paraId="2F34823D" w14:textId="77777777" w:rsidR="00F05DEC" w:rsidRPr="009923E2" w:rsidRDefault="00F05DEC" w:rsidP="00730F5E">
      <w:pPr>
        <w:pStyle w:val="ColorfulList-Accent12"/>
        <w:spacing w:after="0" w:line="240" w:lineRule="auto"/>
        <w:ind w:left="284" w:hanging="284"/>
        <w:contextualSpacing w:val="0"/>
        <w:rPr>
          <w:rFonts w:asciiTheme="minorHAnsi" w:hAnsiTheme="minorHAnsi"/>
          <w:iCs/>
          <w:sz w:val="20"/>
          <w:szCs w:val="20"/>
        </w:rPr>
      </w:pPr>
      <w:r w:rsidRPr="009923E2">
        <w:rPr>
          <w:rFonts w:asciiTheme="minorHAnsi" w:hAnsiTheme="minorHAnsi"/>
          <w:iCs/>
          <w:sz w:val="20"/>
          <w:szCs w:val="20"/>
        </w:rPr>
        <w:t xml:space="preserve">Coles, M and Werquin, P (2006) </w:t>
      </w:r>
      <w:r w:rsidRPr="009923E2">
        <w:rPr>
          <w:rFonts w:asciiTheme="minorHAnsi" w:hAnsiTheme="minorHAnsi"/>
          <w:i/>
          <w:iCs/>
          <w:sz w:val="20"/>
          <w:szCs w:val="20"/>
        </w:rPr>
        <w:t>Qualification system: Bridges to lifelong learning</w:t>
      </w:r>
      <w:r w:rsidRPr="009923E2">
        <w:rPr>
          <w:rFonts w:asciiTheme="minorHAnsi" w:hAnsiTheme="minorHAnsi"/>
          <w:iCs/>
          <w:sz w:val="20"/>
          <w:szCs w:val="20"/>
        </w:rPr>
        <w:t>, OECD, Paris.</w:t>
      </w:r>
    </w:p>
    <w:p w14:paraId="7F8079D4" w14:textId="6E29708E" w:rsidR="00446DCC" w:rsidRPr="009923E2" w:rsidRDefault="00446DCC" w:rsidP="00730F5E">
      <w:pPr>
        <w:pStyle w:val="VUparagraph"/>
        <w:spacing w:before="120" w:line="240" w:lineRule="auto"/>
        <w:ind w:left="284" w:hanging="284"/>
        <w:rPr>
          <w:rFonts w:asciiTheme="minorHAnsi" w:hAnsiTheme="minorHAnsi" w:cs="Arial"/>
          <w:sz w:val="20"/>
          <w:szCs w:val="20"/>
        </w:rPr>
      </w:pPr>
      <w:r w:rsidRPr="009923E2">
        <w:rPr>
          <w:rFonts w:asciiTheme="minorHAnsi" w:hAnsiTheme="minorHAnsi" w:cs="Arial"/>
          <w:sz w:val="20"/>
          <w:szCs w:val="20"/>
        </w:rPr>
        <w:t xml:space="preserve">Commission of European Communities (2005) </w:t>
      </w:r>
      <w:r w:rsidRPr="009923E2">
        <w:rPr>
          <w:rFonts w:asciiTheme="minorHAnsi" w:hAnsiTheme="minorHAnsi" w:cs="Arial"/>
          <w:i/>
          <w:sz w:val="20"/>
          <w:szCs w:val="20"/>
        </w:rPr>
        <w:t>Commission Staff Document: Towards a European Qualifications Framework for Lifelong Learning</w:t>
      </w:r>
      <w:r w:rsidRPr="009923E2">
        <w:rPr>
          <w:rFonts w:asciiTheme="minorHAnsi" w:hAnsiTheme="minorHAnsi" w:cs="Arial"/>
          <w:sz w:val="20"/>
          <w:szCs w:val="20"/>
        </w:rPr>
        <w:t>, p 13.</w:t>
      </w:r>
    </w:p>
    <w:p w14:paraId="256A1E45" w14:textId="30A40B80" w:rsidR="000F15A9" w:rsidRPr="009923E2" w:rsidRDefault="000F15A9" w:rsidP="00730F5E">
      <w:pPr>
        <w:spacing w:after="0" w:line="240" w:lineRule="auto"/>
        <w:ind w:left="284" w:hanging="284"/>
        <w:rPr>
          <w:sz w:val="20"/>
          <w:szCs w:val="20"/>
          <w:lang w:val="en-US"/>
        </w:rPr>
      </w:pPr>
      <w:r w:rsidRPr="009923E2">
        <w:rPr>
          <w:sz w:val="20"/>
          <w:szCs w:val="20"/>
          <w:lang w:val="en-US"/>
        </w:rPr>
        <w:t xml:space="preserve">CROP Human Resource Development Working Group </w:t>
      </w:r>
      <w:r w:rsidR="001B2CA3" w:rsidRPr="009923E2">
        <w:rPr>
          <w:sz w:val="20"/>
          <w:szCs w:val="20"/>
          <w:lang w:val="en-US"/>
        </w:rPr>
        <w:t>(</w:t>
      </w:r>
      <w:r w:rsidRPr="009923E2">
        <w:rPr>
          <w:sz w:val="20"/>
          <w:szCs w:val="20"/>
          <w:lang w:val="en-US"/>
        </w:rPr>
        <w:t>2004</w:t>
      </w:r>
      <w:r w:rsidR="001B2CA3" w:rsidRPr="009923E2">
        <w:rPr>
          <w:sz w:val="20"/>
          <w:szCs w:val="20"/>
          <w:lang w:val="en-US"/>
        </w:rPr>
        <w:t>)</w:t>
      </w:r>
      <w:r w:rsidRPr="009923E2">
        <w:rPr>
          <w:sz w:val="20"/>
          <w:szCs w:val="20"/>
          <w:lang w:val="en-US"/>
        </w:rPr>
        <w:t xml:space="preserve"> </w:t>
      </w:r>
      <w:r w:rsidRPr="009923E2">
        <w:rPr>
          <w:i/>
          <w:sz w:val="20"/>
          <w:szCs w:val="20"/>
          <w:lang w:val="en-US"/>
        </w:rPr>
        <w:t>Discussion Paper for meeting 3 November 2004: Register of Qualifications</w:t>
      </w:r>
      <w:r w:rsidRPr="009923E2">
        <w:rPr>
          <w:sz w:val="20"/>
          <w:szCs w:val="20"/>
          <w:lang w:val="en-US"/>
        </w:rPr>
        <w:t>, CROP Human Resource Development Working Group</w:t>
      </w:r>
    </w:p>
    <w:p w14:paraId="29EB7D49" w14:textId="04D4BE94" w:rsidR="007E2A12" w:rsidRPr="009923E2" w:rsidRDefault="007E2A12" w:rsidP="00730F5E">
      <w:pPr>
        <w:spacing w:after="0" w:line="240" w:lineRule="auto"/>
        <w:ind w:left="284" w:hanging="284"/>
        <w:rPr>
          <w:sz w:val="20"/>
          <w:szCs w:val="20"/>
        </w:rPr>
      </w:pPr>
      <w:r w:rsidRPr="009923E2">
        <w:rPr>
          <w:sz w:val="20"/>
          <w:szCs w:val="20"/>
        </w:rPr>
        <w:t xml:space="preserve">Department of Foreign Affairs and Trade </w:t>
      </w:r>
      <w:r w:rsidR="00C81B75" w:rsidRPr="009923E2">
        <w:rPr>
          <w:sz w:val="20"/>
          <w:szCs w:val="20"/>
        </w:rPr>
        <w:t>(</w:t>
      </w:r>
      <w:r w:rsidRPr="009923E2">
        <w:rPr>
          <w:sz w:val="20"/>
          <w:szCs w:val="20"/>
        </w:rPr>
        <w:t>2016</w:t>
      </w:r>
      <w:r w:rsidR="00C81B75" w:rsidRPr="009923E2">
        <w:rPr>
          <w:sz w:val="20"/>
          <w:szCs w:val="20"/>
        </w:rPr>
        <w:t>)</w:t>
      </w:r>
      <w:r w:rsidRPr="009923E2">
        <w:rPr>
          <w:sz w:val="20"/>
          <w:szCs w:val="20"/>
        </w:rPr>
        <w:t xml:space="preserve"> </w:t>
      </w:r>
      <w:r w:rsidRPr="009923E2">
        <w:rPr>
          <w:i/>
          <w:sz w:val="20"/>
          <w:szCs w:val="20"/>
        </w:rPr>
        <w:t>Skills for Pacific Prosperity: DFAT’s Pacific Tertiary Education Framework 2016-2021</w:t>
      </w:r>
      <w:r w:rsidRPr="009923E2">
        <w:rPr>
          <w:sz w:val="20"/>
          <w:szCs w:val="20"/>
        </w:rPr>
        <w:t>. Working Draft - Draft 12, 25 May 2016</w:t>
      </w:r>
      <w:r w:rsidR="0050190E" w:rsidRPr="009923E2">
        <w:rPr>
          <w:sz w:val="20"/>
          <w:szCs w:val="20"/>
        </w:rPr>
        <w:t>. DFAT, Canberra.</w:t>
      </w:r>
    </w:p>
    <w:p w14:paraId="202AC725" w14:textId="648C3CB6" w:rsidR="000825EF" w:rsidRPr="009923E2" w:rsidRDefault="000825EF" w:rsidP="00730F5E">
      <w:pPr>
        <w:spacing w:after="0" w:line="240" w:lineRule="auto"/>
        <w:ind w:left="284" w:hanging="284"/>
        <w:rPr>
          <w:sz w:val="20"/>
          <w:szCs w:val="20"/>
        </w:rPr>
      </w:pPr>
      <w:r w:rsidRPr="009923E2">
        <w:rPr>
          <w:sz w:val="20"/>
          <w:szCs w:val="20"/>
        </w:rPr>
        <w:t xml:space="preserve">Department of Foreign Affairs and Trade </w:t>
      </w:r>
      <w:r w:rsidR="00C81B75" w:rsidRPr="009923E2">
        <w:rPr>
          <w:sz w:val="20"/>
          <w:szCs w:val="20"/>
        </w:rPr>
        <w:t>(</w:t>
      </w:r>
      <w:r w:rsidRPr="009923E2">
        <w:rPr>
          <w:sz w:val="20"/>
          <w:szCs w:val="20"/>
        </w:rPr>
        <w:t>2016</w:t>
      </w:r>
      <w:r w:rsidR="00C81B75" w:rsidRPr="009923E2">
        <w:rPr>
          <w:sz w:val="20"/>
          <w:szCs w:val="20"/>
        </w:rPr>
        <w:t>)</w:t>
      </w:r>
      <w:r w:rsidRPr="009923E2">
        <w:rPr>
          <w:sz w:val="20"/>
          <w:szCs w:val="20"/>
        </w:rPr>
        <w:t xml:space="preserve"> </w:t>
      </w:r>
      <w:r w:rsidRPr="009923E2">
        <w:rPr>
          <w:i/>
          <w:sz w:val="20"/>
          <w:szCs w:val="20"/>
        </w:rPr>
        <w:t xml:space="preserve">Program Logic - Pacific Tertiary Education Framework (Skills for Pacific Prosperity). </w:t>
      </w:r>
      <w:r w:rsidR="00393401" w:rsidRPr="009923E2">
        <w:rPr>
          <w:sz w:val="20"/>
          <w:szCs w:val="20"/>
        </w:rPr>
        <w:t xml:space="preserve">Working draft </w:t>
      </w:r>
      <w:r w:rsidRPr="009923E2">
        <w:rPr>
          <w:sz w:val="20"/>
          <w:szCs w:val="20"/>
        </w:rPr>
        <w:t>at 25/05/16.</w:t>
      </w:r>
      <w:r w:rsidR="0050190E" w:rsidRPr="009923E2">
        <w:rPr>
          <w:sz w:val="20"/>
          <w:szCs w:val="20"/>
        </w:rPr>
        <w:t xml:space="preserve"> DFAT, Canberra. </w:t>
      </w:r>
    </w:p>
    <w:p w14:paraId="36293EE2" w14:textId="24268E87" w:rsidR="00446DCC" w:rsidRPr="009923E2" w:rsidRDefault="00446DCC" w:rsidP="00730F5E">
      <w:pPr>
        <w:spacing w:after="0" w:line="240" w:lineRule="auto"/>
        <w:ind w:left="284" w:hanging="284"/>
        <w:rPr>
          <w:sz w:val="20"/>
          <w:szCs w:val="20"/>
        </w:rPr>
      </w:pPr>
      <w:r w:rsidRPr="009923E2">
        <w:rPr>
          <w:sz w:val="20"/>
          <w:szCs w:val="20"/>
        </w:rPr>
        <w:t>Eadie</w:t>
      </w:r>
      <w:r w:rsidR="00EB54E5" w:rsidRPr="009923E2">
        <w:rPr>
          <w:sz w:val="20"/>
          <w:szCs w:val="20"/>
        </w:rPr>
        <w:t xml:space="preserve">, M. </w:t>
      </w:r>
      <w:r w:rsidR="001B2CA3" w:rsidRPr="009923E2">
        <w:rPr>
          <w:sz w:val="20"/>
          <w:szCs w:val="20"/>
        </w:rPr>
        <w:t>(</w:t>
      </w:r>
      <w:r w:rsidR="00EB54E5" w:rsidRPr="009923E2">
        <w:rPr>
          <w:sz w:val="20"/>
          <w:szCs w:val="20"/>
        </w:rPr>
        <w:t>2010</w:t>
      </w:r>
      <w:r w:rsidR="001B2CA3" w:rsidRPr="009923E2">
        <w:rPr>
          <w:sz w:val="20"/>
          <w:szCs w:val="20"/>
        </w:rPr>
        <w:t>)</w:t>
      </w:r>
      <w:r w:rsidR="00EB54E5" w:rsidRPr="009923E2">
        <w:rPr>
          <w:sz w:val="20"/>
          <w:szCs w:val="20"/>
        </w:rPr>
        <w:t xml:space="preserve"> </w:t>
      </w:r>
      <w:r w:rsidR="00EB54E5" w:rsidRPr="009923E2">
        <w:rPr>
          <w:i/>
          <w:sz w:val="20"/>
          <w:szCs w:val="20"/>
        </w:rPr>
        <w:t>Pacific Qualifications Register Independent Preliminary Progress Review: Final Report</w:t>
      </w:r>
      <w:r w:rsidR="00EB54E5" w:rsidRPr="009923E2">
        <w:rPr>
          <w:sz w:val="20"/>
          <w:szCs w:val="20"/>
        </w:rPr>
        <w:t xml:space="preserve">, SPBEA, Suva. </w:t>
      </w:r>
    </w:p>
    <w:p w14:paraId="28F14CF5" w14:textId="6CD353B7" w:rsidR="00446DCC" w:rsidRPr="009923E2" w:rsidRDefault="00446DCC" w:rsidP="00730F5E">
      <w:pPr>
        <w:autoSpaceDE w:val="0"/>
        <w:autoSpaceDN w:val="0"/>
        <w:adjustRightInd w:val="0"/>
        <w:spacing w:after="0" w:line="240" w:lineRule="auto"/>
        <w:ind w:left="284" w:hanging="284"/>
        <w:rPr>
          <w:rFonts w:cs="TT1B6t00"/>
          <w:color w:val="0000FF"/>
          <w:sz w:val="20"/>
          <w:szCs w:val="20"/>
        </w:rPr>
      </w:pPr>
      <w:r w:rsidRPr="009923E2">
        <w:rPr>
          <w:rFonts w:cs="TT1B6t00"/>
          <w:color w:val="000000"/>
          <w:sz w:val="20"/>
          <w:szCs w:val="20"/>
        </w:rPr>
        <w:t xml:space="preserve">European Qualifications Framework (2010) </w:t>
      </w:r>
      <w:r w:rsidRPr="009923E2">
        <w:rPr>
          <w:rFonts w:cs="TT231t00"/>
          <w:i/>
          <w:color w:val="000000"/>
          <w:sz w:val="20"/>
          <w:szCs w:val="20"/>
        </w:rPr>
        <w:t>The European Qualifications Framework for Lifelong Learning</w:t>
      </w:r>
      <w:r w:rsidRPr="009923E2">
        <w:rPr>
          <w:rFonts w:cs="TT1B6t00"/>
          <w:i/>
          <w:color w:val="000000"/>
          <w:sz w:val="20"/>
          <w:szCs w:val="20"/>
        </w:rPr>
        <w:t>,</w:t>
      </w:r>
      <w:r w:rsidRPr="009923E2">
        <w:rPr>
          <w:rFonts w:cs="TT1B6t00"/>
          <w:color w:val="000000"/>
          <w:sz w:val="20"/>
          <w:szCs w:val="20"/>
        </w:rPr>
        <w:t xml:space="preserve"> accessed via the worldwide web March 2011, </w:t>
      </w:r>
      <w:r w:rsidRPr="009923E2">
        <w:rPr>
          <w:rFonts w:cs="TT1B6t00"/>
          <w:color w:val="0000FF"/>
          <w:sz w:val="20"/>
          <w:szCs w:val="20"/>
        </w:rPr>
        <w:t>ec.europa.eu/education/pub/pdf/general/eqf/leaflet_en.pdf</w:t>
      </w:r>
      <w:r w:rsidR="008161B3" w:rsidRPr="009923E2">
        <w:rPr>
          <w:rFonts w:cs="TT1B6t00"/>
          <w:color w:val="0000FF"/>
          <w:sz w:val="20"/>
          <w:szCs w:val="20"/>
        </w:rPr>
        <w:t xml:space="preserve"> </w:t>
      </w:r>
    </w:p>
    <w:p w14:paraId="750FCE53" w14:textId="144DFD04" w:rsidR="00446DCC" w:rsidRPr="009923E2" w:rsidRDefault="00446DCC" w:rsidP="00730F5E">
      <w:pPr>
        <w:pStyle w:val="VUparagraph"/>
        <w:spacing w:before="120" w:line="240" w:lineRule="auto"/>
        <w:ind w:left="284" w:hanging="284"/>
        <w:rPr>
          <w:rFonts w:asciiTheme="minorHAnsi" w:hAnsiTheme="minorHAnsi" w:cs="Arial"/>
          <w:sz w:val="20"/>
          <w:szCs w:val="20"/>
        </w:rPr>
      </w:pPr>
      <w:r w:rsidRPr="009923E2">
        <w:rPr>
          <w:rFonts w:asciiTheme="minorHAnsi" w:hAnsiTheme="minorHAnsi" w:cs="Arial"/>
          <w:sz w:val="20"/>
          <w:szCs w:val="20"/>
        </w:rPr>
        <w:t xml:space="preserve">European Union </w:t>
      </w:r>
      <w:r w:rsidR="001B2CA3" w:rsidRPr="009923E2">
        <w:rPr>
          <w:rFonts w:asciiTheme="minorHAnsi" w:hAnsiTheme="minorHAnsi" w:cs="Arial"/>
          <w:sz w:val="20"/>
          <w:szCs w:val="20"/>
        </w:rPr>
        <w:t>(</w:t>
      </w:r>
      <w:r w:rsidRPr="009923E2">
        <w:rPr>
          <w:rFonts w:asciiTheme="minorHAnsi" w:hAnsiTheme="minorHAnsi" w:cs="Arial"/>
          <w:sz w:val="20"/>
          <w:szCs w:val="20"/>
        </w:rPr>
        <w:t>2009</w:t>
      </w:r>
      <w:r w:rsidR="001B2CA3" w:rsidRPr="009923E2">
        <w:rPr>
          <w:rFonts w:asciiTheme="minorHAnsi" w:hAnsiTheme="minorHAnsi" w:cs="Arial"/>
          <w:sz w:val="20"/>
          <w:szCs w:val="20"/>
        </w:rPr>
        <w:t>)</w:t>
      </w:r>
      <w:r w:rsidRPr="009923E2">
        <w:rPr>
          <w:rFonts w:asciiTheme="minorHAnsi" w:hAnsiTheme="minorHAnsi" w:cs="Arial"/>
          <w:sz w:val="20"/>
          <w:szCs w:val="20"/>
        </w:rPr>
        <w:t xml:space="preserve"> </w:t>
      </w:r>
      <w:r w:rsidRPr="009923E2">
        <w:rPr>
          <w:rFonts w:asciiTheme="minorHAnsi" w:hAnsiTheme="minorHAnsi" w:cs="Arial"/>
          <w:i/>
          <w:sz w:val="20"/>
          <w:szCs w:val="20"/>
        </w:rPr>
        <w:t xml:space="preserve">Recommendation of the European Parliament and of the Council of 18 June 2009 on the establishment of a European Quality Assurance Reference Framework for Vocational Education and Training, </w:t>
      </w:r>
      <w:r w:rsidRPr="009923E2">
        <w:rPr>
          <w:rFonts w:asciiTheme="minorHAnsi" w:hAnsiTheme="minorHAnsi"/>
          <w:sz w:val="20"/>
          <w:szCs w:val="20"/>
          <w:lang w:val="en-AU"/>
        </w:rPr>
        <w:t>Official Journal of the European Union, 8/7/2009</w:t>
      </w:r>
    </w:p>
    <w:p w14:paraId="6E54DE5A" w14:textId="1972A08B" w:rsidR="00726B5C" w:rsidRPr="009923E2" w:rsidRDefault="00726B5C" w:rsidP="00730F5E">
      <w:pPr>
        <w:spacing w:after="0" w:line="240" w:lineRule="auto"/>
        <w:ind w:left="284" w:hanging="284"/>
        <w:rPr>
          <w:rFonts w:ascii="Corbel" w:hAnsi="Corbel" w:cs="Arial"/>
          <w:sz w:val="20"/>
          <w:szCs w:val="20"/>
        </w:rPr>
      </w:pPr>
      <w:r w:rsidRPr="009923E2">
        <w:rPr>
          <w:rFonts w:ascii="Corbel" w:hAnsi="Corbel" w:cs="Arial"/>
          <w:sz w:val="20"/>
          <w:szCs w:val="20"/>
        </w:rPr>
        <w:t xml:space="preserve">INQAAHE </w:t>
      </w:r>
      <w:r w:rsidR="001B2CA3" w:rsidRPr="009923E2">
        <w:rPr>
          <w:rFonts w:ascii="Corbel" w:hAnsi="Corbel" w:cs="Arial"/>
          <w:sz w:val="20"/>
          <w:szCs w:val="20"/>
        </w:rPr>
        <w:t>(</w:t>
      </w:r>
      <w:r w:rsidRPr="009923E2">
        <w:rPr>
          <w:rFonts w:ascii="Corbel" w:hAnsi="Corbel" w:cs="Arial"/>
          <w:sz w:val="20"/>
          <w:szCs w:val="20"/>
        </w:rPr>
        <w:t>2007</w:t>
      </w:r>
      <w:r w:rsidR="001B2CA3" w:rsidRPr="009923E2">
        <w:rPr>
          <w:rFonts w:ascii="Corbel" w:hAnsi="Corbel" w:cs="Arial"/>
          <w:sz w:val="20"/>
          <w:szCs w:val="20"/>
        </w:rPr>
        <w:t>)</w:t>
      </w:r>
      <w:r w:rsidRPr="009923E2">
        <w:rPr>
          <w:rFonts w:ascii="Corbel" w:hAnsi="Corbel" w:cs="Arial"/>
          <w:i/>
          <w:sz w:val="20"/>
          <w:szCs w:val="20"/>
        </w:rPr>
        <w:t xml:space="preserve"> INQAAHE Guidelines of Good Practice in Quality Assurance, </w:t>
      </w:r>
      <w:r w:rsidRPr="009923E2">
        <w:rPr>
          <w:rFonts w:ascii="Corbel" w:hAnsi="Corbel" w:cs="Arial"/>
          <w:sz w:val="20"/>
          <w:szCs w:val="20"/>
        </w:rPr>
        <w:t xml:space="preserve">accessed May 2016 at </w:t>
      </w:r>
      <w:hyperlink r:id="rId22" w:history="1">
        <w:r w:rsidRPr="009923E2">
          <w:rPr>
            <w:rStyle w:val="Hyperlink"/>
            <w:rFonts w:ascii="Corbel" w:hAnsi="Corbel" w:cs="Arial"/>
            <w:sz w:val="20"/>
            <w:szCs w:val="20"/>
          </w:rPr>
          <w:t>http://www.inqaahe.org/admin/files/assets/subsites/1/documenten/1231430767_inqaahe---guidelines-of-good-practice[1].pdf</w:t>
        </w:r>
      </w:hyperlink>
      <w:r w:rsidRPr="009923E2">
        <w:rPr>
          <w:rFonts w:ascii="Corbel" w:hAnsi="Corbel" w:cs="Arial"/>
          <w:sz w:val="20"/>
          <w:szCs w:val="20"/>
        </w:rPr>
        <w:t xml:space="preserve"> </w:t>
      </w:r>
    </w:p>
    <w:p w14:paraId="5DBFBC5F" w14:textId="28CCF118" w:rsidR="00AC4871" w:rsidRPr="009923E2" w:rsidRDefault="00AC4871" w:rsidP="00730F5E">
      <w:pPr>
        <w:spacing w:after="0" w:line="240" w:lineRule="auto"/>
        <w:ind w:left="284" w:hanging="284"/>
        <w:rPr>
          <w:sz w:val="20"/>
          <w:szCs w:val="20"/>
        </w:rPr>
      </w:pPr>
      <w:r w:rsidRPr="009923E2">
        <w:rPr>
          <w:sz w:val="20"/>
          <w:szCs w:val="20"/>
        </w:rPr>
        <w:t>James</w:t>
      </w:r>
      <w:r w:rsidR="00943AEF" w:rsidRPr="009923E2">
        <w:rPr>
          <w:sz w:val="20"/>
          <w:szCs w:val="20"/>
        </w:rPr>
        <w:t>, R., Harris, K-L., Harman, G. &amp; Meek, L (</w:t>
      </w:r>
      <w:r w:rsidRPr="009923E2">
        <w:rPr>
          <w:sz w:val="20"/>
          <w:szCs w:val="20"/>
        </w:rPr>
        <w:t>2010</w:t>
      </w:r>
      <w:r w:rsidR="00943AEF" w:rsidRPr="009923E2">
        <w:rPr>
          <w:sz w:val="20"/>
          <w:szCs w:val="20"/>
        </w:rPr>
        <w:t xml:space="preserve">) </w:t>
      </w:r>
      <w:r w:rsidR="00943AEF" w:rsidRPr="009923E2">
        <w:rPr>
          <w:i/>
          <w:sz w:val="20"/>
          <w:szCs w:val="20"/>
        </w:rPr>
        <w:t>Higher Education Diploma Supplements among APEC Member Economies</w:t>
      </w:r>
      <w:r w:rsidR="00943AEF" w:rsidRPr="009923E2">
        <w:rPr>
          <w:sz w:val="20"/>
          <w:szCs w:val="20"/>
        </w:rPr>
        <w:t xml:space="preserve">, Human Resources Development Working Group, December 2010. Department of Education, Employment and Workplace Relations, Canberra. </w:t>
      </w:r>
    </w:p>
    <w:p w14:paraId="267236F4" w14:textId="65124452" w:rsidR="00446DCC" w:rsidRPr="009923E2" w:rsidRDefault="00446DCC" w:rsidP="00730F5E">
      <w:pPr>
        <w:spacing w:after="0" w:line="240" w:lineRule="auto"/>
        <w:ind w:left="284" w:hanging="284"/>
        <w:rPr>
          <w:sz w:val="20"/>
          <w:szCs w:val="20"/>
        </w:rPr>
      </w:pPr>
      <w:r w:rsidRPr="009923E2">
        <w:rPr>
          <w:sz w:val="20"/>
          <w:szCs w:val="20"/>
        </w:rPr>
        <w:lastRenderedPageBreak/>
        <w:t xml:space="preserve">Keevy, J and Chakroun, B </w:t>
      </w:r>
      <w:r w:rsidR="001B2CA3" w:rsidRPr="009923E2">
        <w:rPr>
          <w:sz w:val="20"/>
          <w:szCs w:val="20"/>
        </w:rPr>
        <w:t>(</w:t>
      </w:r>
      <w:r w:rsidRPr="009923E2">
        <w:rPr>
          <w:sz w:val="20"/>
          <w:szCs w:val="20"/>
        </w:rPr>
        <w:t>2015</w:t>
      </w:r>
      <w:r w:rsidR="001B2CA3" w:rsidRPr="009923E2">
        <w:rPr>
          <w:sz w:val="20"/>
          <w:szCs w:val="20"/>
        </w:rPr>
        <w:t>)</w:t>
      </w:r>
      <w:r w:rsidRPr="009923E2">
        <w:rPr>
          <w:sz w:val="20"/>
          <w:szCs w:val="20"/>
        </w:rPr>
        <w:t xml:space="preserve"> </w:t>
      </w:r>
      <w:r w:rsidRPr="009923E2">
        <w:rPr>
          <w:i/>
          <w:sz w:val="20"/>
          <w:szCs w:val="20"/>
        </w:rPr>
        <w:t>Level-setting and recognition of learning outcomes: The use of level descriptors in the twenty-first century</w:t>
      </w:r>
      <w:r w:rsidRPr="009923E2">
        <w:rPr>
          <w:sz w:val="20"/>
          <w:szCs w:val="20"/>
        </w:rPr>
        <w:t xml:space="preserve">, UNESCO, Paris. </w:t>
      </w:r>
    </w:p>
    <w:p w14:paraId="06B3038A" w14:textId="77777777" w:rsidR="00446DCC" w:rsidRPr="009923E2" w:rsidRDefault="00446DCC" w:rsidP="00730F5E">
      <w:pPr>
        <w:spacing w:after="0" w:line="240" w:lineRule="auto"/>
        <w:ind w:left="284" w:hanging="284"/>
        <w:rPr>
          <w:rFonts w:cs="Arial"/>
          <w:sz w:val="20"/>
          <w:szCs w:val="20"/>
          <w:lang w:val="en-US"/>
        </w:rPr>
      </w:pPr>
      <w:r w:rsidRPr="009923E2">
        <w:rPr>
          <w:rFonts w:cs="Arial"/>
          <w:sz w:val="20"/>
          <w:szCs w:val="20"/>
          <w:lang w:val="en-US"/>
        </w:rPr>
        <w:t xml:space="preserve">Keevy James, Chakroun Borhene &amp; Deij Arjen (2010) </w:t>
      </w:r>
      <w:r w:rsidRPr="009923E2">
        <w:rPr>
          <w:rFonts w:cs="Arial"/>
          <w:i/>
          <w:sz w:val="20"/>
          <w:szCs w:val="20"/>
          <w:lang w:val="en-US"/>
        </w:rPr>
        <w:t>Transnational Qualifications Frameworks</w:t>
      </w:r>
      <w:r w:rsidRPr="009923E2">
        <w:rPr>
          <w:rFonts w:cs="Arial"/>
          <w:sz w:val="20"/>
          <w:szCs w:val="20"/>
          <w:lang w:val="en-US"/>
        </w:rPr>
        <w:t xml:space="preserve">, European Training Foundation. </w:t>
      </w:r>
    </w:p>
    <w:p w14:paraId="1C9B70E5" w14:textId="77777777" w:rsidR="00446DCC" w:rsidRPr="009923E2" w:rsidRDefault="00446DCC" w:rsidP="00730F5E">
      <w:pPr>
        <w:spacing w:after="0" w:line="240" w:lineRule="auto"/>
        <w:ind w:left="284" w:hanging="284"/>
        <w:rPr>
          <w:rFonts w:cs="Arial"/>
          <w:sz w:val="20"/>
          <w:szCs w:val="20"/>
          <w:lang w:val="en-US"/>
        </w:rPr>
      </w:pPr>
      <w:r w:rsidRPr="009923E2">
        <w:rPr>
          <w:rFonts w:cs="Arial"/>
          <w:sz w:val="20"/>
          <w:szCs w:val="20"/>
          <w:lang w:val="en-US"/>
        </w:rPr>
        <w:t xml:space="preserve">Keevy, J, West, P, Schmidt, A, Hope, A, Lene, P, Manabile, E (2008) </w:t>
      </w:r>
      <w:r w:rsidRPr="009923E2">
        <w:rPr>
          <w:rFonts w:cs="Arial"/>
          <w:i/>
          <w:sz w:val="20"/>
          <w:szCs w:val="20"/>
          <w:lang w:val="en-US"/>
        </w:rPr>
        <w:t>Transnational Qualifications Framework for the Virtual University for Small States of the Commonwealth: Concept Document, The Commonwealth of Learning (COL)</w:t>
      </w:r>
      <w:r w:rsidRPr="009923E2">
        <w:rPr>
          <w:rFonts w:cs="Arial"/>
          <w:sz w:val="20"/>
          <w:szCs w:val="20"/>
          <w:lang w:val="en-US"/>
        </w:rPr>
        <w:t xml:space="preserve">, Canada. </w:t>
      </w:r>
    </w:p>
    <w:p w14:paraId="4BFC0201" w14:textId="4F3C7CC7" w:rsidR="00A45889" w:rsidRPr="009923E2" w:rsidRDefault="00A45889" w:rsidP="00730F5E">
      <w:pPr>
        <w:spacing w:after="0" w:line="240" w:lineRule="auto"/>
        <w:ind w:left="284" w:hanging="284"/>
        <w:rPr>
          <w:sz w:val="20"/>
          <w:szCs w:val="20"/>
        </w:rPr>
      </w:pPr>
      <w:r w:rsidRPr="009923E2">
        <w:rPr>
          <w:sz w:val="20"/>
          <w:szCs w:val="20"/>
        </w:rPr>
        <w:t>Kiribati Government</w:t>
      </w:r>
      <w:r w:rsidR="00A11E51" w:rsidRPr="009923E2">
        <w:rPr>
          <w:sz w:val="20"/>
          <w:szCs w:val="20"/>
        </w:rPr>
        <w:t xml:space="preserve"> (Republic of) (2013) </w:t>
      </w:r>
      <w:r w:rsidR="00A11E51" w:rsidRPr="009923E2">
        <w:rPr>
          <w:i/>
          <w:sz w:val="20"/>
          <w:szCs w:val="20"/>
        </w:rPr>
        <w:t>Education Act 2013</w:t>
      </w:r>
      <w:r w:rsidR="00A11E51" w:rsidRPr="009923E2">
        <w:rPr>
          <w:sz w:val="20"/>
          <w:szCs w:val="20"/>
        </w:rPr>
        <w:t xml:space="preserve">, Government of Republic of Kiribati. </w:t>
      </w:r>
    </w:p>
    <w:p w14:paraId="1414A678" w14:textId="77777777" w:rsidR="00393401" w:rsidRPr="009923E2" w:rsidRDefault="00393401" w:rsidP="00730F5E">
      <w:pPr>
        <w:pStyle w:val="Default"/>
        <w:spacing w:before="120"/>
        <w:ind w:left="284" w:hanging="284"/>
        <w:rPr>
          <w:rFonts w:asciiTheme="minorHAnsi" w:eastAsia="Times New Roman" w:hAnsiTheme="minorHAnsi"/>
          <w:color w:val="auto"/>
          <w:sz w:val="20"/>
          <w:szCs w:val="20"/>
          <w:lang w:val="en-US"/>
        </w:rPr>
      </w:pPr>
      <w:r w:rsidRPr="009923E2">
        <w:rPr>
          <w:rFonts w:asciiTheme="minorHAnsi" w:eastAsia="Times New Roman" w:hAnsiTheme="minorHAnsi"/>
          <w:color w:val="auto"/>
          <w:sz w:val="20"/>
          <w:szCs w:val="20"/>
          <w:lang w:val="en-US"/>
        </w:rPr>
        <w:t xml:space="preserve">Pacific Community (2015) </w:t>
      </w:r>
      <w:r w:rsidRPr="009923E2">
        <w:rPr>
          <w:rFonts w:asciiTheme="minorHAnsi" w:eastAsia="Times New Roman" w:hAnsiTheme="minorHAnsi"/>
          <w:i/>
          <w:color w:val="auto"/>
          <w:sz w:val="20"/>
          <w:szCs w:val="20"/>
          <w:lang w:val="en-US"/>
        </w:rPr>
        <w:t>Pacific Community Strategic Plan 2016–2020: Sustainable Pacific development through science, knowledge and innovation</w:t>
      </w:r>
      <w:r w:rsidRPr="009923E2">
        <w:rPr>
          <w:rFonts w:asciiTheme="minorHAnsi" w:eastAsia="Times New Roman" w:hAnsiTheme="minorHAnsi"/>
          <w:color w:val="auto"/>
          <w:sz w:val="20"/>
          <w:szCs w:val="20"/>
          <w:lang w:val="en-US"/>
        </w:rPr>
        <w:t>, Pacific Community.</w:t>
      </w:r>
    </w:p>
    <w:p w14:paraId="5832A7FE" w14:textId="3818E1AD" w:rsidR="00393401" w:rsidRPr="009923E2" w:rsidRDefault="00393401" w:rsidP="00730F5E">
      <w:pPr>
        <w:spacing w:after="0" w:line="240" w:lineRule="auto"/>
        <w:ind w:left="284" w:hanging="284"/>
        <w:rPr>
          <w:sz w:val="20"/>
          <w:szCs w:val="20"/>
        </w:rPr>
      </w:pPr>
      <w:r w:rsidRPr="009923E2">
        <w:rPr>
          <w:sz w:val="20"/>
          <w:szCs w:val="20"/>
        </w:rPr>
        <w:t xml:space="preserve">Pacific Dialogue Ltd (2012) </w:t>
      </w:r>
      <w:r w:rsidRPr="009923E2">
        <w:rPr>
          <w:i/>
          <w:sz w:val="20"/>
          <w:szCs w:val="20"/>
        </w:rPr>
        <w:t>South-south labour mobility in the Pacific: an overview</w:t>
      </w:r>
      <w:r w:rsidRPr="009923E2">
        <w:rPr>
          <w:sz w:val="20"/>
          <w:szCs w:val="20"/>
        </w:rPr>
        <w:t xml:space="preserve">, ACP Observatory on migration, Brussels. </w:t>
      </w:r>
    </w:p>
    <w:p w14:paraId="378F782C" w14:textId="2A63A48D" w:rsidR="00537B6A" w:rsidRPr="009923E2" w:rsidRDefault="00446DCC" w:rsidP="00730F5E">
      <w:pPr>
        <w:spacing w:after="0" w:line="240" w:lineRule="auto"/>
        <w:ind w:left="284" w:hanging="284"/>
        <w:rPr>
          <w:sz w:val="20"/>
          <w:szCs w:val="20"/>
        </w:rPr>
      </w:pPr>
      <w:r w:rsidRPr="009923E2">
        <w:rPr>
          <w:sz w:val="20"/>
          <w:szCs w:val="20"/>
        </w:rPr>
        <w:t>Peddle</w:t>
      </w:r>
      <w:r w:rsidR="00537B6A" w:rsidRPr="009923E2">
        <w:rPr>
          <w:sz w:val="20"/>
          <w:szCs w:val="20"/>
        </w:rPr>
        <w:t>, B., Lacey, G and McKay, R</w:t>
      </w:r>
      <w:r w:rsidRPr="009923E2">
        <w:rPr>
          <w:sz w:val="20"/>
          <w:szCs w:val="20"/>
        </w:rPr>
        <w:t xml:space="preserve"> </w:t>
      </w:r>
      <w:r w:rsidR="001B2CA3" w:rsidRPr="009923E2">
        <w:rPr>
          <w:sz w:val="20"/>
          <w:szCs w:val="20"/>
        </w:rPr>
        <w:t>(</w:t>
      </w:r>
      <w:r w:rsidRPr="009923E2">
        <w:rPr>
          <w:sz w:val="20"/>
          <w:szCs w:val="20"/>
        </w:rPr>
        <w:t>2015</w:t>
      </w:r>
      <w:r w:rsidR="001B2CA3" w:rsidRPr="009923E2">
        <w:rPr>
          <w:sz w:val="20"/>
          <w:szCs w:val="20"/>
        </w:rPr>
        <w:t>)</w:t>
      </w:r>
      <w:r w:rsidRPr="009923E2">
        <w:rPr>
          <w:sz w:val="20"/>
          <w:szCs w:val="20"/>
        </w:rPr>
        <w:t xml:space="preserve"> </w:t>
      </w:r>
      <w:r w:rsidR="00537B6A" w:rsidRPr="009923E2">
        <w:rPr>
          <w:i/>
          <w:sz w:val="20"/>
          <w:szCs w:val="20"/>
        </w:rPr>
        <w:t>Kiribati Skills for Employment Program (Kiribati Skills for Employment Program: Investment Design Document</w:t>
      </w:r>
      <w:r w:rsidR="00537B6A" w:rsidRPr="009923E2">
        <w:rPr>
          <w:sz w:val="20"/>
          <w:szCs w:val="20"/>
        </w:rPr>
        <w:t xml:space="preserve"> (IDD). </w:t>
      </w:r>
    </w:p>
    <w:p w14:paraId="7E5496E1" w14:textId="49A03E73" w:rsidR="00B31728" w:rsidRPr="009923E2" w:rsidRDefault="00B31728" w:rsidP="00730F5E">
      <w:pPr>
        <w:spacing w:after="0" w:line="240" w:lineRule="auto"/>
        <w:ind w:left="284" w:hanging="284"/>
        <w:rPr>
          <w:sz w:val="20"/>
          <w:szCs w:val="20"/>
          <w:lang w:val="en-US"/>
        </w:rPr>
      </w:pPr>
      <w:r w:rsidRPr="009923E2">
        <w:rPr>
          <w:sz w:val="20"/>
          <w:szCs w:val="20"/>
          <w:lang w:val="en-US"/>
        </w:rPr>
        <w:t xml:space="preserve">South Pacific Board for Educational Assessment </w:t>
      </w:r>
      <w:r w:rsidR="001B2CA3" w:rsidRPr="009923E2">
        <w:rPr>
          <w:sz w:val="20"/>
          <w:szCs w:val="20"/>
          <w:lang w:val="en-US"/>
        </w:rPr>
        <w:t>(</w:t>
      </w:r>
      <w:r w:rsidRPr="009923E2">
        <w:rPr>
          <w:sz w:val="20"/>
          <w:szCs w:val="20"/>
          <w:lang w:val="en-US"/>
        </w:rPr>
        <w:t>2004</w:t>
      </w:r>
      <w:r w:rsidR="001B2CA3" w:rsidRPr="009923E2">
        <w:rPr>
          <w:sz w:val="20"/>
          <w:szCs w:val="20"/>
          <w:lang w:val="en-US"/>
        </w:rPr>
        <w:t>)</w:t>
      </w:r>
      <w:r w:rsidR="000F15A9" w:rsidRPr="009923E2">
        <w:rPr>
          <w:sz w:val="20"/>
          <w:szCs w:val="20"/>
        </w:rPr>
        <w:t xml:space="preserve"> </w:t>
      </w:r>
      <w:r w:rsidR="000F15A9" w:rsidRPr="009923E2">
        <w:rPr>
          <w:i/>
          <w:sz w:val="20"/>
          <w:szCs w:val="20"/>
          <w:lang w:val="en-US"/>
        </w:rPr>
        <w:t>South Pacific Board for Educational Assessment</w:t>
      </w:r>
      <w:r w:rsidRPr="009923E2">
        <w:rPr>
          <w:sz w:val="20"/>
          <w:szCs w:val="20"/>
          <w:lang w:val="en-US"/>
        </w:rPr>
        <w:t xml:space="preserve"> </w:t>
      </w:r>
      <w:r w:rsidRPr="009923E2">
        <w:rPr>
          <w:i/>
          <w:sz w:val="20"/>
          <w:szCs w:val="20"/>
          <w:lang w:val="en-US"/>
        </w:rPr>
        <w:t>CROP Agency Project Submission to AusAID</w:t>
      </w:r>
      <w:r w:rsidRPr="009923E2">
        <w:rPr>
          <w:sz w:val="20"/>
          <w:szCs w:val="20"/>
          <w:lang w:val="en-US"/>
        </w:rPr>
        <w:t xml:space="preserve">, South Pacific Board for Educational Assessment, Suva. </w:t>
      </w:r>
    </w:p>
    <w:p w14:paraId="1B0243F7" w14:textId="4CEEB53D" w:rsidR="000F15A9" w:rsidRPr="009923E2" w:rsidRDefault="000F15A9" w:rsidP="00730F5E">
      <w:pPr>
        <w:spacing w:after="0" w:line="240" w:lineRule="auto"/>
        <w:ind w:left="284" w:hanging="284"/>
        <w:rPr>
          <w:sz w:val="20"/>
          <w:szCs w:val="20"/>
          <w:lang w:val="en-US"/>
        </w:rPr>
      </w:pPr>
      <w:r w:rsidRPr="009923E2">
        <w:rPr>
          <w:sz w:val="20"/>
          <w:szCs w:val="20"/>
          <w:lang w:val="en-US"/>
        </w:rPr>
        <w:t xml:space="preserve">South Pacific Board for Educational Assessment </w:t>
      </w:r>
      <w:r w:rsidR="001B2CA3" w:rsidRPr="009923E2">
        <w:rPr>
          <w:sz w:val="20"/>
          <w:szCs w:val="20"/>
          <w:lang w:val="en-US"/>
        </w:rPr>
        <w:t>(</w:t>
      </w:r>
      <w:r w:rsidRPr="009923E2">
        <w:rPr>
          <w:sz w:val="20"/>
          <w:szCs w:val="20"/>
          <w:lang w:val="en-US"/>
        </w:rPr>
        <w:t>2008</w:t>
      </w:r>
      <w:r w:rsidR="001B2CA3" w:rsidRPr="009923E2">
        <w:rPr>
          <w:sz w:val="20"/>
          <w:szCs w:val="20"/>
          <w:lang w:val="en-US"/>
        </w:rPr>
        <w:t>)</w:t>
      </w:r>
      <w:r w:rsidRPr="009923E2">
        <w:rPr>
          <w:sz w:val="20"/>
          <w:szCs w:val="20"/>
          <w:lang w:val="en-US"/>
        </w:rPr>
        <w:t xml:space="preserve">, </w:t>
      </w:r>
      <w:r w:rsidRPr="009923E2">
        <w:rPr>
          <w:i/>
          <w:sz w:val="20"/>
          <w:szCs w:val="20"/>
          <w:lang w:val="en-US"/>
        </w:rPr>
        <w:t>Regional Qualification Register: Monitoring and Evaluation and Time-frame Proposal</w:t>
      </w:r>
      <w:r w:rsidRPr="009923E2">
        <w:rPr>
          <w:sz w:val="20"/>
          <w:szCs w:val="20"/>
          <w:lang w:val="en-US"/>
        </w:rPr>
        <w:t>. CROP Agency Project Submission to AusAID, South Pacific Board for Educational Assessment, Suva.</w:t>
      </w:r>
    </w:p>
    <w:p w14:paraId="7F982A8B" w14:textId="3BE595CC" w:rsidR="00122D2D" w:rsidRPr="009923E2" w:rsidRDefault="00122D2D" w:rsidP="00730F5E">
      <w:pPr>
        <w:spacing w:after="0" w:line="240" w:lineRule="auto"/>
        <w:ind w:left="284" w:hanging="284"/>
        <w:rPr>
          <w:sz w:val="20"/>
          <w:szCs w:val="20"/>
          <w:lang w:val="en-US"/>
        </w:rPr>
      </w:pPr>
      <w:r w:rsidRPr="009923E2">
        <w:rPr>
          <w:sz w:val="20"/>
          <w:szCs w:val="20"/>
          <w:lang w:val="en-US"/>
        </w:rPr>
        <w:t xml:space="preserve">Secretariat of the Pacific Community (2016) </w:t>
      </w:r>
      <w:r w:rsidRPr="009923E2">
        <w:rPr>
          <w:i/>
          <w:sz w:val="20"/>
          <w:szCs w:val="20"/>
        </w:rPr>
        <w:t>EQAP Business Plan 2016 – 2018,</w:t>
      </w:r>
      <w:r w:rsidRPr="009923E2">
        <w:rPr>
          <w:sz w:val="20"/>
          <w:szCs w:val="20"/>
        </w:rPr>
        <w:t xml:space="preserve"> </w:t>
      </w:r>
      <w:r w:rsidRPr="009923E2">
        <w:rPr>
          <w:sz w:val="20"/>
          <w:szCs w:val="20"/>
          <w:lang w:val="en-US"/>
        </w:rPr>
        <w:t>Education Quality and Assessment Programme, Secretariat of the Pacific Community, Suva.</w:t>
      </w:r>
    </w:p>
    <w:p w14:paraId="6F621EF8" w14:textId="65E1DC9E" w:rsidR="006A1541" w:rsidRPr="009923E2" w:rsidRDefault="00EB54E5" w:rsidP="00730F5E">
      <w:pPr>
        <w:spacing w:after="0" w:line="240" w:lineRule="auto"/>
        <w:ind w:left="284" w:hanging="284"/>
        <w:rPr>
          <w:sz w:val="20"/>
          <w:szCs w:val="20"/>
          <w:lang w:val="en-US"/>
        </w:rPr>
      </w:pPr>
      <w:r w:rsidRPr="009923E2">
        <w:rPr>
          <w:sz w:val="20"/>
          <w:szCs w:val="20"/>
          <w:lang w:val="en-US"/>
        </w:rPr>
        <w:t xml:space="preserve">Secretariat of the Pacific Community </w:t>
      </w:r>
      <w:r w:rsidR="001B2CA3" w:rsidRPr="009923E2">
        <w:rPr>
          <w:sz w:val="20"/>
          <w:szCs w:val="20"/>
          <w:lang w:val="en-US"/>
        </w:rPr>
        <w:t>(</w:t>
      </w:r>
      <w:r w:rsidR="006A1541" w:rsidRPr="009923E2">
        <w:rPr>
          <w:sz w:val="20"/>
          <w:szCs w:val="20"/>
          <w:lang w:val="en-US"/>
        </w:rPr>
        <w:t>2015a</w:t>
      </w:r>
      <w:r w:rsidR="001B2CA3" w:rsidRPr="009923E2">
        <w:rPr>
          <w:sz w:val="20"/>
          <w:szCs w:val="20"/>
          <w:lang w:val="en-US"/>
        </w:rPr>
        <w:t>)</w:t>
      </w:r>
      <w:r w:rsidR="00537B6A" w:rsidRPr="009923E2">
        <w:rPr>
          <w:sz w:val="20"/>
          <w:szCs w:val="20"/>
          <w:lang w:val="en-US"/>
        </w:rPr>
        <w:t xml:space="preserve">, </w:t>
      </w:r>
      <w:r w:rsidR="00537B6A" w:rsidRPr="009923E2">
        <w:rPr>
          <w:i/>
          <w:sz w:val="20"/>
          <w:szCs w:val="20"/>
          <w:lang w:val="en-US"/>
        </w:rPr>
        <w:t>Pacific Register of Qualifications and Standards</w:t>
      </w:r>
      <w:r w:rsidR="00537B6A" w:rsidRPr="009923E2">
        <w:rPr>
          <w:sz w:val="20"/>
          <w:szCs w:val="20"/>
          <w:lang w:val="en-US"/>
        </w:rPr>
        <w:t xml:space="preserve">, Education Quality and Assessment Programme, Secretariat of the Pacific Community, Suva. </w:t>
      </w:r>
    </w:p>
    <w:p w14:paraId="224B1133" w14:textId="45323C51" w:rsidR="006A1541" w:rsidRPr="009923E2" w:rsidRDefault="00EB54E5" w:rsidP="00730F5E">
      <w:pPr>
        <w:spacing w:after="0" w:line="240" w:lineRule="auto"/>
        <w:ind w:left="284" w:hanging="284"/>
        <w:rPr>
          <w:sz w:val="20"/>
          <w:szCs w:val="20"/>
          <w:lang w:val="en-US"/>
        </w:rPr>
      </w:pPr>
      <w:r w:rsidRPr="009923E2">
        <w:rPr>
          <w:sz w:val="20"/>
          <w:szCs w:val="20"/>
          <w:lang w:val="en-US"/>
        </w:rPr>
        <w:t xml:space="preserve">Secretariat of the Pacific Community </w:t>
      </w:r>
      <w:r w:rsidR="001B2CA3" w:rsidRPr="009923E2">
        <w:rPr>
          <w:sz w:val="20"/>
          <w:szCs w:val="20"/>
          <w:lang w:val="en-US"/>
        </w:rPr>
        <w:t>(</w:t>
      </w:r>
      <w:r w:rsidR="006A1541" w:rsidRPr="009923E2">
        <w:rPr>
          <w:sz w:val="20"/>
          <w:szCs w:val="20"/>
          <w:lang w:val="en-US"/>
        </w:rPr>
        <w:t>2015b</w:t>
      </w:r>
      <w:r w:rsidR="001B2CA3" w:rsidRPr="009923E2">
        <w:rPr>
          <w:sz w:val="20"/>
          <w:szCs w:val="20"/>
          <w:lang w:val="en-US"/>
        </w:rPr>
        <w:t>)</w:t>
      </w:r>
      <w:r w:rsidR="00537B6A" w:rsidRPr="009923E2">
        <w:rPr>
          <w:sz w:val="20"/>
          <w:szCs w:val="20"/>
          <w:lang w:val="en-US"/>
        </w:rPr>
        <w:t xml:space="preserve">, </w:t>
      </w:r>
      <w:r w:rsidR="00537B6A" w:rsidRPr="009923E2">
        <w:rPr>
          <w:i/>
          <w:sz w:val="20"/>
          <w:szCs w:val="20"/>
          <w:lang w:val="en-US"/>
        </w:rPr>
        <w:t>Pacific Qualifications Framework</w:t>
      </w:r>
      <w:r w:rsidR="00537B6A" w:rsidRPr="009923E2">
        <w:rPr>
          <w:sz w:val="20"/>
          <w:szCs w:val="20"/>
          <w:lang w:val="en-US"/>
        </w:rPr>
        <w:t>, Education Quality and Assessment Programme, Secretariat of the Pacific Community, Suva.</w:t>
      </w:r>
    </w:p>
    <w:p w14:paraId="7DD04B1A" w14:textId="54EC649A" w:rsidR="006A1541" w:rsidRPr="009923E2" w:rsidRDefault="00EB54E5" w:rsidP="00730F5E">
      <w:pPr>
        <w:spacing w:after="0" w:line="240" w:lineRule="auto"/>
        <w:ind w:left="284" w:hanging="284"/>
        <w:rPr>
          <w:sz w:val="20"/>
          <w:szCs w:val="20"/>
          <w:lang w:val="en-US"/>
        </w:rPr>
      </w:pPr>
      <w:r w:rsidRPr="009923E2">
        <w:rPr>
          <w:sz w:val="20"/>
          <w:szCs w:val="20"/>
          <w:lang w:val="en-US"/>
        </w:rPr>
        <w:t xml:space="preserve">Secretariat of the Pacific Community </w:t>
      </w:r>
      <w:r w:rsidR="001B2CA3" w:rsidRPr="009923E2">
        <w:rPr>
          <w:sz w:val="20"/>
          <w:szCs w:val="20"/>
          <w:lang w:val="en-US"/>
        </w:rPr>
        <w:t>(</w:t>
      </w:r>
      <w:r w:rsidR="006A1541" w:rsidRPr="009923E2">
        <w:rPr>
          <w:sz w:val="20"/>
          <w:szCs w:val="20"/>
          <w:lang w:val="en-US"/>
        </w:rPr>
        <w:t>2015c</w:t>
      </w:r>
      <w:r w:rsidR="001B2CA3" w:rsidRPr="009923E2">
        <w:rPr>
          <w:sz w:val="20"/>
          <w:szCs w:val="20"/>
          <w:lang w:val="en-US"/>
        </w:rPr>
        <w:t>)</w:t>
      </w:r>
      <w:r w:rsidR="00537B6A" w:rsidRPr="009923E2">
        <w:rPr>
          <w:sz w:val="20"/>
          <w:szCs w:val="20"/>
          <w:lang w:val="en-US"/>
        </w:rPr>
        <w:t xml:space="preserve">, </w:t>
      </w:r>
      <w:r w:rsidR="00537B6A" w:rsidRPr="009923E2">
        <w:rPr>
          <w:i/>
          <w:sz w:val="20"/>
          <w:szCs w:val="20"/>
          <w:lang w:val="en-US"/>
        </w:rPr>
        <w:t>Pacific Quality Assurance Framework</w:t>
      </w:r>
      <w:r w:rsidR="00537B6A" w:rsidRPr="009923E2">
        <w:rPr>
          <w:sz w:val="20"/>
          <w:szCs w:val="20"/>
          <w:lang w:val="en-US"/>
        </w:rPr>
        <w:t>, Education Quality and Assessment Programme, Secretariat of the Pacific Community, Suva.</w:t>
      </w:r>
    </w:p>
    <w:p w14:paraId="3B3062FF" w14:textId="59B4D9D2" w:rsidR="00726B5C" w:rsidRPr="009923E2" w:rsidRDefault="00726B5C" w:rsidP="00730F5E">
      <w:pPr>
        <w:spacing w:after="0" w:line="240" w:lineRule="auto"/>
        <w:ind w:left="284" w:hanging="284"/>
        <w:rPr>
          <w:sz w:val="20"/>
          <w:szCs w:val="20"/>
        </w:rPr>
      </w:pPr>
      <w:r w:rsidRPr="009923E2">
        <w:rPr>
          <w:sz w:val="20"/>
          <w:szCs w:val="20"/>
          <w:lang w:val="en-US"/>
        </w:rPr>
        <w:t>Secretariat of the Pacific Community</w:t>
      </w:r>
      <w:r w:rsidRPr="009923E2">
        <w:rPr>
          <w:sz w:val="20"/>
          <w:szCs w:val="20"/>
        </w:rPr>
        <w:t xml:space="preserve"> </w:t>
      </w:r>
      <w:r w:rsidR="001B2CA3" w:rsidRPr="009923E2">
        <w:rPr>
          <w:sz w:val="20"/>
          <w:szCs w:val="20"/>
        </w:rPr>
        <w:t>(</w:t>
      </w:r>
      <w:r w:rsidRPr="009923E2">
        <w:rPr>
          <w:sz w:val="20"/>
          <w:szCs w:val="20"/>
        </w:rPr>
        <w:t>2014</w:t>
      </w:r>
      <w:r w:rsidR="001B2CA3" w:rsidRPr="009923E2">
        <w:rPr>
          <w:sz w:val="20"/>
          <w:szCs w:val="20"/>
        </w:rPr>
        <w:t>)</w:t>
      </w:r>
      <w:r w:rsidRPr="009923E2">
        <w:rPr>
          <w:i/>
          <w:sz w:val="20"/>
          <w:szCs w:val="20"/>
        </w:rPr>
        <w:t xml:space="preserve"> Final Terms of Reference for the Advisory Board of the Pacific Register of Qualifications and</w:t>
      </w:r>
      <w:r w:rsidRPr="009923E2">
        <w:rPr>
          <w:sz w:val="20"/>
          <w:szCs w:val="20"/>
        </w:rPr>
        <w:t xml:space="preserve"> </w:t>
      </w:r>
      <w:r w:rsidRPr="009923E2">
        <w:rPr>
          <w:i/>
          <w:sz w:val="20"/>
          <w:szCs w:val="20"/>
        </w:rPr>
        <w:t>Standards</w:t>
      </w:r>
      <w:r w:rsidRPr="009923E2">
        <w:rPr>
          <w:sz w:val="20"/>
          <w:szCs w:val="20"/>
        </w:rPr>
        <w:t xml:space="preserve">, March 2014, </w:t>
      </w:r>
      <w:r w:rsidRPr="009923E2">
        <w:rPr>
          <w:sz w:val="20"/>
          <w:szCs w:val="20"/>
          <w:lang w:val="en-US"/>
        </w:rPr>
        <w:t>Education Quality and Assessment Programme, Secretariat of the Pacific Community, Suva.</w:t>
      </w:r>
    </w:p>
    <w:p w14:paraId="7197C217" w14:textId="33EC0B25" w:rsidR="00393401" w:rsidRPr="009923E2" w:rsidRDefault="00393401" w:rsidP="00730F5E">
      <w:pPr>
        <w:pStyle w:val="Default"/>
        <w:spacing w:before="120"/>
        <w:ind w:left="284" w:hanging="284"/>
        <w:rPr>
          <w:rFonts w:asciiTheme="minorHAnsi" w:eastAsia="Times New Roman" w:hAnsiTheme="minorHAnsi"/>
          <w:color w:val="auto"/>
          <w:sz w:val="20"/>
          <w:szCs w:val="20"/>
          <w:lang w:val="en-US"/>
        </w:rPr>
      </w:pPr>
      <w:r w:rsidRPr="009923E2">
        <w:rPr>
          <w:rFonts w:asciiTheme="minorHAnsi" w:eastAsia="Times New Roman" w:hAnsiTheme="minorHAnsi"/>
          <w:color w:val="auto"/>
          <w:sz w:val="20"/>
          <w:szCs w:val="20"/>
          <w:lang w:val="en-US"/>
        </w:rPr>
        <w:t xml:space="preserve">Stott, H &amp; Malaulau, L (2014) </w:t>
      </w:r>
      <w:r w:rsidRPr="009923E2">
        <w:rPr>
          <w:rFonts w:asciiTheme="minorHAnsi" w:eastAsia="Times New Roman" w:hAnsiTheme="minorHAnsi"/>
          <w:i/>
          <w:color w:val="auto"/>
          <w:sz w:val="20"/>
          <w:szCs w:val="20"/>
          <w:lang w:val="en-US"/>
        </w:rPr>
        <w:t>New Zealand labour market –Labour export opportunities for Pacific Island countries.</w:t>
      </w:r>
    </w:p>
    <w:p w14:paraId="11B76183" w14:textId="65FDF339" w:rsidR="009C47CB" w:rsidRPr="009923E2" w:rsidRDefault="009C47CB" w:rsidP="00730F5E">
      <w:pPr>
        <w:pStyle w:val="Default"/>
        <w:spacing w:before="120"/>
        <w:ind w:left="284" w:hanging="284"/>
        <w:rPr>
          <w:rFonts w:asciiTheme="minorHAnsi" w:eastAsia="Times New Roman" w:hAnsiTheme="minorHAnsi"/>
          <w:color w:val="auto"/>
          <w:sz w:val="20"/>
          <w:szCs w:val="20"/>
          <w:lang w:val="en-US"/>
        </w:rPr>
      </w:pPr>
      <w:r w:rsidRPr="009923E2">
        <w:rPr>
          <w:rFonts w:asciiTheme="minorHAnsi" w:eastAsia="Times New Roman" w:hAnsiTheme="minorHAnsi"/>
          <w:color w:val="auto"/>
          <w:sz w:val="20"/>
          <w:szCs w:val="20"/>
          <w:lang w:val="en-US"/>
        </w:rPr>
        <w:t xml:space="preserve">Tuvalu Government (2008) </w:t>
      </w:r>
      <w:r w:rsidRPr="009923E2">
        <w:rPr>
          <w:rFonts w:asciiTheme="minorHAnsi" w:eastAsia="Times New Roman" w:hAnsiTheme="minorHAnsi"/>
          <w:i/>
          <w:color w:val="auto"/>
          <w:sz w:val="20"/>
          <w:szCs w:val="20"/>
          <w:lang w:val="en-US"/>
        </w:rPr>
        <w:t>Education Act 2008,</w:t>
      </w:r>
      <w:r w:rsidRPr="009923E2">
        <w:rPr>
          <w:rFonts w:asciiTheme="minorHAnsi" w:eastAsia="Times New Roman" w:hAnsiTheme="minorHAnsi"/>
          <w:color w:val="auto"/>
          <w:sz w:val="20"/>
          <w:szCs w:val="20"/>
          <w:lang w:val="en-US"/>
        </w:rPr>
        <w:t xml:space="preserve"> Cap 30.05, Tuvalu Government. </w:t>
      </w:r>
    </w:p>
    <w:p w14:paraId="53585AFC" w14:textId="4324973C" w:rsidR="00466E98" w:rsidRPr="009923E2" w:rsidRDefault="00466E98" w:rsidP="00730F5E">
      <w:pPr>
        <w:pStyle w:val="Default"/>
        <w:spacing w:before="120"/>
        <w:ind w:left="284" w:hanging="284"/>
        <w:rPr>
          <w:rFonts w:asciiTheme="minorHAnsi" w:eastAsia="Times New Roman" w:hAnsiTheme="minorHAnsi"/>
          <w:color w:val="auto"/>
          <w:sz w:val="20"/>
          <w:szCs w:val="20"/>
          <w:lang w:val="en-US"/>
        </w:rPr>
      </w:pPr>
      <w:r w:rsidRPr="009923E2">
        <w:rPr>
          <w:rFonts w:asciiTheme="minorHAnsi" w:eastAsia="Times New Roman" w:hAnsiTheme="minorHAnsi"/>
          <w:color w:val="auto"/>
          <w:sz w:val="20"/>
          <w:szCs w:val="20"/>
          <w:lang w:val="en-US"/>
        </w:rPr>
        <w:t xml:space="preserve">Tuck, R (2007) </w:t>
      </w:r>
      <w:r w:rsidRPr="009923E2">
        <w:rPr>
          <w:rFonts w:asciiTheme="minorHAnsi" w:eastAsia="Times New Roman" w:hAnsiTheme="minorHAnsi"/>
          <w:i/>
          <w:color w:val="auto"/>
          <w:sz w:val="20"/>
          <w:szCs w:val="20"/>
          <w:lang w:val="en-US"/>
        </w:rPr>
        <w:t>An Introductory Guide to National Qualifications Frameworks: Conceptual and Practical Issues for Policy Makers</w:t>
      </w:r>
      <w:r w:rsidRPr="009923E2">
        <w:rPr>
          <w:rFonts w:asciiTheme="minorHAnsi" w:eastAsia="Times New Roman" w:hAnsiTheme="minorHAnsi"/>
          <w:color w:val="auto"/>
          <w:sz w:val="20"/>
          <w:szCs w:val="20"/>
          <w:lang w:val="en-US"/>
        </w:rPr>
        <w:t xml:space="preserve">, International Labour Organisation, Geneva, Switzerland. </w:t>
      </w:r>
    </w:p>
    <w:p w14:paraId="6B2FE244" w14:textId="77777777" w:rsidR="00354096" w:rsidRDefault="00354096" w:rsidP="00730F5E">
      <w:pPr>
        <w:spacing w:after="0" w:line="240" w:lineRule="auto"/>
        <w:ind w:left="284" w:hanging="284"/>
        <w:rPr>
          <w:sz w:val="20"/>
          <w:szCs w:val="20"/>
          <w:u w:val="single"/>
        </w:rPr>
      </w:pPr>
    </w:p>
    <w:p w14:paraId="193138DA" w14:textId="1CB6517A" w:rsidR="00C32891" w:rsidRPr="00C32891" w:rsidRDefault="00C32891" w:rsidP="00730F5E">
      <w:pPr>
        <w:spacing w:after="0" w:line="240" w:lineRule="auto"/>
        <w:ind w:left="284" w:hanging="284"/>
        <w:rPr>
          <w:sz w:val="20"/>
          <w:szCs w:val="20"/>
          <w:u w:val="single"/>
        </w:rPr>
      </w:pPr>
      <w:r w:rsidRPr="00C32891">
        <w:rPr>
          <w:sz w:val="20"/>
          <w:szCs w:val="20"/>
          <w:u w:val="single"/>
        </w:rPr>
        <w:t>P</w:t>
      </w:r>
      <w:r>
        <w:rPr>
          <w:sz w:val="20"/>
          <w:szCs w:val="20"/>
          <w:u w:val="single"/>
        </w:rPr>
        <w:t>RQS p</w:t>
      </w:r>
      <w:r w:rsidRPr="00C32891">
        <w:rPr>
          <w:sz w:val="20"/>
          <w:szCs w:val="20"/>
          <w:u w:val="single"/>
        </w:rPr>
        <w:t xml:space="preserve">rogress reports </w:t>
      </w:r>
      <w:r>
        <w:rPr>
          <w:sz w:val="20"/>
          <w:szCs w:val="20"/>
          <w:u w:val="single"/>
        </w:rPr>
        <w:t>submitted to DFAT</w:t>
      </w:r>
    </w:p>
    <w:p w14:paraId="5D122673" w14:textId="6B4CE08B" w:rsidR="003974E7" w:rsidRDefault="003974E7" w:rsidP="00730F5E">
      <w:pPr>
        <w:spacing w:after="0" w:line="240" w:lineRule="auto"/>
        <w:ind w:left="284" w:hanging="284"/>
        <w:rPr>
          <w:sz w:val="20"/>
          <w:szCs w:val="20"/>
        </w:rPr>
      </w:pPr>
      <w:r>
        <w:rPr>
          <w:sz w:val="20"/>
          <w:szCs w:val="20"/>
        </w:rPr>
        <w:t xml:space="preserve">SPBEA (2009) </w:t>
      </w:r>
      <w:r w:rsidRPr="003974E7">
        <w:rPr>
          <w:i/>
          <w:sz w:val="20"/>
          <w:szCs w:val="20"/>
        </w:rPr>
        <w:t>The Pacific Qualifications Register (PRQR) An AusAID Programme</w:t>
      </w:r>
      <w:r>
        <w:rPr>
          <w:sz w:val="20"/>
          <w:szCs w:val="20"/>
        </w:rPr>
        <w:t xml:space="preserve">, January to June 2009. </w:t>
      </w:r>
    </w:p>
    <w:p w14:paraId="7F4F1287" w14:textId="743F828A" w:rsidR="003974E7" w:rsidRPr="00446DCC" w:rsidRDefault="003974E7" w:rsidP="00730F5E">
      <w:pPr>
        <w:spacing w:after="0" w:line="240" w:lineRule="auto"/>
        <w:ind w:left="284" w:hanging="284"/>
        <w:rPr>
          <w:sz w:val="20"/>
          <w:szCs w:val="20"/>
        </w:rPr>
      </w:pPr>
      <w:r>
        <w:rPr>
          <w:sz w:val="20"/>
          <w:szCs w:val="20"/>
        </w:rPr>
        <w:t xml:space="preserve">SPBEA (2010) </w:t>
      </w:r>
      <w:r w:rsidRPr="003974E7">
        <w:rPr>
          <w:i/>
          <w:sz w:val="20"/>
          <w:szCs w:val="20"/>
        </w:rPr>
        <w:t>Australian Government Aid Programme Report: The Pacific Qualifications Register [PQR], July to December 2009.</w:t>
      </w:r>
      <w:r>
        <w:rPr>
          <w:sz w:val="20"/>
          <w:szCs w:val="20"/>
        </w:rPr>
        <w:t xml:space="preserve"> </w:t>
      </w:r>
    </w:p>
    <w:p w14:paraId="27356084" w14:textId="702D2AD4" w:rsidR="004B69DC" w:rsidRPr="00446DCC" w:rsidRDefault="004B69DC" w:rsidP="00730F5E">
      <w:pPr>
        <w:spacing w:after="0" w:line="240" w:lineRule="auto"/>
        <w:ind w:left="284" w:hanging="284"/>
        <w:rPr>
          <w:sz w:val="20"/>
          <w:szCs w:val="20"/>
        </w:rPr>
      </w:pPr>
      <w:r>
        <w:rPr>
          <w:sz w:val="20"/>
          <w:szCs w:val="20"/>
        </w:rPr>
        <w:t xml:space="preserve">SPBEA (2010) </w:t>
      </w:r>
      <w:r w:rsidRPr="009923E2">
        <w:rPr>
          <w:sz w:val="20"/>
          <w:szCs w:val="20"/>
        </w:rPr>
        <w:t>Australian Government Aid Programme Report: The Pacific Qualifications Register [PQR], January to March 2010.</w:t>
      </w:r>
      <w:r>
        <w:rPr>
          <w:sz w:val="20"/>
          <w:szCs w:val="20"/>
        </w:rPr>
        <w:t xml:space="preserve"> </w:t>
      </w:r>
    </w:p>
    <w:p w14:paraId="1B5FC5E6" w14:textId="0F4F729F" w:rsidR="001F58B0" w:rsidRPr="00446DCC" w:rsidRDefault="001F58B0" w:rsidP="00730F5E">
      <w:pPr>
        <w:spacing w:after="0" w:line="240" w:lineRule="auto"/>
        <w:ind w:left="284" w:hanging="284"/>
        <w:rPr>
          <w:sz w:val="20"/>
          <w:szCs w:val="20"/>
        </w:rPr>
      </w:pPr>
      <w:r>
        <w:rPr>
          <w:sz w:val="20"/>
          <w:szCs w:val="20"/>
        </w:rPr>
        <w:t xml:space="preserve">SPBEA (2011) </w:t>
      </w:r>
      <w:r w:rsidRPr="009923E2">
        <w:rPr>
          <w:sz w:val="20"/>
          <w:szCs w:val="20"/>
        </w:rPr>
        <w:t>Australian Government Aid Programme Report: The Pacific Qualifications Register [PQR], July to December 2010.</w:t>
      </w:r>
      <w:r>
        <w:rPr>
          <w:sz w:val="20"/>
          <w:szCs w:val="20"/>
        </w:rPr>
        <w:t xml:space="preserve"> </w:t>
      </w:r>
    </w:p>
    <w:p w14:paraId="7351FBAA" w14:textId="5C89831C" w:rsidR="00E02718" w:rsidRPr="00446DCC" w:rsidRDefault="00E02718" w:rsidP="00730F5E">
      <w:pPr>
        <w:spacing w:after="0" w:line="240" w:lineRule="auto"/>
        <w:ind w:left="284" w:hanging="284"/>
        <w:rPr>
          <w:sz w:val="20"/>
          <w:szCs w:val="20"/>
        </w:rPr>
      </w:pPr>
      <w:r>
        <w:rPr>
          <w:sz w:val="20"/>
          <w:szCs w:val="20"/>
        </w:rPr>
        <w:t xml:space="preserve">SPBEA (2011) </w:t>
      </w:r>
      <w:r w:rsidRPr="009923E2">
        <w:rPr>
          <w:sz w:val="20"/>
          <w:szCs w:val="20"/>
        </w:rPr>
        <w:t>Australian Government Aid Programme Report: The Pacific Qualifications Register [PQR], January to June 2011.</w:t>
      </w:r>
      <w:r>
        <w:rPr>
          <w:sz w:val="20"/>
          <w:szCs w:val="20"/>
        </w:rPr>
        <w:t xml:space="preserve"> </w:t>
      </w:r>
    </w:p>
    <w:p w14:paraId="64E8E269" w14:textId="49EF682D" w:rsidR="00E02718" w:rsidRPr="00446DCC" w:rsidRDefault="00E02718" w:rsidP="00730F5E">
      <w:pPr>
        <w:spacing w:after="0" w:line="240" w:lineRule="auto"/>
        <w:ind w:left="284" w:hanging="284"/>
        <w:rPr>
          <w:sz w:val="20"/>
          <w:szCs w:val="20"/>
        </w:rPr>
      </w:pPr>
      <w:r>
        <w:rPr>
          <w:sz w:val="20"/>
          <w:szCs w:val="20"/>
        </w:rPr>
        <w:lastRenderedPageBreak/>
        <w:t xml:space="preserve">SPBEA (2012) </w:t>
      </w:r>
      <w:r w:rsidRPr="009923E2">
        <w:rPr>
          <w:sz w:val="20"/>
          <w:szCs w:val="20"/>
        </w:rPr>
        <w:t>Australian Government Aid Programme Report: The Pacific Qualifications Register [PQR], July to December 2011.</w:t>
      </w:r>
      <w:r>
        <w:rPr>
          <w:sz w:val="20"/>
          <w:szCs w:val="20"/>
        </w:rPr>
        <w:t xml:space="preserve"> </w:t>
      </w:r>
    </w:p>
    <w:p w14:paraId="1C21A202" w14:textId="56ACAB74" w:rsidR="003974E7" w:rsidRPr="009923E2" w:rsidRDefault="00D72A6A" w:rsidP="00730F5E">
      <w:pPr>
        <w:spacing w:after="0" w:line="240" w:lineRule="auto"/>
        <w:ind w:left="284" w:hanging="284"/>
        <w:rPr>
          <w:sz w:val="20"/>
          <w:szCs w:val="20"/>
        </w:rPr>
      </w:pPr>
      <w:r>
        <w:rPr>
          <w:sz w:val="20"/>
          <w:szCs w:val="20"/>
        </w:rPr>
        <w:t xml:space="preserve">SPBEA (2012) </w:t>
      </w:r>
      <w:r w:rsidRPr="009923E2">
        <w:rPr>
          <w:sz w:val="20"/>
          <w:szCs w:val="20"/>
        </w:rPr>
        <w:t>Australian Government Aid Programme Report</w:t>
      </w:r>
      <w:r>
        <w:rPr>
          <w:sz w:val="20"/>
          <w:szCs w:val="20"/>
        </w:rPr>
        <w:t>:</w:t>
      </w:r>
      <w:r w:rsidRPr="009923E2">
        <w:rPr>
          <w:sz w:val="20"/>
          <w:szCs w:val="20"/>
        </w:rPr>
        <w:t xml:space="preserve"> The Pacific Register of Qualifications and Standards (PRQS), January to June 2012. </w:t>
      </w:r>
    </w:p>
    <w:p w14:paraId="08B8AAF5" w14:textId="61E3A96F" w:rsidR="007D4D69" w:rsidRPr="009923E2" w:rsidRDefault="007D4D69" w:rsidP="00730F5E">
      <w:pPr>
        <w:spacing w:after="0" w:line="240" w:lineRule="auto"/>
        <w:ind w:left="284" w:hanging="284"/>
        <w:rPr>
          <w:sz w:val="20"/>
          <w:szCs w:val="20"/>
        </w:rPr>
      </w:pPr>
      <w:r>
        <w:rPr>
          <w:sz w:val="20"/>
          <w:szCs w:val="20"/>
        </w:rPr>
        <w:t xml:space="preserve">SPBEA (2013) </w:t>
      </w:r>
      <w:r w:rsidRPr="009923E2">
        <w:rPr>
          <w:sz w:val="20"/>
          <w:szCs w:val="20"/>
        </w:rPr>
        <w:t>Australian Government Aid Programme Report</w:t>
      </w:r>
      <w:r>
        <w:rPr>
          <w:sz w:val="20"/>
          <w:szCs w:val="20"/>
        </w:rPr>
        <w:t>:</w:t>
      </w:r>
      <w:r w:rsidRPr="009923E2">
        <w:rPr>
          <w:sz w:val="20"/>
          <w:szCs w:val="20"/>
        </w:rPr>
        <w:t xml:space="preserve"> The Pacific Register of Qualifications and Standards (PRQS), July to December 2012. </w:t>
      </w:r>
    </w:p>
    <w:p w14:paraId="393A6878" w14:textId="544E1E2F" w:rsidR="00D72A6A" w:rsidRDefault="00F5528D" w:rsidP="00730F5E">
      <w:pPr>
        <w:spacing w:after="0" w:line="240" w:lineRule="auto"/>
        <w:ind w:left="284" w:hanging="284"/>
        <w:rPr>
          <w:sz w:val="20"/>
          <w:szCs w:val="20"/>
        </w:rPr>
      </w:pPr>
      <w:r>
        <w:rPr>
          <w:sz w:val="20"/>
          <w:szCs w:val="20"/>
        </w:rPr>
        <w:t xml:space="preserve">SPBEA (2013) </w:t>
      </w:r>
      <w:r w:rsidRPr="009923E2">
        <w:rPr>
          <w:sz w:val="20"/>
          <w:szCs w:val="20"/>
        </w:rPr>
        <w:t>Australian Government Aid Programme Project Completion report on the Pacific Register of Qualifications &amp; Standards, November 2008 to June 2013</w:t>
      </w:r>
      <w:r>
        <w:rPr>
          <w:sz w:val="20"/>
          <w:szCs w:val="20"/>
        </w:rPr>
        <w:t xml:space="preserve">. </w:t>
      </w:r>
    </w:p>
    <w:p w14:paraId="53E8DDF2" w14:textId="54E570E0" w:rsidR="00F5528D" w:rsidRDefault="00F5528D" w:rsidP="00730F5E">
      <w:pPr>
        <w:spacing w:after="0" w:line="240" w:lineRule="auto"/>
        <w:ind w:left="284" w:hanging="284"/>
        <w:rPr>
          <w:sz w:val="20"/>
          <w:szCs w:val="20"/>
        </w:rPr>
      </w:pPr>
      <w:r>
        <w:rPr>
          <w:sz w:val="20"/>
          <w:szCs w:val="20"/>
        </w:rPr>
        <w:t xml:space="preserve">SPBEA (2013) </w:t>
      </w:r>
      <w:r w:rsidRPr="009923E2">
        <w:rPr>
          <w:sz w:val="20"/>
          <w:szCs w:val="20"/>
        </w:rPr>
        <w:t xml:space="preserve">Australian Government Aid Programme Progress report on the first six months of the PRQS project one-year extension, July to December 2013. </w:t>
      </w:r>
    </w:p>
    <w:p w14:paraId="1D56AA2C" w14:textId="7B47B483" w:rsidR="00F5528D" w:rsidRDefault="00F5528D" w:rsidP="00730F5E">
      <w:pPr>
        <w:spacing w:after="0" w:line="240" w:lineRule="auto"/>
        <w:ind w:left="284" w:hanging="284"/>
        <w:rPr>
          <w:sz w:val="20"/>
          <w:szCs w:val="20"/>
        </w:rPr>
      </w:pPr>
      <w:r>
        <w:rPr>
          <w:sz w:val="20"/>
          <w:szCs w:val="20"/>
        </w:rPr>
        <w:t xml:space="preserve">SPBEA (2014) </w:t>
      </w:r>
      <w:r w:rsidRPr="009923E2">
        <w:rPr>
          <w:sz w:val="20"/>
          <w:szCs w:val="20"/>
        </w:rPr>
        <w:t xml:space="preserve">Australian Government Aid Programme Progress report on the Pacific Register of Qualifications &amp; Standards (PRQS) project, January to June 2014. </w:t>
      </w:r>
    </w:p>
    <w:p w14:paraId="1F3E1B00" w14:textId="3619276D" w:rsidR="00B10BE3" w:rsidRDefault="00B10BE3" w:rsidP="00730F5E">
      <w:pPr>
        <w:spacing w:after="0" w:line="240" w:lineRule="auto"/>
        <w:ind w:left="284" w:hanging="284"/>
        <w:rPr>
          <w:sz w:val="20"/>
          <w:szCs w:val="20"/>
        </w:rPr>
      </w:pPr>
      <w:r>
        <w:rPr>
          <w:sz w:val="20"/>
          <w:szCs w:val="20"/>
        </w:rPr>
        <w:t xml:space="preserve">SPBEQ (2014) </w:t>
      </w:r>
      <w:r w:rsidRPr="009923E2">
        <w:rPr>
          <w:sz w:val="20"/>
          <w:szCs w:val="20"/>
        </w:rPr>
        <w:t>Australian Government Aid Programme Project Progress report on the Pacific Register of Qualifications &amp; Standards, July 2014 to December 2014</w:t>
      </w:r>
      <w:r>
        <w:rPr>
          <w:sz w:val="20"/>
          <w:szCs w:val="20"/>
        </w:rPr>
        <w:t xml:space="preserve">. </w:t>
      </w:r>
    </w:p>
    <w:p w14:paraId="6D47F759" w14:textId="3142D403" w:rsidR="00B10BE3" w:rsidRDefault="00B10BE3" w:rsidP="00730F5E">
      <w:pPr>
        <w:spacing w:after="0" w:line="240" w:lineRule="auto"/>
        <w:ind w:left="284" w:hanging="284"/>
        <w:rPr>
          <w:sz w:val="20"/>
          <w:szCs w:val="20"/>
        </w:rPr>
      </w:pPr>
      <w:r>
        <w:rPr>
          <w:sz w:val="20"/>
          <w:szCs w:val="20"/>
        </w:rPr>
        <w:t xml:space="preserve">SPBEQ (2015) </w:t>
      </w:r>
      <w:r w:rsidRPr="009923E2">
        <w:rPr>
          <w:sz w:val="20"/>
          <w:szCs w:val="20"/>
        </w:rPr>
        <w:t>Progress report on the Pacific Register of Qualifications &amp; Standards for the period January 2015 to June 2015</w:t>
      </w:r>
      <w:r>
        <w:rPr>
          <w:sz w:val="20"/>
          <w:szCs w:val="20"/>
        </w:rPr>
        <w:t xml:space="preserve">. </w:t>
      </w:r>
      <w:r w:rsidRPr="009923E2">
        <w:rPr>
          <w:sz w:val="20"/>
          <w:szCs w:val="20"/>
        </w:rPr>
        <w:t>Australian Government Aid Programme Project</w:t>
      </w:r>
    </w:p>
    <w:p w14:paraId="1AF89ADF" w14:textId="2C7704D2" w:rsidR="00BB0A1E" w:rsidRDefault="00BB0A1E" w:rsidP="00730F5E">
      <w:pPr>
        <w:spacing w:after="0" w:line="240" w:lineRule="auto"/>
        <w:ind w:left="284" w:hanging="284"/>
        <w:rPr>
          <w:sz w:val="20"/>
          <w:szCs w:val="20"/>
        </w:rPr>
      </w:pPr>
      <w:r>
        <w:rPr>
          <w:sz w:val="20"/>
          <w:szCs w:val="20"/>
        </w:rPr>
        <w:t xml:space="preserve">EQAP (2015) </w:t>
      </w:r>
      <w:r w:rsidRPr="009923E2">
        <w:rPr>
          <w:sz w:val="20"/>
          <w:szCs w:val="20"/>
        </w:rPr>
        <w:t>Progress report on the Pacific Register of Qualifications &amp; Standards for the period July 2015 to December 2015</w:t>
      </w:r>
      <w:r>
        <w:rPr>
          <w:sz w:val="20"/>
          <w:szCs w:val="20"/>
        </w:rPr>
        <w:t xml:space="preserve">. </w:t>
      </w:r>
      <w:r w:rsidRPr="009923E2">
        <w:rPr>
          <w:sz w:val="20"/>
          <w:szCs w:val="20"/>
        </w:rPr>
        <w:t>Australian Government Aid Programme Project</w:t>
      </w:r>
    </w:p>
    <w:p w14:paraId="5147D6F6" w14:textId="176029A0" w:rsidR="00BB0A1E" w:rsidRDefault="00BB0A1E" w:rsidP="00730F5E">
      <w:pPr>
        <w:spacing w:after="0" w:line="240" w:lineRule="auto"/>
        <w:ind w:left="284" w:hanging="284"/>
        <w:rPr>
          <w:sz w:val="20"/>
          <w:szCs w:val="20"/>
        </w:rPr>
      </w:pPr>
      <w:r>
        <w:rPr>
          <w:sz w:val="20"/>
          <w:szCs w:val="20"/>
        </w:rPr>
        <w:t xml:space="preserve">EQAP (2016) </w:t>
      </w:r>
      <w:r w:rsidRPr="009923E2">
        <w:rPr>
          <w:sz w:val="20"/>
          <w:szCs w:val="20"/>
        </w:rPr>
        <w:t>Australian Government Aid Programme Project Completion report on the Pacific Register of Qualifications &amp; Standards, November 2008 to June 2016</w:t>
      </w:r>
      <w:r>
        <w:rPr>
          <w:sz w:val="20"/>
          <w:szCs w:val="20"/>
        </w:rPr>
        <w:t xml:space="preserve">. </w:t>
      </w:r>
    </w:p>
    <w:p w14:paraId="279763D5" w14:textId="77777777" w:rsidR="00F5528D" w:rsidRPr="00446DCC" w:rsidRDefault="00F5528D" w:rsidP="00D72A6A">
      <w:pPr>
        <w:ind w:left="284" w:hanging="284"/>
        <w:rPr>
          <w:sz w:val="20"/>
          <w:szCs w:val="20"/>
        </w:rPr>
      </w:pPr>
    </w:p>
    <w:sectPr w:rsidR="00F5528D" w:rsidRPr="00446DCC" w:rsidSect="00DC3A99">
      <w:headerReference w:type="default" r:id="rId23"/>
      <w:footerReference w:type="default" r:id="rId24"/>
      <w:pgSz w:w="11906" w:h="16838"/>
      <w:pgMar w:top="1440" w:right="144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CB7AE" w14:textId="77777777" w:rsidR="007D5F92" w:rsidRDefault="007D5F92" w:rsidP="002D53F7">
      <w:r>
        <w:separator/>
      </w:r>
    </w:p>
  </w:endnote>
  <w:endnote w:type="continuationSeparator" w:id="0">
    <w:p w14:paraId="69ACAEB9" w14:textId="77777777" w:rsidR="007D5F92" w:rsidRDefault="007D5F92" w:rsidP="002D5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43" w:usb2="00000009" w:usb3="00000000" w:csb0="000001FF" w:csb1="00000000"/>
  </w:font>
  <w:font w:name="HGｺﾞｼｯｸM">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hitman-RomanOsF">
    <w:panose1 w:val="00000000000000000000"/>
    <w:charset w:val="00"/>
    <w:family w:val="auto"/>
    <w:notTrueType/>
    <w:pitch w:val="default"/>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T1B6t00">
    <w:panose1 w:val="00000000000000000000"/>
    <w:charset w:val="00"/>
    <w:family w:val="auto"/>
    <w:notTrueType/>
    <w:pitch w:val="default"/>
    <w:sig w:usb0="00000003" w:usb1="00000000" w:usb2="00000000" w:usb3="00000000" w:csb0="00000001" w:csb1="00000000"/>
  </w:font>
  <w:font w:name="TT231t00">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177CE" w14:textId="77777777" w:rsidR="006A09F3" w:rsidRDefault="006A09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E611EF" w14:textId="77777777" w:rsidR="006A09F3" w:rsidRDefault="006A09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8125" w14:textId="77777777" w:rsidR="006A09F3" w:rsidRDefault="006A09F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2046353055"/>
      <w:docPartObj>
        <w:docPartGallery w:val="Page Numbers (Bottom of Page)"/>
        <w:docPartUnique/>
      </w:docPartObj>
    </w:sdtPr>
    <w:sdtEndPr/>
    <w:sdtContent>
      <w:sdt>
        <w:sdtPr>
          <w:rPr>
            <w:sz w:val="18"/>
            <w:szCs w:val="18"/>
          </w:rPr>
          <w:id w:val="-1049381786"/>
          <w:docPartObj>
            <w:docPartGallery w:val="Page Numbers (Top of Page)"/>
            <w:docPartUnique/>
          </w:docPartObj>
        </w:sdtPr>
        <w:sdtEndPr/>
        <w:sdtContent>
          <w:p w14:paraId="2A466A81" w14:textId="67F9E5B9" w:rsidR="007D5F92" w:rsidRPr="00351B63" w:rsidRDefault="007D5F92" w:rsidP="00940D79">
            <w:pPr>
              <w:pStyle w:val="Footer"/>
              <w:tabs>
                <w:tab w:val="clear" w:pos="4513"/>
                <w:tab w:val="clear" w:pos="9026"/>
                <w:tab w:val="center" w:pos="4536"/>
                <w:tab w:val="left" w:pos="7938"/>
                <w:tab w:val="right" w:pos="13892"/>
              </w:tabs>
              <w:rPr>
                <w:sz w:val="18"/>
                <w:szCs w:val="18"/>
              </w:rPr>
            </w:pPr>
            <w:r>
              <w:rPr>
                <w:sz w:val="18"/>
                <w:szCs w:val="18"/>
              </w:rPr>
              <w:tab/>
            </w:r>
            <w:r>
              <w:rPr>
                <w:sz w:val="18"/>
                <w:szCs w:val="18"/>
              </w:rPr>
              <w:tab/>
            </w:r>
            <w:r w:rsidRPr="00351B63">
              <w:rPr>
                <w:sz w:val="18"/>
                <w:szCs w:val="18"/>
              </w:rPr>
              <w:t xml:space="preserve">Page </w:t>
            </w:r>
            <w:r w:rsidRPr="00351B63">
              <w:rPr>
                <w:b/>
                <w:bCs/>
                <w:sz w:val="18"/>
                <w:szCs w:val="18"/>
              </w:rPr>
              <w:fldChar w:fldCharType="begin"/>
            </w:r>
            <w:r w:rsidRPr="00351B63">
              <w:rPr>
                <w:b/>
                <w:bCs/>
                <w:sz w:val="18"/>
                <w:szCs w:val="18"/>
              </w:rPr>
              <w:instrText xml:space="preserve"> PAGE </w:instrText>
            </w:r>
            <w:r w:rsidRPr="00351B63">
              <w:rPr>
                <w:b/>
                <w:bCs/>
                <w:sz w:val="18"/>
                <w:szCs w:val="18"/>
              </w:rPr>
              <w:fldChar w:fldCharType="separate"/>
            </w:r>
            <w:r w:rsidR="000C512A">
              <w:rPr>
                <w:b/>
                <w:bCs/>
                <w:noProof/>
                <w:sz w:val="18"/>
                <w:szCs w:val="18"/>
              </w:rPr>
              <w:t>11</w:t>
            </w:r>
            <w:r w:rsidRPr="00351B63">
              <w:rPr>
                <w:b/>
                <w:bCs/>
                <w:sz w:val="18"/>
                <w:szCs w:val="18"/>
              </w:rPr>
              <w:fldChar w:fldCharType="end"/>
            </w:r>
            <w:r w:rsidRPr="00351B63">
              <w:rPr>
                <w:sz w:val="18"/>
                <w:szCs w:val="18"/>
              </w:rPr>
              <w:t xml:space="preserve"> of </w:t>
            </w:r>
            <w:r w:rsidRPr="00351B63">
              <w:rPr>
                <w:b/>
                <w:bCs/>
                <w:sz w:val="18"/>
                <w:szCs w:val="18"/>
              </w:rPr>
              <w:fldChar w:fldCharType="begin"/>
            </w:r>
            <w:r w:rsidRPr="00351B63">
              <w:rPr>
                <w:b/>
                <w:bCs/>
                <w:sz w:val="18"/>
                <w:szCs w:val="18"/>
              </w:rPr>
              <w:instrText xml:space="preserve"> NUMPAGES  </w:instrText>
            </w:r>
            <w:r w:rsidRPr="00351B63">
              <w:rPr>
                <w:b/>
                <w:bCs/>
                <w:sz w:val="18"/>
                <w:szCs w:val="18"/>
              </w:rPr>
              <w:fldChar w:fldCharType="separate"/>
            </w:r>
            <w:r w:rsidR="000C512A">
              <w:rPr>
                <w:b/>
                <w:bCs/>
                <w:noProof/>
                <w:sz w:val="18"/>
                <w:szCs w:val="18"/>
              </w:rPr>
              <w:t>81</w:t>
            </w:r>
            <w:r w:rsidRPr="00351B63">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B35A" w14:textId="77777777" w:rsidR="007D5F92" w:rsidRDefault="007D5F92" w:rsidP="002D53F7">
      <w:r>
        <w:separator/>
      </w:r>
    </w:p>
  </w:footnote>
  <w:footnote w:type="continuationSeparator" w:id="0">
    <w:p w14:paraId="0445E230" w14:textId="77777777" w:rsidR="007D5F92" w:rsidRDefault="007D5F92" w:rsidP="002D53F7">
      <w:r>
        <w:continuationSeparator/>
      </w:r>
    </w:p>
  </w:footnote>
  <w:footnote w:id="1">
    <w:p w14:paraId="555323F7" w14:textId="77777777" w:rsidR="007D5F92" w:rsidRDefault="007D5F92" w:rsidP="00730F5E">
      <w:pPr>
        <w:pStyle w:val="FootnoteText"/>
      </w:pPr>
      <w:r>
        <w:rPr>
          <w:rStyle w:val="FootnoteReference"/>
        </w:rPr>
        <w:footnoteRef/>
      </w:r>
      <w:r>
        <w:t xml:space="preserve"> SPC 2015a, p. 6. </w:t>
      </w:r>
    </w:p>
  </w:footnote>
  <w:footnote w:id="2">
    <w:p w14:paraId="7AB8386D" w14:textId="51463053" w:rsidR="007D5F92" w:rsidRDefault="007D5F92">
      <w:pPr>
        <w:pStyle w:val="FootnoteText"/>
      </w:pPr>
      <w:r>
        <w:rPr>
          <w:rStyle w:val="FootnoteReference"/>
        </w:rPr>
        <w:footnoteRef/>
      </w:r>
      <w:r>
        <w:t xml:space="preserve"> Th</w:t>
      </w:r>
      <w:r w:rsidRPr="007D1539">
        <w:t>eological education: South Pacific Association of Theological Schools</w:t>
      </w:r>
      <w:r>
        <w:t xml:space="preserve">, and </w:t>
      </w:r>
      <w:r w:rsidRPr="007D1539">
        <w:t>Maritime Training: SPC’s Transport Programme (Economic Development Division)</w:t>
      </w:r>
      <w:r>
        <w:t>.</w:t>
      </w:r>
    </w:p>
  </w:footnote>
  <w:footnote w:id="3">
    <w:p w14:paraId="6E228926" w14:textId="308D8FC2" w:rsidR="007D5F92" w:rsidRDefault="007D5F92">
      <w:pPr>
        <w:pStyle w:val="FootnoteText"/>
      </w:pPr>
      <w:r>
        <w:rPr>
          <w:rStyle w:val="FootnoteReference"/>
        </w:rPr>
        <w:footnoteRef/>
      </w:r>
      <w:r>
        <w:t xml:space="preserve"> Harmonisation is about bringing into agreement (or harmony) of related quality assurance processes. It does not necessarily mean all processes are the same.</w:t>
      </w:r>
    </w:p>
  </w:footnote>
  <w:footnote w:id="4">
    <w:p w14:paraId="7089B756" w14:textId="59E3E806" w:rsidR="007D5F92" w:rsidRDefault="007D5F92">
      <w:pPr>
        <w:pStyle w:val="FootnoteText"/>
      </w:pPr>
      <w:r>
        <w:rPr>
          <w:rStyle w:val="FootnoteReference"/>
        </w:rPr>
        <w:footnoteRef/>
      </w:r>
      <w:r>
        <w:t xml:space="preserve"> This is often through a competent QA body enshrined in legislation, but may be a small unit of 1–2 people within a government department. </w:t>
      </w:r>
    </w:p>
  </w:footnote>
  <w:footnote w:id="5">
    <w:p w14:paraId="212904D8" w14:textId="6DBD8AFA" w:rsidR="007D5F92" w:rsidRDefault="007D5F92" w:rsidP="00453ADC">
      <w:pPr>
        <w:pStyle w:val="FootnoteText"/>
      </w:pPr>
      <w:r>
        <w:rPr>
          <w:rStyle w:val="FootnoteReference"/>
        </w:rPr>
        <w:footnoteRef/>
      </w:r>
      <w:r>
        <w:t xml:space="preserve"> Countries can either utilise these regional qualifications and supplement for national accreditation purposes or benchmark their existing qualifications to these regional qualifications. A simple way to promote the recognition of these qualifications is to ensure that the PRQS website includes in detail the occupational and assessment standards, and the qualification completion rules. In addition, certificates issued at a national level could include details of the qualification’s relationship to the regional qualification.</w:t>
      </w:r>
    </w:p>
  </w:footnote>
  <w:footnote w:id="6">
    <w:p w14:paraId="3DABA7E3" w14:textId="0810F4BF" w:rsidR="007D5F92" w:rsidRDefault="007D5F92" w:rsidP="00453ADC">
      <w:pPr>
        <w:pStyle w:val="FootnoteText"/>
      </w:pPr>
      <w:r>
        <w:rPr>
          <w:rStyle w:val="FootnoteReference"/>
        </w:rPr>
        <w:footnoteRef/>
      </w:r>
      <w:r>
        <w:t xml:space="preserve"> Australia and New Zealand representatives have not been considered members of the PRQS. They will need to make their position clear in terms of whether they are members of the future model, or non-voting members, or observers. </w:t>
      </w:r>
    </w:p>
  </w:footnote>
  <w:footnote w:id="7">
    <w:p w14:paraId="20279C5E" w14:textId="77777777" w:rsidR="007D5F92" w:rsidRDefault="007D5F92" w:rsidP="00DE3DBD">
      <w:pPr>
        <w:pStyle w:val="FootnoteText"/>
      </w:pPr>
      <w:r>
        <w:rPr>
          <w:rStyle w:val="FootnoteReference"/>
        </w:rPr>
        <w:footnoteRef/>
      </w:r>
      <w:r>
        <w:t xml:space="preserve"> SPC 2015a, p. 6. </w:t>
      </w:r>
    </w:p>
  </w:footnote>
  <w:footnote w:id="8">
    <w:p w14:paraId="762B3255" w14:textId="77777777" w:rsidR="007D5F92" w:rsidRDefault="007D5F92" w:rsidP="00DE3DBD">
      <w:pPr>
        <w:pStyle w:val="FootnoteText"/>
      </w:pPr>
      <w:r>
        <w:rPr>
          <w:rStyle w:val="FootnoteReference"/>
        </w:rPr>
        <w:footnoteRef/>
      </w:r>
      <w:r>
        <w:t xml:space="preserve"> SPC 2015a</w:t>
      </w:r>
    </w:p>
  </w:footnote>
  <w:footnote w:id="9">
    <w:p w14:paraId="7236EF65" w14:textId="77777777" w:rsidR="007D5F92" w:rsidRDefault="007D5F92" w:rsidP="00DE3DBD">
      <w:pPr>
        <w:pStyle w:val="FootnoteText"/>
      </w:pPr>
      <w:r>
        <w:rPr>
          <w:rStyle w:val="FootnoteReference"/>
        </w:rPr>
        <w:footnoteRef/>
      </w:r>
      <w:r>
        <w:t xml:space="preserve"> Australia and New Zealand are also PIF members.  Associate members include New Caledonia, French Polynesia</w:t>
      </w:r>
      <w:r w:rsidRPr="00146C6D">
        <w:t xml:space="preserve"> </w:t>
      </w:r>
      <w:r>
        <w:t>and Tokelau. Pacific island observers include: Wallis and Futuna, Guam, American Samoa and Northern Mariana Islands, as a special observer Timor-Leste,</w:t>
      </w:r>
    </w:p>
  </w:footnote>
  <w:footnote w:id="10">
    <w:p w14:paraId="408AF419" w14:textId="77777777" w:rsidR="007D5F92" w:rsidRDefault="007D5F92" w:rsidP="00DE3DBD">
      <w:pPr>
        <w:pStyle w:val="FootnoteText"/>
      </w:pPr>
      <w:r>
        <w:rPr>
          <w:rStyle w:val="FootnoteReference"/>
        </w:rPr>
        <w:footnoteRef/>
      </w:r>
      <w:r>
        <w:t xml:space="preserve"> Plus </w:t>
      </w:r>
      <w:r w:rsidRPr="00654DFA">
        <w:t>Australia, France, New Zealand and the United States of America</w:t>
      </w:r>
    </w:p>
  </w:footnote>
  <w:footnote w:id="11">
    <w:p w14:paraId="18B82325" w14:textId="77777777" w:rsidR="007D5F92" w:rsidRPr="006541D7" w:rsidRDefault="007D5F92" w:rsidP="006A0080">
      <w:pPr>
        <w:pStyle w:val="FootnoteText"/>
      </w:pPr>
      <w:r>
        <w:rPr>
          <w:rStyle w:val="FootnoteReference"/>
        </w:rPr>
        <w:footnoteRef/>
      </w:r>
      <w:r>
        <w:t xml:space="preserve"> </w:t>
      </w:r>
      <w:r w:rsidRPr="004B174E">
        <w:rPr>
          <w:rFonts w:ascii="Corbel" w:hAnsi="Corbel" w:cs="Arial"/>
        </w:rPr>
        <w:t>Commission of European Communities 2005, p. 13.</w:t>
      </w:r>
    </w:p>
  </w:footnote>
  <w:footnote w:id="12">
    <w:p w14:paraId="7525A651" w14:textId="77777777" w:rsidR="007D5F92" w:rsidRDefault="007D5F92" w:rsidP="0081289D">
      <w:pPr>
        <w:pStyle w:val="FootnoteText"/>
      </w:pPr>
      <w:r>
        <w:rPr>
          <w:rStyle w:val="FootnoteReference"/>
        </w:rPr>
        <w:footnoteRef/>
      </w:r>
      <w:r>
        <w:t xml:space="preserve"> Bateman &amp; Coles 2015 </w:t>
      </w:r>
    </w:p>
  </w:footnote>
  <w:footnote w:id="13">
    <w:p w14:paraId="406A5ED2" w14:textId="77777777" w:rsidR="007D5F92" w:rsidRDefault="007D5F92" w:rsidP="0081289D">
      <w:pPr>
        <w:pStyle w:val="FootnoteText"/>
      </w:pPr>
      <w:r>
        <w:rPr>
          <w:rStyle w:val="FootnoteReference"/>
        </w:rPr>
        <w:footnoteRef/>
      </w:r>
      <w:r>
        <w:t xml:space="preserve"> Representatives from the ASU have participated in the international consultations</w:t>
      </w:r>
    </w:p>
  </w:footnote>
  <w:footnote w:id="14">
    <w:p w14:paraId="2D9EEDA8" w14:textId="48F8DBC9" w:rsidR="007D5F92" w:rsidRDefault="007D5F92" w:rsidP="00730F5E">
      <w:pPr>
        <w:pStyle w:val="FootnoteText"/>
      </w:pPr>
      <w:r>
        <w:rPr>
          <w:rStyle w:val="FootnoteReference"/>
        </w:rPr>
        <w:footnoteRef/>
      </w:r>
      <w:r>
        <w:t xml:space="preserve"> EQAP, SPC 2015, Draft Minutes of 2015 board meeting </w:t>
      </w:r>
    </w:p>
  </w:footnote>
  <w:footnote w:id="15">
    <w:p w14:paraId="7D86DD02" w14:textId="5F60A255" w:rsidR="007D5F92" w:rsidRDefault="007D5F92" w:rsidP="00730F5E">
      <w:pPr>
        <w:pStyle w:val="FootnoteText"/>
      </w:pPr>
      <w:r>
        <w:rPr>
          <w:rStyle w:val="FootnoteReference"/>
        </w:rPr>
        <w:footnoteRef/>
      </w:r>
      <w:r>
        <w:t xml:space="preserve"> Assessment Research Centre 2013, p. 56</w:t>
      </w:r>
    </w:p>
  </w:footnote>
  <w:footnote w:id="16">
    <w:p w14:paraId="39D99BB3" w14:textId="77777777" w:rsidR="007D5F92" w:rsidRDefault="007D5F92" w:rsidP="00730F5E">
      <w:pPr>
        <w:pStyle w:val="FootnoteText"/>
      </w:pPr>
      <w:r>
        <w:rPr>
          <w:rStyle w:val="FootnoteReference"/>
        </w:rPr>
        <w:footnoteRef/>
      </w:r>
      <w:r>
        <w:t xml:space="preserve"> National and sector agencies</w:t>
      </w:r>
    </w:p>
  </w:footnote>
  <w:footnote w:id="17">
    <w:p w14:paraId="456983DC" w14:textId="05C6B382" w:rsidR="007D5F92" w:rsidRDefault="007D5F92" w:rsidP="00730F5E">
      <w:pPr>
        <w:pStyle w:val="FootnoteText"/>
      </w:pPr>
      <w:r>
        <w:rPr>
          <w:rStyle w:val="FootnoteReference"/>
        </w:rPr>
        <w:footnoteRef/>
      </w:r>
      <w:r>
        <w:t xml:space="preserve"> Noted as voting members</w:t>
      </w:r>
    </w:p>
  </w:footnote>
  <w:footnote w:id="18">
    <w:p w14:paraId="79E0F188" w14:textId="234BCC78" w:rsidR="007D5F92" w:rsidRDefault="007D5F92">
      <w:pPr>
        <w:pStyle w:val="FootnoteText"/>
      </w:pPr>
      <w:r>
        <w:rPr>
          <w:rStyle w:val="FootnoteReference"/>
        </w:rPr>
        <w:footnoteRef/>
      </w:r>
      <w:r>
        <w:t xml:space="preserve"> In both instances, there is a void in the relevant Education Acts in relation to post-secondary education. Kiribati Government 2013, Tuvalu Government 2008. </w:t>
      </w:r>
    </w:p>
  </w:footnote>
  <w:footnote w:id="19">
    <w:p w14:paraId="2D04837F" w14:textId="683B0405" w:rsidR="007D5F92" w:rsidRDefault="007D5F92" w:rsidP="00730F5E">
      <w:pPr>
        <w:pStyle w:val="FootnoteText"/>
      </w:pPr>
      <w:r>
        <w:rPr>
          <w:rStyle w:val="FootnoteReference"/>
        </w:rPr>
        <w:footnoteRef/>
      </w:r>
      <w:r>
        <w:t xml:space="preserve"> Peddle et al 2015, p. 7.</w:t>
      </w:r>
    </w:p>
  </w:footnote>
  <w:footnote w:id="20">
    <w:p w14:paraId="5A707543" w14:textId="2B69C081" w:rsidR="007D5F92" w:rsidRDefault="007D5F92" w:rsidP="00730F5E">
      <w:pPr>
        <w:pStyle w:val="FootnoteText"/>
      </w:pPr>
      <w:r>
        <w:rPr>
          <w:rStyle w:val="FootnoteReference"/>
        </w:rPr>
        <w:footnoteRef/>
      </w:r>
      <w:r>
        <w:t xml:space="preserve"> Peddle et al 2015, p. 20.</w:t>
      </w:r>
    </w:p>
  </w:footnote>
  <w:footnote w:id="21">
    <w:p w14:paraId="22843189" w14:textId="77777777" w:rsidR="007D5F92" w:rsidRDefault="007D5F92" w:rsidP="00730F5E">
      <w:pPr>
        <w:pStyle w:val="FootnoteText"/>
      </w:pPr>
      <w:r>
        <w:rPr>
          <w:rStyle w:val="FootnoteReference"/>
        </w:rPr>
        <w:footnoteRef/>
      </w:r>
      <w:r>
        <w:t xml:space="preserve"> Participant notes, Regional Consultation meeting May 2016. </w:t>
      </w:r>
    </w:p>
  </w:footnote>
  <w:footnote w:id="22">
    <w:p w14:paraId="643D3A8C" w14:textId="76FC8831" w:rsidR="007D5F92" w:rsidRDefault="007D5F92" w:rsidP="00730F5E">
      <w:pPr>
        <w:pStyle w:val="FootnoteText"/>
      </w:pPr>
      <w:r>
        <w:rPr>
          <w:rStyle w:val="FootnoteReference"/>
        </w:rPr>
        <w:footnoteRef/>
      </w:r>
      <w:r>
        <w:t xml:space="preserve"> SPC 2015a, p. 11</w:t>
      </w:r>
    </w:p>
  </w:footnote>
  <w:footnote w:id="23">
    <w:p w14:paraId="5ABDB143" w14:textId="77777777" w:rsidR="007D5F92" w:rsidRDefault="007D5F92" w:rsidP="00730F5E">
      <w:pPr>
        <w:pStyle w:val="FootnoteText"/>
      </w:pPr>
      <w:r>
        <w:rPr>
          <w:rStyle w:val="FootnoteReference"/>
        </w:rPr>
        <w:footnoteRef/>
      </w:r>
      <w:r>
        <w:t xml:space="preserve"> SPC 2015c, p. 9.</w:t>
      </w:r>
    </w:p>
  </w:footnote>
  <w:footnote w:id="24">
    <w:p w14:paraId="2D6D59DD" w14:textId="7ED502F8" w:rsidR="007D5F92" w:rsidRDefault="007D5F92" w:rsidP="00730F5E">
      <w:pPr>
        <w:pStyle w:val="FootnoteText"/>
      </w:pPr>
      <w:r>
        <w:rPr>
          <w:rStyle w:val="FootnoteReference"/>
        </w:rPr>
        <w:footnoteRef/>
      </w:r>
      <w:r>
        <w:t xml:space="preserve"> PRQS Progress report July – December 2009)</w:t>
      </w:r>
    </w:p>
  </w:footnote>
  <w:footnote w:id="25">
    <w:p w14:paraId="1F037581" w14:textId="5D5DF44D" w:rsidR="007D5F92" w:rsidRDefault="007D5F92" w:rsidP="00730F5E">
      <w:pPr>
        <w:pStyle w:val="FootnoteText"/>
      </w:pPr>
      <w:r>
        <w:rPr>
          <w:rStyle w:val="FootnoteReference"/>
        </w:rPr>
        <w:footnoteRef/>
      </w:r>
      <w:r>
        <w:t xml:space="preserve"> SPC 2015a, p. 11</w:t>
      </w:r>
    </w:p>
  </w:footnote>
  <w:footnote w:id="26">
    <w:p w14:paraId="4BD17628" w14:textId="1866F4F0" w:rsidR="007D5F92" w:rsidRDefault="007D5F92" w:rsidP="00730F5E">
      <w:pPr>
        <w:pStyle w:val="FootnoteText"/>
      </w:pPr>
      <w:r>
        <w:rPr>
          <w:rStyle w:val="FootnoteReference"/>
        </w:rPr>
        <w:footnoteRef/>
      </w:r>
      <w:r>
        <w:t xml:space="preserve"> Participant notes, Regional Consultation meeting May 2016.</w:t>
      </w:r>
    </w:p>
  </w:footnote>
  <w:footnote w:id="27">
    <w:p w14:paraId="5CAFF328" w14:textId="62D97F20" w:rsidR="007D5F92" w:rsidRDefault="007D5F92" w:rsidP="00730F5E">
      <w:pPr>
        <w:pStyle w:val="FootnoteText"/>
      </w:pPr>
      <w:r>
        <w:rPr>
          <w:rStyle w:val="FootnoteReference"/>
        </w:rPr>
        <w:footnoteRef/>
      </w:r>
      <w:r>
        <w:t xml:space="preserve"> Note that Papua New Guinea qualifications are unassigned. </w:t>
      </w:r>
    </w:p>
  </w:footnote>
  <w:footnote w:id="28">
    <w:p w14:paraId="5CF86E02" w14:textId="437947BC" w:rsidR="007D5F92" w:rsidRDefault="007D5F92" w:rsidP="00730F5E">
      <w:pPr>
        <w:pStyle w:val="FootnoteText"/>
      </w:pPr>
      <w:r>
        <w:rPr>
          <w:rStyle w:val="FootnoteReference"/>
        </w:rPr>
        <w:footnoteRef/>
      </w:r>
      <w:r>
        <w:t xml:space="preserve"> SPC 2015b</w:t>
      </w:r>
    </w:p>
  </w:footnote>
  <w:footnote w:id="29">
    <w:p w14:paraId="1D0077FD" w14:textId="472FA34A" w:rsidR="007D5F92" w:rsidRDefault="007D5F92">
      <w:pPr>
        <w:pStyle w:val="FootnoteText"/>
      </w:pPr>
      <w:r>
        <w:rPr>
          <w:rStyle w:val="FootnoteReference"/>
        </w:rPr>
        <w:footnoteRef/>
      </w:r>
      <w:r>
        <w:t xml:space="preserve"> </w:t>
      </w:r>
      <w:r w:rsidRPr="0011030E">
        <w:t>Duplication of qualifications will continue to increase, facilitated as a direct result of bilateral programs that do not achieve economies of scale through sharing or coordinating the development of qualifications into agreed regional qualifications for use by other Pacific Nations.</w:t>
      </w:r>
      <w:r>
        <w:t xml:space="preserve"> </w:t>
      </w:r>
    </w:p>
  </w:footnote>
  <w:footnote w:id="30">
    <w:p w14:paraId="6E4FDE35" w14:textId="74206A96" w:rsidR="007D5F92" w:rsidRDefault="007D5F92" w:rsidP="00730F5E">
      <w:pPr>
        <w:pStyle w:val="FootnoteText"/>
      </w:pPr>
      <w:r>
        <w:rPr>
          <w:rStyle w:val="FootnoteReference"/>
        </w:rPr>
        <w:footnoteRef/>
      </w:r>
      <w:r>
        <w:t xml:space="preserve"> Solomon Islands is proposing to include short courses (module based programs at less than a qualification) and also skills sets (clusters of competency units as defined in the Australian context) in accreditation processes.  </w:t>
      </w:r>
    </w:p>
  </w:footnote>
  <w:footnote w:id="31">
    <w:p w14:paraId="4D3E146B" w14:textId="52E1952C" w:rsidR="007D5F92" w:rsidRDefault="007D5F92" w:rsidP="00730F5E">
      <w:pPr>
        <w:pStyle w:val="FootnoteText"/>
      </w:pPr>
      <w:r>
        <w:rPr>
          <w:rStyle w:val="FootnoteReference"/>
        </w:rPr>
        <w:footnoteRef/>
      </w:r>
      <w:r>
        <w:t xml:space="preserve"> Refer to PRQS July to December 2013 progress report.</w:t>
      </w:r>
    </w:p>
  </w:footnote>
  <w:footnote w:id="32">
    <w:p w14:paraId="4417E7F0" w14:textId="77777777" w:rsidR="007D5F92" w:rsidRDefault="007D5F92" w:rsidP="00371382">
      <w:pPr>
        <w:pStyle w:val="FootnoteText"/>
      </w:pPr>
      <w:r>
        <w:rPr>
          <w:rStyle w:val="FootnoteReference"/>
        </w:rPr>
        <w:footnoteRef/>
      </w:r>
      <w:r>
        <w:t xml:space="preserve"> </w:t>
      </w:r>
      <w:r>
        <w:rPr>
          <w:lang w:val="en-US"/>
        </w:rPr>
        <w:t>It was decided that b</w:t>
      </w:r>
      <w:r w:rsidRPr="007D1DA0">
        <w:rPr>
          <w:lang w:val="en-US"/>
        </w:rPr>
        <w:t>y the 1</w:t>
      </w:r>
      <w:r w:rsidRPr="007D1DA0">
        <w:rPr>
          <w:vertAlign w:val="superscript"/>
          <w:lang w:val="en-US"/>
        </w:rPr>
        <w:t>st</w:t>
      </w:r>
      <w:r w:rsidRPr="007D1DA0">
        <w:rPr>
          <w:lang w:val="en-US"/>
        </w:rPr>
        <w:t xml:space="preserve"> December 2014, the PRQS database </w:t>
      </w:r>
      <w:r>
        <w:rPr>
          <w:lang w:val="en-US"/>
        </w:rPr>
        <w:t>would</w:t>
      </w:r>
      <w:r w:rsidRPr="007D1DA0">
        <w:rPr>
          <w:lang w:val="en-US"/>
        </w:rPr>
        <w:t xml:space="preserve"> only have three domains</w:t>
      </w:r>
      <w:r>
        <w:rPr>
          <w:lang w:val="en-US"/>
        </w:rPr>
        <w:t>.</w:t>
      </w:r>
    </w:p>
  </w:footnote>
  <w:footnote w:id="33">
    <w:p w14:paraId="393015A7" w14:textId="455CF8E6" w:rsidR="007D5F92" w:rsidRDefault="007D5F92" w:rsidP="00730F5E">
      <w:pPr>
        <w:pStyle w:val="FootnoteText"/>
      </w:pPr>
      <w:r>
        <w:rPr>
          <w:rStyle w:val="FootnoteReference"/>
        </w:rPr>
        <w:footnoteRef/>
      </w:r>
      <w:r>
        <w:t xml:space="preserve"> Regional consultation notes, May 2016, Item 15, p. 1. </w:t>
      </w:r>
    </w:p>
  </w:footnote>
  <w:footnote w:id="34">
    <w:p w14:paraId="3AAC452A" w14:textId="505A0E5C" w:rsidR="007D5F92" w:rsidRDefault="007D5F92" w:rsidP="00730F5E">
      <w:pPr>
        <w:pStyle w:val="FootnoteText"/>
      </w:pPr>
      <w:r>
        <w:rPr>
          <w:rStyle w:val="FootnoteReference"/>
        </w:rPr>
        <w:footnoteRef/>
      </w:r>
      <w:r>
        <w:t xml:space="preserve"> This may be in part due to the support of the NZQA and the development of </w:t>
      </w:r>
      <w:r w:rsidRPr="00D75E9D">
        <w:t>Mātauranga Māori Qualifications and Assessment Standards</w:t>
      </w:r>
      <w:r>
        <w:t xml:space="preserve"> in New Zealand</w:t>
      </w:r>
      <w:r w:rsidRPr="00D75E9D">
        <w:t>, which cater specifically to Māori knowledge, pedagogy and skills, and enables the portability of Māori skills and knowledge within the national education system.</w:t>
      </w:r>
      <w:r>
        <w:t xml:space="preserve">  NZQA 2016, accessed at</w:t>
      </w:r>
      <w:r w:rsidRPr="00D75E9D">
        <w:t xml:space="preserve"> </w:t>
      </w:r>
      <w:hyperlink r:id="rId1" w:history="1">
        <w:r w:rsidRPr="00AF3FC9">
          <w:rPr>
            <w:rStyle w:val="Hyperlink"/>
          </w:rPr>
          <w:t>http://www.nzqa.govt.nz/maori/maori-qualifications/</w:t>
        </w:r>
      </w:hyperlink>
      <w:r>
        <w:t xml:space="preserve"> </w:t>
      </w:r>
    </w:p>
  </w:footnote>
  <w:footnote w:id="35">
    <w:p w14:paraId="36EE2A1C" w14:textId="7D72853C" w:rsidR="007D5F92" w:rsidRDefault="007D5F92" w:rsidP="00730F5E">
      <w:pPr>
        <w:pStyle w:val="FootnoteText"/>
      </w:pPr>
      <w:r>
        <w:rPr>
          <w:rStyle w:val="FootnoteReference"/>
        </w:rPr>
        <w:footnoteRef/>
      </w:r>
      <w:r>
        <w:t xml:space="preserve"> </w:t>
      </w:r>
      <w:r w:rsidRPr="004D4860">
        <w:t>Bateman &amp; Coles 2013</w:t>
      </w:r>
    </w:p>
  </w:footnote>
  <w:footnote w:id="36">
    <w:p w14:paraId="2AB69F40" w14:textId="77777777" w:rsidR="007D5F92" w:rsidRPr="00826B96" w:rsidRDefault="007D5F92" w:rsidP="00730F5E">
      <w:pPr>
        <w:pStyle w:val="FootnoteText"/>
      </w:pPr>
      <w:r>
        <w:rPr>
          <w:rStyle w:val="FootnoteReference"/>
        </w:rPr>
        <w:footnoteRef/>
      </w:r>
      <w:r>
        <w:t xml:space="preserve"> </w:t>
      </w:r>
      <w:r w:rsidRPr="004D4860">
        <w:t>Bateman &amp; Coles 2013</w:t>
      </w:r>
    </w:p>
  </w:footnote>
  <w:footnote w:id="37">
    <w:p w14:paraId="70CAA51E" w14:textId="2DF62043" w:rsidR="007D5F92" w:rsidRDefault="007D5F92" w:rsidP="00730F5E">
      <w:pPr>
        <w:pStyle w:val="FootnoteText"/>
      </w:pPr>
      <w:r w:rsidRPr="00053789">
        <w:rPr>
          <w:rStyle w:val="FootnoteReference"/>
        </w:rPr>
        <w:footnoteRef/>
      </w:r>
      <w:r w:rsidRPr="00053789">
        <w:t xml:space="preserve"> The AQRF criteria are included in Appendix 7.</w:t>
      </w:r>
      <w:r>
        <w:t xml:space="preserve"> </w:t>
      </w:r>
    </w:p>
  </w:footnote>
  <w:footnote w:id="38">
    <w:p w14:paraId="5CE07EB8" w14:textId="5CB82EA6" w:rsidR="007D5F92" w:rsidRDefault="007D5F92" w:rsidP="00730F5E">
      <w:pPr>
        <w:pStyle w:val="FootnoteText"/>
      </w:pPr>
      <w:r>
        <w:rPr>
          <w:rStyle w:val="FootnoteReference"/>
        </w:rPr>
        <w:footnoteRef/>
      </w:r>
      <w:r>
        <w:t xml:space="preserve"> This generally includes a benchmarking activity that involves </w:t>
      </w:r>
      <w:r w:rsidRPr="00741FDC">
        <w:t>comparing and analysing a qualification against an identified standard or benchmark.</w:t>
      </w:r>
      <w:r>
        <w:t xml:space="preserve"> It can include alignment of the qualification to a qualification framework level and/or an assessment to pre-existing relevant qualifications or occupational standards; which in turn determines the type or form of recognition granted. </w:t>
      </w:r>
    </w:p>
  </w:footnote>
  <w:footnote w:id="39">
    <w:p w14:paraId="1B94EF43" w14:textId="7DD2FEC6" w:rsidR="007D5F92" w:rsidRDefault="007D5F92" w:rsidP="00730F5E">
      <w:pPr>
        <w:pStyle w:val="FootnoteText"/>
      </w:pPr>
      <w:r>
        <w:rPr>
          <w:rStyle w:val="FootnoteReference"/>
        </w:rPr>
        <w:footnoteRef/>
      </w:r>
      <w:r>
        <w:t xml:space="preserve"> Bateman &amp; Cole 2015</w:t>
      </w:r>
    </w:p>
  </w:footnote>
  <w:footnote w:id="40">
    <w:p w14:paraId="0DF97344" w14:textId="3B87AD9A" w:rsidR="007D5F92" w:rsidRDefault="007D5F92" w:rsidP="00730F5E">
      <w:pPr>
        <w:pStyle w:val="FootnoteText"/>
      </w:pPr>
      <w:r>
        <w:rPr>
          <w:rStyle w:val="FootnoteReference"/>
        </w:rPr>
        <w:footnoteRef/>
      </w:r>
      <w:r>
        <w:t xml:space="preserve"> Bateman &amp; Cole 2015</w:t>
      </w:r>
    </w:p>
  </w:footnote>
  <w:footnote w:id="41">
    <w:p w14:paraId="0FEEFC34" w14:textId="1CF0DBB0" w:rsidR="007D5F92" w:rsidRDefault="007D5F92">
      <w:pPr>
        <w:pStyle w:val="FootnoteText"/>
      </w:pPr>
      <w:r>
        <w:rPr>
          <w:rStyle w:val="FootnoteReference"/>
        </w:rPr>
        <w:footnoteRef/>
      </w:r>
      <w:r>
        <w:t xml:space="preserve"> A Diploma Supplement does have implications for additional records management requirements. </w:t>
      </w:r>
    </w:p>
  </w:footnote>
  <w:footnote w:id="42">
    <w:p w14:paraId="51AD53CC" w14:textId="431E2B4E" w:rsidR="007D5F92" w:rsidRDefault="007D5F92" w:rsidP="00730F5E">
      <w:pPr>
        <w:pStyle w:val="FootnoteText"/>
      </w:pPr>
      <w:r>
        <w:rPr>
          <w:rStyle w:val="FootnoteReference"/>
        </w:rPr>
        <w:footnoteRef/>
      </w:r>
      <w:r>
        <w:t xml:space="preserve"> James et al 2010. </w:t>
      </w:r>
    </w:p>
  </w:footnote>
  <w:footnote w:id="43">
    <w:p w14:paraId="74387741" w14:textId="0057D034" w:rsidR="007D5F92" w:rsidRDefault="007D5F92" w:rsidP="00730F5E">
      <w:pPr>
        <w:pStyle w:val="FootnoteText"/>
      </w:pPr>
      <w:r>
        <w:rPr>
          <w:rStyle w:val="FootnoteReference"/>
        </w:rPr>
        <w:footnoteRef/>
      </w:r>
      <w:r>
        <w:t xml:space="preserve"> Although a detailed training standard/advice could be included in the model – advisory only. </w:t>
      </w:r>
    </w:p>
  </w:footnote>
  <w:footnote w:id="44">
    <w:p w14:paraId="5B5BCF33" w14:textId="471F8499" w:rsidR="007D5F92" w:rsidRDefault="007D5F92" w:rsidP="00730F5E">
      <w:pPr>
        <w:pStyle w:val="FootnoteText"/>
      </w:pPr>
      <w:r>
        <w:rPr>
          <w:rStyle w:val="FootnoteReference"/>
        </w:rPr>
        <w:footnoteRef/>
      </w:r>
      <w:r>
        <w:t xml:space="preserve"> There has been very little research into the use of International Labour Organisation occupational standards, so it is unclear to what extent they are used by countries for development of national occupational standards and/or qualifications. </w:t>
      </w:r>
    </w:p>
  </w:footnote>
  <w:footnote w:id="45">
    <w:p w14:paraId="5A0A10D6" w14:textId="6AC93036" w:rsidR="007D5F92" w:rsidRDefault="007D5F92" w:rsidP="001F585C">
      <w:pPr>
        <w:spacing w:before="0" w:after="0" w:line="240" w:lineRule="auto"/>
      </w:pPr>
      <w:r>
        <w:rPr>
          <w:rStyle w:val="FootnoteReference"/>
        </w:rPr>
        <w:footnoteRef/>
      </w:r>
      <w:r>
        <w:t xml:space="preserve"> </w:t>
      </w:r>
      <w:r w:rsidRPr="001F585C">
        <w:rPr>
          <w:sz w:val="18"/>
          <w:szCs w:val="20"/>
        </w:rPr>
        <w:t>The Office of the Chief Trade Advisor (OCTA) has identified key labour opportunities in the areas of tourism, construction and related trades as well as aged care. A PAC-TVET project has identified the need for regional project management and trainer qualifications in addition to those qualifications currently being developed (i.e. related to climate change and sustainability qualifications).</w:t>
      </w:r>
      <w:r>
        <w:t xml:space="preserve"> </w:t>
      </w:r>
    </w:p>
  </w:footnote>
  <w:footnote w:id="46">
    <w:p w14:paraId="516ABA79" w14:textId="7C424747" w:rsidR="007D5F92" w:rsidRDefault="007D5F92">
      <w:pPr>
        <w:pStyle w:val="FootnoteText"/>
      </w:pPr>
      <w:r>
        <w:rPr>
          <w:rStyle w:val="FootnoteReference"/>
        </w:rPr>
        <w:footnoteRef/>
      </w:r>
      <w:r>
        <w:t xml:space="preserve"> </w:t>
      </w:r>
      <w:r w:rsidRPr="00127553">
        <w:t>Countries such as Australia, New Zealand and the United Kingdom have such qualification and skills assessment services</w:t>
      </w:r>
      <w:r>
        <w:t>.</w:t>
      </w:r>
    </w:p>
  </w:footnote>
  <w:footnote w:id="47">
    <w:p w14:paraId="0159DEC8" w14:textId="41D0CADC" w:rsidR="007D5F92" w:rsidRDefault="007D5F92">
      <w:pPr>
        <w:pStyle w:val="FootnoteText"/>
      </w:pPr>
      <w:r>
        <w:rPr>
          <w:rStyle w:val="FootnoteReference"/>
        </w:rPr>
        <w:footnoteRef/>
      </w:r>
      <w:r>
        <w:t xml:space="preserve"> </w:t>
      </w:r>
      <w:r w:rsidRPr="00B928AC">
        <w:t>Harmonisation is about bringing into agreement (or harmony) of related quality assurance processes. It does not necessarily mean all processes are the same.</w:t>
      </w:r>
      <w:r>
        <w:t xml:space="preserve"> </w:t>
      </w:r>
    </w:p>
  </w:footnote>
  <w:footnote w:id="48">
    <w:p w14:paraId="7FAC1766" w14:textId="6FB9D8DB" w:rsidR="007D5F92" w:rsidRDefault="007D5F92">
      <w:pPr>
        <w:pStyle w:val="FootnoteText"/>
      </w:pPr>
      <w:r>
        <w:rPr>
          <w:rStyle w:val="FootnoteReference"/>
        </w:rPr>
        <w:footnoteRef/>
      </w:r>
      <w:r>
        <w:t xml:space="preserve"> Participant notes, Regional Consultation meeting May 2016.</w:t>
      </w:r>
    </w:p>
  </w:footnote>
  <w:footnote w:id="49">
    <w:p w14:paraId="76B1D5E3" w14:textId="008D9E35" w:rsidR="007D5F92" w:rsidRDefault="007D5F92" w:rsidP="00B2183C">
      <w:pPr>
        <w:pStyle w:val="FootnoteText"/>
      </w:pPr>
      <w:r>
        <w:rPr>
          <w:rStyle w:val="FootnoteReference"/>
        </w:rPr>
        <w:footnoteRef/>
      </w:r>
      <w:r>
        <w:t xml:space="preserve"> Formerly the South Pacific Organisations Coordinating Committee. </w:t>
      </w:r>
    </w:p>
  </w:footnote>
  <w:footnote w:id="50">
    <w:p w14:paraId="7ECE468D" w14:textId="67F06BA4" w:rsidR="007D5F92" w:rsidRDefault="007D5F92" w:rsidP="00B2183C">
      <w:pPr>
        <w:spacing w:before="0" w:line="240" w:lineRule="auto"/>
      </w:pPr>
      <w:r>
        <w:rPr>
          <w:rStyle w:val="FootnoteReference"/>
        </w:rPr>
        <w:footnoteRef/>
      </w:r>
      <w:r>
        <w:t xml:space="preserve"> </w:t>
      </w:r>
      <w:r w:rsidRPr="00B2183C">
        <w:rPr>
          <w:sz w:val="18"/>
          <w:szCs w:val="20"/>
        </w:rPr>
        <w:t>CROP was established in 1988 ‘with the mandate to improve cooperation, coordination, and collaboration among the various intergovernmental regional organisations to work toward achieving the common goal of sustainable development</w:t>
      </w:r>
      <w:r w:rsidRPr="00B2183C">
        <w:t xml:space="preserve"> </w:t>
      </w:r>
      <w:r w:rsidRPr="00B2183C">
        <w:rPr>
          <w:sz w:val="18"/>
          <w:szCs w:val="18"/>
        </w:rPr>
        <w:t xml:space="preserve">in the Pacific region. CROP comprises the heads of the intergovernmental regional organisations in the Pacific.’ </w:t>
      </w:r>
      <w:hyperlink r:id="rId2" w:history="1">
        <w:r w:rsidRPr="00B2183C">
          <w:rPr>
            <w:rStyle w:val="Hyperlink"/>
            <w:sz w:val="18"/>
            <w:szCs w:val="18"/>
          </w:rPr>
          <w:t>http://www.forumsec.org/pages.cfm/about-us/</w:t>
        </w:r>
      </w:hyperlink>
      <w:r>
        <w:rPr>
          <w:sz w:val="20"/>
        </w:rPr>
        <w:t xml:space="preserve"> </w:t>
      </w:r>
    </w:p>
  </w:footnote>
  <w:footnote w:id="51">
    <w:p w14:paraId="013FFE49" w14:textId="407BAF5B" w:rsidR="007D5F92" w:rsidRDefault="007D5F92" w:rsidP="00730F5E">
      <w:pPr>
        <w:pStyle w:val="FootnoteText"/>
      </w:pPr>
      <w:r>
        <w:rPr>
          <w:rStyle w:val="FootnoteReference"/>
        </w:rPr>
        <w:footnoteRef/>
      </w:r>
      <w:r>
        <w:t xml:space="preserve"> Bateman and Coles 2015</w:t>
      </w:r>
    </w:p>
  </w:footnote>
  <w:footnote w:id="52">
    <w:p w14:paraId="695A5EF7" w14:textId="77777777" w:rsidR="007D5F92" w:rsidRDefault="007D5F92" w:rsidP="00730F5E">
      <w:pPr>
        <w:pStyle w:val="FootnoteText"/>
      </w:pPr>
      <w:r>
        <w:rPr>
          <w:rStyle w:val="FootnoteReference"/>
        </w:rPr>
        <w:footnoteRef/>
      </w:r>
      <w:r>
        <w:t xml:space="preserve"> Bateman and Coles 2015</w:t>
      </w:r>
    </w:p>
  </w:footnote>
  <w:footnote w:id="53">
    <w:p w14:paraId="5F145553" w14:textId="77777777" w:rsidR="007D5F92" w:rsidRPr="002953FF" w:rsidRDefault="007D5F92" w:rsidP="00730F5E">
      <w:pPr>
        <w:pStyle w:val="FootnoteText"/>
        <w:rPr>
          <w:lang w:val="en-US"/>
        </w:rPr>
      </w:pPr>
      <w:r>
        <w:rPr>
          <w:rStyle w:val="FootnoteReference"/>
        </w:rPr>
        <w:footnoteRef/>
      </w:r>
      <w:r>
        <w:t xml:space="preserve"> </w:t>
      </w:r>
      <w:r w:rsidRPr="00FF3E62">
        <w:t>Coles, M. and Oates, T., 2005</w:t>
      </w:r>
      <w:r>
        <w:t xml:space="preserve">. </w:t>
      </w:r>
    </w:p>
  </w:footnote>
  <w:footnote w:id="54">
    <w:p w14:paraId="34D08567" w14:textId="6F1280EC" w:rsidR="007D5F92" w:rsidRDefault="007D5F92">
      <w:pPr>
        <w:pStyle w:val="FootnoteText"/>
      </w:pPr>
      <w:r>
        <w:rPr>
          <w:rStyle w:val="FootnoteReference"/>
        </w:rPr>
        <w:footnoteRef/>
      </w:r>
      <w:r>
        <w:t xml:space="preserve"> Countries can either utilise these regional qualifications and supplement for national accreditation purposes or benchmark their existing qualifications to these regional qualifications. A simple way to promote the recognition of these qualifications is to ensure that the PRQS website includes in detail the occupational and assessment standards, and the qualification. completion rules on the website, and that certificates issued at a national level could include details of the qualifications relationship to the regional qualification.</w:t>
      </w:r>
    </w:p>
  </w:footnote>
  <w:footnote w:id="55">
    <w:p w14:paraId="71DC8ED4" w14:textId="5A3B391F" w:rsidR="007D5F92" w:rsidRDefault="007D5F92" w:rsidP="003F5743">
      <w:pPr>
        <w:pStyle w:val="FootnoteText"/>
      </w:pPr>
      <w:r>
        <w:rPr>
          <w:rStyle w:val="FootnoteReference"/>
        </w:rPr>
        <w:footnoteRef/>
      </w:r>
      <w:r>
        <w:t xml:space="preserve"> Australia and New Zealand representatives have not been considered members of the PRQS. They will need to make their position clear in terms of whether they are members of the future model, or non-voting members, or observers. </w:t>
      </w:r>
    </w:p>
  </w:footnote>
  <w:footnote w:id="56">
    <w:p w14:paraId="25ADF5E7" w14:textId="531983AA" w:rsidR="007D5F92" w:rsidRDefault="007D5F92">
      <w:pPr>
        <w:pStyle w:val="FootnoteText"/>
      </w:pPr>
      <w:r>
        <w:rPr>
          <w:rStyle w:val="FootnoteReference"/>
        </w:rPr>
        <w:footnoteRef/>
      </w:r>
      <w:r>
        <w:t xml:space="preserve"> This is often through a competent QA body enshrined in legislation, but may be a small unit of 1–2 people within a government department.</w:t>
      </w:r>
    </w:p>
  </w:footnote>
  <w:footnote w:id="57">
    <w:p w14:paraId="48441C49" w14:textId="2BA65D6F" w:rsidR="007D5F92" w:rsidRDefault="007D5F92">
      <w:pPr>
        <w:pStyle w:val="FootnoteText"/>
      </w:pPr>
      <w:r>
        <w:rPr>
          <w:rStyle w:val="FootnoteReference"/>
        </w:rPr>
        <w:footnoteRef/>
      </w:r>
      <w:r>
        <w:t xml:space="preserve"> </w:t>
      </w:r>
      <w:r w:rsidRPr="00580280">
        <w:rPr>
          <w:szCs w:val="18"/>
        </w:rPr>
        <w:t>Qualifications system includes all aspects of a country's activity that result in the recognition of learning. These systems include the means of developing and operationalising national or regional policy on qualifications, institutional arrangements, quality assurance processes, assessment and awarding processes, skills recognition and other mechanisms that link education and training to the labour market and civil society. Qualifications systems may be more or less integrated and coherent. Coles &amp; Werquin (2006), p. 22.</w:t>
      </w:r>
    </w:p>
  </w:footnote>
  <w:footnote w:id="58">
    <w:p w14:paraId="25141036" w14:textId="2EA28906" w:rsidR="007D5F92" w:rsidRDefault="007D5F92">
      <w:pPr>
        <w:pStyle w:val="FootnoteText"/>
      </w:pPr>
      <w:r>
        <w:rPr>
          <w:rStyle w:val="FootnoteReference"/>
        </w:rPr>
        <w:footnoteRef/>
      </w:r>
      <w:r>
        <w:t xml:space="preserve"> To develop new regional qualifications would require a higher costing threshold than adapting pre-existing qualifications.</w:t>
      </w:r>
    </w:p>
  </w:footnote>
  <w:footnote w:id="59">
    <w:p w14:paraId="2CC77713" w14:textId="74D7B198" w:rsidR="007D5F92" w:rsidRDefault="007D5F92">
      <w:pPr>
        <w:pStyle w:val="FootnoteText"/>
      </w:pPr>
      <w:r>
        <w:rPr>
          <w:rStyle w:val="FootnoteReference"/>
        </w:rPr>
        <w:footnoteRef/>
      </w:r>
      <w:r>
        <w:t xml:space="preserve"> To be developed</w:t>
      </w:r>
    </w:p>
  </w:footnote>
  <w:footnote w:id="60">
    <w:p w14:paraId="75224DA4" w14:textId="77777777" w:rsidR="007D5F92" w:rsidRDefault="007D5F92" w:rsidP="00C5354A">
      <w:pPr>
        <w:pStyle w:val="FootnoteText"/>
      </w:pPr>
      <w:r>
        <w:rPr>
          <w:rStyle w:val="FootnoteReference"/>
        </w:rPr>
        <w:footnoteRef/>
      </w:r>
      <w:r>
        <w:t xml:space="preserve"> Countries can either utilise these regional qualifications and supplement for national accreditation purposes or benchmark their existing qualifications to these regional qualifications. A simple way to promote the recognition of these qualifications is to ensure that the PRQS website includes in detail the occupational and assessment standards, and the qualification completion rules. In addition, certificates issued at a national level could include details of the qualification’s relationship to the regional qualification.</w:t>
      </w:r>
    </w:p>
  </w:footnote>
  <w:footnote w:id="61">
    <w:p w14:paraId="40098A3C" w14:textId="77777777" w:rsidR="007D5F92" w:rsidRDefault="007D5F92" w:rsidP="00C5354A">
      <w:pPr>
        <w:pStyle w:val="FootnoteText"/>
      </w:pPr>
      <w:r>
        <w:rPr>
          <w:rStyle w:val="FootnoteReference"/>
        </w:rPr>
        <w:footnoteRef/>
      </w:r>
      <w:r>
        <w:t xml:space="preserve"> Australia and New Zealand representatives have not been considered members of the PRQS. They will need to make their position clear in terms of whether they are members of the future model, or non-voting members, or observers. </w:t>
      </w:r>
    </w:p>
  </w:footnote>
  <w:footnote w:id="62">
    <w:p w14:paraId="67E4F0CA" w14:textId="46931B0B" w:rsidR="007D5F92" w:rsidRDefault="007D5F92" w:rsidP="00730F5E">
      <w:pPr>
        <w:pStyle w:val="FootnoteText"/>
      </w:pPr>
      <w:r>
        <w:rPr>
          <w:rStyle w:val="FootnoteReference"/>
        </w:rPr>
        <w:footnoteRef/>
      </w:r>
      <w:r>
        <w:t xml:space="preserve"> Survey responses were received from: Ministry of Education Cook Islands, Fiji Higher Education Commission, South Pacific Association of Theological Schools, Samoa Qualifications Authority, Ministry of Education Palau, </w:t>
      </w:r>
      <w:r w:rsidRPr="0066129A">
        <w:t>Department of Education Niue</w:t>
      </w:r>
      <w:r>
        <w:t xml:space="preserve">. Tokelau representatives made contact with the team leader, but did not respond directly to the survey as they considered that they had had little contact with the PRQS to be able provide useful feedback. </w:t>
      </w:r>
    </w:p>
  </w:footnote>
  <w:footnote w:id="63">
    <w:p w14:paraId="1E949612" w14:textId="77777777" w:rsidR="007D5F92" w:rsidRDefault="007D5F92" w:rsidP="00730F5E">
      <w:pPr>
        <w:pStyle w:val="FootnoteText"/>
      </w:pPr>
      <w:r>
        <w:rPr>
          <w:rStyle w:val="FootnoteReference"/>
        </w:rPr>
        <w:footnoteRef/>
      </w:r>
      <w:r>
        <w:t xml:space="preserve"> SPC 2015a, p. 6. </w:t>
      </w:r>
    </w:p>
  </w:footnote>
  <w:footnote w:id="64">
    <w:p w14:paraId="731689AD" w14:textId="51D17153" w:rsidR="007D5F92" w:rsidRDefault="007D5F92" w:rsidP="00730F5E">
      <w:pPr>
        <w:pStyle w:val="FootnoteText"/>
      </w:pPr>
      <w:r>
        <w:rPr>
          <w:rStyle w:val="FootnoteReference"/>
        </w:rPr>
        <w:footnoteRef/>
      </w:r>
      <w:r>
        <w:t xml:space="preserve"> </w:t>
      </w:r>
      <w:r w:rsidRPr="00292C4D">
        <w:t>SPBEA was originally an autonomous body</w:t>
      </w:r>
      <w:r>
        <w:t>,</w:t>
      </w:r>
      <w:r w:rsidRPr="00292C4D">
        <w:t xml:space="preserve"> which merged into the Secretariat of the Pacific Community (SPC) in 2010.</w:t>
      </w:r>
    </w:p>
  </w:footnote>
  <w:footnote w:id="65">
    <w:p w14:paraId="42AC9E58" w14:textId="796287E7" w:rsidR="007D5F92" w:rsidRDefault="007D5F92" w:rsidP="00730F5E">
      <w:pPr>
        <w:pStyle w:val="FootnoteText"/>
      </w:pPr>
      <w:r>
        <w:rPr>
          <w:rStyle w:val="FootnoteReference"/>
        </w:rPr>
        <w:footnoteRef/>
      </w:r>
      <w:r>
        <w:t xml:space="preserve"> </w:t>
      </w:r>
      <w:r w:rsidRPr="00292C4D">
        <w:t xml:space="preserve">In 2013, the name of SPBEA changed to the Educational Quality and Assessment Programme (EQAP) to reflect </w:t>
      </w:r>
      <w:r w:rsidRPr="00233DBE">
        <w:t>its shift in focus from assessment to a more expanded mandate towards quality in education</w:t>
      </w:r>
      <w:r w:rsidRPr="00292C4D">
        <w:t>. EQAP currently sits as a program of the Director General’s office of SPC.</w:t>
      </w:r>
    </w:p>
  </w:footnote>
  <w:footnote w:id="66">
    <w:p w14:paraId="454DFF10" w14:textId="77777777" w:rsidR="007D5F92" w:rsidRDefault="007D5F92" w:rsidP="00730F5E">
      <w:pPr>
        <w:pStyle w:val="FootnoteText"/>
      </w:pPr>
      <w:r>
        <w:rPr>
          <w:rStyle w:val="FootnoteReference"/>
        </w:rPr>
        <w:footnoteRef/>
      </w:r>
      <w:r>
        <w:t xml:space="preserve"> SPC 2015a </w:t>
      </w:r>
    </w:p>
  </w:footnote>
  <w:footnote w:id="67">
    <w:p w14:paraId="5C3EF070" w14:textId="77777777" w:rsidR="007D5F92" w:rsidRDefault="007D5F92" w:rsidP="00730F5E">
      <w:pPr>
        <w:pStyle w:val="FootnoteText"/>
      </w:pPr>
      <w:r>
        <w:rPr>
          <w:rStyle w:val="FootnoteReference"/>
        </w:rPr>
        <w:footnoteRef/>
      </w:r>
      <w:r>
        <w:t xml:space="preserve"> SPS 2015b </w:t>
      </w:r>
    </w:p>
  </w:footnote>
  <w:footnote w:id="68">
    <w:p w14:paraId="759ADA8A" w14:textId="77777777" w:rsidR="007D5F92" w:rsidRDefault="007D5F92" w:rsidP="00730F5E">
      <w:pPr>
        <w:pStyle w:val="FootnoteText"/>
      </w:pPr>
      <w:r>
        <w:rPr>
          <w:rStyle w:val="FootnoteReference"/>
        </w:rPr>
        <w:footnoteRef/>
      </w:r>
      <w:r>
        <w:t xml:space="preserve"> SPC 2015c </w:t>
      </w:r>
    </w:p>
  </w:footnote>
  <w:footnote w:id="69">
    <w:p w14:paraId="50BEE8E0" w14:textId="77777777" w:rsidR="007D5F92" w:rsidRDefault="007D5F92" w:rsidP="00730F5E">
      <w:pPr>
        <w:pStyle w:val="FootnoteText"/>
      </w:pPr>
      <w:r>
        <w:rPr>
          <w:rStyle w:val="FootnoteReference"/>
        </w:rPr>
        <w:footnoteRef/>
      </w:r>
      <w:r>
        <w:t xml:space="preserve"> Some of these domains have change over time. </w:t>
      </w:r>
    </w:p>
  </w:footnote>
  <w:footnote w:id="70">
    <w:p w14:paraId="5638AD97" w14:textId="77777777" w:rsidR="007D5F92" w:rsidRDefault="007D5F92" w:rsidP="00730F5E">
      <w:pPr>
        <w:pStyle w:val="FootnoteText"/>
      </w:pPr>
      <w:r>
        <w:rPr>
          <w:rStyle w:val="FootnoteReference"/>
        </w:rPr>
        <w:footnoteRef/>
      </w:r>
      <w:r>
        <w:t xml:space="preserve"> SPC 2015a.</w:t>
      </w:r>
    </w:p>
  </w:footnote>
  <w:footnote w:id="71">
    <w:p w14:paraId="3F32334D" w14:textId="77777777" w:rsidR="007D5F92" w:rsidRPr="006541D7" w:rsidRDefault="007D5F92" w:rsidP="00730F5E">
      <w:pPr>
        <w:pStyle w:val="FootnoteText"/>
      </w:pPr>
      <w:r>
        <w:rPr>
          <w:rStyle w:val="FootnoteReference"/>
        </w:rPr>
        <w:footnoteRef/>
      </w:r>
      <w:r>
        <w:t xml:space="preserve"> </w:t>
      </w:r>
      <w:r w:rsidRPr="004B174E">
        <w:t>Commission of European Communities 2005, p. 13.</w:t>
      </w:r>
    </w:p>
  </w:footnote>
  <w:footnote w:id="72">
    <w:p w14:paraId="03E6E592" w14:textId="77777777" w:rsidR="007D5F92" w:rsidRPr="00854C2E" w:rsidRDefault="007D5F92" w:rsidP="00730F5E">
      <w:pPr>
        <w:pStyle w:val="FootnoteText"/>
      </w:pPr>
      <w:r>
        <w:rPr>
          <w:rStyle w:val="FootnoteReference"/>
        </w:rPr>
        <w:footnoteRef/>
      </w:r>
      <w:r>
        <w:t xml:space="preserve"> </w:t>
      </w:r>
      <w:r w:rsidRPr="004B174E">
        <w:t>Coles (2012) personal communication as cited in The ASEAN Qualifications Reference Framework (Bateman &amp; Coles 2014)</w:t>
      </w:r>
    </w:p>
  </w:footnote>
  <w:footnote w:id="73">
    <w:p w14:paraId="4C01C849" w14:textId="77777777" w:rsidR="007D5F92" w:rsidRPr="007E3DDE" w:rsidRDefault="007D5F92" w:rsidP="00730F5E">
      <w:pPr>
        <w:pStyle w:val="FootnoteText"/>
      </w:pPr>
      <w:r>
        <w:rPr>
          <w:rStyle w:val="FootnoteReference"/>
        </w:rPr>
        <w:footnoteRef/>
      </w:r>
      <w:r>
        <w:t xml:space="preserve"> </w:t>
      </w:r>
      <w:r w:rsidRPr="004B174E">
        <w:t>Keevy, Chakroun &amp; Deij (2010), Tuck (2007)</w:t>
      </w:r>
    </w:p>
  </w:footnote>
  <w:footnote w:id="74">
    <w:p w14:paraId="7B6D85D6" w14:textId="77777777" w:rsidR="007D5F92" w:rsidRPr="00A37A39" w:rsidRDefault="007D5F92" w:rsidP="00730F5E">
      <w:pPr>
        <w:pStyle w:val="FootnoteText"/>
      </w:pPr>
      <w:r>
        <w:rPr>
          <w:rStyle w:val="FootnoteReference"/>
        </w:rPr>
        <w:footnoteRef/>
      </w:r>
      <w:r>
        <w:t xml:space="preserve"> </w:t>
      </w:r>
      <w:r w:rsidRPr="004B174E">
        <w:t>EQF (2010)</w:t>
      </w:r>
    </w:p>
  </w:footnote>
  <w:footnote w:id="75">
    <w:p w14:paraId="33B46378" w14:textId="77777777" w:rsidR="007D5F92" w:rsidRDefault="007D5F92" w:rsidP="00730F5E">
      <w:pPr>
        <w:pStyle w:val="FootnoteText"/>
      </w:pPr>
      <w:r>
        <w:rPr>
          <w:rStyle w:val="FootnoteReference"/>
        </w:rPr>
        <w:footnoteRef/>
      </w:r>
      <w:r>
        <w:t xml:space="preserve"> CARICOM </w:t>
      </w:r>
      <w:r w:rsidRPr="0035419C">
        <w:t>is a grouping of twenty countries</w:t>
      </w:r>
      <w:r>
        <w:t xml:space="preserve"> –</w:t>
      </w:r>
      <w:r w:rsidRPr="0035419C">
        <w:t xml:space="preserve"> fifteen Member States and five Associate Members. It is a community that aims for economic integration; foreign policy coordination; human and social development; and security.</w:t>
      </w:r>
    </w:p>
  </w:footnote>
  <w:footnote w:id="76">
    <w:p w14:paraId="2A58CED5" w14:textId="77777777" w:rsidR="007D5F92" w:rsidRDefault="007D5F92" w:rsidP="00730F5E">
      <w:pPr>
        <w:pStyle w:val="FootnoteText"/>
      </w:pPr>
      <w:r>
        <w:rPr>
          <w:rStyle w:val="FootnoteReference"/>
        </w:rPr>
        <w:footnoteRef/>
      </w:r>
      <w:r>
        <w:t xml:space="preserve"> They are national qualifications and accepted as regional if requirements are met. </w:t>
      </w:r>
    </w:p>
  </w:footnote>
  <w:footnote w:id="77">
    <w:p w14:paraId="2C038BDC" w14:textId="77777777" w:rsidR="007D5F92" w:rsidRDefault="007D5F92" w:rsidP="00730F5E">
      <w:pPr>
        <w:pStyle w:val="FootnoteText"/>
      </w:pPr>
      <w:r>
        <w:rPr>
          <w:rStyle w:val="FootnoteReference"/>
        </w:rPr>
        <w:footnoteRef/>
      </w:r>
      <w:r>
        <w:t xml:space="preserve"> Which is often seen as a de facto measure of quality</w:t>
      </w:r>
    </w:p>
  </w:footnote>
  <w:footnote w:id="78">
    <w:p w14:paraId="1F193F88" w14:textId="77777777" w:rsidR="007D5F92" w:rsidRDefault="007D5F92" w:rsidP="00730F5E">
      <w:pPr>
        <w:pStyle w:val="FootnoteText"/>
      </w:pPr>
      <w:r>
        <w:rPr>
          <w:rStyle w:val="FootnoteReference"/>
        </w:rPr>
        <w:footnoteRef/>
      </w:r>
      <w:r>
        <w:t xml:space="preserve"> </w:t>
      </w:r>
      <w:hyperlink r:id="rId3" w:history="1">
        <w:r w:rsidRPr="00F16A5C">
          <w:rPr>
            <w:rStyle w:val="Hyperlink"/>
          </w:rPr>
          <w:t>http://www.collegesinstitutes.ca/wp-content/uploads/2014/05/CARICOM-Qualifications-Framework.pdf</w:t>
        </w:r>
      </w:hyperlink>
      <w:r>
        <w:t xml:space="preserve"> </w:t>
      </w:r>
    </w:p>
  </w:footnote>
  <w:footnote w:id="79">
    <w:p w14:paraId="26A6F842" w14:textId="77777777" w:rsidR="007D5F92" w:rsidRPr="006541D7" w:rsidRDefault="007D5F92" w:rsidP="00730F5E">
      <w:pPr>
        <w:pStyle w:val="FootnoteText"/>
      </w:pPr>
      <w:r>
        <w:rPr>
          <w:rStyle w:val="FootnoteReference"/>
        </w:rPr>
        <w:footnoteRef/>
      </w:r>
      <w:r>
        <w:t xml:space="preserve"> </w:t>
      </w:r>
      <w:r w:rsidRPr="004B174E">
        <w:t xml:space="preserve">Bateman &amp; Coles, ASEAN 2014. ASEAN includes 10 countries. </w:t>
      </w:r>
    </w:p>
  </w:footnote>
  <w:footnote w:id="80">
    <w:p w14:paraId="00DC342F" w14:textId="77777777" w:rsidR="007D5F92" w:rsidRPr="00341924" w:rsidRDefault="007D5F92" w:rsidP="00730F5E">
      <w:pPr>
        <w:pStyle w:val="FootnoteText"/>
      </w:pPr>
      <w:r>
        <w:rPr>
          <w:rStyle w:val="FootnoteReference"/>
        </w:rPr>
        <w:footnoteRef/>
      </w:r>
      <w:r>
        <w:t xml:space="preserve"> </w:t>
      </w:r>
      <w:r w:rsidRPr="00C027E0">
        <w:t>Bateman, Keating, Gillis, Dyson, Burke &amp; Coles 2012</w:t>
      </w:r>
    </w:p>
  </w:footnote>
  <w:footnote w:id="81">
    <w:p w14:paraId="1ACA90DF" w14:textId="77777777" w:rsidR="007D5F92" w:rsidRPr="00264C5B" w:rsidRDefault="007D5F92" w:rsidP="00730F5E">
      <w:pPr>
        <w:pStyle w:val="FootnoteText"/>
        <w:rPr>
          <w:szCs w:val="18"/>
        </w:rPr>
      </w:pPr>
      <w:r w:rsidRPr="00264C5B">
        <w:rPr>
          <w:rStyle w:val="FootnoteReference"/>
          <w:szCs w:val="18"/>
        </w:rPr>
        <w:footnoteRef/>
      </w:r>
      <w:r w:rsidRPr="00264C5B">
        <w:rPr>
          <w:szCs w:val="18"/>
        </w:rPr>
        <w:t xml:space="preserve"> </w:t>
      </w:r>
      <w:hyperlink r:id="rId4" w:history="1">
        <w:r w:rsidRPr="00C027E0">
          <w:rPr>
            <w:rStyle w:val="Hyperlink"/>
            <w:szCs w:val="18"/>
          </w:rPr>
          <w:t>http://europa.eu/legislation_summaries/education_training_youth/lifelong_learning/c11108_en.htm</w:t>
        </w:r>
      </w:hyperlink>
      <w:r w:rsidRPr="00C027E0">
        <w:rPr>
          <w:szCs w:val="18"/>
        </w:rPr>
        <w:t xml:space="preserve"> </w:t>
      </w:r>
    </w:p>
  </w:footnote>
  <w:footnote w:id="82">
    <w:p w14:paraId="68246B6A" w14:textId="77777777" w:rsidR="007D5F92" w:rsidRPr="00264C5B" w:rsidRDefault="007D5F92" w:rsidP="00730F5E">
      <w:pPr>
        <w:pStyle w:val="FootnoteText"/>
      </w:pPr>
      <w:r w:rsidRPr="00264C5B">
        <w:rPr>
          <w:rStyle w:val="FootnoteReference"/>
          <w:szCs w:val="18"/>
        </w:rPr>
        <w:footnoteRef/>
      </w:r>
      <w:r w:rsidRPr="00264C5B">
        <w:t xml:space="preserve"> </w:t>
      </w:r>
      <w:r w:rsidRPr="00074608">
        <w:t xml:space="preserve">European Union 2009, p. 2. </w:t>
      </w:r>
    </w:p>
  </w:footnote>
  <w:footnote w:id="83">
    <w:p w14:paraId="5839B3E2" w14:textId="77777777" w:rsidR="007D5F92" w:rsidRPr="00457C88" w:rsidRDefault="007D5F92" w:rsidP="00730F5E">
      <w:pPr>
        <w:pStyle w:val="FootnoteText"/>
        <w:rPr>
          <w:lang w:val="en-US"/>
        </w:rPr>
      </w:pPr>
      <w:r>
        <w:rPr>
          <w:rStyle w:val="FootnoteReference"/>
        </w:rPr>
        <w:footnoteRef/>
      </w:r>
      <w:r>
        <w:t xml:space="preserve"> </w:t>
      </w:r>
      <w:r w:rsidRPr="00074608">
        <w:t>Refer to</w:t>
      </w:r>
      <w:r w:rsidRPr="00074608">
        <w:rPr>
          <w:lang w:val="en-US"/>
        </w:rPr>
        <w:t xml:space="preserve"> </w:t>
      </w:r>
      <w:hyperlink r:id="rId5" w:history="1">
        <w:r w:rsidRPr="00074608">
          <w:rPr>
            <w:rStyle w:val="Hyperlink"/>
          </w:rPr>
          <w:t>www.eqavet.eu</w:t>
        </w:r>
      </w:hyperlink>
      <w:r>
        <w:rPr>
          <w:szCs w:val="18"/>
        </w:rPr>
        <w:t xml:space="preserve"> </w:t>
      </w:r>
    </w:p>
  </w:footnote>
  <w:footnote w:id="84">
    <w:p w14:paraId="38B6DCB0" w14:textId="77777777" w:rsidR="007D5F92" w:rsidRPr="00544D28" w:rsidRDefault="007D5F92" w:rsidP="000E77FE">
      <w:pPr>
        <w:spacing w:before="0" w:after="0" w:line="240" w:lineRule="auto"/>
        <w:rPr>
          <w:sz w:val="18"/>
          <w:szCs w:val="18"/>
        </w:rPr>
      </w:pPr>
      <w:r>
        <w:rPr>
          <w:rStyle w:val="FootnoteReference"/>
        </w:rPr>
        <w:footnoteRef/>
      </w:r>
      <w:r>
        <w:t xml:space="preserve"> </w:t>
      </w:r>
      <w:r w:rsidRPr="00544D28">
        <w:rPr>
          <w:sz w:val="18"/>
          <w:szCs w:val="18"/>
        </w:rPr>
        <w:t>The 18 member countries of the East Asia Summit (EAS) include the ten Association of Southeast Asian Nations (ASEAN) countries (Brunei Darussalam, Cambodia, Indonesia, Lao PDR, Malaysia, Myanmar, Philippines, Singapore, Thailand and Vietnam), as well as Australia, China, India, Japan, Korea, New Zealand, Russia and the United States.</w:t>
      </w:r>
    </w:p>
  </w:footnote>
  <w:footnote w:id="85">
    <w:p w14:paraId="5A3D21E1" w14:textId="77777777" w:rsidR="007D5F92" w:rsidRPr="00544D28" w:rsidRDefault="007D5F92" w:rsidP="000E77FE">
      <w:pPr>
        <w:pStyle w:val="FootnoteText"/>
      </w:pPr>
      <w:r w:rsidRPr="00544D28">
        <w:rPr>
          <w:rStyle w:val="FootnoteReference"/>
          <w:szCs w:val="18"/>
        </w:rPr>
        <w:footnoteRef/>
      </w:r>
      <w:r w:rsidRPr="00544D28">
        <w:t xml:space="preserve"> Bateman, Keating, Gillis, Dyson, Burke &amp; Coles 2012</w:t>
      </w:r>
    </w:p>
  </w:footnote>
  <w:footnote w:id="86">
    <w:p w14:paraId="76499BB0" w14:textId="77777777" w:rsidR="007D5F92" w:rsidRPr="00544D28" w:rsidRDefault="007D5F92" w:rsidP="000E77FE">
      <w:pPr>
        <w:pStyle w:val="FootnoteText"/>
        <w:rPr>
          <w:szCs w:val="18"/>
        </w:rPr>
      </w:pPr>
      <w:r w:rsidRPr="00544D28">
        <w:rPr>
          <w:rStyle w:val="FootnoteReference"/>
          <w:szCs w:val="18"/>
        </w:rPr>
        <w:footnoteRef/>
      </w:r>
      <w:r w:rsidRPr="00544D28">
        <w:rPr>
          <w:szCs w:val="18"/>
        </w:rPr>
        <w:t xml:space="preserve"> </w:t>
      </w:r>
      <w:hyperlink r:id="rId6" w:history="1">
        <w:r w:rsidRPr="00544D28">
          <w:rPr>
            <w:rStyle w:val="Hyperlink"/>
            <w:szCs w:val="18"/>
          </w:rPr>
          <w:t>http://www.inqaahe.org/admin/files/assets/subsites/1/documenten/1231430767_inqaahe---guidelines-of-good-practice[1].pdf</w:t>
        </w:r>
      </w:hyperlink>
      <w:r w:rsidRPr="00544D28">
        <w:rPr>
          <w:szCs w:val="18"/>
        </w:rPr>
        <w:t xml:space="preserve"> </w:t>
      </w:r>
    </w:p>
  </w:footnote>
  <w:footnote w:id="87">
    <w:p w14:paraId="00E69ECF" w14:textId="77777777" w:rsidR="007D5F92" w:rsidRPr="00264C5B" w:rsidRDefault="007D5F92" w:rsidP="000E77FE">
      <w:pPr>
        <w:pStyle w:val="FootnoteText"/>
        <w:rPr>
          <w:szCs w:val="18"/>
        </w:rPr>
      </w:pPr>
      <w:r w:rsidRPr="00544D28">
        <w:rPr>
          <w:rStyle w:val="FootnoteReference"/>
          <w:szCs w:val="18"/>
        </w:rPr>
        <w:footnoteRef/>
      </w:r>
      <w:r w:rsidRPr="00544D28">
        <w:rPr>
          <w:szCs w:val="18"/>
        </w:rPr>
        <w:t xml:space="preserve"> </w:t>
      </w:r>
      <w:hyperlink r:id="rId7" w:history="1">
        <w:r w:rsidRPr="00544D28">
          <w:rPr>
            <w:rStyle w:val="Hyperlink"/>
            <w:szCs w:val="18"/>
          </w:rPr>
          <w:t>http://www.enqa.eu/files/ENQA%20Bergen%20Report.pdf</w:t>
        </w:r>
      </w:hyperlink>
      <w:r w:rsidRPr="00264C5B">
        <w:rPr>
          <w:szCs w:val="18"/>
        </w:rPr>
        <w:t xml:space="preserve"> </w:t>
      </w:r>
    </w:p>
  </w:footnote>
  <w:footnote w:id="88">
    <w:p w14:paraId="77314357" w14:textId="77777777" w:rsidR="007D5F92" w:rsidRDefault="007D5F92" w:rsidP="00730F5E">
      <w:pPr>
        <w:pStyle w:val="FootnoteText"/>
      </w:pPr>
      <w:r>
        <w:rPr>
          <w:rStyle w:val="FootnoteReference"/>
        </w:rPr>
        <w:footnoteRef/>
      </w:r>
      <w:r>
        <w:t xml:space="preserve"> SPC 2015a</w:t>
      </w:r>
    </w:p>
  </w:footnote>
  <w:footnote w:id="89">
    <w:p w14:paraId="37F15485" w14:textId="77777777" w:rsidR="007D5F92" w:rsidRDefault="007D5F92" w:rsidP="00730F5E">
      <w:pPr>
        <w:pStyle w:val="FootnoteText"/>
      </w:pPr>
      <w:r>
        <w:rPr>
          <w:rStyle w:val="FootnoteReference"/>
        </w:rPr>
        <w:footnoteRef/>
      </w:r>
      <w:r>
        <w:t xml:space="preserve"> Australia and New Zealand are also PIF members.  Associate members includes New Caledonia, French Polynesia</w:t>
      </w:r>
      <w:r w:rsidRPr="00146C6D">
        <w:t xml:space="preserve"> </w:t>
      </w:r>
      <w:r>
        <w:t>and Tokelau. Pacific island observers include: Wallis and Futuna, Guam, American Samoa and Northern Mariana Islands, and, as a special observer, Timor-Leste,</w:t>
      </w:r>
    </w:p>
  </w:footnote>
  <w:footnote w:id="90">
    <w:p w14:paraId="40444C28" w14:textId="77777777" w:rsidR="007D5F92" w:rsidRPr="00544D28" w:rsidRDefault="007D5F92" w:rsidP="00730F5E">
      <w:pPr>
        <w:pStyle w:val="FootnoteText"/>
      </w:pPr>
      <w:r>
        <w:rPr>
          <w:rStyle w:val="FootnoteReference"/>
        </w:rPr>
        <w:footnoteRef/>
      </w:r>
      <w:r>
        <w:t xml:space="preserve"> </w:t>
      </w:r>
      <w:r w:rsidRPr="00544D28">
        <w:t>Plus Australia, France, New Zealand and the United States of America</w:t>
      </w:r>
    </w:p>
  </w:footnote>
  <w:footnote w:id="91">
    <w:p w14:paraId="63AEED09" w14:textId="77777777" w:rsidR="007D5F92" w:rsidRDefault="007D5F92" w:rsidP="00730F5E">
      <w:pPr>
        <w:pStyle w:val="FootnoteText"/>
      </w:pPr>
      <w:r>
        <w:rPr>
          <w:rStyle w:val="FootnoteReference"/>
        </w:rPr>
        <w:footnoteRef/>
      </w:r>
      <w:r>
        <w:t xml:space="preserve"> Cook Islands, Fiji, Kiribati, Marshall Islands, Nauru, Niue, Solomon Islands, Tokelau, Tonga, Tuvalu, Vanuatu and Samoa. The University has campuses in all member countries. </w:t>
      </w:r>
    </w:p>
  </w:footnote>
  <w:footnote w:id="92">
    <w:p w14:paraId="48C85540" w14:textId="77777777" w:rsidR="007D5F92" w:rsidRDefault="007D5F92" w:rsidP="00730F5E">
      <w:pPr>
        <w:pStyle w:val="FootnoteText"/>
      </w:pPr>
      <w:r>
        <w:rPr>
          <w:rStyle w:val="FootnoteReference"/>
        </w:rPr>
        <w:footnoteRef/>
      </w:r>
      <w:r>
        <w:t xml:space="preserve"> Assessment Research Centre, University of Melbourne 2013. </w:t>
      </w:r>
    </w:p>
  </w:footnote>
  <w:footnote w:id="93">
    <w:p w14:paraId="487B5011" w14:textId="77777777" w:rsidR="007D5F92" w:rsidRDefault="007D5F92" w:rsidP="00730F5E">
      <w:pPr>
        <w:pStyle w:val="FootnoteText"/>
      </w:pPr>
      <w:r>
        <w:rPr>
          <w:rStyle w:val="FootnoteReference"/>
        </w:rPr>
        <w:footnoteRef/>
      </w:r>
      <w:r>
        <w:t xml:space="preserve"> Pacific Community 2015</w:t>
      </w:r>
    </w:p>
  </w:footnote>
  <w:footnote w:id="94">
    <w:p w14:paraId="3DBB7185" w14:textId="77777777" w:rsidR="007D5F92" w:rsidRDefault="007D5F92" w:rsidP="00730F5E">
      <w:pPr>
        <w:pStyle w:val="FootnoteText"/>
      </w:pPr>
      <w:r>
        <w:rPr>
          <w:rStyle w:val="FootnoteReference"/>
        </w:rPr>
        <w:footnoteRef/>
      </w:r>
      <w:r>
        <w:t xml:space="preserve"> </w:t>
      </w:r>
      <w:hyperlink r:id="rId8" w:history="1">
        <w:r w:rsidRPr="004C7F7B">
          <w:rPr>
            <w:rStyle w:val="Hyperlink"/>
          </w:rPr>
          <w:t>http://www.mit.gov.fj/index.php/divisions/trade-division/regional-trade-agreement/the-pacific-island-countries-trade-agreement-picta</w:t>
        </w:r>
      </w:hyperlink>
      <w:r>
        <w:t xml:space="preserve"> </w:t>
      </w:r>
    </w:p>
  </w:footnote>
  <w:footnote w:id="95">
    <w:p w14:paraId="5AFED0E2" w14:textId="77777777" w:rsidR="007D5F92" w:rsidRDefault="007D5F92" w:rsidP="00730F5E">
      <w:pPr>
        <w:pStyle w:val="FootnoteText"/>
      </w:pPr>
      <w:r>
        <w:rPr>
          <w:rStyle w:val="FootnoteReference"/>
        </w:rPr>
        <w:footnoteRef/>
      </w:r>
      <w:r>
        <w:t xml:space="preserve"> Note that Australia ratified this Convention in 2014. </w:t>
      </w:r>
    </w:p>
  </w:footnote>
  <w:footnote w:id="96">
    <w:p w14:paraId="1A706055" w14:textId="77777777" w:rsidR="007D5F92" w:rsidRPr="008507CC" w:rsidRDefault="007D5F92" w:rsidP="00053789">
      <w:pPr>
        <w:pStyle w:val="FootnoteText"/>
      </w:pPr>
      <w:r>
        <w:rPr>
          <w:rStyle w:val="FootnoteReference"/>
        </w:rPr>
        <w:footnoteRef/>
      </w:r>
      <w:r>
        <w:t xml:space="preserve"> </w:t>
      </w:r>
      <w:r w:rsidRPr="00992FD5">
        <w:rPr>
          <w:szCs w:val="18"/>
        </w:rPr>
        <w:t>Bateman &amp; Coles, ASEAN 2014</w:t>
      </w:r>
    </w:p>
  </w:footnote>
  <w:footnote w:id="97">
    <w:p w14:paraId="4B675C1C" w14:textId="77777777" w:rsidR="007D5F92" w:rsidRDefault="007D5F92" w:rsidP="00730F5E">
      <w:pPr>
        <w:pStyle w:val="FootnoteText"/>
      </w:pPr>
      <w:r>
        <w:rPr>
          <w:rStyle w:val="FootnoteReference"/>
        </w:rPr>
        <w:footnoteRef/>
      </w:r>
      <w:r>
        <w:t xml:space="preserve"> Regional occupational standards could be identified and developed according to agreed criteria, or be enhanced national occupational standards/qualifications that have met the agreed criteria (this is similar to that model used in CARICOM and approved by CANTA).</w:t>
      </w:r>
    </w:p>
  </w:footnote>
  <w:footnote w:id="98">
    <w:p w14:paraId="57456CEC" w14:textId="77777777" w:rsidR="007D5F92" w:rsidRDefault="007D5F92" w:rsidP="00730F5E">
      <w:pPr>
        <w:pStyle w:val="FootnoteText"/>
      </w:pPr>
      <w:r>
        <w:rPr>
          <w:rStyle w:val="FootnoteReference"/>
        </w:rPr>
        <w:footnoteRef/>
      </w:r>
      <w:r>
        <w:t xml:space="preserve"> Possibly a Pacific Graduate Statement</w:t>
      </w:r>
    </w:p>
  </w:footnote>
  <w:footnote w:id="99">
    <w:p w14:paraId="1D706FE8" w14:textId="77777777" w:rsidR="007D5F92" w:rsidRDefault="007D5F92" w:rsidP="00730F5E">
      <w:pPr>
        <w:pStyle w:val="FootnoteText"/>
      </w:pPr>
      <w:r>
        <w:rPr>
          <w:rStyle w:val="FootnoteReference"/>
        </w:rPr>
        <w:footnoteRef/>
      </w:r>
      <w:r>
        <w:t xml:space="preserve"> This is not an exhaustive list and others may be identified. </w:t>
      </w:r>
    </w:p>
  </w:footnote>
  <w:footnote w:id="100">
    <w:p w14:paraId="7D81C668" w14:textId="6C54929D" w:rsidR="007D5F92" w:rsidRDefault="007D5F92" w:rsidP="00730F5E">
      <w:pPr>
        <w:pStyle w:val="FootnoteText"/>
      </w:pPr>
      <w:r>
        <w:rPr>
          <w:rStyle w:val="FootnoteReference"/>
        </w:rPr>
        <w:footnoteRef/>
      </w:r>
      <w:r>
        <w:t xml:space="preserve"> Refer to both EQF and AQRF for approaches to referencing criteria. Refer to Appendix 7. </w:t>
      </w:r>
    </w:p>
  </w:footnote>
  <w:footnote w:id="101">
    <w:p w14:paraId="76A58DA5" w14:textId="77777777" w:rsidR="007D5F92" w:rsidRDefault="007D5F92" w:rsidP="00730F5E">
      <w:pPr>
        <w:pStyle w:val="FootnoteText"/>
      </w:pPr>
      <w:r>
        <w:rPr>
          <w:rStyle w:val="FootnoteReference"/>
        </w:rPr>
        <w:footnoteRef/>
      </w:r>
      <w:r>
        <w:t xml:space="preserve"> PIF countries include: </w:t>
      </w:r>
      <w:r w:rsidRPr="00146C6D">
        <w:t>Australia, Cook Islands, Federated States of Micronesia, Fiji, Kiribati, Nauru, New Zealand, Niue, Palau, Papua New Guinea, Republic of Marshall Islands, Samoa, Solomon Islands, Tonga, Tuvalu and Vanuatu.</w:t>
      </w:r>
      <w:r>
        <w:t xml:space="preserve"> Australia and New Zealand will need to determine whether they are included as voting or non-voting members. </w:t>
      </w:r>
    </w:p>
  </w:footnote>
  <w:footnote w:id="102">
    <w:p w14:paraId="4837FB89" w14:textId="77777777" w:rsidR="007D5F92" w:rsidRDefault="007D5F92" w:rsidP="00730F5E">
      <w:pPr>
        <w:pStyle w:val="FootnoteText"/>
      </w:pPr>
      <w:r>
        <w:rPr>
          <w:rStyle w:val="FootnoteReference"/>
        </w:rPr>
        <w:footnoteRef/>
      </w:r>
      <w:r>
        <w:t xml:space="preserve"> Tokelau, New Caledonia, French Polynesia, </w:t>
      </w:r>
      <w:r w:rsidRPr="00B96A2F">
        <w:t>Wallis and Futuna, American Samoa, Guam, Northern Marianas Islands and Timor Leste</w:t>
      </w:r>
      <w:r>
        <w:t>.</w:t>
      </w:r>
    </w:p>
  </w:footnote>
  <w:footnote w:id="103">
    <w:p w14:paraId="26B995B5" w14:textId="77777777" w:rsidR="007D5F92" w:rsidRDefault="007D5F92" w:rsidP="00730F5E">
      <w:pPr>
        <w:pStyle w:val="FootnoteText"/>
      </w:pPr>
      <w:r>
        <w:rPr>
          <w:rStyle w:val="FootnoteReference"/>
        </w:rPr>
        <w:footnoteRef/>
      </w:r>
      <w:r>
        <w:t xml:space="preserve"> The practice does not assume accreditation, but approval that the agreed criteria and process has been met at that the outcomes essentially meet the PQAF accreditation standard. </w:t>
      </w:r>
    </w:p>
  </w:footnote>
  <w:footnote w:id="104">
    <w:p w14:paraId="614988E2" w14:textId="79EFD9B5" w:rsidR="007D5F92" w:rsidRDefault="007D5F92">
      <w:pPr>
        <w:pStyle w:val="FootnoteText"/>
      </w:pPr>
      <w:r>
        <w:rPr>
          <w:rStyle w:val="FootnoteReference"/>
        </w:rPr>
        <w:footnoteRef/>
      </w:r>
      <w:r>
        <w:t xml:space="preserve"> This is part of an extended model, and the inclusion of this service does have financial and staffing issues attached. </w:t>
      </w:r>
    </w:p>
  </w:footnote>
  <w:footnote w:id="105">
    <w:p w14:paraId="66826EEA" w14:textId="2E5ED8D2" w:rsidR="007D5F92" w:rsidRDefault="007D5F92">
      <w:pPr>
        <w:pStyle w:val="FootnoteText"/>
      </w:pPr>
      <w:r>
        <w:rPr>
          <w:rStyle w:val="FootnoteReference"/>
        </w:rPr>
        <w:footnoteRef/>
      </w:r>
      <w:r>
        <w:t xml:space="preserve"> </w:t>
      </w:r>
      <w:r w:rsidRPr="00F05DEC">
        <w:t>Cedefop (2011), p. 109, included in ASEAN QRF.</w:t>
      </w:r>
    </w:p>
  </w:footnote>
  <w:footnote w:id="106">
    <w:p w14:paraId="41BDDBDF" w14:textId="5EB8DDDC" w:rsidR="007D5F92" w:rsidRDefault="007D5F92">
      <w:pPr>
        <w:pStyle w:val="FootnoteText"/>
      </w:pPr>
      <w:r>
        <w:rPr>
          <w:rStyle w:val="FootnoteReference"/>
        </w:rPr>
        <w:footnoteRef/>
      </w:r>
      <w:r>
        <w:t xml:space="preserve"> ASEAN 2015</w:t>
      </w:r>
    </w:p>
  </w:footnote>
  <w:footnote w:id="107">
    <w:p w14:paraId="7FB55248" w14:textId="219B5E52" w:rsidR="007D5F92" w:rsidRDefault="007D5F92">
      <w:pPr>
        <w:pStyle w:val="FootnoteText"/>
      </w:pPr>
      <w:r>
        <w:rPr>
          <w:rStyle w:val="FootnoteReference"/>
        </w:rPr>
        <w:footnoteRef/>
      </w:r>
      <w:r>
        <w:t xml:space="preserve"> ASEAN 2015</w:t>
      </w:r>
    </w:p>
  </w:footnote>
  <w:footnote w:id="108">
    <w:p w14:paraId="17CE5179" w14:textId="77777777" w:rsidR="007D5F92" w:rsidRPr="00F05DEC" w:rsidRDefault="007D5F92" w:rsidP="00730F5E">
      <w:pPr>
        <w:pStyle w:val="FootnoteText"/>
      </w:pPr>
      <w:r w:rsidRPr="00F05DEC">
        <w:rPr>
          <w:rStyle w:val="FootnoteReference"/>
        </w:rPr>
        <w:footnoteRef/>
      </w:r>
      <w:r w:rsidRPr="00F05DEC">
        <w:t>Cedefop Glossary (2011) p. 82.</w:t>
      </w:r>
    </w:p>
  </w:footnote>
  <w:footnote w:id="109">
    <w:p w14:paraId="611842A8" w14:textId="77777777" w:rsidR="007D5F92" w:rsidRPr="00F05DEC" w:rsidRDefault="007D5F92" w:rsidP="00730F5E">
      <w:pPr>
        <w:pStyle w:val="FootnoteText"/>
      </w:pPr>
      <w:r w:rsidRPr="00F05DEC">
        <w:rPr>
          <w:rStyle w:val="FootnoteReference"/>
        </w:rPr>
        <w:footnoteRef/>
      </w:r>
      <w:r w:rsidRPr="00F05DEC">
        <w:t xml:space="preserve"> Coles &amp; Werquin (2006), p. 22. </w:t>
      </w:r>
    </w:p>
  </w:footnote>
  <w:footnote w:id="110">
    <w:p w14:paraId="7AC20D9B" w14:textId="77777777" w:rsidR="007D5F92" w:rsidRPr="00A62771" w:rsidRDefault="007D5F92" w:rsidP="00730F5E">
      <w:pPr>
        <w:pStyle w:val="FootnoteText"/>
      </w:pPr>
      <w:r w:rsidRPr="00F05DEC">
        <w:rPr>
          <w:rStyle w:val="FootnoteReference"/>
        </w:rPr>
        <w:footnoteRef/>
      </w:r>
      <w:r w:rsidRPr="00F05DEC">
        <w:t xml:space="preserve"> Adapted from Cedefop Glossary (2011), p. 21</w:t>
      </w:r>
    </w:p>
  </w:footnote>
  <w:footnote w:id="111">
    <w:p w14:paraId="1E449508" w14:textId="51B956DE" w:rsidR="007D5F92" w:rsidRDefault="007D5F92">
      <w:pPr>
        <w:pStyle w:val="FootnoteText"/>
      </w:pPr>
      <w:r>
        <w:rPr>
          <w:rStyle w:val="FootnoteReference"/>
        </w:rPr>
        <w:footnoteRef/>
      </w:r>
      <w:r>
        <w:t xml:space="preserve"> ASEAN 2015</w:t>
      </w:r>
    </w:p>
  </w:footnote>
  <w:footnote w:id="112">
    <w:p w14:paraId="6076A5DC" w14:textId="1917BE0E" w:rsidR="007D5F92" w:rsidRDefault="007D5F92">
      <w:pPr>
        <w:pStyle w:val="FootnoteText"/>
      </w:pPr>
      <w:r>
        <w:rPr>
          <w:rStyle w:val="FootnoteReference"/>
        </w:rPr>
        <w:footnoteRef/>
      </w:r>
      <w:r>
        <w:t xml:space="preserve"> ASEAN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C0CBF" w14:textId="77777777" w:rsidR="006A09F3" w:rsidRDefault="006A0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D68EB" w14:textId="77777777" w:rsidR="007D5F92" w:rsidRDefault="007D5F92">
    <w:pPr>
      <w:pStyle w:val="Header"/>
    </w:pPr>
    <w:r>
      <w:rPr>
        <w:noProof/>
        <w:lang w:eastAsia="en-AU"/>
      </w:rPr>
      <w:drawing>
        <wp:inline distT="0" distB="0" distL="0" distR="0" wp14:anchorId="6781B78A" wp14:editId="766B1673">
          <wp:extent cx="1561005" cy="112776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mp;G.jpg"/>
                  <pic:cNvPicPr/>
                </pic:nvPicPr>
                <pic:blipFill>
                  <a:blip r:embed="rId1">
                    <a:extLst>
                      <a:ext uri="{28A0092B-C50C-407E-A947-70E740481C1C}">
                        <a14:useLocalDpi xmlns:a14="http://schemas.microsoft.com/office/drawing/2010/main" val="0"/>
                      </a:ext>
                    </a:extLst>
                  </a:blip>
                  <a:stretch>
                    <a:fillRect/>
                  </a:stretch>
                </pic:blipFill>
                <pic:spPr>
                  <a:xfrm>
                    <a:off x="0" y="0"/>
                    <a:ext cx="1559861" cy="112693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B1284" w14:textId="77777777" w:rsidR="006A09F3" w:rsidRDefault="006A09F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16957" w14:textId="6D758C5A" w:rsidR="007D5F92" w:rsidRPr="00D50F39" w:rsidRDefault="007D5F92" w:rsidP="00D50F39">
    <w:pPr>
      <w:pStyle w:val="Header"/>
      <w:jc w:val="right"/>
    </w:pPr>
    <w:r>
      <w:rPr>
        <w:i/>
        <w:color w:val="95050F"/>
      </w:rPr>
      <w:t>Strategic Review of Pacific Register of Qualifications and Standards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1A02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4A3A03"/>
    <w:multiLevelType w:val="hybridMultilevel"/>
    <w:tmpl w:val="7062B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0A44A10"/>
    <w:multiLevelType w:val="hybridMultilevel"/>
    <w:tmpl w:val="1BEC89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515D5A"/>
    <w:multiLevelType w:val="singleLevel"/>
    <w:tmpl w:val="99200FA2"/>
    <w:lvl w:ilvl="0">
      <w:start w:val="1"/>
      <w:numFmt w:val="bullet"/>
      <w:pStyle w:val="Bullet4"/>
      <w:lvlText w:val=""/>
      <w:lvlJc w:val="left"/>
      <w:pPr>
        <w:tabs>
          <w:tab w:val="num" w:pos="360"/>
        </w:tabs>
        <w:ind w:left="170" w:hanging="170"/>
      </w:pPr>
      <w:rPr>
        <w:rFonts w:ascii="Symbol" w:hAnsi="Symbol" w:hint="default"/>
      </w:rPr>
    </w:lvl>
  </w:abstractNum>
  <w:abstractNum w:abstractNumId="4" w15:restartNumberingAfterBreak="0">
    <w:nsid w:val="03F03CD2"/>
    <w:multiLevelType w:val="hybridMultilevel"/>
    <w:tmpl w:val="148EDF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4A83ED8"/>
    <w:multiLevelType w:val="hybridMultilevel"/>
    <w:tmpl w:val="5E601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860FBE"/>
    <w:multiLevelType w:val="singleLevel"/>
    <w:tmpl w:val="660A2A10"/>
    <w:lvl w:ilvl="0">
      <w:start w:val="1"/>
      <w:numFmt w:val="bullet"/>
      <w:pStyle w:val="Body1-b"/>
      <w:lvlText w:val=""/>
      <w:lvlJc w:val="left"/>
      <w:pPr>
        <w:tabs>
          <w:tab w:val="num" w:pos="360"/>
        </w:tabs>
        <w:ind w:left="357" w:hanging="357"/>
      </w:pPr>
      <w:rPr>
        <w:rFonts w:ascii="Symbol" w:hAnsi="Symbol" w:hint="default"/>
      </w:rPr>
    </w:lvl>
  </w:abstractNum>
  <w:abstractNum w:abstractNumId="7" w15:restartNumberingAfterBreak="0">
    <w:nsid w:val="06FC1CA5"/>
    <w:multiLevelType w:val="singleLevel"/>
    <w:tmpl w:val="B4628440"/>
    <w:lvl w:ilvl="0">
      <w:start w:val="1"/>
      <w:numFmt w:val="bullet"/>
      <w:pStyle w:val="Recommendbullets"/>
      <w:lvlText w:val=""/>
      <w:lvlJc w:val="left"/>
      <w:pPr>
        <w:tabs>
          <w:tab w:val="num" w:pos="360"/>
        </w:tabs>
        <w:ind w:left="284" w:hanging="284"/>
      </w:pPr>
      <w:rPr>
        <w:rFonts w:ascii="Symbol" w:hAnsi="Symbol" w:hint="default"/>
      </w:rPr>
    </w:lvl>
  </w:abstractNum>
  <w:abstractNum w:abstractNumId="8" w15:restartNumberingAfterBreak="0">
    <w:nsid w:val="0A6B6786"/>
    <w:multiLevelType w:val="hybridMultilevel"/>
    <w:tmpl w:val="89E20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BC64E7B"/>
    <w:multiLevelType w:val="hybridMultilevel"/>
    <w:tmpl w:val="0B82F45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BF61E46"/>
    <w:multiLevelType w:val="hybridMultilevel"/>
    <w:tmpl w:val="ADC88722"/>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C246E0C"/>
    <w:multiLevelType w:val="hybridMultilevel"/>
    <w:tmpl w:val="BED6A284"/>
    <w:lvl w:ilvl="0" w:tplc="45AAF564">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C846098"/>
    <w:multiLevelType w:val="hybridMultilevel"/>
    <w:tmpl w:val="9BE651C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E272B57"/>
    <w:multiLevelType w:val="hybridMultilevel"/>
    <w:tmpl w:val="E9DC25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3945636"/>
    <w:multiLevelType w:val="hybridMultilevel"/>
    <w:tmpl w:val="6172B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4053E38"/>
    <w:multiLevelType w:val="hybridMultilevel"/>
    <w:tmpl w:val="6EBEFD6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42511FA"/>
    <w:multiLevelType w:val="hybridMultilevel"/>
    <w:tmpl w:val="AFA258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50C187D"/>
    <w:multiLevelType w:val="hybridMultilevel"/>
    <w:tmpl w:val="26B44846"/>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AAB4F1A"/>
    <w:multiLevelType w:val="hybridMultilevel"/>
    <w:tmpl w:val="09CAC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CA5218F"/>
    <w:multiLevelType w:val="hybridMultilevel"/>
    <w:tmpl w:val="B0B00496"/>
    <w:lvl w:ilvl="0" w:tplc="B7DACBCA">
      <w:start w:val="1"/>
      <w:numFmt w:val="bullet"/>
      <w:pStyle w:val="1bulletlast"/>
      <w:lvlText w:val=""/>
      <w:lvlJc w:val="left"/>
      <w:pPr>
        <w:ind w:left="360" w:hanging="360"/>
      </w:pPr>
      <w:rPr>
        <w:rFonts w:ascii="Symbol" w:hAnsi="Symbol" w:hint="default"/>
        <w:b w:val="0"/>
        <w:i w:val="0"/>
        <w:sz w:val="12"/>
      </w:rPr>
    </w:lvl>
    <w:lvl w:ilvl="1" w:tplc="0C090003" w:tentative="1">
      <w:start w:val="1"/>
      <w:numFmt w:val="bullet"/>
      <w:lvlText w:val="o"/>
      <w:lvlJc w:val="left"/>
      <w:pPr>
        <w:ind w:left="1797" w:hanging="360"/>
      </w:pPr>
      <w:rPr>
        <w:rFonts w:ascii="Courier New" w:hAnsi="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0" w15:restartNumberingAfterBreak="0">
    <w:nsid w:val="1E70703D"/>
    <w:multiLevelType w:val="hybridMultilevel"/>
    <w:tmpl w:val="D8305E72"/>
    <w:lvl w:ilvl="0" w:tplc="D10E80EC">
      <w:start w:val="1"/>
      <w:numFmt w:val="bullet"/>
      <w:pStyle w:val="1bullet"/>
      <w:lvlText w:val=""/>
      <w:lvlJc w:val="left"/>
      <w:pPr>
        <w:ind w:left="720" w:hanging="360"/>
      </w:pPr>
      <w:rPr>
        <w:rFonts w:ascii="Symbol" w:hAnsi="Symbol" w:hint="default"/>
        <w:b w:val="0"/>
        <w:i w:val="0"/>
        <w:sz w:val="12"/>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A534D1"/>
    <w:multiLevelType w:val="hybridMultilevel"/>
    <w:tmpl w:val="39C82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Symbo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Symbol"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1FE53976"/>
    <w:multiLevelType w:val="hybridMultilevel"/>
    <w:tmpl w:val="2716EEC4"/>
    <w:lvl w:ilvl="0" w:tplc="947CDC74">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0D722EC"/>
    <w:multiLevelType w:val="multilevel"/>
    <w:tmpl w:val="BED0B20E"/>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217A7949"/>
    <w:multiLevelType w:val="hybridMultilevel"/>
    <w:tmpl w:val="7CBA7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8A3809"/>
    <w:multiLevelType w:val="hybridMultilevel"/>
    <w:tmpl w:val="EAF45A5C"/>
    <w:lvl w:ilvl="0" w:tplc="0C090003">
      <w:start w:val="1"/>
      <w:numFmt w:val="bullet"/>
      <w:lvlText w:val="o"/>
      <w:lvlJc w:val="left"/>
      <w:pPr>
        <w:ind w:left="720" w:hanging="360"/>
      </w:pPr>
      <w:rPr>
        <w:rFonts w:ascii="Courier New" w:hAnsi="Courier New" w:cs="Courier New" w:hint="default"/>
      </w:rPr>
    </w:lvl>
    <w:lvl w:ilvl="1" w:tplc="A546EE24">
      <w:numFmt w:val="bullet"/>
      <w:lvlText w:val="-"/>
      <w:lvlJc w:val="left"/>
      <w:pPr>
        <w:ind w:left="1440" w:hanging="360"/>
      </w:pPr>
      <w:rPr>
        <w:rFonts w:ascii="Corbel" w:eastAsiaTheme="minorHAnsi" w:hAnsi="Corbel" w:cstheme="minorBidi" w:hint="default"/>
      </w:rPr>
    </w:lvl>
    <w:lvl w:ilvl="2" w:tplc="0AB882F2">
      <w:start w:val="1"/>
      <w:numFmt w:val="bullet"/>
      <w:lvlText w:val="o"/>
      <w:lvlJc w:val="left"/>
      <w:pPr>
        <w:ind w:left="2160" w:hanging="360"/>
      </w:pPr>
      <w:rPr>
        <w:rFonts w:ascii="Courier New" w:hAnsi="Courier New" w:hint="default"/>
        <w:color w:val="auto"/>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3AD5449"/>
    <w:multiLevelType w:val="multilevel"/>
    <w:tmpl w:val="C69E3608"/>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7" w15:restartNumberingAfterBreak="0">
    <w:nsid w:val="242313E4"/>
    <w:multiLevelType w:val="hybridMultilevel"/>
    <w:tmpl w:val="78748CE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4713228"/>
    <w:multiLevelType w:val="hybridMultilevel"/>
    <w:tmpl w:val="ADFE8746"/>
    <w:lvl w:ilvl="0" w:tplc="DD38510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54913D1"/>
    <w:multiLevelType w:val="hybridMultilevel"/>
    <w:tmpl w:val="CF50AF5E"/>
    <w:lvl w:ilvl="0" w:tplc="947CDC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6C632E2"/>
    <w:multiLevelType w:val="hybridMultilevel"/>
    <w:tmpl w:val="9E54805E"/>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31" w15:restartNumberingAfterBreak="0">
    <w:nsid w:val="29974911"/>
    <w:multiLevelType w:val="hybridMultilevel"/>
    <w:tmpl w:val="895ACC9E"/>
    <w:lvl w:ilvl="0" w:tplc="B6660CD4">
      <w:start w:val="1"/>
      <w:numFmt w:val="bullet"/>
      <w:pStyle w:val="Statsbullet"/>
      <w:lvlText w:val=""/>
      <w:lvlJc w:val="left"/>
      <w:pPr>
        <w:ind w:left="360" w:hanging="360"/>
      </w:pPr>
      <w:rPr>
        <w:rFonts w:ascii="Wingdings" w:hAnsi="Wingdings" w:hint="default"/>
        <w:color w:val="EC008C"/>
      </w:rPr>
    </w:lvl>
    <w:lvl w:ilvl="1" w:tplc="C06A4DC4">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9DD32A6"/>
    <w:multiLevelType w:val="hybridMultilevel"/>
    <w:tmpl w:val="9844F0B2"/>
    <w:lvl w:ilvl="0" w:tplc="947CDC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D8163DB"/>
    <w:multiLevelType w:val="hybridMultilevel"/>
    <w:tmpl w:val="1A42DD04"/>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DC924B8"/>
    <w:multiLevelType w:val="hybridMultilevel"/>
    <w:tmpl w:val="60BA5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0514A36"/>
    <w:multiLevelType w:val="hybridMultilevel"/>
    <w:tmpl w:val="62EA1AB6"/>
    <w:lvl w:ilvl="0" w:tplc="0C090003">
      <w:start w:val="1"/>
      <w:numFmt w:val="bullet"/>
      <w:lvlText w:val="o"/>
      <w:lvlJc w:val="left"/>
      <w:pPr>
        <w:ind w:left="2160" w:hanging="360"/>
      </w:pPr>
      <w:rPr>
        <w:rFonts w:ascii="Courier New" w:hAnsi="Courier New" w:cs="Courier New" w:hint="default"/>
      </w:rPr>
    </w:lvl>
    <w:lvl w:ilvl="1" w:tplc="0C090003">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6" w15:restartNumberingAfterBreak="0">
    <w:nsid w:val="31D20B75"/>
    <w:multiLevelType w:val="hybridMultilevel"/>
    <w:tmpl w:val="837CC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A686086"/>
    <w:multiLevelType w:val="hybridMultilevel"/>
    <w:tmpl w:val="82EC34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Symbo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Symbol"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3ED52F9A"/>
    <w:multiLevelType w:val="hybridMultilevel"/>
    <w:tmpl w:val="D330927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3F2C4D83"/>
    <w:multiLevelType w:val="hybridMultilevel"/>
    <w:tmpl w:val="F4343966"/>
    <w:lvl w:ilvl="0" w:tplc="0DA869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00F2F6F"/>
    <w:multiLevelType w:val="hybridMultilevel"/>
    <w:tmpl w:val="FFE0DCB4"/>
    <w:lvl w:ilvl="0" w:tplc="0E5E80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004A59"/>
    <w:multiLevelType w:val="hybridMultilevel"/>
    <w:tmpl w:val="DD1C3A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4311243C"/>
    <w:multiLevelType w:val="hybridMultilevel"/>
    <w:tmpl w:val="B0543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34E59ED"/>
    <w:multiLevelType w:val="hybridMultilevel"/>
    <w:tmpl w:val="620246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42A31DE"/>
    <w:multiLevelType w:val="hybridMultilevel"/>
    <w:tmpl w:val="84C64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45005DE8"/>
    <w:multiLevelType w:val="hybridMultilevel"/>
    <w:tmpl w:val="496AF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5F922C9"/>
    <w:multiLevelType w:val="hybridMultilevel"/>
    <w:tmpl w:val="4440A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6363DD3"/>
    <w:multiLevelType w:val="hybridMultilevel"/>
    <w:tmpl w:val="EFE01390"/>
    <w:lvl w:ilvl="0" w:tplc="947CDC7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4A09039D"/>
    <w:multiLevelType w:val="hybridMultilevel"/>
    <w:tmpl w:val="CDAE0AEE"/>
    <w:lvl w:ilvl="0" w:tplc="0C090001">
      <w:start w:val="1"/>
      <w:numFmt w:val="bullet"/>
      <w:lvlText w:val=""/>
      <w:lvlJc w:val="left"/>
      <w:pPr>
        <w:ind w:left="1080"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CDA852D0">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9" w15:restartNumberingAfterBreak="0">
    <w:nsid w:val="4A3D5310"/>
    <w:multiLevelType w:val="hybridMultilevel"/>
    <w:tmpl w:val="A5F40FA6"/>
    <w:lvl w:ilvl="0" w:tplc="0E5E80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B9C5413"/>
    <w:multiLevelType w:val="hybridMultilevel"/>
    <w:tmpl w:val="5AB2B1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D8814B9"/>
    <w:multiLevelType w:val="hybridMultilevel"/>
    <w:tmpl w:val="5F12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E7C2074"/>
    <w:multiLevelType w:val="hybridMultilevel"/>
    <w:tmpl w:val="0550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E81625D"/>
    <w:multiLevelType w:val="hybridMultilevel"/>
    <w:tmpl w:val="B8D45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0993CB9"/>
    <w:multiLevelType w:val="hybridMultilevel"/>
    <w:tmpl w:val="B052CFEE"/>
    <w:lvl w:ilvl="0" w:tplc="0E5E80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3A7055F"/>
    <w:multiLevelType w:val="hybridMultilevel"/>
    <w:tmpl w:val="691A9A3C"/>
    <w:lvl w:ilvl="0" w:tplc="88021C8C">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5F1518E"/>
    <w:multiLevelType w:val="hybridMultilevel"/>
    <w:tmpl w:val="0C880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68E5C0C"/>
    <w:multiLevelType w:val="hybridMultilevel"/>
    <w:tmpl w:val="23E0CC1A"/>
    <w:lvl w:ilvl="0" w:tplc="947CDC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05348"/>
    <w:multiLevelType w:val="hybridMultilevel"/>
    <w:tmpl w:val="858E3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59903AC4"/>
    <w:multiLevelType w:val="hybridMultilevel"/>
    <w:tmpl w:val="5ACA4EDC"/>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CDA852D0">
      <w:start w:val="1"/>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C8E03AC"/>
    <w:multiLevelType w:val="hybridMultilevel"/>
    <w:tmpl w:val="FF68C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DA96D91"/>
    <w:multiLevelType w:val="hybridMultilevel"/>
    <w:tmpl w:val="B14065C0"/>
    <w:lvl w:ilvl="0" w:tplc="05A8704C">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Arial"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60421734"/>
    <w:multiLevelType w:val="hybridMultilevel"/>
    <w:tmpl w:val="AFD2AE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185748D"/>
    <w:multiLevelType w:val="hybridMultilevel"/>
    <w:tmpl w:val="235E4B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62DD77C0"/>
    <w:multiLevelType w:val="hybridMultilevel"/>
    <w:tmpl w:val="81A4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648C2259"/>
    <w:multiLevelType w:val="hybridMultilevel"/>
    <w:tmpl w:val="DA48757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653905DC"/>
    <w:multiLevelType w:val="hybridMultilevel"/>
    <w:tmpl w:val="D6867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70F6B8F"/>
    <w:multiLevelType w:val="hybridMultilevel"/>
    <w:tmpl w:val="4626A8F4"/>
    <w:lvl w:ilvl="0" w:tplc="B6381B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68525E2F"/>
    <w:multiLevelType w:val="hybridMultilevel"/>
    <w:tmpl w:val="E1CA937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6B851A94"/>
    <w:multiLevelType w:val="hybridMultilevel"/>
    <w:tmpl w:val="9C0CE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E4F2175"/>
    <w:multiLevelType w:val="hybridMultilevel"/>
    <w:tmpl w:val="F1C6B9B8"/>
    <w:lvl w:ilvl="0" w:tplc="0C09000F">
      <w:start w:val="1"/>
      <w:numFmt w:val="decimal"/>
      <w:lvlText w:val="%1."/>
      <w:lvlJc w:val="left"/>
      <w:pPr>
        <w:ind w:left="720" w:hanging="360"/>
      </w:pPr>
    </w:lvl>
    <w:lvl w:ilvl="1" w:tplc="571AED96">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70776755"/>
    <w:multiLevelType w:val="hybridMultilevel"/>
    <w:tmpl w:val="C63C7162"/>
    <w:lvl w:ilvl="0" w:tplc="DD38510A">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70A07FB0"/>
    <w:multiLevelType w:val="multilevel"/>
    <w:tmpl w:val="C69E3608"/>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73" w15:restartNumberingAfterBreak="0">
    <w:nsid w:val="71ED724C"/>
    <w:multiLevelType w:val="hybridMultilevel"/>
    <w:tmpl w:val="5E44E48E"/>
    <w:lvl w:ilvl="0" w:tplc="0C09000F">
      <w:start w:val="1"/>
      <w:numFmt w:val="decimal"/>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15:restartNumberingAfterBreak="0">
    <w:nsid w:val="743156A1"/>
    <w:multiLevelType w:val="hybridMultilevel"/>
    <w:tmpl w:val="4AFC2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5700E2F"/>
    <w:multiLevelType w:val="hybridMultilevel"/>
    <w:tmpl w:val="BAAAC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BAC47F0"/>
    <w:multiLevelType w:val="hybridMultilevel"/>
    <w:tmpl w:val="235E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C616B37"/>
    <w:multiLevelType w:val="hybridMultilevel"/>
    <w:tmpl w:val="A0EC0802"/>
    <w:lvl w:ilvl="0" w:tplc="704A490A">
      <w:start w:val="1"/>
      <w:numFmt w:val="decimal"/>
      <w:pStyle w:val="ListParagraph"/>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C897923"/>
    <w:multiLevelType w:val="hybridMultilevel"/>
    <w:tmpl w:val="24343D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CDA10D7"/>
    <w:multiLevelType w:val="hybridMultilevel"/>
    <w:tmpl w:val="16CE56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F13516E"/>
    <w:multiLevelType w:val="hybridMultilevel"/>
    <w:tmpl w:val="79505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7F40013F"/>
    <w:multiLevelType w:val="hybridMultilevel"/>
    <w:tmpl w:val="EFCCE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1"/>
  </w:num>
  <w:num w:numId="2">
    <w:abstractNumId w:val="6"/>
  </w:num>
  <w:num w:numId="3">
    <w:abstractNumId w:val="20"/>
  </w:num>
  <w:num w:numId="4">
    <w:abstractNumId w:val="19"/>
  </w:num>
  <w:num w:numId="5">
    <w:abstractNumId w:val="0"/>
  </w:num>
  <w:num w:numId="6">
    <w:abstractNumId w:val="3"/>
  </w:num>
  <w:num w:numId="7">
    <w:abstractNumId w:val="7"/>
  </w:num>
  <w:num w:numId="8">
    <w:abstractNumId w:val="50"/>
  </w:num>
  <w:num w:numId="9">
    <w:abstractNumId w:val="78"/>
  </w:num>
  <w:num w:numId="10">
    <w:abstractNumId w:val="62"/>
  </w:num>
  <w:num w:numId="11">
    <w:abstractNumId w:val="80"/>
  </w:num>
  <w:num w:numId="12">
    <w:abstractNumId w:val="52"/>
  </w:num>
  <w:num w:numId="13">
    <w:abstractNumId w:val="60"/>
  </w:num>
  <w:num w:numId="14">
    <w:abstractNumId w:val="34"/>
  </w:num>
  <w:num w:numId="15">
    <w:abstractNumId w:val="81"/>
  </w:num>
  <w:num w:numId="16">
    <w:abstractNumId w:val="75"/>
  </w:num>
  <w:num w:numId="17">
    <w:abstractNumId w:val="44"/>
  </w:num>
  <w:num w:numId="18">
    <w:abstractNumId w:val="14"/>
  </w:num>
  <w:num w:numId="19">
    <w:abstractNumId w:val="46"/>
  </w:num>
  <w:num w:numId="20">
    <w:abstractNumId w:val="30"/>
  </w:num>
  <w:num w:numId="21">
    <w:abstractNumId w:val="64"/>
  </w:num>
  <w:num w:numId="22">
    <w:abstractNumId w:val="36"/>
  </w:num>
  <w:num w:numId="23">
    <w:abstractNumId w:val="12"/>
  </w:num>
  <w:num w:numId="24">
    <w:abstractNumId w:val="66"/>
  </w:num>
  <w:num w:numId="25">
    <w:abstractNumId w:val="21"/>
  </w:num>
  <w:num w:numId="26">
    <w:abstractNumId w:val="18"/>
  </w:num>
  <w:num w:numId="27">
    <w:abstractNumId w:val="42"/>
  </w:num>
  <w:num w:numId="28">
    <w:abstractNumId w:val="74"/>
  </w:num>
  <w:num w:numId="29">
    <w:abstractNumId w:val="58"/>
  </w:num>
  <w:num w:numId="30">
    <w:abstractNumId w:val="24"/>
  </w:num>
  <w:num w:numId="31">
    <w:abstractNumId w:val="10"/>
  </w:num>
  <w:num w:numId="32">
    <w:abstractNumId w:val="48"/>
  </w:num>
  <w:num w:numId="33">
    <w:abstractNumId w:val="70"/>
  </w:num>
  <w:num w:numId="34">
    <w:abstractNumId w:val="69"/>
  </w:num>
  <w:num w:numId="35">
    <w:abstractNumId w:val="43"/>
  </w:num>
  <w:num w:numId="36">
    <w:abstractNumId w:val="23"/>
  </w:num>
  <w:num w:numId="37">
    <w:abstractNumId w:val="2"/>
  </w:num>
  <w:num w:numId="38">
    <w:abstractNumId w:val="17"/>
  </w:num>
  <w:num w:numId="39">
    <w:abstractNumId w:val="4"/>
  </w:num>
  <w:num w:numId="40">
    <w:abstractNumId w:val="51"/>
  </w:num>
  <w:num w:numId="41">
    <w:abstractNumId w:val="73"/>
  </w:num>
  <w:num w:numId="42">
    <w:abstractNumId w:val="61"/>
  </w:num>
  <w:num w:numId="43">
    <w:abstractNumId w:val="68"/>
  </w:num>
  <w:num w:numId="44">
    <w:abstractNumId w:val="1"/>
  </w:num>
  <w:num w:numId="45">
    <w:abstractNumId w:val="67"/>
  </w:num>
  <w:num w:numId="46">
    <w:abstractNumId w:val="76"/>
  </w:num>
  <w:num w:numId="47">
    <w:abstractNumId w:val="63"/>
  </w:num>
  <w:num w:numId="48">
    <w:abstractNumId w:val="56"/>
  </w:num>
  <w:num w:numId="49">
    <w:abstractNumId w:val="5"/>
  </w:num>
  <w:num w:numId="50">
    <w:abstractNumId w:val="65"/>
  </w:num>
  <w:num w:numId="51">
    <w:abstractNumId w:val="55"/>
  </w:num>
  <w:num w:numId="52">
    <w:abstractNumId w:val="8"/>
  </w:num>
  <w:num w:numId="53">
    <w:abstractNumId w:val="35"/>
  </w:num>
  <w:num w:numId="54">
    <w:abstractNumId w:val="11"/>
    <w:lvlOverride w:ilvl="0">
      <w:startOverride w:val="1"/>
    </w:lvlOverride>
  </w:num>
  <w:num w:numId="55">
    <w:abstractNumId w:val="25"/>
  </w:num>
  <w:num w:numId="56">
    <w:abstractNumId w:val="72"/>
  </w:num>
  <w:num w:numId="57">
    <w:abstractNumId w:val="26"/>
  </w:num>
  <w:num w:numId="58">
    <w:abstractNumId w:val="59"/>
  </w:num>
  <w:num w:numId="59">
    <w:abstractNumId w:val="9"/>
  </w:num>
  <w:num w:numId="60">
    <w:abstractNumId w:val="38"/>
  </w:num>
  <w:num w:numId="61">
    <w:abstractNumId w:val="27"/>
  </w:num>
  <w:num w:numId="62">
    <w:abstractNumId w:val="40"/>
  </w:num>
  <w:num w:numId="63">
    <w:abstractNumId w:val="49"/>
  </w:num>
  <w:num w:numId="64">
    <w:abstractNumId w:val="40"/>
    <w:lvlOverride w:ilvl="0">
      <w:startOverride w:val="1"/>
    </w:lvlOverride>
  </w:num>
  <w:num w:numId="65">
    <w:abstractNumId w:val="54"/>
  </w:num>
  <w:num w:numId="66">
    <w:abstractNumId w:val="45"/>
  </w:num>
  <w:num w:numId="67">
    <w:abstractNumId w:val="71"/>
  </w:num>
  <w:num w:numId="68">
    <w:abstractNumId w:val="28"/>
  </w:num>
  <w:num w:numId="69">
    <w:abstractNumId w:val="41"/>
  </w:num>
  <w:num w:numId="70">
    <w:abstractNumId w:val="16"/>
  </w:num>
  <w:num w:numId="71">
    <w:abstractNumId w:val="13"/>
  </w:num>
  <w:num w:numId="72">
    <w:abstractNumId w:val="53"/>
  </w:num>
  <w:num w:numId="73">
    <w:abstractNumId w:val="39"/>
  </w:num>
  <w:num w:numId="74">
    <w:abstractNumId w:val="39"/>
    <w:lvlOverride w:ilvl="0">
      <w:startOverride w:val="1"/>
    </w:lvlOverride>
  </w:num>
  <w:num w:numId="75">
    <w:abstractNumId w:val="79"/>
  </w:num>
  <w:num w:numId="76">
    <w:abstractNumId w:val="57"/>
  </w:num>
  <w:num w:numId="77">
    <w:abstractNumId w:val="29"/>
  </w:num>
  <w:num w:numId="78">
    <w:abstractNumId w:val="47"/>
  </w:num>
  <w:num w:numId="79">
    <w:abstractNumId w:val="32"/>
  </w:num>
  <w:num w:numId="80">
    <w:abstractNumId w:val="22"/>
  </w:num>
  <w:num w:numId="81">
    <w:abstractNumId w:val="37"/>
  </w:num>
  <w:num w:numId="82">
    <w:abstractNumId w:val="77"/>
  </w:num>
  <w:num w:numId="83">
    <w:abstractNumId w:val="77"/>
  </w:num>
  <w:num w:numId="84">
    <w:abstractNumId w:val="77"/>
  </w:num>
  <w:num w:numId="85">
    <w:abstractNumId w:val="77"/>
    <w:lvlOverride w:ilvl="0">
      <w:startOverride w:val="1"/>
    </w:lvlOverride>
  </w:num>
  <w:num w:numId="86">
    <w:abstractNumId w:val="77"/>
  </w:num>
  <w:num w:numId="87">
    <w:abstractNumId w:val="77"/>
    <w:lvlOverride w:ilvl="0">
      <w:startOverride w:val="1"/>
    </w:lvlOverride>
  </w:num>
  <w:num w:numId="88">
    <w:abstractNumId w:val="33"/>
  </w:num>
  <w:num w:numId="89">
    <w:abstractNumId w:val="1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0"/>
  <w:activeWritingStyle w:appName="MSWord" w:lang="en-GB" w:vendorID="64" w:dllVersion="131078" w:nlCheck="1" w:checkStyle="0"/>
  <w:activeWritingStyle w:appName="MSWord" w:lang="en-US" w:vendorID="64" w:dllVersion="131078" w:nlCheck="1" w:checkStyle="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8F3"/>
    <w:rsid w:val="000001B0"/>
    <w:rsid w:val="00000823"/>
    <w:rsid w:val="00000C63"/>
    <w:rsid w:val="000014C2"/>
    <w:rsid w:val="00002065"/>
    <w:rsid w:val="0000276F"/>
    <w:rsid w:val="000027F5"/>
    <w:rsid w:val="00002870"/>
    <w:rsid w:val="00003E94"/>
    <w:rsid w:val="000044CF"/>
    <w:rsid w:val="0000589B"/>
    <w:rsid w:val="0000660C"/>
    <w:rsid w:val="00006D72"/>
    <w:rsid w:val="00006DC6"/>
    <w:rsid w:val="000075EA"/>
    <w:rsid w:val="00007F47"/>
    <w:rsid w:val="00010641"/>
    <w:rsid w:val="00010FFC"/>
    <w:rsid w:val="00011853"/>
    <w:rsid w:val="0001264B"/>
    <w:rsid w:val="00012681"/>
    <w:rsid w:val="00012D0E"/>
    <w:rsid w:val="000135AF"/>
    <w:rsid w:val="00013F60"/>
    <w:rsid w:val="00014321"/>
    <w:rsid w:val="00014A0E"/>
    <w:rsid w:val="00015032"/>
    <w:rsid w:val="00015401"/>
    <w:rsid w:val="000154A2"/>
    <w:rsid w:val="00016331"/>
    <w:rsid w:val="00016491"/>
    <w:rsid w:val="0001707B"/>
    <w:rsid w:val="000174B0"/>
    <w:rsid w:val="0002015B"/>
    <w:rsid w:val="0002047B"/>
    <w:rsid w:val="00020C12"/>
    <w:rsid w:val="00020C42"/>
    <w:rsid w:val="00021D0C"/>
    <w:rsid w:val="00021DE8"/>
    <w:rsid w:val="00021E2F"/>
    <w:rsid w:val="0002250B"/>
    <w:rsid w:val="000228A6"/>
    <w:rsid w:val="00023558"/>
    <w:rsid w:val="000236CC"/>
    <w:rsid w:val="0002486D"/>
    <w:rsid w:val="0002588B"/>
    <w:rsid w:val="0002621E"/>
    <w:rsid w:val="00026277"/>
    <w:rsid w:val="00026A23"/>
    <w:rsid w:val="0003063D"/>
    <w:rsid w:val="000309C9"/>
    <w:rsid w:val="000315F9"/>
    <w:rsid w:val="000319B9"/>
    <w:rsid w:val="00031C02"/>
    <w:rsid w:val="00031EAB"/>
    <w:rsid w:val="00032055"/>
    <w:rsid w:val="0003268E"/>
    <w:rsid w:val="00032D9C"/>
    <w:rsid w:val="00032E20"/>
    <w:rsid w:val="00032FC2"/>
    <w:rsid w:val="0003354C"/>
    <w:rsid w:val="00033F48"/>
    <w:rsid w:val="00034ADB"/>
    <w:rsid w:val="00034BF8"/>
    <w:rsid w:val="00035363"/>
    <w:rsid w:val="000359D4"/>
    <w:rsid w:val="00035DA6"/>
    <w:rsid w:val="000361DD"/>
    <w:rsid w:val="0003625B"/>
    <w:rsid w:val="00036381"/>
    <w:rsid w:val="00037221"/>
    <w:rsid w:val="00037981"/>
    <w:rsid w:val="00037E8B"/>
    <w:rsid w:val="00037ED2"/>
    <w:rsid w:val="00040A7A"/>
    <w:rsid w:val="00040B43"/>
    <w:rsid w:val="0004107D"/>
    <w:rsid w:val="00041A16"/>
    <w:rsid w:val="000421E4"/>
    <w:rsid w:val="00042C93"/>
    <w:rsid w:val="000430F3"/>
    <w:rsid w:val="000433CE"/>
    <w:rsid w:val="00044D37"/>
    <w:rsid w:val="00044E56"/>
    <w:rsid w:val="0004526E"/>
    <w:rsid w:val="00046DF8"/>
    <w:rsid w:val="00047463"/>
    <w:rsid w:val="00047CE7"/>
    <w:rsid w:val="00047F57"/>
    <w:rsid w:val="00050D5B"/>
    <w:rsid w:val="00051373"/>
    <w:rsid w:val="000519FA"/>
    <w:rsid w:val="000527E4"/>
    <w:rsid w:val="00052DAB"/>
    <w:rsid w:val="00052EC2"/>
    <w:rsid w:val="000533B5"/>
    <w:rsid w:val="000534EB"/>
    <w:rsid w:val="00053789"/>
    <w:rsid w:val="0005394F"/>
    <w:rsid w:val="00054078"/>
    <w:rsid w:val="000541E1"/>
    <w:rsid w:val="000544DE"/>
    <w:rsid w:val="00054565"/>
    <w:rsid w:val="0005458E"/>
    <w:rsid w:val="000549F0"/>
    <w:rsid w:val="00054EE1"/>
    <w:rsid w:val="00055167"/>
    <w:rsid w:val="0005533F"/>
    <w:rsid w:val="00055916"/>
    <w:rsid w:val="000578F6"/>
    <w:rsid w:val="000603AA"/>
    <w:rsid w:val="00060FA0"/>
    <w:rsid w:val="00061088"/>
    <w:rsid w:val="0006197C"/>
    <w:rsid w:val="00061A95"/>
    <w:rsid w:val="00061D25"/>
    <w:rsid w:val="00061E2C"/>
    <w:rsid w:val="000621E3"/>
    <w:rsid w:val="00062652"/>
    <w:rsid w:val="00062796"/>
    <w:rsid w:val="00062815"/>
    <w:rsid w:val="00062945"/>
    <w:rsid w:val="000629E8"/>
    <w:rsid w:val="00063A54"/>
    <w:rsid w:val="00063CE6"/>
    <w:rsid w:val="00063FB9"/>
    <w:rsid w:val="00064428"/>
    <w:rsid w:val="00064D39"/>
    <w:rsid w:val="0006550A"/>
    <w:rsid w:val="000667B5"/>
    <w:rsid w:val="00067879"/>
    <w:rsid w:val="000705E7"/>
    <w:rsid w:val="00070752"/>
    <w:rsid w:val="0007089C"/>
    <w:rsid w:val="00070B59"/>
    <w:rsid w:val="0007113F"/>
    <w:rsid w:val="00071201"/>
    <w:rsid w:val="0007173A"/>
    <w:rsid w:val="000722E9"/>
    <w:rsid w:val="00072354"/>
    <w:rsid w:val="000724EC"/>
    <w:rsid w:val="00072969"/>
    <w:rsid w:val="00072DE2"/>
    <w:rsid w:val="000730E3"/>
    <w:rsid w:val="000731C0"/>
    <w:rsid w:val="00073323"/>
    <w:rsid w:val="00073B1D"/>
    <w:rsid w:val="00073C34"/>
    <w:rsid w:val="00074608"/>
    <w:rsid w:val="00074655"/>
    <w:rsid w:val="000746B9"/>
    <w:rsid w:val="000749FA"/>
    <w:rsid w:val="00074D1D"/>
    <w:rsid w:val="00074E5D"/>
    <w:rsid w:val="00075557"/>
    <w:rsid w:val="00075CCE"/>
    <w:rsid w:val="00076847"/>
    <w:rsid w:val="0007729B"/>
    <w:rsid w:val="00077F48"/>
    <w:rsid w:val="000813D2"/>
    <w:rsid w:val="0008214C"/>
    <w:rsid w:val="000823DA"/>
    <w:rsid w:val="000825EF"/>
    <w:rsid w:val="00082946"/>
    <w:rsid w:val="00082EFF"/>
    <w:rsid w:val="00083DA2"/>
    <w:rsid w:val="00083DC5"/>
    <w:rsid w:val="00083F7A"/>
    <w:rsid w:val="00083FD3"/>
    <w:rsid w:val="00084625"/>
    <w:rsid w:val="0008475D"/>
    <w:rsid w:val="00084B53"/>
    <w:rsid w:val="00084B54"/>
    <w:rsid w:val="00084E4F"/>
    <w:rsid w:val="00085087"/>
    <w:rsid w:val="00085914"/>
    <w:rsid w:val="00087DE2"/>
    <w:rsid w:val="00090E8B"/>
    <w:rsid w:val="00091265"/>
    <w:rsid w:val="0009150E"/>
    <w:rsid w:val="00092C7E"/>
    <w:rsid w:val="000933E6"/>
    <w:rsid w:val="0009481D"/>
    <w:rsid w:val="00094827"/>
    <w:rsid w:val="00094A00"/>
    <w:rsid w:val="00094A6C"/>
    <w:rsid w:val="00094C0B"/>
    <w:rsid w:val="0009510D"/>
    <w:rsid w:val="00095B8B"/>
    <w:rsid w:val="000961BA"/>
    <w:rsid w:val="0009621A"/>
    <w:rsid w:val="00096CBC"/>
    <w:rsid w:val="00097847"/>
    <w:rsid w:val="00097BEE"/>
    <w:rsid w:val="000A0717"/>
    <w:rsid w:val="000A0C67"/>
    <w:rsid w:val="000A0DF2"/>
    <w:rsid w:val="000A1032"/>
    <w:rsid w:val="000A136B"/>
    <w:rsid w:val="000A20C3"/>
    <w:rsid w:val="000A217E"/>
    <w:rsid w:val="000A22E7"/>
    <w:rsid w:val="000A299D"/>
    <w:rsid w:val="000A31B0"/>
    <w:rsid w:val="000A342D"/>
    <w:rsid w:val="000A3454"/>
    <w:rsid w:val="000A358F"/>
    <w:rsid w:val="000A3793"/>
    <w:rsid w:val="000A3860"/>
    <w:rsid w:val="000A3CC7"/>
    <w:rsid w:val="000A3CE5"/>
    <w:rsid w:val="000A447F"/>
    <w:rsid w:val="000A4E24"/>
    <w:rsid w:val="000A4F4F"/>
    <w:rsid w:val="000A543D"/>
    <w:rsid w:val="000A5CB9"/>
    <w:rsid w:val="000A5E7D"/>
    <w:rsid w:val="000A6DBB"/>
    <w:rsid w:val="000A6F1A"/>
    <w:rsid w:val="000A6F30"/>
    <w:rsid w:val="000A7378"/>
    <w:rsid w:val="000A7481"/>
    <w:rsid w:val="000A7772"/>
    <w:rsid w:val="000B005C"/>
    <w:rsid w:val="000B060B"/>
    <w:rsid w:val="000B1659"/>
    <w:rsid w:val="000B1CD8"/>
    <w:rsid w:val="000B3154"/>
    <w:rsid w:val="000B3500"/>
    <w:rsid w:val="000B3520"/>
    <w:rsid w:val="000B3583"/>
    <w:rsid w:val="000B3E26"/>
    <w:rsid w:val="000B3F04"/>
    <w:rsid w:val="000B499E"/>
    <w:rsid w:val="000B60E4"/>
    <w:rsid w:val="000B6322"/>
    <w:rsid w:val="000B67F3"/>
    <w:rsid w:val="000B68B6"/>
    <w:rsid w:val="000B6B53"/>
    <w:rsid w:val="000B70F2"/>
    <w:rsid w:val="000B79D1"/>
    <w:rsid w:val="000C0640"/>
    <w:rsid w:val="000C0ECD"/>
    <w:rsid w:val="000C12C4"/>
    <w:rsid w:val="000C2465"/>
    <w:rsid w:val="000C2EDA"/>
    <w:rsid w:val="000C3388"/>
    <w:rsid w:val="000C34F4"/>
    <w:rsid w:val="000C44D5"/>
    <w:rsid w:val="000C4AB0"/>
    <w:rsid w:val="000C512A"/>
    <w:rsid w:val="000C554E"/>
    <w:rsid w:val="000C5943"/>
    <w:rsid w:val="000C6812"/>
    <w:rsid w:val="000C6A61"/>
    <w:rsid w:val="000C6DB1"/>
    <w:rsid w:val="000C6FB1"/>
    <w:rsid w:val="000C713E"/>
    <w:rsid w:val="000C7346"/>
    <w:rsid w:val="000C7386"/>
    <w:rsid w:val="000C7A62"/>
    <w:rsid w:val="000C7CF1"/>
    <w:rsid w:val="000C7D9B"/>
    <w:rsid w:val="000D1064"/>
    <w:rsid w:val="000D186C"/>
    <w:rsid w:val="000D1CFC"/>
    <w:rsid w:val="000D1D9A"/>
    <w:rsid w:val="000D2405"/>
    <w:rsid w:val="000D278C"/>
    <w:rsid w:val="000D2A81"/>
    <w:rsid w:val="000D3334"/>
    <w:rsid w:val="000D3524"/>
    <w:rsid w:val="000D480D"/>
    <w:rsid w:val="000D4A40"/>
    <w:rsid w:val="000D5544"/>
    <w:rsid w:val="000D567A"/>
    <w:rsid w:val="000D5EC7"/>
    <w:rsid w:val="000D5F02"/>
    <w:rsid w:val="000D6A0C"/>
    <w:rsid w:val="000D6A0E"/>
    <w:rsid w:val="000D799D"/>
    <w:rsid w:val="000D7DF0"/>
    <w:rsid w:val="000E09B9"/>
    <w:rsid w:val="000E137A"/>
    <w:rsid w:val="000E1C7A"/>
    <w:rsid w:val="000E20E8"/>
    <w:rsid w:val="000E233C"/>
    <w:rsid w:val="000E28B3"/>
    <w:rsid w:val="000E32D7"/>
    <w:rsid w:val="000E32EC"/>
    <w:rsid w:val="000E3E71"/>
    <w:rsid w:val="000E3EB8"/>
    <w:rsid w:val="000E3F13"/>
    <w:rsid w:val="000E444F"/>
    <w:rsid w:val="000E479F"/>
    <w:rsid w:val="000E47DB"/>
    <w:rsid w:val="000E4849"/>
    <w:rsid w:val="000E49B5"/>
    <w:rsid w:val="000E4BBA"/>
    <w:rsid w:val="000E51C0"/>
    <w:rsid w:val="000E54CA"/>
    <w:rsid w:val="000E5FD3"/>
    <w:rsid w:val="000E6809"/>
    <w:rsid w:val="000E6ABE"/>
    <w:rsid w:val="000E7145"/>
    <w:rsid w:val="000E77FE"/>
    <w:rsid w:val="000E7C02"/>
    <w:rsid w:val="000E7DCD"/>
    <w:rsid w:val="000E7FA9"/>
    <w:rsid w:val="000F056B"/>
    <w:rsid w:val="000F08E3"/>
    <w:rsid w:val="000F15A9"/>
    <w:rsid w:val="000F180C"/>
    <w:rsid w:val="000F1BFD"/>
    <w:rsid w:val="000F2264"/>
    <w:rsid w:val="000F2364"/>
    <w:rsid w:val="000F2B1B"/>
    <w:rsid w:val="000F37CA"/>
    <w:rsid w:val="000F4254"/>
    <w:rsid w:val="000F4C30"/>
    <w:rsid w:val="000F4F91"/>
    <w:rsid w:val="000F5559"/>
    <w:rsid w:val="000F55EC"/>
    <w:rsid w:val="000F5A01"/>
    <w:rsid w:val="000F5B56"/>
    <w:rsid w:val="000F66E2"/>
    <w:rsid w:val="000F679C"/>
    <w:rsid w:val="000F7633"/>
    <w:rsid w:val="000F7A23"/>
    <w:rsid w:val="000F7B1B"/>
    <w:rsid w:val="00100118"/>
    <w:rsid w:val="001006F3"/>
    <w:rsid w:val="001010F3"/>
    <w:rsid w:val="001016CF"/>
    <w:rsid w:val="00101842"/>
    <w:rsid w:val="00101E10"/>
    <w:rsid w:val="0010228D"/>
    <w:rsid w:val="001028C7"/>
    <w:rsid w:val="00103D28"/>
    <w:rsid w:val="00105306"/>
    <w:rsid w:val="00105671"/>
    <w:rsid w:val="00105B08"/>
    <w:rsid w:val="00105F27"/>
    <w:rsid w:val="001075CE"/>
    <w:rsid w:val="00107830"/>
    <w:rsid w:val="0011030E"/>
    <w:rsid w:val="0011034E"/>
    <w:rsid w:val="0011148F"/>
    <w:rsid w:val="00111A98"/>
    <w:rsid w:val="00112386"/>
    <w:rsid w:val="00113AF2"/>
    <w:rsid w:val="00114203"/>
    <w:rsid w:val="0011483B"/>
    <w:rsid w:val="00114DFD"/>
    <w:rsid w:val="001156BF"/>
    <w:rsid w:val="001166AF"/>
    <w:rsid w:val="00116CC5"/>
    <w:rsid w:val="00117847"/>
    <w:rsid w:val="00117D5A"/>
    <w:rsid w:val="00120147"/>
    <w:rsid w:val="001207CB"/>
    <w:rsid w:val="00120BD7"/>
    <w:rsid w:val="00120C55"/>
    <w:rsid w:val="00120FA7"/>
    <w:rsid w:val="001214B4"/>
    <w:rsid w:val="00122375"/>
    <w:rsid w:val="00122600"/>
    <w:rsid w:val="00122C60"/>
    <w:rsid w:val="00122D2D"/>
    <w:rsid w:val="00122DFF"/>
    <w:rsid w:val="00123416"/>
    <w:rsid w:val="00123617"/>
    <w:rsid w:val="0012404E"/>
    <w:rsid w:val="0012417F"/>
    <w:rsid w:val="0012428C"/>
    <w:rsid w:val="00124415"/>
    <w:rsid w:val="0012442E"/>
    <w:rsid w:val="00124930"/>
    <w:rsid w:val="001249D7"/>
    <w:rsid w:val="00124C06"/>
    <w:rsid w:val="00124F2B"/>
    <w:rsid w:val="0012547F"/>
    <w:rsid w:val="00125DFE"/>
    <w:rsid w:val="00126AB1"/>
    <w:rsid w:val="001273BF"/>
    <w:rsid w:val="00127553"/>
    <w:rsid w:val="00127EAC"/>
    <w:rsid w:val="00130733"/>
    <w:rsid w:val="00131BA3"/>
    <w:rsid w:val="001323E2"/>
    <w:rsid w:val="001326EC"/>
    <w:rsid w:val="001328F3"/>
    <w:rsid w:val="00132A1E"/>
    <w:rsid w:val="00132DD3"/>
    <w:rsid w:val="001339ED"/>
    <w:rsid w:val="00133C19"/>
    <w:rsid w:val="00133F4B"/>
    <w:rsid w:val="001343C3"/>
    <w:rsid w:val="001347DE"/>
    <w:rsid w:val="00134F4D"/>
    <w:rsid w:val="00135555"/>
    <w:rsid w:val="00135995"/>
    <w:rsid w:val="00135A06"/>
    <w:rsid w:val="001360C3"/>
    <w:rsid w:val="00136458"/>
    <w:rsid w:val="001373EF"/>
    <w:rsid w:val="00137868"/>
    <w:rsid w:val="001378B0"/>
    <w:rsid w:val="00137C05"/>
    <w:rsid w:val="00140695"/>
    <w:rsid w:val="00140E0D"/>
    <w:rsid w:val="0014272A"/>
    <w:rsid w:val="001428B2"/>
    <w:rsid w:val="0014336D"/>
    <w:rsid w:val="001439AD"/>
    <w:rsid w:val="00144240"/>
    <w:rsid w:val="001444C4"/>
    <w:rsid w:val="001447CF"/>
    <w:rsid w:val="00144C76"/>
    <w:rsid w:val="00145BC2"/>
    <w:rsid w:val="00145E6D"/>
    <w:rsid w:val="00146A96"/>
    <w:rsid w:val="00146C6D"/>
    <w:rsid w:val="00150351"/>
    <w:rsid w:val="00151242"/>
    <w:rsid w:val="00151283"/>
    <w:rsid w:val="001515B9"/>
    <w:rsid w:val="001515EE"/>
    <w:rsid w:val="00151967"/>
    <w:rsid w:val="001524BB"/>
    <w:rsid w:val="00153F3A"/>
    <w:rsid w:val="00154C7F"/>
    <w:rsid w:val="001557FA"/>
    <w:rsid w:val="00155B89"/>
    <w:rsid w:val="00155D08"/>
    <w:rsid w:val="00156F08"/>
    <w:rsid w:val="001572BE"/>
    <w:rsid w:val="00157C83"/>
    <w:rsid w:val="00160122"/>
    <w:rsid w:val="001615E6"/>
    <w:rsid w:val="00161FB4"/>
    <w:rsid w:val="00162114"/>
    <w:rsid w:val="001628AB"/>
    <w:rsid w:val="00163BDF"/>
    <w:rsid w:val="00163F0D"/>
    <w:rsid w:val="00164324"/>
    <w:rsid w:val="001651B4"/>
    <w:rsid w:val="001651D8"/>
    <w:rsid w:val="00165C83"/>
    <w:rsid w:val="00166936"/>
    <w:rsid w:val="00166979"/>
    <w:rsid w:val="00166B94"/>
    <w:rsid w:val="00166F5C"/>
    <w:rsid w:val="001678DF"/>
    <w:rsid w:val="00170450"/>
    <w:rsid w:val="001707E4"/>
    <w:rsid w:val="00170913"/>
    <w:rsid w:val="00171198"/>
    <w:rsid w:val="0017119B"/>
    <w:rsid w:val="00171D9D"/>
    <w:rsid w:val="0017211C"/>
    <w:rsid w:val="00172256"/>
    <w:rsid w:val="0017272F"/>
    <w:rsid w:val="00172DAB"/>
    <w:rsid w:val="00173358"/>
    <w:rsid w:val="00174EBA"/>
    <w:rsid w:val="001754AB"/>
    <w:rsid w:val="00175680"/>
    <w:rsid w:val="00175A44"/>
    <w:rsid w:val="0017658B"/>
    <w:rsid w:val="001765B1"/>
    <w:rsid w:val="001768B7"/>
    <w:rsid w:val="00176BE4"/>
    <w:rsid w:val="00176EF2"/>
    <w:rsid w:val="0017774C"/>
    <w:rsid w:val="00180C3E"/>
    <w:rsid w:val="00181476"/>
    <w:rsid w:val="00181617"/>
    <w:rsid w:val="00181E5E"/>
    <w:rsid w:val="001821D2"/>
    <w:rsid w:val="0018284B"/>
    <w:rsid w:val="00182D47"/>
    <w:rsid w:val="00184286"/>
    <w:rsid w:val="001851E6"/>
    <w:rsid w:val="00185B42"/>
    <w:rsid w:val="00185CF5"/>
    <w:rsid w:val="001860BF"/>
    <w:rsid w:val="00186546"/>
    <w:rsid w:val="00187145"/>
    <w:rsid w:val="001873FA"/>
    <w:rsid w:val="00187406"/>
    <w:rsid w:val="00187554"/>
    <w:rsid w:val="001878AD"/>
    <w:rsid w:val="00190375"/>
    <w:rsid w:val="001906F8"/>
    <w:rsid w:val="0019086E"/>
    <w:rsid w:val="00193058"/>
    <w:rsid w:val="001939ED"/>
    <w:rsid w:val="00193A42"/>
    <w:rsid w:val="0019489B"/>
    <w:rsid w:val="00194B1C"/>
    <w:rsid w:val="00194CE9"/>
    <w:rsid w:val="00195F32"/>
    <w:rsid w:val="00196463"/>
    <w:rsid w:val="00196833"/>
    <w:rsid w:val="0019730A"/>
    <w:rsid w:val="00197791"/>
    <w:rsid w:val="001979E9"/>
    <w:rsid w:val="00197CFF"/>
    <w:rsid w:val="00197F2E"/>
    <w:rsid w:val="001A0856"/>
    <w:rsid w:val="001A1342"/>
    <w:rsid w:val="001A140A"/>
    <w:rsid w:val="001A1A2A"/>
    <w:rsid w:val="001A264D"/>
    <w:rsid w:val="001A2F12"/>
    <w:rsid w:val="001A3462"/>
    <w:rsid w:val="001A3A7B"/>
    <w:rsid w:val="001A4987"/>
    <w:rsid w:val="001A4B7C"/>
    <w:rsid w:val="001A4C67"/>
    <w:rsid w:val="001A554F"/>
    <w:rsid w:val="001A70BF"/>
    <w:rsid w:val="001B224D"/>
    <w:rsid w:val="001B244A"/>
    <w:rsid w:val="001B2CA3"/>
    <w:rsid w:val="001B2D3E"/>
    <w:rsid w:val="001B36FD"/>
    <w:rsid w:val="001B3764"/>
    <w:rsid w:val="001B3D5E"/>
    <w:rsid w:val="001B3EC7"/>
    <w:rsid w:val="001B47C6"/>
    <w:rsid w:val="001B4EA2"/>
    <w:rsid w:val="001B6C27"/>
    <w:rsid w:val="001B6F1E"/>
    <w:rsid w:val="001B77CC"/>
    <w:rsid w:val="001C07E6"/>
    <w:rsid w:val="001C0BBF"/>
    <w:rsid w:val="001C0BEF"/>
    <w:rsid w:val="001C130F"/>
    <w:rsid w:val="001C1AD8"/>
    <w:rsid w:val="001C2182"/>
    <w:rsid w:val="001C2778"/>
    <w:rsid w:val="001C2D82"/>
    <w:rsid w:val="001C305C"/>
    <w:rsid w:val="001C32AE"/>
    <w:rsid w:val="001C353E"/>
    <w:rsid w:val="001C5364"/>
    <w:rsid w:val="001C5A8F"/>
    <w:rsid w:val="001C5DFF"/>
    <w:rsid w:val="001C5FF5"/>
    <w:rsid w:val="001C6CEF"/>
    <w:rsid w:val="001C6E87"/>
    <w:rsid w:val="001C71B6"/>
    <w:rsid w:val="001C71B8"/>
    <w:rsid w:val="001C77AC"/>
    <w:rsid w:val="001D0136"/>
    <w:rsid w:val="001D02FE"/>
    <w:rsid w:val="001D0E77"/>
    <w:rsid w:val="001D1779"/>
    <w:rsid w:val="001D28F6"/>
    <w:rsid w:val="001D2D73"/>
    <w:rsid w:val="001D4778"/>
    <w:rsid w:val="001D5441"/>
    <w:rsid w:val="001D698C"/>
    <w:rsid w:val="001D6F38"/>
    <w:rsid w:val="001D70FC"/>
    <w:rsid w:val="001D7920"/>
    <w:rsid w:val="001D7A3A"/>
    <w:rsid w:val="001E0E9F"/>
    <w:rsid w:val="001E1663"/>
    <w:rsid w:val="001E16A1"/>
    <w:rsid w:val="001E19E2"/>
    <w:rsid w:val="001E2891"/>
    <w:rsid w:val="001E2ED8"/>
    <w:rsid w:val="001E32E3"/>
    <w:rsid w:val="001E3FDB"/>
    <w:rsid w:val="001E5B20"/>
    <w:rsid w:val="001E5F76"/>
    <w:rsid w:val="001E6477"/>
    <w:rsid w:val="001E6B57"/>
    <w:rsid w:val="001E6C0D"/>
    <w:rsid w:val="001E6EF1"/>
    <w:rsid w:val="001E7901"/>
    <w:rsid w:val="001F0118"/>
    <w:rsid w:val="001F2718"/>
    <w:rsid w:val="001F3D6A"/>
    <w:rsid w:val="001F43EB"/>
    <w:rsid w:val="001F48CA"/>
    <w:rsid w:val="001F4E00"/>
    <w:rsid w:val="001F5401"/>
    <w:rsid w:val="001F585C"/>
    <w:rsid w:val="001F58B0"/>
    <w:rsid w:val="001F5934"/>
    <w:rsid w:val="001F6025"/>
    <w:rsid w:val="001F722E"/>
    <w:rsid w:val="001F75CA"/>
    <w:rsid w:val="001F76A7"/>
    <w:rsid w:val="00200D7F"/>
    <w:rsid w:val="0020201B"/>
    <w:rsid w:val="0020205E"/>
    <w:rsid w:val="00202536"/>
    <w:rsid w:val="0020281E"/>
    <w:rsid w:val="00203571"/>
    <w:rsid w:val="002039EF"/>
    <w:rsid w:val="00203B33"/>
    <w:rsid w:val="0020427E"/>
    <w:rsid w:val="0020438D"/>
    <w:rsid w:val="00204738"/>
    <w:rsid w:val="00204A97"/>
    <w:rsid w:val="00205679"/>
    <w:rsid w:val="00205757"/>
    <w:rsid w:val="002057C2"/>
    <w:rsid w:val="00205B0D"/>
    <w:rsid w:val="00206710"/>
    <w:rsid w:val="00206DA3"/>
    <w:rsid w:val="00206E11"/>
    <w:rsid w:val="00207D19"/>
    <w:rsid w:val="002101E3"/>
    <w:rsid w:val="00211045"/>
    <w:rsid w:val="00211986"/>
    <w:rsid w:val="00211FF9"/>
    <w:rsid w:val="00212C0D"/>
    <w:rsid w:val="002131AB"/>
    <w:rsid w:val="002137D9"/>
    <w:rsid w:val="00213CB6"/>
    <w:rsid w:val="00213D0D"/>
    <w:rsid w:val="00213FE8"/>
    <w:rsid w:val="0021568A"/>
    <w:rsid w:val="00215981"/>
    <w:rsid w:val="00216587"/>
    <w:rsid w:val="002166E4"/>
    <w:rsid w:val="00217173"/>
    <w:rsid w:val="00217580"/>
    <w:rsid w:val="002200FD"/>
    <w:rsid w:val="002201CF"/>
    <w:rsid w:val="00220774"/>
    <w:rsid w:val="00221D2B"/>
    <w:rsid w:val="0022200D"/>
    <w:rsid w:val="0022274C"/>
    <w:rsid w:val="002228A4"/>
    <w:rsid w:val="002230C7"/>
    <w:rsid w:val="002234A0"/>
    <w:rsid w:val="0022366C"/>
    <w:rsid w:val="0022374F"/>
    <w:rsid w:val="00223E98"/>
    <w:rsid w:val="00223F4C"/>
    <w:rsid w:val="00224254"/>
    <w:rsid w:val="002246B0"/>
    <w:rsid w:val="002246FA"/>
    <w:rsid w:val="00224DEE"/>
    <w:rsid w:val="00225E50"/>
    <w:rsid w:val="00226473"/>
    <w:rsid w:val="00227143"/>
    <w:rsid w:val="0022755B"/>
    <w:rsid w:val="00230121"/>
    <w:rsid w:val="0023026E"/>
    <w:rsid w:val="00231720"/>
    <w:rsid w:val="0023209C"/>
    <w:rsid w:val="00233AC3"/>
    <w:rsid w:val="00233B40"/>
    <w:rsid w:val="00233DBE"/>
    <w:rsid w:val="002343D5"/>
    <w:rsid w:val="00235587"/>
    <w:rsid w:val="0023585C"/>
    <w:rsid w:val="002361CA"/>
    <w:rsid w:val="002368BF"/>
    <w:rsid w:val="00237442"/>
    <w:rsid w:val="002375CE"/>
    <w:rsid w:val="00240DE5"/>
    <w:rsid w:val="002411ED"/>
    <w:rsid w:val="0024156C"/>
    <w:rsid w:val="00241E0B"/>
    <w:rsid w:val="00242EE4"/>
    <w:rsid w:val="0024319B"/>
    <w:rsid w:val="0024348C"/>
    <w:rsid w:val="00244A2C"/>
    <w:rsid w:val="00244AD6"/>
    <w:rsid w:val="00244C8C"/>
    <w:rsid w:val="00245369"/>
    <w:rsid w:val="0024584E"/>
    <w:rsid w:val="002467DA"/>
    <w:rsid w:val="00246A98"/>
    <w:rsid w:val="00247988"/>
    <w:rsid w:val="002507DC"/>
    <w:rsid w:val="002509DC"/>
    <w:rsid w:val="00250F81"/>
    <w:rsid w:val="00251EF8"/>
    <w:rsid w:val="00252202"/>
    <w:rsid w:val="00253556"/>
    <w:rsid w:val="0025384E"/>
    <w:rsid w:val="002542C2"/>
    <w:rsid w:val="00254394"/>
    <w:rsid w:val="002565AC"/>
    <w:rsid w:val="00256B88"/>
    <w:rsid w:val="00256CD2"/>
    <w:rsid w:val="00257738"/>
    <w:rsid w:val="00257D0A"/>
    <w:rsid w:val="00257FAC"/>
    <w:rsid w:val="00261785"/>
    <w:rsid w:val="00261E39"/>
    <w:rsid w:val="00261F53"/>
    <w:rsid w:val="00262EDB"/>
    <w:rsid w:val="002636C3"/>
    <w:rsid w:val="0026429D"/>
    <w:rsid w:val="00266AEE"/>
    <w:rsid w:val="002677D3"/>
    <w:rsid w:val="00267AAE"/>
    <w:rsid w:val="002715B0"/>
    <w:rsid w:val="00271773"/>
    <w:rsid w:val="002719A2"/>
    <w:rsid w:val="00271B56"/>
    <w:rsid w:val="00273286"/>
    <w:rsid w:val="00273398"/>
    <w:rsid w:val="0027343E"/>
    <w:rsid w:val="00273509"/>
    <w:rsid w:val="00273A4E"/>
    <w:rsid w:val="00273AA4"/>
    <w:rsid w:val="00274384"/>
    <w:rsid w:val="00274D93"/>
    <w:rsid w:val="0027541F"/>
    <w:rsid w:val="00275660"/>
    <w:rsid w:val="00276324"/>
    <w:rsid w:val="00276402"/>
    <w:rsid w:val="00276636"/>
    <w:rsid w:val="0027724A"/>
    <w:rsid w:val="00277E72"/>
    <w:rsid w:val="0028033B"/>
    <w:rsid w:val="002803C6"/>
    <w:rsid w:val="00280D5E"/>
    <w:rsid w:val="00280E84"/>
    <w:rsid w:val="002812FF"/>
    <w:rsid w:val="002815FD"/>
    <w:rsid w:val="00281E46"/>
    <w:rsid w:val="0028243F"/>
    <w:rsid w:val="0028264B"/>
    <w:rsid w:val="002838E0"/>
    <w:rsid w:val="00284623"/>
    <w:rsid w:val="00284D70"/>
    <w:rsid w:val="002850B9"/>
    <w:rsid w:val="00285A19"/>
    <w:rsid w:val="00285A2E"/>
    <w:rsid w:val="00285B08"/>
    <w:rsid w:val="00286B58"/>
    <w:rsid w:val="0028700D"/>
    <w:rsid w:val="002870F5"/>
    <w:rsid w:val="00287114"/>
    <w:rsid w:val="0028717D"/>
    <w:rsid w:val="002877C1"/>
    <w:rsid w:val="00287ABA"/>
    <w:rsid w:val="00287AD5"/>
    <w:rsid w:val="00290A31"/>
    <w:rsid w:val="00290F54"/>
    <w:rsid w:val="00292264"/>
    <w:rsid w:val="00292514"/>
    <w:rsid w:val="0029283E"/>
    <w:rsid w:val="00292864"/>
    <w:rsid w:val="002928F9"/>
    <w:rsid w:val="00292C4D"/>
    <w:rsid w:val="00292F9E"/>
    <w:rsid w:val="00292FE3"/>
    <w:rsid w:val="00293694"/>
    <w:rsid w:val="002941EC"/>
    <w:rsid w:val="00294C26"/>
    <w:rsid w:val="002958F0"/>
    <w:rsid w:val="00295AFF"/>
    <w:rsid w:val="00295C9C"/>
    <w:rsid w:val="00295CAF"/>
    <w:rsid w:val="002968C1"/>
    <w:rsid w:val="00296BF3"/>
    <w:rsid w:val="0029715E"/>
    <w:rsid w:val="00297257"/>
    <w:rsid w:val="00297969"/>
    <w:rsid w:val="00297B1B"/>
    <w:rsid w:val="00297C11"/>
    <w:rsid w:val="002A0B43"/>
    <w:rsid w:val="002A0F27"/>
    <w:rsid w:val="002A1129"/>
    <w:rsid w:val="002A1BC9"/>
    <w:rsid w:val="002A1C03"/>
    <w:rsid w:val="002A20E7"/>
    <w:rsid w:val="002A213E"/>
    <w:rsid w:val="002A22F0"/>
    <w:rsid w:val="002A2445"/>
    <w:rsid w:val="002A29F5"/>
    <w:rsid w:val="002A3124"/>
    <w:rsid w:val="002A3E63"/>
    <w:rsid w:val="002A4596"/>
    <w:rsid w:val="002A5153"/>
    <w:rsid w:val="002A571C"/>
    <w:rsid w:val="002A571D"/>
    <w:rsid w:val="002A62C8"/>
    <w:rsid w:val="002A72C7"/>
    <w:rsid w:val="002A7E56"/>
    <w:rsid w:val="002B03F5"/>
    <w:rsid w:val="002B092A"/>
    <w:rsid w:val="002B1638"/>
    <w:rsid w:val="002B2339"/>
    <w:rsid w:val="002B242D"/>
    <w:rsid w:val="002B2469"/>
    <w:rsid w:val="002B2C46"/>
    <w:rsid w:val="002B331A"/>
    <w:rsid w:val="002B4041"/>
    <w:rsid w:val="002B4CC5"/>
    <w:rsid w:val="002B4D06"/>
    <w:rsid w:val="002B5391"/>
    <w:rsid w:val="002B6311"/>
    <w:rsid w:val="002B7021"/>
    <w:rsid w:val="002C049C"/>
    <w:rsid w:val="002C0F66"/>
    <w:rsid w:val="002C10C2"/>
    <w:rsid w:val="002C12D8"/>
    <w:rsid w:val="002C18A6"/>
    <w:rsid w:val="002C24E6"/>
    <w:rsid w:val="002C29F6"/>
    <w:rsid w:val="002C2BD1"/>
    <w:rsid w:val="002C3482"/>
    <w:rsid w:val="002C3BF1"/>
    <w:rsid w:val="002C425D"/>
    <w:rsid w:val="002C4A53"/>
    <w:rsid w:val="002C4A69"/>
    <w:rsid w:val="002C5EDD"/>
    <w:rsid w:val="002C616D"/>
    <w:rsid w:val="002C6AAB"/>
    <w:rsid w:val="002C744C"/>
    <w:rsid w:val="002C7498"/>
    <w:rsid w:val="002C7D54"/>
    <w:rsid w:val="002D0665"/>
    <w:rsid w:val="002D1095"/>
    <w:rsid w:val="002D1342"/>
    <w:rsid w:val="002D13A4"/>
    <w:rsid w:val="002D1565"/>
    <w:rsid w:val="002D1B5E"/>
    <w:rsid w:val="002D228E"/>
    <w:rsid w:val="002D2590"/>
    <w:rsid w:val="002D2B7D"/>
    <w:rsid w:val="002D3239"/>
    <w:rsid w:val="002D37DC"/>
    <w:rsid w:val="002D3F5B"/>
    <w:rsid w:val="002D3FF6"/>
    <w:rsid w:val="002D40B4"/>
    <w:rsid w:val="002D4132"/>
    <w:rsid w:val="002D43DE"/>
    <w:rsid w:val="002D50A4"/>
    <w:rsid w:val="002D53F7"/>
    <w:rsid w:val="002D5438"/>
    <w:rsid w:val="002D546C"/>
    <w:rsid w:val="002D5508"/>
    <w:rsid w:val="002D5777"/>
    <w:rsid w:val="002D5B6C"/>
    <w:rsid w:val="002D5C66"/>
    <w:rsid w:val="002D5DDB"/>
    <w:rsid w:val="002D62E0"/>
    <w:rsid w:val="002D694E"/>
    <w:rsid w:val="002D6DAC"/>
    <w:rsid w:val="002D70EE"/>
    <w:rsid w:val="002D7422"/>
    <w:rsid w:val="002D7977"/>
    <w:rsid w:val="002E0210"/>
    <w:rsid w:val="002E11D5"/>
    <w:rsid w:val="002E13BE"/>
    <w:rsid w:val="002E20B0"/>
    <w:rsid w:val="002E28C3"/>
    <w:rsid w:val="002E3022"/>
    <w:rsid w:val="002E3C80"/>
    <w:rsid w:val="002E6271"/>
    <w:rsid w:val="002E62E4"/>
    <w:rsid w:val="002E6F02"/>
    <w:rsid w:val="002E7027"/>
    <w:rsid w:val="002E7434"/>
    <w:rsid w:val="002E79E0"/>
    <w:rsid w:val="002F0416"/>
    <w:rsid w:val="002F09E9"/>
    <w:rsid w:val="002F1B50"/>
    <w:rsid w:val="002F1C37"/>
    <w:rsid w:val="002F204B"/>
    <w:rsid w:val="002F3019"/>
    <w:rsid w:val="002F41B2"/>
    <w:rsid w:val="002F4425"/>
    <w:rsid w:val="002F4449"/>
    <w:rsid w:val="002F6F96"/>
    <w:rsid w:val="002F722F"/>
    <w:rsid w:val="002F727B"/>
    <w:rsid w:val="002F7B20"/>
    <w:rsid w:val="00300243"/>
    <w:rsid w:val="00300395"/>
    <w:rsid w:val="00300997"/>
    <w:rsid w:val="00300B1E"/>
    <w:rsid w:val="00300BB5"/>
    <w:rsid w:val="00300BD0"/>
    <w:rsid w:val="00301C41"/>
    <w:rsid w:val="0030208A"/>
    <w:rsid w:val="00302293"/>
    <w:rsid w:val="00302DE6"/>
    <w:rsid w:val="00303222"/>
    <w:rsid w:val="00303466"/>
    <w:rsid w:val="00303576"/>
    <w:rsid w:val="00304E38"/>
    <w:rsid w:val="0030520A"/>
    <w:rsid w:val="00305322"/>
    <w:rsid w:val="00305AA9"/>
    <w:rsid w:val="00305CAC"/>
    <w:rsid w:val="00306085"/>
    <w:rsid w:val="00307426"/>
    <w:rsid w:val="00307573"/>
    <w:rsid w:val="0030758C"/>
    <w:rsid w:val="00307C94"/>
    <w:rsid w:val="00307F55"/>
    <w:rsid w:val="00307FB4"/>
    <w:rsid w:val="00310191"/>
    <w:rsid w:val="00311125"/>
    <w:rsid w:val="003116F1"/>
    <w:rsid w:val="00312104"/>
    <w:rsid w:val="00313551"/>
    <w:rsid w:val="00313D38"/>
    <w:rsid w:val="00314E94"/>
    <w:rsid w:val="00314F3E"/>
    <w:rsid w:val="0031530E"/>
    <w:rsid w:val="00315D37"/>
    <w:rsid w:val="00315DCD"/>
    <w:rsid w:val="00315E70"/>
    <w:rsid w:val="00315FDE"/>
    <w:rsid w:val="003162E8"/>
    <w:rsid w:val="00316AF3"/>
    <w:rsid w:val="00316CB5"/>
    <w:rsid w:val="00316DE3"/>
    <w:rsid w:val="00317A2B"/>
    <w:rsid w:val="00317CA9"/>
    <w:rsid w:val="0032026E"/>
    <w:rsid w:val="0032104C"/>
    <w:rsid w:val="0032135A"/>
    <w:rsid w:val="00321610"/>
    <w:rsid w:val="003219B3"/>
    <w:rsid w:val="00321D9B"/>
    <w:rsid w:val="00321FF5"/>
    <w:rsid w:val="0032271A"/>
    <w:rsid w:val="0032382B"/>
    <w:rsid w:val="003240BA"/>
    <w:rsid w:val="003243F7"/>
    <w:rsid w:val="0032489C"/>
    <w:rsid w:val="00324F78"/>
    <w:rsid w:val="00325232"/>
    <w:rsid w:val="00326729"/>
    <w:rsid w:val="0032773E"/>
    <w:rsid w:val="00327CB1"/>
    <w:rsid w:val="00327CD5"/>
    <w:rsid w:val="003309B7"/>
    <w:rsid w:val="00330BC7"/>
    <w:rsid w:val="003312C4"/>
    <w:rsid w:val="00331606"/>
    <w:rsid w:val="00331CC5"/>
    <w:rsid w:val="003333D9"/>
    <w:rsid w:val="003339DD"/>
    <w:rsid w:val="00333A10"/>
    <w:rsid w:val="00333B61"/>
    <w:rsid w:val="00333C81"/>
    <w:rsid w:val="003340A4"/>
    <w:rsid w:val="003343BD"/>
    <w:rsid w:val="00334572"/>
    <w:rsid w:val="00334770"/>
    <w:rsid w:val="0033503B"/>
    <w:rsid w:val="00336E4A"/>
    <w:rsid w:val="0033715A"/>
    <w:rsid w:val="0033723A"/>
    <w:rsid w:val="00337428"/>
    <w:rsid w:val="003377D3"/>
    <w:rsid w:val="00337F0C"/>
    <w:rsid w:val="00340637"/>
    <w:rsid w:val="003409C7"/>
    <w:rsid w:val="00341F93"/>
    <w:rsid w:val="00341FAD"/>
    <w:rsid w:val="00342888"/>
    <w:rsid w:val="00342BBE"/>
    <w:rsid w:val="00343D91"/>
    <w:rsid w:val="00344088"/>
    <w:rsid w:val="0034439C"/>
    <w:rsid w:val="0034448E"/>
    <w:rsid w:val="00344CB6"/>
    <w:rsid w:val="00346368"/>
    <w:rsid w:val="003465F9"/>
    <w:rsid w:val="00346F67"/>
    <w:rsid w:val="0034718E"/>
    <w:rsid w:val="00347BC9"/>
    <w:rsid w:val="003501A8"/>
    <w:rsid w:val="00350BFD"/>
    <w:rsid w:val="003513DF"/>
    <w:rsid w:val="00351B63"/>
    <w:rsid w:val="00351D0E"/>
    <w:rsid w:val="00351E3A"/>
    <w:rsid w:val="00351EC0"/>
    <w:rsid w:val="003529FD"/>
    <w:rsid w:val="00352DDE"/>
    <w:rsid w:val="003534C3"/>
    <w:rsid w:val="00353735"/>
    <w:rsid w:val="0035384A"/>
    <w:rsid w:val="00354096"/>
    <w:rsid w:val="0035419C"/>
    <w:rsid w:val="0035425C"/>
    <w:rsid w:val="00354291"/>
    <w:rsid w:val="00354903"/>
    <w:rsid w:val="00355434"/>
    <w:rsid w:val="00355FA0"/>
    <w:rsid w:val="003564FA"/>
    <w:rsid w:val="0035699C"/>
    <w:rsid w:val="00357475"/>
    <w:rsid w:val="00357609"/>
    <w:rsid w:val="00357CBA"/>
    <w:rsid w:val="00357DC6"/>
    <w:rsid w:val="003610E0"/>
    <w:rsid w:val="00361487"/>
    <w:rsid w:val="00361B21"/>
    <w:rsid w:val="00362661"/>
    <w:rsid w:val="003627FD"/>
    <w:rsid w:val="00362F88"/>
    <w:rsid w:val="00363BA1"/>
    <w:rsid w:val="003646AD"/>
    <w:rsid w:val="00364DEA"/>
    <w:rsid w:val="00365F24"/>
    <w:rsid w:val="00366106"/>
    <w:rsid w:val="00366133"/>
    <w:rsid w:val="003670E6"/>
    <w:rsid w:val="003671C7"/>
    <w:rsid w:val="00370371"/>
    <w:rsid w:val="00370808"/>
    <w:rsid w:val="0037114C"/>
    <w:rsid w:val="00371382"/>
    <w:rsid w:val="00371505"/>
    <w:rsid w:val="0037174F"/>
    <w:rsid w:val="00371F23"/>
    <w:rsid w:val="003721AA"/>
    <w:rsid w:val="0037277D"/>
    <w:rsid w:val="00372C26"/>
    <w:rsid w:val="003735D9"/>
    <w:rsid w:val="003738E6"/>
    <w:rsid w:val="00373BBB"/>
    <w:rsid w:val="00373F4A"/>
    <w:rsid w:val="0037585D"/>
    <w:rsid w:val="00375902"/>
    <w:rsid w:val="00375EAF"/>
    <w:rsid w:val="00376444"/>
    <w:rsid w:val="00380663"/>
    <w:rsid w:val="00381C77"/>
    <w:rsid w:val="00381D05"/>
    <w:rsid w:val="00381E57"/>
    <w:rsid w:val="0038343B"/>
    <w:rsid w:val="00384200"/>
    <w:rsid w:val="00384E2B"/>
    <w:rsid w:val="00385554"/>
    <w:rsid w:val="0038571E"/>
    <w:rsid w:val="00385D3B"/>
    <w:rsid w:val="003860CE"/>
    <w:rsid w:val="0038611A"/>
    <w:rsid w:val="00386CD8"/>
    <w:rsid w:val="00386E14"/>
    <w:rsid w:val="00386E8D"/>
    <w:rsid w:val="00387A0B"/>
    <w:rsid w:val="00387A61"/>
    <w:rsid w:val="00387D99"/>
    <w:rsid w:val="00387F9D"/>
    <w:rsid w:val="0039016B"/>
    <w:rsid w:val="003905CC"/>
    <w:rsid w:val="003908B4"/>
    <w:rsid w:val="00390C61"/>
    <w:rsid w:val="00390D8E"/>
    <w:rsid w:val="00390DFB"/>
    <w:rsid w:val="00390F63"/>
    <w:rsid w:val="003913F3"/>
    <w:rsid w:val="0039165E"/>
    <w:rsid w:val="003916B7"/>
    <w:rsid w:val="00393401"/>
    <w:rsid w:val="00393508"/>
    <w:rsid w:val="003939EE"/>
    <w:rsid w:val="0039437F"/>
    <w:rsid w:val="0039455C"/>
    <w:rsid w:val="00394794"/>
    <w:rsid w:val="0039568B"/>
    <w:rsid w:val="00395738"/>
    <w:rsid w:val="003958FE"/>
    <w:rsid w:val="00395ADC"/>
    <w:rsid w:val="003962FF"/>
    <w:rsid w:val="003966F5"/>
    <w:rsid w:val="003968CF"/>
    <w:rsid w:val="0039690D"/>
    <w:rsid w:val="003969DD"/>
    <w:rsid w:val="003974E7"/>
    <w:rsid w:val="0039756F"/>
    <w:rsid w:val="0039769F"/>
    <w:rsid w:val="003A0078"/>
    <w:rsid w:val="003A0383"/>
    <w:rsid w:val="003A0826"/>
    <w:rsid w:val="003A10F6"/>
    <w:rsid w:val="003A13C3"/>
    <w:rsid w:val="003A1646"/>
    <w:rsid w:val="003A345F"/>
    <w:rsid w:val="003A3737"/>
    <w:rsid w:val="003A3FDA"/>
    <w:rsid w:val="003A4030"/>
    <w:rsid w:val="003A4478"/>
    <w:rsid w:val="003A45D0"/>
    <w:rsid w:val="003A4B1B"/>
    <w:rsid w:val="003A588E"/>
    <w:rsid w:val="003A5EF1"/>
    <w:rsid w:val="003A6659"/>
    <w:rsid w:val="003A6903"/>
    <w:rsid w:val="003A6FE0"/>
    <w:rsid w:val="003A792C"/>
    <w:rsid w:val="003B0218"/>
    <w:rsid w:val="003B05F1"/>
    <w:rsid w:val="003B062D"/>
    <w:rsid w:val="003B0962"/>
    <w:rsid w:val="003B09EF"/>
    <w:rsid w:val="003B1608"/>
    <w:rsid w:val="003B1840"/>
    <w:rsid w:val="003B223C"/>
    <w:rsid w:val="003B2743"/>
    <w:rsid w:val="003B2ACE"/>
    <w:rsid w:val="003B39BA"/>
    <w:rsid w:val="003B3B9E"/>
    <w:rsid w:val="003B3BAA"/>
    <w:rsid w:val="003B3BD3"/>
    <w:rsid w:val="003B3CA0"/>
    <w:rsid w:val="003B48EA"/>
    <w:rsid w:val="003B5107"/>
    <w:rsid w:val="003B558F"/>
    <w:rsid w:val="003B57EC"/>
    <w:rsid w:val="003B5F50"/>
    <w:rsid w:val="003B63E9"/>
    <w:rsid w:val="003B6981"/>
    <w:rsid w:val="003B7607"/>
    <w:rsid w:val="003B760F"/>
    <w:rsid w:val="003B7A98"/>
    <w:rsid w:val="003C050F"/>
    <w:rsid w:val="003C0904"/>
    <w:rsid w:val="003C092E"/>
    <w:rsid w:val="003C0C2D"/>
    <w:rsid w:val="003C1C91"/>
    <w:rsid w:val="003C22E8"/>
    <w:rsid w:val="003C2E83"/>
    <w:rsid w:val="003C2EFD"/>
    <w:rsid w:val="003C3112"/>
    <w:rsid w:val="003C348D"/>
    <w:rsid w:val="003C406A"/>
    <w:rsid w:val="003C43B5"/>
    <w:rsid w:val="003C4DB5"/>
    <w:rsid w:val="003C5460"/>
    <w:rsid w:val="003C55C4"/>
    <w:rsid w:val="003C59D4"/>
    <w:rsid w:val="003C5D87"/>
    <w:rsid w:val="003C6061"/>
    <w:rsid w:val="003C6F09"/>
    <w:rsid w:val="003C7853"/>
    <w:rsid w:val="003C7868"/>
    <w:rsid w:val="003C7B73"/>
    <w:rsid w:val="003D029F"/>
    <w:rsid w:val="003D0C5D"/>
    <w:rsid w:val="003D1382"/>
    <w:rsid w:val="003D20B8"/>
    <w:rsid w:val="003D252C"/>
    <w:rsid w:val="003D2CED"/>
    <w:rsid w:val="003D365D"/>
    <w:rsid w:val="003D3CF0"/>
    <w:rsid w:val="003D4DD0"/>
    <w:rsid w:val="003D5668"/>
    <w:rsid w:val="003D631C"/>
    <w:rsid w:val="003D6573"/>
    <w:rsid w:val="003D69ED"/>
    <w:rsid w:val="003D6B76"/>
    <w:rsid w:val="003D6F5A"/>
    <w:rsid w:val="003D7AEE"/>
    <w:rsid w:val="003D7D02"/>
    <w:rsid w:val="003D7DC5"/>
    <w:rsid w:val="003E0C63"/>
    <w:rsid w:val="003E1BF5"/>
    <w:rsid w:val="003E1D6C"/>
    <w:rsid w:val="003E20CB"/>
    <w:rsid w:val="003E2347"/>
    <w:rsid w:val="003E25F8"/>
    <w:rsid w:val="003E26BE"/>
    <w:rsid w:val="003E2BE6"/>
    <w:rsid w:val="003E3FAC"/>
    <w:rsid w:val="003E4C2B"/>
    <w:rsid w:val="003E51E1"/>
    <w:rsid w:val="003E598B"/>
    <w:rsid w:val="003E5FEF"/>
    <w:rsid w:val="003E6EA2"/>
    <w:rsid w:val="003E7307"/>
    <w:rsid w:val="003E7980"/>
    <w:rsid w:val="003E7EFB"/>
    <w:rsid w:val="003F0427"/>
    <w:rsid w:val="003F0473"/>
    <w:rsid w:val="003F0600"/>
    <w:rsid w:val="003F0971"/>
    <w:rsid w:val="003F1683"/>
    <w:rsid w:val="003F1873"/>
    <w:rsid w:val="003F222A"/>
    <w:rsid w:val="003F23AC"/>
    <w:rsid w:val="003F3271"/>
    <w:rsid w:val="003F4564"/>
    <w:rsid w:val="003F4D75"/>
    <w:rsid w:val="003F5045"/>
    <w:rsid w:val="003F5743"/>
    <w:rsid w:val="003F5C9A"/>
    <w:rsid w:val="003F62DD"/>
    <w:rsid w:val="003F6791"/>
    <w:rsid w:val="003F6C25"/>
    <w:rsid w:val="003F6D54"/>
    <w:rsid w:val="003F70FA"/>
    <w:rsid w:val="003F7767"/>
    <w:rsid w:val="003F7816"/>
    <w:rsid w:val="0040014B"/>
    <w:rsid w:val="0040028C"/>
    <w:rsid w:val="004015D2"/>
    <w:rsid w:val="00401950"/>
    <w:rsid w:val="004021E3"/>
    <w:rsid w:val="00402454"/>
    <w:rsid w:val="004024FA"/>
    <w:rsid w:val="00403B31"/>
    <w:rsid w:val="00403C4A"/>
    <w:rsid w:val="00403ECE"/>
    <w:rsid w:val="00403FB5"/>
    <w:rsid w:val="00405061"/>
    <w:rsid w:val="004052AE"/>
    <w:rsid w:val="0040588B"/>
    <w:rsid w:val="00405AC0"/>
    <w:rsid w:val="00407166"/>
    <w:rsid w:val="00407419"/>
    <w:rsid w:val="00407552"/>
    <w:rsid w:val="00407BA4"/>
    <w:rsid w:val="00407D91"/>
    <w:rsid w:val="004108F9"/>
    <w:rsid w:val="00410FD8"/>
    <w:rsid w:val="0041102B"/>
    <w:rsid w:val="00411CDC"/>
    <w:rsid w:val="00411D77"/>
    <w:rsid w:val="0041272B"/>
    <w:rsid w:val="004127CD"/>
    <w:rsid w:val="0041286C"/>
    <w:rsid w:val="0041348C"/>
    <w:rsid w:val="00413959"/>
    <w:rsid w:val="00413C1C"/>
    <w:rsid w:val="00414919"/>
    <w:rsid w:val="00414D8E"/>
    <w:rsid w:val="00415022"/>
    <w:rsid w:val="00415327"/>
    <w:rsid w:val="0041568C"/>
    <w:rsid w:val="00416329"/>
    <w:rsid w:val="00416957"/>
    <w:rsid w:val="004177DB"/>
    <w:rsid w:val="0041788E"/>
    <w:rsid w:val="00420345"/>
    <w:rsid w:val="0042081B"/>
    <w:rsid w:val="004210C2"/>
    <w:rsid w:val="004214CC"/>
    <w:rsid w:val="0042194D"/>
    <w:rsid w:val="0042239D"/>
    <w:rsid w:val="004228B3"/>
    <w:rsid w:val="004231C7"/>
    <w:rsid w:val="00425610"/>
    <w:rsid w:val="00425A68"/>
    <w:rsid w:val="00425D0D"/>
    <w:rsid w:val="00426323"/>
    <w:rsid w:val="004301E5"/>
    <w:rsid w:val="00430A37"/>
    <w:rsid w:val="004311A8"/>
    <w:rsid w:val="004315C8"/>
    <w:rsid w:val="00431790"/>
    <w:rsid w:val="004327E7"/>
    <w:rsid w:val="00432C14"/>
    <w:rsid w:val="00432E4F"/>
    <w:rsid w:val="0043384D"/>
    <w:rsid w:val="00433869"/>
    <w:rsid w:val="00433927"/>
    <w:rsid w:val="004345C9"/>
    <w:rsid w:val="00434FCB"/>
    <w:rsid w:val="00435408"/>
    <w:rsid w:val="00435D47"/>
    <w:rsid w:val="00435E98"/>
    <w:rsid w:val="00437553"/>
    <w:rsid w:val="004375FF"/>
    <w:rsid w:val="004376FA"/>
    <w:rsid w:val="00437776"/>
    <w:rsid w:val="004377DE"/>
    <w:rsid w:val="004405B3"/>
    <w:rsid w:val="0044109A"/>
    <w:rsid w:val="00441AE7"/>
    <w:rsid w:val="00442410"/>
    <w:rsid w:val="00442446"/>
    <w:rsid w:val="00442594"/>
    <w:rsid w:val="004430D6"/>
    <w:rsid w:val="004431E6"/>
    <w:rsid w:val="00443B77"/>
    <w:rsid w:val="00443F7E"/>
    <w:rsid w:val="0044496B"/>
    <w:rsid w:val="00445337"/>
    <w:rsid w:val="00445543"/>
    <w:rsid w:val="00445683"/>
    <w:rsid w:val="00446A99"/>
    <w:rsid w:val="00446AF7"/>
    <w:rsid w:val="00446DCC"/>
    <w:rsid w:val="0044734A"/>
    <w:rsid w:val="004476CD"/>
    <w:rsid w:val="0045018E"/>
    <w:rsid w:val="004503BD"/>
    <w:rsid w:val="004506DB"/>
    <w:rsid w:val="0045101C"/>
    <w:rsid w:val="00451166"/>
    <w:rsid w:val="004523DC"/>
    <w:rsid w:val="00453ADC"/>
    <w:rsid w:val="004541DE"/>
    <w:rsid w:val="004543BF"/>
    <w:rsid w:val="00454688"/>
    <w:rsid w:val="004546DF"/>
    <w:rsid w:val="00454CF7"/>
    <w:rsid w:val="004552B7"/>
    <w:rsid w:val="004554CB"/>
    <w:rsid w:val="00455948"/>
    <w:rsid w:val="00456131"/>
    <w:rsid w:val="004572FA"/>
    <w:rsid w:val="00457747"/>
    <w:rsid w:val="00457E63"/>
    <w:rsid w:val="00460376"/>
    <w:rsid w:val="00460556"/>
    <w:rsid w:val="00461100"/>
    <w:rsid w:val="00461207"/>
    <w:rsid w:val="00461696"/>
    <w:rsid w:val="004623BC"/>
    <w:rsid w:val="004623CB"/>
    <w:rsid w:val="00462EFA"/>
    <w:rsid w:val="00462F5F"/>
    <w:rsid w:val="00463019"/>
    <w:rsid w:val="00463130"/>
    <w:rsid w:val="0046318C"/>
    <w:rsid w:val="004631A4"/>
    <w:rsid w:val="0046323B"/>
    <w:rsid w:val="00463333"/>
    <w:rsid w:val="0046364C"/>
    <w:rsid w:val="0046371B"/>
    <w:rsid w:val="004642BD"/>
    <w:rsid w:val="00465562"/>
    <w:rsid w:val="0046590F"/>
    <w:rsid w:val="00466788"/>
    <w:rsid w:val="00466D5B"/>
    <w:rsid w:val="00466E98"/>
    <w:rsid w:val="00467A16"/>
    <w:rsid w:val="00470A4A"/>
    <w:rsid w:val="00470A9E"/>
    <w:rsid w:val="004712C8"/>
    <w:rsid w:val="0047173A"/>
    <w:rsid w:val="00472226"/>
    <w:rsid w:val="00472395"/>
    <w:rsid w:val="004723B1"/>
    <w:rsid w:val="004729D7"/>
    <w:rsid w:val="00472EC6"/>
    <w:rsid w:val="0047340B"/>
    <w:rsid w:val="0047362A"/>
    <w:rsid w:val="0047396F"/>
    <w:rsid w:val="00474280"/>
    <w:rsid w:val="0047428E"/>
    <w:rsid w:val="0047440E"/>
    <w:rsid w:val="004749DD"/>
    <w:rsid w:val="00475286"/>
    <w:rsid w:val="0047565D"/>
    <w:rsid w:val="00475CF6"/>
    <w:rsid w:val="004765F8"/>
    <w:rsid w:val="00476AFB"/>
    <w:rsid w:val="0048053B"/>
    <w:rsid w:val="004813BC"/>
    <w:rsid w:val="00481C6E"/>
    <w:rsid w:val="00481FDB"/>
    <w:rsid w:val="0048290B"/>
    <w:rsid w:val="0048301E"/>
    <w:rsid w:val="004830D0"/>
    <w:rsid w:val="004841D4"/>
    <w:rsid w:val="00484512"/>
    <w:rsid w:val="00484A74"/>
    <w:rsid w:val="00485020"/>
    <w:rsid w:val="00486096"/>
    <w:rsid w:val="004871F3"/>
    <w:rsid w:val="00487B44"/>
    <w:rsid w:val="004906E4"/>
    <w:rsid w:val="00491048"/>
    <w:rsid w:val="0049130D"/>
    <w:rsid w:val="004926E3"/>
    <w:rsid w:val="004927F2"/>
    <w:rsid w:val="00492E7B"/>
    <w:rsid w:val="00493084"/>
    <w:rsid w:val="00494388"/>
    <w:rsid w:val="0049443B"/>
    <w:rsid w:val="00494459"/>
    <w:rsid w:val="00494623"/>
    <w:rsid w:val="00494812"/>
    <w:rsid w:val="00494831"/>
    <w:rsid w:val="004954E4"/>
    <w:rsid w:val="0049572F"/>
    <w:rsid w:val="0049698D"/>
    <w:rsid w:val="00496A3E"/>
    <w:rsid w:val="00496D5A"/>
    <w:rsid w:val="00497CBA"/>
    <w:rsid w:val="004A19D0"/>
    <w:rsid w:val="004A1B1A"/>
    <w:rsid w:val="004A224A"/>
    <w:rsid w:val="004A224F"/>
    <w:rsid w:val="004A32C2"/>
    <w:rsid w:val="004A34E9"/>
    <w:rsid w:val="004A399F"/>
    <w:rsid w:val="004A3C94"/>
    <w:rsid w:val="004A3E49"/>
    <w:rsid w:val="004A4059"/>
    <w:rsid w:val="004A409A"/>
    <w:rsid w:val="004A4422"/>
    <w:rsid w:val="004A5332"/>
    <w:rsid w:val="004A61B8"/>
    <w:rsid w:val="004A6432"/>
    <w:rsid w:val="004A64A9"/>
    <w:rsid w:val="004A68CA"/>
    <w:rsid w:val="004A6C95"/>
    <w:rsid w:val="004A70CE"/>
    <w:rsid w:val="004A77C3"/>
    <w:rsid w:val="004B0B48"/>
    <w:rsid w:val="004B174E"/>
    <w:rsid w:val="004B1AE8"/>
    <w:rsid w:val="004B25F2"/>
    <w:rsid w:val="004B2D33"/>
    <w:rsid w:val="004B2DC3"/>
    <w:rsid w:val="004B3E51"/>
    <w:rsid w:val="004B473E"/>
    <w:rsid w:val="004B485C"/>
    <w:rsid w:val="004B56F7"/>
    <w:rsid w:val="004B5CA8"/>
    <w:rsid w:val="004B61B5"/>
    <w:rsid w:val="004B69DC"/>
    <w:rsid w:val="004B6AE7"/>
    <w:rsid w:val="004B6CD5"/>
    <w:rsid w:val="004B6E72"/>
    <w:rsid w:val="004B6E7F"/>
    <w:rsid w:val="004B772E"/>
    <w:rsid w:val="004B7DCA"/>
    <w:rsid w:val="004B7FFC"/>
    <w:rsid w:val="004C00BF"/>
    <w:rsid w:val="004C010D"/>
    <w:rsid w:val="004C08AB"/>
    <w:rsid w:val="004C12E5"/>
    <w:rsid w:val="004C150A"/>
    <w:rsid w:val="004C1B69"/>
    <w:rsid w:val="004C1EA4"/>
    <w:rsid w:val="004C220D"/>
    <w:rsid w:val="004C2224"/>
    <w:rsid w:val="004C24AF"/>
    <w:rsid w:val="004C3113"/>
    <w:rsid w:val="004C433F"/>
    <w:rsid w:val="004C4ADF"/>
    <w:rsid w:val="004C4FBA"/>
    <w:rsid w:val="004C510A"/>
    <w:rsid w:val="004C511B"/>
    <w:rsid w:val="004C5BA0"/>
    <w:rsid w:val="004C5E88"/>
    <w:rsid w:val="004C5FED"/>
    <w:rsid w:val="004C6B44"/>
    <w:rsid w:val="004C6BBA"/>
    <w:rsid w:val="004C781F"/>
    <w:rsid w:val="004D0973"/>
    <w:rsid w:val="004D1303"/>
    <w:rsid w:val="004D150C"/>
    <w:rsid w:val="004D20BA"/>
    <w:rsid w:val="004D2BB6"/>
    <w:rsid w:val="004D38D4"/>
    <w:rsid w:val="004D3A9B"/>
    <w:rsid w:val="004D3E95"/>
    <w:rsid w:val="004D425C"/>
    <w:rsid w:val="004D4368"/>
    <w:rsid w:val="004D4860"/>
    <w:rsid w:val="004D4C58"/>
    <w:rsid w:val="004D4FCC"/>
    <w:rsid w:val="004D539C"/>
    <w:rsid w:val="004D55DE"/>
    <w:rsid w:val="004D72D9"/>
    <w:rsid w:val="004D74BF"/>
    <w:rsid w:val="004D7846"/>
    <w:rsid w:val="004E06C1"/>
    <w:rsid w:val="004E09E9"/>
    <w:rsid w:val="004E0A3E"/>
    <w:rsid w:val="004E0AE1"/>
    <w:rsid w:val="004E0ED6"/>
    <w:rsid w:val="004E1376"/>
    <w:rsid w:val="004E1C52"/>
    <w:rsid w:val="004E2966"/>
    <w:rsid w:val="004E2A0B"/>
    <w:rsid w:val="004E2AAC"/>
    <w:rsid w:val="004E2DDE"/>
    <w:rsid w:val="004E3E83"/>
    <w:rsid w:val="004E3EA3"/>
    <w:rsid w:val="004E4118"/>
    <w:rsid w:val="004E42BD"/>
    <w:rsid w:val="004E471C"/>
    <w:rsid w:val="004E56D4"/>
    <w:rsid w:val="004E57AB"/>
    <w:rsid w:val="004E5B42"/>
    <w:rsid w:val="004E6601"/>
    <w:rsid w:val="004E678C"/>
    <w:rsid w:val="004E6B9E"/>
    <w:rsid w:val="004E7EAA"/>
    <w:rsid w:val="004F0AE9"/>
    <w:rsid w:val="004F0D04"/>
    <w:rsid w:val="004F0FB9"/>
    <w:rsid w:val="004F1861"/>
    <w:rsid w:val="004F1A08"/>
    <w:rsid w:val="004F1F9C"/>
    <w:rsid w:val="004F2549"/>
    <w:rsid w:val="004F2983"/>
    <w:rsid w:val="004F3725"/>
    <w:rsid w:val="004F3BA4"/>
    <w:rsid w:val="004F40A8"/>
    <w:rsid w:val="004F6C70"/>
    <w:rsid w:val="004F6FA3"/>
    <w:rsid w:val="004F715E"/>
    <w:rsid w:val="00500729"/>
    <w:rsid w:val="0050113C"/>
    <w:rsid w:val="005012EE"/>
    <w:rsid w:val="0050190E"/>
    <w:rsid w:val="00501F6D"/>
    <w:rsid w:val="00502018"/>
    <w:rsid w:val="00502A7A"/>
    <w:rsid w:val="00502C1A"/>
    <w:rsid w:val="005031E8"/>
    <w:rsid w:val="00503A1B"/>
    <w:rsid w:val="005045FF"/>
    <w:rsid w:val="005047FB"/>
    <w:rsid w:val="005048FA"/>
    <w:rsid w:val="00504D37"/>
    <w:rsid w:val="005053CE"/>
    <w:rsid w:val="005057CB"/>
    <w:rsid w:val="00505C2C"/>
    <w:rsid w:val="005062C1"/>
    <w:rsid w:val="0050646C"/>
    <w:rsid w:val="00506527"/>
    <w:rsid w:val="005066B5"/>
    <w:rsid w:val="0050692A"/>
    <w:rsid w:val="00506D0C"/>
    <w:rsid w:val="00507041"/>
    <w:rsid w:val="00507067"/>
    <w:rsid w:val="00507C3A"/>
    <w:rsid w:val="00507DDC"/>
    <w:rsid w:val="005108DB"/>
    <w:rsid w:val="00510F64"/>
    <w:rsid w:val="0051112E"/>
    <w:rsid w:val="005116D9"/>
    <w:rsid w:val="00511C78"/>
    <w:rsid w:val="00512244"/>
    <w:rsid w:val="00512A4F"/>
    <w:rsid w:val="00513D31"/>
    <w:rsid w:val="00514040"/>
    <w:rsid w:val="00514276"/>
    <w:rsid w:val="00514787"/>
    <w:rsid w:val="00514B5F"/>
    <w:rsid w:val="005151BB"/>
    <w:rsid w:val="00515649"/>
    <w:rsid w:val="00516364"/>
    <w:rsid w:val="005168D1"/>
    <w:rsid w:val="00516D06"/>
    <w:rsid w:val="00516E7A"/>
    <w:rsid w:val="0051704B"/>
    <w:rsid w:val="00517288"/>
    <w:rsid w:val="005175B3"/>
    <w:rsid w:val="005200CD"/>
    <w:rsid w:val="005202E0"/>
    <w:rsid w:val="00521B03"/>
    <w:rsid w:val="00521B99"/>
    <w:rsid w:val="005221E3"/>
    <w:rsid w:val="00522C79"/>
    <w:rsid w:val="0052307F"/>
    <w:rsid w:val="00523928"/>
    <w:rsid w:val="00524075"/>
    <w:rsid w:val="005242A0"/>
    <w:rsid w:val="005242D1"/>
    <w:rsid w:val="00524C3F"/>
    <w:rsid w:val="005253BC"/>
    <w:rsid w:val="005258F8"/>
    <w:rsid w:val="00525A69"/>
    <w:rsid w:val="00525E80"/>
    <w:rsid w:val="005261C8"/>
    <w:rsid w:val="005264DA"/>
    <w:rsid w:val="0052688E"/>
    <w:rsid w:val="0052690A"/>
    <w:rsid w:val="00526B1F"/>
    <w:rsid w:val="00526E01"/>
    <w:rsid w:val="00526EDE"/>
    <w:rsid w:val="005270E9"/>
    <w:rsid w:val="005271F9"/>
    <w:rsid w:val="005273E7"/>
    <w:rsid w:val="00527D57"/>
    <w:rsid w:val="005302B0"/>
    <w:rsid w:val="00530BA4"/>
    <w:rsid w:val="00531C5F"/>
    <w:rsid w:val="0053204E"/>
    <w:rsid w:val="0053216B"/>
    <w:rsid w:val="00532668"/>
    <w:rsid w:val="005335EA"/>
    <w:rsid w:val="0053382A"/>
    <w:rsid w:val="0053388B"/>
    <w:rsid w:val="005339C4"/>
    <w:rsid w:val="00534297"/>
    <w:rsid w:val="00534450"/>
    <w:rsid w:val="00534AF9"/>
    <w:rsid w:val="00534B6E"/>
    <w:rsid w:val="00534E36"/>
    <w:rsid w:val="0053598A"/>
    <w:rsid w:val="00535C56"/>
    <w:rsid w:val="00535DB6"/>
    <w:rsid w:val="00535E69"/>
    <w:rsid w:val="00536077"/>
    <w:rsid w:val="00536150"/>
    <w:rsid w:val="00537B6A"/>
    <w:rsid w:val="00537D3D"/>
    <w:rsid w:val="005400F3"/>
    <w:rsid w:val="0054097B"/>
    <w:rsid w:val="00540ED1"/>
    <w:rsid w:val="0054120D"/>
    <w:rsid w:val="0054122E"/>
    <w:rsid w:val="005417F2"/>
    <w:rsid w:val="00541D8E"/>
    <w:rsid w:val="00541E9F"/>
    <w:rsid w:val="005423AC"/>
    <w:rsid w:val="005424D2"/>
    <w:rsid w:val="00542BC1"/>
    <w:rsid w:val="0054325E"/>
    <w:rsid w:val="00544D28"/>
    <w:rsid w:val="00544D84"/>
    <w:rsid w:val="005452A9"/>
    <w:rsid w:val="00545371"/>
    <w:rsid w:val="005457FB"/>
    <w:rsid w:val="00545848"/>
    <w:rsid w:val="00545B9F"/>
    <w:rsid w:val="0054606D"/>
    <w:rsid w:val="00546234"/>
    <w:rsid w:val="0054668B"/>
    <w:rsid w:val="0054671E"/>
    <w:rsid w:val="00546970"/>
    <w:rsid w:val="00546F89"/>
    <w:rsid w:val="00547509"/>
    <w:rsid w:val="00547798"/>
    <w:rsid w:val="00550104"/>
    <w:rsid w:val="005508CB"/>
    <w:rsid w:val="00550B16"/>
    <w:rsid w:val="00551E4B"/>
    <w:rsid w:val="0055339D"/>
    <w:rsid w:val="00553592"/>
    <w:rsid w:val="00554B60"/>
    <w:rsid w:val="00554B7D"/>
    <w:rsid w:val="00556A28"/>
    <w:rsid w:val="00556B2E"/>
    <w:rsid w:val="00556F1E"/>
    <w:rsid w:val="005577C3"/>
    <w:rsid w:val="005577FD"/>
    <w:rsid w:val="00560410"/>
    <w:rsid w:val="005604F3"/>
    <w:rsid w:val="0056118C"/>
    <w:rsid w:val="00561DFC"/>
    <w:rsid w:val="00562121"/>
    <w:rsid w:val="00562F92"/>
    <w:rsid w:val="00563673"/>
    <w:rsid w:val="00564181"/>
    <w:rsid w:val="00564882"/>
    <w:rsid w:val="00565A00"/>
    <w:rsid w:val="00565B46"/>
    <w:rsid w:val="005664C8"/>
    <w:rsid w:val="00566B6D"/>
    <w:rsid w:val="0057050F"/>
    <w:rsid w:val="005706D6"/>
    <w:rsid w:val="0057121C"/>
    <w:rsid w:val="005714DF"/>
    <w:rsid w:val="005715AB"/>
    <w:rsid w:val="00571B68"/>
    <w:rsid w:val="00571B6B"/>
    <w:rsid w:val="00571D6F"/>
    <w:rsid w:val="00571F8B"/>
    <w:rsid w:val="005726D5"/>
    <w:rsid w:val="00572A16"/>
    <w:rsid w:val="005733A3"/>
    <w:rsid w:val="0057430F"/>
    <w:rsid w:val="005744B5"/>
    <w:rsid w:val="00574CAF"/>
    <w:rsid w:val="0057566D"/>
    <w:rsid w:val="0057654A"/>
    <w:rsid w:val="0057660A"/>
    <w:rsid w:val="005768D7"/>
    <w:rsid w:val="0057741D"/>
    <w:rsid w:val="005774B2"/>
    <w:rsid w:val="00577756"/>
    <w:rsid w:val="005777DA"/>
    <w:rsid w:val="00577805"/>
    <w:rsid w:val="00577A64"/>
    <w:rsid w:val="0058011F"/>
    <w:rsid w:val="00580280"/>
    <w:rsid w:val="00581D2A"/>
    <w:rsid w:val="00582BCF"/>
    <w:rsid w:val="00582E21"/>
    <w:rsid w:val="005837B5"/>
    <w:rsid w:val="00583A5D"/>
    <w:rsid w:val="00583E6E"/>
    <w:rsid w:val="00584136"/>
    <w:rsid w:val="00584174"/>
    <w:rsid w:val="0058423C"/>
    <w:rsid w:val="005843DC"/>
    <w:rsid w:val="00584754"/>
    <w:rsid w:val="00584984"/>
    <w:rsid w:val="00584EB0"/>
    <w:rsid w:val="0058504A"/>
    <w:rsid w:val="0058522C"/>
    <w:rsid w:val="005852CB"/>
    <w:rsid w:val="00585333"/>
    <w:rsid w:val="0058572D"/>
    <w:rsid w:val="005859D8"/>
    <w:rsid w:val="00585DB0"/>
    <w:rsid w:val="00586E6D"/>
    <w:rsid w:val="0058745D"/>
    <w:rsid w:val="00587C9F"/>
    <w:rsid w:val="005901C5"/>
    <w:rsid w:val="00591A24"/>
    <w:rsid w:val="00592083"/>
    <w:rsid w:val="00592969"/>
    <w:rsid w:val="00592DB2"/>
    <w:rsid w:val="00592E60"/>
    <w:rsid w:val="0059327B"/>
    <w:rsid w:val="005938B3"/>
    <w:rsid w:val="00594742"/>
    <w:rsid w:val="005949B0"/>
    <w:rsid w:val="00594C67"/>
    <w:rsid w:val="00595469"/>
    <w:rsid w:val="005956D3"/>
    <w:rsid w:val="005959F2"/>
    <w:rsid w:val="00595C75"/>
    <w:rsid w:val="005965D7"/>
    <w:rsid w:val="005967B2"/>
    <w:rsid w:val="00596BF4"/>
    <w:rsid w:val="00596D03"/>
    <w:rsid w:val="00597159"/>
    <w:rsid w:val="00597320"/>
    <w:rsid w:val="00597501"/>
    <w:rsid w:val="00597F64"/>
    <w:rsid w:val="005A0743"/>
    <w:rsid w:val="005A1618"/>
    <w:rsid w:val="005A1AF4"/>
    <w:rsid w:val="005A1AFC"/>
    <w:rsid w:val="005A1FAB"/>
    <w:rsid w:val="005A25FE"/>
    <w:rsid w:val="005A2C1D"/>
    <w:rsid w:val="005A2E0C"/>
    <w:rsid w:val="005A3591"/>
    <w:rsid w:val="005A46BE"/>
    <w:rsid w:val="005A46C1"/>
    <w:rsid w:val="005A5046"/>
    <w:rsid w:val="005A5653"/>
    <w:rsid w:val="005A637E"/>
    <w:rsid w:val="005A6ADC"/>
    <w:rsid w:val="005A728C"/>
    <w:rsid w:val="005A78E3"/>
    <w:rsid w:val="005B0117"/>
    <w:rsid w:val="005B0952"/>
    <w:rsid w:val="005B110A"/>
    <w:rsid w:val="005B1559"/>
    <w:rsid w:val="005B199C"/>
    <w:rsid w:val="005B1A82"/>
    <w:rsid w:val="005B1E31"/>
    <w:rsid w:val="005B2B43"/>
    <w:rsid w:val="005B2D3E"/>
    <w:rsid w:val="005B2EE6"/>
    <w:rsid w:val="005B34D5"/>
    <w:rsid w:val="005B3D73"/>
    <w:rsid w:val="005B4025"/>
    <w:rsid w:val="005B468A"/>
    <w:rsid w:val="005B476D"/>
    <w:rsid w:val="005B4AA0"/>
    <w:rsid w:val="005B6E11"/>
    <w:rsid w:val="005B6F55"/>
    <w:rsid w:val="005B7139"/>
    <w:rsid w:val="005C19A1"/>
    <w:rsid w:val="005C2160"/>
    <w:rsid w:val="005C21A4"/>
    <w:rsid w:val="005C225D"/>
    <w:rsid w:val="005C2329"/>
    <w:rsid w:val="005C250E"/>
    <w:rsid w:val="005C2613"/>
    <w:rsid w:val="005C26C2"/>
    <w:rsid w:val="005C2CEF"/>
    <w:rsid w:val="005C31EB"/>
    <w:rsid w:val="005C596C"/>
    <w:rsid w:val="005C5AAE"/>
    <w:rsid w:val="005C5AF2"/>
    <w:rsid w:val="005C5BA5"/>
    <w:rsid w:val="005C649D"/>
    <w:rsid w:val="005C69B1"/>
    <w:rsid w:val="005C7781"/>
    <w:rsid w:val="005C7A49"/>
    <w:rsid w:val="005D0065"/>
    <w:rsid w:val="005D03C8"/>
    <w:rsid w:val="005D0C26"/>
    <w:rsid w:val="005D0D53"/>
    <w:rsid w:val="005D1C0F"/>
    <w:rsid w:val="005D1EC0"/>
    <w:rsid w:val="005D21A7"/>
    <w:rsid w:val="005D2DA0"/>
    <w:rsid w:val="005D3092"/>
    <w:rsid w:val="005D4386"/>
    <w:rsid w:val="005D539B"/>
    <w:rsid w:val="005D53E3"/>
    <w:rsid w:val="005D544C"/>
    <w:rsid w:val="005D5E4A"/>
    <w:rsid w:val="005D6C34"/>
    <w:rsid w:val="005D71B4"/>
    <w:rsid w:val="005D78DC"/>
    <w:rsid w:val="005E02F8"/>
    <w:rsid w:val="005E0DCE"/>
    <w:rsid w:val="005E1752"/>
    <w:rsid w:val="005E1A9F"/>
    <w:rsid w:val="005E1AA5"/>
    <w:rsid w:val="005E1B39"/>
    <w:rsid w:val="005E1BFE"/>
    <w:rsid w:val="005E2F47"/>
    <w:rsid w:val="005E318F"/>
    <w:rsid w:val="005E35F5"/>
    <w:rsid w:val="005E36C7"/>
    <w:rsid w:val="005E3AF8"/>
    <w:rsid w:val="005E443F"/>
    <w:rsid w:val="005E51B4"/>
    <w:rsid w:val="005E5596"/>
    <w:rsid w:val="005E5A21"/>
    <w:rsid w:val="005E5D6A"/>
    <w:rsid w:val="005E5DA4"/>
    <w:rsid w:val="005E6350"/>
    <w:rsid w:val="005E77D4"/>
    <w:rsid w:val="005E7E96"/>
    <w:rsid w:val="005F03F0"/>
    <w:rsid w:val="005F058F"/>
    <w:rsid w:val="005F1B21"/>
    <w:rsid w:val="005F25EA"/>
    <w:rsid w:val="005F2797"/>
    <w:rsid w:val="005F3758"/>
    <w:rsid w:val="005F3F96"/>
    <w:rsid w:val="005F4A58"/>
    <w:rsid w:val="005F54F2"/>
    <w:rsid w:val="005F55F9"/>
    <w:rsid w:val="005F57A3"/>
    <w:rsid w:val="005F5994"/>
    <w:rsid w:val="005F6018"/>
    <w:rsid w:val="005F6071"/>
    <w:rsid w:val="005F60BF"/>
    <w:rsid w:val="005F63C6"/>
    <w:rsid w:val="005F6C15"/>
    <w:rsid w:val="005F776D"/>
    <w:rsid w:val="005F783D"/>
    <w:rsid w:val="006003FF"/>
    <w:rsid w:val="00601F25"/>
    <w:rsid w:val="00602345"/>
    <w:rsid w:val="00602D8F"/>
    <w:rsid w:val="00603A15"/>
    <w:rsid w:val="00603EC0"/>
    <w:rsid w:val="006040B5"/>
    <w:rsid w:val="0060448E"/>
    <w:rsid w:val="00604AAE"/>
    <w:rsid w:val="00604DCB"/>
    <w:rsid w:val="0060523E"/>
    <w:rsid w:val="006052E9"/>
    <w:rsid w:val="00605606"/>
    <w:rsid w:val="006063DB"/>
    <w:rsid w:val="0060753A"/>
    <w:rsid w:val="0060789F"/>
    <w:rsid w:val="00610539"/>
    <w:rsid w:val="0061088A"/>
    <w:rsid w:val="00610890"/>
    <w:rsid w:val="00611A30"/>
    <w:rsid w:val="00611DB8"/>
    <w:rsid w:val="00611F96"/>
    <w:rsid w:val="00612452"/>
    <w:rsid w:val="006128EF"/>
    <w:rsid w:val="00612ADC"/>
    <w:rsid w:val="00613A0B"/>
    <w:rsid w:val="00614D75"/>
    <w:rsid w:val="00616865"/>
    <w:rsid w:val="00616DE0"/>
    <w:rsid w:val="00617082"/>
    <w:rsid w:val="00617F3D"/>
    <w:rsid w:val="00620057"/>
    <w:rsid w:val="00620479"/>
    <w:rsid w:val="00621130"/>
    <w:rsid w:val="00621289"/>
    <w:rsid w:val="00621946"/>
    <w:rsid w:val="00621D27"/>
    <w:rsid w:val="00621F15"/>
    <w:rsid w:val="00622028"/>
    <w:rsid w:val="0062225D"/>
    <w:rsid w:val="00622350"/>
    <w:rsid w:val="00622AAE"/>
    <w:rsid w:val="006237D4"/>
    <w:rsid w:val="00623856"/>
    <w:rsid w:val="006244D3"/>
    <w:rsid w:val="006251E0"/>
    <w:rsid w:val="00625B44"/>
    <w:rsid w:val="006261A8"/>
    <w:rsid w:val="0062726A"/>
    <w:rsid w:val="006279CF"/>
    <w:rsid w:val="00630C86"/>
    <w:rsid w:val="00630C93"/>
    <w:rsid w:val="00630CAD"/>
    <w:rsid w:val="0063111C"/>
    <w:rsid w:val="00631164"/>
    <w:rsid w:val="0063132E"/>
    <w:rsid w:val="006316EB"/>
    <w:rsid w:val="00631C89"/>
    <w:rsid w:val="006324C3"/>
    <w:rsid w:val="0063270D"/>
    <w:rsid w:val="00632E9B"/>
    <w:rsid w:val="00634390"/>
    <w:rsid w:val="00634B45"/>
    <w:rsid w:val="00634F7A"/>
    <w:rsid w:val="00635208"/>
    <w:rsid w:val="00635E9B"/>
    <w:rsid w:val="00636825"/>
    <w:rsid w:val="00636F13"/>
    <w:rsid w:val="00637F1E"/>
    <w:rsid w:val="00640EF6"/>
    <w:rsid w:val="00641D56"/>
    <w:rsid w:val="0064214A"/>
    <w:rsid w:val="006432E2"/>
    <w:rsid w:val="00643B73"/>
    <w:rsid w:val="00643CB0"/>
    <w:rsid w:val="00644B2D"/>
    <w:rsid w:val="0064774A"/>
    <w:rsid w:val="0064796E"/>
    <w:rsid w:val="006500B5"/>
    <w:rsid w:val="006501D9"/>
    <w:rsid w:val="00650331"/>
    <w:rsid w:val="00650486"/>
    <w:rsid w:val="006509AD"/>
    <w:rsid w:val="006509DD"/>
    <w:rsid w:val="00650C00"/>
    <w:rsid w:val="00650CA4"/>
    <w:rsid w:val="00650CD0"/>
    <w:rsid w:val="00651428"/>
    <w:rsid w:val="00651B9B"/>
    <w:rsid w:val="00652375"/>
    <w:rsid w:val="0065278B"/>
    <w:rsid w:val="00652D9D"/>
    <w:rsid w:val="00653D38"/>
    <w:rsid w:val="00653EE0"/>
    <w:rsid w:val="00654429"/>
    <w:rsid w:val="00654DFA"/>
    <w:rsid w:val="006551D7"/>
    <w:rsid w:val="00655580"/>
    <w:rsid w:val="00655BCB"/>
    <w:rsid w:val="006572A8"/>
    <w:rsid w:val="0065789A"/>
    <w:rsid w:val="00657D81"/>
    <w:rsid w:val="00657E5F"/>
    <w:rsid w:val="006606B7"/>
    <w:rsid w:val="00660EFD"/>
    <w:rsid w:val="00661007"/>
    <w:rsid w:val="0066129A"/>
    <w:rsid w:val="00662950"/>
    <w:rsid w:val="00662BC9"/>
    <w:rsid w:val="00662F58"/>
    <w:rsid w:val="00663E4B"/>
    <w:rsid w:val="00663F09"/>
    <w:rsid w:val="0066473C"/>
    <w:rsid w:val="006662A2"/>
    <w:rsid w:val="006666C8"/>
    <w:rsid w:val="006671FC"/>
    <w:rsid w:val="0066766D"/>
    <w:rsid w:val="00667D2E"/>
    <w:rsid w:val="00667E26"/>
    <w:rsid w:val="00667EBE"/>
    <w:rsid w:val="00667EEF"/>
    <w:rsid w:val="00670575"/>
    <w:rsid w:val="0067082D"/>
    <w:rsid w:val="006709F2"/>
    <w:rsid w:val="00670E54"/>
    <w:rsid w:val="0067130B"/>
    <w:rsid w:val="00671DC0"/>
    <w:rsid w:val="00671DF2"/>
    <w:rsid w:val="0067245B"/>
    <w:rsid w:val="00673A06"/>
    <w:rsid w:val="00673EB9"/>
    <w:rsid w:val="00673F39"/>
    <w:rsid w:val="006744E7"/>
    <w:rsid w:val="006749EB"/>
    <w:rsid w:val="00676E62"/>
    <w:rsid w:val="0067763D"/>
    <w:rsid w:val="006776BF"/>
    <w:rsid w:val="006778BF"/>
    <w:rsid w:val="00680D4A"/>
    <w:rsid w:val="00681178"/>
    <w:rsid w:val="006814A6"/>
    <w:rsid w:val="00681A75"/>
    <w:rsid w:val="00682203"/>
    <w:rsid w:val="00682419"/>
    <w:rsid w:val="0068265F"/>
    <w:rsid w:val="0068296C"/>
    <w:rsid w:val="00682B21"/>
    <w:rsid w:val="0068304A"/>
    <w:rsid w:val="00683199"/>
    <w:rsid w:val="00683D72"/>
    <w:rsid w:val="00684039"/>
    <w:rsid w:val="006842EB"/>
    <w:rsid w:val="00684389"/>
    <w:rsid w:val="006846ED"/>
    <w:rsid w:val="006848EE"/>
    <w:rsid w:val="0068491F"/>
    <w:rsid w:val="00684E9E"/>
    <w:rsid w:val="00684F03"/>
    <w:rsid w:val="00684FE1"/>
    <w:rsid w:val="00685307"/>
    <w:rsid w:val="006860AC"/>
    <w:rsid w:val="006867C2"/>
    <w:rsid w:val="00690C64"/>
    <w:rsid w:val="00690C70"/>
    <w:rsid w:val="006910A6"/>
    <w:rsid w:val="006915EC"/>
    <w:rsid w:val="00693189"/>
    <w:rsid w:val="006934F4"/>
    <w:rsid w:val="0069368C"/>
    <w:rsid w:val="00693F6C"/>
    <w:rsid w:val="00694514"/>
    <w:rsid w:val="00694536"/>
    <w:rsid w:val="006948D5"/>
    <w:rsid w:val="00695862"/>
    <w:rsid w:val="00695A58"/>
    <w:rsid w:val="00695BB7"/>
    <w:rsid w:val="00696B60"/>
    <w:rsid w:val="00696C54"/>
    <w:rsid w:val="006975EA"/>
    <w:rsid w:val="006A0080"/>
    <w:rsid w:val="006A06C0"/>
    <w:rsid w:val="006A0782"/>
    <w:rsid w:val="006A09F3"/>
    <w:rsid w:val="006A0E3D"/>
    <w:rsid w:val="006A1541"/>
    <w:rsid w:val="006A1909"/>
    <w:rsid w:val="006A1A4A"/>
    <w:rsid w:val="006A1DCF"/>
    <w:rsid w:val="006A2160"/>
    <w:rsid w:val="006A24C0"/>
    <w:rsid w:val="006A3175"/>
    <w:rsid w:val="006A3882"/>
    <w:rsid w:val="006A4D1E"/>
    <w:rsid w:val="006A4FD8"/>
    <w:rsid w:val="006A52FB"/>
    <w:rsid w:val="006A7B55"/>
    <w:rsid w:val="006A7FA6"/>
    <w:rsid w:val="006B1238"/>
    <w:rsid w:val="006B1ADC"/>
    <w:rsid w:val="006B28B4"/>
    <w:rsid w:val="006B2A88"/>
    <w:rsid w:val="006B3874"/>
    <w:rsid w:val="006B3CF4"/>
    <w:rsid w:val="006B4A35"/>
    <w:rsid w:val="006B5243"/>
    <w:rsid w:val="006B5A3E"/>
    <w:rsid w:val="006B5AF7"/>
    <w:rsid w:val="006B7390"/>
    <w:rsid w:val="006B766D"/>
    <w:rsid w:val="006B7E4C"/>
    <w:rsid w:val="006C0167"/>
    <w:rsid w:val="006C0170"/>
    <w:rsid w:val="006C11A9"/>
    <w:rsid w:val="006C16DA"/>
    <w:rsid w:val="006C18C2"/>
    <w:rsid w:val="006C25FE"/>
    <w:rsid w:val="006C2CFA"/>
    <w:rsid w:val="006C319D"/>
    <w:rsid w:val="006C33F9"/>
    <w:rsid w:val="006C39A9"/>
    <w:rsid w:val="006C3F3B"/>
    <w:rsid w:val="006C4CC9"/>
    <w:rsid w:val="006C582D"/>
    <w:rsid w:val="006C5AF5"/>
    <w:rsid w:val="006C5DA2"/>
    <w:rsid w:val="006C6EFA"/>
    <w:rsid w:val="006C7175"/>
    <w:rsid w:val="006C7960"/>
    <w:rsid w:val="006C79AE"/>
    <w:rsid w:val="006C7BA8"/>
    <w:rsid w:val="006C7FEC"/>
    <w:rsid w:val="006D078A"/>
    <w:rsid w:val="006D0E49"/>
    <w:rsid w:val="006D0EA3"/>
    <w:rsid w:val="006D1451"/>
    <w:rsid w:val="006D1C9B"/>
    <w:rsid w:val="006D1DF0"/>
    <w:rsid w:val="006D2716"/>
    <w:rsid w:val="006D2733"/>
    <w:rsid w:val="006D34C8"/>
    <w:rsid w:val="006D4ED9"/>
    <w:rsid w:val="006D5243"/>
    <w:rsid w:val="006D5545"/>
    <w:rsid w:val="006D591B"/>
    <w:rsid w:val="006D6774"/>
    <w:rsid w:val="006D6CB6"/>
    <w:rsid w:val="006D709B"/>
    <w:rsid w:val="006D724A"/>
    <w:rsid w:val="006D7501"/>
    <w:rsid w:val="006D78CB"/>
    <w:rsid w:val="006E1A83"/>
    <w:rsid w:val="006E1E74"/>
    <w:rsid w:val="006E21EB"/>
    <w:rsid w:val="006E36CB"/>
    <w:rsid w:val="006E5479"/>
    <w:rsid w:val="006E5AE7"/>
    <w:rsid w:val="006E5B8C"/>
    <w:rsid w:val="006E6255"/>
    <w:rsid w:val="006E67AD"/>
    <w:rsid w:val="006E6FC6"/>
    <w:rsid w:val="006E7E89"/>
    <w:rsid w:val="006F01D5"/>
    <w:rsid w:val="006F03CF"/>
    <w:rsid w:val="006F0911"/>
    <w:rsid w:val="006F1A36"/>
    <w:rsid w:val="006F331F"/>
    <w:rsid w:val="006F3A07"/>
    <w:rsid w:val="006F50F2"/>
    <w:rsid w:val="006F574A"/>
    <w:rsid w:val="006F5A9D"/>
    <w:rsid w:val="006F5B1F"/>
    <w:rsid w:val="006F67A1"/>
    <w:rsid w:val="006F75DF"/>
    <w:rsid w:val="006F7865"/>
    <w:rsid w:val="006F7985"/>
    <w:rsid w:val="006F7BDB"/>
    <w:rsid w:val="00700157"/>
    <w:rsid w:val="00700346"/>
    <w:rsid w:val="007008FB"/>
    <w:rsid w:val="00700AD0"/>
    <w:rsid w:val="0070130A"/>
    <w:rsid w:val="007017F0"/>
    <w:rsid w:val="00702BE7"/>
    <w:rsid w:val="00702D89"/>
    <w:rsid w:val="007033AD"/>
    <w:rsid w:val="00703B72"/>
    <w:rsid w:val="00703DAE"/>
    <w:rsid w:val="00704151"/>
    <w:rsid w:val="00704221"/>
    <w:rsid w:val="007046A3"/>
    <w:rsid w:val="0070471E"/>
    <w:rsid w:val="0070776C"/>
    <w:rsid w:val="0071080A"/>
    <w:rsid w:val="00711075"/>
    <w:rsid w:val="00711EC7"/>
    <w:rsid w:val="007133AC"/>
    <w:rsid w:val="007133F8"/>
    <w:rsid w:val="007138DE"/>
    <w:rsid w:val="00714F6B"/>
    <w:rsid w:val="007156B5"/>
    <w:rsid w:val="007159F9"/>
    <w:rsid w:val="007160DF"/>
    <w:rsid w:val="00716747"/>
    <w:rsid w:val="00716903"/>
    <w:rsid w:val="00716A4F"/>
    <w:rsid w:val="007172BA"/>
    <w:rsid w:val="00717EE5"/>
    <w:rsid w:val="007201BB"/>
    <w:rsid w:val="007203B2"/>
    <w:rsid w:val="00720892"/>
    <w:rsid w:val="00720A2A"/>
    <w:rsid w:val="007210CD"/>
    <w:rsid w:val="00721159"/>
    <w:rsid w:val="00721F6A"/>
    <w:rsid w:val="00721FF1"/>
    <w:rsid w:val="007223DD"/>
    <w:rsid w:val="0072283C"/>
    <w:rsid w:val="00723065"/>
    <w:rsid w:val="00723786"/>
    <w:rsid w:val="00723AB2"/>
    <w:rsid w:val="00723B3C"/>
    <w:rsid w:val="00723CEA"/>
    <w:rsid w:val="0072434B"/>
    <w:rsid w:val="00724502"/>
    <w:rsid w:val="007247D6"/>
    <w:rsid w:val="0072545A"/>
    <w:rsid w:val="00725D46"/>
    <w:rsid w:val="00726119"/>
    <w:rsid w:val="007264F2"/>
    <w:rsid w:val="0072655C"/>
    <w:rsid w:val="00726B5C"/>
    <w:rsid w:val="007272D8"/>
    <w:rsid w:val="00727320"/>
    <w:rsid w:val="00727964"/>
    <w:rsid w:val="0073030C"/>
    <w:rsid w:val="007309EE"/>
    <w:rsid w:val="00730F5E"/>
    <w:rsid w:val="0073139E"/>
    <w:rsid w:val="00731919"/>
    <w:rsid w:val="00731BB9"/>
    <w:rsid w:val="00731D9D"/>
    <w:rsid w:val="0073287C"/>
    <w:rsid w:val="00732E36"/>
    <w:rsid w:val="00732EAB"/>
    <w:rsid w:val="00733353"/>
    <w:rsid w:val="00733A12"/>
    <w:rsid w:val="00733C37"/>
    <w:rsid w:val="00733F57"/>
    <w:rsid w:val="00734665"/>
    <w:rsid w:val="0073474B"/>
    <w:rsid w:val="00734939"/>
    <w:rsid w:val="00734ABB"/>
    <w:rsid w:val="00734ACF"/>
    <w:rsid w:val="00734C3D"/>
    <w:rsid w:val="00734DD3"/>
    <w:rsid w:val="00734F92"/>
    <w:rsid w:val="0073543E"/>
    <w:rsid w:val="00735510"/>
    <w:rsid w:val="00735FDD"/>
    <w:rsid w:val="007366A4"/>
    <w:rsid w:val="00737650"/>
    <w:rsid w:val="00737A99"/>
    <w:rsid w:val="0074041E"/>
    <w:rsid w:val="0074055C"/>
    <w:rsid w:val="00740C8E"/>
    <w:rsid w:val="007411D4"/>
    <w:rsid w:val="0074146D"/>
    <w:rsid w:val="007416C6"/>
    <w:rsid w:val="00741EED"/>
    <w:rsid w:val="00741FDC"/>
    <w:rsid w:val="00742973"/>
    <w:rsid w:val="00742D3D"/>
    <w:rsid w:val="00743125"/>
    <w:rsid w:val="0074350C"/>
    <w:rsid w:val="00743ABB"/>
    <w:rsid w:val="00743C97"/>
    <w:rsid w:val="00743DBD"/>
    <w:rsid w:val="00744D48"/>
    <w:rsid w:val="007452B2"/>
    <w:rsid w:val="00745F14"/>
    <w:rsid w:val="00745F45"/>
    <w:rsid w:val="00746042"/>
    <w:rsid w:val="00746411"/>
    <w:rsid w:val="00746C72"/>
    <w:rsid w:val="00746D26"/>
    <w:rsid w:val="00746F92"/>
    <w:rsid w:val="00747ACC"/>
    <w:rsid w:val="00750826"/>
    <w:rsid w:val="00750CB8"/>
    <w:rsid w:val="00751910"/>
    <w:rsid w:val="007528AA"/>
    <w:rsid w:val="007529E0"/>
    <w:rsid w:val="007537BE"/>
    <w:rsid w:val="00753D4C"/>
    <w:rsid w:val="007541D3"/>
    <w:rsid w:val="00754212"/>
    <w:rsid w:val="00755365"/>
    <w:rsid w:val="007567FB"/>
    <w:rsid w:val="0075749C"/>
    <w:rsid w:val="00757FF1"/>
    <w:rsid w:val="00761085"/>
    <w:rsid w:val="007613FA"/>
    <w:rsid w:val="00761CF9"/>
    <w:rsid w:val="007623BC"/>
    <w:rsid w:val="0076270C"/>
    <w:rsid w:val="00762821"/>
    <w:rsid w:val="00762975"/>
    <w:rsid w:val="00762E3A"/>
    <w:rsid w:val="00763DEC"/>
    <w:rsid w:val="00764DD3"/>
    <w:rsid w:val="00764E9C"/>
    <w:rsid w:val="00764F6D"/>
    <w:rsid w:val="00765358"/>
    <w:rsid w:val="0076550A"/>
    <w:rsid w:val="0076620B"/>
    <w:rsid w:val="00766C9E"/>
    <w:rsid w:val="00766E21"/>
    <w:rsid w:val="0076745B"/>
    <w:rsid w:val="007676F2"/>
    <w:rsid w:val="00767CF3"/>
    <w:rsid w:val="00770A5B"/>
    <w:rsid w:val="00770BF2"/>
    <w:rsid w:val="007713FF"/>
    <w:rsid w:val="0077173E"/>
    <w:rsid w:val="00772018"/>
    <w:rsid w:val="00772090"/>
    <w:rsid w:val="007729C7"/>
    <w:rsid w:val="0077386B"/>
    <w:rsid w:val="00773949"/>
    <w:rsid w:val="00773BCF"/>
    <w:rsid w:val="00773CDA"/>
    <w:rsid w:val="0077403C"/>
    <w:rsid w:val="007742C5"/>
    <w:rsid w:val="007743F5"/>
    <w:rsid w:val="007750EF"/>
    <w:rsid w:val="00775890"/>
    <w:rsid w:val="00775C92"/>
    <w:rsid w:val="007760EB"/>
    <w:rsid w:val="00777080"/>
    <w:rsid w:val="007771B9"/>
    <w:rsid w:val="007777C9"/>
    <w:rsid w:val="007800E3"/>
    <w:rsid w:val="0078087A"/>
    <w:rsid w:val="00780D47"/>
    <w:rsid w:val="007815E2"/>
    <w:rsid w:val="007818A4"/>
    <w:rsid w:val="00781E8F"/>
    <w:rsid w:val="0078285C"/>
    <w:rsid w:val="00782E25"/>
    <w:rsid w:val="0078356E"/>
    <w:rsid w:val="00783847"/>
    <w:rsid w:val="00783CBC"/>
    <w:rsid w:val="00783E21"/>
    <w:rsid w:val="00783F74"/>
    <w:rsid w:val="0078434B"/>
    <w:rsid w:val="00784962"/>
    <w:rsid w:val="00784AAF"/>
    <w:rsid w:val="00784B26"/>
    <w:rsid w:val="00784CD9"/>
    <w:rsid w:val="007850C3"/>
    <w:rsid w:val="00785273"/>
    <w:rsid w:val="00785396"/>
    <w:rsid w:val="00785397"/>
    <w:rsid w:val="00785F15"/>
    <w:rsid w:val="007868BC"/>
    <w:rsid w:val="00787D29"/>
    <w:rsid w:val="00790689"/>
    <w:rsid w:val="00790699"/>
    <w:rsid w:val="00791000"/>
    <w:rsid w:val="00791657"/>
    <w:rsid w:val="00791F14"/>
    <w:rsid w:val="0079212B"/>
    <w:rsid w:val="0079280B"/>
    <w:rsid w:val="00792940"/>
    <w:rsid w:val="007930B6"/>
    <w:rsid w:val="00793196"/>
    <w:rsid w:val="0079338C"/>
    <w:rsid w:val="00793E5E"/>
    <w:rsid w:val="00794474"/>
    <w:rsid w:val="00794E17"/>
    <w:rsid w:val="0079541F"/>
    <w:rsid w:val="0079574D"/>
    <w:rsid w:val="00795785"/>
    <w:rsid w:val="00795B6E"/>
    <w:rsid w:val="00795DA0"/>
    <w:rsid w:val="007969FE"/>
    <w:rsid w:val="007A0822"/>
    <w:rsid w:val="007A1598"/>
    <w:rsid w:val="007A1AAD"/>
    <w:rsid w:val="007A3113"/>
    <w:rsid w:val="007A372A"/>
    <w:rsid w:val="007A39DE"/>
    <w:rsid w:val="007A3FCC"/>
    <w:rsid w:val="007A3FD5"/>
    <w:rsid w:val="007A4B6F"/>
    <w:rsid w:val="007A4CEA"/>
    <w:rsid w:val="007A5724"/>
    <w:rsid w:val="007A639F"/>
    <w:rsid w:val="007A6485"/>
    <w:rsid w:val="007A6CC9"/>
    <w:rsid w:val="007A7821"/>
    <w:rsid w:val="007A7962"/>
    <w:rsid w:val="007B0AA4"/>
    <w:rsid w:val="007B10E4"/>
    <w:rsid w:val="007B120C"/>
    <w:rsid w:val="007B1336"/>
    <w:rsid w:val="007B1530"/>
    <w:rsid w:val="007B16CC"/>
    <w:rsid w:val="007B1818"/>
    <w:rsid w:val="007B33CD"/>
    <w:rsid w:val="007B359F"/>
    <w:rsid w:val="007B405F"/>
    <w:rsid w:val="007B412A"/>
    <w:rsid w:val="007B52FF"/>
    <w:rsid w:val="007B58F8"/>
    <w:rsid w:val="007B5FDF"/>
    <w:rsid w:val="007B62B7"/>
    <w:rsid w:val="007B647B"/>
    <w:rsid w:val="007B655A"/>
    <w:rsid w:val="007C038F"/>
    <w:rsid w:val="007C04B5"/>
    <w:rsid w:val="007C0B98"/>
    <w:rsid w:val="007C0D1B"/>
    <w:rsid w:val="007C100A"/>
    <w:rsid w:val="007C4304"/>
    <w:rsid w:val="007C4B6A"/>
    <w:rsid w:val="007C54A5"/>
    <w:rsid w:val="007C5969"/>
    <w:rsid w:val="007C5988"/>
    <w:rsid w:val="007C6443"/>
    <w:rsid w:val="007C6E54"/>
    <w:rsid w:val="007C700C"/>
    <w:rsid w:val="007D0007"/>
    <w:rsid w:val="007D0859"/>
    <w:rsid w:val="007D100F"/>
    <w:rsid w:val="007D127B"/>
    <w:rsid w:val="007D1539"/>
    <w:rsid w:val="007D163F"/>
    <w:rsid w:val="007D18B6"/>
    <w:rsid w:val="007D1B64"/>
    <w:rsid w:val="007D246F"/>
    <w:rsid w:val="007D26DA"/>
    <w:rsid w:val="007D28B5"/>
    <w:rsid w:val="007D2A0C"/>
    <w:rsid w:val="007D33A9"/>
    <w:rsid w:val="007D35B5"/>
    <w:rsid w:val="007D37C9"/>
    <w:rsid w:val="007D3DF2"/>
    <w:rsid w:val="007D4D69"/>
    <w:rsid w:val="007D4EA9"/>
    <w:rsid w:val="007D504D"/>
    <w:rsid w:val="007D5F92"/>
    <w:rsid w:val="007D78B5"/>
    <w:rsid w:val="007E1297"/>
    <w:rsid w:val="007E1C2A"/>
    <w:rsid w:val="007E25CA"/>
    <w:rsid w:val="007E283C"/>
    <w:rsid w:val="007E2A12"/>
    <w:rsid w:val="007E2C6D"/>
    <w:rsid w:val="007E3398"/>
    <w:rsid w:val="007E3B39"/>
    <w:rsid w:val="007E3B59"/>
    <w:rsid w:val="007E43F8"/>
    <w:rsid w:val="007E4736"/>
    <w:rsid w:val="007E54B0"/>
    <w:rsid w:val="007E5753"/>
    <w:rsid w:val="007E58A5"/>
    <w:rsid w:val="007E5A7F"/>
    <w:rsid w:val="007E5D74"/>
    <w:rsid w:val="007E5E2A"/>
    <w:rsid w:val="007E6239"/>
    <w:rsid w:val="007E629E"/>
    <w:rsid w:val="007E6CF6"/>
    <w:rsid w:val="007E6D06"/>
    <w:rsid w:val="007E799F"/>
    <w:rsid w:val="007E7BE8"/>
    <w:rsid w:val="007F034C"/>
    <w:rsid w:val="007F0701"/>
    <w:rsid w:val="007F0C51"/>
    <w:rsid w:val="007F2C26"/>
    <w:rsid w:val="007F3837"/>
    <w:rsid w:val="007F39F1"/>
    <w:rsid w:val="007F41DA"/>
    <w:rsid w:val="007F45F7"/>
    <w:rsid w:val="007F4890"/>
    <w:rsid w:val="007F4C71"/>
    <w:rsid w:val="007F5575"/>
    <w:rsid w:val="007F60CD"/>
    <w:rsid w:val="007F64C6"/>
    <w:rsid w:val="007F667C"/>
    <w:rsid w:val="007F6E51"/>
    <w:rsid w:val="007F703B"/>
    <w:rsid w:val="007F70F1"/>
    <w:rsid w:val="0080017C"/>
    <w:rsid w:val="00800231"/>
    <w:rsid w:val="008008A5"/>
    <w:rsid w:val="0080122F"/>
    <w:rsid w:val="00801BB7"/>
    <w:rsid w:val="008023D6"/>
    <w:rsid w:val="00802C58"/>
    <w:rsid w:val="008034C6"/>
    <w:rsid w:val="00803AC0"/>
    <w:rsid w:val="00803AFE"/>
    <w:rsid w:val="008045A1"/>
    <w:rsid w:val="0080468E"/>
    <w:rsid w:val="008049A0"/>
    <w:rsid w:val="00804AC0"/>
    <w:rsid w:val="00804CAD"/>
    <w:rsid w:val="008054A5"/>
    <w:rsid w:val="00806103"/>
    <w:rsid w:val="00806439"/>
    <w:rsid w:val="008064C6"/>
    <w:rsid w:val="00806742"/>
    <w:rsid w:val="00806B88"/>
    <w:rsid w:val="00806F8E"/>
    <w:rsid w:val="00807AC3"/>
    <w:rsid w:val="0081000D"/>
    <w:rsid w:val="00810445"/>
    <w:rsid w:val="00810A8F"/>
    <w:rsid w:val="00812612"/>
    <w:rsid w:val="0081289D"/>
    <w:rsid w:val="00812AAD"/>
    <w:rsid w:val="008135F2"/>
    <w:rsid w:val="008137F4"/>
    <w:rsid w:val="008139F0"/>
    <w:rsid w:val="00813D8D"/>
    <w:rsid w:val="008143D1"/>
    <w:rsid w:val="00814468"/>
    <w:rsid w:val="00814E9A"/>
    <w:rsid w:val="0081558B"/>
    <w:rsid w:val="008155AB"/>
    <w:rsid w:val="00815A6C"/>
    <w:rsid w:val="008160F4"/>
    <w:rsid w:val="00816113"/>
    <w:rsid w:val="008161B3"/>
    <w:rsid w:val="008167EC"/>
    <w:rsid w:val="00816EBE"/>
    <w:rsid w:val="00817A77"/>
    <w:rsid w:val="00820671"/>
    <w:rsid w:val="0082200D"/>
    <w:rsid w:val="00822371"/>
    <w:rsid w:val="00822FA2"/>
    <w:rsid w:val="008230C4"/>
    <w:rsid w:val="00823743"/>
    <w:rsid w:val="00824E7E"/>
    <w:rsid w:val="00825101"/>
    <w:rsid w:val="00825E28"/>
    <w:rsid w:val="00826876"/>
    <w:rsid w:val="00826E26"/>
    <w:rsid w:val="008279F6"/>
    <w:rsid w:val="00827D8E"/>
    <w:rsid w:val="00831880"/>
    <w:rsid w:val="00831BB0"/>
    <w:rsid w:val="00831C97"/>
    <w:rsid w:val="00831D1B"/>
    <w:rsid w:val="008327EF"/>
    <w:rsid w:val="00832E5C"/>
    <w:rsid w:val="00833351"/>
    <w:rsid w:val="008334A5"/>
    <w:rsid w:val="00833C87"/>
    <w:rsid w:val="00833EE2"/>
    <w:rsid w:val="00834491"/>
    <w:rsid w:val="00834935"/>
    <w:rsid w:val="00835280"/>
    <w:rsid w:val="00835EB0"/>
    <w:rsid w:val="008369D0"/>
    <w:rsid w:val="0083789D"/>
    <w:rsid w:val="00840960"/>
    <w:rsid w:val="008409D4"/>
    <w:rsid w:val="00840BBE"/>
    <w:rsid w:val="008417D6"/>
    <w:rsid w:val="00841A83"/>
    <w:rsid w:val="00841D39"/>
    <w:rsid w:val="00841F6F"/>
    <w:rsid w:val="00842090"/>
    <w:rsid w:val="00842383"/>
    <w:rsid w:val="008426D6"/>
    <w:rsid w:val="008427DC"/>
    <w:rsid w:val="00842959"/>
    <w:rsid w:val="008436B9"/>
    <w:rsid w:val="008439E7"/>
    <w:rsid w:val="00843DBC"/>
    <w:rsid w:val="00843F77"/>
    <w:rsid w:val="00844152"/>
    <w:rsid w:val="0084455C"/>
    <w:rsid w:val="00844E0D"/>
    <w:rsid w:val="00844EBB"/>
    <w:rsid w:val="00845630"/>
    <w:rsid w:val="008462F3"/>
    <w:rsid w:val="008469CE"/>
    <w:rsid w:val="00846CB5"/>
    <w:rsid w:val="00847A2B"/>
    <w:rsid w:val="0085012F"/>
    <w:rsid w:val="008515CB"/>
    <w:rsid w:val="00851891"/>
    <w:rsid w:val="00852259"/>
    <w:rsid w:val="008523C7"/>
    <w:rsid w:val="00852685"/>
    <w:rsid w:val="0085269C"/>
    <w:rsid w:val="008530A3"/>
    <w:rsid w:val="00853494"/>
    <w:rsid w:val="00853C50"/>
    <w:rsid w:val="00855799"/>
    <w:rsid w:val="00855B77"/>
    <w:rsid w:val="00855ED8"/>
    <w:rsid w:val="00856246"/>
    <w:rsid w:val="00856541"/>
    <w:rsid w:val="008567C1"/>
    <w:rsid w:val="0085741B"/>
    <w:rsid w:val="00857D16"/>
    <w:rsid w:val="0086030E"/>
    <w:rsid w:val="00860520"/>
    <w:rsid w:val="00860ECA"/>
    <w:rsid w:val="00861A78"/>
    <w:rsid w:val="00861B70"/>
    <w:rsid w:val="008627E2"/>
    <w:rsid w:val="0086294E"/>
    <w:rsid w:val="0086315E"/>
    <w:rsid w:val="00863964"/>
    <w:rsid w:val="00863ECB"/>
    <w:rsid w:val="00864085"/>
    <w:rsid w:val="00864F0C"/>
    <w:rsid w:val="008653B8"/>
    <w:rsid w:val="0086559A"/>
    <w:rsid w:val="00865625"/>
    <w:rsid w:val="0086574E"/>
    <w:rsid w:val="00865C58"/>
    <w:rsid w:val="00865F0F"/>
    <w:rsid w:val="008702AA"/>
    <w:rsid w:val="00870C8C"/>
    <w:rsid w:val="008712FA"/>
    <w:rsid w:val="008713C1"/>
    <w:rsid w:val="00871913"/>
    <w:rsid w:val="00871A58"/>
    <w:rsid w:val="00871D1A"/>
    <w:rsid w:val="00872D31"/>
    <w:rsid w:val="00873488"/>
    <w:rsid w:val="00873877"/>
    <w:rsid w:val="00873B7E"/>
    <w:rsid w:val="00874011"/>
    <w:rsid w:val="0087429F"/>
    <w:rsid w:val="00875812"/>
    <w:rsid w:val="00875B8D"/>
    <w:rsid w:val="00876CBB"/>
    <w:rsid w:val="008774CF"/>
    <w:rsid w:val="0087792A"/>
    <w:rsid w:val="00877DAC"/>
    <w:rsid w:val="00880AB4"/>
    <w:rsid w:val="00880D86"/>
    <w:rsid w:val="00881184"/>
    <w:rsid w:val="00881417"/>
    <w:rsid w:val="00881790"/>
    <w:rsid w:val="00881B8D"/>
    <w:rsid w:val="00881CA5"/>
    <w:rsid w:val="0088234F"/>
    <w:rsid w:val="00882486"/>
    <w:rsid w:val="008825D7"/>
    <w:rsid w:val="00882B4C"/>
    <w:rsid w:val="00882E74"/>
    <w:rsid w:val="008833C7"/>
    <w:rsid w:val="0088363A"/>
    <w:rsid w:val="00883A1F"/>
    <w:rsid w:val="0088438D"/>
    <w:rsid w:val="00884813"/>
    <w:rsid w:val="0088529F"/>
    <w:rsid w:val="008855CA"/>
    <w:rsid w:val="00885719"/>
    <w:rsid w:val="00885802"/>
    <w:rsid w:val="008859BA"/>
    <w:rsid w:val="00886BBA"/>
    <w:rsid w:val="008878FD"/>
    <w:rsid w:val="00887DC6"/>
    <w:rsid w:val="00887FEF"/>
    <w:rsid w:val="008900E2"/>
    <w:rsid w:val="00890B4B"/>
    <w:rsid w:val="008915D0"/>
    <w:rsid w:val="0089170C"/>
    <w:rsid w:val="00891A0A"/>
    <w:rsid w:val="00891DFB"/>
    <w:rsid w:val="00892925"/>
    <w:rsid w:val="00892DCA"/>
    <w:rsid w:val="0089361D"/>
    <w:rsid w:val="00893876"/>
    <w:rsid w:val="00894007"/>
    <w:rsid w:val="0089451C"/>
    <w:rsid w:val="00894AF2"/>
    <w:rsid w:val="008951EB"/>
    <w:rsid w:val="00895834"/>
    <w:rsid w:val="00896A8F"/>
    <w:rsid w:val="00896F1B"/>
    <w:rsid w:val="00897687"/>
    <w:rsid w:val="00897966"/>
    <w:rsid w:val="00897DAA"/>
    <w:rsid w:val="008A01EC"/>
    <w:rsid w:val="008A0289"/>
    <w:rsid w:val="008A0C45"/>
    <w:rsid w:val="008A1FDF"/>
    <w:rsid w:val="008A20AA"/>
    <w:rsid w:val="008A2121"/>
    <w:rsid w:val="008A232C"/>
    <w:rsid w:val="008A2599"/>
    <w:rsid w:val="008A259F"/>
    <w:rsid w:val="008A3A02"/>
    <w:rsid w:val="008A3A1D"/>
    <w:rsid w:val="008A4686"/>
    <w:rsid w:val="008A4834"/>
    <w:rsid w:val="008A49B4"/>
    <w:rsid w:val="008A4BFF"/>
    <w:rsid w:val="008A4EA3"/>
    <w:rsid w:val="008A501C"/>
    <w:rsid w:val="008A5416"/>
    <w:rsid w:val="008A5476"/>
    <w:rsid w:val="008A56C1"/>
    <w:rsid w:val="008A6174"/>
    <w:rsid w:val="008A6827"/>
    <w:rsid w:val="008A693A"/>
    <w:rsid w:val="008B02BD"/>
    <w:rsid w:val="008B1058"/>
    <w:rsid w:val="008B13D4"/>
    <w:rsid w:val="008B1DFF"/>
    <w:rsid w:val="008B1EBC"/>
    <w:rsid w:val="008B1F7D"/>
    <w:rsid w:val="008B2601"/>
    <w:rsid w:val="008B2F54"/>
    <w:rsid w:val="008B335B"/>
    <w:rsid w:val="008B38CE"/>
    <w:rsid w:val="008B3EEC"/>
    <w:rsid w:val="008B406E"/>
    <w:rsid w:val="008B409A"/>
    <w:rsid w:val="008B415A"/>
    <w:rsid w:val="008B438E"/>
    <w:rsid w:val="008B49C7"/>
    <w:rsid w:val="008B6C59"/>
    <w:rsid w:val="008B6D18"/>
    <w:rsid w:val="008B78AF"/>
    <w:rsid w:val="008B78D6"/>
    <w:rsid w:val="008B7985"/>
    <w:rsid w:val="008B7ACE"/>
    <w:rsid w:val="008C0128"/>
    <w:rsid w:val="008C0685"/>
    <w:rsid w:val="008C089F"/>
    <w:rsid w:val="008C10C7"/>
    <w:rsid w:val="008C124A"/>
    <w:rsid w:val="008C1316"/>
    <w:rsid w:val="008C157B"/>
    <w:rsid w:val="008C1618"/>
    <w:rsid w:val="008C1DB9"/>
    <w:rsid w:val="008C2219"/>
    <w:rsid w:val="008C265B"/>
    <w:rsid w:val="008C2740"/>
    <w:rsid w:val="008C27CE"/>
    <w:rsid w:val="008C2820"/>
    <w:rsid w:val="008C2BA9"/>
    <w:rsid w:val="008C2CB0"/>
    <w:rsid w:val="008C3531"/>
    <w:rsid w:val="008C382C"/>
    <w:rsid w:val="008C3EDA"/>
    <w:rsid w:val="008C447D"/>
    <w:rsid w:val="008C4E78"/>
    <w:rsid w:val="008C5652"/>
    <w:rsid w:val="008C57D8"/>
    <w:rsid w:val="008C5813"/>
    <w:rsid w:val="008C5868"/>
    <w:rsid w:val="008C63D1"/>
    <w:rsid w:val="008C6925"/>
    <w:rsid w:val="008D03B8"/>
    <w:rsid w:val="008D096F"/>
    <w:rsid w:val="008D115E"/>
    <w:rsid w:val="008D1EEB"/>
    <w:rsid w:val="008D1F5F"/>
    <w:rsid w:val="008D2307"/>
    <w:rsid w:val="008D2466"/>
    <w:rsid w:val="008D32DB"/>
    <w:rsid w:val="008D348B"/>
    <w:rsid w:val="008D3DD5"/>
    <w:rsid w:val="008D3E53"/>
    <w:rsid w:val="008D403D"/>
    <w:rsid w:val="008D54B3"/>
    <w:rsid w:val="008D5A04"/>
    <w:rsid w:val="008D5B36"/>
    <w:rsid w:val="008D605C"/>
    <w:rsid w:val="008D6DE5"/>
    <w:rsid w:val="008D742A"/>
    <w:rsid w:val="008D7AF6"/>
    <w:rsid w:val="008E0CED"/>
    <w:rsid w:val="008E146E"/>
    <w:rsid w:val="008E1619"/>
    <w:rsid w:val="008E2855"/>
    <w:rsid w:val="008E301B"/>
    <w:rsid w:val="008E6DC1"/>
    <w:rsid w:val="008E715A"/>
    <w:rsid w:val="008E7675"/>
    <w:rsid w:val="008F0073"/>
    <w:rsid w:val="008F21CA"/>
    <w:rsid w:val="008F2212"/>
    <w:rsid w:val="008F31F1"/>
    <w:rsid w:val="008F32E8"/>
    <w:rsid w:val="008F3C63"/>
    <w:rsid w:val="008F3EF9"/>
    <w:rsid w:val="008F4108"/>
    <w:rsid w:val="008F4172"/>
    <w:rsid w:val="008F44E6"/>
    <w:rsid w:val="008F486D"/>
    <w:rsid w:val="008F5616"/>
    <w:rsid w:val="008F5B61"/>
    <w:rsid w:val="008F6884"/>
    <w:rsid w:val="008F6A14"/>
    <w:rsid w:val="008F6DC5"/>
    <w:rsid w:val="008F78A2"/>
    <w:rsid w:val="008F7B60"/>
    <w:rsid w:val="008F7C54"/>
    <w:rsid w:val="008F7DC0"/>
    <w:rsid w:val="00900063"/>
    <w:rsid w:val="00900C01"/>
    <w:rsid w:val="00901339"/>
    <w:rsid w:val="0090193D"/>
    <w:rsid w:val="009019EE"/>
    <w:rsid w:val="00902BE5"/>
    <w:rsid w:val="00902D7B"/>
    <w:rsid w:val="00903B27"/>
    <w:rsid w:val="0090418E"/>
    <w:rsid w:val="00905578"/>
    <w:rsid w:val="0090563F"/>
    <w:rsid w:val="00907096"/>
    <w:rsid w:val="00907961"/>
    <w:rsid w:val="00907A6B"/>
    <w:rsid w:val="00910044"/>
    <w:rsid w:val="0091039C"/>
    <w:rsid w:val="00910A34"/>
    <w:rsid w:val="00910BE5"/>
    <w:rsid w:val="00910F6A"/>
    <w:rsid w:val="00911574"/>
    <w:rsid w:val="009115EA"/>
    <w:rsid w:val="00912812"/>
    <w:rsid w:val="00912845"/>
    <w:rsid w:val="00912A39"/>
    <w:rsid w:val="00912AB9"/>
    <w:rsid w:val="00912E57"/>
    <w:rsid w:val="009133E4"/>
    <w:rsid w:val="00913E2D"/>
    <w:rsid w:val="009141C3"/>
    <w:rsid w:val="009141C5"/>
    <w:rsid w:val="00914217"/>
    <w:rsid w:val="0091431F"/>
    <w:rsid w:val="009159CB"/>
    <w:rsid w:val="00915C03"/>
    <w:rsid w:val="0091736A"/>
    <w:rsid w:val="00917396"/>
    <w:rsid w:val="00917F93"/>
    <w:rsid w:val="0092065C"/>
    <w:rsid w:val="009211B4"/>
    <w:rsid w:val="00921286"/>
    <w:rsid w:val="009214AB"/>
    <w:rsid w:val="00921813"/>
    <w:rsid w:val="00921CD1"/>
    <w:rsid w:val="00922547"/>
    <w:rsid w:val="009227F1"/>
    <w:rsid w:val="00922B31"/>
    <w:rsid w:val="00923392"/>
    <w:rsid w:val="00923676"/>
    <w:rsid w:val="009252EE"/>
    <w:rsid w:val="00925624"/>
    <w:rsid w:val="00926158"/>
    <w:rsid w:val="00926201"/>
    <w:rsid w:val="009264A6"/>
    <w:rsid w:val="00930220"/>
    <w:rsid w:val="0093034F"/>
    <w:rsid w:val="00930C37"/>
    <w:rsid w:val="009315B9"/>
    <w:rsid w:val="00931EEE"/>
    <w:rsid w:val="00931F9B"/>
    <w:rsid w:val="009323CD"/>
    <w:rsid w:val="009329EA"/>
    <w:rsid w:val="00932B1A"/>
    <w:rsid w:val="00933096"/>
    <w:rsid w:val="009342F1"/>
    <w:rsid w:val="00934A1B"/>
    <w:rsid w:val="00935274"/>
    <w:rsid w:val="00935491"/>
    <w:rsid w:val="00935EC8"/>
    <w:rsid w:val="00936F35"/>
    <w:rsid w:val="0094035B"/>
    <w:rsid w:val="009403E1"/>
    <w:rsid w:val="00940D79"/>
    <w:rsid w:val="00941B5B"/>
    <w:rsid w:val="00942073"/>
    <w:rsid w:val="009425C3"/>
    <w:rsid w:val="00942895"/>
    <w:rsid w:val="00942F7A"/>
    <w:rsid w:val="009435E7"/>
    <w:rsid w:val="00943A75"/>
    <w:rsid w:val="00943AEF"/>
    <w:rsid w:val="00943C36"/>
    <w:rsid w:val="00944076"/>
    <w:rsid w:val="009454DB"/>
    <w:rsid w:val="00945BF9"/>
    <w:rsid w:val="00945D12"/>
    <w:rsid w:val="0094610F"/>
    <w:rsid w:val="009466EC"/>
    <w:rsid w:val="00946BB4"/>
    <w:rsid w:val="009507B8"/>
    <w:rsid w:val="00952CB7"/>
    <w:rsid w:val="00952D31"/>
    <w:rsid w:val="00952E76"/>
    <w:rsid w:val="0095310D"/>
    <w:rsid w:val="0095333B"/>
    <w:rsid w:val="009540ED"/>
    <w:rsid w:val="00954307"/>
    <w:rsid w:val="0095443F"/>
    <w:rsid w:val="00954802"/>
    <w:rsid w:val="00954A6E"/>
    <w:rsid w:val="00954E74"/>
    <w:rsid w:val="00955C45"/>
    <w:rsid w:val="00956113"/>
    <w:rsid w:val="00957970"/>
    <w:rsid w:val="00957C18"/>
    <w:rsid w:val="00960A7A"/>
    <w:rsid w:val="00960E60"/>
    <w:rsid w:val="0096293D"/>
    <w:rsid w:val="009630A5"/>
    <w:rsid w:val="0096339B"/>
    <w:rsid w:val="00964F33"/>
    <w:rsid w:val="009650CE"/>
    <w:rsid w:val="00965323"/>
    <w:rsid w:val="0096606D"/>
    <w:rsid w:val="009663F6"/>
    <w:rsid w:val="009664A9"/>
    <w:rsid w:val="009664F7"/>
    <w:rsid w:val="00970A1A"/>
    <w:rsid w:val="00970A98"/>
    <w:rsid w:val="00970BDB"/>
    <w:rsid w:val="00970D49"/>
    <w:rsid w:val="009712EF"/>
    <w:rsid w:val="00971F2D"/>
    <w:rsid w:val="00972097"/>
    <w:rsid w:val="009720B5"/>
    <w:rsid w:val="00972167"/>
    <w:rsid w:val="009723BF"/>
    <w:rsid w:val="00972DD1"/>
    <w:rsid w:val="009730A6"/>
    <w:rsid w:val="00973340"/>
    <w:rsid w:val="00973471"/>
    <w:rsid w:val="0097396C"/>
    <w:rsid w:val="00974916"/>
    <w:rsid w:val="00976E85"/>
    <w:rsid w:val="0097722E"/>
    <w:rsid w:val="009777CB"/>
    <w:rsid w:val="00977D69"/>
    <w:rsid w:val="00977EC8"/>
    <w:rsid w:val="00980015"/>
    <w:rsid w:val="00980259"/>
    <w:rsid w:val="00980A48"/>
    <w:rsid w:val="0098199A"/>
    <w:rsid w:val="00981CBE"/>
    <w:rsid w:val="00981FD5"/>
    <w:rsid w:val="0098275C"/>
    <w:rsid w:val="00982F00"/>
    <w:rsid w:val="00982F59"/>
    <w:rsid w:val="0098409A"/>
    <w:rsid w:val="009844BD"/>
    <w:rsid w:val="009858F8"/>
    <w:rsid w:val="0098636E"/>
    <w:rsid w:val="00986CAD"/>
    <w:rsid w:val="00987CE9"/>
    <w:rsid w:val="00987F3B"/>
    <w:rsid w:val="009905F2"/>
    <w:rsid w:val="009906BA"/>
    <w:rsid w:val="009908F9"/>
    <w:rsid w:val="00991642"/>
    <w:rsid w:val="00991698"/>
    <w:rsid w:val="00991EE3"/>
    <w:rsid w:val="00992080"/>
    <w:rsid w:val="009923E2"/>
    <w:rsid w:val="00992760"/>
    <w:rsid w:val="00992821"/>
    <w:rsid w:val="0099313E"/>
    <w:rsid w:val="009932A6"/>
    <w:rsid w:val="009938C7"/>
    <w:rsid w:val="0099704A"/>
    <w:rsid w:val="009971BA"/>
    <w:rsid w:val="009973F6"/>
    <w:rsid w:val="0099790E"/>
    <w:rsid w:val="00997B1E"/>
    <w:rsid w:val="00997CD4"/>
    <w:rsid w:val="00997F63"/>
    <w:rsid w:val="009A0A73"/>
    <w:rsid w:val="009A1295"/>
    <w:rsid w:val="009A180D"/>
    <w:rsid w:val="009A1E53"/>
    <w:rsid w:val="009A1E55"/>
    <w:rsid w:val="009A2194"/>
    <w:rsid w:val="009A2548"/>
    <w:rsid w:val="009A2CCE"/>
    <w:rsid w:val="009A2EAA"/>
    <w:rsid w:val="009A3692"/>
    <w:rsid w:val="009A3D72"/>
    <w:rsid w:val="009A3EF1"/>
    <w:rsid w:val="009A43D6"/>
    <w:rsid w:val="009A4EC7"/>
    <w:rsid w:val="009A5D59"/>
    <w:rsid w:val="009A61D7"/>
    <w:rsid w:val="009A6D7C"/>
    <w:rsid w:val="009A7C98"/>
    <w:rsid w:val="009A7D1A"/>
    <w:rsid w:val="009B0ED6"/>
    <w:rsid w:val="009B126A"/>
    <w:rsid w:val="009B2157"/>
    <w:rsid w:val="009B24F6"/>
    <w:rsid w:val="009B2957"/>
    <w:rsid w:val="009B2D7A"/>
    <w:rsid w:val="009B44A0"/>
    <w:rsid w:val="009B44C2"/>
    <w:rsid w:val="009B4E7C"/>
    <w:rsid w:val="009B5018"/>
    <w:rsid w:val="009B6A44"/>
    <w:rsid w:val="009B6B43"/>
    <w:rsid w:val="009B7094"/>
    <w:rsid w:val="009B70EF"/>
    <w:rsid w:val="009C06F5"/>
    <w:rsid w:val="009C0780"/>
    <w:rsid w:val="009C0BF4"/>
    <w:rsid w:val="009C1526"/>
    <w:rsid w:val="009C24C9"/>
    <w:rsid w:val="009C2A48"/>
    <w:rsid w:val="009C2BF4"/>
    <w:rsid w:val="009C329C"/>
    <w:rsid w:val="009C3BCE"/>
    <w:rsid w:val="009C4106"/>
    <w:rsid w:val="009C47AD"/>
    <w:rsid w:val="009C47CB"/>
    <w:rsid w:val="009C53C4"/>
    <w:rsid w:val="009C5469"/>
    <w:rsid w:val="009C5CB6"/>
    <w:rsid w:val="009C75B9"/>
    <w:rsid w:val="009D11C0"/>
    <w:rsid w:val="009D1B3B"/>
    <w:rsid w:val="009D311D"/>
    <w:rsid w:val="009D34E3"/>
    <w:rsid w:val="009D3987"/>
    <w:rsid w:val="009D3D91"/>
    <w:rsid w:val="009D4007"/>
    <w:rsid w:val="009D44C2"/>
    <w:rsid w:val="009D4C97"/>
    <w:rsid w:val="009D52F3"/>
    <w:rsid w:val="009D5635"/>
    <w:rsid w:val="009D6412"/>
    <w:rsid w:val="009D6AC8"/>
    <w:rsid w:val="009D7FDD"/>
    <w:rsid w:val="009E0041"/>
    <w:rsid w:val="009E0B23"/>
    <w:rsid w:val="009E1A72"/>
    <w:rsid w:val="009E1B85"/>
    <w:rsid w:val="009E1C7A"/>
    <w:rsid w:val="009E25ED"/>
    <w:rsid w:val="009E29F1"/>
    <w:rsid w:val="009E2DE7"/>
    <w:rsid w:val="009E3049"/>
    <w:rsid w:val="009E39D0"/>
    <w:rsid w:val="009E440F"/>
    <w:rsid w:val="009E4B5B"/>
    <w:rsid w:val="009E553B"/>
    <w:rsid w:val="009E5D28"/>
    <w:rsid w:val="009E614A"/>
    <w:rsid w:val="009E61DE"/>
    <w:rsid w:val="009E650A"/>
    <w:rsid w:val="009E7C8B"/>
    <w:rsid w:val="009F0C38"/>
    <w:rsid w:val="009F11F5"/>
    <w:rsid w:val="009F1B39"/>
    <w:rsid w:val="009F1F30"/>
    <w:rsid w:val="009F1F70"/>
    <w:rsid w:val="009F20C4"/>
    <w:rsid w:val="009F25B9"/>
    <w:rsid w:val="009F26C4"/>
    <w:rsid w:val="009F2CA7"/>
    <w:rsid w:val="009F2F20"/>
    <w:rsid w:val="009F3341"/>
    <w:rsid w:val="009F43D8"/>
    <w:rsid w:val="009F4417"/>
    <w:rsid w:val="009F5D77"/>
    <w:rsid w:val="009F60BA"/>
    <w:rsid w:val="009F6363"/>
    <w:rsid w:val="009F6EE7"/>
    <w:rsid w:val="009F7212"/>
    <w:rsid w:val="009F7325"/>
    <w:rsid w:val="009F7B0E"/>
    <w:rsid w:val="009F7C16"/>
    <w:rsid w:val="009F7F56"/>
    <w:rsid w:val="009F7FBD"/>
    <w:rsid w:val="00A0039C"/>
    <w:rsid w:val="00A00425"/>
    <w:rsid w:val="00A00708"/>
    <w:rsid w:val="00A00B42"/>
    <w:rsid w:val="00A014A7"/>
    <w:rsid w:val="00A01F07"/>
    <w:rsid w:val="00A02BC6"/>
    <w:rsid w:val="00A03321"/>
    <w:rsid w:val="00A0351D"/>
    <w:rsid w:val="00A047B6"/>
    <w:rsid w:val="00A04C41"/>
    <w:rsid w:val="00A05EDA"/>
    <w:rsid w:val="00A0656C"/>
    <w:rsid w:val="00A06992"/>
    <w:rsid w:val="00A0702F"/>
    <w:rsid w:val="00A079BB"/>
    <w:rsid w:val="00A10097"/>
    <w:rsid w:val="00A10242"/>
    <w:rsid w:val="00A110EE"/>
    <w:rsid w:val="00A11A94"/>
    <w:rsid w:val="00A11BB8"/>
    <w:rsid w:val="00A11E51"/>
    <w:rsid w:val="00A12183"/>
    <w:rsid w:val="00A122F1"/>
    <w:rsid w:val="00A1251C"/>
    <w:rsid w:val="00A125F5"/>
    <w:rsid w:val="00A12DF3"/>
    <w:rsid w:val="00A13174"/>
    <w:rsid w:val="00A13DAE"/>
    <w:rsid w:val="00A144A0"/>
    <w:rsid w:val="00A15322"/>
    <w:rsid w:val="00A156CC"/>
    <w:rsid w:val="00A15886"/>
    <w:rsid w:val="00A15B33"/>
    <w:rsid w:val="00A162E9"/>
    <w:rsid w:val="00A16967"/>
    <w:rsid w:val="00A1716B"/>
    <w:rsid w:val="00A17943"/>
    <w:rsid w:val="00A2097C"/>
    <w:rsid w:val="00A20E02"/>
    <w:rsid w:val="00A21135"/>
    <w:rsid w:val="00A2127B"/>
    <w:rsid w:val="00A2213A"/>
    <w:rsid w:val="00A22592"/>
    <w:rsid w:val="00A228A2"/>
    <w:rsid w:val="00A2426A"/>
    <w:rsid w:val="00A246E6"/>
    <w:rsid w:val="00A250C6"/>
    <w:rsid w:val="00A25113"/>
    <w:rsid w:val="00A25745"/>
    <w:rsid w:val="00A2652D"/>
    <w:rsid w:val="00A265B8"/>
    <w:rsid w:val="00A275ED"/>
    <w:rsid w:val="00A2763C"/>
    <w:rsid w:val="00A3081D"/>
    <w:rsid w:val="00A309EE"/>
    <w:rsid w:val="00A314A3"/>
    <w:rsid w:val="00A31906"/>
    <w:rsid w:val="00A32039"/>
    <w:rsid w:val="00A32409"/>
    <w:rsid w:val="00A329A4"/>
    <w:rsid w:val="00A335F3"/>
    <w:rsid w:val="00A3467E"/>
    <w:rsid w:val="00A34F56"/>
    <w:rsid w:val="00A35438"/>
    <w:rsid w:val="00A35908"/>
    <w:rsid w:val="00A35AD4"/>
    <w:rsid w:val="00A3614F"/>
    <w:rsid w:val="00A361B8"/>
    <w:rsid w:val="00A3653C"/>
    <w:rsid w:val="00A403ED"/>
    <w:rsid w:val="00A4046E"/>
    <w:rsid w:val="00A410F4"/>
    <w:rsid w:val="00A41433"/>
    <w:rsid w:val="00A41ECB"/>
    <w:rsid w:val="00A42AB4"/>
    <w:rsid w:val="00A42C9F"/>
    <w:rsid w:val="00A42CD4"/>
    <w:rsid w:val="00A43055"/>
    <w:rsid w:val="00A4494E"/>
    <w:rsid w:val="00A45126"/>
    <w:rsid w:val="00A454A9"/>
    <w:rsid w:val="00A45515"/>
    <w:rsid w:val="00A45553"/>
    <w:rsid w:val="00A45889"/>
    <w:rsid w:val="00A45E16"/>
    <w:rsid w:val="00A460E9"/>
    <w:rsid w:val="00A46987"/>
    <w:rsid w:val="00A46A88"/>
    <w:rsid w:val="00A46DBA"/>
    <w:rsid w:val="00A51553"/>
    <w:rsid w:val="00A51A4D"/>
    <w:rsid w:val="00A5246F"/>
    <w:rsid w:val="00A526AB"/>
    <w:rsid w:val="00A52913"/>
    <w:rsid w:val="00A52DE4"/>
    <w:rsid w:val="00A53172"/>
    <w:rsid w:val="00A534E5"/>
    <w:rsid w:val="00A53AFC"/>
    <w:rsid w:val="00A53D2D"/>
    <w:rsid w:val="00A54106"/>
    <w:rsid w:val="00A54149"/>
    <w:rsid w:val="00A542F3"/>
    <w:rsid w:val="00A544A5"/>
    <w:rsid w:val="00A544F0"/>
    <w:rsid w:val="00A54BC4"/>
    <w:rsid w:val="00A550AD"/>
    <w:rsid w:val="00A5556E"/>
    <w:rsid w:val="00A55F8E"/>
    <w:rsid w:val="00A56CD5"/>
    <w:rsid w:val="00A56F09"/>
    <w:rsid w:val="00A570B1"/>
    <w:rsid w:val="00A572E4"/>
    <w:rsid w:val="00A575EC"/>
    <w:rsid w:val="00A578C3"/>
    <w:rsid w:val="00A60609"/>
    <w:rsid w:val="00A60C8B"/>
    <w:rsid w:val="00A60CB3"/>
    <w:rsid w:val="00A60FA5"/>
    <w:rsid w:val="00A622C0"/>
    <w:rsid w:val="00A62EB1"/>
    <w:rsid w:val="00A630C1"/>
    <w:rsid w:val="00A639A5"/>
    <w:rsid w:val="00A63BE9"/>
    <w:rsid w:val="00A63C3C"/>
    <w:rsid w:val="00A64079"/>
    <w:rsid w:val="00A640A7"/>
    <w:rsid w:val="00A64887"/>
    <w:rsid w:val="00A64AAB"/>
    <w:rsid w:val="00A64C4F"/>
    <w:rsid w:val="00A65659"/>
    <w:rsid w:val="00A65DF6"/>
    <w:rsid w:val="00A662EA"/>
    <w:rsid w:val="00A6639F"/>
    <w:rsid w:val="00A66679"/>
    <w:rsid w:val="00A671ED"/>
    <w:rsid w:val="00A70614"/>
    <w:rsid w:val="00A70695"/>
    <w:rsid w:val="00A709CB"/>
    <w:rsid w:val="00A70C50"/>
    <w:rsid w:val="00A71025"/>
    <w:rsid w:val="00A717A3"/>
    <w:rsid w:val="00A73A11"/>
    <w:rsid w:val="00A73E4E"/>
    <w:rsid w:val="00A741FC"/>
    <w:rsid w:val="00A7420A"/>
    <w:rsid w:val="00A7422C"/>
    <w:rsid w:val="00A75C00"/>
    <w:rsid w:val="00A7663E"/>
    <w:rsid w:val="00A769C0"/>
    <w:rsid w:val="00A76ADE"/>
    <w:rsid w:val="00A76B26"/>
    <w:rsid w:val="00A77186"/>
    <w:rsid w:val="00A773C0"/>
    <w:rsid w:val="00A77563"/>
    <w:rsid w:val="00A77686"/>
    <w:rsid w:val="00A77AD3"/>
    <w:rsid w:val="00A812A4"/>
    <w:rsid w:val="00A81AEF"/>
    <w:rsid w:val="00A824C4"/>
    <w:rsid w:val="00A82B27"/>
    <w:rsid w:val="00A82D80"/>
    <w:rsid w:val="00A83046"/>
    <w:rsid w:val="00A832A4"/>
    <w:rsid w:val="00A84292"/>
    <w:rsid w:val="00A843E9"/>
    <w:rsid w:val="00A84632"/>
    <w:rsid w:val="00A8469A"/>
    <w:rsid w:val="00A84858"/>
    <w:rsid w:val="00A8505A"/>
    <w:rsid w:val="00A8515E"/>
    <w:rsid w:val="00A8614E"/>
    <w:rsid w:val="00A863FE"/>
    <w:rsid w:val="00A86C4C"/>
    <w:rsid w:val="00A90FAC"/>
    <w:rsid w:val="00A913F2"/>
    <w:rsid w:val="00A922C9"/>
    <w:rsid w:val="00A92C15"/>
    <w:rsid w:val="00A92C5A"/>
    <w:rsid w:val="00A93466"/>
    <w:rsid w:val="00A93BF4"/>
    <w:rsid w:val="00A93D55"/>
    <w:rsid w:val="00A942AD"/>
    <w:rsid w:val="00A94F69"/>
    <w:rsid w:val="00A94FE9"/>
    <w:rsid w:val="00A959E3"/>
    <w:rsid w:val="00A9616F"/>
    <w:rsid w:val="00A96A06"/>
    <w:rsid w:val="00A96E08"/>
    <w:rsid w:val="00AA03F8"/>
    <w:rsid w:val="00AA0670"/>
    <w:rsid w:val="00AA0C2C"/>
    <w:rsid w:val="00AA1219"/>
    <w:rsid w:val="00AA17BE"/>
    <w:rsid w:val="00AA2922"/>
    <w:rsid w:val="00AA2A2B"/>
    <w:rsid w:val="00AA2F68"/>
    <w:rsid w:val="00AA325B"/>
    <w:rsid w:val="00AA359D"/>
    <w:rsid w:val="00AA43B2"/>
    <w:rsid w:val="00AA4EAB"/>
    <w:rsid w:val="00AA51F5"/>
    <w:rsid w:val="00AA53E0"/>
    <w:rsid w:val="00AA5B33"/>
    <w:rsid w:val="00AA61B7"/>
    <w:rsid w:val="00AA63C8"/>
    <w:rsid w:val="00AA63D3"/>
    <w:rsid w:val="00AA6512"/>
    <w:rsid w:val="00AA75B2"/>
    <w:rsid w:val="00AA794A"/>
    <w:rsid w:val="00AB0011"/>
    <w:rsid w:val="00AB08BC"/>
    <w:rsid w:val="00AB0E10"/>
    <w:rsid w:val="00AB1351"/>
    <w:rsid w:val="00AB1622"/>
    <w:rsid w:val="00AB1F5B"/>
    <w:rsid w:val="00AB2949"/>
    <w:rsid w:val="00AB3D45"/>
    <w:rsid w:val="00AB518C"/>
    <w:rsid w:val="00AB5D3C"/>
    <w:rsid w:val="00AB648F"/>
    <w:rsid w:val="00AB79B5"/>
    <w:rsid w:val="00AB7EC4"/>
    <w:rsid w:val="00AC02A6"/>
    <w:rsid w:val="00AC02C1"/>
    <w:rsid w:val="00AC0AD2"/>
    <w:rsid w:val="00AC14A7"/>
    <w:rsid w:val="00AC345D"/>
    <w:rsid w:val="00AC4198"/>
    <w:rsid w:val="00AC466B"/>
    <w:rsid w:val="00AC4871"/>
    <w:rsid w:val="00AC4A30"/>
    <w:rsid w:val="00AC57AB"/>
    <w:rsid w:val="00AC635B"/>
    <w:rsid w:val="00AC6E58"/>
    <w:rsid w:val="00AC70D4"/>
    <w:rsid w:val="00AC724D"/>
    <w:rsid w:val="00AC74EB"/>
    <w:rsid w:val="00AC76F1"/>
    <w:rsid w:val="00AD0339"/>
    <w:rsid w:val="00AD0EBE"/>
    <w:rsid w:val="00AD1483"/>
    <w:rsid w:val="00AD1F25"/>
    <w:rsid w:val="00AD1F52"/>
    <w:rsid w:val="00AD24AA"/>
    <w:rsid w:val="00AD3506"/>
    <w:rsid w:val="00AD3FFA"/>
    <w:rsid w:val="00AD46A0"/>
    <w:rsid w:val="00AD4AE1"/>
    <w:rsid w:val="00AD4F84"/>
    <w:rsid w:val="00AD5150"/>
    <w:rsid w:val="00AD55BC"/>
    <w:rsid w:val="00AD7735"/>
    <w:rsid w:val="00AD778A"/>
    <w:rsid w:val="00AE0003"/>
    <w:rsid w:val="00AE013A"/>
    <w:rsid w:val="00AE089C"/>
    <w:rsid w:val="00AE185D"/>
    <w:rsid w:val="00AE1DDE"/>
    <w:rsid w:val="00AE22F1"/>
    <w:rsid w:val="00AE3707"/>
    <w:rsid w:val="00AE3BF0"/>
    <w:rsid w:val="00AE4082"/>
    <w:rsid w:val="00AE40B2"/>
    <w:rsid w:val="00AE4227"/>
    <w:rsid w:val="00AE4B25"/>
    <w:rsid w:val="00AE4CC2"/>
    <w:rsid w:val="00AE5A75"/>
    <w:rsid w:val="00AE5E25"/>
    <w:rsid w:val="00AE695A"/>
    <w:rsid w:val="00AE69C1"/>
    <w:rsid w:val="00AE720F"/>
    <w:rsid w:val="00AE72C7"/>
    <w:rsid w:val="00AE7D04"/>
    <w:rsid w:val="00AF0117"/>
    <w:rsid w:val="00AF03DE"/>
    <w:rsid w:val="00AF0638"/>
    <w:rsid w:val="00AF0740"/>
    <w:rsid w:val="00AF0C05"/>
    <w:rsid w:val="00AF0F20"/>
    <w:rsid w:val="00AF1832"/>
    <w:rsid w:val="00AF1877"/>
    <w:rsid w:val="00AF1935"/>
    <w:rsid w:val="00AF1A93"/>
    <w:rsid w:val="00AF33FC"/>
    <w:rsid w:val="00AF34CE"/>
    <w:rsid w:val="00AF34D8"/>
    <w:rsid w:val="00AF38F3"/>
    <w:rsid w:val="00AF3965"/>
    <w:rsid w:val="00AF3977"/>
    <w:rsid w:val="00AF4E29"/>
    <w:rsid w:val="00AF5240"/>
    <w:rsid w:val="00AF5FA3"/>
    <w:rsid w:val="00AF7BCD"/>
    <w:rsid w:val="00B00868"/>
    <w:rsid w:val="00B02164"/>
    <w:rsid w:val="00B027CC"/>
    <w:rsid w:val="00B02A41"/>
    <w:rsid w:val="00B02DCA"/>
    <w:rsid w:val="00B02ED9"/>
    <w:rsid w:val="00B03878"/>
    <w:rsid w:val="00B04776"/>
    <w:rsid w:val="00B04F91"/>
    <w:rsid w:val="00B0502A"/>
    <w:rsid w:val="00B05942"/>
    <w:rsid w:val="00B06243"/>
    <w:rsid w:val="00B06F41"/>
    <w:rsid w:val="00B074A5"/>
    <w:rsid w:val="00B07984"/>
    <w:rsid w:val="00B07EC3"/>
    <w:rsid w:val="00B1043A"/>
    <w:rsid w:val="00B10BE3"/>
    <w:rsid w:val="00B10F6D"/>
    <w:rsid w:val="00B11F6A"/>
    <w:rsid w:val="00B1223A"/>
    <w:rsid w:val="00B1270E"/>
    <w:rsid w:val="00B14402"/>
    <w:rsid w:val="00B14641"/>
    <w:rsid w:val="00B148A0"/>
    <w:rsid w:val="00B14C1B"/>
    <w:rsid w:val="00B15A7C"/>
    <w:rsid w:val="00B15EBF"/>
    <w:rsid w:val="00B16006"/>
    <w:rsid w:val="00B171BE"/>
    <w:rsid w:val="00B173E0"/>
    <w:rsid w:val="00B2118C"/>
    <w:rsid w:val="00B212AF"/>
    <w:rsid w:val="00B21739"/>
    <w:rsid w:val="00B2183C"/>
    <w:rsid w:val="00B22675"/>
    <w:rsid w:val="00B22D22"/>
    <w:rsid w:val="00B23183"/>
    <w:rsid w:val="00B23A3F"/>
    <w:rsid w:val="00B23E8E"/>
    <w:rsid w:val="00B246BC"/>
    <w:rsid w:val="00B25790"/>
    <w:rsid w:val="00B25BDE"/>
    <w:rsid w:val="00B26DA7"/>
    <w:rsid w:val="00B27357"/>
    <w:rsid w:val="00B2739E"/>
    <w:rsid w:val="00B279CC"/>
    <w:rsid w:val="00B27ADB"/>
    <w:rsid w:val="00B30652"/>
    <w:rsid w:val="00B309A1"/>
    <w:rsid w:val="00B30D2F"/>
    <w:rsid w:val="00B30D8C"/>
    <w:rsid w:val="00B31728"/>
    <w:rsid w:val="00B319A9"/>
    <w:rsid w:val="00B32951"/>
    <w:rsid w:val="00B32DE5"/>
    <w:rsid w:val="00B33A02"/>
    <w:rsid w:val="00B33BFA"/>
    <w:rsid w:val="00B342D4"/>
    <w:rsid w:val="00B344B9"/>
    <w:rsid w:val="00B3485E"/>
    <w:rsid w:val="00B348D2"/>
    <w:rsid w:val="00B34E8C"/>
    <w:rsid w:val="00B34F04"/>
    <w:rsid w:val="00B3572B"/>
    <w:rsid w:val="00B367A6"/>
    <w:rsid w:val="00B36E4B"/>
    <w:rsid w:val="00B36E66"/>
    <w:rsid w:val="00B36ED1"/>
    <w:rsid w:val="00B37456"/>
    <w:rsid w:val="00B37917"/>
    <w:rsid w:val="00B40280"/>
    <w:rsid w:val="00B4030B"/>
    <w:rsid w:val="00B40437"/>
    <w:rsid w:val="00B407F0"/>
    <w:rsid w:val="00B40C69"/>
    <w:rsid w:val="00B40E47"/>
    <w:rsid w:val="00B4161F"/>
    <w:rsid w:val="00B41840"/>
    <w:rsid w:val="00B41ACA"/>
    <w:rsid w:val="00B42448"/>
    <w:rsid w:val="00B429CF"/>
    <w:rsid w:val="00B42D05"/>
    <w:rsid w:val="00B42FC1"/>
    <w:rsid w:val="00B4318C"/>
    <w:rsid w:val="00B4343D"/>
    <w:rsid w:val="00B43834"/>
    <w:rsid w:val="00B438F3"/>
    <w:rsid w:val="00B4418E"/>
    <w:rsid w:val="00B44EEF"/>
    <w:rsid w:val="00B4595F"/>
    <w:rsid w:val="00B45BCC"/>
    <w:rsid w:val="00B4667E"/>
    <w:rsid w:val="00B479C0"/>
    <w:rsid w:val="00B47A48"/>
    <w:rsid w:val="00B47AC5"/>
    <w:rsid w:val="00B504E5"/>
    <w:rsid w:val="00B523D3"/>
    <w:rsid w:val="00B52BA7"/>
    <w:rsid w:val="00B53E3F"/>
    <w:rsid w:val="00B54A37"/>
    <w:rsid w:val="00B550A8"/>
    <w:rsid w:val="00B55B19"/>
    <w:rsid w:val="00B565F3"/>
    <w:rsid w:val="00B56F7F"/>
    <w:rsid w:val="00B57468"/>
    <w:rsid w:val="00B57C99"/>
    <w:rsid w:val="00B60232"/>
    <w:rsid w:val="00B607BC"/>
    <w:rsid w:val="00B60C60"/>
    <w:rsid w:val="00B60FCF"/>
    <w:rsid w:val="00B61F9C"/>
    <w:rsid w:val="00B61FA5"/>
    <w:rsid w:val="00B6216E"/>
    <w:rsid w:val="00B62821"/>
    <w:rsid w:val="00B62E60"/>
    <w:rsid w:val="00B6362D"/>
    <w:rsid w:val="00B642C5"/>
    <w:rsid w:val="00B6440E"/>
    <w:rsid w:val="00B650AD"/>
    <w:rsid w:val="00B66760"/>
    <w:rsid w:val="00B6693E"/>
    <w:rsid w:val="00B670D2"/>
    <w:rsid w:val="00B670FE"/>
    <w:rsid w:val="00B67104"/>
    <w:rsid w:val="00B70A29"/>
    <w:rsid w:val="00B70BC2"/>
    <w:rsid w:val="00B716CB"/>
    <w:rsid w:val="00B71C59"/>
    <w:rsid w:val="00B72562"/>
    <w:rsid w:val="00B725C5"/>
    <w:rsid w:val="00B728E4"/>
    <w:rsid w:val="00B72DA5"/>
    <w:rsid w:val="00B732F7"/>
    <w:rsid w:val="00B747E0"/>
    <w:rsid w:val="00B74B99"/>
    <w:rsid w:val="00B751B9"/>
    <w:rsid w:val="00B75B62"/>
    <w:rsid w:val="00B75E36"/>
    <w:rsid w:val="00B764BF"/>
    <w:rsid w:val="00B766B2"/>
    <w:rsid w:val="00B7704E"/>
    <w:rsid w:val="00B77504"/>
    <w:rsid w:val="00B8034A"/>
    <w:rsid w:val="00B807DB"/>
    <w:rsid w:val="00B80A4F"/>
    <w:rsid w:val="00B81DB9"/>
    <w:rsid w:val="00B8224C"/>
    <w:rsid w:val="00B82EE8"/>
    <w:rsid w:val="00B838BF"/>
    <w:rsid w:val="00B84720"/>
    <w:rsid w:val="00B8492F"/>
    <w:rsid w:val="00B84B18"/>
    <w:rsid w:val="00B851BA"/>
    <w:rsid w:val="00B854AE"/>
    <w:rsid w:val="00B85594"/>
    <w:rsid w:val="00B860FE"/>
    <w:rsid w:val="00B874C1"/>
    <w:rsid w:val="00B877CD"/>
    <w:rsid w:val="00B87E5E"/>
    <w:rsid w:val="00B90269"/>
    <w:rsid w:val="00B90270"/>
    <w:rsid w:val="00B90920"/>
    <w:rsid w:val="00B9093B"/>
    <w:rsid w:val="00B9197D"/>
    <w:rsid w:val="00B91EC2"/>
    <w:rsid w:val="00B92412"/>
    <w:rsid w:val="00B928AC"/>
    <w:rsid w:val="00B93380"/>
    <w:rsid w:val="00B9346A"/>
    <w:rsid w:val="00B93DDF"/>
    <w:rsid w:val="00B93FF1"/>
    <w:rsid w:val="00B95046"/>
    <w:rsid w:val="00B9521F"/>
    <w:rsid w:val="00B95D84"/>
    <w:rsid w:val="00B9663B"/>
    <w:rsid w:val="00B966DD"/>
    <w:rsid w:val="00B96A2F"/>
    <w:rsid w:val="00B96F96"/>
    <w:rsid w:val="00B974B3"/>
    <w:rsid w:val="00B9780B"/>
    <w:rsid w:val="00B97ABC"/>
    <w:rsid w:val="00BA0BCB"/>
    <w:rsid w:val="00BA1836"/>
    <w:rsid w:val="00BA2649"/>
    <w:rsid w:val="00BA2926"/>
    <w:rsid w:val="00BA2C59"/>
    <w:rsid w:val="00BA3368"/>
    <w:rsid w:val="00BA3811"/>
    <w:rsid w:val="00BA495B"/>
    <w:rsid w:val="00BA5478"/>
    <w:rsid w:val="00BA5789"/>
    <w:rsid w:val="00BA71AD"/>
    <w:rsid w:val="00BA7374"/>
    <w:rsid w:val="00BA79F8"/>
    <w:rsid w:val="00BA7ADE"/>
    <w:rsid w:val="00BA7D81"/>
    <w:rsid w:val="00BA7EEB"/>
    <w:rsid w:val="00BB01B5"/>
    <w:rsid w:val="00BB0519"/>
    <w:rsid w:val="00BB065F"/>
    <w:rsid w:val="00BB0A1E"/>
    <w:rsid w:val="00BB0C30"/>
    <w:rsid w:val="00BB161C"/>
    <w:rsid w:val="00BB1A4D"/>
    <w:rsid w:val="00BB2457"/>
    <w:rsid w:val="00BB2982"/>
    <w:rsid w:val="00BB2A99"/>
    <w:rsid w:val="00BB2FE3"/>
    <w:rsid w:val="00BB338B"/>
    <w:rsid w:val="00BB362C"/>
    <w:rsid w:val="00BB368B"/>
    <w:rsid w:val="00BB368F"/>
    <w:rsid w:val="00BB3A05"/>
    <w:rsid w:val="00BB3E9D"/>
    <w:rsid w:val="00BB4721"/>
    <w:rsid w:val="00BB478D"/>
    <w:rsid w:val="00BB4A79"/>
    <w:rsid w:val="00BB50D1"/>
    <w:rsid w:val="00BB519A"/>
    <w:rsid w:val="00BB574D"/>
    <w:rsid w:val="00BB5B09"/>
    <w:rsid w:val="00BB5D46"/>
    <w:rsid w:val="00BB5E56"/>
    <w:rsid w:val="00BB6027"/>
    <w:rsid w:val="00BB6427"/>
    <w:rsid w:val="00BB67D9"/>
    <w:rsid w:val="00BB6D37"/>
    <w:rsid w:val="00BB787E"/>
    <w:rsid w:val="00BB7BEE"/>
    <w:rsid w:val="00BC02E2"/>
    <w:rsid w:val="00BC0530"/>
    <w:rsid w:val="00BC0AB0"/>
    <w:rsid w:val="00BC0B63"/>
    <w:rsid w:val="00BC1BCB"/>
    <w:rsid w:val="00BC1E87"/>
    <w:rsid w:val="00BC219B"/>
    <w:rsid w:val="00BC2312"/>
    <w:rsid w:val="00BC2AF6"/>
    <w:rsid w:val="00BC2F45"/>
    <w:rsid w:val="00BC31D9"/>
    <w:rsid w:val="00BC3A98"/>
    <w:rsid w:val="00BC467D"/>
    <w:rsid w:val="00BC4F71"/>
    <w:rsid w:val="00BC51BC"/>
    <w:rsid w:val="00BC57B6"/>
    <w:rsid w:val="00BC6154"/>
    <w:rsid w:val="00BC65AC"/>
    <w:rsid w:val="00BC77FE"/>
    <w:rsid w:val="00BC7A0E"/>
    <w:rsid w:val="00BC7A9E"/>
    <w:rsid w:val="00BD0780"/>
    <w:rsid w:val="00BD0CC9"/>
    <w:rsid w:val="00BD1322"/>
    <w:rsid w:val="00BD186D"/>
    <w:rsid w:val="00BD1F54"/>
    <w:rsid w:val="00BD290C"/>
    <w:rsid w:val="00BD298F"/>
    <w:rsid w:val="00BD35D9"/>
    <w:rsid w:val="00BD362A"/>
    <w:rsid w:val="00BD37E3"/>
    <w:rsid w:val="00BD3AD8"/>
    <w:rsid w:val="00BD3CA4"/>
    <w:rsid w:val="00BD4335"/>
    <w:rsid w:val="00BD444B"/>
    <w:rsid w:val="00BD46EA"/>
    <w:rsid w:val="00BD4A75"/>
    <w:rsid w:val="00BD4AA5"/>
    <w:rsid w:val="00BD4D7C"/>
    <w:rsid w:val="00BD6119"/>
    <w:rsid w:val="00BD705D"/>
    <w:rsid w:val="00BD72A9"/>
    <w:rsid w:val="00BD7D07"/>
    <w:rsid w:val="00BE013A"/>
    <w:rsid w:val="00BE099F"/>
    <w:rsid w:val="00BE1259"/>
    <w:rsid w:val="00BE1EA8"/>
    <w:rsid w:val="00BE341A"/>
    <w:rsid w:val="00BE367A"/>
    <w:rsid w:val="00BE4038"/>
    <w:rsid w:val="00BE480D"/>
    <w:rsid w:val="00BE4CB2"/>
    <w:rsid w:val="00BE4ED9"/>
    <w:rsid w:val="00BE58F0"/>
    <w:rsid w:val="00BE6253"/>
    <w:rsid w:val="00BE67B6"/>
    <w:rsid w:val="00BE6A99"/>
    <w:rsid w:val="00BE7410"/>
    <w:rsid w:val="00BE7579"/>
    <w:rsid w:val="00BE7AAE"/>
    <w:rsid w:val="00BE7D28"/>
    <w:rsid w:val="00BF0381"/>
    <w:rsid w:val="00BF09CC"/>
    <w:rsid w:val="00BF14B5"/>
    <w:rsid w:val="00BF3F1D"/>
    <w:rsid w:val="00BF3FF3"/>
    <w:rsid w:val="00BF4633"/>
    <w:rsid w:val="00BF4AAC"/>
    <w:rsid w:val="00BF4D28"/>
    <w:rsid w:val="00BF5257"/>
    <w:rsid w:val="00BF6041"/>
    <w:rsid w:val="00BF6671"/>
    <w:rsid w:val="00BF7C72"/>
    <w:rsid w:val="00C005D4"/>
    <w:rsid w:val="00C00C88"/>
    <w:rsid w:val="00C016C4"/>
    <w:rsid w:val="00C01C16"/>
    <w:rsid w:val="00C022F9"/>
    <w:rsid w:val="00C02357"/>
    <w:rsid w:val="00C027E0"/>
    <w:rsid w:val="00C0285A"/>
    <w:rsid w:val="00C0288B"/>
    <w:rsid w:val="00C02A7A"/>
    <w:rsid w:val="00C03115"/>
    <w:rsid w:val="00C03763"/>
    <w:rsid w:val="00C039D8"/>
    <w:rsid w:val="00C03B45"/>
    <w:rsid w:val="00C0465B"/>
    <w:rsid w:val="00C05932"/>
    <w:rsid w:val="00C05BA4"/>
    <w:rsid w:val="00C05F77"/>
    <w:rsid w:val="00C05FFB"/>
    <w:rsid w:val="00C06122"/>
    <w:rsid w:val="00C06BE8"/>
    <w:rsid w:val="00C06DE5"/>
    <w:rsid w:val="00C06F6B"/>
    <w:rsid w:val="00C07014"/>
    <w:rsid w:val="00C07251"/>
    <w:rsid w:val="00C0728D"/>
    <w:rsid w:val="00C075DF"/>
    <w:rsid w:val="00C07EF7"/>
    <w:rsid w:val="00C101BF"/>
    <w:rsid w:val="00C10337"/>
    <w:rsid w:val="00C10ADE"/>
    <w:rsid w:val="00C10E0F"/>
    <w:rsid w:val="00C11398"/>
    <w:rsid w:val="00C11DB4"/>
    <w:rsid w:val="00C13DEA"/>
    <w:rsid w:val="00C14457"/>
    <w:rsid w:val="00C14B49"/>
    <w:rsid w:val="00C15488"/>
    <w:rsid w:val="00C15538"/>
    <w:rsid w:val="00C15CE4"/>
    <w:rsid w:val="00C15EA8"/>
    <w:rsid w:val="00C171DC"/>
    <w:rsid w:val="00C17C6F"/>
    <w:rsid w:val="00C200C4"/>
    <w:rsid w:val="00C20574"/>
    <w:rsid w:val="00C20C3F"/>
    <w:rsid w:val="00C211EC"/>
    <w:rsid w:val="00C21B66"/>
    <w:rsid w:val="00C234F2"/>
    <w:rsid w:val="00C247D1"/>
    <w:rsid w:val="00C25352"/>
    <w:rsid w:val="00C25466"/>
    <w:rsid w:val="00C2585F"/>
    <w:rsid w:val="00C26E33"/>
    <w:rsid w:val="00C26F93"/>
    <w:rsid w:val="00C274FF"/>
    <w:rsid w:val="00C27D92"/>
    <w:rsid w:val="00C315BD"/>
    <w:rsid w:val="00C31E42"/>
    <w:rsid w:val="00C31FCE"/>
    <w:rsid w:val="00C32108"/>
    <w:rsid w:val="00C32891"/>
    <w:rsid w:val="00C32D05"/>
    <w:rsid w:val="00C33749"/>
    <w:rsid w:val="00C34C8F"/>
    <w:rsid w:val="00C34F09"/>
    <w:rsid w:val="00C35B0B"/>
    <w:rsid w:val="00C35BCE"/>
    <w:rsid w:val="00C35EB4"/>
    <w:rsid w:val="00C36BAE"/>
    <w:rsid w:val="00C36BC5"/>
    <w:rsid w:val="00C36D52"/>
    <w:rsid w:val="00C3709C"/>
    <w:rsid w:val="00C378FB"/>
    <w:rsid w:val="00C4043A"/>
    <w:rsid w:val="00C40C48"/>
    <w:rsid w:val="00C415CF"/>
    <w:rsid w:val="00C4280B"/>
    <w:rsid w:val="00C43235"/>
    <w:rsid w:val="00C433D7"/>
    <w:rsid w:val="00C43DF8"/>
    <w:rsid w:val="00C43E84"/>
    <w:rsid w:val="00C447A9"/>
    <w:rsid w:val="00C454E3"/>
    <w:rsid w:val="00C4596F"/>
    <w:rsid w:val="00C47206"/>
    <w:rsid w:val="00C506AD"/>
    <w:rsid w:val="00C514DB"/>
    <w:rsid w:val="00C524D1"/>
    <w:rsid w:val="00C52710"/>
    <w:rsid w:val="00C52BC4"/>
    <w:rsid w:val="00C52F83"/>
    <w:rsid w:val="00C5351B"/>
    <w:rsid w:val="00C5354A"/>
    <w:rsid w:val="00C5399A"/>
    <w:rsid w:val="00C545F6"/>
    <w:rsid w:val="00C56367"/>
    <w:rsid w:val="00C56966"/>
    <w:rsid w:val="00C57053"/>
    <w:rsid w:val="00C578A2"/>
    <w:rsid w:val="00C603D2"/>
    <w:rsid w:val="00C60F26"/>
    <w:rsid w:val="00C62056"/>
    <w:rsid w:val="00C62478"/>
    <w:rsid w:val="00C62A0B"/>
    <w:rsid w:val="00C62D39"/>
    <w:rsid w:val="00C62EC2"/>
    <w:rsid w:val="00C63F6D"/>
    <w:rsid w:val="00C6410A"/>
    <w:rsid w:val="00C6457F"/>
    <w:rsid w:val="00C653CA"/>
    <w:rsid w:val="00C65D69"/>
    <w:rsid w:val="00C66F6C"/>
    <w:rsid w:val="00C672D6"/>
    <w:rsid w:val="00C674F1"/>
    <w:rsid w:val="00C67836"/>
    <w:rsid w:val="00C67B9F"/>
    <w:rsid w:val="00C67C06"/>
    <w:rsid w:val="00C71247"/>
    <w:rsid w:val="00C713FF"/>
    <w:rsid w:val="00C715B7"/>
    <w:rsid w:val="00C717AC"/>
    <w:rsid w:val="00C71F42"/>
    <w:rsid w:val="00C72159"/>
    <w:rsid w:val="00C72BE4"/>
    <w:rsid w:val="00C72FF4"/>
    <w:rsid w:val="00C73311"/>
    <w:rsid w:val="00C73B32"/>
    <w:rsid w:val="00C73E0A"/>
    <w:rsid w:val="00C73E0F"/>
    <w:rsid w:val="00C7454B"/>
    <w:rsid w:val="00C7480B"/>
    <w:rsid w:val="00C74C6A"/>
    <w:rsid w:val="00C74F4D"/>
    <w:rsid w:val="00C755DB"/>
    <w:rsid w:val="00C75627"/>
    <w:rsid w:val="00C75781"/>
    <w:rsid w:val="00C77564"/>
    <w:rsid w:val="00C8073E"/>
    <w:rsid w:val="00C8098B"/>
    <w:rsid w:val="00C80C33"/>
    <w:rsid w:val="00C80D7A"/>
    <w:rsid w:val="00C80DC5"/>
    <w:rsid w:val="00C815ED"/>
    <w:rsid w:val="00C8199E"/>
    <w:rsid w:val="00C81B75"/>
    <w:rsid w:val="00C81C6B"/>
    <w:rsid w:val="00C822A0"/>
    <w:rsid w:val="00C829D2"/>
    <w:rsid w:val="00C836ED"/>
    <w:rsid w:val="00C83741"/>
    <w:rsid w:val="00C83E17"/>
    <w:rsid w:val="00C841C4"/>
    <w:rsid w:val="00C8477B"/>
    <w:rsid w:val="00C84870"/>
    <w:rsid w:val="00C85393"/>
    <w:rsid w:val="00C85E4A"/>
    <w:rsid w:val="00C86446"/>
    <w:rsid w:val="00C86619"/>
    <w:rsid w:val="00C868F7"/>
    <w:rsid w:val="00C86AD2"/>
    <w:rsid w:val="00C87539"/>
    <w:rsid w:val="00C90189"/>
    <w:rsid w:val="00C90596"/>
    <w:rsid w:val="00C91A22"/>
    <w:rsid w:val="00C91C3C"/>
    <w:rsid w:val="00C91CE3"/>
    <w:rsid w:val="00C91D89"/>
    <w:rsid w:val="00C91DB6"/>
    <w:rsid w:val="00C93345"/>
    <w:rsid w:val="00C93524"/>
    <w:rsid w:val="00C940A6"/>
    <w:rsid w:val="00C94A90"/>
    <w:rsid w:val="00C94BB7"/>
    <w:rsid w:val="00C95A07"/>
    <w:rsid w:val="00C967AF"/>
    <w:rsid w:val="00C96F44"/>
    <w:rsid w:val="00C97638"/>
    <w:rsid w:val="00CA0661"/>
    <w:rsid w:val="00CA0BDA"/>
    <w:rsid w:val="00CA1BC0"/>
    <w:rsid w:val="00CA1E5F"/>
    <w:rsid w:val="00CA2502"/>
    <w:rsid w:val="00CA2632"/>
    <w:rsid w:val="00CA26D8"/>
    <w:rsid w:val="00CA29E1"/>
    <w:rsid w:val="00CA353E"/>
    <w:rsid w:val="00CA3C2D"/>
    <w:rsid w:val="00CA3C3F"/>
    <w:rsid w:val="00CA3CEC"/>
    <w:rsid w:val="00CA4778"/>
    <w:rsid w:val="00CA4A27"/>
    <w:rsid w:val="00CA4A5C"/>
    <w:rsid w:val="00CA4B56"/>
    <w:rsid w:val="00CA4D1B"/>
    <w:rsid w:val="00CA5AA3"/>
    <w:rsid w:val="00CA5CBA"/>
    <w:rsid w:val="00CA6903"/>
    <w:rsid w:val="00CA6EDC"/>
    <w:rsid w:val="00CB00D7"/>
    <w:rsid w:val="00CB2564"/>
    <w:rsid w:val="00CB2C35"/>
    <w:rsid w:val="00CB2D40"/>
    <w:rsid w:val="00CB2EAA"/>
    <w:rsid w:val="00CB34BD"/>
    <w:rsid w:val="00CB49AA"/>
    <w:rsid w:val="00CB4D35"/>
    <w:rsid w:val="00CB4E2E"/>
    <w:rsid w:val="00CB577D"/>
    <w:rsid w:val="00CB5999"/>
    <w:rsid w:val="00CB67FB"/>
    <w:rsid w:val="00CB6E6B"/>
    <w:rsid w:val="00CB722E"/>
    <w:rsid w:val="00CB766F"/>
    <w:rsid w:val="00CB768C"/>
    <w:rsid w:val="00CB7CCD"/>
    <w:rsid w:val="00CC007F"/>
    <w:rsid w:val="00CC0259"/>
    <w:rsid w:val="00CC14AB"/>
    <w:rsid w:val="00CC1A41"/>
    <w:rsid w:val="00CC1C91"/>
    <w:rsid w:val="00CC200E"/>
    <w:rsid w:val="00CC27A9"/>
    <w:rsid w:val="00CC2C2A"/>
    <w:rsid w:val="00CC3754"/>
    <w:rsid w:val="00CC3827"/>
    <w:rsid w:val="00CC387A"/>
    <w:rsid w:val="00CC4B1F"/>
    <w:rsid w:val="00CC54EE"/>
    <w:rsid w:val="00CC6D89"/>
    <w:rsid w:val="00CC6EE7"/>
    <w:rsid w:val="00CC7428"/>
    <w:rsid w:val="00CC744B"/>
    <w:rsid w:val="00CD04B0"/>
    <w:rsid w:val="00CD0723"/>
    <w:rsid w:val="00CD1BC5"/>
    <w:rsid w:val="00CD2D69"/>
    <w:rsid w:val="00CD35BF"/>
    <w:rsid w:val="00CD43A7"/>
    <w:rsid w:val="00CD4869"/>
    <w:rsid w:val="00CD4917"/>
    <w:rsid w:val="00CD49DC"/>
    <w:rsid w:val="00CD4A1E"/>
    <w:rsid w:val="00CD4F1D"/>
    <w:rsid w:val="00CD52DD"/>
    <w:rsid w:val="00CD54D8"/>
    <w:rsid w:val="00CD5A23"/>
    <w:rsid w:val="00CD5C49"/>
    <w:rsid w:val="00CD6380"/>
    <w:rsid w:val="00CD65A6"/>
    <w:rsid w:val="00CD6691"/>
    <w:rsid w:val="00CD6790"/>
    <w:rsid w:val="00CD6C35"/>
    <w:rsid w:val="00CD7294"/>
    <w:rsid w:val="00CE0146"/>
    <w:rsid w:val="00CE08AE"/>
    <w:rsid w:val="00CE0D7D"/>
    <w:rsid w:val="00CE1240"/>
    <w:rsid w:val="00CE1493"/>
    <w:rsid w:val="00CE173E"/>
    <w:rsid w:val="00CE1B67"/>
    <w:rsid w:val="00CE1C40"/>
    <w:rsid w:val="00CE1DB2"/>
    <w:rsid w:val="00CE1DCB"/>
    <w:rsid w:val="00CE1F3B"/>
    <w:rsid w:val="00CE2F64"/>
    <w:rsid w:val="00CE3277"/>
    <w:rsid w:val="00CE3450"/>
    <w:rsid w:val="00CE3744"/>
    <w:rsid w:val="00CE417E"/>
    <w:rsid w:val="00CE4BD3"/>
    <w:rsid w:val="00CE4D54"/>
    <w:rsid w:val="00CE4E1D"/>
    <w:rsid w:val="00CE4F39"/>
    <w:rsid w:val="00CE6923"/>
    <w:rsid w:val="00CE6D29"/>
    <w:rsid w:val="00CE754A"/>
    <w:rsid w:val="00CF03D7"/>
    <w:rsid w:val="00CF0485"/>
    <w:rsid w:val="00CF07D7"/>
    <w:rsid w:val="00CF0EA1"/>
    <w:rsid w:val="00CF1BB2"/>
    <w:rsid w:val="00CF21BD"/>
    <w:rsid w:val="00CF284D"/>
    <w:rsid w:val="00CF29B2"/>
    <w:rsid w:val="00CF2D60"/>
    <w:rsid w:val="00CF488E"/>
    <w:rsid w:val="00CF4991"/>
    <w:rsid w:val="00CF4BDC"/>
    <w:rsid w:val="00CF552B"/>
    <w:rsid w:val="00CF5A50"/>
    <w:rsid w:val="00CF5BA6"/>
    <w:rsid w:val="00CF6700"/>
    <w:rsid w:val="00CF761D"/>
    <w:rsid w:val="00CF7AC2"/>
    <w:rsid w:val="00D0098D"/>
    <w:rsid w:val="00D010E5"/>
    <w:rsid w:val="00D01284"/>
    <w:rsid w:val="00D0183D"/>
    <w:rsid w:val="00D02674"/>
    <w:rsid w:val="00D02847"/>
    <w:rsid w:val="00D02A60"/>
    <w:rsid w:val="00D03DE1"/>
    <w:rsid w:val="00D0465C"/>
    <w:rsid w:val="00D0488A"/>
    <w:rsid w:val="00D05845"/>
    <w:rsid w:val="00D062CD"/>
    <w:rsid w:val="00D06657"/>
    <w:rsid w:val="00D06E8F"/>
    <w:rsid w:val="00D1004A"/>
    <w:rsid w:val="00D11AEC"/>
    <w:rsid w:val="00D11C07"/>
    <w:rsid w:val="00D12243"/>
    <w:rsid w:val="00D12450"/>
    <w:rsid w:val="00D12462"/>
    <w:rsid w:val="00D12592"/>
    <w:rsid w:val="00D126B3"/>
    <w:rsid w:val="00D12C65"/>
    <w:rsid w:val="00D12EF8"/>
    <w:rsid w:val="00D13EEA"/>
    <w:rsid w:val="00D141C3"/>
    <w:rsid w:val="00D1497C"/>
    <w:rsid w:val="00D14CEB"/>
    <w:rsid w:val="00D14E0F"/>
    <w:rsid w:val="00D15109"/>
    <w:rsid w:val="00D15409"/>
    <w:rsid w:val="00D162D4"/>
    <w:rsid w:val="00D16772"/>
    <w:rsid w:val="00D168C7"/>
    <w:rsid w:val="00D1708D"/>
    <w:rsid w:val="00D17238"/>
    <w:rsid w:val="00D17AB7"/>
    <w:rsid w:val="00D2059D"/>
    <w:rsid w:val="00D20BCE"/>
    <w:rsid w:val="00D216B6"/>
    <w:rsid w:val="00D2200F"/>
    <w:rsid w:val="00D22154"/>
    <w:rsid w:val="00D224F6"/>
    <w:rsid w:val="00D230D2"/>
    <w:rsid w:val="00D23788"/>
    <w:rsid w:val="00D23954"/>
    <w:rsid w:val="00D23B84"/>
    <w:rsid w:val="00D23BD2"/>
    <w:rsid w:val="00D23C68"/>
    <w:rsid w:val="00D23E4C"/>
    <w:rsid w:val="00D250A7"/>
    <w:rsid w:val="00D25603"/>
    <w:rsid w:val="00D267ED"/>
    <w:rsid w:val="00D2750C"/>
    <w:rsid w:val="00D278FD"/>
    <w:rsid w:val="00D30E74"/>
    <w:rsid w:val="00D3133B"/>
    <w:rsid w:val="00D316B1"/>
    <w:rsid w:val="00D31AE9"/>
    <w:rsid w:val="00D31E2B"/>
    <w:rsid w:val="00D321AC"/>
    <w:rsid w:val="00D32376"/>
    <w:rsid w:val="00D340C2"/>
    <w:rsid w:val="00D34375"/>
    <w:rsid w:val="00D34F6F"/>
    <w:rsid w:val="00D351A8"/>
    <w:rsid w:val="00D355A2"/>
    <w:rsid w:val="00D35C61"/>
    <w:rsid w:val="00D36B6E"/>
    <w:rsid w:val="00D36D35"/>
    <w:rsid w:val="00D36E00"/>
    <w:rsid w:val="00D374A8"/>
    <w:rsid w:val="00D374D5"/>
    <w:rsid w:val="00D37ED7"/>
    <w:rsid w:val="00D4059F"/>
    <w:rsid w:val="00D406CE"/>
    <w:rsid w:val="00D41428"/>
    <w:rsid w:val="00D417BB"/>
    <w:rsid w:val="00D41976"/>
    <w:rsid w:val="00D41BB8"/>
    <w:rsid w:val="00D41DF4"/>
    <w:rsid w:val="00D41F5C"/>
    <w:rsid w:val="00D41F82"/>
    <w:rsid w:val="00D42201"/>
    <w:rsid w:val="00D42C03"/>
    <w:rsid w:val="00D43182"/>
    <w:rsid w:val="00D433AD"/>
    <w:rsid w:val="00D43478"/>
    <w:rsid w:val="00D4360A"/>
    <w:rsid w:val="00D43652"/>
    <w:rsid w:val="00D45E7A"/>
    <w:rsid w:val="00D46909"/>
    <w:rsid w:val="00D46AF2"/>
    <w:rsid w:val="00D47048"/>
    <w:rsid w:val="00D47370"/>
    <w:rsid w:val="00D47EF0"/>
    <w:rsid w:val="00D502DF"/>
    <w:rsid w:val="00D50F39"/>
    <w:rsid w:val="00D50FE9"/>
    <w:rsid w:val="00D51772"/>
    <w:rsid w:val="00D521BF"/>
    <w:rsid w:val="00D5245A"/>
    <w:rsid w:val="00D525A9"/>
    <w:rsid w:val="00D53189"/>
    <w:rsid w:val="00D53C3A"/>
    <w:rsid w:val="00D543F5"/>
    <w:rsid w:val="00D544C6"/>
    <w:rsid w:val="00D55224"/>
    <w:rsid w:val="00D55465"/>
    <w:rsid w:val="00D568DE"/>
    <w:rsid w:val="00D578E3"/>
    <w:rsid w:val="00D601DB"/>
    <w:rsid w:val="00D604D1"/>
    <w:rsid w:val="00D60780"/>
    <w:rsid w:val="00D60A03"/>
    <w:rsid w:val="00D616A3"/>
    <w:rsid w:val="00D61A6A"/>
    <w:rsid w:val="00D61C73"/>
    <w:rsid w:val="00D61D8F"/>
    <w:rsid w:val="00D6264A"/>
    <w:rsid w:val="00D62701"/>
    <w:rsid w:val="00D62D37"/>
    <w:rsid w:val="00D64057"/>
    <w:rsid w:val="00D641FF"/>
    <w:rsid w:val="00D647B1"/>
    <w:rsid w:val="00D649D7"/>
    <w:rsid w:val="00D64CF6"/>
    <w:rsid w:val="00D64F33"/>
    <w:rsid w:val="00D65AB5"/>
    <w:rsid w:val="00D65BC8"/>
    <w:rsid w:val="00D65D3B"/>
    <w:rsid w:val="00D6659A"/>
    <w:rsid w:val="00D666BA"/>
    <w:rsid w:val="00D66F75"/>
    <w:rsid w:val="00D7054C"/>
    <w:rsid w:val="00D707D8"/>
    <w:rsid w:val="00D71475"/>
    <w:rsid w:val="00D71AF3"/>
    <w:rsid w:val="00D71BB6"/>
    <w:rsid w:val="00D72A6A"/>
    <w:rsid w:val="00D72B8E"/>
    <w:rsid w:val="00D7304F"/>
    <w:rsid w:val="00D7371D"/>
    <w:rsid w:val="00D73B28"/>
    <w:rsid w:val="00D7413D"/>
    <w:rsid w:val="00D74188"/>
    <w:rsid w:val="00D74414"/>
    <w:rsid w:val="00D750A5"/>
    <w:rsid w:val="00D75718"/>
    <w:rsid w:val="00D75933"/>
    <w:rsid w:val="00D75E9D"/>
    <w:rsid w:val="00D76090"/>
    <w:rsid w:val="00D7616B"/>
    <w:rsid w:val="00D762DE"/>
    <w:rsid w:val="00D7669E"/>
    <w:rsid w:val="00D771C8"/>
    <w:rsid w:val="00D772D4"/>
    <w:rsid w:val="00D772D5"/>
    <w:rsid w:val="00D77395"/>
    <w:rsid w:val="00D800EE"/>
    <w:rsid w:val="00D8026B"/>
    <w:rsid w:val="00D810D6"/>
    <w:rsid w:val="00D81295"/>
    <w:rsid w:val="00D81C63"/>
    <w:rsid w:val="00D81D13"/>
    <w:rsid w:val="00D81EE0"/>
    <w:rsid w:val="00D8283F"/>
    <w:rsid w:val="00D834E8"/>
    <w:rsid w:val="00D8382C"/>
    <w:rsid w:val="00D845EA"/>
    <w:rsid w:val="00D846DA"/>
    <w:rsid w:val="00D84DEB"/>
    <w:rsid w:val="00D84FB8"/>
    <w:rsid w:val="00D86076"/>
    <w:rsid w:val="00D87F6F"/>
    <w:rsid w:val="00D90073"/>
    <w:rsid w:val="00D90D5B"/>
    <w:rsid w:val="00D91A8B"/>
    <w:rsid w:val="00D91ACA"/>
    <w:rsid w:val="00D91DBA"/>
    <w:rsid w:val="00D91E75"/>
    <w:rsid w:val="00D925AA"/>
    <w:rsid w:val="00D92F5F"/>
    <w:rsid w:val="00D9315B"/>
    <w:rsid w:val="00D93359"/>
    <w:rsid w:val="00D9355A"/>
    <w:rsid w:val="00D940C4"/>
    <w:rsid w:val="00D942CE"/>
    <w:rsid w:val="00D94376"/>
    <w:rsid w:val="00D94447"/>
    <w:rsid w:val="00D94672"/>
    <w:rsid w:val="00D95111"/>
    <w:rsid w:val="00D95932"/>
    <w:rsid w:val="00D95A20"/>
    <w:rsid w:val="00D9619C"/>
    <w:rsid w:val="00D96B13"/>
    <w:rsid w:val="00D96EBA"/>
    <w:rsid w:val="00D973A8"/>
    <w:rsid w:val="00DA00FD"/>
    <w:rsid w:val="00DA052A"/>
    <w:rsid w:val="00DA0E6F"/>
    <w:rsid w:val="00DA1159"/>
    <w:rsid w:val="00DA148F"/>
    <w:rsid w:val="00DA1BC4"/>
    <w:rsid w:val="00DA1C5D"/>
    <w:rsid w:val="00DA20FA"/>
    <w:rsid w:val="00DA2496"/>
    <w:rsid w:val="00DA2C52"/>
    <w:rsid w:val="00DA31C3"/>
    <w:rsid w:val="00DA33CA"/>
    <w:rsid w:val="00DA3CE8"/>
    <w:rsid w:val="00DA3E7D"/>
    <w:rsid w:val="00DA428A"/>
    <w:rsid w:val="00DA45EE"/>
    <w:rsid w:val="00DA4845"/>
    <w:rsid w:val="00DA4A1F"/>
    <w:rsid w:val="00DA4D91"/>
    <w:rsid w:val="00DA5924"/>
    <w:rsid w:val="00DA63B0"/>
    <w:rsid w:val="00DA7A88"/>
    <w:rsid w:val="00DA7B34"/>
    <w:rsid w:val="00DA7C14"/>
    <w:rsid w:val="00DA7C8A"/>
    <w:rsid w:val="00DA7E8A"/>
    <w:rsid w:val="00DB01B1"/>
    <w:rsid w:val="00DB01CE"/>
    <w:rsid w:val="00DB092A"/>
    <w:rsid w:val="00DB0C71"/>
    <w:rsid w:val="00DB1492"/>
    <w:rsid w:val="00DB2A8D"/>
    <w:rsid w:val="00DB2C0E"/>
    <w:rsid w:val="00DB35FB"/>
    <w:rsid w:val="00DB360B"/>
    <w:rsid w:val="00DB3697"/>
    <w:rsid w:val="00DB3728"/>
    <w:rsid w:val="00DB3B54"/>
    <w:rsid w:val="00DB4E49"/>
    <w:rsid w:val="00DB5356"/>
    <w:rsid w:val="00DB5666"/>
    <w:rsid w:val="00DB593A"/>
    <w:rsid w:val="00DB6F42"/>
    <w:rsid w:val="00DB796D"/>
    <w:rsid w:val="00DB7E83"/>
    <w:rsid w:val="00DC01A6"/>
    <w:rsid w:val="00DC09A2"/>
    <w:rsid w:val="00DC0C34"/>
    <w:rsid w:val="00DC0E0C"/>
    <w:rsid w:val="00DC12D7"/>
    <w:rsid w:val="00DC28F2"/>
    <w:rsid w:val="00DC2B46"/>
    <w:rsid w:val="00DC2D33"/>
    <w:rsid w:val="00DC30F4"/>
    <w:rsid w:val="00DC3A99"/>
    <w:rsid w:val="00DC408C"/>
    <w:rsid w:val="00DC4D6F"/>
    <w:rsid w:val="00DC50DF"/>
    <w:rsid w:val="00DC5D31"/>
    <w:rsid w:val="00DC716C"/>
    <w:rsid w:val="00DC7259"/>
    <w:rsid w:val="00DC7EDB"/>
    <w:rsid w:val="00DD0186"/>
    <w:rsid w:val="00DD01EF"/>
    <w:rsid w:val="00DD0C90"/>
    <w:rsid w:val="00DD1494"/>
    <w:rsid w:val="00DD1724"/>
    <w:rsid w:val="00DD1C22"/>
    <w:rsid w:val="00DD1CC6"/>
    <w:rsid w:val="00DD2069"/>
    <w:rsid w:val="00DD257F"/>
    <w:rsid w:val="00DD2AE3"/>
    <w:rsid w:val="00DD2BA7"/>
    <w:rsid w:val="00DD3270"/>
    <w:rsid w:val="00DD40F0"/>
    <w:rsid w:val="00DD4319"/>
    <w:rsid w:val="00DD480B"/>
    <w:rsid w:val="00DD4B9D"/>
    <w:rsid w:val="00DD53F5"/>
    <w:rsid w:val="00DD6380"/>
    <w:rsid w:val="00DD65EF"/>
    <w:rsid w:val="00DD6EFB"/>
    <w:rsid w:val="00DD7594"/>
    <w:rsid w:val="00DE05EE"/>
    <w:rsid w:val="00DE0E92"/>
    <w:rsid w:val="00DE0F44"/>
    <w:rsid w:val="00DE1453"/>
    <w:rsid w:val="00DE2607"/>
    <w:rsid w:val="00DE29B5"/>
    <w:rsid w:val="00DE2AA2"/>
    <w:rsid w:val="00DE37B5"/>
    <w:rsid w:val="00DE3B9C"/>
    <w:rsid w:val="00DE3D2E"/>
    <w:rsid w:val="00DE3DBD"/>
    <w:rsid w:val="00DE5031"/>
    <w:rsid w:val="00DE503C"/>
    <w:rsid w:val="00DE5533"/>
    <w:rsid w:val="00DE58F5"/>
    <w:rsid w:val="00DE5979"/>
    <w:rsid w:val="00DE74DD"/>
    <w:rsid w:val="00DE7D21"/>
    <w:rsid w:val="00DE7FAD"/>
    <w:rsid w:val="00DF033B"/>
    <w:rsid w:val="00DF0A88"/>
    <w:rsid w:val="00DF1205"/>
    <w:rsid w:val="00DF1238"/>
    <w:rsid w:val="00DF134E"/>
    <w:rsid w:val="00DF1736"/>
    <w:rsid w:val="00DF1F2D"/>
    <w:rsid w:val="00DF2103"/>
    <w:rsid w:val="00DF21F0"/>
    <w:rsid w:val="00DF31A6"/>
    <w:rsid w:val="00DF3204"/>
    <w:rsid w:val="00DF3419"/>
    <w:rsid w:val="00DF3507"/>
    <w:rsid w:val="00DF51A1"/>
    <w:rsid w:val="00DF5AF7"/>
    <w:rsid w:val="00DF5C05"/>
    <w:rsid w:val="00DF6039"/>
    <w:rsid w:val="00DF73E1"/>
    <w:rsid w:val="00DF7C4D"/>
    <w:rsid w:val="00E00432"/>
    <w:rsid w:val="00E00AEB"/>
    <w:rsid w:val="00E01286"/>
    <w:rsid w:val="00E01E74"/>
    <w:rsid w:val="00E02718"/>
    <w:rsid w:val="00E02E67"/>
    <w:rsid w:val="00E02F6D"/>
    <w:rsid w:val="00E03D02"/>
    <w:rsid w:val="00E03DB6"/>
    <w:rsid w:val="00E04C41"/>
    <w:rsid w:val="00E05C2C"/>
    <w:rsid w:val="00E05D50"/>
    <w:rsid w:val="00E05FC1"/>
    <w:rsid w:val="00E06295"/>
    <w:rsid w:val="00E067B1"/>
    <w:rsid w:val="00E069EF"/>
    <w:rsid w:val="00E06E0A"/>
    <w:rsid w:val="00E06F58"/>
    <w:rsid w:val="00E07171"/>
    <w:rsid w:val="00E07181"/>
    <w:rsid w:val="00E07429"/>
    <w:rsid w:val="00E077A2"/>
    <w:rsid w:val="00E077C9"/>
    <w:rsid w:val="00E07D69"/>
    <w:rsid w:val="00E104AB"/>
    <w:rsid w:val="00E1082B"/>
    <w:rsid w:val="00E10E86"/>
    <w:rsid w:val="00E111A3"/>
    <w:rsid w:val="00E11253"/>
    <w:rsid w:val="00E11B98"/>
    <w:rsid w:val="00E11E11"/>
    <w:rsid w:val="00E126C7"/>
    <w:rsid w:val="00E13868"/>
    <w:rsid w:val="00E1465B"/>
    <w:rsid w:val="00E148DF"/>
    <w:rsid w:val="00E14C90"/>
    <w:rsid w:val="00E15075"/>
    <w:rsid w:val="00E155B7"/>
    <w:rsid w:val="00E15660"/>
    <w:rsid w:val="00E156B6"/>
    <w:rsid w:val="00E1596B"/>
    <w:rsid w:val="00E15EA1"/>
    <w:rsid w:val="00E17B46"/>
    <w:rsid w:val="00E17DD7"/>
    <w:rsid w:val="00E20381"/>
    <w:rsid w:val="00E21B4D"/>
    <w:rsid w:val="00E21F50"/>
    <w:rsid w:val="00E23398"/>
    <w:rsid w:val="00E23434"/>
    <w:rsid w:val="00E23646"/>
    <w:rsid w:val="00E23C57"/>
    <w:rsid w:val="00E23CA4"/>
    <w:rsid w:val="00E23D9B"/>
    <w:rsid w:val="00E24087"/>
    <w:rsid w:val="00E25BDA"/>
    <w:rsid w:val="00E27349"/>
    <w:rsid w:val="00E27699"/>
    <w:rsid w:val="00E30CB0"/>
    <w:rsid w:val="00E30D64"/>
    <w:rsid w:val="00E31602"/>
    <w:rsid w:val="00E31BE3"/>
    <w:rsid w:val="00E31F91"/>
    <w:rsid w:val="00E3298A"/>
    <w:rsid w:val="00E32C65"/>
    <w:rsid w:val="00E331F2"/>
    <w:rsid w:val="00E3372D"/>
    <w:rsid w:val="00E337EB"/>
    <w:rsid w:val="00E33D75"/>
    <w:rsid w:val="00E3439A"/>
    <w:rsid w:val="00E35443"/>
    <w:rsid w:val="00E35A87"/>
    <w:rsid w:val="00E36C6B"/>
    <w:rsid w:val="00E36D47"/>
    <w:rsid w:val="00E3786C"/>
    <w:rsid w:val="00E378CD"/>
    <w:rsid w:val="00E41251"/>
    <w:rsid w:val="00E41662"/>
    <w:rsid w:val="00E416D4"/>
    <w:rsid w:val="00E41942"/>
    <w:rsid w:val="00E419C3"/>
    <w:rsid w:val="00E41DBB"/>
    <w:rsid w:val="00E42387"/>
    <w:rsid w:val="00E426AA"/>
    <w:rsid w:val="00E42C95"/>
    <w:rsid w:val="00E42FF5"/>
    <w:rsid w:val="00E4369B"/>
    <w:rsid w:val="00E4386F"/>
    <w:rsid w:val="00E43C27"/>
    <w:rsid w:val="00E43FAE"/>
    <w:rsid w:val="00E44005"/>
    <w:rsid w:val="00E44407"/>
    <w:rsid w:val="00E44A12"/>
    <w:rsid w:val="00E44C2A"/>
    <w:rsid w:val="00E45385"/>
    <w:rsid w:val="00E457FF"/>
    <w:rsid w:val="00E4633F"/>
    <w:rsid w:val="00E46668"/>
    <w:rsid w:val="00E47D4E"/>
    <w:rsid w:val="00E47DCB"/>
    <w:rsid w:val="00E50CA9"/>
    <w:rsid w:val="00E5196A"/>
    <w:rsid w:val="00E5217A"/>
    <w:rsid w:val="00E52565"/>
    <w:rsid w:val="00E52F31"/>
    <w:rsid w:val="00E53052"/>
    <w:rsid w:val="00E532DC"/>
    <w:rsid w:val="00E53795"/>
    <w:rsid w:val="00E54403"/>
    <w:rsid w:val="00E55480"/>
    <w:rsid w:val="00E554A6"/>
    <w:rsid w:val="00E5709D"/>
    <w:rsid w:val="00E57125"/>
    <w:rsid w:val="00E5719D"/>
    <w:rsid w:val="00E57EAD"/>
    <w:rsid w:val="00E60A00"/>
    <w:rsid w:val="00E60F55"/>
    <w:rsid w:val="00E612DE"/>
    <w:rsid w:val="00E614D2"/>
    <w:rsid w:val="00E6163B"/>
    <w:rsid w:val="00E618B9"/>
    <w:rsid w:val="00E620CA"/>
    <w:rsid w:val="00E62D31"/>
    <w:rsid w:val="00E637B6"/>
    <w:rsid w:val="00E63DF7"/>
    <w:rsid w:val="00E63F2D"/>
    <w:rsid w:val="00E63FD1"/>
    <w:rsid w:val="00E6468D"/>
    <w:rsid w:val="00E64B7D"/>
    <w:rsid w:val="00E65334"/>
    <w:rsid w:val="00E653B6"/>
    <w:rsid w:val="00E65E8A"/>
    <w:rsid w:val="00E65F6A"/>
    <w:rsid w:val="00E668DD"/>
    <w:rsid w:val="00E66A3A"/>
    <w:rsid w:val="00E6715F"/>
    <w:rsid w:val="00E67854"/>
    <w:rsid w:val="00E67A14"/>
    <w:rsid w:val="00E70789"/>
    <w:rsid w:val="00E70871"/>
    <w:rsid w:val="00E70E07"/>
    <w:rsid w:val="00E716CF"/>
    <w:rsid w:val="00E71B43"/>
    <w:rsid w:val="00E72511"/>
    <w:rsid w:val="00E7308A"/>
    <w:rsid w:val="00E73A46"/>
    <w:rsid w:val="00E73C8A"/>
    <w:rsid w:val="00E7448A"/>
    <w:rsid w:val="00E74528"/>
    <w:rsid w:val="00E74CB7"/>
    <w:rsid w:val="00E74DBC"/>
    <w:rsid w:val="00E7508F"/>
    <w:rsid w:val="00E75AE1"/>
    <w:rsid w:val="00E75F0F"/>
    <w:rsid w:val="00E804AF"/>
    <w:rsid w:val="00E8065B"/>
    <w:rsid w:val="00E814E2"/>
    <w:rsid w:val="00E81AF6"/>
    <w:rsid w:val="00E823FE"/>
    <w:rsid w:val="00E824DF"/>
    <w:rsid w:val="00E8257A"/>
    <w:rsid w:val="00E8274E"/>
    <w:rsid w:val="00E82D40"/>
    <w:rsid w:val="00E83225"/>
    <w:rsid w:val="00E8364C"/>
    <w:rsid w:val="00E8389A"/>
    <w:rsid w:val="00E84CA5"/>
    <w:rsid w:val="00E851BF"/>
    <w:rsid w:val="00E85B26"/>
    <w:rsid w:val="00E8630A"/>
    <w:rsid w:val="00E86542"/>
    <w:rsid w:val="00E86A20"/>
    <w:rsid w:val="00E8702B"/>
    <w:rsid w:val="00E87597"/>
    <w:rsid w:val="00E876D8"/>
    <w:rsid w:val="00E87773"/>
    <w:rsid w:val="00E87AFD"/>
    <w:rsid w:val="00E87BF8"/>
    <w:rsid w:val="00E90499"/>
    <w:rsid w:val="00E905DA"/>
    <w:rsid w:val="00E9203B"/>
    <w:rsid w:val="00E9296A"/>
    <w:rsid w:val="00E9304B"/>
    <w:rsid w:val="00E93ACC"/>
    <w:rsid w:val="00E946E7"/>
    <w:rsid w:val="00E94C9B"/>
    <w:rsid w:val="00E952FA"/>
    <w:rsid w:val="00E9541D"/>
    <w:rsid w:val="00E95BAE"/>
    <w:rsid w:val="00E9622B"/>
    <w:rsid w:val="00E9679C"/>
    <w:rsid w:val="00E96B5B"/>
    <w:rsid w:val="00E96D60"/>
    <w:rsid w:val="00E96F88"/>
    <w:rsid w:val="00EA085F"/>
    <w:rsid w:val="00EA11D4"/>
    <w:rsid w:val="00EA16B6"/>
    <w:rsid w:val="00EA2DBB"/>
    <w:rsid w:val="00EA3DA8"/>
    <w:rsid w:val="00EA4183"/>
    <w:rsid w:val="00EA4941"/>
    <w:rsid w:val="00EA4D36"/>
    <w:rsid w:val="00EA55F5"/>
    <w:rsid w:val="00EA56B9"/>
    <w:rsid w:val="00EA5E08"/>
    <w:rsid w:val="00EA643D"/>
    <w:rsid w:val="00EA6703"/>
    <w:rsid w:val="00EA6DBF"/>
    <w:rsid w:val="00EA6E01"/>
    <w:rsid w:val="00EA6F3E"/>
    <w:rsid w:val="00EB04C3"/>
    <w:rsid w:val="00EB104F"/>
    <w:rsid w:val="00EB155B"/>
    <w:rsid w:val="00EB1E98"/>
    <w:rsid w:val="00EB2135"/>
    <w:rsid w:val="00EB2914"/>
    <w:rsid w:val="00EB2BAB"/>
    <w:rsid w:val="00EB3481"/>
    <w:rsid w:val="00EB36F5"/>
    <w:rsid w:val="00EB3AE1"/>
    <w:rsid w:val="00EB40E8"/>
    <w:rsid w:val="00EB494D"/>
    <w:rsid w:val="00EB54E5"/>
    <w:rsid w:val="00EB5B13"/>
    <w:rsid w:val="00EB6EB5"/>
    <w:rsid w:val="00EB7363"/>
    <w:rsid w:val="00EB7F02"/>
    <w:rsid w:val="00EC086F"/>
    <w:rsid w:val="00EC0ACF"/>
    <w:rsid w:val="00EC13C8"/>
    <w:rsid w:val="00EC1ED4"/>
    <w:rsid w:val="00EC1EFD"/>
    <w:rsid w:val="00EC2D61"/>
    <w:rsid w:val="00EC35A0"/>
    <w:rsid w:val="00EC3620"/>
    <w:rsid w:val="00EC3834"/>
    <w:rsid w:val="00EC4150"/>
    <w:rsid w:val="00EC42F5"/>
    <w:rsid w:val="00EC43F9"/>
    <w:rsid w:val="00EC44F9"/>
    <w:rsid w:val="00EC5197"/>
    <w:rsid w:val="00EC5690"/>
    <w:rsid w:val="00EC610A"/>
    <w:rsid w:val="00EC6310"/>
    <w:rsid w:val="00EC6EE2"/>
    <w:rsid w:val="00EC771F"/>
    <w:rsid w:val="00EC7D89"/>
    <w:rsid w:val="00ED087B"/>
    <w:rsid w:val="00ED0A28"/>
    <w:rsid w:val="00ED1337"/>
    <w:rsid w:val="00ED1B8E"/>
    <w:rsid w:val="00ED27F9"/>
    <w:rsid w:val="00ED2AD7"/>
    <w:rsid w:val="00ED32DB"/>
    <w:rsid w:val="00ED39E7"/>
    <w:rsid w:val="00ED4031"/>
    <w:rsid w:val="00ED4310"/>
    <w:rsid w:val="00ED439F"/>
    <w:rsid w:val="00ED4A18"/>
    <w:rsid w:val="00ED5FC7"/>
    <w:rsid w:val="00ED6A82"/>
    <w:rsid w:val="00ED6DA8"/>
    <w:rsid w:val="00ED7018"/>
    <w:rsid w:val="00ED7087"/>
    <w:rsid w:val="00ED74A9"/>
    <w:rsid w:val="00ED7551"/>
    <w:rsid w:val="00ED78EF"/>
    <w:rsid w:val="00ED7DAA"/>
    <w:rsid w:val="00EE166C"/>
    <w:rsid w:val="00EE1918"/>
    <w:rsid w:val="00EE1B71"/>
    <w:rsid w:val="00EE3922"/>
    <w:rsid w:val="00EE4007"/>
    <w:rsid w:val="00EE46F5"/>
    <w:rsid w:val="00EE47A2"/>
    <w:rsid w:val="00EE4EC8"/>
    <w:rsid w:val="00EE51B3"/>
    <w:rsid w:val="00EE57C2"/>
    <w:rsid w:val="00EE587C"/>
    <w:rsid w:val="00EE61B8"/>
    <w:rsid w:val="00EF02C2"/>
    <w:rsid w:val="00EF0963"/>
    <w:rsid w:val="00EF0A15"/>
    <w:rsid w:val="00EF0A90"/>
    <w:rsid w:val="00EF17DF"/>
    <w:rsid w:val="00EF1845"/>
    <w:rsid w:val="00EF1912"/>
    <w:rsid w:val="00EF20D6"/>
    <w:rsid w:val="00EF2451"/>
    <w:rsid w:val="00EF28D6"/>
    <w:rsid w:val="00EF31AF"/>
    <w:rsid w:val="00EF41BB"/>
    <w:rsid w:val="00EF4967"/>
    <w:rsid w:val="00EF5F98"/>
    <w:rsid w:val="00EF6B55"/>
    <w:rsid w:val="00EF6BE7"/>
    <w:rsid w:val="00EF6D23"/>
    <w:rsid w:val="00EF721F"/>
    <w:rsid w:val="00EF73C2"/>
    <w:rsid w:val="00F002DD"/>
    <w:rsid w:val="00F00632"/>
    <w:rsid w:val="00F00648"/>
    <w:rsid w:val="00F01750"/>
    <w:rsid w:val="00F02080"/>
    <w:rsid w:val="00F022B9"/>
    <w:rsid w:val="00F02945"/>
    <w:rsid w:val="00F02F28"/>
    <w:rsid w:val="00F030D9"/>
    <w:rsid w:val="00F04F1D"/>
    <w:rsid w:val="00F058BE"/>
    <w:rsid w:val="00F05DEC"/>
    <w:rsid w:val="00F05E35"/>
    <w:rsid w:val="00F05E3F"/>
    <w:rsid w:val="00F07210"/>
    <w:rsid w:val="00F07269"/>
    <w:rsid w:val="00F07986"/>
    <w:rsid w:val="00F10892"/>
    <w:rsid w:val="00F10B3B"/>
    <w:rsid w:val="00F10EAD"/>
    <w:rsid w:val="00F113AF"/>
    <w:rsid w:val="00F120DD"/>
    <w:rsid w:val="00F12343"/>
    <w:rsid w:val="00F12899"/>
    <w:rsid w:val="00F12995"/>
    <w:rsid w:val="00F13552"/>
    <w:rsid w:val="00F13DF1"/>
    <w:rsid w:val="00F144A5"/>
    <w:rsid w:val="00F14F2D"/>
    <w:rsid w:val="00F150BB"/>
    <w:rsid w:val="00F1562B"/>
    <w:rsid w:val="00F16707"/>
    <w:rsid w:val="00F16867"/>
    <w:rsid w:val="00F16EE4"/>
    <w:rsid w:val="00F17380"/>
    <w:rsid w:val="00F17F5C"/>
    <w:rsid w:val="00F204A9"/>
    <w:rsid w:val="00F20714"/>
    <w:rsid w:val="00F21AE1"/>
    <w:rsid w:val="00F22626"/>
    <w:rsid w:val="00F2341F"/>
    <w:rsid w:val="00F236AD"/>
    <w:rsid w:val="00F23B92"/>
    <w:rsid w:val="00F23F23"/>
    <w:rsid w:val="00F24014"/>
    <w:rsid w:val="00F243EE"/>
    <w:rsid w:val="00F24958"/>
    <w:rsid w:val="00F24F31"/>
    <w:rsid w:val="00F25597"/>
    <w:rsid w:val="00F269B3"/>
    <w:rsid w:val="00F26C0D"/>
    <w:rsid w:val="00F26E63"/>
    <w:rsid w:val="00F272E7"/>
    <w:rsid w:val="00F27F80"/>
    <w:rsid w:val="00F318A5"/>
    <w:rsid w:val="00F31BED"/>
    <w:rsid w:val="00F331B9"/>
    <w:rsid w:val="00F33A60"/>
    <w:rsid w:val="00F341DA"/>
    <w:rsid w:val="00F343B5"/>
    <w:rsid w:val="00F345EF"/>
    <w:rsid w:val="00F347D5"/>
    <w:rsid w:val="00F35062"/>
    <w:rsid w:val="00F35A8F"/>
    <w:rsid w:val="00F360EB"/>
    <w:rsid w:val="00F36483"/>
    <w:rsid w:val="00F365ED"/>
    <w:rsid w:val="00F367B7"/>
    <w:rsid w:val="00F37155"/>
    <w:rsid w:val="00F3766E"/>
    <w:rsid w:val="00F376A1"/>
    <w:rsid w:val="00F377C9"/>
    <w:rsid w:val="00F40563"/>
    <w:rsid w:val="00F40AF8"/>
    <w:rsid w:val="00F40B15"/>
    <w:rsid w:val="00F4156C"/>
    <w:rsid w:val="00F42A95"/>
    <w:rsid w:val="00F42FDE"/>
    <w:rsid w:val="00F430E9"/>
    <w:rsid w:val="00F44690"/>
    <w:rsid w:val="00F44D49"/>
    <w:rsid w:val="00F46894"/>
    <w:rsid w:val="00F475DA"/>
    <w:rsid w:val="00F50191"/>
    <w:rsid w:val="00F50219"/>
    <w:rsid w:val="00F514FA"/>
    <w:rsid w:val="00F5163F"/>
    <w:rsid w:val="00F51C51"/>
    <w:rsid w:val="00F522C8"/>
    <w:rsid w:val="00F5257A"/>
    <w:rsid w:val="00F52980"/>
    <w:rsid w:val="00F52ED3"/>
    <w:rsid w:val="00F53992"/>
    <w:rsid w:val="00F53E4B"/>
    <w:rsid w:val="00F542CF"/>
    <w:rsid w:val="00F54700"/>
    <w:rsid w:val="00F54C2C"/>
    <w:rsid w:val="00F5528D"/>
    <w:rsid w:val="00F55939"/>
    <w:rsid w:val="00F55A3D"/>
    <w:rsid w:val="00F56163"/>
    <w:rsid w:val="00F56927"/>
    <w:rsid w:val="00F56FED"/>
    <w:rsid w:val="00F572E6"/>
    <w:rsid w:val="00F5733A"/>
    <w:rsid w:val="00F57377"/>
    <w:rsid w:val="00F574FB"/>
    <w:rsid w:val="00F57816"/>
    <w:rsid w:val="00F57B9F"/>
    <w:rsid w:val="00F57C61"/>
    <w:rsid w:val="00F6019A"/>
    <w:rsid w:val="00F6048E"/>
    <w:rsid w:val="00F60838"/>
    <w:rsid w:val="00F610A8"/>
    <w:rsid w:val="00F61E01"/>
    <w:rsid w:val="00F61EF7"/>
    <w:rsid w:val="00F621DA"/>
    <w:rsid w:val="00F63A7A"/>
    <w:rsid w:val="00F63B40"/>
    <w:rsid w:val="00F63DA1"/>
    <w:rsid w:val="00F64596"/>
    <w:rsid w:val="00F66457"/>
    <w:rsid w:val="00F665DD"/>
    <w:rsid w:val="00F676FC"/>
    <w:rsid w:val="00F67842"/>
    <w:rsid w:val="00F67AC0"/>
    <w:rsid w:val="00F703C8"/>
    <w:rsid w:val="00F70DED"/>
    <w:rsid w:val="00F71FC4"/>
    <w:rsid w:val="00F71FDB"/>
    <w:rsid w:val="00F72326"/>
    <w:rsid w:val="00F7244C"/>
    <w:rsid w:val="00F72789"/>
    <w:rsid w:val="00F74687"/>
    <w:rsid w:val="00F7469C"/>
    <w:rsid w:val="00F74F13"/>
    <w:rsid w:val="00F74F92"/>
    <w:rsid w:val="00F754A1"/>
    <w:rsid w:val="00F755E2"/>
    <w:rsid w:val="00F755E9"/>
    <w:rsid w:val="00F75961"/>
    <w:rsid w:val="00F76060"/>
    <w:rsid w:val="00F7634E"/>
    <w:rsid w:val="00F76440"/>
    <w:rsid w:val="00F77019"/>
    <w:rsid w:val="00F77577"/>
    <w:rsid w:val="00F807BE"/>
    <w:rsid w:val="00F80B12"/>
    <w:rsid w:val="00F810B3"/>
    <w:rsid w:val="00F81267"/>
    <w:rsid w:val="00F814E1"/>
    <w:rsid w:val="00F81696"/>
    <w:rsid w:val="00F816E2"/>
    <w:rsid w:val="00F81AF2"/>
    <w:rsid w:val="00F8256A"/>
    <w:rsid w:val="00F82617"/>
    <w:rsid w:val="00F82881"/>
    <w:rsid w:val="00F82D2D"/>
    <w:rsid w:val="00F82FD3"/>
    <w:rsid w:val="00F831C9"/>
    <w:rsid w:val="00F83288"/>
    <w:rsid w:val="00F83EF9"/>
    <w:rsid w:val="00F84778"/>
    <w:rsid w:val="00F8478A"/>
    <w:rsid w:val="00F85498"/>
    <w:rsid w:val="00F8685E"/>
    <w:rsid w:val="00F872AF"/>
    <w:rsid w:val="00F872E7"/>
    <w:rsid w:val="00F873D5"/>
    <w:rsid w:val="00F87573"/>
    <w:rsid w:val="00F87A29"/>
    <w:rsid w:val="00F90D72"/>
    <w:rsid w:val="00F91058"/>
    <w:rsid w:val="00F919CE"/>
    <w:rsid w:val="00F91F75"/>
    <w:rsid w:val="00F929DC"/>
    <w:rsid w:val="00F92CE2"/>
    <w:rsid w:val="00F9304D"/>
    <w:rsid w:val="00F93D91"/>
    <w:rsid w:val="00F9508C"/>
    <w:rsid w:val="00F95A55"/>
    <w:rsid w:val="00F95C13"/>
    <w:rsid w:val="00F95D42"/>
    <w:rsid w:val="00F96159"/>
    <w:rsid w:val="00F96A24"/>
    <w:rsid w:val="00F97232"/>
    <w:rsid w:val="00F975A7"/>
    <w:rsid w:val="00F97D23"/>
    <w:rsid w:val="00FA01A0"/>
    <w:rsid w:val="00FA0DA4"/>
    <w:rsid w:val="00FA1447"/>
    <w:rsid w:val="00FA1952"/>
    <w:rsid w:val="00FA2A68"/>
    <w:rsid w:val="00FA2BF6"/>
    <w:rsid w:val="00FA345A"/>
    <w:rsid w:val="00FA4895"/>
    <w:rsid w:val="00FA4C7F"/>
    <w:rsid w:val="00FA546B"/>
    <w:rsid w:val="00FA566D"/>
    <w:rsid w:val="00FA59B6"/>
    <w:rsid w:val="00FA5C1F"/>
    <w:rsid w:val="00FA5DEE"/>
    <w:rsid w:val="00FA5EF1"/>
    <w:rsid w:val="00FA63DB"/>
    <w:rsid w:val="00FA6EB3"/>
    <w:rsid w:val="00FA7534"/>
    <w:rsid w:val="00FB00DE"/>
    <w:rsid w:val="00FB0408"/>
    <w:rsid w:val="00FB0CB8"/>
    <w:rsid w:val="00FB0CD8"/>
    <w:rsid w:val="00FB24CF"/>
    <w:rsid w:val="00FB2DF5"/>
    <w:rsid w:val="00FB32A2"/>
    <w:rsid w:val="00FB46FD"/>
    <w:rsid w:val="00FB4D8F"/>
    <w:rsid w:val="00FB4E94"/>
    <w:rsid w:val="00FB557A"/>
    <w:rsid w:val="00FB5A6A"/>
    <w:rsid w:val="00FB5E95"/>
    <w:rsid w:val="00FB6A72"/>
    <w:rsid w:val="00FB7651"/>
    <w:rsid w:val="00FC032E"/>
    <w:rsid w:val="00FC0D1F"/>
    <w:rsid w:val="00FC144D"/>
    <w:rsid w:val="00FC187F"/>
    <w:rsid w:val="00FC2BFD"/>
    <w:rsid w:val="00FC3295"/>
    <w:rsid w:val="00FC3C90"/>
    <w:rsid w:val="00FC4046"/>
    <w:rsid w:val="00FC40E2"/>
    <w:rsid w:val="00FC43FF"/>
    <w:rsid w:val="00FC60F1"/>
    <w:rsid w:val="00FC61BB"/>
    <w:rsid w:val="00FC61EB"/>
    <w:rsid w:val="00FC6366"/>
    <w:rsid w:val="00FC71D2"/>
    <w:rsid w:val="00FD01EF"/>
    <w:rsid w:val="00FD04CC"/>
    <w:rsid w:val="00FD0D6C"/>
    <w:rsid w:val="00FD173A"/>
    <w:rsid w:val="00FD1E17"/>
    <w:rsid w:val="00FD2768"/>
    <w:rsid w:val="00FD2E1F"/>
    <w:rsid w:val="00FD3A2D"/>
    <w:rsid w:val="00FD3C24"/>
    <w:rsid w:val="00FD3C39"/>
    <w:rsid w:val="00FD4292"/>
    <w:rsid w:val="00FD46F2"/>
    <w:rsid w:val="00FD4939"/>
    <w:rsid w:val="00FD4EAB"/>
    <w:rsid w:val="00FD5C98"/>
    <w:rsid w:val="00FD62C3"/>
    <w:rsid w:val="00FD6B0E"/>
    <w:rsid w:val="00FD6C3B"/>
    <w:rsid w:val="00FE08CB"/>
    <w:rsid w:val="00FE0C15"/>
    <w:rsid w:val="00FE0FC3"/>
    <w:rsid w:val="00FE195E"/>
    <w:rsid w:val="00FE2A85"/>
    <w:rsid w:val="00FE2CEB"/>
    <w:rsid w:val="00FE3C50"/>
    <w:rsid w:val="00FE482C"/>
    <w:rsid w:val="00FE485F"/>
    <w:rsid w:val="00FE5759"/>
    <w:rsid w:val="00FE6897"/>
    <w:rsid w:val="00FE7625"/>
    <w:rsid w:val="00FE7D14"/>
    <w:rsid w:val="00FF0775"/>
    <w:rsid w:val="00FF0E3E"/>
    <w:rsid w:val="00FF0FB6"/>
    <w:rsid w:val="00FF10FF"/>
    <w:rsid w:val="00FF19E9"/>
    <w:rsid w:val="00FF1AB1"/>
    <w:rsid w:val="00FF3D0A"/>
    <w:rsid w:val="00FF3E62"/>
    <w:rsid w:val="00FF4187"/>
    <w:rsid w:val="00FF41DC"/>
    <w:rsid w:val="00FF4EA9"/>
    <w:rsid w:val="00FF50F4"/>
    <w:rsid w:val="00FF56E6"/>
    <w:rsid w:val="00FF582F"/>
    <w:rsid w:val="00FF6047"/>
    <w:rsid w:val="00FF64C2"/>
    <w:rsid w:val="00FF64C8"/>
    <w:rsid w:val="00FF65B4"/>
    <w:rsid w:val="00FF6B54"/>
    <w:rsid w:val="00FF7991"/>
    <w:rsid w:val="00FF7B99"/>
    <w:rsid w:val="00FF7C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DB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C Normal"/>
    <w:qFormat/>
    <w:rsid w:val="00806F8E"/>
    <w:pPr>
      <w:spacing w:before="120" w:after="120" w:line="360" w:lineRule="auto"/>
    </w:pPr>
    <w:rPr>
      <w:sz w:val="21"/>
      <w:szCs w:val="21"/>
    </w:rPr>
  </w:style>
  <w:style w:type="paragraph" w:styleId="Heading1">
    <w:name w:val="heading 1"/>
    <w:basedOn w:val="Normal"/>
    <w:next w:val="Normal"/>
    <w:link w:val="Heading1Char"/>
    <w:uiPriority w:val="9"/>
    <w:qFormat/>
    <w:rsid w:val="00217580"/>
    <w:pPr>
      <w:keepNext/>
      <w:keepLines/>
      <w:pBdr>
        <w:bottom w:val="single" w:sz="4" w:space="1" w:color="auto"/>
      </w:pBdr>
      <w:spacing w:before="360" w:after="240"/>
      <w:outlineLvl w:val="0"/>
    </w:pPr>
    <w:rPr>
      <w:rFonts w:asciiTheme="majorHAnsi" w:eastAsiaTheme="majorEastAsia" w:hAnsiTheme="majorHAnsi" w:cstheme="majorBidi"/>
      <w:b/>
      <w:bCs/>
      <w:color w:val="808080" w:themeColor="background1" w:themeShade="80"/>
      <w:sz w:val="32"/>
      <w:szCs w:val="28"/>
    </w:rPr>
  </w:style>
  <w:style w:type="paragraph" w:styleId="Heading2">
    <w:name w:val="heading 2"/>
    <w:basedOn w:val="Normal"/>
    <w:next w:val="Normal"/>
    <w:link w:val="Heading2Char"/>
    <w:uiPriority w:val="9"/>
    <w:unhideWhenUsed/>
    <w:qFormat/>
    <w:rsid w:val="00CA1E5F"/>
    <w:pPr>
      <w:keepNext/>
      <w:keepLines/>
      <w:spacing w:before="200"/>
      <w:outlineLvl w:val="1"/>
    </w:pPr>
    <w:rPr>
      <w:rFonts w:asciiTheme="majorHAnsi" w:eastAsiaTheme="majorEastAsia" w:hAnsiTheme="majorHAnsi" w:cstheme="majorBidi"/>
      <w:b/>
      <w:bCs/>
      <w:color w:val="666600" w:themeColor="accent3" w:themeShade="80"/>
      <w:sz w:val="26"/>
      <w:szCs w:val="26"/>
    </w:rPr>
  </w:style>
  <w:style w:type="paragraph" w:styleId="Heading3">
    <w:name w:val="heading 3"/>
    <w:basedOn w:val="Normal"/>
    <w:next w:val="Normal"/>
    <w:link w:val="Heading3Char"/>
    <w:uiPriority w:val="9"/>
    <w:unhideWhenUsed/>
    <w:qFormat/>
    <w:rsid w:val="00FF1AB1"/>
    <w:pPr>
      <w:keepNext/>
      <w:keepLines/>
      <w:spacing w:before="200"/>
      <w:outlineLvl w:val="2"/>
    </w:pPr>
    <w:rPr>
      <w:rFonts w:asciiTheme="majorHAnsi" w:eastAsiaTheme="majorEastAsia" w:hAnsiTheme="majorHAnsi" w:cstheme="majorBidi"/>
      <w:b/>
      <w:bCs/>
      <w:color w:val="666600" w:themeColor="accent3" w:themeShade="80"/>
    </w:rPr>
  </w:style>
  <w:style w:type="paragraph" w:styleId="Heading4">
    <w:name w:val="heading 4"/>
    <w:basedOn w:val="Normal"/>
    <w:next w:val="Normal"/>
    <w:link w:val="Heading4Char"/>
    <w:uiPriority w:val="9"/>
    <w:unhideWhenUsed/>
    <w:qFormat/>
    <w:rsid w:val="00B348D2"/>
    <w:pPr>
      <w:keepNext/>
      <w:keepLines/>
      <w:spacing w:before="200" w:after="0"/>
      <w:outlineLvl w:val="3"/>
    </w:pPr>
    <w:rPr>
      <w:rFonts w:asciiTheme="majorHAnsi" w:eastAsiaTheme="majorEastAsia" w:hAnsiTheme="majorHAnsi" w:cstheme="majorBidi"/>
      <w:b/>
      <w:bCs/>
      <w:i/>
      <w:iCs/>
      <w:color w:val="595959" w:themeColor="accent1"/>
    </w:rPr>
  </w:style>
  <w:style w:type="paragraph" w:styleId="Heading5">
    <w:name w:val="heading 5"/>
    <w:basedOn w:val="Normal"/>
    <w:next w:val="Normal"/>
    <w:link w:val="Heading5Char"/>
    <w:uiPriority w:val="9"/>
    <w:unhideWhenUsed/>
    <w:qFormat/>
    <w:rsid w:val="00B348D2"/>
    <w:pPr>
      <w:keepNext/>
      <w:keepLines/>
      <w:spacing w:before="200" w:after="0"/>
      <w:outlineLvl w:val="4"/>
    </w:pPr>
    <w:rPr>
      <w:rFonts w:asciiTheme="majorHAnsi" w:eastAsiaTheme="majorEastAsia" w:hAnsiTheme="majorHAnsi" w:cstheme="majorBidi"/>
      <w:color w:val="2C2C2C" w:themeColor="accent1" w:themeShade="7F"/>
    </w:rPr>
  </w:style>
  <w:style w:type="paragraph" w:styleId="Heading9">
    <w:name w:val="heading 9"/>
    <w:basedOn w:val="Normal"/>
    <w:next w:val="Normal"/>
    <w:link w:val="Heading9Char"/>
    <w:uiPriority w:val="9"/>
    <w:unhideWhenUsed/>
    <w:qFormat/>
    <w:rsid w:val="003F62D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38F3"/>
    <w:pPr>
      <w:tabs>
        <w:tab w:val="center" w:pos="4513"/>
        <w:tab w:val="right" w:pos="9026"/>
      </w:tabs>
      <w:spacing w:after="0"/>
    </w:pPr>
  </w:style>
  <w:style w:type="character" w:customStyle="1" w:styleId="HeaderChar">
    <w:name w:val="Header Char"/>
    <w:basedOn w:val="DefaultParagraphFont"/>
    <w:link w:val="Header"/>
    <w:uiPriority w:val="99"/>
    <w:rsid w:val="00B438F3"/>
  </w:style>
  <w:style w:type="paragraph" w:styleId="Footer">
    <w:name w:val="footer"/>
    <w:basedOn w:val="Normal"/>
    <w:link w:val="FooterChar"/>
    <w:uiPriority w:val="99"/>
    <w:unhideWhenUsed/>
    <w:rsid w:val="00B438F3"/>
    <w:pPr>
      <w:tabs>
        <w:tab w:val="center" w:pos="4513"/>
        <w:tab w:val="right" w:pos="9026"/>
      </w:tabs>
      <w:spacing w:after="0"/>
    </w:pPr>
  </w:style>
  <w:style w:type="character" w:customStyle="1" w:styleId="FooterChar">
    <w:name w:val="Footer Char"/>
    <w:basedOn w:val="DefaultParagraphFont"/>
    <w:link w:val="Footer"/>
    <w:uiPriority w:val="99"/>
    <w:rsid w:val="00B438F3"/>
  </w:style>
  <w:style w:type="paragraph" w:styleId="ListParagraph">
    <w:name w:val="List Paragraph"/>
    <w:aliases w:val="Bullets,List Paragraph1,Recommendation,List Paragraph11,sub-section"/>
    <w:basedOn w:val="Normal"/>
    <w:link w:val="ListParagraphChar"/>
    <w:autoRedefine/>
    <w:uiPriority w:val="34"/>
    <w:qFormat/>
    <w:rsid w:val="00456131"/>
    <w:pPr>
      <w:numPr>
        <w:numId w:val="82"/>
      </w:numPr>
      <w:spacing w:line="240" w:lineRule="auto"/>
    </w:pPr>
    <w:rPr>
      <w:rFonts w:eastAsia="Calibri" w:cs="Times New Roman"/>
    </w:rPr>
  </w:style>
  <w:style w:type="table" w:styleId="TableGrid">
    <w:name w:val="Table Grid"/>
    <w:basedOn w:val="TableNormal"/>
    <w:uiPriority w:val="59"/>
    <w:rsid w:val="00AC7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1"/>
    <w:qFormat/>
    <w:rsid w:val="00F00632"/>
    <w:pPr>
      <w:tabs>
        <w:tab w:val="left" w:pos="1418"/>
      </w:tabs>
      <w:spacing w:before="160" w:after="0" w:line="260" w:lineRule="exact"/>
    </w:pPr>
    <w:rPr>
      <w:rFonts w:ascii="Arial" w:eastAsia="Calibri" w:hAnsi="Arial" w:cs="Times New Roman"/>
      <w:sz w:val="18"/>
      <w:szCs w:val="20"/>
    </w:rPr>
  </w:style>
  <w:style w:type="character" w:customStyle="1" w:styleId="TextChar1">
    <w:name w:val="Text Char1"/>
    <w:basedOn w:val="DefaultParagraphFont"/>
    <w:link w:val="Text"/>
    <w:rsid w:val="00F00632"/>
    <w:rPr>
      <w:rFonts w:ascii="Arial" w:eastAsia="Calibri" w:hAnsi="Arial" w:cs="Times New Roman"/>
      <w:sz w:val="18"/>
      <w:szCs w:val="20"/>
    </w:rPr>
  </w:style>
  <w:style w:type="paragraph" w:customStyle="1" w:styleId="Statsbullet">
    <w:name w:val="Stats bullet"/>
    <w:basedOn w:val="Normal"/>
    <w:link w:val="StatsbulletChar"/>
    <w:rsid w:val="00F00632"/>
    <w:pPr>
      <w:numPr>
        <w:numId w:val="1"/>
      </w:numPr>
      <w:tabs>
        <w:tab w:val="left" w:pos="426"/>
      </w:tabs>
      <w:spacing w:before="20" w:after="0" w:line="260" w:lineRule="exact"/>
      <w:ind w:right="567"/>
    </w:pPr>
    <w:rPr>
      <w:rFonts w:ascii="Arial" w:eastAsia="Calibri" w:hAnsi="Arial" w:cs="Times New Roman"/>
      <w:sz w:val="18"/>
      <w:szCs w:val="20"/>
      <w:lang w:val="en-GB"/>
    </w:rPr>
  </w:style>
  <w:style w:type="character" w:customStyle="1" w:styleId="StatsbulletChar">
    <w:name w:val="Stats bullet Char"/>
    <w:basedOn w:val="DefaultParagraphFont"/>
    <w:link w:val="Statsbullet"/>
    <w:rsid w:val="00F00632"/>
    <w:rPr>
      <w:rFonts w:ascii="Arial" w:eastAsia="Calibri" w:hAnsi="Arial" w:cs="Times New Roman"/>
      <w:sz w:val="18"/>
      <w:szCs w:val="20"/>
      <w:lang w:val="en-GB"/>
    </w:rPr>
  </w:style>
  <w:style w:type="paragraph" w:customStyle="1" w:styleId="StatsHeading3">
    <w:name w:val="StatsHeading3"/>
    <w:basedOn w:val="Normal"/>
    <w:link w:val="StatsHeading3Char"/>
    <w:rsid w:val="00F00632"/>
    <w:pPr>
      <w:spacing w:after="0"/>
    </w:pPr>
    <w:rPr>
      <w:rFonts w:ascii="Arial" w:eastAsia="Calibri" w:hAnsi="Arial" w:cs="Arial"/>
      <w:b/>
      <w:color w:val="EC008C"/>
      <w:szCs w:val="20"/>
      <w:lang w:val="en-GB"/>
    </w:rPr>
  </w:style>
  <w:style w:type="paragraph" w:customStyle="1" w:styleId="Pubsubtitle">
    <w:name w:val="Pub subtitle"/>
    <w:basedOn w:val="Normal"/>
    <w:rsid w:val="00F00632"/>
    <w:pPr>
      <w:spacing w:after="0"/>
      <w:ind w:left="720"/>
    </w:pPr>
    <w:rPr>
      <w:rFonts w:ascii="Arial" w:eastAsia="Calibri" w:hAnsi="Arial" w:cs="Times New Roman"/>
      <w:color w:val="EC008C"/>
      <w:sz w:val="36"/>
      <w:szCs w:val="36"/>
      <w:lang w:val="en-GB"/>
    </w:rPr>
  </w:style>
  <w:style w:type="paragraph" w:customStyle="1" w:styleId="Year">
    <w:name w:val="Year"/>
    <w:basedOn w:val="Normal"/>
    <w:rsid w:val="00F00632"/>
    <w:pPr>
      <w:spacing w:after="0"/>
      <w:ind w:left="720"/>
    </w:pPr>
    <w:rPr>
      <w:rFonts w:ascii="Arial" w:eastAsia="Calibri" w:hAnsi="Arial" w:cs="Times New Roman"/>
      <w:color w:val="EC008C"/>
      <w:sz w:val="80"/>
      <w:szCs w:val="80"/>
      <w:lang w:val="en-GB"/>
    </w:rPr>
  </w:style>
  <w:style w:type="character" w:customStyle="1" w:styleId="StatsHeading3Char">
    <w:name w:val="StatsHeading3 Char"/>
    <w:basedOn w:val="DefaultParagraphFont"/>
    <w:link w:val="StatsHeading3"/>
    <w:rsid w:val="00F00632"/>
    <w:rPr>
      <w:rFonts w:ascii="Arial" w:eastAsia="Calibri" w:hAnsi="Arial" w:cs="Arial"/>
      <w:b/>
      <w:color w:val="EC008C"/>
      <w:szCs w:val="20"/>
      <w:lang w:val="en-GB"/>
    </w:rPr>
  </w:style>
  <w:style w:type="paragraph" w:customStyle="1" w:styleId="Tabletitle">
    <w:name w:val="Tabletitle"/>
    <w:next w:val="Text"/>
    <w:link w:val="TabletitleCharChar"/>
    <w:rsid w:val="00F00632"/>
    <w:pPr>
      <w:tabs>
        <w:tab w:val="left" w:pos="900"/>
      </w:tabs>
      <w:spacing w:before="320" w:after="80" w:line="240" w:lineRule="auto"/>
    </w:pPr>
    <w:rPr>
      <w:rFonts w:ascii="Arial" w:eastAsia="Calibri" w:hAnsi="Arial" w:cs="Times New Roman"/>
      <w:b/>
      <w:color w:val="EC008C"/>
      <w:sz w:val="17"/>
      <w:szCs w:val="17"/>
    </w:rPr>
  </w:style>
  <w:style w:type="character" w:customStyle="1" w:styleId="TabletitleCharChar">
    <w:name w:val="Tabletitle Char Char"/>
    <w:basedOn w:val="DefaultParagraphFont"/>
    <w:link w:val="Tabletitle"/>
    <w:rsid w:val="00F00632"/>
    <w:rPr>
      <w:rFonts w:ascii="Arial" w:eastAsia="Calibri" w:hAnsi="Arial" w:cs="Times New Roman"/>
      <w:b/>
      <w:color w:val="EC008C"/>
      <w:sz w:val="17"/>
      <w:szCs w:val="17"/>
    </w:rPr>
  </w:style>
  <w:style w:type="paragraph" w:customStyle="1" w:styleId="Source">
    <w:name w:val="Source"/>
    <w:autoRedefine/>
    <w:rsid w:val="00F00632"/>
    <w:pPr>
      <w:tabs>
        <w:tab w:val="left" w:pos="284"/>
        <w:tab w:val="left" w:pos="567"/>
      </w:tabs>
      <w:spacing w:before="40" w:after="0" w:line="240" w:lineRule="auto"/>
      <w:ind w:left="720" w:hanging="720"/>
    </w:pPr>
    <w:rPr>
      <w:rFonts w:ascii="Arial" w:eastAsia="Calibri" w:hAnsi="Arial" w:cs="Times New Roman"/>
      <w:sz w:val="15"/>
      <w:szCs w:val="20"/>
    </w:rPr>
  </w:style>
  <w:style w:type="paragraph" w:customStyle="1" w:styleId="Tabletext">
    <w:name w:val="Table text"/>
    <w:next w:val="Text"/>
    <w:rsid w:val="00F00632"/>
    <w:pPr>
      <w:spacing w:before="40" w:after="40" w:line="240" w:lineRule="auto"/>
    </w:pPr>
    <w:rPr>
      <w:rFonts w:ascii="Arial" w:eastAsia="Calibri" w:hAnsi="Arial" w:cs="Times New Roman"/>
      <w:color w:val="000000"/>
      <w:sz w:val="16"/>
      <w:szCs w:val="15"/>
    </w:rPr>
  </w:style>
  <w:style w:type="paragraph" w:customStyle="1" w:styleId="Tablehead1">
    <w:name w:val="Tablehead1"/>
    <w:rsid w:val="00F00632"/>
    <w:pPr>
      <w:tabs>
        <w:tab w:val="left" w:pos="900"/>
      </w:tabs>
      <w:spacing w:before="120" w:after="40" w:line="240" w:lineRule="auto"/>
      <w:jc w:val="center"/>
    </w:pPr>
    <w:rPr>
      <w:rFonts w:ascii="Arial" w:eastAsia="Calibri" w:hAnsi="Arial" w:cs="Times New Roman"/>
      <w:b/>
      <w:color w:val="EC008C"/>
      <w:sz w:val="16"/>
      <w:szCs w:val="20"/>
    </w:rPr>
  </w:style>
  <w:style w:type="paragraph" w:customStyle="1" w:styleId="TableRowBold">
    <w:name w:val="TableRowBold"/>
    <w:basedOn w:val="Tabletext"/>
    <w:rsid w:val="00F00632"/>
    <w:pPr>
      <w:spacing w:before="80"/>
    </w:pPr>
    <w:rPr>
      <w:b/>
    </w:rPr>
  </w:style>
  <w:style w:type="character" w:styleId="Hyperlink">
    <w:name w:val="Hyperlink"/>
    <w:basedOn w:val="DefaultParagraphFont"/>
    <w:uiPriority w:val="99"/>
    <w:unhideWhenUsed/>
    <w:rsid w:val="00CD0723"/>
    <w:rPr>
      <w:color w:val="632423" w:themeColor="hyperlink"/>
      <w:u w:val="single"/>
    </w:rPr>
  </w:style>
  <w:style w:type="paragraph" w:styleId="BalloonText">
    <w:name w:val="Balloon Text"/>
    <w:basedOn w:val="Normal"/>
    <w:link w:val="BalloonTextChar"/>
    <w:uiPriority w:val="99"/>
    <w:semiHidden/>
    <w:unhideWhenUsed/>
    <w:rsid w:val="007E473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4736"/>
    <w:rPr>
      <w:rFonts w:ascii="Tahoma" w:hAnsi="Tahoma" w:cs="Tahoma"/>
      <w:sz w:val="16"/>
      <w:szCs w:val="16"/>
    </w:rPr>
  </w:style>
  <w:style w:type="character" w:styleId="Strong">
    <w:name w:val="Strong"/>
    <w:basedOn w:val="DefaultParagraphFont"/>
    <w:uiPriority w:val="22"/>
    <w:qFormat/>
    <w:rsid w:val="00BC1E87"/>
    <w:rPr>
      <w:b/>
      <w:bCs/>
    </w:rPr>
  </w:style>
  <w:style w:type="paragraph" w:styleId="NormalWeb">
    <w:name w:val="Normal (Web)"/>
    <w:basedOn w:val="Normal"/>
    <w:uiPriority w:val="99"/>
    <w:unhideWhenUsed/>
    <w:rsid w:val="00CC2C2A"/>
    <w:pPr>
      <w:spacing w:before="100" w:beforeAutospacing="1" w:after="100" w:afterAutospacing="1"/>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DC09A2"/>
    <w:pPr>
      <w:pBdr>
        <w:bottom w:val="single" w:sz="8" w:space="4" w:color="595959" w:themeColor="accent1"/>
      </w:pBdr>
      <w:spacing w:after="300"/>
      <w:contextualSpacing/>
    </w:pPr>
    <w:rPr>
      <w:rFonts w:asciiTheme="majorHAnsi" w:eastAsiaTheme="majorEastAsia" w:hAnsiTheme="majorHAnsi" w:cstheme="majorBidi"/>
      <w:color w:val="576D2D" w:themeColor="text2" w:themeShade="BF"/>
      <w:spacing w:val="5"/>
      <w:kern w:val="28"/>
      <w:sz w:val="52"/>
      <w:szCs w:val="52"/>
    </w:rPr>
  </w:style>
  <w:style w:type="character" w:customStyle="1" w:styleId="TitleChar">
    <w:name w:val="Title Char"/>
    <w:basedOn w:val="DefaultParagraphFont"/>
    <w:link w:val="Title"/>
    <w:uiPriority w:val="10"/>
    <w:rsid w:val="00DC09A2"/>
    <w:rPr>
      <w:rFonts w:asciiTheme="majorHAnsi" w:eastAsiaTheme="majorEastAsia" w:hAnsiTheme="majorHAnsi" w:cstheme="majorBidi"/>
      <w:color w:val="576D2D" w:themeColor="text2" w:themeShade="BF"/>
      <w:spacing w:val="5"/>
      <w:kern w:val="28"/>
      <w:sz w:val="52"/>
      <w:szCs w:val="52"/>
    </w:rPr>
  </w:style>
  <w:style w:type="character" w:customStyle="1" w:styleId="Heading1Char">
    <w:name w:val="Heading 1 Char"/>
    <w:basedOn w:val="DefaultParagraphFont"/>
    <w:link w:val="Heading1"/>
    <w:uiPriority w:val="9"/>
    <w:rsid w:val="00217580"/>
    <w:rPr>
      <w:rFonts w:asciiTheme="majorHAnsi" w:eastAsiaTheme="majorEastAsia" w:hAnsiTheme="majorHAnsi" w:cstheme="majorBidi"/>
      <w:b/>
      <w:bCs/>
      <w:color w:val="808080" w:themeColor="background1" w:themeShade="80"/>
      <w:sz w:val="32"/>
      <w:szCs w:val="28"/>
    </w:rPr>
  </w:style>
  <w:style w:type="character" w:customStyle="1" w:styleId="Heading2Char">
    <w:name w:val="Heading 2 Char"/>
    <w:basedOn w:val="DefaultParagraphFont"/>
    <w:link w:val="Heading2"/>
    <w:uiPriority w:val="9"/>
    <w:rsid w:val="00CA1E5F"/>
    <w:rPr>
      <w:rFonts w:asciiTheme="majorHAnsi" w:eastAsiaTheme="majorEastAsia" w:hAnsiTheme="majorHAnsi" w:cstheme="majorBidi"/>
      <w:b/>
      <w:bCs/>
      <w:color w:val="666600" w:themeColor="accent3" w:themeShade="80"/>
      <w:sz w:val="26"/>
      <w:szCs w:val="26"/>
      <w:lang w:val="en"/>
    </w:rPr>
  </w:style>
  <w:style w:type="character" w:customStyle="1" w:styleId="Heading3Char">
    <w:name w:val="Heading 3 Char"/>
    <w:basedOn w:val="DefaultParagraphFont"/>
    <w:link w:val="Heading3"/>
    <w:uiPriority w:val="9"/>
    <w:rsid w:val="00FF1AB1"/>
    <w:rPr>
      <w:rFonts w:asciiTheme="majorHAnsi" w:eastAsiaTheme="majorEastAsia" w:hAnsiTheme="majorHAnsi" w:cstheme="majorBidi"/>
      <w:b/>
      <w:bCs/>
      <w:color w:val="666600" w:themeColor="accent3" w:themeShade="80"/>
      <w:sz w:val="21"/>
      <w:szCs w:val="21"/>
      <w:lang w:val="en"/>
    </w:rPr>
  </w:style>
  <w:style w:type="paragraph" w:styleId="Subtitle">
    <w:name w:val="Subtitle"/>
    <w:basedOn w:val="Normal"/>
    <w:next w:val="Normal"/>
    <w:link w:val="SubtitleChar"/>
    <w:uiPriority w:val="11"/>
    <w:qFormat/>
    <w:rsid w:val="00BB2982"/>
    <w:pPr>
      <w:numPr>
        <w:ilvl w:val="1"/>
      </w:numPr>
    </w:pPr>
    <w:rPr>
      <w:rFonts w:asciiTheme="majorHAnsi" w:eastAsiaTheme="majorEastAsia" w:hAnsiTheme="majorHAnsi" w:cstheme="majorBidi"/>
      <w:i/>
      <w:iCs/>
      <w:color w:val="595959" w:themeColor="accent1"/>
      <w:spacing w:val="15"/>
      <w:sz w:val="24"/>
      <w:szCs w:val="24"/>
      <w:lang w:val="en-US" w:eastAsia="ja-JP"/>
    </w:rPr>
  </w:style>
  <w:style w:type="character" w:customStyle="1" w:styleId="SubtitleChar">
    <w:name w:val="Subtitle Char"/>
    <w:basedOn w:val="DefaultParagraphFont"/>
    <w:link w:val="Subtitle"/>
    <w:uiPriority w:val="11"/>
    <w:rsid w:val="00BB2982"/>
    <w:rPr>
      <w:rFonts w:asciiTheme="majorHAnsi" w:eastAsiaTheme="majorEastAsia" w:hAnsiTheme="majorHAnsi" w:cstheme="majorBidi"/>
      <w:i/>
      <w:iCs/>
      <w:color w:val="595959" w:themeColor="accent1"/>
      <w:spacing w:val="15"/>
      <w:sz w:val="24"/>
      <w:szCs w:val="24"/>
      <w:lang w:val="en-US" w:eastAsia="ja-JP"/>
    </w:rPr>
  </w:style>
  <w:style w:type="paragraph" w:styleId="NoSpacing">
    <w:name w:val="No Spacing"/>
    <w:link w:val="NoSpacingChar"/>
    <w:uiPriority w:val="1"/>
    <w:qFormat/>
    <w:rsid w:val="00A709CB"/>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709CB"/>
    <w:rPr>
      <w:rFonts w:eastAsiaTheme="minorEastAsia"/>
      <w:lang w:val="en-US" w:eastAsia="ja-JP"/>
    </w:rPr>
  </w:style>
  <w:style w:type="paragraph" w:styleId="TOC1">
    <w:name w:val="toc 1"/>
    <w:basedOn w:val="Normal"/>
    <w:next w:val="Normal"/>
    <w:autoRedefine/>
    <w:uiPriority w:val="39"/>
    <w:unhideWhenUsed/>
    <w:rsid w:val="00203571"/>
    <w:pPr>
      <w:tabs>
        <w:tab w:val="right" w:leader="dot" w:pos="9180"/>
      </w:tabs>
    </w:pPr>
    <w:rPr>
      <w:b/>
    </w:rPr>
  </w:style>
  <w:style w:type="paragraph" w:styleId="TOC2">
    <w:name w:val="toc 2"/>
    <w:basedOn w:val="Normal"/>
    <w:next w:val="Normal"/>
    <w:autoRedefine/>
    <w:uiPriority w:val="39"/>
    <w:unhideWhenUsed/>
    <w:rsid w:val="00743125"/>
    <w:pPr>
      <w:tabs>
        <w:tab w:val="right" w:leader="dot" w:pos="9180"/>
      </w:tabs>
      <w:spacing w:after="0"/>
    </w:pPr>
  </w:style>
  <w:style w:type="character" w:customStyle="1" w:styleId="nolink">
    <w:name w:val="nolink"/>
    <w:basedOn w:val="DefaultParagraphFont"/>
    <w:rsid w:val="00103D28"/>
  </w:style>
  <w:style w:type="character" w:styleId="FollowedHyperlink">
    <w:name w:val="FollowedHyperlink"/>
    <w:basedOn w:val="DefaultParagraphFont"/>
    <w:uiPriority w:val="99"/>
    <w:semiHidden/>
    <w:unhideWhenUsed/>
    <w:rsid w:val="00D91DBA"/>
    <w:rPr>
      <w:color w:val="953734" w:themeColor="followedHyperlink"/>
      <w:u w:val="single"/>
    </w:rPr>
  </w:style>
  <w:style w:type="paragraph" w:styleId="FootnoteText">
    <w:name w:val="footnote text"/>
    <w:aliases w:val="Footnote Text Char Char Char Char Char,Footnote Text Char Char Char,Fußnotentext arial Char,footnotes Char,Footnote Text Char Char2,Footnote Text Char2 Char Char,Footnote Text Char Char1 Char Char,footnotes1,footnotes,single space,Footno,f"/>
    <w:basedOn w:val="Normal"/>
    <w:link w:val="FootnoteTextChar"/>
    <w:autoRedefine/>
    <w:unhideWhenUsed/>
    <w:qFormat/>
    <w:rsid w:val="00730F5E"/>
    <w:pPr>
      <w:spacing w:before="0" w:after="0" w:line="240" w:lineRule="auto"/>
    </w:pPr>
    <w:rPr>
      <w:sz w:val="18"/>
      <w:szCs w:val="20"/>
    </w:rPr>
  </w:style>
  <w:style w:type="character" w:customStyle="1" w:styleId="FootnoteTextChar">
    <w:name w:val="Footnote Text Char"/>
    <w:aliases w:val="Footnote Text Char Char Char Char Char Char,Footnote Text Char Char Char Char,Fußnotentext arial Char Char,footnotes Char Char,Footnote Text Char Char2 Char,Footnote Text Char2 Char Char Char,Footnote Text Char Char1 Char Char Char"/>
    <w:basedOn w:val="DefaultParagraphFont"/>
    <w:link w:val="FootnoteText"/>
    <w:rsid w:val="00730F5E"/>
    <w:rPr>
      <w:sz w:val="18"/>
      <w:szCs w:val="20"/>
    </w:rPr>
  </w:style>
  <w:style w:type="character" w:styleId="FootnoteReference">
    <w:name w:val="footnote reference"/>
    <w:aliases w:val="ftref,BVI fnr,Footnote Refernece,Footnote Reference Number,Footnotes refss,Footnote Reference1,16 Point,Superscript 6 Point, BVI fnr"/>
    <w:basedOn w:val="DefaultParagraphFont"/>
    <w:unhideWhenUsed/>
    <w:qFormat/>
    <w:rsid w:val="004A77C3"/>
    <w:rPr>
      <w:vertAlign w:val="superscript"/>
    </w:rPr>
  </w:style>
  <w:style w:type="paragraph" w:customStyle="1" w:styleId="Footnote">
    <w:name w:val="Footnote"/>
    <w:basedOn w:val="NormalWeb"/>
    <w:link w:val="FootnoteChar"/>
    <w:qFormat/>
    <w:rsid w:val="00F84778"/>
    <w:rPr>
      <w:rFonts w:asciiTheme="minorHAnsi" w:hAnsiTheme="minorHAnsi"/>
      <w:sz w:val="18"/>
    </w:rPr>
  </w:style>
  <w:style w:type="character" w:customStyle="1" w:styleId="FootnoteChar">
    <w:name w:val="Footnote Char"/>
    <w:basedOn w:val="DefaultParagraphFont"/>
    <w:link w:val="Footnote"/>
    <w:rsid w:val="00F84778"/>
    <w:rPr>
      <w:rFonts w:eastAsia="Times New Roman" w:cs="Times New Roman"/>
      <w:sz w:val="18"/>
      <w:szCs w:val="24"/>
      <w:lang w:val="en" w:eastAsia="en-AU"/>
    </w:rPr>
  </w:style>
  <w:style w:type="paragraph" w:styleId="TOCHeading">
    <w:name w:val="TOC Heading"/>
    <w:basedOn w:val="Heading1"/>
    <w:next w:val="Normal"/>
    <w:uiPriority w:val="39"/>
    <w:unhideWhenUsed/>
    <w:qFormat/>
    <w:rsid w:val="00052DAB"/>
    <w:pPr>
      <w:outlineLvl w:val="9"/>
    </w:pPr>
    <w:rPr>
      <w:color w:val="424242" w:themeColor="accent1" w:themeShade="BF"/>
      <w:lang w:val="en-US" w:eastAsia="ja-JP"/>
    </w:rPr>
  </w:style>
  <w:style w:type="paragraph" w:styleId="TOC3">
    <w:name w:val="toc 3"/>
    <w:basedOn w:val="Normal"/>
    <w:next w:val="Normal"/>
    <w:autoRedefine/>
    <w:uiPriority w:val="39"/>
    <w:unhideWhenUsed/>
    <w:rsid w:val="00052DAB"/>
    <w:pPr>
      <w:spacing w:after="100"/>
      <w:ind w:left="420"/>
    </w:pPr>
  </w:style>
  <w:style w:type="character" w:styleId="SubtleReference">
    <w:name w:val="Subtle Reference"/>
    <w:basedOn w:val="DefaultParagraphFont"/>
    <w:uiPriority w:val="31"/>
    <w:qFormat/>
    <w:rsid w:val="00351B63"/>
    <w:rPr>
      <w:smallCaps/>
      <w:color w:val="76923C" w:themeColor="accent2"/>
      <w:u w:val="single"/>
    </w:rPr>
  </w:style>
  <w:style w:type="paragraph" w:customStyle="1" w:styleId="Highlight">
    <w:name w:val="Highlight"/>
    <w:basedOn w:val="Normal"/>
    <w:link w:val="HighlightChar"/>
    <w:qFormat/>
    <w:rsid w:val="00351B63"/>
    <w:rPr>
      <w:color w:val="76923C" w:themeColor="text2"/>
    </w:rPr>
  </w:style>
  <w:style w:type="paragraph" w:customStyle="1" w:styleId="Figuretableheading">
    <w:name w:val="Figure/table heading"/>
    <w:basedOn w:val="Normal"/>
    <w:link w:val="FiguretableheadingChar"/>
    <w:qFormat/>
    <w:rsid w:val="004127CD"/>
    <w:rPr>
      <w:b/>
      <w:sz w:val="19"/>
      <w:szCs w:val="19"/>
    </w:rPr>
  </w:style>
  <w:style w:type="character" w:customStyle="1" w:styleId="HighlightChar">
    <w:name w:val="Highlight Char"/>
    <w:basedOn w:val="DefaultParagraphFont"/>
    <w:link w:val="Highlight"/>
    <w:rsid w:val="00351B63"/>
    <w:rPr>
      <w:color w:val="76923C" w:themeColor="text2"/>
      <w:sz w:val="21"/>
      <w:szCs w:val="21"/>
      <w:lang w:val="en"/>
    </w:rPr>
  </w:style>
  <w:style w:type="table" w:styleId="LightList-Accent5">
    <w:name w:val="Light List Accent 5"/>
    <w:basedOn w:val="TableNormal"/>
    <w:uiPriority w:val="61"/>
    <w:rsid w:val="004127CD"/>
    <w:pPr>
      <w:spacing w:after="0" w:line="240" w:lineRule="auto"/>
    </w:pPr>
    <w:tblPr>
      <w:tblStyleRowBandSize w:val="1"/>
      <w:tblStyleColBandSize w:val="1"/>
      <w:tblBorders>
        <w:top w:val="single" w:sz="8" w:space="0" w:color="938953" w:themeColor="accent5"/>
        <w:left w:val="single" w:sz="8" w:space="0" w:color="938953" w:themeColor="accent5"/>
        <w:bottom w:val="single" w:sz="8" w:space="0" w:color="938953" w:themeColor="accent5"/>
        <w:right w:val="single" w:sz="8" w:space="0" w:color="938953" w:themeColor="accent5"/>
      </w:tblBorders>
    </w:tblPr>
    <w:tblStylePr w:type="firstRow">
      <w:pPr>
        <w:spacing w:before="0" w:after="0" w:line="240" w:lineRule="auto"/>
      </w:pPr>
      <w:rPr>
        <w:b/>
        <w:bCs/>
        <w:color w:val="FFFFFF" w:themeColor="background1"/>
      </w:rPr>
      <w:tblPr/>
      <w:tcPr>
        <w:shd w:val="clear" w:color="auto" w:fill="938953" w:themeFill="accent5"/>
      </w:tcPr>
    </w:tblStylePr>
    <w:tblStylePr w:type="lastRow">
      <w:pPr>
        <w:spacing w:before="0" w:after="0" w:line="240" w:lineRule="auto"/>
      </w:pPr>
      <w:rPr>
        <w:b/>
        <w:bCs/>
      </w:rPr>
      <w:tblPr/>
      <w:tcPr>
        <w:tcBorders>
          <w:top w:val="double" w:sz="6" w:space="0" w:color="938953" w:themeColor="accent5"/>
          <w:left w:val="single" w:sz="8" w:space="0" w:color="938953" w:themeColor="accent5"/>
          <w:bottom w:val="single" w:sz="8" w:space="0" w:color="938953" w:themeColor="accent5"/>
          <w:right w:val="single" w:sz="8" w:space="0" w:color="938953" w:themeColor="accent5"/>
        </w:tcBorders>
      </w:tcPr>
    </w:tblStylePr>
    <w:tblStylePr w:type="firstCol">
      <w:rPr>
        <w:b/>
        <w:bCs/>
      </w:rPr>
    </w:tblStylePr>
    <w:tblStylePr w:type="lastCol">
      <w:rPr>
        <w:b/>
        <w:bCs/>
      </w:rPr>
    </w:tblStylePr>
    <w:tblStylePr w:type="band1Vert">
      <w:tblPr/>
      <w:tcPr>
        <w:tcBorders>
          <w:top w:val="single" w:sz="8" w:space="0" w:color="938953" w:themeColor="accent5"/>
          <w:left w:val="single" w:sz="8" w:space="0" w:color="938953" w:themeColor="accent5"/>
          <w:bottom w:val="single" w:sz="8" w:space="0" w:color="938953" w:themeColor="accent5"/>
          <w:right w:val="single" w:sz="8" w:space="0" w:color="938953" w:themeColor="accent5"/>
        </w:tcBorders>
      </w:tcPr>
    </w:tblStylePr>
    <w:tblStylePr w:type="band1Horz">
      <w:tblPr/>
      <w:tcPr>
        <w:tcBorders>
          <w:top w:val="single" w:sz="8" w:space="0" w:color="938953" w:themeColor="accent5"/>
          <w:left w:val="single" w:sz="8" w:space="0" w:color="938953" w:themeColor="accent5"/>
          <w:bottom w:val="single" w:sz="8" w:space="0" w:color="938953" w:themeColor="accent5"/>
          <w:right w:val="single" w:sz="8" w:space="0" w:color="938953" w:themeColor="accent5"/>
        </w:tcBorders>
      </w:tcPr>
    </w:tblStylePr>
  </w:style>
  <w:style w:type="character" w:customStyle="1" w:styleId="FiguretableheadingChar">
    <w:name w:val="Figure/table heading Char"/>
    <w:basedOn w:val="DefaultParagraphFont"/>
    <w:link w:val="Figuretableheading"/>
    <w:rsid w:val="004127CD"/>
    <w:rPr>
      <w:b/>
      <w:sz w:val="19"/>
      <w:szCs w:val="19"/>
      <w:lang w:val="en"/>
    </w:rPr>
  </w:style>
  <w:style w:type="paragraph" w:customStyle="1" w:styleId="Default">
    <w:name w:val="Default"/>
    <w:rsid w:val="009E553B"/>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uiPriority w:val="9"/>
    <w:rsid w:val="00B348D2"/>
    <w:rPr>
      <w:rFonts w:asciiTheme="majorHAnsi" w:eastAsiaTheme="majorEastAsia" w:hAnsiTheme="majorHAnsi" w:cstheme="majorBidi"/>
      <w:b/>
      <w:bCs/>
      <w:i/>
      <w:iCs/>
      <w:color w:val="595959" w:themeColor="accent1"/>
      <w:sz w:val="21"/>
      <w:szCs w:val="21"/>
      <w:lang w:val="en"/>
    </w:rPr>
  </w:style>
  <w:style w:type="character" w:customStyle="1" w:styleId="Heading5Char">
    <w:name w:val="Heading 5 Char"/>
    <w:basedOn w:val="DefaultParagraphFont"/>
    <w:link w:val="Heading5"/>
    <w:uiPriority w:val="9"/>
    <w:rsid w:val="00B348D2"/>
    <w:rPr>
      <w:rFonts w:asciiTheme="majorHAnsi" w:eastAsiaTheme="majorEastAsia" w:hAnsiTheme="majorHAnsi" w:cstheme="majorBidi"/>
      <w:color w:val="2C2C2C" w:themeColor="accent1" w:themeShade="7F"/>
      <w:sz w:val="21"/>
      <w:szCs w:val="21"/>
      <w:lang w:val="en"/>
    </w:rPr>
  </w:style>
  <w:style w:type="character" w:styleId="HTMLCite">
    <w:name w:val="HTML Cite"/>
    <w:basedOn w:val="DefaultParagraphFont"/>
    <w:uiPriority w:val="99"/>
    <w:rsid w:val="00DE29B5"/>
    <w:rPr>
      <w:rFonts w:cs="Times New Roman"/>
      <w:color w:val="0E774A"/>
    </w:rPr>
  </w:style>
  <w:style w:type="character" w:styleId="CommentReference">
    <w:name w:val="annotation reference"/>
    <w:basedOn w:val="DefaultParagraphFont"/>
    <w:uiPriority w:val="99"/>
    <w:semiHidden/>
    <w:unhideWhenUsed/>
    <w:rsid w:val="00DE29B5"/>
    <w:rPr>
      <w:sz w:val="16"/>
      <w:szCs w:val="16"/>
    </w:rPr>
  </w:style>
  <w:style w:type="paragraph" w:styleId="CommentText">
    <w:name w:val="annotation text"/>
    <w:basedOn w:val="Normal"/>
    <w:link w:val="CommentTextChar"/>
    <w:uiPriority w:val="99"/>
    <w:unhideWhenUsed/>
    <w:rsid w:val="00DE29B5"/>
    <w:rPr>
      <w:sz w:val="20"/>
      <w:szCs w:val="20"/>
    </w:rPr>
  </w:style>
  <w:style w:type="character" w:customStyle="1" w:styleId="CommentTextChar">
    <w:name w:val="Comment Text Char"/>
    <w:basedOn w:val="DefaultParagraphFont"/>
    <w:link w:val="CommentText"/>
    <w:uiPriority w:val="99"/>
    <w:rsid w:val="00DE29B5"/>
    <w:rPr>
      <w:sz w:val="20"/>
      <w:szCs w:val="20"/>
      <w:lang w:val="en"/>
    </w:rPr>
  </w:style>
  <w:style w:type="table" w:styleId="LightGrid-Accent6">
    <w:name w:val="Light Grid Accent 6"/>
    <w:basedOn w:val="TableNormal"/>
    <w:uiPriority w:val="62"/>
    <w:rsid w:val="0030208A"/>
    <w:pPr>
      <w:spacing w:after="0" w:line="240" w:lineRule="auto"/>
    </w:pPr>
    <w:rPr>
      <w:rFonts w:eastAsiaTheme="minorEastAsia"/>
      <w:lang w:eastAsia="en-AU"/>
    </w:rPr>
    <w:tblPr>
      <w:tblStyleRowBandSize w:val="1"/>
      <w:tblStyleColBandSize w:val="1"/>
      <w:tblBorders>
        <w:top w:val="single" w:sz="8" w:space="0" w:color="1F497D" w:themeColor="accent6"/>
        <w:left w:val="single" w:sz="8" w:space="0" w:color="1F497D" w:themeColor="accent6"/>
        <w:bottom w:val="single" w:sz="8" w:space="0" w:color="1F497D" w:themeColor="accent6"/>
        <w:right w:val="single" w:sz="8" w:space="0" w:color="1F497D" w:themeColor="accent6"/>
        <w:insideH w:val="single" w:sz="8" w:space="0" w:color="1F497D" w:themeColor="accent6"/>
        <w:insideV w:val="single" w:sz="8" w:space="0" w:color="1F497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497D" w:themeColor="accent6"/>
          <w:left w:val="single" w:sz="8" w:space="0" w:color="1F497D" w:themeColor="accent6"/>
          <w:bottom w:val="single" w:sz="18" w:space="0" w:color="1F497D" w:themeColor="accent6"/>
          <w:right w:val="single" w:sz="8" w:space="0" w:color="1F497D" w:themeColor="accent6"/>
          <w:insideH w:val="nil"/>
          <w:insideV w:val="single" w:sz="8" w:space="0" w:color="1F497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F497D" w:themeColor="accent6"/>
          <w:left w:val="single" w:sz="8" w:space="0" w:color="1F497D" w:themeColor="accent6"/>
          <w:bottom w:val="single" w:sz="8" w:space="0" w:color="1F497D" w:themeColor="accent6"/>
          <w:right w:val="single" w:sz="8" w:space="0" w:color="1F497D" w:themeColor="accent6"/>
          <w:insideH w:val="nil"/>
          <w:insideV w:val="single" w:sz="8" w:space="0" w:color="1F497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F497D" w:themeColor="accent6"/>
          <w:left w:val="single" w:sz="8" w:space="0" w:color="1F497D" w:themeColor="accent6"/>
          <w:bottom w:val="single" w:sz="8" w:space="0" w:color="1F497D" w:themeColor="accent6"/>
          <w:right w:val="single" w:sz="8" w:space="0" w:color="1F497D" w:themeColor="accent6"/>
        </w:tcBorders>
      </w:tcPr>
    </w:tblStylePr>
    <w:tblStylePr w:type="band1Vert">
      <w:tblPr/>
      <w:tcPr>
        <w:tcBorders>
          <w:top w:val="single" w:sz="8" w:space="0" w:color="1F497D" w:themeColor="accent6"/>
          <w:left w:val="single" w:sz="8" w:space="0" w:color="1F497D" w:themeColor="accent6"/>
          <w:bottom w:val="single" w:sz="8" w:space="0" w:color="1F497D" w:themeColor="accent6"/>
          <w:right w:val="single" w:sz="8" w:space="0" w:color="1F497D" w:themeColor="accent6"/>
        </w:tcBorders>
        <w:shd w:val="clear" w:color="auto" w:fill="B8D0ED" w:themeFill="accent6" w:themeFillTint="3F"/>
      </w:tcPr>
    </w:tblStylePr>
    <w:tblStylePr w:type="band1Horz">
      <w:tblPr/>
      <w:tcPr>
        <w:tcBorders>
          <w:top w:val="single" w:sz="8" w:space="0" w:color="1F497D" w:themeColor="accent6"/>
          <w:left w:val="single" w:sz="8" w:space="0" w:color="1F497D" w:themeColor="accent6"/>
          <w:bottom w:val="single" w:sz="8" w:space="0" w:color="1F497D" w:themeColor="accent6"/>
          <w:right w:val="single" w:sz="8" w:space="0" w:color="1F497D" w:themeColor="accent6"/>
          <w:insideV w:val="single" w:sz="8" w:space="0" w:color="1F497D" w:themeColor="accent6"/>
        </w:tcBorders>
        <w:shd w:val="clear" w:color="auto" w:fill="B8D0ED" w:themeFill="accent6" w:themeFillTint="3F"/>
      </w:tcPr>
    </w:tblStylePr>
    <w:tblStylePr w:type="band2Horz">
      <w:tblPr/>
      <w:tcPr>
        <w:tcBorders>
          <w:top w:val="single" w:sz="8" w:space="0" w:color="1F497D" w:themeColor="accent6"/>
          <w:left w:val="single" w:sz="8" w:space="0" w:color="1F497D" w:themeColor="accent6"/>
          <w:bottom w:val="single" w:sz="8" w:space="0" w:color="1F497D" w:themeColor="accent6"/>
          <w:right w:val="single" w:sz="8" w:space="0" w:color="1F497D" w:themeColor="accent6"/>
          <w:insideV w:val="single" w:sz="8" w:space="0" w:color="1F497D" w:themeColor="accent6"/>
        </w:tcBorders>
      </w:tcPr>
    </w:tblStylePr>
  </w:style>
  <w:style w:type="character" w:styleId="Emphasis">
    <w:name w:val="Emphasis"/>
    <w:basedOn w:val="DefaultParagraphFont"/>
    <w:uiPriority w:val="20"/>
    <w:qFormat/>
    <w:rsid w:val="0028243F"/>
    <w:rPr>
      <w:i/>
      <w:iCs/>
    </w:rPr>
  </w:style>
  <w:style w:type="paragraph" w:customStyle="1" w:styleId="THeadTop">
    <w:name w:val="THeadTop"/>
    <w:basedOn w:val="Normal"/>
    <w:rsid w:val="002C10C2"/>
    <w:pPr>
      <w:spacing w:after="0"/>
    </w:pPr>
    <w:rPr>
      <w:rFonts w:ascii="Arial Narrow" w:eastAsia="Times New Roman" w:hAnsi="Arial Narrow" w:cs="Times New Roman"/>
      <w:b/>
      <w:sz w:val="24"/>
      <w:szCs w:val="24"/>
    </w:rPr>
  </w:style>
  <w:style w:type="table" w:styleId="LightList-Accent1">
    <w:name w:val="Light List Accent 1"/>
    <w:basedOn w:val="TableNormal"/>
    <w:uiPriority w:val="61"/>
    <w:rsid w:val="0078087A"/>
    <w:pPr>
      <w:spacing w:after="0" w:line="240" w:lineRule="auto"/>
    </w:pPr>
    <w:rPr>
      <w:rFonts w:eastAsiaTheme="minorEastAsia"/>
      <w:sz w:val="24"/>
      <w:szCs w:val="24"/>
      <w:lang w:val="en-US"/>
    </w:rPr>
    <w:tblPr>
      <w:tblStyleRowBandSize w:val="1"/>
      <w:tblStyleColBandSize w:val="1"/>
      <w:tblBorders>
        <w:top w:val="single" w:sz="8" w:space="0" w:color="595959" w:themeColor="accent1"/>
        <w:left w:val="single" w:sz="8" w:space="0" w:color="595959" w:themeColor="accent1"/>
        <w:bottom w:val="single" w:sz="8" w:space="0" w:color="595959" w:themeColor="accent1"/>
        <w:right w:val="single" w:sz="8" w:space="0" w:color="595959"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595959" w:themeFill="accent1"/>
      </w:tcPr>
    </w:tblStylePr>
    <w:tblStylePr w:type="lastRow">
      <w:pPr>
        <w:spacing w:beforeLines="0" w:before="0" w:beforeAutospacing="0" w:afterLines="0" w:after="0" w:afterAutospacing="0" w:line="240" w:lineRule="auto"/>
      </w:pPr>
      <w:rPr>
        <w:b/>
        <w:bCs/>
      </w:rPr>
      <w:tblPr/>
      <w:tcPr>
        <w:tcBorders>
          <w:top w:val="double" w:sz="6" w:space="0" w:color="595959" w:themeColor="accent1"/>
          <w:left w:val="single" w:sz="8" w:space="0" w:color="595959" w:themeColor="accent1"/>
          <w:bottom w:val="single" w:sz="8" w:space="0" w:color="595959" w:themeColor="accent1"/>
          <w:right w:val="single" w:sz="8" w:space="0" w:color="595959" w:themeColor="accent1"/>
        </w:tcBorders>
      </w:tcPr>
    </w:tblStylePr>
    <w:tblStylePr w:type="firstCol">
      <w:rPr>
        <w:b/>
        <w:bCs/>
      </w:rPr>
    </w:tblStylePr>
    <w:tblStylePr w:type="lastCol">
      <w:rPr>
        <w:b/>
        <w:bCs/>
      </w:rPr>
    </w:tblStylePr>
    <w:tblStylePr w:type="band1Vert">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tblStylePr w:type="band1Horz">
      <w:tblPr/>
      <w:tcPr>
        <w:tcBorders>
          <w:top w:val="single" w:sz="8" w:space="0" w:color="595959" w:themeColor="accent1"/>
          <w:left w:val="single" w:sz="8" w:space="0" w:color="595959" w:themeColor="accent1"/>
          <w:bottom w:val="single" w:sz="8" w:space="0" w:color="595959" w:themeColor="accent1"/>
          <w:right w:val="single" w:sz="8" w:space="0" w:color="595959" w:themeColor="accent1"/>
        </w:tcBorders>
      </w:tcPr>
    </w:tblStylePr>
  </w:style>
  <w:style w:type="paragraph" w:customStyle="1" w:styleId="ReportBullet">
    <w:name w:val="Report Bullet"/>
    <w:basedOn w:val="Normal"/>
    <w:rsid w:val="00AA2922"/>
    <w:pPr>
      <w:tabs>
        <w:tab w:val="num" w:pos="360"/>
      </w:tabs>
      <w:spacing w:line="260" w:lineRule="atLeast"/>
      <w:ind w:left="360" w:hanging="360"/>
    </w:pPr>
    <w:rPr>
      <w:rFonts w:ascii="Arial" w:eastAsia="Times New Roman" w:hAnsi="Arial" w:cs="Arial"/>
      <w:sz w:val="18"/>
      <w:szCs w:val="20"/>
    </w:rPr>
  </w:style>
  <w:style w:type="paragraph" w:customStyle="1" w:styleId="Body1-b">
    <w:name w:val="Body 1 - b"/>
    <w:basedOn w:val="Normal"/>
    <w:rsid w:val="00385D3B"/>
    <w:pPr>
      <w:numPr>
        <w:numId w:val="2"/>
      </w:numPr>
      <w:overflowPunct w:val="0"/>
      <w:autoSpaceDE w:val="0"/>
      <w:autoSpaceDN w:val="0"/>
      <w:adjustRightInd w:val="0"/>
      <w:spacing w:after="60" w:line="300" w:lineRule="atLeast"/>
      <w:textAlignment w:val="baseline"/>
    </w:pPr>
    <w:rPr>
      <w:rFonts w:ascii="Arial Narrow" w:eastAsia="Times New Roman" w:hAnsi="Arial Narrow" w:cs="Arial"/>
      <w:sz w:val="22"/>
      <w:szCs w:val="20"/>
    </w:rPr>
  </w:style>
  <w:style w:type="character" w:customStyle="1" w:styleId="Heading9Char">
    <w:name w:val="Heading 9 Char"/>
    <w:basedOn w:val="DefaultParagraphFont"/>
    <w:link w:val="Heading9"/>
    <w:uiPriority w:val="9"/>
    <w:rsid w:val="003F62DD"/>
    <w:rPr>
      <w:rFonts w:asciiTheme="majorHAnsi" w:eastAsiaTheme="majorEastAsia" w:hAnsiTheme="majorHAnsi" w:cstheme="majorBidi"/>
      <w:i/>
      <w:iCs/>
      <w:color w:val="404040" w:themeColor="text1" w:themeTint="BF"/>
      <w:sz w:val="20"/>
      <w:szCs w:val="20"/>
      <w:lang w:val="en"/>
    </w:rPr>
  </w:style>
  <w:style w:type="paragraph" w:customStyle="1" w:styleId="1bullet">
    <w:name w:val="1 bullet"/>
    <w:basedOn w:val="Normal"/>
    <w:link w:val="1bulletChar"/>
    <w:uiPriority w:val="99"/>
    <w:rsid w:val="003F62DD"/>
    <w:pPr>
      <w:keepLines/>
      <w:widowControl w:val="0"/>
      <w:numPr>
        <w:numId w:val="3"/>
      </w:numPr>
      <w:spacing w:after="160"/>
      <w:jc w:val="both"/>
    </w:pPr>
    <w:rPr>
      <w:rFonts w:ascii="Trebuchet MS" w:eastAsia="Times New Roman" w:hAnsi="Trebuchet MS" w:cs="Microsoft Sans Serif"/>
      <w:bCs/>
      <w:sz w:val="22"/>
      <w:szCs w:val="28"/>
    </w:rPr>
  </w:style>
  <w:style w:type="character" w:customStyle="1" w:styleId="1bulletChar">
    <w:name w:val="1 bullet Char"/>
    <w:basedOn w:val="DefaultParagraphFont"/>
    <w:link w:val="1bullet"/>
    <w:uiPriority w:val="99"/>
    <w:locked/>
    <w:rsid w:val="003F62DD"/>
    <w:rPr>
      <w:rFonts w:ascii="Trebuchet MS" w:eastAsia="Times New Roman" w:hAnsi="Trebuchet MS" w:cs="Microsoft Sans Serif"/>
      <w:bCs/>
      <w:szCs w:val="28"/>
    </w:rPr>
  </w:style>
  <w:style w:type="paragraph" w:customStyle="1" w:styleId="Head1">
    <w:name w:val="Head 1"/>
    <w:link w:val="Head1Char"/>
    <w:uiPriority w:val="99"/>
    <w:rsid w:val="003F62DD"/>
    <w:pPr>
      <w:keepNext/>
      <w:pageBreakBefore/>
      <w:spacing w:before="240" w:after="240" w:line="240" w:lineRule="auto"/>
    </w:pPr>
    <w:rPr>
      <w:rFonts w:ascii="Trebuchet MS" w:eastAsia="Times New Roman" w:hAnsi="Trebuchet MS" w:cs="Times New Roman"/>
      <w:b/>
      <w:color w:val="333399"/>
      <w:spacing w:val="30"/>
      <w:kern w:val="28"/>
      <w:sz w:val="32"/>
      <w:szCs w:val="32"/>
    </w:rPr>
  </w:style>
  <w:style w:type="character" w:customStyle="1" w:styleId="Head1Char">
    <w:name w:val="Head 1 Char"/>
    <w:basedOn w:val="DefaultParagraphFont"/>
    <w:link w:val="Head1"/>
    <w:uiPriority w:val="99"/>
    <w:locked/>
    <w:rsid w:val="003F62DD"/>
    <w:rPr>
      <w:rFonts w:ascii="Trebuchet MS" w:eastAsia="Times New Roman" w:hAnsi="Trebuchet MS" w:cs="Times New Roman"/>
      <w:b/>
      <w:color w:val="333399"/>
      <w:spacing w:val="30"/>
      <w:kern w:val="28"/>
      <w:sz w:val="32"/>
      <w:szCs w:val="32"/>
    </w:rPr>
  </w:style>
  <w:style w:type="paragraph" w:customStyle="1" w:styleId="BTableTitlewhite">
    <w:name w:val="B Table Title white"/>
    <w:next w:val="Normal"/>
    <w:uiPriority w:val="99"/>
    <w:rsid w:val="003F62DD"/>
    <w:pPr>
      <w:spacing w:before="40" w:after="40" w:line="240" w:lineRule="auto"/>
      <w:jc w:val="center"/>
    </w:pPr>
    <w:rPr>
      <w:rFonts w:ascii="Trebuchet MS" w:eastAsia="Times New Roman" w:hAnsi="Trebuchet MS" w:cs="Times New Roman"/>
      <w:b/>
      <w:color w:val="FFFFFF"/>
      <w:szCs w:val="20"/>
    </w:rPr>
  </w:style>
  <w:style w:type="paragraph" w:customStyle="1" w:styleId="CPSISCbasebefore">
    <w:name w:val="CPSISC base before"/>
    <w:basedOn w:val="Normal"/>
    <w:uiPriority w:val="99"/>
    <w:rsid w:val="003F62DD"/>
    <w:pPr>
      <w:keepLines/>
      <w:widowControl w:val="0"/>
      <w:numPr>
        <w:ilvl w:val="12"/>
      </w:numPr>
      <w:spacing w:line="280" w:lineRule="atLeast"/>
      <w:jc w:val="both"/>
    </w:pPr>
    <w:rPr>
      <w:rFonts w:ascii="Trebuchet MS" w:eastAsia="Times New Roman" w:hAnsi="Trebuchet MS" w:cs="Microsoft Sans Serif"/>
      <w:bCs/>
      <w:sz w:val="22"/>
      <w:szCs w:val="28"/>
    </w:rPr>
  </w:style>
  <w:style w:type="paragraph" w:customStyle="1" w:styleId="1bulletlast">
    <w:name w:val="1 bullet last"/>
    <w:basedOn w:val="1bullet"/>
    <w:link w:val="1bulletlastChar"/>
    <w:uiPriority w:val="99"/>
    <w:rsid w:val="003F62DD"/>
    <w:pPr>
      <w:numPr>
        <w:numId w:val="4"/>
      </w:numPr>
    </w:pPr>
  </w:style>
  <w:style w:type="character" w:customStyle="1" w:styleId="1bulletlastChar">
    <w:name w:val="1 bullet last Char"/>
    <w:basedOn w:val="DefaultParagraphFont"/>
    <w:link w:val="1bulletlast"/>
    <w:uiPriority w:val="99"/>
    <w:locked/>
    <w:rsid w:val="003F62DD"/>
    <w:rPr>
      <w:rFonts w:ascii="Trebuchet MS" w:eastAsia="Times New Roman" w:hAnsi="Trebuchet MS" w:cs="Microsoft Sans Serif"/>
      <w:bCs/>
      <w:szCs w:val="28"/>
    </w:rPr>
  </w:style>
  <w:style w:type="paragraph" w:customStyle="1" w:styleId="CPSISCtable1bullet">
    <w:name w:val="CPSISC table 1 bullet"/>
    <w:basedOn w:val="1bullet"/>
    <w:uiPriority w:val="99"/>
    <w:rsid w:val="003F62DD"/>
    <w:pPr>
      <w:spacing w:after="60"/>
    </w:pPr>
    <w:rPr>
      <w:rFonts w:cs="Arial"/>
      <w:sz w:val="20"/>
      <w:szCs w:val="22"/>
      <w:lang w:val="en-US"/>
    </w:rPr>
  </w:style>
  <w:style w:type="paragraph" w:customStyle="1" w:styleId="CPSISCtable1bulletlast">
    <w:name w:val="CPSISC table 1 bullet last"/>
    <w:basedOn w:val="CPSISCtable1bullet"/>
    <w:uiPriority w:val="99"/>
    <w:rsid w:val="003F62DD"/>
    <w:pPr>
      <w:spacing w:after="120"/>
    </w:pPr>
  </w:style>
  <w:style w:type="paragraph" w:customStyle="1" w:styleId="tabletext0">
    <w:name w:val="table text"/>
    <w:basedOn w:val="Normal"/>
    <w:rsid w:val="00CA3C2D"/>
    <w:pPr>
      <w:spacing w:before="60" w:after="0"/>
    </w:pPr>
    <w:rPr>
      <w:rFonts w:ascii="Helvetica" w:eastAsia="Times New Roman" w:hAnsi="Helvetica" w:cs="Times New Roman"/>
      <w:sz w:val="18"/>
      <w:szCs w:val="20"/>
    </w:rPr>
  </w:style>
  <w:style w:type="paragraph" w:customStyle="1" w:styleId="CPSISCtable">
    <w:name w:val="CPSISC table"/>
    <w:basedOn w:val="Normal"/>
    <w:uiPriority w:val="99"/>
    <w:rsid w:val="00CA3C2D"/>
    <w:pPr>
      <w:keepLines/>
      <w:widowControl w:val="0"/>
      <w:numPr>
        <w:ilvl w:val="12"/>
      </w:numPr>
      <w:spacing w:before="80" w:after="80"/>
      <w:jc w:val="both"/>
    </w:pPr>
    <w:rPr>
      <w:rFonts w:ascii="Trebuchet MS" w:eastAsia="Times New Roman" w:hAnsi="Trebuchet MS" w:cs="Microsoft Sans Serif"/>
      <w:bCs/>
      <w:sz w:val="20"/>
      <w:szCs w:val="24"/>
      <w:lang w:val="en-US"/>
    </w:rPr>
  </w:style>
  <w:style w:type="paragraph" w:styleId="BodyText">
    <w:name w:val="Body Text"/>
    <w:basedOn w:val="Normal"/>
    <w:link w:val="BodyTextChar"/>
    <w:rsid w:val="00E905DA"/>
    <w:rPr>
      <w:rFonts w:ascii="Times New Roman" w:eastAsia="Times New Roman" w:hAnsi="Times New Roman" w:cs="Times New Roman"/>
      <w:sz w:val="20"/>
      <w:szCs w:val="20"/>
      <w:lang w:eastAsia="ja-JP"/>
    </w:rPr>
  </w:style>
  <w:style w:type="character" w:customStyle="1" w:styleId="BodyTextChar">
    <w:name w:val="Body Text Char"/>
    <w:basedOn w:val="DefaultParagraphFont"/>
    <w:link w:val="BodyText"/>
    <w:rsid w:val="00E905DA"/>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2A1129"/>
    <w:rPr>
      <w:b/>
      <w:bCs/>
    </w:rPr>
  </w:style>
  <w:style w:type="character" w:customStyle="1" w:styleId="CommentSubjectChar">
    <w:name w:val="Comment Subject Char"/>
    <w:basedOn w:val="CommentTextChar"/>
    <w:link w:val="CommentSubject"/>
    <w:uiPriority w:val="99"/>
    <w:semiHidden/>
    <w:rsid w:val="002A1129"/>
    <w:rPr>
      <w:b/>
      <w:bCs/>
      <w:sz w:val="20"/>
      <w:szCs w:val="20"/>
      <w:lang w:val="en"/>
    </w:rPr>
  </w:style>
  <w:style w:type="paragraph" w:styleId="ListBullet2">
    <w:name w:val="List Bullet 2"/>
    <w:basedOn w:val="Normal"/>
    <w:uiPriority w:val="99"/>
    <w:unhideWhenUsed/>
    <w:rsid w:val="009C4106"/>
    <w:pPr>
      <w:numPr>
        <w:numId w:val="5"/>
      </w:numPr>
      <w:contextualSpacing/>
    </w:pPr>
    <w:rPr>
      <w:rFonts w:ascii="Calibri" w:eastAsia="Times New Roman" w:hAnsi="Calibri" w:cs="Times New Roman"/>
      <w:sz w:val="22"/>
      <w:szCs w:val="22"/>
    </w:rPr>
  </w:style>
  <w:style w:type="paragraph" w:customStyle="1" w:styleId="VUparagraph">
    <w:name w:val="VU paragraph"/>
    <w:basedOn w:val="Normal"/>
    <w:link w:val="VUparagraphChar"/>
    <w:rsid w:val="0064214A"/>
    <w:pPr>
      <w:spacing w:before="200" w:after="0"/>
    </w:pPr>
    <w:rPr>
      <w:rFonts w:ascii="Arial" w:eastAsia="Times New Roman" w:hAnsi="Arial" w:cs="Times New Roman"/>
      <w:sz w:val="24"/>
      <w:szCs w:val="24"/>
      <w:lang w:val="en-US"/>
    </w:rPr>
  </w:style>
  <w:style w:type="character" w:customStyle="1" w:styleId="VUparagraphChar">
    <w:name w:val="VU paragraph Char"/>
    <w:link w:val="VUparagraph"/>
    <w:rsid w:val="0064214A"/>
    <w:rPr>
      <w:rFonts w:ascii="Arial" w:eastAsia="Times New Roman" w:hAnsi="Arial" w:cs="Times New Roman"/>
      <w:sz w:val="24"/>
      <w:szCs w:val="24"/>
      <w:lang w:val="en-US"/>
    </w:rPr>
  </w:style>
  <w:style w:type="paragraph" w:styleId="Caption">
    <w:name w:val="caption"/>
    <w:basedOn w:val="Normal"/>
    <w:next w:val="Normal"/>
    <w:uiPriority w:val="35"/>
    <w:qFormat/>
    <w:rsid w:val="0064214A"/>
    <w:pPr>
      <w:spacing w:before="200"/>
    </w:pPr>
    <w:rPr>
      <w:rFonts w:ascii="Calibri" w:eastAsia="Times New Roman" w:hAnsi="Calibri" w:cs="Times New Roman"/>
      <w:b/>
      <w:bCs/>
      <w:color w:val="365F91"/>
      <w:sz w:val="16"/>
      <w:szCs w:val="16"/>
      <w:lang w:val="en-US" w:bidi="en-US"/>
    </w:rPr>
  </w:style>
  <w:style w:type="paragraph" w:customStyle="1" w:styleId="ColorfulList-Accent12">
    <w:name w:val="Colorful List - Accent 12"/>
    <w:basedOn w:val="Normal"/>
    <w:uiPriority w:val="34"/>
    <w:qFormat/>
    <w:rsid w:val="00CF4BDC"/>
    <w:pPr>
      <w:ind w:left="720"/>
      <w:contextualSpacing/>
    </w:pPr>
    <w:rPr>
      <w:rFonts w:ascii="Calibri" w:eastAsia="Calibri" w:hAnsi="Calibri" w:cs="Arial"/>
      <w:sz w:val="22"/>
      <w:szCs w:val="22"/>
    </w:rPr>
  </w:style>
  <w:style w:type="character" w:customStyle="1" w:styleId="st">
    <w:name w:val="st"/>
    <w:basedOn w:val="DefaultParagraphFont"/>
    <w:rsid w:val="00515649"/>
  </w:style>
  <w:style w:type="paragraph" w:customStyle="1" w:styleId="Bullet4">
    <w:name w:val="Bullet +4"/>
    <w:basedOn w:val="Normal"/>
    <w:rsid w:val="00AA5B33"/>
    <w:pPr>
      <w:numPr>
        <w:numId w:val="6"/>
      </w:numPr>
      <w:tabs>
        <w:tab w:val="clear" w:pos="360"/>
        <w:tab w:val="left" w:pos="567"/>
      </w:tabs>
      <w:spacing w:after="80"/>
      <w:ind w:left="567" w:hanging="567"/>
      <w:jc w:val="both"/>
    </w:pPr>
    <w:rPr>
      <w:rFonts w:ascii="Times" w:eastAsia="Times New Roman" w:hAnsi="Times" w:cs="Times"/>
      <w:sz w:val="22"/>
      <w:szCs w:val="20"/>
    </w:rPr>
  </w:style>
  <w:style w:type="paragraph" w:customStyle="1" w:styleId="Bulletdot">
    <w:name w:val="Bullet dot"/>
    <w:basedOn w:val="Bullet4"/>
    <w:qFormat/>
    <w:rsid w:val="00AA5B33"/>
    <w:pPr>
      <w:ind w:left="568" w:hanging="284"/>
    </w:pPr>
    <w:rPr>
      <w:rFonts w:ascii="Arial" w:hAnsi="Arial"/>
    </w:rPr>
  </w:style>
  <w:style w:type="paragraph" w:styleId="PlainText">
    <w:name w:val="Plain Text"/>
    <w:basedOn w:val="Normal"/>
    <w:link w:val="PlainTextChar"/>
    <w:uiPriority w:val="99"/>
    <w:semiHidden/>
    <w:unhideWhenUsed/>
    <w:rsid w:val="00050D5B"/>
    <w:pPr>
      <w:spacing w:after="0"/>
    </w:pPr>
    <w:rPr>
      <w:rFonts w:ascii="Calibri" w:eastAsiaTheme="minorEastAsia" w:hAnsi="Calibri" w:cs="Times New Roman"/>
      <w:sz w:val="22"/>
      <w:lang w:eastAsia="en-AU"/>
    </w:rPr>
  </w:style>
  <w:style w:type="character" w:customStyle="1" w:styleId="PlainTextChar">
    <w:name w:val="Plain Text Char"/>
    <w:basedOn w:val="DefaultParagraphFont"/>
    <w:link w:val="PlainText"/>
    <w:uiPriority w:val="99"/>
    <w:semiHidden/>
    <w:rsid w:val="00050D5B"/>
    <w:rPr>
      <w:rFonts w:ascii="Calibri" w:eastAsiaTheme="minorEastAsia" w:hAnsi="Calibri" w:cs="Times New Roman"/>
      <w:szCs w:val="21"/>
      <w:lang w:eastAsia="en-AU"/>
    </w:rPr>
  </w:style>
  <w:style w:type="character" w:customStyle="1" w:styleId="st1">
    <w:name w:val="st1"/>
    <w:basedOn w:val="DefaultParagraphFont"/>
    <w:rsid w:val="00733F57"/>
  </w:style>
  <w:style w:type="paragraph" w:customStyle="1" w:styleId="Recommendbullets">
    <w:name w:val="Recommend bullets"/>
    <w:basedOn w:val="Normal"/>
    <w:rsid w:val="009973F6"/>
    <w:pPr>
      <w:numPr>
        <w:numId w:val="7"/>
      </w:numPr>
      <w:spacing w:after="240"/>
      <w:jc w:val="both"/>
    </w:pPr>
    <w:rPr>
      <w:rFonts w:ascii="Times New Roman" w:eastAsia="Times New Roman" w:hAnsi="Times New Roman" w:cs="Times New Roman"/>
      <w:sz w:val="24"/>
      <w:szCs w:val="20"/>
    </w:rPr>
  </w:style>
  <w:style w:type="paragraph" w:customStyle="1" w:styleId="para">
    <w:name w:val="para"/>
    <w:basedOn w:val="Normal"/>
    <w:link w:val="paraChar"/>
    <w:rsid w:val="004D3E95"/>
    <w:pPr>
      <w:spacing w:after="240"/>
      <w:jc w:val="both"/>
    </w:pPr>
    <w:rPr>
      <w:rFonts w:ascii="Times New Roman" w:eastAsia="Times New Roman" w:hAnsi="Times New Roman" w:cs="Times New Roman"/>
      <w:sz w:val="24"/>
      <w:szCs w:val="20"/>
    </w:rPr>
  </w:style>
  <w:style w:type="character" w:customStyle="1" w:styleId="paraChar">
    <w:name w:val="para Char"/>
    <w:basedOn w:val="DefaultParagraphFont"/>
    <w:link w:val="para"/>
    <w:rsid w:val="004D3E95"/>
    <w:rPr>
      <w:rFonts w:ascii="Times New Roman" w:eastAsia="Times New Roman" w:hAnsi="Times New Roman" w:cs="Times New Roman"/>
      <w:sz w:val="24"/>
      <w:szCs w:val="20"/>
    </w:rPr>
  </w:style>
  <w:style w:type="paragraph" w:customStyle="1" w:styleId="Table">
    <w:name w:val="Table"/>
    <w:basedOn w:val="Normal"/>
    <w:link w:val="TableChar"/>
    <w:autoRedefine/>
    <w:qFormat/>
    <w:rsid w:val="004D3E95"/>
    <w:pPr>
      <w:tabs>
        <w:tab w:val="left" w:pos="1276"/>
      </w:tabs>
      <w:ind w:left="1276" w:hanging="1276"/>
      <w:jc w:val="both"/>
    </w:pPr>
    <w:rPr>
      <w:rFonts w:ascii="Arial" w:eastAsia="Times New Roman" w:hAnsi="Arial" w:cs="Times New Roman"/>
      <w:b/>
      <w:snapToGrid w:val="0"/>
      <w:sz w:val="22"/>
      <w:szCs w:val="20"/>
      <w:lang w:val="en-US"/>
    </w:rPr>
  </w:style>
  <w:style w:type="character" w:customStyle="1" w:styleId="TableChar">
    <w:name w:val="Table Char"/>
    <w:basedOn w:val="DefaultParagraphFont"/>
    <w:link w:val="Table"/>
    <w:rsid w:val="004D3E95"/>
    <w:rPr>
      <w:rFonts w:ascii="Arial" w:eastAsia="Times New Roman" w:hAnsi="Arial" w:cs="Times New Roman"/>
      <w:b/>
      <w:snapToGrid w:val="0"/>
      <w:szCs w:val="20"/>
      <w:lang w:val="en-US"/>
    </w:rPr>
  </w:style>
  <w:style w:type="paragraph" w:customStyle="1" w:styleId="Bibliography1">
    <w:name w:val="Bibliography1"/>
    <w:basedOn w:val="Normal"/>
    <w:rsid w:val="00A122F1"/>
    <w:pPr>
      <w:widowControl w:val="0"/>
      <w:spacing w:before="60"/>
      <w:ind w:left="567" w:hanging="567"/>
    </w:pPr>
    <w:rPr>
      <w:rFonts w:ascii="Times New Roman" w:eastAsia="Times New Roman" w:hAnsi="Times New Roman" w:cs="Times New Roman"/>
      <w:snapToGrid w:val="0"/>
      <w:sz w:val="24"/>
      <w:szCs w:val="20"/>
      <w:lang w:val="en-GB"/>
    </w:rPr>
  </w:style>
  <w:style w:type="character" w:customStyle="1" w:styleId="ListParagraphChar">
    <w:name w:val="List Paragraph Char"/>
    <w:aliases w:val="Bullets Char,List Paragraph1 Char,Recommendation Char,List Paragraph11 Char,sub-section Char"/>
    <w:basedOn w:val="DefaultParagraphFont"/>
    <w:link w:val="ListParagraph"/>
    <w:uiPriority w:val="34"/>
    <w:locked/>
    <w:rsid w:val="00456131"/>
    <w:rPr>
      <w:rFonts w:eastAsia="Calibri" w:cs="Times New Roman"/>
      <w:sz w:val="21"/>
      <w:szCs w:val="21"/>
    </w:rPr>
  </w:style>
  <w:style w:type="paragraph" w:customStyle="1" w:styleId="standardelement">
    <w:name w:val="standardelement"/>
    <w:basedOn w:val="Normal"/>
    <w:rsid w:val="00D50F39"/>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0F39"/>
  </w:style>
  <w:style w:type="table" w:customStyle="1" w:styleId="QBar">
    <w:name w:val="QBar"/>
    <w:uiPriority w:val="99"/>
    <w:qFormat/>
    <w:rsid w:val="009908F9"/>
    <w:pPr>
      <w:spacing w:after="0" w:line="240" w:lineRule="auto"/>
    </w:pPr>
    <w:rPr>
      <w:rFonts w:eastAsiaTheme="minorEastAsia"/>
      <w:sz w:val="18"/>
      <w:szCs w:val="20"/>
      <w:lang w:val="en-US" w:eastAsia="en-AU"/>
    </w:rPr>
    <w:tblPr>
      <w:tblInd w:w="0" w:type="dxa"/>
      <w:tblCellMar>
        <w:top w:w="0" w:type="dxa"/>
        <w:left w:w="0" w:type="dxa"/>
        <w:bottom w:w="0" w:type="dxa"/>
        <w:right w:w="0" w:type="dxa"/>
      </w:tblCellMar>
    </w:tblPr>
    <w:tblStylePr w:type="firstCol">
      <w:tblPr/>
      <w:tcPr>
        <w:shd w:val="clear" w:color="auto" w:fill="4E81E5"/>
      </w:tcPr>
    </w:tblStylePr>
  </w:style>
  <w:style w:type="paragraph" w:customStyle="1" w:styleId="WhiteText">
    <w:name w:val="WhiteText"/>
    <w:next w:val="Normal"/>
    <w:rsid w:val="009908F9"/>
    <w:pPr>
      <w:spacing w:after="0" w:line="240" w:lineRule="auto"/>
    </w:pPr>
    <w:rPr>
      <w:rFonts w:eastAsiaTheme="minorEastAsia"/>
      <w:color w:val="FFFFFF" w:themeColor="background1"/>
      <w:lang w:val="en-US"/>
    </w:rPr>
  </w:style>
  <w:style w:type="table" w:customStyle="1" w:styleId="GridTable4-Accent31">
    <w:name w:val="Grid Table 4 - Accent 31"/>
    <w:basedOn w:val="TableNormal"/>
    <w:uiPriority w:val="49"/>
    <w:rsid w:val="009908F9"/>
    <w:pPr>
      <w:spacing w:after="0" w:line="240" w:lineRule="auto"/>
    </w:pPr>
    <w:rPr>
      <w:rFonts w:eastAsiaTheme="minorEastAsia"/>
      <w:lang w:val="en-US"/>
    </w:rPr>
    <w:tblPr>
      <w:tblStyleRowBandSize w:val="1"/>
      <w:tblStyleColBandSize w:val="1"/>
      <w:tblBorders>
        <w:top w:val="single" w:sz="4" w:space="0" w:color="FFFF47" w:themeColor="accent3" w:themeTint="99"/>
        <w:left w:val="single" w:sz="4" w:space="0" w:color="FFFF47" w:themeColor="accent3" w:themeTint="99"/>
        <w:bottom w:val="single" w:sz="4" w:space="0" w:color="FFFF47" w:themeColor="accent3" w:themeTint="99"/>
        <w:right w:val="single" w:sz="4" w:space="0" w:color="FFFF47" w:themeColor="accent3" w:themeTint="99"/>
        <w:insideH w:val="single" w:sz="4" w:space="0" w:color="FFFF47" w:themeColor="accent3" w:themeTint="99"/>
        <w:insideV w:val="single" w:sz="4" w:space="0" w:color="FFFF47" w:themeColor="accent3" w:themeTint="99"/>
      </w:tblBorders>
    </w:tblPr>
    <w:tblStylePr w:type="firstRow">
      <w:rPr>
        <w:b/>
        <w:bCs/>
        <w:color w:val="FFFFFF" w:themeColor="background1"/>
      </w:rPr>
      <w:tblPr/>
      <w:tcPr>
        <w:tcBorders>
          <w:top w:val="single" w:sz="4" w:space="0" w:color="CCCC00" w:themeColor="accent3"/>
          <w:left w:val="single" w:sz="4" w:space="0" w:color="CCCC00" w:themeColor="accent3"/>
          <w:bottom w:val="single" w:sz="4" w:space="0" w:color="CCCC00" w:themeColor="accent3"/>
          <w:right w:val="single" w:sz="4" w:space="0" w:color="CCCC00" w:themeColor="accent3"/>
          <w:insideH w:val="nil"/>
          <w:insideV w:val="nil"/>
        </w:tcBorders>
        <w:shd w:val="clear" w:color="auto" w:fill="CCCC00" w:themeFill="accent3"/>
      </w:tcPr>
    </w:tblStylePr>
    <w:tblStylePr w:type="lastRow">
      <w:rPr>
        <w:b/>
        <w:bCs/>
      </w:rPr>
      <w:tblPr/>
      <w:tcPr>
        <w:tcBorders>
          <w:top w:val="double" w:sz="4" w:space="0" w:color="CCCC00" w:themeColor="accent3"/>
        </w:tcBorders>
      </w:tcPr>
    </w:tblStylePr>
    <w:tblStylePr w:type="firstCol">
      <w:rPr>
        <w:b/>
        <w:bCs/>
      </w:rPr>
    </w:tblStylePr>
    <w:tblStylePr w:type="lastCol">
      <w:rPr>
        <w:b/>
        <w:bCs/>
      </w:rPr>
    </w:tblStylePr>
    <w:tblStylePr w:type="band1Vert">
      <w:tblPr/>
      <w:tcPr>
        <w:shd w:val="clear" w:color="auto" w:fill="FFFFC1" w:themeFill="accent3" w:themeFillTint="33"/>
      </w:tcPr>
    </w:tblStylePr>
    <w:tblStylePr w:type="band1Horz">
      <w:tblPr/>
      <w:tcPr>
        <w:shd w:val="clear" w:color="auto" w:fill="FFFFC1" w:themeFill="accent3" w:themeFillTint="33"/>
      </w:tcPr>
    </w:tblStylePr>
  </w:style>
  <w:style w:type="paragraph" w:customStyle="1" w:styleId="xmsonormal">
    <w:name w:val="x_msonormal"/>
    <w:basedOn w:val="Normal"/>
    <w:rsid w:val="005706D6"/>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scayt-misspell">
    <w:name w:val="scayt-misspell"/>
    <w:basedOn w:val="DefaultParagraphFont"/>
    <w:rsid w:val="00B96A2F"/>
  </w:style>
  <w:style w:type="paragraph" w:styleId="TableofFigures">
    <w:name w:val="table of figures"/>
    <w:basedOn w:val="Normal"/>
    <w:next w:val="Normal"/>
    <w:uiPriority w:val="99"/>
    <w:unhideWhenUsed/>
    <w:rsid w:val="005B2EE6"/>
    <w:pPr>
      <w:spacing w:after="0"/>
    </w:pPr>
  </w:style>
  <w:style w:type="paragraph" w:customStyle="1" w:styleId="PacHead1">
    <w:name w:val="Pac Head 1"/>
    <w:basedOn w:val="Heading1"/>
    <w:link w:val="PacHead1Char"/>
    <w:qFormat/>
    <w:rsid w:val="00217580"/>
    <w:rPr>
      <w:color w:val="95050F"/>
    </w:rPr>
  </w:style>
  <w:style w:type="paragraph" w:customStyle="1" w:styleId="PacHead2">
    <w:name w:val="Pac Head 2"/>
    <w:basedOn w:val="Heading2"/>
    <w:link w:val="PacHead2Char"/>
    <w:autoRedefine/>
    <w:qFormat/>
    <w:rsid w:val="00CE4F39"/>
    <w:rPr>
      <w:color w:val="95050F"/>
    </w:rPr>
  </w:style>
  <w:style w:type="character" w:customStyle="1" w:styleId="PacHead1Char">
    <w:name w:val="Pac Head 1 Char"/>
    <w:basedOn w:val="Heading1Char"/>
    <w:link w:val="PacHead1"/>
    <w:rsid w:val="00217580"/>
    <w:rPr>
      <w:rFonts w:asciiTheme="majorHAnsi" w:eastAsiaTheme="majorEastAsia" w:hAnsiTheme="majorHAnsi" w:cstheme="majorBidi"/>
      <w:b/>
      <w:bCs/>
      <w:color w:val="95050F"/>
      <w:sz w:val="32"/>
      <w:szCs w:val="28"/>
    </w:rPr>
  </w:style>
  <w:style w:type="paragraph" w:customStyle="1" w:styleId="PacHead3">
    <w:name w:val="Pac Head 3"/>
    <w:basedOn w:val="Normal"/>
    <w:link w:val="PacHead3Char"/>
    <w:autoRedefine/>
    <w:qFormat/>
    <w:rsid w:val="00C35EB4"/>
    <w:rPr>
      <w:b/>
      <w:color w:val="FF0000"/>
    </w:rPr>
  </w:style>
  <w:style w:type="character" w:customStyle="1" w:styleId="PacHead2Char">
    <w:name w:val="Pac Head 2 Char"/>
    <w:basedOn w:val="Heading2Char"/>
    <w:link w:val="PacHead2"/>
    <w:rsid w:val="00CE4F39"/>
    <w:rPr>
      <w:rFonts w:asciiTheme="majorHAnsi" w:eastAsiaTheme="majorEastAsia" w:hAnsiTheme="majorHAnsi" w:cstheme="majorBidi"/>
      <w:b/>
      <w:bCs/>
      <w:color w:val="95050F"/>
      <w:sz w:val="26"/>
      <w:szCs w:val="26"/>
      <w:lang w:val="en"/>
    </w:rPr>
  </w:style>
  <w:style w:type="table" w:styleId="LightShading-Accent6">
    <w:name w:val="Light Shading Accent 6"/>
    <w:basedOn w:val="TableNormal"/>
    <w:uiPriority w:val="60"/>
    <w:rsid w:val="00F5257A"/>
    <w:pPr>
      <w:spacing w:after="0" w:line="240" w:lineRule="auto"/>
    </w:pPr>
    <w:rPr>
      <w:color w:val="17365D" w:themeColor="accent6" w:themeShade="BF"/>
    </w:rPr>
    <w:tblPr>
      <w:tblStyleRowBandSize w:val="1"/>
      <w:tblStyleColBandSize w:val="1"/>
      <w:tblBorders>
        <w:top w:val="single" w:sz="8" w:space="0" w:color="1F497D" w:themeColor="accent6"/>
        <w:bottom w:val="single" w:sz="8" w:space="0" w:color="1F497D" w:themeColor="accent6"/>
      </w:tblBorders>
    </w:tblPr>
    <w:tblStylePr w:type="firstRow">
      <w:pPr>
        <w:spacing w:before="0" w:after="0" w:line="240" w:lineRule="auto"/>
      </w:pPr>
      <w:rPr>
        <w:b/>
        <w:bCs/>
      </w:rPr>
      <w:tblPr/>
      <w:tcPr>
        <w:tcBorders>
          <w:top w:val="single" w:sz="8" w:space="0" w:color="1F497D" w:themeColor="accent6"/>
          <w:left w:val="nil"/>
          <w:bottom w:val="single" w:sz="8" w:space="0" w:color="1F497D" w:themeColor="accent6"/>
          <w:right w:val="nil"/>
          <w:insideH w:val="nil"/>
          <w:insideV w:val="nil"/>
        </w:tcBorders>
      </w:tcPr>
    </w:tblStylePr>
    <w:tblStylePr w:type="lastRow">
      <w:pPr>
        <w:spacing w:before="0" w:after="0" w:line="240" w:lineRule="auto"/>
      </w:pPr>
      <w:rPr>
        <w:b/>
        <w:bCs/>
      </w:rPr>
      <w:tblPr/>
      <w:tcPr>
        <w:tcBorders>
          <w:top w:val="single" w:sz="8" w:space="0" w:color="1F497D" w:themeColor="accent6"/>
          <w:left w:val="nil"/>
          <w:bottom w:val="single" w:sz="8" w:space="0" w:color="1F497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0ED" w:themeFill="accent6" w:themeFillTint="3F"/>
      </w:tcPr>
    </w:tblStylePr>
    <w:tblStylePr w:type="band1Horz">
      <w:tblPr/>
      <w:tcPr>
        <w:tcBorders>
          <w:left w:val="nil"/>
          <w:right w:val="nil"/>
          <w:insideH w:val="nil"/>
          <w:insideV w:val="nil"/>
        </w:tcBorders>
        <w:shd w:val="clear" w:color="auto" w:fill="B8D0ED" w:themeFill="accent6" w:themeFillTint="3F"/>
      </w:tcPr>
    </w:tblStylePr>
  </w:style>
  <w:style w:type="character" w:customStyle="1" w:styleId="PacHead3Char">
    <w:name w:val="Pac Head 3 Char"/>
    <w:basedOn w:val="DefaultParagraphFont"/>
    <w:link w:val="PacHead3"/>
    <w:rsid w:val="00C35EB4"/>
    <w:rPr>
      <w:b/>
      <w:color w:val="FF0000"/>
      <w:sz w:val="21"/>
      <w:szCs w:val="21"/>
    </w:rPr>
  </w:style>
  <w:style w:type="character" w:customStyle="1" w:styleId="hvr">
    <w:name w:val="hvr"/>
    <w:basedOn w:val="DefaultParagraphFont"/>
    <w:rsid w:val="00E877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3422">
      <w:bodyDiv w:val="1"/>
      <w:marLeft w:val="0"/>
      <w:marRight w:val="0"/>
      <w:marTop w:val="0"/>
      <w:marBottom w:val="0"/>
      <w:divBdr>
        <w:top w:val="none" w:sz="0" w:space="0" w:color="auto"/>
        <w:left w:val="none" w:sz="0" w:space="0" w:color="auto"/>
        <w:bottom w:val="none" w:sz="0" w:space="0" w:color="auto"/>
        <w:right w:val="none" w:sz="0" w:space="0" w:color="auto"/>
      </w:divBdr>
    </w:div>
    <w:div w:id="95103692">
      <w:bodyDiv w:val="1"/>
      <w:marLeft w:val="0"/>
      <w:marRight w:val="0"/>
      <w:marTop w:val="0"/>
      <w:marBottom w:val="0"/>
      <w:divBdr>
        <w:top w:val="none" w:sz="0" w:space="0" w:color="auto"/>
        <w:left w:val="none" w:sz="0" w:space="0" w:color="auto"/>
        <w:bottom w:val="none" w:sz="0" w:space="0" w:color="auto"/>
        <w:right w:val="none" w:sz="0" w:space="0" w:color="auto"/>
      </w:divBdr>
      <w:divsChild>
        <w:div w:id="941690454">
          <w:marLeft w:val="750"/>
          <w:marRight w:val="750"/>
          <w:marTop w:val="0"/>
          <w:marBottom w:val="0"/>
          <w:divBdr>
            <w:top w:val="none" w:sz="0" w:space="0" w:color="auto"/>
            <w:left w:val="none" w:sz="0" w:space="0" w:color="auto"/>
            <w:bottom w:val="none" w:sz="0" w:space="0" w:color="auto"/>
            <w:right w:val="none" w:sz="0" w:space="0" w:color="auto"/>
          </w:divBdr>
          <w:divsChild>
            <w:div w:id="1564945876">
              <w:marLeft w:val="0"/>
              <w:marRight w:val="0"/>
              <w:marTop w:val="0"/>
              <w:marBottom w:val="0"/>
              <w:divBdr>
                <w:top w:val="none" w:sz="0" w:space="0" w:color="auto"/>
                <w:left w:val="none" w:sz="0" w:space="0" w:color="auto"/>
                <w:bottom w:val="none" w:sz="0" w:space="0" w:color="auto"/>
                <w:right w:val="none" w:sz="0" w:space="0" w:color="auto"/>
              </w:divBdr>
              <w:divsChild>
                <w:div w:id="273248293">
                  <w:marLeft w:val="0"/>
                  <w:marRight w:val="0"/>
                  <w:marTop w:val="0"/>
                  <w:marBottom w:val="0"/>
                  <w:divBdr>
                    <w:top w:val="none" w:sz="0" w:space="0" w:color="auto"/>
                    <w:left w:val="none" w:sz="0" w:space="0" w:color="auto"/>
                    <w:bottom w:val="none" w:sz="0" w:space="0" w:color="auto"/>
                    <w:right w:val="none" w:sz="0" w:space="0" w:color="auto"/>
                  </w:divBdr>
                  <w:divsChild>
                    <w:div w:id="1403799027">
                      <w:marLeft w:val="0"/>
                      <w:marRight w:val="0"/>
                      <w:marTop w:val="0"/>
                      <w:marBottom w:val="0"/>
                      <w:divBdr>
                        <w:top w:val="none" w:sz="0" w:space="0" w:color="auto"/>
                        <w:left w:val="none" w:sz="0" w:space="0" w:color="auto"/>
                        <w:bottom w:val="none" w:sz="0" w:space="0" w:color="auto"/>
                        <w:right w:val="none" w:sz="0" w:space="0" w:color="auto"/>
                      </w:divBdr>
                      <w:divsChild>
                        <w:div w:id="642007370">
                          <w:marLeft w:val="0"/>
                          <w:marRight w:val="0"/>
                          <w:marTop w:val="0"/>
                          <w:marBottom w:val="0"/>
                          <w:divBdr>
                            <w:top w:val="none" w:sz="0" w:space="0" w:color="auto"/>
                            <w:left w:val="none" w:sz="0" w:space="0" w:color="auto"/>
                            <w:bottom w:val="none" w:sz="0" w:space="0" w:color="auto"/>
                            <w:right w:val="none" w:sz="0" w:space="0" w:color="auto"/>
                          </w:divBdr>
                          <w:divsChild>
                            <w:div w:id="783186280">
                              <w:marLeft w:val="0"/>
                              <w:marRight w:val="100"/>
                              <w:marTop w:val="0"/>
                              <w:marBottom w:val="0"/>
                              <w:divBdr>
                                <w:top w:val="none" w:sz="0" w:space="0" w:color="auto"/>
                                <w:left w:val="none" w:sz="0" w:space="0" w:color="auto"/>
                                <w:bottom w:val="none" w:sz="0" w:space="0" w:color="auto"/>
                                <w:right w:val="none" w:sz="0" w:space="0" w:color="auto"/>
                              </w:divBdr>
                              <w:divsChild>
                                <w:div w:id="1587618436">
                                  <w:marLeft w:val="0"/>
                                  <w:marRight w:val="0"/>
                                  <w:marTop w:val="0"/>
                                  <w:marBottom w:val="0"/>
                                  <w:divBdr>
                                    <w:top w:val="none" w:sz="0" w:space="0" w:color="auto"/>
                                    <w:left w:val="none" w:sz="0" w:space="0" w:color="auto"/>
                                    <w:bottom w:val="none" w:sz="0" w:space="0" w:color="auto"/>
                                    <w:right w:val="none" w:sz="0" w:space="0" w:color="auto"/>
                                  </w:divBdr>
                                  <w:divsChild>
                                    <w:div w:id="123693162">
                                      <w:marLeft w:val="0"/>
                                      <w:marRight w:val="0"/>
                                      <w:marTop w:val="0"/>
                                      <w:marBottom w:val="0"/>
                                      <w:divBdr>
                                        <w:top w:val="none" w:sz="0" w:space="0" w:color="auto"/>
                                        <w:left w:val="none" w:sz="0" w:space="0" w:color="auto"/>
                                        <w:bottom w:val="none" w:sz="0" w:space="0" w:color="auto"/>
                                        <w:right w:val="none" w:sz="0" w:space="0" w:color="auto"/>
                                      </w:divBdr>
                                      <w:divsChild>
                                        <w:div w:id="415976727">
                                          <w:marLeft w:val="180"/>
                                          <w:marRight w:val="180"/>
                                          <w:marTop w:val="180"/>
                                          <w:marBottom w:val="180"/>
                                          <w:divBdr>
                                            <w:top w:val="none" w:sz="0" w:space="0" w:color="auto"/>
                                            <w:left w:val="none" w:sz="0" w:space="0" w:color="auto"/>
                                            <w:bottom w:val="none" w:sz="0" w:space="0" w:color="auto"/>
                                            <w:right w:val="none" w:sz="0" w:space="0" w:color="auto"/>
                                          </w:divBdr>
                                          <w:divsChild>
                                            <w:div w:id="13726245">
                                              <w:marLeft w:val="0"/>
                                              <w:marRight w:val="0"/>
                                              <w:marTop w:val="0"/>
                                              <w:marBottom w:val="0"/>
                                              <w:divBdr>
                                                <w:top w:val="none" w:sz="0" w:space="0" w:color="auto"/>
                                                <w:left w:val="none" w:sz="0" w:space="0" w:color="auto"/>
                                                <w:bottom w:val="none" w:sz="0" w:space="0" w:color="auto"/>
                                                <w:right w:val="none" w:sz="0" w:space="0" w:color="auto"/>
                                              </w:divBdr>
                                              <w:divsChild>
                                                <w:div w:id="1795441432">
                                                  <w:marLeft w:val="0"/>
                                                  <w:marRight w:val="0"/>
                                                  <w:marTop w:val="0"/>
                                                  <w:marBottom w:val="0"/>
                                                  <w:divBdr>
                                                    <w:top w:val="none" w:sz="0" w:space="0" w:color="auto"/>
                                                    <w:left w:val="none" w:sz="0" w:space="0" w:color="auto"/>
                                                    <w:bottom w:val="dashed" w:sz="6" w:space="9" w:color="ABABA7"/>
                                                    <w:right w:val="none" w:sz="0" w:space="0" w:color="auto"/>
                                                  </w:divBdr>
                                                  <w:divsChild>
                                                    <w:div w:id="12841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537896">
      <w:bodyDiv w:val="1"/>
      <w:marLeft w:val="0"/>
      <w:marRight w:val="0"/>
      <w:marTop w:val="0"/>
      <w:marBottom w:val="0"/>
      <w:divBdr>
        <w:top w:val="none" w:sz="0" w:space="0" w:color="auto"/>
        <w:left w:val="none" w:sz="0" w:space="0" w:color="auto"/>
        <w:bottom w:val="none" w:sz="0" w:space="0" w:color="auto"/>
        <w:right w:val="none" w:sz="0" w:space="0" w:color="auto"/>
      </w:divBdr>
    </w:div>
    <w:div w:id="119157027">
      <w:bodyDiv w:val="1"/>
      <w:marLeft w:val="0"/>
      <w:marRight w:val="0"/>
      <w:marTop w:val="0"/>
      <w:marBottom w:val="0"/>
      <w:divBdr>
        <w:top w:val="none" w:sz="0" w:space="0" w:color="auto"/>
        <w:left w:val="none" w:sz="0" w:space="0" w:color="auto"/>
        <w:bottom w:val="none" w:sz="0" w:space="0" w:color="auto"/>
        <w:right w:val="none" w:sz="0" w:space="0" w:color="auto"/>
      </w:divBdr>
    </w:div>
    <w:div w:id="198663237">
      <w:bodyDiv w:val="1"/>
      <w:marLeft w:val="0"/>
      <w:marRight w:val="0"/>
      <w:marTop w:val="0"/>
      <w:marBottom w:val="0"/>
      <w:divBdr>
        <w:top w:val="none" w:sz="0" w:space="0" w:color="auto"/>
        <w:left w:val="none" w:sz="0" w:space="0" w:color="auto"/>
        <w:bottom w:val="none" w:sz="0" w:space="0" w:color="auto"/>
        <w:right w:val="none" w:sz="0" w:space="0" w:color="auto"/>
      </w:divBdr>
    </w:div>
    <w:div w:id="217983524">
      <w:bodyDiv w:val="1"/>
      <w:marLeft w:val="0"/>
      <w:marRight w:val="0"/>
      <w:marTop w:val="0"/>
      <w:marBottom w:val="0"/>
      <w:divBdr>
        <w:top w:val="none" w:sz="0" w:space="0" w:color="auto"/>
        <w:left w:val="none" w:sz="0" w:space="0" w:color="auto"/>
        <w:bottom w:val="none" w:sz="0" w:space="0" w:color="auto"/>
        <w:right w:val="none" w:sz="0" w:space="0" w:color="auto"/>
      </w:divBdr>
    </w:div>
    <w:div w:id="239214508">
      <w:bodyDiv w:val="1"/>
      <w:marLeft w:val="0"/>
      <w:marRight w:val="0"/>
      <w:marTop w:val="0"/>
      <w:marBottom w:val="0"/>
      <w:divBdr>
        <w:top w:val="none" w:sz="0" w:space="0" w:color="auto"/>
        <w:left w:val="none" w:sz="0" w:space="0" w:color="auto"/>
        <w:bottom w:val="none" w:sz="0" w:space="0" w:color="auto"/>
        <w:right w:val="none" w:sz="0" w:space="0" w:color="auto"/>
      </w:divBdr>
    </w:div>
    <w:div w:id="242253341">
      <w:bodyDiv w:val="1"/>
      <w:marLeft w:val="0"/>
      <w:marRight w:val="0"/>
      <w:marTop w:val="0"/>
      <w:marBottom w:val="0"/>
      <w:divBdr>
        <w:top w:val="none" w:sz="0" w:space="0" w:color="auto"/>
        <w:left w:val="none" w:sz="0" w:space="0" w:color="auto"/>
        <w:bottom w:val="none" w:sz="0" w:space="0" w:color="auto"/>
        <w:right w:val="none" w:sz="0" w:space="0" w:color="auto"/>
      </w:divBdr>
    </w:div>
    <w:div w:id="313340002">
      <w:bodyDiv w:val="1"/>
      <w:marLeft w:val="0"/>
      <w:marRight w:val="0"/>
      <w:marTop w:val="0"/>
      <w:marBottom w:val="0"/>
      <w:divBdr>
        <w:top w:val="none" w:sz="0" w:space="0" w:color="auto"/>
        <w:left w:val="none" w:sz="0" w:space="0" w:color="auto"/>
        <w:bottom w:val="none" w:sz="0" w:space="0" w:color="auto"/>
        <w:right w:val="none" w:sz="0" w:space="0" w:color="auto"/>
      </w:divBdr>
    </w:div>
    <w:div w:id="322245182">
      <w:bodyDiv w:val="1"/>
      <w:marLeft w:val="0"/>
      <w:marRight w:val="0"/>
      <w:marTop w:val="0"/>
      <w:marBottom w:val="0"/>
      <w:divBdr>
        <w:top w:val="none" w:sz="0" w:space="0" w:color="auto"/>
        <w:left w:val="none" w:sz="0" w:space="0" w:color="auto"/>
        <w:bottom w:val="none" w:sz="0" w:space="0" w:color="auto"/>
        <w:right w:val="none" w:sz="0" w:space="0" w:color="auto"/>
      </w:divBdr>
      <w:divsChild>
        <w:div w:id="1414355881">
          <w:marLeft w:val="0"/>
          <w:marRight w:val="0"/>
          <w:marTop w:val="100"/>
          <w:marBottom w:val="100"/>
          <w:divBdr>
            <w:top w:val="none" w:sz="0" w:space="0" w:color="auto"/>
            <w:left w:val="none" w:sz="0" w:space="0" w:color="auto"/>
            <w:bottom w:val="none" w:sz="0" w:space="0" w:color="auto"/>
            <w:right w:val="none" w:sz="0" w:space="0" w:color="auto"/>
          </w:divBdr>
          <w:divsChild>
            <w:div w:id="274674270">
              <w:marLeft w:val="0"/>
              <w:marRight w:val="0"/>
              <w:marTop w:val="0"/>
              <w:marBottom w:val="300"/>
              <w:divBdr>
                <w:top w:val="none" w:sz="0" w:space="0" w:color="auto"/>
                <w:left w:val="none" w:sz="0" w:space="0" w:color="auto"/>
                <w:bottom w:val="none" w:sz="0" w:space="0" w:color="auto"/>
                <w:right w:val="none" w:sz="0" w:space="0" w:color="auto"/>
              </w:divBdr>
            </w:div>
            <w:div w:id="394162499">
              <w:marLeft w:val="0"/>
              <w:marRight w:val="975"/>
              <w:marTop w:val="0"/>
              <w:marBottom w:val="300"/>
              <w:divBdr>
                <w:top w:val="none" w:sz="0" w:space="0" w:color="auto"/>
                <w:left w:val="none" w:sz="0" w:space="0" w:color="auto"/>
                <w:bottom w:val="none" w:sz="0" w:space="0" w:color="auto"/>
                <w:right w:val="none" w:sz="0" w:space="0" w:color="auto"/>
              </w:divBdr>
              <w:divsChild>
                <w:div w:id="1544094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63405944">
      <w:bodyDiv w:val="1"/>
      <w:marLeft w:val="0"/>
      <w:marRight w:val="0"/>
      <w:marTop w:val="0"/>
      <w:marBottom w:val="0"/>
      <w:divBdr>
        <w:top w:val="none" w:sz="0" w:space="0" w:color="auto"/>
        <w:left w:val="none" w:sz="0" w:space="0" w:color="auto"/>
        <w:bottom w:val="none" w:sz="0" w:space="0" w:color="auto"/>
        <w:right w:val="none" w:sz="0" w:space="0" w:color="auto"/>
      </w:divBdr>
      <w:divsChild>
        <w:div w:id="1540507964">
          <w:marLeft w:val="0"/>
          <w:marRight w:val="0"/>
          <w:marTop w:val="0"/>
          <w:marBottom w:val="375"/>
          <w:divBdr>
            <w:top w:val="none" w:sz="0" w:space="0" w:color="auto"/>
            <w:left w:val="none" w:sz="0" w:space="0" w:color="auto"/>
            <w:bottom w:val="none" w:sz="0" w:space="0" w:color="auto"/>
            <w:right w:val="none" w:sz="0" w:space="0" w:color="auto"/>
          </w:divBdr>
          <w:divsChild>
            <w:div w:id="1313830542">
              <w:marLeft w:val="0"/>
              <w:marRight w:val="30"/>
              <w:marTop w:val="0"/>
              <w:marBottom w:val="0"/>
              <w:divBdr>
                <w:top w:val="none" w:sz="0" w:space="0" w:color="auto"/>
                <w:left w:val="none" w:sz="0" w:space="0" w:color="auto"/>
                <w:bottom w:val="none" w:sz="0" w:space="0" w:color="auto"/>
                <w:right w:val="none" w:sz="0" w:space="0" w:color="auto"/>
              </w:divBdr>
              <w:divsChild>
                <w:div w:id="1022975521">
                  <w:marLeft w:val="0"/>
                  <w:marRight w:val="0"/>
                  <w:marTop w:val="0"/>
                  <w:marBottom w:val="0"/>
                  <w:divBdr>
                    <w:top w:val="none" w:sz="0" w:space="0" w:color="auto"/>
                    <w:left w:val="none" w:sz="0" w:space="0" w:color="auto"/>
                    <w:bottom w:val="none" w:sz="0" w:space="0" w:color="auto"/>
                    <w:right w:val="none" w:sz="0" w:space="0" w:color="auto"/>
                  </w:divBdr>
                  <w:divsChild>
                    <w:div w:id="1294362299">
                      <w:marLeft w:val="0"/>
                      <w:marRight w:val="0"/>
                      <w:marTop w:val="0"/>
                      <w:marBottom w:val="0"/>
                      <w:divBdr>
                        <w:top w:val="none" w:sz="0" w:space="0" w:color="auto"/>
                        <w:left w:val="none" w:sz="0" w:space="0" w:color="auto"/>
                        <w:bottom w:val="none" w:sz="0" w:space="0" w:color="auto"/>
                        <w:right w:val="none" w:sz="0" w:space="0" w:color="auto"/>
                      </w:divBdr>
                      <w:divsChild>
                        <w:div w:id="931473913">
                          <w:marLeft w:val="0"/>
                          <w:marRight w:val="0"/>
                          <w:marTop w:val="150"/>
                          <w:marBottom w:val="0"/>
                          <w:divBdr>
                            <w:top w:val="none" w:sz="0" w:space="0" w:color="auto"/>
                            <w:left w:val="none" w:sz="0" w:space="0" w:color="auto"/>
                            <w:bottom w:val="none" w:sz="0" w:space="0" w:color="auto"/>
                            <w:right w:val="none" w:sz="0" w:space="0" w:color="auto"/>
                          </w:divBdr>
                          <w:divsChild>
                            <w:div w:id="1586258088">
                              <w:marLeft w:val="0"/>
                              <w:marRight w:val="0"/>
                              <w:marTop w:val="0"/>
                              <w:marBottom w:val="0"/>
                              <w:divBdr>
                                <w:top w:val="none" w:sz="0" w:space="0" w:color="auto"/>
                                <w:left w:val="none" w:sz="0" w:space="0" w:color="auto"/>
                                <w:bottom w:val="none" w:sz="0" w:space="0" w:color="auto"/>
                                <w:right w:val="none" w:sz="0" w:space="0" w:color="auto"/>
                              </w:divBdr>
                              <w:divsChild>
                                <w:div w:id="326254722">
                                  <w:marLeft w:val="0"/>
                                  <w:marRight w:val="0"/>
                                  <w:marTop w:val="0"/>
                                  <w:marBottom w:val="0"/>
                                  <w:divBdr>
                                    <w:top w:val="none" w:sz="0" w:space="0" w:color="auto"/>
                                    <w:left w:val="none" w:sz="0" w:space="0" w:color="auto"/>
                                    <w:bottom w:val="none" w:sz="0" w:space="0" w:color="auto"/>
                                    <w:right w:val="none" w:sz="0" w:space="0" w:color="auto"/>
                                  </w:divBdr>
                                  <w:divsChild>
                                    <w:div w:id="838931871">
                                      <w:marLeft w:val="0"/>
                                      <w:marRight w:val="0"/>
                                      <w:marTop w:val="0"/>
                                      <w:marBottom w:val="0"/>
                                      <w:divBdr>
                                        <w:top w:val="none" w:sz="0" w:space="0" w:color="auto"/>
                                        <w:left w:val="none" w:sz="0" w:space="0" w:color="auto"/>
                                        <w:bottom w:val="none" w:sz="0" w:space="0" w:color="auto"/>
                                        <w:right w:val="none" w:sz="0" w:space="0" w:color="auto"/>
                                      </w:divBdr>
                                      <w:divsChild>
                                        <w:div w:id="87845757">
                                          <w:marLeft w:val="0"/>
                                          <w:marRight w:val="0"/>
                                          <w:marTop w:val="0"/>
                                          <w:marBottom w:val="0"/>
                                          <w:divBdr>
                                            <w:top w:val="none" w:sz="0" w:space="0" w:color="auto"/>
                                            <w:left w:val="none" w:sz="0" w:space="0" w:color="auto"/>
                                            <w:bottom w:val="none" w:sz="0" w:space="0" w:color="auto"/>
                                            <w:right w:val="none" w:sz="0" w:space="0" w:color="auto"/>
                                          </w:divBdr>
                                          <w:divsChild>
                                            <w:div w:id="11764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01173763">
      <w:bodyDiv w:val="1"/>
      <w:marLeft w:val="0"/>
      <w:marRight w:val="0"/>
      <w:marTop w:val="0"/>
      <w:marBottom w:val="0"/>
      <w:divBdr>
        <w:top w:val="none" w:sz="0" w:space="0" w:color="auto"/>
        <w:left w:val="none" w:sz="0" w:space="0" w:color="auto"/>
        <w:bottom w:val="none" w:sz="0" w:space="0" w:color="auto"/>
        <w:right w:val="none" w:sz="0" w:space="0" w:color="auto"/>
      </w:divBdr>
    </w:div>
    <w:div w:id="418067750">
      <w:bodyDiv w:val="1"/>
      <w:marLeft w:val="0"/>
      <w:marRight w:val="0"/>
      <w:marTop w:val="0"/>
      <w:marBottom w:val="0"/>
      <w:divBdr>
        <w:top w:val="none" w:sz="0" w:space="0" w:color="auto"/>
        <w:left w:val="none" w:sz="0" w:space="0" w:color="auto"/>
        <w:bottom w:val="none" w:sz="0" w:space="0" w:color="auto"/>
        <w:right w:val="none" w:sz="0" w:space="0" w:color="auto"/>
      </w:divBdr>
    </w:div>
    <w:div w:id="422146369">
      <w:bodyDiv w:val="1"/>
      <w:marLeft w:val="0"/>
      <w:marRight w:val="0"/>
      <w:marTop w:val="0"/>
      <w:marBottom w:val="0"/>
      <w:divBdr>
        <w:top w:val="none" w:sz="0" w:space="0" w:color="auto"/>
        <w:left w:val="none" w:sz="0" w:space="0" w:color="auto"/>
        <w:bottom w:val="none" w:sz="0" w:space="0" w:color="auto"/>
        <w:right w:val="none" w:sz="0" w:space="0" w:color="auto"/>
      </w:divBdr>
    </w:div>
    <w:div w:id="444274399">
      <w:bodyDiv w:val="1"/>
      <w:marLeft w:val="0"/>
      <w:marRight w:val="0"/>
      <w:marTop w:val="0"/>
      <w:marBottom w:val="0"/>
      <w:divBdr>
        <w:top w:val="none" w:sz="0" w:space="0" w:color="auto"/>
        <w:left w:val="none" w:sz="0" w:space="0" w:color="auto"/>
        <w:bottom w:val="none" w:sz="0" w:space="0" w:color="auto"/>
        <w:right w:val="none" w:sz="0" w:space="0" w:color="auto"/>
      </w:divBdr>
    </w:div>
    <w:div w:id="445779061">
      <w:bodyDiv w:val="1"/>
      <w:marLeft w:val="0"/>
      <w:marRight w:val="0"/>
      <w:marTop w:val="0"/>
      <w:marBottom w:val="0"/>
      <w:divBdr>
        <w:top w:val="none" w:sz="0" w:space="0" w:color="auto"/>
        <w:left w:val="none" w:sz="0" w:space="0" w:color="auto"/>
        <w:bottom w:val="none" w:sz="0" w:space="0" w:color="auto"/>
        <w:right w:val="none" w:sz="0" w:space="0" w:color="auto"/>
      </w:divBdr>
      <w:divsChild>
        <w:div w:id="1562256617">
          <w:marLeft w:val="0"/>
          <w:marRight w:val="0"/>
          <w:marTop w:val="100"/>
          <w:marBottom w:val="100"/>
          <w:divBdr>
            <w:top w:val="none" w:sz="0" w:space="0" w:color="auto"/>
            <w:left w:val="none" w:sz="0" w:space="0" w:color="auto"/>
            <w:bottom w:val="none" w:sz="0" w:space="0" w:color="auto"/>
            <w:right w:val="none" w:sz="0" w:space="0" w:color="auto"/>
          </w:divBdr>
          <w:divsChild>
            <w:div w:id="735317812">
              <w:marLeft w:val="0"/>
              <w:marRight w:val="975"/>
              <w:marTop w:val="0"/>
              <w:marBottom w:val="300"/>
              <w:divBdr>
                <w:top w:val="none" w:sz="0" w:space="0" w:color="auto"/>
                <w:left w:val="none" w:sz="0" w:space="0" w:color="auto"/>
                <w:bottom w:val="none" w:sz="0" w:space="0" w:color="auto"/>
                <w:right w:val="none" w:sz="0" w:space="0" w:color="auto"/>
              </w:divBdr>
              <w:divsChild>
                <w:div w:id="1236815925">
                  <w:marLeft w:val="0"/>
                  <w:marRight w:val="0"/>
                  <w:marTop w:val="0"/>
                  <w:marBottom w:val="150"/>
                  <w:divBdr>
                    <w:top w:val="none" w:sz="0" w:space="0" w:color="auto"/>
                    <w:left w:val="none" w:sz="0" w:space="0" w:color="auto"/>
                    <w:bottom w:val="none" w:sz="0" w:space="0" w:color="auto"/>
                    <w:right w:val="none" w:sz="0" w:space="0" w:color="auto"/>
                  </w:divBdr>
                </w:div>
              </w:divsChild>
            </w:div>
            <w:div w:id="188844466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52748196">
      <w:bodyDiv w:val="1"/>
      <w:marLeft w:val="0"/>
      <w:marRight w:val="0"/>
      <w:marTop w:val="0"/>
      <w:marBottom w:val="0"/>
      <w:divBdr>
        <w:top w:val="none" w:sz="0" w:space="0" w:color="auto"/>
        <w:left w:val="none" w:sz="0" w:space="0" w:color="auto"/>
        <w:bottom w:val="none" w:sz="0" w:space="0" w:color="auto"/>
        <w:right w:val="none" w:sz="0" w:space="0" w:color="auto"/>
      </w:divBdr>
    </w:div>
    <w:div w:id="587541767">
      <w:bodyDiv w:val="1"/>
      <w:marLeft w:val="0"/>
      <w:marRight w:val="0"/>
      <w:marTop w:val="0"/>
      <w:marBottom w:val="0"/>
      <w:divBdr>
        <w:top w:val="none" w:sz="0" w:space="0" w:color="auto"/>
        <w:left w:val="none" w:sz="0" w:space="0" w:color="auto"/>
        <w:bottom w:val="none" w:sz="0" w:space="0" w:color="auto"/>
        <w:right w:val="none" w:sz="0" w:space="0" w:color="auto"/>
      </w:divBdr>
    </w:div>
    <w:div w:id="590970433">
      <w:bodyDiv w:val="1"/>
      <w:marLeft w:val="0"/>
      <w:marRight w:val="0"/>
      <w:marTop w:val="0"/>
      <w:marBottom w:val="0"/>
      <w:divBdr>
        <w:top w:val="none" w:sz="0" w:space="0" w:color="auto"/>
        <w:left w:val="none" w:sz="0" w:space="0" w:color="auto"/>
        <w:bottom w:val="none" w:sz="0" w:space="0" w:color="auto"/>
        <w:right w:val="none" w:sz="0" w:space="0" w:color="auto"/>
      </w:divBdr>
      <w:divsChild>
        <w:div w:id="2128621489">
          <w:marLeft w:val="750"/>
          <w:marRight w:val="750"/>
          <w:marTop w:val="0"/>
          <w:marBottom w:val="0"/>
          <w:divBdr>
            <w:top w:val="none" w:sz="0" w:space="0" w:color="auto"/>
            <w:left w:val="none" w:sz="0" w:space="0" w:color="auto"/>
            <w:bottom w:val="none" w:sz="0" w:space="0" w:color="auto"/>
            <w:right w:val="none" w:sz="0" w:space="0" w:color="auto"/>
          </w:divBdr>
          <w:divsChild>
            <w:div w:id="431128525">
              <w:marLeft w:val="0"/>
              <w:marRight w:val="0"/>
              <w:marTop w:val="0"/>
              <w:marBottom w:val="0"/>
              <w:divBdr>
                <w:top w:val="none" w:sz="0" w:space="0" w:color="auto"/>
                <w:left w:val="none" w:sz="0" w:space="0" w:color="auto"/>
                <w:bottom w:val="none" w:sz="0" w:space="0" w:color="auto"/>
                <w:right w:val="none" w:sz="0" w:space="0" w:color="auto"/>
              </w:divBdr>
              <w:divsChild>
                <w:div w:id="198251148">
                  <w:marLeft w:val="0"/>
                  <w:marRight w:val="0"/>
                  <w:marTop w:val="0"/>
                  <w:marBottom w:val="0"/>
                  <w:divBdr>
                    <w:top w:val="none" w:sz="0" w:space="0" w:color="auto"/>
                    <w:left w:val="none" w:sz="0" w:space="0" w:color="auto"/>
                    <w:bottom w:val="none" w:sz="0" w:space="0" w:color="auto"/>
                    <w:right w:val="none" w:sz="0" w:space="0" w:color="auto"/>
                  </w:divBdr>
                  <w:divsChild>
                    <w:div w:id="557665309">
                      <w:marLeft w:val="0"/>
                      <w:marRight w:val="0"/>
                      <w:marTop w:val="0"/>
                      <w:marBottom w:val="0"/>
                      <w:divBdr>
                        <w:top w:val="none" w:sz="0" w:space="0" w:color="auto"/>
                        <w:left w:val="none" w:sz="0" w:space="0" w:color="auto"/>
                        <w:bottom w:val="none" w:sz="0" w:space="0" w:color="auto"/>
                        <w:right w:val="none" w:sz="0" w:space="0" w:color="auto"/>
                      </w:divBdr>
                      <w:divsChild>
                        <w:div w:id="773285332">
                          <w:marLeft w:val="0"/>
                          <w:marRight w:val="0"/>
                          <w:marTop w:val="0"/>
                          <w:marBottom w:val="0"/>
                          <w:divBdr>
                            <w:top w:val="none" w:sz="0" w:space="0" w:color="auto"/>
                            <w:left w:val="none" w:sz="0" w:space="0" w:color="auto"/>
                            <w:bottom w:val="none" w:sz="0" w:space="0" w:color="auto"/>
                            <w:right w:val="none" w:sz="0" w:space="0" w:color="auto"/>
                          </w:divBdr>
                          <w:divsChild>
                            <w:div w:id="1035692711">
                              <w:marLeft w:val="0"/>
                              <w:marRight w:val="100"/>
                              <w:marTop w:val="0"/>
                              <w:marBottom w:val="0"/>
                              <w:divBdr>
                                <w:top w:val="none" w:sz="0" w:space="0" w:color="auto"/>
                                <w:left w:val="none" w:sz="0" w:space="0" w:color="auto"/>
                                <w:bottom w:val="none" w:sz="0" w:space="0" w:color="auto"/>
                                <w:right w:val="none" w:sz="0" w:space="0" w:color="auto"/>
                              </w:divBdr>
                              <w:divsChild>
                                <w:div w:id="1255433218">
                                  <w:marLeft w:val="0"/>
                                  <w:marRight w:val="0"/>
                                  <w:marTop w:val="0"/>
                                  <w:marBottom w:val="0"/>
                                  <w:divBdr>
                                    <w:top w:val="none" w:sz="0" w:space="0" w:color="auto"/>
                                    <w:left w:val="none" w:sz="0" w:space="0" w:color="auto"/>
                                    <w:bottom w:val="none" w:sz="0" w:space="0" w:color="auto"/>
                                    <w:right w:val="none" w:sz="0" w:space="0" w:color="auto"/>
                                  </w:divBdr>
                                  <w:divsChild>
                                    <w:div w:id="1612400583">
                                      <w:marLeft w:val="0"/>
                                      <w:marRight w:val="0"/>
                                      <w:marTop w:val="0"/>
                                      <w:marBottom w:val="0"/>
                                      <w:divBdr>
                                        <w:top w:val="none" w:sz="0" w:space="0" w:color="auto"/>
                                        <w:left w:val="none" w:sz="0" w:space="0" w:color="auto"/>
                                        <w:bottom w:val="none" w:sz="0" w:space="0" w:color="auto"/>
                                        <w:right w:val="none" w:sz="0" w:space="0" w:color="auto"/>
                                      </w:divBdr>
                                      <w:divsChild>
                                        <w:div w:id="2107113891">
                                          <w:marLeft w:val="180"/>
                                          <w:marRight w:val="180"/>
                                          <w:marTop w:val="180"/>
                                          <w:marBottom w:val="180"/>
                                          <w:divBdr>
                                            <w:top w:val="none" w:sz="0" w:space="0" w:color="auto"/>
                                            <w:left w:val="none" w:sz="0" w:space="0" w:color="auto"/>
                                            <w:bottom w:val="none" w:sz="0" w:space="0" w:color="auto"/>
                                            <w:right w:val="none" w:sz="0" w:space="0" w:color="auto"/>
                                          </w:divBdr>
                                          <w:divsChild>
                                            <w:div w:id="1176110884">
                                              <w:marLeft w:val="0"/>
                                              <w:marRight w:val="0"/>
                                              <w:marTop w:val="0"/>
                                              <w:marBottom w:val="0"/>
                                              <w:divBdr>
                                                <w:top w:val="none" w:sz="0" w:space="0" w:color="auto"/>
                                                <w:left w:val="none" w:sz="0" w:space="0" w:color="auto"/>
                                                <w:bottom w:val="none" w:sz="0" w:space="0" w:color="auto"/>
                                                <w:right w:val="none" w:sz="0" w:space="0" w:color="auto"/>
                                              </w:divBdr>
                                              <w:divsChild>
                                                <w:div w:id="685250447">
                                                  <w:marLeft w:val="0"/>
                                                  <w:marRight w:val="0"/>
                                                  <w:marTop w:val="0"/>
                                                  <w:marBottom w:val="0"/>
                                                  <w:divBdr>
                                                    <w:top w:val="none" w:sz="0" w:space="0" w:color="auto"/>
                                                    <w:left w:val="none" w:sz="0" w:space="0" w:color="auto"/>
                                                    <w:bottom w:val="dashed" w:sz="6" w:space="9" w:color="ABABA7"/>
                                                    <w:right w:val="none" w:sz="0" w:space="0" w:color="auto"/>
                                                  </w:divBdr>
                                                  <w:divsChild>
                                                    <w:div w:id="4715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0088111">
      <w:bodyDiv w:val="1"/>
      <w:marLeft w:val="0"/>
      <w:marRight w:val="0"/>
      <w:marTop w:val="0"/>
      <w:marBottom w:val="0"/>
      <w:divBdr>
        <w:top w:val="none" w:sz="0" w:space="0" w:color="auto"/>
        <w:left w:val="none" w:sz="0" w:space="0" w:color="auto"/>
        <w:bottom w:val="none" w:sz="0" w:space="0" w:color="auto"/>
        <w:right w:val="none" w:sz="0" w:space="0" w:color="auto"/>
      </w:divBdr>
    </w:div>
    <w:div w:id="713621842">
      <w:bodyDiv w:val="1"/>
      <w:marLeft w:val="0"/>
      <w:marRight w:val="0"/>
      <w:marTop w:val="0"/>
      <w:marBottom w:val="0"/>
      <w:divBdr>
        <w:top w:val="none" w:sz="0" w:space="0" w:color="auto"/>
        <w:left w:val="none" w:sz="0" w:space="0" w:color="auto"/>
        <w:bottom w:val="none" w:sz="0" w:space="0" w:color="auto"/>
        <w:right w:val="none" w:sz="0" w:space="0" w:color="auto"/>
      </w:divBdr>
    </w:div>
    <w:div w:id="764502554">
      <w:bodyDiv w:val="1"/>
      <w:marLeft w:val="0"/>
      <w:marRight w:val="0"/>
      <w:marTop w:val="0"/>
      <w:marBottom w:val="0"/>
      <w:divBdr>
        <w:top w:val="none" w:sz="0" w:space="0" w:color="auto"/>
        <w:left w:val="none" w:sz="0" w:space="0" w:color="auto"/>
        <w:bottom w:val="none" w:sz="0" w:space="0" w:color="auto"/>
        <w:right w:val="none" w:sz="0" w:space="0" w:color="auto"/>
      </w:divBdr>
      <w:divsChild>
        <w:div w:id="1492482138">
          <w:marLeft w:val="0"/>
          <w:marRight w:val="0"/>
          <w:marTop w:val="2"/>
          <w:marBottom w:val="2"/>
          <w:divBdr>
            <w:top w:val="single" w:sz="2" w:space="0" w:color="FFFFFF"/>
            <w:left w:val="single" w:sz="2" w:space="0" w:color="FFFFFF"/>
            <w:bottom w:val="single" w:sz="2" w:space="0" w:color="FFFFFF"/>
            <w:right w:val="single" w:sz="2" w:space="0" w:color="FFFFFF"/>
          </w:divBdr>
          <w:divsChild>
            <w:div w:id="697315844">
              <w:marLeft w:val="0"/>
              <w:marRight w:val="0"/>
              <w:marTop w:val="0"/>
              <w:marBottom w:val="0"/>
              <w:divBdr>
                <w:top w:val="none" w:sz="0" w:space="0" w:color="auto"/>
                <w:left w:val="none" w:sz="0" w:space="0" w:color="auto"/>
                <w:bottom w:val="none" w:sz="0" w:space="0" w:color="auto"/>
                <w:right w:val="none" w:sz="0" w:space="0" w:color="auto"/>
              </w:divBdr>
              <w:divsChild>
                <w:div w:id="1921140021">
                  <w:marLeft w:val="0"/>
                  <w:marRight w:val="0"/>
                  <w:marTop w:val="0"/>
                  <w:marBottom w:val="0"/>
                  <w:divBdr>
                    <w:top w:val="none" w:sz="0" w:space="0" w:color="auto"/>
                    <w:left w:val="none" w:sz="0" w:space="0" w:color="auto"/>
                    <w:bottom w:val="none" w:sz="0" w:space="0" w:color="auto"/>
                    <w:right w:val="none" w:sz="0" w:space="0" w:color="auto"/>
                  </w:divBdr>
                  <w:divsChild>
                    <w:div w:id="2082557990">
                      <w:marLeft w:val="0"/>
                      <w:marRight w:val="0"/>
                      <w:marTop w:val="225"/>
                      <w:marBottom w:val="0"/>
                      <w:divBdr>
                        <w:top w:val="none" w:sz="0" w:space="0" w:color="auto"/>
                        <w:left w:val="none" w:sz="0" w:space="0" w:color="auto"/>
                        <w:bottom w:val="none" w:sz="0" w:space="0" w:color="auto"/>
                        <w:right w:val="none" w:sz="0" w:space="0" w:color="auto"/>
                      </w:divBdr>
                      <w:divsChild>
                        <w:div w:id="717053715">
                          <w:marLeft w:val="-6600"/>
                          <w:marRight w:val="0"/>
                          <w:marTop w:val="225"/>
                          <w:marBottom w:val="0"/>
                          <w:divBdr>
                            <w:top w:val="none" w:sz="0" w:space="0" w:color="auto"/>
                            <w:left w:val="none" w:sz="0" w:space="0" w:color="auto"/>
                            <w:bottom w:val="none" w:sz="0" w:space="0" w:color="auto"/>
                            <w:right w:val="none" w:sz="0" w:space="0" w:color="auto"/>
                          </w:divBdr>
                          <w:divsChild>
                            <w:div w:id="370767524">
                              <w:marLeft w:val="0"/>
                              <w:marRight w:val="0"/>
                              <w:marTop w:val="0"/>
                              <w:marBottom w:val="0"/>
                              <w:divBdr>
                                <w:top w:val="none" w:sz="0" w:space="0" w:color="auto"/>
                                <w:left w:val="none" w:sz="0" w:space="0" w:color="auto"/>
                                <w:bottom w:val="none" w:sz="0" w:space="0" w:color="auto"/>
                                <w:right w:val="none" w:sz="0" w:space="0" w:color="auto"/>
                              </w:divBdr>
                              <w:divsChild>
                                <w:div w:id="42801318">
                                  <w:marLeft w:val="6750"/>
                                  <w:marRight w:val="150"/>
                                  <w:marTop w:val="0"/>
                                  <w:marBottom w:val="0"/>
                                  <w:divBdr>
                                    <w:top w:val="none" w:sz="0" w:space="0" w:color="auto"/>
                                    <w:left w:val="none" w:sz="0" w:space="0" w:color="auto"/>
                                    <w:bottom w:val="none" w:sz="0" w:space="0" w:color="auto"/>
                                    <w:right w:val="none" w:sz="0" w:space="0" w:color="auto"/>
                                  </w:divBdr>
                                  <w:divsChild>
                                    <w:div w:id="210193086">
                                      <w:marLeft w:val="0"/>
                                      <w:marRight w:val="0"/>
                                      <w:marTop w:val="0"/>
                                      <w:marBottom w:val="0"/>
                                      <w:divBdr>
                                        <w:top w:val="none" w:sz="0" w:space="0" w:color="auto"/>
                                        <w:left w:val="none" w:sz="0" w:space="0" w:color="auto"/>
                                        <w:bottom w:val="none" w:sz="0" w:space="0" w:color="auto"/>
                                        <w:right w:val="none" w:sz="0" w:space="0" w:color="auto"/>
                                      </w:divBdr>
                                      <w:divsChild>
                                        <w:div w:id="466358560">
                                          <w:marLeft w:val="0"/>
                                          <w:marRight w:val="0"/>
                                          <w:marTop w:val="0"/>
                                          <w:marBottom w:val="0"/>
                                          <w:divBdr>
                                            <w:top w:val="none" w:sz="0" w:space="0" w:color="auto"/>
                                            <w:left w:val="none" w:sz="0" w:space="0" w:color="auto"/>
                                            <w:bottom w:val="none" w:sz="0" w:space="0" w:color="auto"/>
                                            <w:right w:val="none" w:sz="0" w:space="0" w:color="auto"/>
                                          </w:divBdr>
                                          <w:divsChild>
                                            <w:div w:id="1842308621">
                                              <w:marLeft w:val="0"/>
                                              <w:marRight w:val="0"/>
                                              <w:marTop w:val="0"/>
                                              <w:marBottom w:val="0"/>
                                              <w:divBdr>
                                                <w:top w:val="none" w:sz="0" w:space="0" w:color="auto"/>
                                                <w:left w:val="none" w:sz="0" w:space="0" w:color="auto"/>
                                                <w:bottom w:val="none" w:sz="0" w:space="0" w:color="auto"/>
                                                <w:right w:val="none" w:sz="0" w:space="0" w:color="auto"/>
                                              </w:divBdr>
                                              <w:divsChild>
                                                <w:div w:id="1898736203">
                                                  <w:marLeft w:val="0"/>
                                                  <w:marRight w:val="0"/>
                                                  <w:marTop w:val="0"/>
                                                  <w:marBottom w:val="0"/>
                                                  <w:divBdr>
                                                    <w:top w:val="none" w:sz="0" w:space="0" w:color="auto"/>
                                                    <w:left w:val="none" w:sz="0" w:space="0" w:color="auto"/>
                                                    <w:bottom w:val="none" w:sz="0" w:space="0" w:color="auto"/>
                                                    <w:right w:val="none" w:sz="0" w:space="0" w:color="auto"/>
                                                  </w:divBdr>
                                                  <w:divsChild>
                                                    <w:div w:id="8873569">
                                                      <w:marLeft w:val="0"/>
                                                      <w:marRight w:val="0"/>
                                                      <w:marTop w:val="0"/>
                                                      <w:marBottom w:val="0"/>
                                                      <w:divBdr>
                                                        <w:top w:val="none" w:sz="0" w:space="0" w:color="auto"/>
                                                        <w:left w:val="none" w:sz="0" w:space="0" w:color="auto"/>
                                                        <w:bottom w:val="none" w:sz="0" w:space="0" w:color="auto"/>
                                                        <w:right w:val="none" w:sz="0" w:space="0" w:color="auto"/>
                                                      </w:divBdr>
                                                    </w:div>
                                                    <w:div w:id="64577030">
                                                      <w:marLeft w:val="0"/>
                                                      <w:marRight w:val="0"/>
                                                      <w:marTop w:val="0"/>
                                                      <w:marBottom w:val="0"/>
                                                      <w:divBdr>
                                                        <w:top w:val="none" w:sz="0" w:space="0" w:color="auto"/>
                                                        <w:left w:val="none" w:sz="0" w:space="0" w:color="auto"/>
                                                        <w:bottom w:val="none" w:sz="0" w:space="0" w:color="auto"/>
                                                        <w:right w:val="none" w:sz="0" w:space="0" w:color="auto"/>
                                                      </w:divBdr>
                                                    </w:div>
                                                    <w:div w:id="125973167">
                                                      <w:marLeft w:val="0"/>
                                                      <w:marRight w:val="0"/>
                                                      <w:marTop w:val="0"/>
                                                      <w:marBottom w:val="0"/>
                                                      <w:divBdr>
                                                        <w:top w:val="none" w:sz="0" w:space="0" w:color="auto"/>
                                                        <w:left w:val="none" w:sz="0" w:space="0" w:color="auto"/>
                                                        <w:bottom w:val="none" w:sz="0" w:space="0" w:color="auto"/>
                                                        <w:right w:val="none" w:sz="0" w:space="0" w:color="auto"/>
                                                      </w:divBdr>
                                                    </w:div>
                                                    <w:div w:id="631374638">
                                                      <w:marLeft w:val="0"/>
                                                      <w:marRight w:val="0"/>
                                                      <w:marTop w:val="0"/>
                                                      <w:marBottom w:val="0"/>
                                                      <w:divBdr>
                                                        <w:top w:val="none" w:sz="0" w:space="0" w:color="auto"/>
                                                        <w:left w:val="none" w:sz="0" w:space="0" w:color="auto"/>
                                                        <w:bottom w:val="none" w:sz="0" w:space="0" w:color="auto"/>
                                                        <w:right w:val="none" w:sz="0" w:space="0" w:color="auto"/>
                                                      </w:divBdr>
                                                    </w:div>
                                                    <w:div w:id="962541181">
                                                      <w:marLeft w:val="0"/>
                                                      <w:marRight w:val="0"/>
                                                      <w:marTop w:val="0"/>
                                                      <w:marBottom w:val="0"/>
                                                      <w:divBdr>
                                                        <w:top w:val="none" w:sz="0" w:space="0" w:color="auto"/>
                                                        <w:left w:val="none" w:sz="0" w:space="0" w:color="auto"/>
                                                        <w:bottom w:val="none" w:sz="0" w:space="0" w:color="auto"/>
                                                        <w:right w:val="none" w:sz="0" w:space="0" w:color="auto"/>
                                                      </w:divBdr>
                                                    </w:div>
                                                    <w:div w:id="1000961552">
                                                      <w:marLeft w:val="0"/>
                                                      <w:marRight w:val="0"/>
                                                      <w:marTop w:val="0"/>
                                                      <w:marBottom w:val="0"/>
                                                      <w:divBdr>
                                                        <w:top w:val="none" w:sz="0" w:space="0" w:color="auto"/>
                                                        <w:left w:val="none" w:sz="0" w:space="0" w:color="auto"/>
                                                        <w:bottom w:val="none" w:sz="0" w:space="0" w:color="auto"/>
                                                        <w:right w:val="none" w:sz="0" w:space="0" w:color="auto"/>
                                                      </w:divBdr>
                                                    </w:div>
                                                    <w:div w:id="1094857422">
                                                      <w:marLeft w:val="0"/>
                                                      <w:marRight w:val="0"/>
                                                      <w:marTop w:val="0"/>
                                                      <w:marBottom w:val="0"/>
                                                      <w:divBdr>
                                                        <w:top w:val="none" w:sz="0" w:space="0" w:color="auto"/>
                                                        <w:left w:val="none" w:sz="0" w:space="0" w:color="auto"/>
                                                        <w:bottom w:val="none" w:sz="0" w:space="0" w:color="auto"/>
                                                        <w:right w:val="none" w:sz="0" w:space="0" w:color="auto"/>
                                                      </w:divBdr>
                                                    </w:div>
                                                    <w:div w:id="1415126043">
                                                      <w:marLeft w:val="0"/>
                                                      <w:marRight w:val="0"/>
                                                      <w:marTop w:val="0"/>
                                                      <w:marBottom w:val="0"/>
                                                      <w:divBdr>
                                                        <w:top w:val="none" w:sz="0" w:space="0" w:color="auto"/>
                                                        <w:left w:val="none" w:sz="0" w:space="0" w:color="auto"/>
                                                        <w:bottom w:val="none" w:sz="0" w:space="0" w:color="auto"/>
                                                        <w:right w:val="none" w:sz="0" w:space="0" w:color="auto"/>
                                                      </w:divBdr>
                                                    </w:div>
                                                    <w:div w:id="1625036209">
                                                      <w:marLeft w:val="0"/>
                                                      <w:marRight w:val="0"/>
                                                      <w:marTop w:val="0"/>
                                                      <w:marBottom w:val="0"/>
                                                      <w:divBdr>
                                                        <w:top w:val="none" w:sz="0" w:space="0" w:color="auto"/>
                                                        <w:left w:val="none" w:sz="0" w:space="0" w:color="auto"/>
                                                        <w:bottom w:val="none" w:sz="0" w:space="0" w:color="auto"/>
                                                        <w:right w:val="none" w:sz="0" w:space="0" w:color="auto"/>
                                                      </w:divBdr>
                                                    </w:div>
                                                    <w:div w:id="1679885234">
                                                      <w:marLeft w:val="0"/>
                                                      <w:marRight w:val="0"/>
                                                      <w:marTop w:val="0"/>
                                                      <w:marBottom w:val="0"/>
                                                      <w:divBdr>
                                                        <w:top w:val="none" w:sz="0" w:space="0" w:color="auto"/>
                                                        <w:left w:val="none" w:sz="0" w:space="0" w:color="auto"/>
                                                        <w:bottom w:val="none" w:sz="0" w:space="0" w:color="auto"/>
                                                        <w:right w:val="none" w:sz="0" w:space="0" w:color="auto"/>
                                                      </w:divBdr>
                                                    </w:div>
                                                    <w:div w:id="1767458732">
                                                      <w:marLeft w:val="0"/>
                                                      <w:marRight w:val="0"/>
                                                      <w:marTop w:val="0"/>
                                                      <w:marBottom w:val="0"/>
                                                      <w:divBdr>
                                                        <w:top w:val="none" w:sz="0" w:space="0" w:color="auto"/>
                                                        <w:left w:val="none" w:sz="0" w:space="0" w:color="auto"/>
                                                        <w:bottom w:val="none" w:sz="0" w:space="0" w:color="auto"/>
                                                        <w:right w:val="none" w:sz="0" w:space="0" w:color="auto"/>
                                                      </w:divBdr>
                                                    </w:div>
                                                    <w:div w:id="20765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86046401">
      <w:bodyDiv w:val="1"/>
      <w:marLeft w:val="0"/>
      <w:marRight w:val="0"/>
      <w:marTop w:val="0"/>
      <w:marBottom w:val="0"/>
      <w:divBdr>
        <w:top w:val="none" w:sz="0" w:space="0" w:color="auto"/>
        <w:left w:val="none" w:sz="0" w:space="0" w:color="auto"/>
        <w:bottom w:val="none" w:sz="0" w:space="0" w:color="auto"/>
        <w:right w:val="none" w:sz="0" w:space="0" w:color="auto"/>
      </w:divBdr>
    </w:div>
    <w:div w:id="859469030">
      <w:bodyDiv w:val="1"/>
      <w:marLeft w:val="0"/>
      <w:marRight w:val="0"/>
      <w:marTop w:val="0"/>
      <w:marBottom w:val="0"/>
      <w:divBdr>
        <w:top w:val="none" w:sz="0" w:space="0" w:color="auto"/>
        <w:left w:val="none" w:sz="0" w:space="0" w:color="auto"/>
        <w:bottom w:val="none" w:sz="0" w:space="0" w:color="auto"/>
        <w:right w:val="none" w:sz="0" w:space="0" w:color="auto"/>
      </w:divBdr>
    </w:div>
    <w:div w:id="870993411">
      <w:bodyDiv w:val="1"/>
      <w:marLeft w:val="0"/>
      <w:marRight w:val="0"/>
      <w:marTop w:val="0"/>
      <w:marBottom w:val="0"/>
      <w:divBdr>
        <w:top w:val="none" w:sz="0" w:space="0" w:color="auto"/>
        <w:left w:val="none" w:sz="0" w:space="0" w:color="auto"/>
        <w:bottom w:val="none" w:sz="0" w:space="0" w:color="auto"/>
        <w:right w:val="none" w:sz="0" w:space="0" w:color="auto"/>
      </w:divBdr>
    </w:div>
    <w:div w:id="959454130">
      <w:bodyDiv w:val="1"/>
      <w:marLeft w:val="0"/>
      <w:marRight w:val="0"/>
      <w:marTop w:val="0"/>
      <w:marBottom w:val="0"/>
      <w:divBdr>
        <w:top w:val="none" w:sz="0" w:space="0" w:color="auto"/>
        <w:left w:val="none" w:sz="0" w:space="0" w:color="auto"/>
        <w:bottom w:val="none" w:sz="0" w:space="0" w:color="auto"/>
        <w:right w:val="none" w:sz="0" w:space="0" w:color="auto"/>
      </w:divBdr>
    </w:div>
    <w:div w:id="1050378073">
      <w:bodyDiv w:val="1"/>
      <w:marLeft w:val="0"/>
      <w:marRight w:val="0"/>
      <w:marTop w:val="0"/>
      <w:marBottom w:val="0"/>
      <w:divBdr>
        <w:top w:val="none" w:sz="0" w:space="0" w:color="auto"/>
        <w:left w:val="none" w:sz="0" w:space="0" w:color="auto"/>
        <w:bottom w:val="none" w:sz="0" w:space="0" w:color="auto"/>
        <w:right w:val="none" w:sz="0" w:space="0" w:color="auto"/>
      </w:divBdr>
    </w:div>
    <w:div w:id="1076248624">
      <w:bodyDiv w:val="1"/>
      <w:marLeft w:val="0"/>
      <w:marRight w:val="0"/>
      <w:marTop w:val="0"/>
      <w:marBottom w:val="0"/>
      <w:divBdr>
        <w:top w:val="none" w:sz="0" w:space="0" w:color="auto"/>
        <w:left w:val="none" w:sz="0" w:space="0" w:color="auto"/>
        <w:bottom w:val="none" w:sz="0" w:space="0" w:color="auto"/>
        <w:right w:val="none" w:sz="0" w:space="0" w:color="auto"/>
      </w:divBdr>
      <w:divsChild>
        <w:div w:id="1866210301">
          <w:marLeft w:val="0"/>
          <w:marRight w:val="0"/>
          <w:marTop w:val="0"/>
          <w:marBottom w:val="0"/>
          <w:divBdr>
            <w:top w:val="none" w:sz="0" w:space="0" w:color="auto"/>
            <w:left w:val="none" w:sz="0" w:space="0" w:color="auto"/>
            <w:bottom w:val="none" w:sz="0" w:space="0" w:color="auto"/>
            <w:right w:val="none" w:sz="0" w:space="0" w:color="auto"/>
          </w:divBdr>
          <w:divsChild>
            <w:div w:id="1203053296">
              <w:marLeft w:val="0"/>
              <w:marRight w:val="0"/>
              <w:marTop w:val="0"/>
              <w:marBottom w:val="0"/>
              <w:divBdr>
                <w:top w:val="none" w:sz="0" w:space="0" w:color="auto"/>
                <w:left w:val="none" w:sz="0" w:space="0" w:color="auto"/>
                <w:bottom w:val="none" w:sz="0" w:space="0" w:color="auto"/>
                <w:right w:val="none" w:sz="0" w:space="0" w:color="auto"/>
              </w:divBdr>
              <w:divsChild>
                <w:div w:id="12244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947140">
      <w:bodyDiv w:val="1"/>
      <w:marLeft w:val="0"/>
      <w:marRight w:val="0"/>
      <w:marTop w:val="0"/>
      <w:marBottom w:val="0"/>
      <w:divBdr>
        <w:top w:val="none" w:sz="0" w:space="0" w:color="auto"/>
        <w:left w:val="none" w:sz="0" w:space="0" w:color="auto"/>
        <w:bottom w:val="none" w:sz="0" w:space="0" w:color="auto"/>
        <w:right w:val="none" w:sz="0" w:space="0" w:color="auto"/>
      </w:divBdr>
    </w:div>
    <w:div w:id="1198546345">
      <w:bodyDiv w:val="1"/>
      <w:marLeft w:val="0"/>
      <w:marRight w:val="0"/>
      <w:marTop w:val="0"/>
      <w:marBottom w:val="0"/>
      <w:divBdr>
        <w:top w:val="none" w:sz="0" w:space="0" w:color="auto"/>
        <w:left w:val="none" w:sz="0" w:space="0" w:color="auto"/>
        <w:bottom w:val="none" w:sz="0" w:space="0" w:color="auto"/>
        <w:right w:val="none" w:sz="0" w:space="0" w:color="auto"/>
      </w:divBdr>
    </w:div>
    <w:div w:id="1225458004">
      <w:bodyDiv w:val="1"/>
      <w:marLeft w:val="0"/>
      <w:marRight w:val="0"/>
      <w:marTop w:val="0"/>
      <w:marBottom w:val="0"/>
      <w:divBdr>
        <w:top w:val="none" w:sz="0" w:space="0" w:color="auto"/>
        <w:left w:val="none" w:sz="0" w:space="0" w:color="auto"/>
        <w:bottom w:val="none" w:sz="0" w:space="0" w:color="auto"/>
        <w:right w:val="none" w:sz="0" w:space="0" w:color="auto"/>
      </w:divBdr>
    </w:div>
    <w:div w:id="1244484996">
      <w:bodyDiv w:val="1"/>
      <w:marLeft w:val="0"/>
      <w:marRight w:val="0"/>
      <w:marTop w:val="0"/>
      <w:marBottom w:val="0"/>
      <w:divBdr>
        <w:top w:val="none" w:sz="0" w:space="0" w:color="auto"/>
        <w:left w:val="none" w:sz="0" w:space="0" w:color="auto"/>
        <w:bottom w:val="none" w:sz="0" w:space="0" w:color="auto"/>
        <w:right w:val="none" w:sz="0" w:space="0" w:color="auto"/>
      </w:divBdr>
    </w:div>
    <w:div w:id="1282690048">
      <w:bodyDiv w:val="1"/>
      <w:marLeft w:val="0"/>
      <w:marRight w:val="0"/>
      <w:marTop w:val="0"/>
      <w:marBottom w:val="0"/>
      <w:divBdr>
        <w:top w:val="none" w:sz="0" w:space="0" w:color="auto"/>
        <w:left w:val="none" w:sz="0" w:space="0" w:color="auto"/>
        <w:bottom w:val="none" w:sz="0" w:space="0" w:color="auto"/>
        <w:right w:val="none" w:sz="0" w:space="0" w:color="auto"/>
      </w:divBdr>
    </w:div>
    <w:div w:id="1305745039">
      <w:bodyDiv w:val="1"/>
      <w:marLeft w:val="0"/>
      <w:marRight w:val="0"/>
      <w:marTop w:val="0"/>
      <w:marBottom w:val="0"/>
      <w:divBdr>
        <w:top w:val="none" w:sz="0" w:space="0" w:color="auto"/>
        <w:left w:val="none" w:sz="0" w:space="0" w:color="auto"/>
        <w:bottom w:val="none" w:sz="0" w:space="0" w:color="auto"/>
        <w:right w:val="none" w:sz="0" w:space="0" w:color="auto"/>
      </w:divBdr>
    </w:div>
    <w:div w:id="1370765635">
      <w:bodyDiv w:val="1"/>
      <w:marLeft w:val="0"/>
      <w:marRight w:val="0"/>
      <w:marTop w:val="0"/>
      <w:marBottom w:val="0"/>
      <w:divBdr>
        <w:top w:val="none" w:sz="0" w:space="0" w:color="auto"/>
        <w:left w:val="none" w:sz="0" w:space="0" w:color="auto"/>
        <w:bottom w:val="none" w:sz="0" w:space="0" w:color="auto"/>
        <w:right w:val="none" w:sz="0" w:space="0" w:color="auto"/>
      </w:divBdr>
    </w:div>
    <w:div w:id="1376004573">
      <w:bodyDiv w:val="1"/>
      <w:marLeft w:val="0"/>
      <w:marRight w:val="0"/>
      <w:marTop w:val="0"/>
      <w:marBottom w:val="0"/>
      <w:divBdr>
        <w:top w:val="none" w:sz="0" w:space="0" w:color="auto"/>
        <w:left w:val="none" w:sz="0" w:space="0" w:color="auto"/>
        <w:bottom w:val="none" w:sz="0" w:space="0" w:color="auto"/>
        <w:right w:val="none" w:sz="0" w:space="0" w:color="auto"/>
      </w:divBdr>
      <w:divsChild>
        <w:div w:id="2036080728">
          <w:marLeft w:val="0"/>
          <w:marRight w:val="0"/>
          <w:marTop w:val="0"/>
          <w:marBottom w:val="0"/>
          <w:divBdr>
            <w:top w:val="none" w:sz="0" w:space="0" w:color="auto"/>
            <w:left w:val="none" w:sz="0" w:space="0" w:color="auto"/>
            <w:bottom w:val="none" w:sz="0" w:space="0" w:color="auto"/>
            <w:right w:val="none" w:sz="0" w:space="0" w:color="auto"/>
          </w:divBdr>
          <w:divsChild>
            <w:div w:id="1461537060">
              <w:marLeft w:val="0"/>
              <w:marRight w:val="0"/>
              <w:marTop w:val="0"/>
              <w:marBottom w:val="0"/>
              <w:divBdr>
                <w:top w:val="none" w:sz="0" w:space="0" w:color="auto"/>
                <w:left w:val="none" w:sz="0" w:space="0" w:color="auto"/>
                <w:bottom w:val="none" w:sz="0" w:space="0" w:color="auto"/>
                <w:right w:val="none" w:sz="0" w:space="0" w:color="auto"/>
              </w:divBdr>
              <w:divsChild>
                <w:div w:id="558833041">
                  <w:marLeft w:val="0"/>
                  <w:marRight w:val="0"/>
                  <w:marTop w:val="0"/>
                  <w:marBottom w:val="0"/>
                  <w:divBdr>
                    <w:top w:val="none" w:sz="0" w:space="0" w:color="auto"/>
                    <w:left w:val="none" w:sz="0" w:space="0" w:color="auto"/>
                    <w:bottom w:val="none" w:sz="0" w:space="0" w:color="auto"/>
                    <w:right w:val="none" w:sz="0" w:space="0" w:color="auto"/>
                  </w:divBdr>
                  <w:divsChild>
                    <w:div w:id="102066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952">
      <w:bodyDiv w:val="1"/>
      <w:marLeft w:val="0"/>
      <w:marRight w:val="0"/>
      <w:marTop w:val="0"/>
      <w:marBottom w:val="0"/>
      <w:divBdr>
        <w:top w:val="none" w:sz="0" w:space="0" w:color="auto"/>
        <w:left w:val="none" w:sz="0" w:space="0" w:color="auto"/>
        <w:bottom w:val="none" w:sz="0" w:space="0" w:color="auto"/>
        <w:right w:val="none" w:sz="0" w:space="0" w:color="auto"/>
      </w:divBdr>
      <w:divsChild>
        <w:div w:id="1788621102">
          <w:marLeft w:val="0"/>
          <w:marRight w:val="0"/>
          <w:marTop w:val="100"/>
          <w:marBottom w:val="100"/>
          <w:divBdr>
            <w:top w:val="none" w:sz="0" w:space="0" w:color="auto"/>
            <w:left w:val="none" w:sz="0" w:space="0" w:color="auto"/>
            <w:bottom w:val="none" w:sz="0" w:space="0" w:color="auto"/>
            <w:right w:val="none" w:sz="0" w:space="0" w:color="auto"/>
          </w:divBdr>
          <w:divsChild>
            <w:div w:id="643386506">
              <w:marLeft w:val="4575"/>
              <w:marRight w:val="0"/>
              <w:marTop w:val="0"/>
              <w:marBottom w:val="0"/>
              <w:divBdr>
                <w:top w:val="none" w:sz="0" w:space="0" w:color="auto"/>
                <w:left w:val="none" w:sz="0" w:space="0" w:color="auto"/>
                <w:bottom w:val="none" w:sz="0" w:space="0" w:color="auto"/>
                <w:right w:val="none" w:sz="0" w:space="0" w:color="auto"/>
              </w:divBdr>
            </w:div>
          </w:divsChild>
        </w:div>
      </w:divsChild>
    </w:div>
    <w:div w:id="1393432648">
      <w:bodyDiv w:val="1"/>
      <w:marLeft w:val="0"/>
      <w:marRight w:val="0"/>
      <w:marTop w:val="0"/>
      <w:marBottom w:val="0"/>
      <w:divBdr>
        <w:top w:val="none" w:sz="0" w:space="0" w:color="auto"/>
        <w:left w:val="none" w:sz="0" w:space="0" w:color="auto"/>
        <w:bottom w:val="none" w:sz="0" w:space="0" w:color="auto"/>
        <w:right w:val="none" w:sz="0" w:space="0" w:color="auto"/>
      </w:divBdr>
    </w:div>
    <w:div w:id="1409419421">
      <w:bodyDiv w:val="1"/>
      <w:marLeft w:val="0"/>
      <w:marRight w:val="0"/>
      <w:marTop w:val="0"/>
      <w:marBottom w:val="0"/>
      <w:divBdr>
        <w:top w:val="none" w:sz="0" w:space="0" w:color="auto"/>
        <w:left w:val="none" w:sz="0" w:space="0" w:color="auto"/>
        <w:bottom w:val="none" w:sz="0" w:space="0" w:color="auto"/>
        <w:right w:val="none" w:sz="0" w:space="0" w:color="auto"/>
      </w:divBdr>
    </w:div>
    <w:div w:id="1413546924">
      <w:bodyDiv w:val="1"/>
      <w:marLeft w:val="0"/>
      <w:marRight w:val="0"/>
      <w:marTop w:val="0"/>
      <w:marBottom w:val="0"/>
      <w:divBdr>
        <w:top w:val="none" w:sz="0" w:space="0" w:color="auto"/>
        <w:left w:val="none" w:sz="0" w:space="0" w:color="auto"/>
        <w:bottom w:val="none" w:sz="0" w:space="0" w:color="auto"/>
        <w:right w:val="none" w:sz="0" w:space="0" w:color="auto"/>
      </w:divBdr>
      <w:divsChild>
        <w:div w:id="1690451517">
          <w:marLeft w:val="0"/>
          <w:marRight w:val="0"/>
          <w:marTop w:val="0"/>
          <w:marBottom w:val="0"/>
          <w:divBdr>
            <w:top w:val="none" w:sz="0" w:space="0" w:color="auto"/>
            <w:left w:val="none" w:sz="0" w:space="0" w:color="auto"/>
            <w:bottom w:val="none" w:sz="0" w:space="0" w:color="auto"/>
            <w:right w:val="none" w:sz="0" w:space="0" w:color="auto"/>
          </w:divBdr>
          <w:divsChild>
            <w:div w:id="421337072">
              <w:marLeft w:val="0"/>
              <w:marRight w:val="0"/>
              <w:marTop w:val="0"/>
              <w:marBottom w:val="0"/>
              <w:divBdr>
                <w:top w:val="none" w:sz="0" w:space="0" w:color="auto"/>
                <w:left w:val="none" w:sz="0" w:space="0" w:color="auto"/>
                <w:bottom w:val="none" w:sz="0" w:space="0" w:color="auto"/>
                <w:right w:val="none" w:sz="0" w:space="0" w:color="auto"/>
              </w:divBdr>
              <w:divsChild>
                <w:div w:id="1776557485">
                  <w:marLeft w:val="0"/>
                  <w:marRight w:val="0"/>
                  <w:marTop w:val="0"/>
                  <w:marBottom w:val="0"/>
                  <w:divBdr>
                    <w:top w:val="none" w:sz="0" w:space="0" w:color="auto"/>
                    <w:left w:val="none" w:sz="0" w:space="0" w:color="auto"/>
                    <w:bottom w:val="none" w:sz="0" w:space="0" w:color="auto"/>
                    <w:right w:val="none" w:sz="0" w:space="0" w:color="auto"/>
                  </w:divBdr>
                  <w:divsChild>
                    <w:div w:id="75343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408713">
      <w:bodyDiv w:val="1"/>
      <w:marLeft w:val="0"/>
      <w:marRight w:val="0"/>
      <w:marTop w:val="0"/>
      <w:marBottom w:val="0"/>
      <w:divBdr>
        <w:top w:val="none" w:sz="0" w:space="0" w:color="auto"/>
        <w:left w:val="none" w:sz="0" w:space="0" w:color="auto"/>
        <w:bottom w:val="none" w:sz="0" w:space="0" w:color="auto"/>
        <w:right w:val="none" w:sz="0" w:space="0" w:color="auto"/>
      </w:divBdr>
      <w:divsChild>
        <w:div w:id="1833183554">
          <w:marLeft w:val="0"/>
          <w:marRight w:val="0"/>
          <w:marTop w:val="2"/>
          <w:marBottom w:val="2"/>
          <w:divBdr>
            <w:top w:val="single" w:sz="2" w:space="0" w:color="FFFFFF"/>
            <w:left w:val="single" w:sz="2" w:space="0" w:color="FFFFFF"/>
            <w:bottom w:val="single" w:sz="2" w:space="0" w:color="FFFFFF"/>
            <w:right w:val="single" w:sz="2" w:space="0" w:color="FFFFFF"/>
          </w:divBdr>
          <w:divsChild>
            <w:div w:id="1059859242">
              <w:marLeft w:val="0"/>
              <w:marRight w:val="0"/>
              <w:marTop w:val="0"/>
              <w:marBottom w:val="0"/>
              <w:divBdr>
                <w:top w:val="none" w:sz="0" w:space="0" w:color="auto"/>
                <w:left w:val="none" w:sz="0" w:space="0" w:color="auto"/>
                <w:bottom w:val="none" w:sz="0" w:space="0" w:color="auto"/>
                <w:right w:val="none" w:sz="0" w:space="0" w:color="auto"/>
              </w:divBdr>
              <w:divsChild>
                <w:div w:id="1954314200">
                  <w:marLeft w:val="0"/>
                  <w:marRight w:val="0"/>
                  <w:marTop w:val="0"/>
                  <w:marBottom w:val="0"/>
                  <w:divBdr>
                    <w:top w:val="none" w:sz="0" w:space="0" w:color="auto"/>
                    <w:left w:val="none" w:sz="0" w:space="0" w:color="auto"/>
                    <w:bottom w:val="none" w:sz="0" w:space="0" w:color="auto"/>
                    <w:right w:val="none" w:sz="0" w:space="0" w:color="auto"/>
                  </w:divBdr>
                  <w:divsChild>
                    <w:div w:id="146021688">
                      <w:marLeft w:val="0"/>
                      <w:marRight w:val="0"/>
                      <w:marTop w:val="225"/>
                      <w:marBottom w:val="0"/>
                      <w:divBdr>
                        <w:top w:val="none" w:sz="0" w:space="0" w:color="auto"/>
                        <w:left w:val="none" w:sz="0" w:space="0" w:color="auto"/>
                        <w:bottom w:val="none" w:sz="0" w:space="0" w:color="auto"/>
                        <w:right w:val="none" w:sz="0" w:space="0" w:color="auto"/>
                      </w:divBdr>
                      <w:divsChild>
                        <w:div w:id="1068109952">
                          <w:marLeft w:val="-6600"/>
                          <w:marRight w:val="0"/>
                          <w:marTop w:val="225"/>
                          <w:marBottom w:val="0"/>
                          <w:divBdr>
                            <w:top w:val="none" w:sz="0" w:space="0" w:color="auto"/>
                            <w:left w:val="none" w:sz="0" w:space="0" w:color="auto"/>
                            <w:bottom w:val="none" w:sz="0" w:space="0" w:color="auto"/>
                            <w:right w:val="none" w:sz="0" w:space="0" w:color="auto"/>
                          </w:divBdr>
                          <w:divsChild>
                            <w:div w:id="851725059">
                              <w:marLeft w:val="0"/>
                              <w:marRight w:val="0"/>
                              <w:marTop w:val="0"/>
                              <w:marBottom w:val="0"/>
                              <w:divBdr>
                                <w:top w:val="none" w:sz="0" w:space="0" w:color="auto"/>
                                <w:left w:val="none" w:sz="0" w:space="0" w:color="auto"/>
                                <w:bottom w:val="none" w:sz="0" w:space="0" w:color="auto"/>
                                <w:right w:val="none" w:sz="0" w:space="0" w:color="auto"/>
                              </w:divBdr>
                              <w:divsChild>
                                <w:div w:id="1093821882">
                                  <w:marLeft w:val="6750"/>
                                  <w:marRight w:val="150"/>
                                  <w:marTop w:val="0"/>
                                  <w:marBottom w:val="0"/>
                                  <w:divBdr>
                                    <w:top w:val="none" w:sz="0" w:space="0" w:color="auto"/>
                                    <w:left w:val="none" w:sz="0" w:space="0" w:color="auto"/>
                                    <w:bottom w:val="none" w:sz="0" w:space="0" w:color="auto"/>
                                    <w:right w:val="none" w:sz="0" w:space="0" w:color="auto"/>
                                  </w:divBdr>
                                  <w:divsChild>
                                    <w:div w:id="466053846">
                                      <w:marLeft w:val="0"/>
                                      <w:marRight w:val="0"/>
                                      <w:marTop w:val="0"/>
                                      <w:marBottom w:val="0"/>
                                      <w:divBdr>
                                        <w:top w:val="none" w:sz="0" w:space="0" w:color="auto"/>
                                        <w:left w:val="none" w:sz="0" w:space="0" w:color="auto"/>
                                        <w:bottom w:val="none" w:sz="0" w:space="0" w:color="auto"/>
                                        <w:right w:val="none" w:sz="0" w:space="0" w:color="auto"/>
                                      </w:divBdr>
                                      <w:divsChild>
                                        <w:div w:id="1200239570">
                                          <w:marLeft w:val="0"/>
                                          <w:marRight w:val="0"/>
                                          <w:marTop w:val="0"/>
                                          <w:marBottom w:val="0"/>
                                          <w:divBdr>
                                            <w:top w:val="none" w:sz="0" w:space="0" w:color="auto"/>
                                            <w:left w:val="none" w:sz="0" w:space="0" w:color="auto"/>
                                            <w:bottom w:val="none" w:sz="0" w:space="0" w:color="auto"/>
                                            <w:right w:val="none" w:sz="0" w:space="0" w:color="auto"/>
                                          </w:divBdr>
                                          <w:divsChild>
                                            <w:div w:id="1216547749">
                                              <w:marLeft w:val="0"/>
                                              <w:marRight w:val="0"/>
                                              <w:marTop w:val="0"/>
                                              <w:marBottom w:val="0"/>
                                              <w:divBdr>
                                                <w:top w:val="none" w:sz="0" w:space="0" w:color="auto"/>
                                                <w:left w:val="none" w:sz="0" w:space="0" w:color="auto"/>
                                                <w:bottom w:val="none" w:sz="0" w:space="0" w:color="auto"/>
                                                <w:right w:val="none" w:sz="0" w:space="0" w:color="auto"/>
                                              </w:divBdr>
                                              <w:divsChild>
                                                <w:div w:id="1828324030">
                                                  <w:marLeft w:val="0"/>
                                                  <w:marRight w:val="0"/>
                                                  <w:marTop w:val="0"/>
                                                  <w:marBottom w:val="0"/>
                                                  <w:divBdr>
                                                    <w:top w:val="none" w:sz="0" w:space="0" w:color="auto"/>
                                                    <w:left w:val="none" w:sz="0" w:space="0" w:color="auto"/>
                                                    <w:bottom w:val="none" w:sz="0" w:space="0" w:color="auto"/>
                                                    <w:right w:val="none" w:sz="0" w:space="0" w:color="auto"/>
                                                  </w:divBdr>
                                                  <w:divsChild>
                                                    <w:div w:id="627901726">
                                                      <w:marLeft w:val="0"/>
                                                      <w:marRight w:val="0"/>
                                                      <w:marTop w:val="0"/>
                                                      <w:marBottom w:val="0"/>
                                                      <w:divBdr>
                                                        <w:top w:val="none" w:sz="0" w:space="0" w:color="auto"/>
                                                        <w:left w:val="none" w:sz="0" w:space="0" w:color="auto"/>
                                                        <w:bottom w:val="none" w:sz="0" w:space="0" w:color="auto"/>
                                                        <w:right w:val="none" w:sz="0" w:space="0" w:color="auto"/>
                                                      </w:divBdr>
                                                    </w:div>
                                                    <w:div w:id="144699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5052613">
      <w:bodyDiv w:val="1"/>
      <w:marLeft w:val="0"/>
      <w:marRight w:val="0"/>
      <w:marTop w:val="0"/>
      <w:marBottom w:val="0"/>
      <w:divBdr>
        <w:top w:val="none" w:sz="0" w:space="0" w:color="auto"/>
        <w:left w:val="none" w:sz="0" w:space="0" w:color="auto"/>
        <w:bottom w:val="none" w:sz="0" w:space="0" w:color="auto"/>
        <w:right w:val="none" w:sz="0" w:space="0" w:color="auto"/>
      </w:divBdr>
      <w:divsChild>
        <w:div w:id="932934590">
          <w:marLeft w:val="0"/>
          <w:marRight w:val="0"/>
          <w:marTop w:val="0"/>
          <w:marBottom w:val="0"/>
          <w:divBdr>
            <w:top w:val="none" w:sz="0" w:space="0" w:color="auto"/>
            <w:left w:val="none" w:sz="0" w:space="0" w:color="auto"/>
            <w:bottom w:val="none" w:sz="0" w:space="0" w:color="auto"/>
            <w:right w:val="none" w:sz="0" w:space="0" w:color="auto"/>
          </w:divBdr>
          <w:divsChild>
            <w:div w:id="563948388">
              <w:marLeft w:val="0"/>
              <w:marRight w:val="0"/>
              <w:marTop w:val="0"/>
              <w:marBottom w:val="0"/>
              <w:divBdr>
                <w:top w:val="none" w:sz="0" w:space="0" w:color="auto"/>
                <w:left w:val="none" w:sz="0" w:space="0" w:color="auto"/>
                <w:bottom w:val="none" w:sz="0" w:space="0" w:color="auto"/>
                <w:right w:val="none" w:sz="0" w:space="0" w:color="auto"/>
              </w:divBdr>
              <w:divsChild>
                <w:div w:id="339702065">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495872844">
      <w:bodyDiv w:val="1"/>
      <w:marLeft w:val="0"/>
      <w:marRight w:val="0"/>
      <w:marTop w:val="0"/>
      <w:marBottom w:val="0"/>
      <w:divBdr>
        <w:top w:val="none" w:sz="0" w:space="0" w:color="auto"/>
        <w:left w:val="none" w:sz="0" w:space="0" w:color="auto"/>
        <w:bottom w:val="none" w:sz="0" w:space="0" w:color="auto"/>
        <w:right w:val="none" w:sz="0" w:space="0" w:color="auto"/>
      </w:divBdr>
    </w:div>
    <w:div w:id="1528370034">
      <w:bodyDiv w:val="1"/>
      <w:marLeft w:val="0"/>
      <w:marRight w:val="0"/>
      <w:marTop w:val="0"/>
      <w:marBottom w:val="0"/>
      <w:divBdr>
        <w:top w:val="none" w:sz="0" w:space="0" w:color="auto"/>
        <w:left w:val="none" w:sz="0" w:space="0" w:color="auto"/>
        <w:bottom w:val="none" w:sz="0" w:space="0" w:color="auto"/>
        <w:right w:val="none" w:sz="0" w:space="0" w:color="auto"/>
      </w:divBdr>
      <w:divsChild>
        <w:div w:id="932739393">
          <w:marLeft w:val="0"/>
          <w:marRight w:val="0"/>
          <w:marTop w:val="0"/>
          <w:marBottom w:val="0"/>
          <w:divBdr>
            <w:top w:val="none" w:sz="0" w:space="0" w:color="auto"/>
            <w:left w:val="none" w:sz="0" w:space="0" w:color="auto"/>
            <w:bottom w:val="none" w:sz="0" w:space="0" w:color="auto"/>
            <w:right w:val="none" w:sz="0" w:space="0" w:color="auto"/>
          </w:divBdr>
          <w:divsChild>
            <w:div w:id="353845330">
              <w:marLeft w:val="0"/>
              <w:marRight w:val="0"/>
              <w:marTop w:val="0"/>
              <w:marBottom w:val="0"/>
              <w:divBdr>
                <w:top w:val="none" w:sz="0" w:space="0" w:color="auto"/>
                <w:left w:val="none" w:sz="0" w:space="0" w:color="auto"/>
                <w:bottom w:val="none" w:sz="0" w:space="0" w:color="auto"/>
                <w:right w:val="none" w:sz="0" w:space="0" w:color="auto"/>
              </w:divBdr>
              <w:divsChild>
                <w:div w:id="19074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22336">
      <w:bodyDiv w:val="1"/>
      <w:marLeft w:val="0"/>
      <w:marRight w:val="0"/>
      <w:marTop w:val="0"/>
      <w:marBottom w:val="0"/>
      <w:divBdr>
        <w:top w:val="none" w:sz="0" w:space="0" w:color="auto"/>
        <w:left w:val="none" w:sz="0" w:space="0" w:color="auto"/>
        <w:bottom w:val="none" w:sz="0" w:space="0" w:color="auto"/>
        <w:right w:val="none" w:sz="0" w:space="0" w:color="auto"/>
      </w:divBdr>
    </w:div>
    <w:div w:id="1552300160">
      <w:bodyDiv w:val="1"/>
      <w:marLeft w:val="0"/>
      <w:marRight w:val="0"/>
      <w:marTop w:val="0"/>
      <w:marBottom w:val="0"/>
      <w:divBdr>
        <w:top w:val="none" w:sz="0" w:space="0" w:color="auto"/>
        <w:left w:val="none" w:sz="0" w:space="0" w:color="auto"/>
        <w:bottom w:val="none" w:sz="0" w:space="0" w:color="auto"/>
        <w:right w:val="none" w:sz="0" w:space="0" w:color="auto"/>
      </w:divBdr>
      <w:divsChild>
        <w:div w:id="1760717437">
          <w:marLeft w:val="0"/>
          <w:marRight w:val="0"/>
          <w:marTop w:val="0"/>
          <w:marBottom w:val="0"/>
          <w:divBdr>
            <w:top w:val="none" w:sz="0" w:space="0" w:color="auto"/>
            <w:left w:val="none" w:sz="0" w:space="0" w:color="auto"/>
            <w:bottom w:val="none" w:sz="0" w:space="0" w:color="auto"/>
            <w:right w:val="none" w:sz="0" w:space="0" w:color="auto"/>
          </w:divBdr>
          <w:divsChild>
            <w:div w:id="681518482">
              <w:marLeft w:val="0"/>
              <w:marRight w:val="0"/>
              <w:marTop w:val="0"/>
              <w:marBottom w:val="0"/>
              <w:divBdr>
                <w:top w:val="none" w:sz="0" w:space="0" w:color="auto"/>
                <w:left w:val="none" w:sz="0" w:space="0" w:color="auto"/>
                <w:bottom w:val="none" w:sz="0" w:space="0" w:color="auto"/>
                <w:right w:val="none" w:sz="0" w:space="0" w:color="auto"/>
              </w:divBdr>
              <w:divsChild>
                <w:div w:id="18829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37">
      <w:bodyDiv w:val="1"/>
      <w:marLeft w:val="0"/>
      <w:marRight w:val="0"/>
      <w:marTop w:val="0"/>
      <w:marBottom w:val="0"/>
      <w:divBdr>
        <w:top w:val="none" w:sz="0" w:space="0" w:color="auto"/>
        <w:left w:val="none" w:sz="0" w:space="0" w:color="auto"/>
        <w:bottom w:val="none" w:sz="0" w:space="0" w:color="auto"/>
        <w:right w:val="none" w:sz="0" w:space="0" w:color="auto"/>
      </w:divBdr>
      <w:divsChild>
        <w:div w:id="1179155270">
          <w:marLeft w:val="0"/>
          <w:marRight w:val="0"/>
          <w:marTop w:val="0"/>
          <w:marBottom w:val="0"/>
          <w:divBdr>
            <w:top w:val="none" w:sz="0" w:space="0" w:color="auto"/>
            <w:left w:val="none" w:sz="0" w:space="0" w:color="auto"/>
            <w:bottom w:val="none" w:sz="0" w:space="0" w:color="auto"/>
            <w:right w:val="none" w:sz="0" w:space="0" w:color="auto"/>
          </w:divBdr>
          <w:divsChild>
            <w:div w:id="1356997399">
              <w:marLeft w:val="0"/>
              <w:marRight w:val="0"/>
              <w:marTop w:val="0"/>
              <w:marBottom w:val="0"/>
              <w:divBdr>
                <w:top w:val="none" w:sz="0" w:space="0" w:color="auto"/>
                <w:left w:val="none" w:sz="0" w:space="0" w:color="auto"/>
                <w:bottom w:val="none" w:sz="0" w:space="0" w:color="auto"/>
                <w:right w:val="none" w:sz="0" w:space="0" w:color="auto"/>
              </w:divBdr>
              <w:divsChild>
                <w:div w:id="2132824118">
                  <w:marLeft w:val="0"/>
                  <w:marRight w:val="0"/>
                  <w:marTop w:val="0"/>
                  <w:marBottom w:val="0"/>
                  <w:divBdr>
                    <w:top w:val="none" w:sz="0" w:space="0" w:color="auto"/>
                    <w:left w:val="none" w:sz="0" w:space="0" w:color="auto"/>
                    <w:bottom w:val="none" w:sz="0" w:space="0" w:color="auto"/>
                    <w:right w:val="none" w:sz="0" w:space="0" w:color="auto"/>
                  </w:divBdr>
                  <w:divsChild>
                    <w:div w:id="1343387232">
                      <w:marLeft w:val="0"/>
                      <w:marRight w:val="0"/>
                      <w:marTop w:val="0"/>
                      <w:marBottom w:val="0"/>
                      <w:divBdr>
                        <w:top w:val="none" w:sz="0" w:space="0" w:color="auto"/>
                        <w:left w:val="none" w:sz="0" w:space="0" w:color="auto"/>
                        <w:bottom w:val="none" w:sz="0" w:space="0" w:color="auto"/>
                        <w:right w:val="none" w:sz="0" w:space="0" w:color="auto"/>
                      </w:divBdr>
                      <w:divsChild>
                        <w:div w:id="1575630340">
                          <w:marLeft w:val="0"/>
                          <w:marRight w:val="0"/>
                          <w:marTop w:val="0"/>
                          <w:marBottom w:val="0"/>
                          <w:divBdr>
                            <w:top w:val="single" w:sz="6" w:space="0" w:color="828282"/>
                            <w:left w:val="single" w:sz="6" w:space="0" w:color="828282"/>
                            <w:bottom w:val="single" w:sz="6" w:space="0" w:color="828282"/>
                            <w:right w:val="single" w:sz="6" w:space="0" w:color="828282"/>
                          </w:divBdr>
                          <w:divsChild>
                            <w:div w:id="884633266">
                              <w:marLeft w:val="0"/>
                              <w:marRight w:val="0"/>
                              <w:marTop w:val="0"/>
                              <w:marBottom w:val="0"/>
                              <w:divBdr>
                                <w:top w:val="none" w:sz="0" w:space="0" w:color="auto"/>
                                <w:left w:val="none" w:sz="0" w:space="0" w:color="auto"/>
                                <w:bottom w:val="none" w:sz="0" w:space="0" w:color="auto"/>
                                <w:right w:val="none" w:sz="0" w:space="0" w:color="auto"/>
                              </w:divBdr>
                              <w:divsChild>
                                <w:div w:id="705638742">
                                  <w:marLeft w:val="0"/>
                                  <w:marRight w:val="0"/>
                                  <w:marTop w:val="0"/>
                                  <w:marBottom w:val="0"/>
                                  <w:divBdr>
                                    <w:top w:val="none" w:sz="0" w:space="0" w:color="auto"/>
                                    <w:left w:val="none" w:sz="0" w:space="0" w:color="auto"/>
                                    <w:bottom w:val="none" w:sz="0" w:space="0" w:color="auto"/>
                                    <w:right w:val="none" w:sz="0" w:space="0" w:color="auto"/>
                                  </w:divBdr>
                                  <w:divsChild>
                                    <w:div w:id="1389378667">
                                      <w:marLeft w:val="0"/>
                                      <w:marRight w:val="0"/>
                                      <w:marTop w:val="0"/>
                                      <w:marBottom w:val="0"/>
                                      <w:divBdr>
                                        <w:top w:val="none" w:sz="0" w:space="0" w:color="auto"/>
                                        <w:left w:val="none" w:sz="0" w:space="0" w:color="auto"/>
                                        <w:bottom w:val="none" w:sz="0" w:space="0" w:color="auto"/>
                                        <w:right w:val="none" w:sz="0" w:space="0" w:color="auto"/>
                                      </w:divBdr>
                                      <w:divsChild>
                                        <w:div w:id="758406733">
                                          <w:marLeft w:val="0"/>
                                          <w:marRight w:val="0"/>
                                          <w:marTop w:val="0"/>
                                          <w:marBottom w:val="0"/>
                                          <w:divBdr>
                                            <w:top w:val="none" w:sz="0" w:space="0" w:color="auto"/>
                                            <w:left w:val="none" w:sz="0" w:space="0" w:color="auto"/>
                                            <w:bottom w:val="none" w:sz="0" w:space="0" w:color="auto"/>
                                            <w:right w:val="none" w:sz="0" w:space="0" w:color="auto"/>
                                          </w:divBdr>
                                          <w:divsChild>
                                            <w:div w:id="1607270584">
                                              <w:marLeft w:val="0"/>
                                              <w:marRight w:val="0"/>
                                              <w:marTop w:val="0"/>
                                              <w:marBottom w:val="0"/>
                                              <w:divBdr>
                                                <w:top w:val="none" w:sz="0" w:space="0" w:color="auto"/>
                                                <w:left w:val="none" w:sz="0" w:space="0" w:color="auto"/>
                                                <w:bottom w:val="none" w:sz="0" w:space="0" w:color="auto"/>
                                                <w:right w:val="none" w:sz="0" w:space="0" w:color="auto"/>
                                              </w:divBdr>
                                              <w:divsChild>
                                                <w:div w:id="1836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6771936">
      <w:bodyDiv w:val="1"/>
      <w:marLeft w:val="0"/>
      <w:marRight w:val="0"/>
      <w:marTop w:val="0"/>
      <w:marBottom w:val="0"/>
      <w:divBdr>
        <w:top w:val="none" w:sz="0" w:space="0" w:color="auto"/>
        <w:left w:val="none" w:sz="0" w:space="0" w:color="auto"/>
        <w:bottom w:val="none" w:sz="0" w:space="0" w:color="auto"/>
        <w:right w:val="none" w:sz="0" w:space="0" w:color="auto"/>
      </w:divBdr>
      <w:divsChild>
        <w:div w:id="848106687">
          <w:marLeft w:val="0"/>
          <w:marRight w:val="0"/>
          <w:marTop w:val="150"/>
          <w:marBottom w:val="0"/>
          <w:divBdr>
            <w:top w:val="none" w:sz="0" w:space="0" w:color="auto"/>
            <w:left w:val="none" w:sz="0" w:space="0" w:color="auto"/>
            <w:bottom w:val="none" w:sz="0" w:space="0" w:color="auto"/>
            <w:right w:val="none" w:sz="0" w:space="0" w:color="auto"/>
          </w:divBdr>
          <w:divsChild>
            <w:div w:id="1149905821">
              <w:marLeft w:val="-225"/>
              <w:marRight w:val="-225"/>
              <w:marTop w:val="0"/>
              <w:marBottom w:val="0"/>
              <w:divBdr>
                <w:top w:val="none" w:sz="0" w:space="0" w:color="auto"/>
                <w:left w:val="none" w:sz="0" w:space="0" w:color="auto"/>
                <w:bottom w:val="none" w:sz="0" w:space="0" w:color="auto"/>
                <w:right w:val="none" w:sz="0" w:space="0" w:color="auto"/>
              </w:divBdr>
              <w:divsChild>
                <w:div w:id="1757631449">
                  <w:marLeft w:val="0"/>
                  <w:marRight w:val="0"/>
                  <w:marTop w:val="0"/>
                  <w:marBottom w:val="0"/>
                  <w:divBdr>
                    <w:top w:val="none" w:sz="0" w:space="0" w:color="auto"/>
                    <w:left w:val="none" w:sz="0" w:space="0" w:color="auto"/>
                    <w:bottom w:val="none" w:sz="0" w:space="0" w:color="auto"/>
                    <w:right w:val="none" w:sz="0" w:space="0" w:color="auto"/>
                  </w:divBdr>
                  <w:divsChild>
                    <w:div w:id="624509032">
                      <w:marLeft w:val="-225"/>
                      <w:marRight w:val="-225"/>
                      <w:marTop w:val="0"/>
                      <w:marBottom w:val="0"/>
                      <w:divBdr>
                        <w:top w:val="none" w:sz="0" w:space="0" w:color="auto"/>
                        <w:left w:val="none" w:sz="0" w:space="0" w:color="auto"/>
                        <w:bottom w:val="none" w:sz="0" w:space="0" w:color="auto"/>
                        <w:right w:val="none" w:sz="0" w:space="0" w:color="auto"/>
                      </w:divBdr>
                      <w:divsChild>
                        <w:div w:id="1512571141">
                          <w:marLeft w:val="0"/>
                          <w:marRight w:val="0"/>
                          <w:marTop w:val="0"/>
                          <w:marBottom w:val="0"/>
                          <w:divBdr>
                            <w:top w:val="none" w:sz="0" w:space="0" w:color="auto"/>
                            <w:left w:val="none" w:sz="0" w:space="0" w:color="auto"/>
                            <w:bottom w:val="none" w:sz="0" w:space="0" w:color="auto"/>
                            <w:right w:val="none" w:sz="0" w:space="0" w:color="auto"/>
                          </w:divBdr>
                          <w:divsChild>
                            <w:div w:id="992678795">
                              <w:marLeft w:val="0"/>
                              <w:marRight w:val="0"/>
                              <w:marTop w:val="0"/>
                              <w:marBottom w:val="0"/>
                              <w:divBdr>
                                <w:top w:val="none" w:sz="0" w:space="0" w:color="auto"/>
                                <w:left w:val="none" w:sz="0" w:space="0" w:color="auto"/>
                                <w:bottom w:val="none" w:sz="0" w:space="0" w:color="auto"/>
                                <w:right w:val="none" w:sz="0" w:space="0" w:color="auto"/>
                              </w:divBdr>
                              <w:divsChild>
                                <w:div w:id="1564682591">
                                  <w:marLeft w:val="0"/>
                                  <w:marRight w:val="0"/>
                                  <w:marTop w:val="0"/>
                                  <w:marBottom w:val="0"/>
                                  <w:divBdr>
                                    <w:top w:val="none" w:sz="0" w:space="0" w:color="auto"/>
                                    <w:left w:val="none" w:sz="0" w:space="0" w:color="auto"/>
                                    <w:bottom w:val="none" w:sz="0" w:space="0" w:color="auto"/>
                                    <w:right w:val="none" w:sz="0" w:space="0" w:color="auto"/>
                                  </w:divBdr>
                                  <w:divsChild>
                                    <w:div w:id="637491469">
                                      <w:marLeft w:val="0"/>
                                      <w:marRight w:val="0"/>
                                      <w:marTop w:val="0"/>
                                      <w:marBottom w:val="0"/>
                                      <w:divBdr>
                                        <w:top w:val="none" w:sz="0" w:space="0" w:color="auto"/>
                                        <w:left w:val="none" w:sz="0" w:space="0" w:color="auto"/>
                                        <w:bottom w:val="none" w:sz="0" w:space="0" w:color="auto"/>
                                        <w:right w:val="none" w:sz="0" w:space="0" w:color="auto"/>
                                      </w:divBdr>
                                      <w:divsChild>
                                        <w:div w:id="1496914299">
                                          <w:marLeft w:val="0"/>
                                          <w:marRight w:val="0"/>
                                          <w:marTop w:val="0"/>
                                          <w:marBottom w:val="0"/>
                                          <w:divBdr>
                                            <w:top w:val="none" w:sz="0" w:space="0" w:color="auto"/>
                                            <w:left w:val="none" w:sz="0" w:space="0" w:color="auto"/>
                                            <w:bottom w:val="none" w:sz="0" w:space="0" w:color="auto"/>
                                            <w:right w:val="none" w:sz="0" w:space="0" w:color="auto"/>
                                          </w:divBdr>
                                          <w:divsChild>
                                            <w:div w:id="1332180295">
                                              <w:marLeft w:val="0"/>
                                              <w:marRight w:val="0"/>
                                              <w:marTop w:val="0"/>
                                              <w:marBottom w:val="0"/>
                                              <w:divBdr>
                                                <w:top w:val="none" w:sz="0" w:space="0" w:color="auto"/>
                                                <w:left w:val="none" w:sz="0" w:space="0" w:color="auto"/>
                                                <w:bottom w:val="none" w:sz="0" w:space="0" w:color="auto"/>
                                                <w:right w:val="none" w:sz="0" w:space="0" w:color="auto"/>
                                              </w:divBdr>
                                              <w:divsChild>
                                                <w:div w:id="814565199">
                                                  <w:marLeft w:val="0"/>
                                                  <w:marRight w:val="0"/>
                                                  <w:marTop w:val="0"/>
                                                  <w:marBottom w:val="0"/>
                                                  <w:divBdr>
                                                    <w:top w:val="none" w:sz="0" w:space="0" w:color="auto"/>
                                                    <w:left w:val="none" w:sz="0" w:space="0" w:color="auto"/>
                                                    <w:bottom w:val="none" w:sz="0" w:space="0" w:color="auto"/>
                                                    <w:right w:val="none" w:sz="0" w:space="0" w:color="auto"/>
                                                  </w:divBdr>
                                                  <w:divsChild>
                                                    <w:div w:id="1318191509">
                                                      <w:marLeft w:val="0"/>
                                                      <w:marRight w:val="0"/>
                                                      <w:marTop w:val="0"/>
                                                      <w:marBottom w:val="0"/>
                                                      <w:divBdr>
                                                        <w:top w:val="none" w:sz="0" w:space="0" w:color="auto"/>
                                                        <w:left w:val="none" w:sz="0" w:space="0" w:color="auto"/>
                                                        <w:bottom w:val="none" w:sz="0" w:space="0" w:color="auto"/>
                                                        <w:right w:val="none" w:sz="0" w:space="0" w:color="auto"/>
                                                      </w:divBdr>
                                                      <w:divsChild>
                                                        <w:div w:id="903179070">
                                                          <w:marLeft w:val="0"/>
                                                          <w:marRight w:val="0"/>
                                                          <w:marTop w:val="0"/>
                                                          <w:marBottom w:val="0"/>
                                                          <w:divBdr>
                                                            <w:top w:val="none" w:sz="0" w:space="0" w:color="auto"/>
                                                            <w:left w:val="none" w:sz="0" w:space="0" w:color="auto"/>
                                                            <w:bottom w:val="none" w:sz="0" w:space="0" w:color="auto"/>
                                                            <w:right w:val="none" w:sz="0" w:space="0" w:color="auto"/>
                                                          </w:divBdr>
                                                          <w:divsChild>
                                                            <w:div w:id="154324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6108207">
      <w:bodyDiv w:val="1"/>
      <w:marLeft w:val="0"/>
      <w:marRight w:val="0"/>
      <w:marTop w:val="0"/>
      <w:marBottom w:val="0"/>
      <w:divBdr>
        <w:top w:val="none" w:sz="0" w:space="0" w:color="auto"/>
        <w:left w:val="none" w:sz="0" w:space="0" w:color="auto"/>
        <w:bottom w:val="none" w:sz="0" w:space="0" w:color="auto"/>
        <w:right w:val="none" w:sz="0" w:space="0" w:color="auto"/>
      </w:divBdr>
      <w:divsChild>
        <w:div w:id="1537086378">
          <w:marLeft w:val="0"/>
          <w:marRight w:val="0"/>
          <w:marTop w:val="0"/>
          <w:marBottom w:val="0"/>
          <w:divBdr>
            <w:top w:val="none" w:sz="0" w:space="0" w:color="auto"/>
            <w:left w:val="none" w:sz="0" w:space="0" w:color="auto"/>
            <w:bottom w:val="none" w:sz="0" w:space="0" w:color="auto"/>
            <w:right w:val="none" w:sz="0" w:space="0" w:color="auto"/>
          </w:divBdr>
          <w:divsChild>
            <w:div w:id="1722554916">
              <w:marLeft w:val="0"/>
              <w:marRight w:val="0"/>
              <w:marTop w:val="0"/>
              <w:marBottom w:val="0"/>
              <w:divBdr>
                <w:top w:val="none" w:sz="0" w:space="0" w:color="auto"/>
                <w:left w:val="none" w:sz="0" w:space="0" w:color="auto"/>
                <w:bottom w:val="none" w:sz="0" w:space="0" w:color="auto"/>
                <w:right w:val="none" w:sz="0" w:space="0" w:color="auto"/>
              </w:divBdr>
              <w:divsChild>
                <w:div w:id="1573075521">
                  <w:marLeft w:val="0"/>
                  <w:marRight w:val="0"/>
                  <w:marTop w:val="0"/>
                  <w:marBottom w:val="0"/>
                  <w:divBdr>
                    <w:top w:val="none" w:sz="0" w:space="0" w:color="auto"/>
                    <w:left w:val="none" w:sz="0" w:space="0" w:color="auto"/>
                    <w:bottom w:val="none" w:sz="0" w:space="0" w:color="auto"/>
                    <w:right w:val="none" w:sz="0" w:space="0" w:color="auto"/>
                  </w:divBdr>
                  <w:divsChild>
                    <w:div w:id="1980568616">
                      <w:marLeft w:val="0"/>
                      <w:marRight w:val="0"/>
                      <w:marTop w:val="0"/>
                      <w:marBottom w:val="0"/>
                      <w:divBdr>
                        <w:top w:val="none" w:sz="0" w:space="0" w:color="auto"/>
                        <w:left w:val="none" w:sz="0" w:space="0" w:color="auto"/>
                        <w:bottom w:val="none" w:sz="0" w:space="0" w:color="auto"/>
                        <w:right w:val="none" w:sz="0" w:space="0" w:color="auto"/>
                      </w:divBdr>
                      <w:divsChild>
                        <w:div w:id="758258963">
                          <w:marLeft w:val="0"/>
                          <w:marRight w:val="0"/>
                          <w:marTop w:val="0"/>
                          <w:marBottom w:val="0"/>
                          <w:divBdr>
                            <w:top w:val="none" w:sz="0" w:space="0" w:color="auto"/>
                            <w:left w:val="none" w:sz="0" w:space="0" w:color="auto"/>
                            <w:bottom w:val="none" w:sz="0" w:space="0" w:color="auto"/>
                            <w:right w:val="none" w:sz="0" w:space="0" w:color="auto"/>
                          </w:divBdr>
                          <w:divsChild>
                            <w:div w:id="1763528961">
                              <w:marLeft w:val="0"/>
                              <w:marRight w:val="0"/>
                              <w:marTop w:val="0"/>
                              <w:marBottom w:val="0"/>
                              <w:divBdr>
                                <w:top w:val="none" w:sz="0" w:space="0" w:color="auto"/>
                                <w:left w:val="none" w:sz="0" w:space="0" w:color="auto"/>
                                <w:bottom w:val="none" w:sz="0" w:space="0" w:color="auto"/>
                                <w:right w:val="none" w:sz="0" w:space="0" w:color="auto"/>
                              </w:divBdr>
                              <w:divsChild>
                                <w:div w:id="729504493">
                                  <w:marLeft w:val="0"/>
                                  <w:marRight w:val="0"/>
                                  <w:marTop w:val="0"/>
                                  <w:marBottom w:val="0"/>
                                  <w:divBdr>
                                    <w:top w:val="none" w:sz="0" w:space="0" w:color="auto"/>
                                    <w:left w:val="none" w:sz="0" w:space="0" w:color="auto"/>
                                    <w:bottom w:val="none" w:sz="0" w:space="0" w:color="auto"/>
                                    <w:right w:val="none" w:sz="0" w:space="0" w:color="auto"/>
                                  </w:divBdr>
                                  <w:divsChild>
                                    <w:div w:id="1354572803">
                                      <w:marLeft w:val="0"/>
                                      <w:marRight w:val="0"/>
                                      <w:marTop w:val="0"/>
                                      <w:marBottom w:val="0"/>
                                      <w:divBdr>
                                        <w:top w:val="none" w:sz="0" w:space="0" w:color="auto"/>
                                        <w:left w:val="none" w:sz="0" w:space="0" w:color="auto"/>
                                        <w:bottom w:val="none" w:sz="0" w:space="0" w:color="auto"/>
                                        <w:right w:val="none" w:sz="0" w:space="0" w:color="auto"/>
                                      </w:divBdr>
                                      <w:divsChild>
                                        <w:div w:id="58792490">
                                          <w:marLeft w:val="0"/>
                                          <w:marRight w:val="0"/>
                                          <w:marTop w:val="0"/>
                                          <w:marBottom w:val="0"/>
                                          <w:divBdr>
                                            <w:top w:val="none" w:sz="0" w:space="0" w:color="auto"/>
                                            <w:left w:val="none" w:sz="0" w:space="0" w:color="auto"/>
                                            <w:bottom w:val="none" w:sz="0" w:space="0" w:color="auto"/>
                                            <w:right w:val="none" w:sz="0" w:space="0" w:color="auto"/>
                                          </w:divBdr>
                                          <w:divsChild>
                                            <w:div w:id="1194687613">
                                              <w:marLeft w:val="0"/>
                                              <w:marRight w:val="0"/>
                                              <w:marTop w:val="0"/>
                                              <w:marBottom w:val="0"/>
                                              <w:divBdr>
                                                <w:top w:val="none" w:sz="0" w:space="0" w:color="auto"/>
                                                <w:left w:val="none" w:sz="0" w:space="0" w:color="auto"/>
                                                <w:bottom w:val="none" w:sz="0" w:space="0" w:color="auto"/>
                                                <w:right w:val="none" w:sz="0" w:space="0" w:color="auto"/>
                                              </w:divBdr>
                                              <w:divsChild>
                                                <w:div w:id="1215970600">
                                                  <w:marLeft w:val="0"/>
                                                  <w:marRight w:val="0"/>
                                                  <w:marTop w:val="0"/>
                                                  <w:marBottom w:val="0"/>
                                                  <w:divBdr>
                                                    <w:top w:val="none" w:sz="0" w:space="0" w:color="auto"/>
                                                    <w:left w:val="none" w:sz="0" w:space="0" w:color="auto"/>
                                                    <w:bottom w:val="none" w:sz="0" w:space="0" w:color="auto"/>
                                                    <w:right w:val="none" w:sz="0" w:space="0" w:color="auto"/>
                                                  </w:divBdr>
                                                  <w:divsChild>
                                                    <w:div w:id="1627732938">
                                                      <w:marLeft w:val="0"/>
                                                      <w:marRight w:val="0"/>
                                                      <w:marTop w:val="0"/>
                                                      <w:marBottom w:val="0"/>
                                                      <w:divBdr>
                                                        <w:top w:val="single" w:sz="36" w:space="0" w:color="FFFFFF"/>
                                                        <w:left w:val="none" w:sz="0" w:space="0" w:color="auto"/>
                                                        <w:bottom w:val="none" w:sz="0" w:space="0" w:color="auto"/>
                                                        <w:right w:val="none" w:sz="0" w:space="0" w:color="auto"/>
                                                      </w:divBdr>
                                                      <w:divsChild>
                                                        <w:div w:id="1899978294">
                                                          <w:marLeft w:val="0"/>
                                                          <w:marRight w:val="0"/>
                                                          <w:marTop w:val="0"/>
                                                          <w:marBottom w:val="0"/>
                                                          <w:divBdr>
                                                            <w:top w:val="none" w:sz="0" w:space="0" w:color="auto"/>
                                                            <w:left w:val="none" w:sz="0" w:space="0" w:color="auto"/>
                                                            <w:bottom w:val="none" w:sz="0" w:space="0" w:color="auto"/>
                                                            <w:right w:val="none" w:sz="0" w:space="0" w:color="auto"/>
                                                          </w:divBdr>
                                                          <w:divsChild>
                                                            <w:div w:id="12672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382216">
      <w:bodyDiv w:val="1"/>
      <w:marLeft w:val="0"/>
      <w:marRight w:val="0"/>
      <w:marTop w:val="0"/>
      <w:marBottom w:val="0"/>
      <w:divBdr>
        <w:top w:val="none" w:sz="0" w:space="0" w:color="auto"/>
        <w:left w:val="none" w:sz="0" w:space="0" w:color="auto"/>
        <w:bottom w:val="none" w:sz="0" w:space="0" w:color="auto"/>
        <w:right w:val="none" w:sz="0" w:space="0" w:color="auto"/>
      </w:divBdr>
    </w:div>
    <w:div w:id="1644457111">
      <w:bodyDiv w:val="1"/>
      <w:marLeft w:val="0"/>
      <w:marRight w:val="0"/>
      <w:marTop w:val="0"/>
      <w:marBottom w:val="0"/>
      <w:divBdr>
        <w:top w:val="none" w:sz="0" w:space="0" w:color="auto"/>
        <w:left w:val="none" w:sz="0" w:space="0" w:color="auto"/>
        <w:bottom w:val="none" w:sz="0" w:space="0" w:color="auto"/>
        <w:right w:val="none" w:sz="0" w:space="0" w:color="auto"/>
      </w:divBdr>
    </w:div>
    <w:div w:id="1662735682">
      <w:bodyDiv w:val="1"/>
      <w:marLeft w:val="0"/>
      <w:marRight w:val="0"/>
      <w:marTop w:val="0"/>
      <w:marBottom w:val="0"/>
      <w:divBdr>
        <w:top w:val="none" w:sz="0" w:space="0" w:color="auto"/>
        <w:left w:val="none" w:sz="0" w:space="0" w:color="auto"/>
        <w:bottom w:val="none" w:sz="0" w:space="0" w:color="auto"/>
        <w:right w:val="none" w:sz="0" w:space="0" w:color="auto"/>
      </w:divBdr>
    </w:div>
    <w:div w:id="1701007422">
      <w:bodyDiv w:val="1"/>
      <w:marLeft w:val="0"/>
      <w:marRight w:val="0"/>
      <w:marTop w:val="0"/>
      <w:marBottom w:val="0"/>
      <w:divBdr>
        <w:top w:val="none" w:sz="0" w:space="0" w:color="auto"/>
        <w:left w:val="none" w:sz="0" w:space="0" w:color="auto"/>
        <w:bottom w:val="none" w:sz="0" w:space="0" w:color="auto"/>
        <w:right w:val="none" w:sz="0" w:space="0" w:color="auto"/>
      </w:divBdr>
    </w:div>
    <w:div w:id="1710449469">
      <w:bodyDiv w:val="1"/>
      <w:marLeft w:val="0"/>
      <w:marRight w:val="0"/>
      <w:marTop w:val="0"/>
      <w:marBottom w:val="0"/>
      <w:divBdr>
        <w:top w:val="none" w:sz="0" w:space="0" w:color="auto"/>
        <w:left w:val="none" w:sz="0" w:space="0" w:color="auto"/>
        <w:bottom w:val="none" w:sz="0" w:space="0" w:color="auto"/>
        <w:right w:val="none" w:sz="0" w:space="0" w:color="auto"/>
      </w:divBdr>
      <w:divsChild>
        <w:div w:id="395054197">
          <w:marLeft w:val="750"/>
          <w:marRight w:val="750"/>
          <w:marTop w:val="0"/>
          <w:marBottom w:val="0"/>
          <w:divBdr>
            <w:top w:val="none" w:sz="0" w:space="0" w:color="auto"/>
            <w:left w:val="none" w:sz="0" w:space="0" w:color="auto"/>
            <w:bottom w:val="none" w:sz="0" w:space="0" w:color="auto"/>
            <w:right w:val="none" w:sz="0" w:space="0" w:color="auto"/>
          </w:divBdr>
          <w:divsChild>
            <w:div w:id="266736428">
              <w:marLeft w:val="0"/>
              <w:marRight w:val="0"/>
              <w:marTop w:val="0"/>
              <w:marBottom w:val="0"/>
              <w:divBdr>
                <w:top w:val="none" w:sz="0" w:space="0" w:color="auto"/>
                <w:left w:val="none" w:sz="0" w:space="0" w:color="auto"/>
                <w:bottom w:val="none" w:sz="0" w:space="0" w:color="auto"/>
                <w:right w:val="none" w:sz="0" w:space="0" w:color="auto"/>
              </w:divBdr>
              <w:divsChild>
                <w:div w:id="1587415918">
                  <w:marLeft w:val="0"/>
                  <w:marRight w:val="0"/>
                  <w:marTop w:val="0"/>
                  <w:marBottom w:val="0"/>
                  <w:divBdr>
                    <w:top w:val="none" w:sz="0" w:space="0" w:color="auto"/>
                    <w:left w:val="none" w:sz="0" w:space="0" w:color="auto"/>
                    <w:bottom w:val="none" w:sz="0" w:space="0" w:color="auto"/>
                    <w:right w:val="none" w:sz="0" w:space="0" w:color="auto"/>
                  </w:divBdr>
                  <w:divsChild>
                    <w:div w:id="1984501300">
                      <w:marLeft w:val="0"/>
                      <w:marRight w:val="0"/>
                      <w:marTop w:val="0"/>
                      <w:marBottom w:val="0"/>
                      <w:divBdr>
                        <w:top w:val="none" w:sz="0" w:space="0" w:color="auto"/>
                        <w:left w:val="none" w:sz="0" w:space="0" w:color="auto"/>
                        <w:bottom w:val="none" w:sz="0" w:space="0" w:color="auto"/>
                        <w:right w:val="none" w:sz="0" w:space="0" w:color="auto"/>
                      </w:divBdr>
                      <w:divsChild>
                        <w:div w:id="1499466692">
                          <w:marLeft w:val="0"/>
                          <w:marRight w:val="0"/>
                          <w:marTop w:val="0"/>
                          <w:marBottom w:val="0"/>
                          <w:divBdr>
                            <w:top w:val="none" w:sz="0" w:space="0" w:color="auto"/>
                            <w:left w:val="none" w:sz="0" w:space="0" w:color="auto"/>
                            <w:bottom w:val="none" w:sz="0" w:space="0" w:color="auto"/>
                            <w:right w:val="none" w:sz="0" w:space="0" w:color="auto"/>
                          </w:divBdr>
                          <w:divsChild>
                            <w:div w:id="1065032852">
                              <w:marLeft w:val="0"/>
                              <w:marRight w:val="100"/>
                              <w:marTop w:val="0"/>
                              <w:marBottom w:val="0"/>
                              <w:divBdr>
                                <w:top w:val="none" w:sz="0" w:space="0" w:color="auto"/>
                                <w:left w:val="none" w:sz="0" w:space="0" w:color="auto"/>
                                <w:bottom w:val="none" w:sz="0" w:space="0" w:color="auto"/>
                                <w:right w:val="none" w:sz="0" w:space="0" w:color="auto"/>
                              </w:divBdr>
                              <w:divsChild>
                                <w:div w:id="1489516259">
                                  <w:marLeft w:val="0"/>
                                  <w:marRight w:val="0"/>
                                  <w:marTop w:val="0"/>
                                  <w:marBottom w:val="0"/>
                                  <w:divBdr>
                                    <w:top w:val="none" w:sz="0" w:space="0" w:color="auto"/>
                                    <w:left w:val="none" w:sz="0" w:space="0" w:color="auto"/>
                                    <w:bottom w:val="none" w:sz="0" w:space="0" w:color="auto"/>
                                    <w:right w:val="none" w:sz="0" w:space="0" w:color="auto"/>
                                  </w:divBdr>
                                  <w:divsChild>
                                    <w:div w:id="981079934">
                                      <w:marLeft w:val="0"/>
                                      <w:marRight w:val="0"/>
                                      <w:marTop w:val="0"/>
                                      <w:marBottom w:val="0"/>
                                      <w:divBdr>
                                        <w:top w:val="none" w:sz="0" w:space="0" w:color="auto"/>
                                        <w:left w:val="none" w:sz="0" w:space="0" w:color="auto"/>
                                        <w:bottom w:val="none" w:sz="0" w:space="0" w:color="auto"/>
                                        <w:right w:val="none" w:sz="0" w:space="0" w:color="auto"/>
                                      </w:divBdr>
                                      <w:divsChild>
                                        <w:div w:id="344526503">
                                          <w:marLeft w:val="180"/>
                                          <w:marRight w:val="180"/>
                                          <w:marTop w:val="180"/>
                                          <w:marBottom w:val="180"/>
                                          <w:divBdr>
                                            <w:top w:val="none" w:sz="0" w:space="0" w:color="auto"/>
                                            <w:left w:val="none" w:sz="0" w:space="0" w:color="auto"/>
                                            <w:bottom w:val="none" w:sz="0" w:space="0" w:color="auto"/>
                                            <w:right w:val="none" w:sz="0" w:space="0" w:color="auto"/>
                                          </w:divBdr>
                                          <w:divsChild>
                                            <w:div w:id="1293752716">
                                              <w:marLeft w:val="0"/>
                                              <w:marRight w:val="0"/>
                                              <w:marTop w:val="0"/>
                                              <w:marBottom w:val="0"/>
                                              <w:divBdr>
                                                <w:top w:val="none" w:sz="0" w:space="0" w:color="auto"/>
                                                <w:left w:val="none" w:sz="0" w:space="0" w:color="auto"/>
                                                <w:bottom w:val="none" w:sz="0" w:space="0" w:color="auto"/>
                                                <w:right w:val="none" w:sz="0" w:space="0" w:color="auto"/>
                                              </w:divBdr>
                                              <w:divsChild>
                                                <w:div w:id="1521895151">
                                                  <w:marLeft w:val="0"/>
                                                  <w:marRight w:val="0"/>
                                                  <w:marTop w:val="0"/>
                                                  <w:marBottom w:val="0"/>
                                                  <w:divBdr>
                                                    <w:top w:val="none" w:sz="0" w:space="0" w:color="auto"/>
                                                    <w:left w:val="none" w:sz="0" w:space="0" w:color="auto"/>
                                                    <w:bottom w:val="dashed" w:sz="6" w:space="9" w:color="ABABA7"/>
                                                    <w:right w:val="none" w:sz="0" w:space="0" w:color="auto"/>
                                                  </w:divBdr>
                                                  <w:divsChild>
                                                    <w:div w:id="8900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072487">
      <w:bodyDiv w:val="1"/>
      <w:marLeft w:val="0"/>
      <w:marRight w:val="0"/>
      <w:marTop w:val="0"/>
      <w:marBottom w:val="0"/>
      <w:divBdr>
        <w:top w:val="none" w:sz="0" w:space="0" w:color="auto"/>
        <w:left w:val="none" w:sz="0" w:space="0" w:color="auto"/>
        <w:bottom w:val="none" w:sz="0" w:space="0" w:color="auto"/>
        <w:right w:val="none" w:sz="0" w:space="0" w:color="auto"/>
      </w:divBdr>
    </w:div>
    <w:div w:id="1801919180">
      <w:bodyDiv w:val="1"/>
      <w:marLeft w:val="0"/>
      <w:marRight w:val="0"/>
      <w:marTop w:val="0"/>
      <w:marBottom w:val="0"/>
      <w:divBdr>
        <w:top w:val="none" w:sz="0" w:space="0" w:color="auto"/>
        <w:left w:val="none" w:sz="0" w:space="0" w:color="auto"/>
        <w:bottom w:val="none" w:sz="0" w:space="0" w:color="auto"/>
        <w:right w:val="none" w:sz="0" w:space="0" w:color="auto"/>
      </w:divBdr>
    </w:div>
    <w:div w:id="1835225243">
      <w:bodyDiv w:val="1"/>
      <w:marLeft w:val="0"/>
      <w:marRight w:val="0"/>
      <w:marTop w:val="0"/>
      <w:marBottom w:val="0"/>
      <w:divBdr>
        <w:top w:val="none" w:sz="0" w:space="0" w:color="auto"/>
        <w:left w:val="none" w:sz="0" w:space="0" w:color="auto"/>
        <w:bottom w:val="none" w:sz="0" w:space="0" w:color="auto"/>
        <w:right w:val="none" w:sz="0" w:space="0" w:color="auto"/>
      </w:divBdr>
    </w:div>
    <w:div w:id="1842087784">
      <w:bodyDiv w:val="1"/>
      <w:marLeft w:val="0"/>
      <w:marRight w:val="0"/>
      <w:marTop w:val="0"/>
      <w:marBottom w:val="0"/>
      <w:divBdr>
        <w:top w:val="none" w:sz="0" w:space="0" w:color="auto"/>
        <w:left w:val="none" w:sz="0" w:space="0" w:color="auto"/>
        <w:bottom w:val="none" w:sz="0" w:space="0" w:color="auto"/>
        <w:right w:val="none" w:sz="0" w:space="0" w:color="auto"/>
      </w:divBdr>
    </w:div>
    <w:div w:id="1863977635">
      <w:bodyDiv w:val="1"/>
      <w:marLeft w:val="0"/>
      <w:marRight w:val="0"/>
      <w:marTop w:val="0"/>
      <w:marBottom w:val="0"/>
      <w:divBdr>
        <w:top w:val="none" w:sz="0" w:space="0" w:color="auto"/>
        <w:left w:val="none" w:sz="0" w:space="0" w:color="auto"/>
        <w:bottom w:val="none" w:sz="0" w:space="0" w:color="auto"/>
        <w:right w:val="none" w:sz="0" w:space="0" w:color="auto"/>
      </w:divBdr>
      <w:divsChild>
        <w:div w:id="1866670645">
          <w:marLeft w:val="0"/>
          <w:marRight w:val="0"/>
          <w:marTop w:val="0"/>
          <w:marBottom w:val="0"/>
          <w:divBdr>
            <w:top w:val="none" w:sz="0" w:space="0" w:color="auto"/>
            <w:left w:val="none" w:sz="0" w:space="0" w:color="auto"/>
            <w:bottom w:val="none" w:sz="0" w:space="0" w:color="auto"/>
            <w:right w:val="none" w:sz="0" w:space="0" w:color="auto"/>
          </w:divBdr>
        </w:div>
      </w:divsChild>
    </w:div>
    <w:div w:id="1904412252">
      <w:bodyDiv w:val="1"/>
      <w:marLeft w:val="0"/>
      <w:marRight w:val="0"/>
      <w:marTop w:val="0"/>
      <w:marBottom w:val="0"/>
      <w:divBdr>
        <w:top w:val="none" w:sz="0" w:space="0" w:color="auto"/>
        <w:left w:val="none" w:sz="0" w:space="0" w:color="auto"/>
        <w:bottom w:val="none" w:sz="0" w:space="0" w:color="auto"/>
        <w:right w:val="none" w:sz="0" w:space="0" w:color="auto"/>
      </w:divBdr>
    </w:div>
    <w:div w:id="1939482744">
      <w:bodyDiv w:val="1"/>
      <w:marLeft w:val="0"/>
      <w:marRight w:val="0"/>
      <w:marTop w:val="0"/>
      <w:marBottom w:val="0"/>
      <w:divBdr>
        <w:top w:val="none" w:sz="0" w:space="0" w:color="auto"/>
        <w:left w:val="none" w:sz="0" w:space="0" w:color="auto"/>
        <w:bottom w:val="none" w:sz="0" w:space="0" w:color="auto"/>
        <w:right w:val="none" w:sz="0" w:space="0" w:color="auto"/>
      </w:divBdr>
      <w:divsChild>
        <w:div w:id="117916056">
          <w:marLeft w:val="0"/>
          <w:marRight w:val="0"/>
          <w:marTop w:val="0"/>
          <w:marBottom w:val="0"/>
          <w:divBdr>
            <w:top w:val="none" w:sz="0" w:space="0" w:color="auto"/>
            <w:left w:val="none" w:sz="0" w:space="0" w:color="auto"/>
            <w:bottom w:val="none" w:sz="0" w:space="0" w:color="auto"/>
            <w:right w:val="none" w:sz="0" w:space="0" w:color="auto"/>
          </w:divBdr>
          <w:divsChild>
            <w:div w:id="1570656909">
              <w:marLeft w:val="0"/>
              <w:marRight w:val="0"/>
              <w:marTop w:val="0"/>
              <w:marBottom w:val="0"/>
              <w:divBdr>
                <w:top w:val="none" w:sz="0" w:space="0" w:color="auto"/>
                <w:left w:val="none" w:sz="0" w:space="0" w:color="auto"/>
                <w:bottom w:val="none" w:sz="0" w:space="0" w:color="auto"/>
                <w:right w:val="none" w:sz="0" w:space="0" w:color="auto"/>
              </w:divBdr>
              <w:divsChild>
                <w:div w:id="395207566">
                  <w:marLeft w:val="0"/>
                  <w:marRight w:val="0"/>
                  <w:marTop w:val="0"/>
                  <w:marBottom w:val="0"/>
                  <w:divBdr>
                    <w:top w:val="none" w:sz="0" w:space="0" w:color="auto"/>
                    <w:left w:val="none" w:sz="0" w:space="0" w:color="auto"/>
                    <w:bottom w:val="none" w:sz="0" w:space="0" w:color="auto"/>
                    <w:right w:val="none" w:sz="0" w:space="0" w:color="auto"/>
                  </w:divBdr>
                  <w:divsChild>
                    <w:div w:id="271474548">
                      <w:marLeft w:val="0"/>
                      <w:marRight w:val="0"/>
                      <w:marTop w:val="0"/>
                      <w:marBottom w:val="0"/>
                      <w:divBdr>
                        <w:top w:val="none" w:sz="0" w:space="0" w:color="auto"/>
                        <w:left w:val="none" w:sz="0" w:space="0" w:color="auto"/>
                        <w:bottom w:val="none" w:sz="0" w:space="0" w:color="auto"/>
                        <w:right w:val="none" w:sz="0" w:space="0" w:color="auto"/>
                      </w:divBdr>
                      <w:divsChild>
                        <w:div w:id="85939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2853184">
      <w:bodyDiv w:val="1"/>
      <w:marLeft w:val="0"/>
      <w:marRight w:val="0"/>
      <w:marTop w:val="0"/>
      <w:marBottom w:val="0"/>
      <w:divBdr>
        <w:top w:val="none" w:sz="0" w:space="0" w:color="auto"/>
        <w:left w:val="none" w:sz="0" w:space="0" w:color="auto"/>
        <w:bottom w:val="none" w:sz="0" w:space="0" w:color="auto"/>
        <w:right w:val="none" w:sz="0" w:space="0" w:color="auto"/>
      </w:divBdr>
      <w:divsChild>
        <w:div w:id="710499688">
          <w:marLeft w:val="0"/>
          <w:marRight w:val="0"/>
          <w:marTop w:val="0"/>
          <w:marBottom w:val="0"/>
          <w:divBdr>
            <w:top w:val="none" w:sz="0" w:space="0" w:color="auto"/>
            <w:left w:val="none" w:sz="0" w:space="0" w:color="auto"/>
            <w:bottom w:val="none" w:sz="0" w:space="0" w:color="auto"/>
            <w:right w:val="none" w:sz="0" w:space="0" w:color="auto"/>
          </w:divBdr>
          <w:divsChild>
            <w:div w:id="385448159">
              <w:marLeft w:val="0"/>
              <w:marRight w:val="0"/>
              <w:marTop w:val="0"/>
              <w:marBottom w:val="0"/>
              <w:divBdr>
                <w:top w:val="none" w:sz="0" w:space="0" w:color="auto"/>
                <w:left w:val="none" w:sz="0" w:space="0" w:color="auto"/>
                <w:bottom w:val="none" w:sz="0" w:space="0" w:color="auto"/>
                <w:right w:val="none" w:sz="0" w:space="0" w:color="auto"/>
              </w:divBdr>
              <w:divsChild>
                <w:div w:id="1609000047">
                  <w:marLeft w:val="0"/>
                  <w:marRight w:val="0"/>
                  <w:marTop w:val="0"/>
                  <w:marBottom w:val="0"/>
                  <w:divBdr>
                    <w:top w:val="none" w:sz="0" w:space="0" w:color="auto"/>
                    <w:left w:val="none" w:sz="0" w:space="0" w:color="auto"/>
                    <w:bottom w:val="none" w:sz="0" w:space="0" w:color="auto"/>
                    <w:right w:val="none" w:sz="0" w:space="0" w:color="auto"/>
                  </w:divBdr>
                  <w:divsChild>
                    <w:div w:id="17962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19398">
      <w:bodyDiv w:val="1"/>
      <w:marLeft w:val="0"/>
      <w:marRight w:val="0"/>
      <w:marTop w:val="0"/>
      <w:marBottom w:val="0"/>
      <w:divBdr>
        <w:top w:val="none" w:sz="0" w:space="0" w:color="auto"/>
        <w:left w:val="none" w:sz="0" w:space="0" w:color="auto"/>
        <w:bottom w:val="none" w:sz="0" w:space="0" w:color="auto"/>
        <w:right w:val="none" w:sz="0" w:space="0" w:color="auto"/>
      </w:divBdr>
    </w:div>
    <w:div w:id="210799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diagramLayout" Target="diagrams/layout1.xml"/><Relationship Id="rId26" Type="http://schemas.openxmlformats.org/officeDocument/2006/relationships/theme" Target="theme/theme1.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diagramData" Target="diagrams/data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immigration.govt.nz/about-us/research-and-statistics/statistics" TargetMode="External"/><Relationship Id="rId20" Type="http://schemas.openxmlformats.org/officeDocument/2006/relationships/diagramColors" Target="diagrams/colors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www.inqaahe.org/admin/files/assets/subsites/1/documenten/1231430767_inqaahe---guidelines-of-good-practice%5b1%5d.pdf"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www.mit.gov.fj/index.php/divisions/trade-division/regional-trade-agreement/the-pacific-island-countries-trade-agreement-picta" TargetMode="External"/><Relationship Id="rId3" Type="http://schemas.openxmlformats.org/officeDocument/2006/relationships/hyperlink" Target="http://www.collegesinstitutes.ca/wp-content/uploads/2014/05/CARICOM-Qualifications-Framework.pdf" TargetMode="External"/><Relationship Id="rId7" Type="http://schemas.openxmlformats.org/officeDocument/2006/relationships/hyperlink" Target="http://www.enqa.eu/files/ENQA%20Bergen%20Report.pdf" TargetMode="External"/><Relationship Id="rId2" Type="http://schemas.openxmlformats.org/officeDocument/2006/relationships/hyperlink" Target="http://www.forumsec.org/pages.cfm/about-us/" TargetMode="External"/><Relationship Id="rId1" Type="http://schemas.openxmlformats.org/officeDocument/2006/relationships/hyperlink" Target="http://www.nzqa.govt.nz/maori/maori-qualifications/" TargetMode="External"/><Relationship Id="rId6" Type="http://schemas.openxmlformats.org/officeDocument/2006/relationships/hyperlink" Target="http://www.inqaahe.org/admin/files/assets/subsites/1/documenten/1231430767_inqaahe---guidelines-of-good-practice%5b1%5d.pdf" TargetMode="External"/><Relationship Id="rId5" Type="http://schemas.openxmlformats.org/officeDocument/2006/relationships/hyperlink" Target="http://www.eqavet.eu" TargetMode="External"/><Relationship Id="rId4" Type="http://schemas.openxmlformats.org/officeDocument/2006/relationships/hyperlink" Target="http://europa.eu/legislation_summaries/education_training_youth/lifelong_learning/c11108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1" Type="http://schemas.openxmlformats.org/officeDocument/2006/relationships/oleObject" Target="file:///C:\Users\Andrea\AppData\Local\Microsoft\Windows\INetCache\Content.Outlook\Q5RW1WS8\Copy%20of%20PQR%20Financial%20Report%202008%20-%202016%207061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446761262239"/>
          <c:y val="5.8661273898139771E-2"/>
          <c:w val="0.86809034738189217"/>
          <c:h val="0.77936520230053208"/>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Sheet1!$B$56:$B$61</c:f>
              <c:strCache>
                <c:ptCount val="6"/>
                <c:pt idx="0">
                  <c:v>In-Country Consultation &amp; Workshops</c:v>
                </c:pt>
                <c:pt idx="1">
                  <c:v>Set-Up Costs</c:v>
                </c:pt>
                <c:pt idx="2">
                  <c:v>Good Governance</c:v>
                </c:pt>
                <c:pt idx="3">
                  <c:v>Human Resources</c:v>
                </c:pt>
                <c:pt idx="4">
                  <c:v>Marketing</c:v>
                </c:pt>
                <c:pt idx="5">
                  <c:v>Physical Resources</c:v>
                </c:pt>
              </c:strCache>
            </c:strRef>
          </c:cat>
          <c:val>
            <c:numRef>
              <c:f>Sheet1!$C$56:$C$61</c:f>
              <c:numCache>
                <c:formatCode>0.00%</c:formatCode>
                <c:ptCount val="6"/>
                <c:pt idx="0" formatCode="0.0%">
                  <c:v>0.210274936672706</c:v>
                </c:pt>
                <c:pt idx="1">
                  <c:v>1.7791287916148465E-2</c:v>
                </c:pt>
                <c:pt idx="2">
                  <c:v>3.5022200355096485E-3</c:v>
                </c:pt>
                <c:pt idx="3" formatCode="0.0%">
                  <c:v>0.74043775700949133</c:v>
                </c:pt>
                <c:pt idx="4">
                  <c:v>4.0457863351680843E-3</c:v>
                </c:pt>
                <c:pt idx="5">
                  <c:v>3.2343045745966449E-2</c:v>
                </c:pt>
              </c:numCache>
            </c:numRef>
          </c:val>
          <c:extLst>
            <c:ext xmlns:c16="http://schemas.microsoft.com/office/drawing/2014/chart" uri="{C3380CC4-5D6E-409C-BE32-E72D297353CC}">
              <c16:uniqueId val="{00000000-8A39-4EFC-A380-6D4521F1B4E7}"/>
            </c:ext>
          </c:extLst>
        </c:ser>
        <c:dLbls>
          <c:showLegendKey val="0"/>
          <c:showVal val="0"/>
          <c:showCatName val="0"/>
          <c:showSerName val="0"/>
          <c:showPercent val="0"/>
          <c:showBubbleSize val="0"/>
        </c:dLbls>
        <c:gapWidth val="150"/>
        <c:axId val="483542704"/>
        <c:axId val="483544664"/>
      </c:barChart>
      <c:catAx>
        <c:axId val="483542704"/>
        <c:scaling>
          <c:orientation val="minMax"/>
        </c:scaling>
        <c:delete val="0"/>
        <c:axPos val="b"/>
        <c:numFmt formatCode="General" sourceLinked="0"/>
        <c:majorTickMark val="out"/>
        <c:minorTickMark val="none"/>
        <c:tickLblPos val="nextTo"/>
        <c:crossAx val="483544664"/>
        <c:crosses val="autoZero"/>
        <c:auto val="1"/>
        <c:lblAlgn val="ctr"/>
        <c:lblOffset val="100"/>
        <c:noMultiLvlLbl val="0"/>
      </c:catAx>
      <c:valAx>
        <c:axId val="483544664"/>
        <c:scaling>
          <c:orientation val="minMax"/>
        </c:scaling>
        <c:delete val="0"/>
        <c:axPos val="l"/>
        <c:majorGridlines/>
        <c:numFmt formatCode="0.0%" sourceLinked="1"/>
        <c:majorTickMark val="out"/>
        <c:minorTickMark val="none"/>
        <c:tickLblPos val="nextTo"/>
        <c:crossAx val="483542704"/>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75E94F3-9181-4889-92FC-20180EFD4DAB}" type="doc">
      <dgm:prSet loTypeId="urn:microsoft.com/office/officeart/2005/8/layout/rings+Icon" loCatId="officeonline" qsTypeId="urn:microsoft.com/office/officeart/2005/8/quickstyle/simple1" qsCatId="simple" csTypeId="urn:microsoft.com/office/officeart/2005/8/colors/accent1_2" csCatId="accent1" phldr="1"/>
      <dgm:spPr/>
    </dgm:pt>
    <dgm:pt modelId="{4A2129EF-1720-421A-A7DE-26736D0BC9CA}">
      <dgm:prSet phldrT="[Text]" custT="1"/>
      <dgm:spPr>
        <a:solidFill>
          <a:schemeClr val="tx2">
            <a:lumMod val="60000"/>
            <a:lumOff val="40000"/>
            <a:alpha val="50000"/>
          </a:schemeClr>
        </a:solidFill>
      </dgm:spPr>
      <dgm:t>
        <a:bodyPr/>
        <a:lstStyle/>
        <a:p>
          <a:r>
            <a:rPr lang="en-AU" sz="800" b="1"/>
            <a:t>Pacific Quality Assurance Framework (PQAF)</a:t>
          </a:r>
        </a:p>
        <a:p>
          <a:r>
            <a:rPr lang="en-AU" sz="800"/>
            <a:t>Countries reference quality assurance approaches to the PQAF in the referencing process. </a:t>
          </a:r>
        </a:p>
        <a:p>
          <a:r>
            <a:rPr lang="en-AU" sz="800"/>
            <a:t>External evaluation uses the PQAF as benchmark. </a:t>
          </a:r>
        </a:p>
      </dgm:t>
    </dgm:pt>
    <dgm:pt modelId="{DB3C1AC8-D0BA-4D0F-83E9-4A84C0F52AFA}" type="parTrans" cxnId="{C6D0629E-F4D5-46DD-8D4C-F86399CCCB84}">
      <dgm:prSet/>
      <dgm:spPr/>
      <dgm:t>
        <a:bodyPr/>
        <a:lstStyle/>
        <a:p>
          <a:endParaRPr lang="en-AU"/>
        </a:p>
      </dgm:t>
    </dgm:pt>
    <dgm:pt modelId="{3D93BC2C-E7E1-4E5B-9D6C-54F49246F526}" type="sibTrans" cxnId="{C6D0629E-F4D5-46DD-8D4C-F86399CCCB84}">
      <dgm:prSet/>
      <dgm:spPr/>
      <dgm:t>
        <a:bodyPr/>
        <a:lstStyle/>
        <a:p>
          <a:endParaRPr lang="en-AU"/>
        </a:p>
      </dgm:t>
    </dgm:pt>
    <dgm:pt modelId="{AB4623BE-A029-4820-93A1-8EBD4D2E6987}">
      <dgm:prSet custT="1"/>
      <dgm:spPr>
        <a:solidFill>
          <a:schemeClr val="accent6">
            <a:lumMod val="40000"/>
            <a:lumOff val="60000"/>
            <a:alpha val="50000"/>
          </a:schemeClr>
        </a:solidFill>
      </dgm:spPr>
      <dgm:t>
        <a:bodyPr/>
        <a:lstStyle/>
        <a:p>
          <a:r>
            <a:rPr lang="en-AU" sz="800" b="1"/>
            <a:t>Pacific Qualifications Framework (PQF)</a:t>
          </a:r>
        </a:p>
        <a:p>
          <a:r>
            <a:rPr lang="en-AU" sz="800"/>
            <a:t>10-level framework</a:t>
          </a:r>
        </a:p>
        <a:p>
          <a:r>
            <a:rPr lang="en-AU" sz="800"/>
            <a:t>Countries reference national qualifications frameworks (NQFs) to the PQF</a:t>
          </a:r>
        </a:p>
      </dgm:t>
    </dgm:pt>
    <dgm:pt modelId="{B5850798-C706-4D4A-87F3-BA1AB9E272F9}" type="parTrans" cxnId="{1B6686C7-D8D4-4CB0-B52A-13AAB2F9DDF7}">
      <dgm:prSet/>
      <dgm:spPr/>
      <dgm:t>
        <a:bodyPr/>
        <a:lstStyle/>
        <a:p>
          <a:endParaRPr lang="en-AU"/>
        </a:p>
      </dgm:t>
    </dgm:pt>
    <dgm:pt modelId="{260BF9C6-12F1-4E25-A043-9325EAD03E6E}" type="sibTrans" cxnId="{1B6686C7-D8D4-4CB0-B52A-13AAB2F9DDF7}">
      <dgm:prSet/>
      <dgm:spPr/>
      <dgm:t>
        <a:bodyPr/>
        <a:lstStyle/>
        <a:p>
          <a:endParaRPr lang="en-AU"/>
        </a:p>
      </dgm:t>
    </dgm:pt>
    <dgm:pt modelId="{A3043CF0-5C8E-41DE-9FFA-14764FE41B34}" type="pres">
      <dgm:prSet presAssocID="{075E94F3-9181-4889-92FC-20180EFD4DAB}" presName="Name0" presStyleCnt="0">
        <dgm:presLayoutVars>
          <dgm:chMax val="7"/>
          <dgm:dir/>
          <dgm:resizeHandles val="exact"/>
        </dgm:presLayoutVars>
      </dgm:prSet>
      <dgm:spPr/>
    </dgm:pt>
    <dgm:pt modelId="{E37949E3-C24A-4D55-B468-BB52D1440130}" type="pres">
      <dgm:prSet presAssocID="{075E94F3-9181-4889-92FC-20180EFD4DAB}" presName="ellipse1" presStyleLbl="vennNode1" presStyleIdx="0" presStyleCnt="2" custScaleX="103474" custScaleY="104955" custLinFactNeighborX="58980" custLinFactNeighborY="20442">
        <dgm:presLayoutVars>
          <dgm:bulletEnabled val="1"/>
        </dgm:presLayoutVars>
      </dgm:prSet>
      <dgm:spPr>
        <a:solidFill>
          <a:schemeClr val="bg2">
            <a:lumMod val="75000"/>
            <a:alpha val="50000"/>
          </a:schemeClr>
        </a:solidFill>
      </dgm:spPr>
      <dgm:t>
        <a:bodyPr/>
        <a:lstStyle/>
        <a:p>
          <a:endParaRPr lang="en-AU"/>
        </a:p>
      </dgm:t>
    </dgm:pt>
    <dgm:pt modelId="{1066512D-01D8-4B9F-B671-E0BBB0E8444C}" type="pres">
      <dgm:prSet presAssocID="{075E94F3-9181-4889-92FC-20180EFD4DAB}" presName="ellipse2" presStyleLbl="vennNode1" presStyleIdx="1" presStyleCnt="2" custScaleY="105847" custLinFactNeighborX="-79718" custLinFactNeighborY="-47376">
        <dgm:presLayoutVars>
          <dgm:bulletEnabled val="1"/>
        </dgm:presLayoutVars>
      </dgm:prSet>
      <dgm:spPr/>
      <dgm:t>
        <a:bodyPr/>
        <a:lstStyle/>
        <a:p>
          <a:endParaRPr lang="en-AU"/>
        </a:p>
      </dgm:t>
    </dgm:pt>
  </dgm:ptLst>
  <dgm:cxnLst>
    <dgm:cxn modelId="{1B6686C7-D8D4-4CB0-B52A-13AAB2F9DDF7}" srcId="{075E94F3-9181-4889-92FC-20180EFD4DAB}" destId="{AB4623BE-A029-4820-93A1-8EBD4D2E6987}" srcOrd="1" destOrd="0" parTransId="{B5850798-C706-4D4A-87F3-BA1AB9E272F9}" sibTransId="{260BF9C6-12F1-4E25-A043-9325EAD03E6E}"/>
    <dgm:cxn modelId="{E0D71168-5D3A-4D3B-9EA0-187302BD3559}" type="presOf" srcId="{AB4623BE-A029-4820-93A1-8EBD4D2E6987}" destId="{1066512D-01D8-4B9F-B671-E0BBB0E8444C}" srcOrd="0" destOrd="0" presId="urn:microsoft.com/office/officeart/2005/8/layout/rings+Icon"/>
    <dgm:cxn modelId="{C6D0629E-F4D5-46DD-8D4C-F86399CCCB84}" srcId="{075E94F3-9181-4889-92FC-20180EFD4DAB}" destId="{4A2129EF-1720-421A-A7DE-26736D0BC9CA}" srcOrd="0" destOrd="0" parTransId="{DB3C1AC8-D0BA-4D0F-83E9-4A84C0F52AFA}" sibTransId="{3D93BC2C-E7E1-4E5B-9D6C-54F49246F526}"/>
    <dgm:cxn modelId="{C242812C-844D-42F8-8698-756F83EE7C25}" type="presOf" srcId="{4A2129EF-1720-421A-A7DE-26736D0BC9CA}" destId="{E37949E3-C24A-4D55-B468-BB52D1440130}" srcOrd="0" destOrd="0" presId="urn:microsoft.com/office/officeart/2005/8/layout/rings+Icon"/>
    <dgm:cxn modelId="{7D8FEAB1-2C20-43CC-A26F-CADA7B23963B}" type="presOf" srcId="{075E94F3-9181-4889-92FC-20180EFD4DAB}" destId="{A3043CF0-5C8E-41DE-9FFA-14764FE41B34}" srcOrd="0" destOrd="0" presId="urn:microsoft.com/office/officeart/2005/8/layout/rings+Icon"/>
    <dgm:cxn modelId="{4AEB238B-B007-428A-86B5-B061EDF9ED30}" type="presParOf" srcId="{A3043CF0-5C8E-41DE-9FFA-14764FE41B34}" destId="{E37949E3-C24A-4D55-B468-BB52D1440130}" srcOrd="0" destOrd="0" presId="urn:microsoft.com/office/officeart/2005/8/layout/rings+Icon"/>
    <dgm:cxn modelId="{B48B5F7E-21AC-4DC3-8CB8-D8A775C8DA3F}" type="presParOf" srcId="{A3043CF0-5C8E-41DE-9FFA-14764FE41B34}" destId="{1066512D-01D8-4B9F-B671-E0BBB0E8444C}" srcOrd="1" destOrd="0" presId="urn:microsoft.com/office/officeart/2005/8/layout/rings+Icon"/>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7949E3-C24A-4D55-B468-BB52D1440130}">
      <dsp:nvSpPr>
        <dsp:cNvPr id="0" name=""/>
        <dsp:cNvSpPr/>
      </dsp:nvSpPr>
      <dsp:spPr>
        <a:xfrm>
          <a:off x="2550633" y="251411"/>
          <a:ext cx="1466209" cy="1487300"/>
        </a:xfrm>
        <a:prstGeom prst="ellipse">
          <a:avLst/>
        </a:prstGeom>
        <a:solidFill>
          <a:schemeClr val="bg2">
            <a:lumMod val="75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kern="1200"/>
            <a:t>Pacific Quality Assurance Framework (PQAF)</a:t>
          </a:r>
        </a:p>
        <a:p>
          <a:pPr lvl="0" algn="ctr" defTabSz="355600">
            <a:lnSpc>
              <a:spcPct val="90000"/>
            </a:lnSpc>
            <a:spcBef>
              <a:spcPct val="0"/>
            </a:spcBef>
            <a:spcAft>
              <a:spcPct val="35000"/>
            </a:spcAft>
          </a:pPr>
          <a:r>
            <a:rPr lang="en-AU" sz="800" kern="1200"/>
            <a:t>Countries reference quality assurance approaches to the PQAF in the referencing process. </a:t>
          </a:r>
        </a:p>
        <a:p>
          <a:pPr lvl="0" algn="ctr" defTabSz="355600">
            <a:lnSpc>
              <a:spcPct val="90000"/>
            </a:lnSpc>
            <a:spcBef>
              <a:spcPct val="0"/>
            </a:spcBef>
            <a:spcAft>
              <a:spcPct val="35000"/>
            </a:spcAft>
          </a:pPr>
          <a:r>
            <a:rPr lang="en-AU" sz="800" kern="1200"/>
            <a:t>External evaluation uses the PQAF as benchmark. </a:t>
          </a:r>
        </a:p>
      </dsp:txBody>
      <dsp:txXfrm>
        <a:off x="2765354" y="469221"/>
        <a:ext cx="1036767" cy="1051680"/>
      </dsp:txXfrm>
    </dsp:sp>
    <dsp:sp modelId="{1066512D-01D8-4B9F-B671-E0BBB0E8444C}">
      <dsp:nvSpPr>
        <dsp:cNvPr id="0" name=""/>
        <dsp:cNvSpPr/>
      </dsp:nvSpPr>
      <dsp:spPr>
        <a:xfrm>
          <a:off x="1339228" y="229170"/>
          <a:ext cx="1416983" cy="1499940"/>
        </a:xfrm>
        <a:prstGeom prst="ellipse">
          <a:avLst/>
        </a:prstGeom>
        <a:solidFill>
          <a:schemeClr val="accent6">
            <a:lumMod val="40000"/>
            <a:lumOff val="60000"/>
            <a:alpha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b="1" kern="1200"/>
            <a:t>Pacific Qualifications Framework (PQF)</a:t>
          </a:r>
        </a:p>
        <a:p>
          <a:pPr lvl="0" algn="ctr" defTabSz="355600">
            <a:lnSpc>
              <a:spcPct val="90000"/>
            </a:lnSpc>
            <a:spcBef>
              <a:spcPct val="0"/>
            </a:spcBef>
            <a:spcAft>
              <a:spcPct val="35000"/>
            </a:spcAft>
          </a:pPr>
          <a:r>
            <a:rPr lang="en-AU" sz="800" kern="1200"/>
            <a:t>10-level framework</a:t>
          </a:r>
        </a:p>
        <a:p>
          <a:pPr lvl="0" algn="ctr" defTabSz="355600">
            <a:lnSpc>
              <a:spcPct val="90000"/>
            </a:lnSpc>
            <a:spcBef>
              <a:spcPct val="0"/>
            </a:spcBef>
            <a:spcAft>
              <a:spcPct val="35000"/>
            </a:spcAft>
          </a:pPr>
          <a:r>
            <a:rPr lang="en-AU" sz="800" kern="1200"/>
            <a:t>Countries reference national qualifications frameworks (NQFs) to the PQF</a:t>
          </a:r>
        </a:p>
      </dsp:txBody>
      <dsp:txXfrm>
        <a:off x="1546740" y="448831"/>
        <a:ext cx="1001959" cy="1060618"/>
      </dsp:txXfrm>
    </dsp:sp>
  </dsp:spTree>
</dsp:drawing>
</file>

<file path=word/diagrams/layout1.xml><?xml version="1.0" encoding="utf-8"?>
<dgm:layoutDef xmlns:dgm="http://schemas.openxmlformats.org/drawingml/2006/diagram" xmlns:a="http://schemas.openxmlformats.org/drawingml/2006/main" uniqueId="urn:microsoft.com/office/officeart/2005/8/layout/rings+Icon">
  <dgm:title val="Interconnected Rings"/>
  <dgm:desc val="Use to show overlapping or interconnected ideas or concepts. The first seven lines of Level 1 text correspond with a circle. Unused text does not appear, but remains available if you switch layouts.  "/>
  <dgm:catLst>
    <dgm:cat type="relationship" pri="32000"/>
    <dgm:cat type="officeonline" pri="6000"/>
  </dgm:catLst>
  <dgm:sampData useDef="1">
    <dgm:dataModel>
      <dgm:ptLst/>
      <dgm:bg/>
      <dgm:whole/>
    </dgm:dataModel>
  </dgm:sampData>
  <dgm:styleData>
    <dgm:dataModel>
      <dgm:ptLst>
        <dgm:pt modelId="0" type="doc"/>
        <dgm:pt modelId="10"/>
        <dgm:pt modelId="20"/>
      </dgm:ptLst>
      <dgm:cxnLst>
        <dgm:cxn modelId="30" srcId="0" destId="10" srcOrd="0" destOrd="0"/>
        <dgm:cxn modelId="40" srcId="0" destId="20" srcOrd="1" destOrd="0"/>
      </dgm:cxnLst>
      <dgm:bg/>
      <dgm:whole/>
    </dgm:dataModel>
  </dgm:styleData>
  <dgm:clrData>
    <dgm:dataModel>
      <dgm:ptLst>
        <dgm:pt modelId="0" type="doc"/>
        <dgm:pt modelId="10"/>
        <dgm:pt modelId="20"/>
        <dgm:pt modelId="30"/>
        <dgm:pt modelId="40"/>
      </dgm:ptLst>
      <dgm:cxnLst>
        <dgm:cxn modelId="50" srcId="0" destId="10" srcOrd="0" destOrd="0"/>
        <dgm:cxn modelId="60" srcId="0" destId="20" srcOrd="1" destOrd="0"/>
        <dgm:cxn modelId="70" srcId="0" destId="30" srcOrd="2" destOrd="0"/>
        <dgm:cxn modelId="80" srcId="0" destId="40" srcOrd="2" destOrd="0"/>
      </dgm:cxnLst>
      <dgm:bg/>
      <dgm:whole/>
    </dgm:dataModel>
  </dgm:clrData>
  <dgm:layoutNode name="Name0">
    <dgm:varLst>
      <dgm:chMax val="7"/>
      <dgm:dir/>
      <dgm:resizeHandles val="exact"/>
    </dgm:varLst>
    <dgm:choose name="Name1">
      <dgm:if name="Name2" axis="ch" ptType="node" func="cnt" op="lt" val="1">
        <dgm:alg type="composite"/>
        <dgm:shape xmlns:r="http://schemas.openxmlformats.org/officeDocument/2006/relationships" r:blip="">
          <dgm:adjLst/>
        </dgm:shape>
        <dgm:presOf/>
        <dgm:constrLst/>
        <dgm:ruleLst/>
      </dgm:if>
      <dgm:if name="Name3" axis="ch" ptType="node" func="cnt" op="equ" val="1">
        <dgm:alg type="composite">
          <dgm:param type="ar" val="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dgm:constr type="h" for="ch" forName="ellipse1" refType="h"/>
        </dgm:constrLst>
      </dgm:if>
      <dgm:if name="Name4" axis="ch" ptType="node" func="cnt" op="equ" val="2">
        <dgm:alg type="composite">
          <dgm:param type="ar" val="0.908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6602"/>
          <dgm:constr type="h" for="ch" forName="ellipse1" refType="h" fact="0.5999"/>
          <dgm:constr type="l" for="ch" forName="ellipse2" refType="w" fact="0.3398"/>
          <dgm:constr type="t" for="ch" forName="ellipse2" refType="h" fact="0.4001"/>
          <dgm:constr type="w" for="ch" forName="ellipse2" refType="w" fact="0.6602"/>
          <dgm:constr type="h" for="ch" forName="ellipse2" refType="h" fact="0.5999"/>
        </dgm:constrLst>
      </dgm:if>
      <dgm:if name="Name5" axis="ch" ptType="node" func="cnt" op="equ" val="3">
        <dgm:alg type="composite">
          <dgm:param type="ar" val="1.2171"/>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4929"/>
          <dgm:constr type="h" for="ch" forName="ellipse1" refType="h" fact="0.5999"/>
          <dgm:constr type="l" for="ch" forName="ellipse2" refType="w" fact="0.2537"/>
          <dgm:constr type="t" for="ch" forName="ellipse2" refType="h" fact="0.4001"/>
          <dgm:constr type="w" for="ch" forName="ellipse2" refType="w" fact="0.4929"/>
          <dgm:constr type="h" for="ch" forName="ellipse2" refType="h" fact="0.5999"/>
          <dgm:constr type="l" for="ch" forName="ellipse3" refType="w" fact="0.5071"/>
          <dgm:constr type="t" for="ch" forName="ellipse3" refType="h" fact="0"/>
          <dgm:constr type="w" for="ch" forName="ellipse3" refType="w" fact="0.4929"/>
          <dgm:constr type="h" for="ch" forName="ellipse3" refType="h" fact="0.5999"/>
        </dgm:constrLst>
      </dgm:if>
      <dgm:if name="Name6" axis="ch" ptType="node" func="cnt" op="equ" val="4">
        <dgm:alg type="composite">
          <dgm:param type="ar" val="1.5255"/>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932"/>
          <dgm:constr type="h" for="ch" forName="ellipse1" refType="h" fact="0.5999"/>
          <dgm:constr type="l" for="ch" forName="ellipse2" refType="w" fact="0.2023"/>
          <dgm:constr type="t" for="ch" forName="ellipse2" refType="h" fact="0.4001"/>
          <dgm:constr type="w" for="ch" forName="ellipse2" refType="w" fact="0.3932"/>
          <dgm:constr type="h" for="ch" forName="ellipse2" refType="h" fact="0.5999"/>
          <dgm:constr type="l" for="ch" forName="ellipse3" refType="w" fact="0.4045"/>
          <dgm:constr type="t" for="ch" forName="ellipse3" refType="h" fact="0"/>
          <dgm:constr type="w" for="ch" forName="ellipse3" refType="w" fact="0.3932"/>
          <dgm:constr type="h" for="ch" forName="ellipse3" refType="h" fact="0.5999"/>
          <dgm:constr type="l" for="ch" forName="ellipse4" refType="w" fact="0.6068"/>
          <dgm:constr type="t" for="ch" forName="ellipse4" refType="h" fact="0.4001"/>
          <dgm:constr type="w" for="ch" forName="ellipse4" refType="w" fact="0.3932"/>
          <dgm:constr type="h" for="ch" forName="ellipse4" refType="h" fact="0.5999"/>
        </dgm:constrLst>
      </dgm:if>
      <dgm:if name="Name7" axis="ch" ptType="node" func="cnt" op="equ" val="5">
        <dgm:alg type="composite">
          <dgm:param type="ar" val="1.834"/>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3271"/>
          <dgm:constr type="h" for="ch" forName="ellipse1" refType="h" fact="0.5999"/>
          <dgm:constr type="l" for="ch" forName="ellipse2" refType="w" fact="0.1682"/>
          <dgm:constr type="t" for="ch" forName="ellipse2" refType="h" fact="0.4001"/>
          <dgm:constr type="w" for="ch" forName="ellipse2" refType="w" fact="0.3271"/>
          <dgm:constr type="h" for="ch" forName="ellipse2" refType="h" fact="0.5999"/>
          <dgm:constr type="l" for="ch" forName="ellipse3" refType="w" fact="0.3365"/>
          <dgm:constr type="t" for="ch" forName="ellipse3" refType="h" fact="0"/>
          <dgm:constr type="w" for="ch" forName="ellipse3" refType="w" fact="0.3271"/>
          <dgm:constr type="h" for="ch" forName="ellipse3" refType="h" fact="0.5999"/>
          <dgm:constr type="l" for="ch" forName="ellipse4" refType="w" fact="0.5047"/>
          <dgm:constr type="t" for="ch" forName="ellipse4" refType="h" fact="0.4001"/>
          <dgm:constr type="w" for="ch" forName="ellipse4" refType="w" fact="0.3271"/>
          <dgm:constr type="h" for="ch" forName="ellipse4" refType="h" fact="0.5999"/>
          <dgm:constr type="l" for="ch" forName="ellipse5" refType="w" fact="0.6729"/>
          <dgm:constr type="t" for="ch" forName="ellipse5" refType="h" fact="0"/>
          <dgm:constr type="w" for="ch" forName="ellipse5" refType="w" fact="0.3271"/>
          <dgm:constr type="h" for="ch" forName="ellipse5" refType="h" fact="0.5999"/>
        </dgm:constrLst>
      </dgm:if>
      <dgm:if name="Name8" axis="ch" ptType="node" func="cnt" op="equ" val="6">
        <dgm:alg type="composite">
          <dgm:param type="ar" val="2.1873"/>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78"/>
          <dgm:constr type="h" for="ch" forName="ellipse1" refType="h" fact="0.6081"/>
          <dgm:constr type="l" for="ch" forName="ellipse2" refType="w" fact="0.1444"/>
          <dgm:constr type="t" for="ch" forName="ellipse2" refType="h" fact="0.3919"/>
          <dgm:constr type="w" for="ch" forName="ellipse2" refType="w" fact="0.278"/>
          <dgm:constr type="h" for="ch" forName="ellipse2" refType="h" fact="0.6081"/>
          <dgm:constr type="l" for="ch" forName="ellipse3" refType="w" fact="0.2888"/>
          <dgm:constr type="t" for="ch" forName="ellipse3" refType="h" fact="0"/>
          <dgm:constr type="w" for="ch" forName="ellipse3" refType="w" fact="0.278"/>
          <dgm:constr type="h" for="ch" forName="ellipse3" refType="h" fact="0.6081"/>
          <dgm:constr type="l" for="ch" forName="ellipse4" refType="w" fact="0.4332"/>
          <dgm:constr type="t" for="ch" forName="ellipse4" refType="h" fact="0.3919"/>
          <dgm:constr type="w" for="ch" forName="ellipse4" refType="w" fact="0.278"/>
          <dgm:constr type="h" for="ch" forName="ellipse4" refType="h" fact="0.6081"/>
          <dgm:constr type="l" for="ch" forName="ellipse5" refType="w" fact="0.5776"/>
          <dgm:constr type="t" for="ch" forName="ellipse5" refType="h" fact="0"/>
          <dgm:constr type="w" for="ch" forName="ellipse5" refType="w" fact="0.278"/>
          <dgm:constr type="h" for="ch" forName="ellipse5" refType="h" fact="0.6081"/>
          <dgm:constr type="l" for="ch" forName="ellipse6" refType="w" fact="0.722"/>
          <dgm:constr type="t" for="ch" forName="ellipse6" refType="h" fact="0.3919"/>
          <dgm:constr type="w" for="ch" forName="ellipse6" refType="w" fact="0.278"/>
          <dgm:constr type="h" for="ch" forName="ellipse6" refType="h" fact="0.6081"/>
        </dgm:constrLst>
      </dgm:if>
      <dgm:else name="Name9">
        <dgm:alg type="composite">
          <dgm:param type="ar" val="2.3466"/>
        </dgm:alg>
        <dgm:shape xmlns:r="http://schemas.openxmlformats.org/officeDocument/2006/relationships" r:blip="">
          <dgm:adjLst/>
        </dgm:shape>
        <dgm:presOf/>
        <dgm:constrLst>
          <dgm:constr type="primFontSz" for="des" ptType="node" op="equ" val="65"/>
          <dgm:constr type="l" for="ch" forName="ellipse1" refType="w" fact="0"/>
          <dgm:constr type="t" for="ch" forName="ellipse1" refType="h" fact="0"/>
          <dgm:constr type="w" for="ch" forName="ellipse1" refType="w" fact="0.2455"/>
          <dgm:constr type="h" for="ch" forName="ellipse1" refType="h" fact="0.5761"/>
          <dgm:constr type="l" for="ch" forName="ellipse2" refType="w" fact="0.1257"/>
          <dgm:constr type="t" for="ch" forName="ellipse2" refType="h" fact="0.4239"/>
          <dgm:constr type="w" for="ch" forName="ellipse2" refType="w" fact="0.2455"/>
          <dgm:constr type="h" for="ch" forName="ellipse2" refType="h" fact="0.5761"/>
          <dgm:constr type="l" for="ch" forName="ellipse3" refType="w" fact="0.2515"/>
          <dgm:constr type="t" for="ch" forName="ellipse3" refType="h" fact="0"/>
          <dgm:constr type="w" for="ch" forName="ellipse3" refType="w" fact="0.2455"/>
          <dgm:constr type="h" for="ch" forName="ellipse3" refType="h" fact="0.5761"/>
          <dgm:constr type="l" for="ch" forName="ellipse4" refType="w" fact="0.3772"/>
          <dgm:constr type="t" for="ch" forName="ellipse4" refType="h" fact="0.4239"/>
          <dgm:constr type="w" for="ch" forName="ellipse4" refType="w" fact="0.2455"/>
          <dgm:constr type="h" for="ch" forName="ellipse4" refType="h" fact="0.5761"/>
          <dgm:constr type="l" for="ch" forName="ellipse5" refType="w" fact="0.503"/>
          <dgm:constr type="t" for="ch" forName="ellipse5" refType="h" fact="0"/>
          <dgm:constr type="w" for="ch" forName="ellipse5" refType="w" fact="0.2455"/>
          <dgm:constr type="h" for="ch" forName="ellipse5" refType="h" fact="0.5761"/>
          <dgm:constr type="l" for="ch" forName="ellipse6" refType="w" fact="0.6287"/>
          <dgm:constr type="t" for="ch" forName="ellipse6" refType="h" fact="0.4239"/>
          <dgm:constr type="w" for="ch" forName="ellipse6" refType="w" fact="0.2455"/>
          <dgm:constr type="h" for="ch" forName="ellipse6" refType="h" fact="0.5761"/>
          <dgm:constr type="l" for="ch" forName="ellipse7" refType="w" fact="0.7545"/>
          <dgm:constr type="t" for="ch" forName="ellipse7" refType="h" fact="0"/>
          <dgm:constr type="w" for="ch" forName="ellipse7" refType="w" fact="0.2455"/>
          <dgm:constr type="h" for="ch" forName="ellipse7" refType="h" fact="0.5761"/>
        </dgm:constrLst>
      </dgm:else>
    </dgm:choose>
    <dgm:choose name="Name10">
      <dgm:if name="Name11" axis="ch" ptType="node" func="cnt" op="gte" val="1">
        <dgm:layoutNode name="ellipse1" styleLbl="vennNode1">
          <dgm:varLst>
            <dgm:bulletEnabled val="1"/>
          </dgm:varLst>
          <dgm:alg type="tx"/>
          <dgm:shape xmlns:r="http://schemas.openxmlformats.org/officeDocument/2006/relationships" type="ellipse" r:blip="">
            <dgm:adjLst/>
          </dgm:shape>
          <dgm:choose name="Name12">
            <dgm:if name="Name13" func="var" arg="dir" op="equ" val="norm">
              <dgm:presOf axis="ch desOrSelf" ptType="node node" st="1 1" cnt="1 0"/>
            </dgm:if>
            <dgm:else name="Name14">
              <dgm:choose name="Name15">
                <dgm:if name="Name16" axis="ch" ptType="node" func="cnt" op="equ" val="1">
                  <dgm:presOf axis="ch desOrSelf" ptType="node node" st="1 1" cnt="1 0"/>
                </dgm:if>
                <dgm:if name="Name17" axis="ch" ptType="node" func="cnt" op="equ" val="2">
                  <dgm:presOf axis="ch desOrSelf" ptType="node node" st="2 1" cnt="1 0"/>
                </dgm:if>
                <dgm:if name="Name18" axis="ch" ptType="node" func="cnt" op="equ" val="3">
                  <dgm:presOf axis="ch desOrSelf" ptType="node node" st="3 1" cnt="1 0"/>
                </dgm:if>
                <dgm:if name="Name19" axis="ch" ptType="node" func="cnt" op="equ" val="4">
                  <dgm:presOf axis="ch desOrSelf" ptType="node node" st="4 1" cnt="1 0"/>
                </dgm:if>
                <dgm:if name="Name20" axis="ch" ptType="node" func="cnt" op="equ" val="5">
                  <dgm:presOf axis="ch desOrSelf" ptType="node node" st="5 1" cnt="1 0"/>
                </dgm:if>
                <dgm:if name="Name21" axis="ch" ptType="node" func="cnt" op="equ" val="6">
                  <dgm:presOf axis="ch desOrSelf" ptType="node node" st="6 1" cnt="1 0"/>
                </dgm:if>
                <dgm:if name="Name22" axis="ch" ptType="node" func="cnt" op="gte" val="7">
                  <dgm:presOf axis="ch desOrSelf" ptType="node node" st="7 1" cnt="1 0"/>
                </dgm:if>
                <dgm:else name="Name2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4"/>
    </dgm:choose>
    <dgm:choose name="Name25">
      <dgm:if name="Name26" axis="ch" ptType="node" func="cnt" op="gte" val="2">
        <dgm:layoutNode name="ellipse2" styleLbl="vennNode1">
          <dgm:varLst>
            <dgm:bulletEnabled val="1"/>
          </dgm:varLst>
          <dgm:alg type="tx"/>
          <dgm:choose name="Name27">
            <dgm:if name="Name28" func="var" arg="dir" op="equ" val="norm">
              <dgm:shape xmlns:r="http://schemas.openxmlformats.org/officeDocument/2006/relationships" type="ellipse" r:blip="">
                <dgm:adjLst/>
              </dgm:shape>
              <dgm:presOf axis="ch desOrSelf" ptType="node node" st="2 1" cnt="1 0"/>
            </dgm:if>
            <dgm:else name="Name29">
              <dgm:shape xmlns:r="http://schemas.openxmlformats.org/officeDocument/2006/relationships" type="ellipse" r:blip="" zOrderOff="-2">
                <dgm:adjLst/>
              </dgm:shape>
              <dgm:choose name="Name30">
                <dgm:if name="Name31" axis="ch" ptType="node" func="cnt" op="equ" val="2">
                  <dgm:presOf axis="ch desOrSelf" ptType="node node" st="1 1" cnt="1 0"/>
                </dgm:if>
                <dgm:if name="Name32" axis="ch" ptType="node" func="cnt" op="equ" val="3">
                  <dgm:presOf axis="ch desOrSelf" ptType="node node" st="2 1" cnt="1 0"/>
                </dgm:if>
                <dgm:if name="Name33" axis="ch" ptType="node" func="cnt" op="equ" val="4">
                  <dgm:presOf axis="ch desOrSelf" ptType="node node" st="3 1" cnt="1 0"/>
                </dgm:if>
                <dgm:if name="Name34" axis="ch" ptType="node" func="cnt" op="equ" val="5">
                  <dgm:presOf axis="ch desOrSelf" ptType="node node" st="4 1" cnt="1 0"/>
                </dgm:if>
                <dgm:if name="Name35" axis="ch" ptType="node" func="cnt" op="equ" val="6">
                  <dgm:presOf axis="ch desOrSelf" ptType="node node" st="5 1" cnt="1 0"/>
                </dgm:if>
                <dgm:if name="Name36" axis="ch" ptType="node" func="cnt" op="gte" val="7">
                  <dgm:presOf axis="ch desOrSelf" ptType="node node" st="6 1" cnt="1 0"/>
                </dgm:if>
                <dgm:else name="Name37"/>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8"/>
    </dgm:choose>
    <dgm:choose name="Name39">
      <dgm:if name="Name40" axis="ch" ptType="node" func="cnt" op="gte" val="3">
        <dgm:layoutNode name="ellipse3" styleLbl="vennNode1">
          <dgm:varLst>
            <dgm:bulletEnabled val="1"/>
          </dgm:varLst>
          <dgm:alg type="tx"/>
          <dgm:shape xmlns:r="http://schemas.openxmlformats.org/officeDocument/2006/relationships" type="ellipse" r:blip="">
            <dgm:adjLst/>
          </dgm:shape>
          <dgm:choose name="Name41">
            <dgm:if name="Name42" func="var" arg="dir" op="equ" val="norm">
              <dgm:shape xmlns:r="http://schemas.openxmlformats.org/officeDocument/2006/relationships" type="ellipse" r:blip="">
                <dgm:adjLst/>
              </dgm:shape>
              <dgm:presOf axis="ch desOrSelf" ptType="node node" st="3 1" cnt="1 0"/>
            </dgm:if>
            <dgm:else name="Name43">
              <dgm:shape xmlns:r="http://schemas.openxmlformats.org/officeDocument/2006/relationships" type="ellipse" r:blip="" zOrderOff="-4">
                <dgm:adjLst/>
              </dgm:shape>
              <dgm:choose name="Name44">
                <dgm:if name="Name45" axis="ch" ptType="node" func="cnt" op="equ" val="3">
                  <dgm:presOf axis="ch desOrSelf" ptType="node node" st="1 1" cnt="1 0"/>
                </dgm:if>
                <dgm:if name="Name46" axis="ch" ptType="node" func="cnt" op="equ" val="4">
                  <dgm:presOf axis="ch desOrSelf" ptType="node node" st="2 1" cnt="1 0"/>
                </dgm:if>
                <dgm:if name="Name47" axis="ch" ptType="node" func="cnt" op="equ" val="5">
                  <dgm:presOf axis="ch desOrSelf" ptType="node node" st="3 1" cnt="1 0"/>
                </dgm:if>
                <dgm:if name="Name48" axis="ch" ptType="node" func="cnt" op="equ" val="6">
                  <dgm:presOf axis="ch desOrSelf" ptType="node node" st="4 1" cnt="1 0"/>
                </dgm:if>
                <dgm:if name="Name49" axis="ch" ptType="node" func="cnt" op="gte" val="7">
                  <dgm:presOf axis="ch desOrSelf" ptType="node node" st="5 1" cnt="1 0"/>
                </dgm:if>
                <dgm:else name="Name50"/>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1"/>
    </dgm:choose>
    <dgm:choose name="Name52">
      <dgm:if name="Name53" axis="ch" ptType="node" func="cnt" op="gte" val="4">
        <dgm:layoutNode name="ellipse4" styleLbl="vennNode1">
          <dgm:varLst>
            <dgm:bulletEnabled val="1"/>
          </dgm:varLst>
          <dgm:alg type="tx"/>
          <dgm:choose name="Name54">
            <dgm:if name="Name55" func="var" arg="dir" op="equ" val="norm">
              <dgm:shape xmlns:r="http://schemas.openxmlformats.org/officeDocument/2006/relationships" type="ellipse" r:blip="">
                <dgm:adjLst/>
              </dgm:shape>
              <dgm:presOf axis="ch desOrSelf" ptType="node node" st="4 1" cnt="1 0"/>
            </dgm:if>
            <dgm:else name="Name56">
              <dgm:shape xmlns:r="http://schemas.openxmlformats.org/officeDocument/2006/relationships" type="ellipse" r:blip="" zOrderOff="-6">
                <dgm:adjLst/>
              </dgm:shape>
              <dgm:choose name="Name57">
                <dgm:if name="Name58" axis="ch" ptType="node" func="cnt" op="equ" val="4">
                  <dgm:presOf axis="ch desOrSelf" ptType="node node" st="1 1" cnt="1 0"/>
                </dgm:if>
                <dgm:if name="Name59" axis="ch" ptType="node" func="cnt" op="equ" val="5">
                  <dgm:presOf axis="ch desOrSelf" ptType="node node" st="2 1" cnt="1 0"/>
                </dgm:if>
                <dgm:if name="Name60" axis="ch" ptType="node" func="cnt" op="equ" val="6">
                  <dgm:presOf axis="ch desOrSelf" ptType="node node" st="3 1" cnt="1 0"/>
                </dgm:if>
                <dgm:if name="Name61" axis="ch" ptType="node" func="cnt" op="gte" val="7">
                  <dgm:presOf axis="ch desOrSelf" ptType="node node" st="4 1" cnt="1 0"/>
                </dgm:if>
                <dgm:else name="Name62"/>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3"/>
    </dgm:choose>
    <dgm:choose name="Name64">
      <dgm:if name="Name65" axis="ch" ptType="node" func="cnt" op="gte" val="5">
        <dgm:layoutNode name="ellipse5" styleLbl="vennNode1">
          <dgm:varLst>
            <dgm:bulletEnabled val="1"/>
          </dgm:varLst>
          <dgm:alg type="tx"/>
          <dgm:choose name="Name66">
            <dgm:if name="Name67" func="var" arg="dir" op="equ" val="norm">
              <dgm:shape xmlns:r="http://schemas.openxmlformats.org/officeDocument/2006/relationships" type="ellipse" r:blip="">
                <dgm:adjLst/>
              </dgm:shape>
              <dgm:presOf axis="ch desOrSelf" ptType="node node" st="5 1" cnt="1 0"/>
            </dgm:if>
            <dgm:else name="Name68">
              <dgm:shape xmlns:r="http://schemas.openxmlformats.org/officeDocument/2006/relationships" type="ellipse" r:blip="" zOrderOff="-8">
                <dgm:adjLst/>
              </dgm:shape>
              <dgm:choose name="Name69">
                <dgm:if name="Name70" axis="ch" ptType="node" func="cnt" op="equ" val="5">
                  <dgm:presOf axis="ch desOrSelf" ptType="node node" st="1 1" cnt="1 0"/>
                </dgm:if>
                <dgm:if name="Name71" axis="ch" ptType="node" func="cnt" op="equ" val="6">
                  <dgm:presOf axis="ch desOrSelf" ptType="node node" st="2 1" cnt="1 0"/>
                </dgm:if>
                <dgm:if name="Name72" axis="ch" ptType="node" func="cnt" op="gte" val="7">
                  <dgm:presOf axis="ch desOrSelf" ptType="node node" st="3 1" cnt="1 0"/>
                </dgm:if>
                <dgm:else name="Name7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4"/>
    </dgm:choose>
    <dgm:choose name="Name75">
      <dgm:if name="Name76" axis="ch" ptType="node" func="cnt" op="gte" val="6">
        <dgm:layoutNode name="ellipse6" styleLbl="vennNode1">
          <dgm:varLst>
            <dgm:bulletEnabled val="1"/>
          </dgm:varLst>
          <dgm:alg type="tx"/>
          <dgm:choose name="Name77">
            <dgm:if name="Name78" func="var" arg="dir" op="equ" val="norm">
              <dgm:shape xmlns:r="http://schemas.openxmlformats.org/officeDocument/2006/relationships" type="ellipse" r:blip="">
                <dgm:adjLst/>
              </dgm:shape>
              <dgm:presOf axis="ch desOrSelf" ptType="node node" st="6 1" cnt="1 0"/>
            </dgm:if>
            <dgm:else name="Name79">
              <dgm:shape xmlns:r="http://schemas.openxmlformats.org/officeDocument/2006/relationships" type="ellipse" r:blip="" zOrderOff="-10">
                <dgm:adjLst/>
              </dgm:shape>
              <dgm:choose name="Name80">
                <dgm:if name="Name81" axis="ch" ptType="node" func="cnt" op="equ" val="6">
                  <dgm:presOf axis="ch desOrSelf" ptType="node node" st="1 1" cnt="1 0"/>
                </dgm:if>
                <dgm:if name="Name82" axis="ch" ptType="node" func="cnt" op="gte" val="7">
                  <dgm:presOf axis="ch desOrSelf" ptType="node node" st="2 1" cnt="1 0"/>
                </dgm:if>
                <dgm:else name="Name83"/>
              </dgm:choose>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choose name="Name85">
      <dgm:if name="Name86" axis="ch" ptType="node" func="cnt" op="gte" val="7">
        <dgm:layoutNode name="ellipse7" styleLbl="vennNode1">
          <dgm:varLst>
            <dgm:bulletEnabled val="1"/>
          </dgm:varLst>
          <dgm:alg type="tx"/>
          <dgm:choose name="Name87">
            <dgm:if name="Name88" func="var" arg="dir" op="equ" val="norm">
              <dgm:shape xmlns:r="http://schemas.openxmlformats.org/officeDocument/2006/relationships" type="ellipse" r:blip="">
                <dgm:adjLst/>
              </dgm:shape>
              <dgm:presOf axis="ch desOrSelf" ptType="node node" st="7 1" cnt="1 0"/>
            </dgm:if>
            <dgm:else name="Name89">
              <dgm:shape xmlns:r="http://schemas.openxmlformats.org/officeDocument/2006/relationships" type="ellipse" r:blip="" zOrderOff="-12">
                <dgm:adjLst/>
              </dgm:shape>
              <dgm:presOf axis="ch desOrSelf" ptType="node node" st="1 1" cnt="1 0"/>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djacency">
  <a:themeElements>
    <a:clrScheme name="Focus on Skills">
      <a:dk1>
        <a:sysClr val="windowText" lastClr="000000"/>
      </a:dk1>
      <a:lt1>
        <a:sysClr val="window" lastClr="FFFFFF"/>
      </a:lt1>
      <a:dk2>
        <a:srgbClr val="76923C"/>
      </a:dk2>
      <a:lt2>
        <a:srgbClr val="EEECE1"/>
      </a:lt2>
      <a:accent1>
        <a:srgbClr val="595959"/>
      </a:accent1>
      <a:accent2>
        <a:srgbClr val="76923C"/>
      </a:accent2>
      <a:accent3>
        <a:srgbClr val="CCCC00"/>
      </a:accent3>
      <a:accent4>
        <a:srgbClr val="E36C09"/>
      </a:accent4>
      <a:accent5>
        <a:srgbClr val="938953"/>
      </a:accent5>
      <a:accent6>
        <a:srgbClr val="1F497D"/>
      </a:accent6>
      <a:hlink>
        <a:srgbClr val="632423"/>
      </a:hlink>
      <a:folHlink>
        <a:srgbClr val="953734"/>
      </a:folHlink>
    </a:clrScheme>
    <a:fontScheme name="Module">
      <a:maj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CCD4325-D715-4490-BFEB-7FE32C5ED3C3}"/>
</file>

<file path=customXml/itemProps2.xml><?xml version="1.0" encoding="utf-8"?>
<ds:datastoreItem xmlns:ds="http://schemas.openxmlformats.org/officeDocument/2006/customXml" ds:itemID="{3AB59990-CDEC-4511-9C60-B75FA60E71F3}"/>
</file>

<file path=customXml/itemProps3.xml><?xml version="1.0" encoding="utf-8"?>
<ds:datastoreItem xmlns:ds="http://schemas.openxmlformats.org/officeDocument/2006/customXml" ds:itemID="{1792BFCD-095A-47FB-93EA-59C98CE0DC8E}"/>
</file>

<file path=customXml/itemProps4.xml><?xml version="1.0" encoding="utf-8"?>
<ds:datastoreItem xmlns:ds="http://schemas.openxmlformats.org/officeDocument/2006/customXml" ds:itemID="{054B14DD-A930-4504-BE22-4F78C87E1618}"/>
</file>

<file path=docProps/app.xml><?xml version="1.0" encoding="utf-8"?>
<Properties xmlns="http://schemas.openxmlformats.org/officeDocument/2006/extended-properties" xmlns:vt="http://schemas.openxmlformats.org/officeDocument/2006/docPropsVTypes">
  <Template>Normal.dotm</Template>
  <TotalTime>0</TotalTime>
  <Pages>81</Pages>
  <Words>31055</Words>
  <Characters>177016</Characters>
  <Application>Microsoft Office Word</Application>
  <DocSecurity>0</DocSecurity>
  <Lines>1475</Lines>
  <Paragraphs>415</Paragraphs>
  <ScaleCrop>false</ScaleCrop>
  <HeadingPairs>
    <vt:vector size="2" baseType="variant">
      <vt:variant>
        <vt:lpstr>Title</vt:lpstr>
      </vt:variant>
      <vt:variant>
        <vt:i4>1</vt:i4>
      </vt:variant>
    </vt:vector>
  </HeadingPairs>
  <TitlesOfParts>
    <vt:vector size="1" baseType="lpstr">
      <vt:lpstr>Strategic Review of the Pacific Register of Qualifications and Standards (PRQS)</vt:lpstr>
    </vt:vector>
  </TitlesOfParts>
  <Company/>
  <LinksUpToDate>false</LinksUpToDate>
  <CharactersWithSpaces>207656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Strategic Review of the Pacific Register of Qualifications and Standards (PRQS)</dc:title>
  <dc:subject/>
  <dc:creator/>
  <cp:lastModifiedBy/>
  <cp:revision>1</cp:revision>
  <dcterms:created xsi:type="dcterms:W3CDTF">2017-08-10T05:01:00Z</dcterms:created>
  <dcterms:modified xsi:type="dcterms:W3CDTF">2017-08-10T05:01:00Z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a0bb1ea3-9d09-4a44-a85e-e5c3e01dcafc</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1113700</vt:r8>
  </property>
  <property fmtid="{D5CDD505-2E9C-101B-9397-08002B2CF9AE}" pid="7" name="TemplateUrl">
    <vt:lpwstr/>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ies>
</file>