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4209" w14:textId="77777777" w:rsidR="00230777" w:rsidRPr="00BF7A94" w:rsidRDefault="00230777" w:rsidP="00230777">
      <w:pPr>
        <w:pStyle w:val="Title"/>
        <w:rPr>
          <w:color w:val="495965"/>
          <w:sz w:val="16"/>
          <w:szCs w:val="16"/>
        </w:rPr>
      </w:pPr>
    </w:p>
    <w:p w14:paraId="56C70FBC" w14:textId="77777777" w:rsidR="00494F98" w:rsidRPr="00BF7A94" w:rsidRDefault="00494F98" w:rsidP="00EB398C">
      <w:pPr>
        <w:pStyle w:val="Title"/>
        <w:rPr>
          <w:color w:val="495965"/>
          <w:sz w:val="36"/>
          <w:szCs w:val="36"/>
        </w:rPr>
      </w:pPr>
    </w:p>
    <w:p w14:paraId="2DB38F8A" w14:textId="70F8BB14" w:rsidR="00EB398C" w:rsidRPr="00BF7A94" w:rsidRDefault="00494F98" w:rsidP="00575721">
      <w:pPr>
        <w:pStyle w:val="Title"/>
        <w:rPr>
          <w:color w:val="495965"/>
          <w:sz w:val="36"/>
          <w:szCs w:val="36"/>
        </w:rPr>
      </w:pPr>
      <w:r w:rsidRPr="00BF7A94">
        <w:rPr>
          <w:color w:val="495965"/>
          <w:sz w:val="36"/>
          <w:szCs w:val="36"/>
        </w:rPr>
        <w:t xml:space="preserve">2019-20 </w:t>
      </w:r>
      <w:r w:rsidR="00DE10B6">
        <w:rPr>
          <w:color w:val="495965"/>
          <w:sz w:val="36"/>
          <w:szCs w:val="36"/>
        </w:rPr>
        <w:t xml:space="preserve">pacific </w:t>
      </w:r>
      <w:r w:rsidR="003500CF" w:rsidRPr="00BF7A94">
        <w:rPr>
          <w:color w:val="495965"/>
          <w:sz w:val="36"/>
          <w:szCs w:val="36"/>
        </w:rPr>
        <w:t>regional</w:t>
      </w:r>
      <w:r w:rsidR="00235EAB" w:rsidRPr="00BF7A94">
        <w:rPr>
          <w:color w:val="495965"/>
          <w:sz w:val="36"/>
          <w:szCs w:val="36"/>
        </w:rPr>
        <w:t xml:space="preserve"> </w:t>
      </w:r>
      <w:r w:rsidR="004C5598" w:rsidRPr="00BF7A94">
        <w:rPr>
          <w:color w:val="495965"/>
          <w:sz w:val="36"/>
          <w:szCs w:val="36"/>
        </w:rPr>
        <w:t>development program progress report</w:t>
      </w:r>
      <w:r w:rsidR="00660121" w:rsidRPr="00BF7A94">
        <w:rPr>
          <w:color w:val="495965"/>
          <w:sz w:val="36"/>
          <w:szCs w:val="36"/>
        </w:rPr>
        <w:t xml:space="preserve">  </w:t>
      </w:r>
    </w:p>
    <w:p w14:paraId="5C967EB8" w14:textId="77777777" w:rsidR="00452298" w:rsidRPr="00BF7A94" w:rsidRDefault="00230777" w:rsidP="00EB398C">
      <w:pPr>
        <w:pStyle w:val="Title"/>
        <w:rPr>
          <w:noProof/>
          <w:color w:val="495965"/>
          <w:sz w:val="36"/>
          <w:szCs w:val="36"/>
          <w:lang w:val="en-AU" w:eastAsia="en-AU"/>
        </w:rPr>
        <w:sectPr w:rsidR="00452298" w:rsidRPr="00BF7A94" w:rsidSect="00AB1A66">
          <w:headerReference w:type="default" r:id="rId11"/>
          <w:footerReference w:type="default" r:id="rId12"/>
          <w:headerReference w:type="first" r:id="rId13"/>
          <w:footerReference w:type="first" r:id="rId14"/>
          <w:pgSz w:w="11906" w:h="16838" w:code="9"/>
          <w:pgMar w:top="1701" w:right="851" w:bottom="1418" w:left="851" w:header="142" w:footer="493" w:gutter="0"/>
          <w:cols w:space="397"/>
          <w:titlePg/>
          <w:docGrid w:linePitch="360"/>
        </w:sectPr>
      </w:pPr>
      <w:r w:rsidRPr="00BF7A94">
        <w:rPr>
          <w:noProof/>
          <w:color w:val="495965"/>
          <w:sz w:val="36"/>
          <w:szCs w:val="36"/>
          <w:lang w:val="en-AU" w:eastAsia="en-AU"/>
        </w:rPr>
        <w:t xml:space="preserve"> </w:t>
      </w:r>
    </w:p>
    <w:tbl>
      <w:tblPr>
        <w:tblStyle w:val="TableGrid"/>
        <w:tblW w:w="5267"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0&#10;Regional – 180.2&#10;Global – 68.0&#10;Other Government Departments – 88.1&#10;Total Australian ODA – 336.4&#10;Note. Actual expenditure is expected to be available in December 2020&#10;"/>
      </w:tblPr>
      <w:tblGrid>
        <w:gridCol w:w="3715"/>
        <w:gridCol w:w="1552"/>
      </w:tblGrid>
      <w:tr w:rsidR="00C368C9" w:rsidRPr="00BF7A94" w14:paraId="07BC3DFC" w14:textId="77777777" w:rsidTr="00F857E7">
        <w:trPr>
          <w:trHeight w:hRule="exact" w:val="660"/>
        </w:trPr>
        <w:tc>
          <w:tcPr>
            <w:tcW w:w="3715" w:type="dxa"/>
            <w:shd w:val="clear" w:color="auto" w:fill="C1E7E0" w:themeFill="accent1" w:themeFillTint="66"/>
            <w:vAlign w:val="center"/>
          </w:tcPr>
          <w:p w14:paraId="66686E74" w14:textId="77777777" w:rsidR="00C368C9" w:rsidRPr="00D95D96" w:rsidRDefault="00C368C9" w:rsidP="00F857E7">
            <w:pPr>
              <w:pStyle w:val="NormalWeb"/>
              <w:spacing w:before="120" w:beforeAutospacing="0" w:after="60" w:afterAutospacing="0" w:line="200" w:lineRule="exact"/>
              <w:jc w:val="center"/>
              <w:rPr>
                <w:rFonts w:asciiTheme="minorHAnsi" w:hAnsiTheme="minorHAnsi" w:cs="Arial"/>
                <w:b/>
                <w:sz w:val="22"/>
                <w:szCs w:val="36"/>
              </w:rPr>
            </w:pPr>
            <w:r w:rsidRPr="00D95D96">
              <w:rPr>
                <w:rFonts w:asciiTheme="minorHAnsi" w:hAnsiTheme="minorHAnsi"/>
                <w:b/>
                <w:sz w:val="22"/>
              </w:rPr>
              <w:t>Program Budget</w:t>
            </w:r>
          </w:p>
        </w:tc>
        <w:tc>
          <w:tcPr>
            <w:tcW w:w="1552" w:type="dxa"/>
            <w:shd w:val="clear" w:color="auto" w:fill="C1E7E0" w:themeFill="accent1" w:themeFillTint="66"/>
            <w:vAlign w:val="center"/>
          </w:tcPr>
          <w:p w14:paraId="4F62434A" w14:textId="77777777" w:rsidR="00C368C9" w:rsidRPr="00D95D96" w:rsidRDefault="00C368C9"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D95D96">
              <w:rPr>
                <w:rFonts w:asciiTheme="minorHAnsi" w:hAnsiTheme="minorHAnsi" w:cs="Calibri"/>
                <w:b/>
                <w:bCs/>
                <w:kern w:val="24"/>
                <w:sz w:val="20"/>
                <w:szCs w:val="20"/>
              </w:rPr>
              <w:t>2019-20 Budget Estimate ($m)</w:t>
            </w:r>
            <w:r w:rsidRPr="00D95D96">
              <w:rPr>
                <w:rFonts w:asciiTheme="minorHAnsi" w:hAnsiTheme="minorHAnsi" w:cs="Calibri"/>
                <w:b/>
                <w:bCs/>
                <w:kern w:val="24"/>
                <w:sz w:val="20"/>
                <w:szCs w:val="20"/>
                <w:vertAlign w:val="superscript"/>
              </w:rPr>
              <w:t>*</w:t>
            </w:r>
          </w:p>
        </w:tc>
      </w:tr>
      <w:tr w:rsidR="00C368C9" w:rsidRPr="00BF7A94" w14:paraId="319D6FDB" w14:textId="77777777" w:rsidTr="00F857E7">
        <w:trPr>
          <w:trHeight w:hRule="exact" w:val="454"/>
        </w:trPr>
        <w:tc>
          <w:tcPr>
            <w:tcW w:w="3715" w:type="dxa"/>
            <w:shd w:val="clear" w:color="auto" w:fill="auto"/>
            <w:vAlign w:val="bottom"/>
          </w:tcPr>
          <w:p w14:paraId="5BA2A6B1" w14:textId="77777777" w:rsidR="00C368C9" w:rsidRPr="00BF7A94" w:rsidRDefault="00C368C9" w:rsidP="00F857E7">
            <w:pPr>
              <w:pStyle w:val="NormalWeb"/>
              <w:spacing w:before="20" w:beforeAutospacing="0" w:after="20" w:afterAutospacing="0"/>
              <w:rPr>
                <w:rFonts w:ascii="Arial" w:hAnsi="Arial" w:cs="Arial"/>
                <w:color w:val="495965"/>
                <w:sz w:val="36"/>
                <w:szCs w:val="36"/>
              </w:rPr>
            </w:pPr>
            <w:r w:rsidRPr="00BF7A94">
              <w:rPr>
                <w:rFonts w:ascii="Calibri" w:hAnsi="Calibri" w:cs="Calibri"/>
                <w:color w:val="495965"/>
                <w:kern w:val="24"/>
                <w:sz w:val="20"/>
                <w:szCs w:val="20"/>
              </w:rPr>
              <w:t>Bilateral</w:t>
            </w:r>
          </w:p>
        </w:tc>
        <w:tc>
          <w:tcPr>
            <w:tcW w:w="1552" w:type="dxa"/>
            <w:shd w:val="clear" w:color="auto" w:fill="auto"/>
            <w:vAlign w:val="bottom"/>
          </w:tcPr>
          <w:p w14:paraId="09E1AC58" w14:textId="77777777" w:rsidR="00C368C9" w:rsidRPr="00BF7A94" w:rsidRDefault="00C368C9" w:rsidP="00F857E7">
            <w:pPr>
              <w:pStyle w:val="NormalWeb"/>
              <w:spacing w:before="20" w:beforeAutospacing="0" w:after="20" w:afterAutospacing="0"/>
              <w:ind w:right="172"/>
              <w:jc w:val="right"/>
              <w:rPr>
                <w:rFonts w:ascii="Arial" w:hAnsi="Arial" w:cs="Arial"/>
                <w:color w:val="495965"/>
                <w:sz w:val="36"/>
                <w:szCs w:val="36"/>
              </w:rPr>
            </w:pPr>
            <w:r>
              <w:rPr>
                <w:rFonts w:ascii="Calibri Light" w:eastAsia="Calibri Light" w:hAnsi="Calibri Light"/>
                <w:color w:val="495965"/>
                <w:kern w:val="24"/>
                <w:sz w:val="20"/>
                <w:szCs w:val="20"/>
              </w:rPr>
              <w:t>-</w:t>
            </w:r>
          </w:p>
        </w:tc>
      </w:tr>
      <w:tr w:rsidR="00C368C9" w:rsidRPr="00BF7A94" w14:paraId="160FC53C" w14:textId="77777777" w:rsidTr="00F857E7">
        <w:trPr>
          <w:trHeight w:hRule="exact" w:val="454"/>
        </w:trPr>
        <w:tc>
          <w:tcPr>
            <w:tcW w:w="3715" w:type="dxa"/>
            <w:shd w:val="clear" w:color="auto" w:fill="auto"/>
            <w:vAlign w:val="bottom"/>
          </w:tcPr>
          <w:p w14:paraId="7FD8EDC3" w14:textId="77777777" w:rsidR="00C368C9" w:rsidRPr="00BF7A94" w:rsidRDefault="00C368C9" w:rsidP="00F857E7">
            <w:pPr>
              <w:pStyle w:val="NormalWeb"/>
              <w:spacing w:before="20" w:beforeAutospacing="0" w:after="20" w:afterAutospacing="0"/>
              <w:rPr>
                <w:rFonts w:ascii="Arial" w:hAnsi="Arial" w:cs="Arial"/>
                <w:color w:val="495965"/>
                <w:sz w:val="36"/>
                <w:szCs w:val="36"/>
              </w:rPr>
            </w:pPr>
            <w:r w:rsidRPr="00BF7A94">
              <w:rPr>
                <w:rFonts w:ascii="Calibri" w:hAnsi="Calibri" w:cs="Calibri"/>
                <w:color w:val="495965"/>
                <w:kern w:val="24"/>
                <w:sz w:val="20"/>
                <w:szCs w:val="20"/>
              </w:rPr>
              <w:t>Regional</w:t>
            </w:r>
          </w:p>
        </w:tc>
        <w:tc>
          <w:tcPr>
            <w:tcW w:w="1552" w:type="dxa"/>
            <w:shd w:val="clear" w:color="auto" w:fill="auto"/>
            <w:vAlign w:val="bottom"/>
          </w:tcPr>
          <w:p w14:paraId="40263D70" w14:textId="77777777" w:rsidR="00C368C9" w:rsidRPr="00BF7A94" w:rsidRDefault="00C368C9" w:rsidP="00F857E7">
            <w:pPr>
              <w:pStyle w:val="NormalWeb"/>
              <w:spacing w:before="20" w:beforeAutospacing="0" w:after="20" w:afterAutospacing="0"/>
              <w:ind w:right="172"/>
              <w:jc w:val="right"/>
              <w:rPr>
                <w:rFonts w:ascii="Arial" w:hAnsi="Arial" w:cs="Arial"/>
                <w:color w:val="495965"/>
                <w:sz w:val="36"/>
                <w:szCs w:val="36"/>
              </w:rPr>
            </w:pPr>
            <w:r>
              <w:rPr>
                <w:rFonts w:ascii="Calibri Light" w:eastAsia="Calibri Light" w:hAnsi="Calibri Light"/>
                <w:color w:val="495965"/>
                <w:kern w:val="24"/>
                <w:sz w:val="20"/>
                <w:szCs w:val="20"/>
              </w:rPr>
              <w:t>180.2</w:t>
            </w:r>
          </w:p>
        </w:tc>
      </w:tr>
      <w:tr w:rsidR="00C368C9" w:rsidRPr="00BF7A94" w14:paraId="1AB85C48" w14:textId="77777777" w:rsidTr="00F857E7">
        <w:trPr>
          <w:trHeight w:hRule="exact" w:val="454"/>
        </w:trPr>
        <w:tc>
          <w:tcPr>
            <w:tcW w:w="3715" w:type="dxa"/>
            <w:shd w:val="clear" w:color="auto" w:fill="auto"/>
            <w:vAlign w:val="bottom"/>
          </w:tcPr>
          <w:p w14:paraId="760E5693" w14:textId="77777777" w:rsidR="00C368C9" w:rsidRPr="00BF7A94" w:rsidRDefault="00C368C9" w:rsidP="00F857E7">
            <w:pPr>
              <w:pStyle w:val="NormalWeb"/>
              <w:spacing w:before="20" w:beforeAutospacing="0" w:after="20" w:afterAutospacing="0"/>
              <w:rPr>
                <w:rFonts w:ascii="Arial" w:hAnsi="Arial" w:cs="Arial"/>
                <w:color w:val="495965"/>
                <w:sz w:val="36"/>
                <w:szCs w:val="36"/>
              </w:rPr>
            </w:pPr>
            <w:r w:rsidRPr="00BF7A94">
              <w:rPr>
                <w:rFonts w:ascii="Calibri" w:hAnsi="Calibri" w:cs="Calibri"/>
                <w:color w:val="495965"/>
                <w:kern w:val="24"/>
                <w:sz w:val="20"/>
                <w:szCs w:val="20"/>
              </w:rPr>
              <w:t>Global</w:t>
            </w:r>
          </w:p>
        </w:tc>
        <w:tc>
          <w:tcPr>
            <w:tcW w:w="1552" w:type="dxa"/>
            <w:shd w:val="clear" w:color="auto" w:fill="auto"/>
            <w:vAlign w:val="bottom"/>
          </w:tcPr>
          <w:p w14:paraId="1F1C460E" w14:textId="77777777" w:rsidR="00C368C9" w:rsidRPr="00BF7A94" w:rsidRDefault="00C368C9" w:rsidP="00F857E7">
            <w:pPr>
              <w:pStyle w:val="NormalWeb"/>
              <w:spacing w:before="20" w:beforeAutospacing="0" w:after="20" w:afterAutospacing="0"/>
              <w:ind w:right="172"/>
              <w:jc w:val="right"/>
              <w:rPr>
                <w:rFonts w:ascii="Arial" w:hAnsi="Arial" w:cs="Arial"/>
                <w:color w:val="495965"/>
                <w:sz w:val="36"/>
                <w:szCs w:val="36"/>
              </w:rPr>
            </w:pPr>
            <w:r>
              <w:rPr>
                <w:rFonts w:ascii="Calibri Light" w:eastAsia="Calibri Light" w:hAnsi="Calibri Light"/>
                <w:color w:val="495965"/>
                <w:kern w:val="24"/>
                <w:sz w:val="20"/>
                <w:szCs w:val="20"/>
              </w:rPr>
              <w:t>68.0</w:t>
            </w:r>
          </w:p>
        </w:tc>
      </w:tr>
      <w:tr w:rsidR="00C368C9" w:rsidRPr="00BF7A94" w14:paraId="1A5BDBA9" w14:textId="77777777" w:rsidTr="00F857E7">
        <w:trPr>
          <w:trHeight w:hRule="exact" w:val="454"/>
        </w:trPr>
        <w:tc>
          <w:tcPr>
            <w:tcW w:w="3715" w:type="dxa"/>
            <w:shd w:val="clear" w:color="auto" w:fill="auto"/>
            <w:vAlign w:val="bottom"/>
          </w:tcPr>
          <w:p w14:paraId="2DB8FDCA" w14:textId="77777777" w:rsidR="00C368C9" w:rsidRPr="00BF7A94" w:rsidRDefault="00C368C9" w:rsidP="00F857E7">
            <w:pPr>
              <w:pStyle w:val="NormalWeb"/>
              <w:spacing w:before="20" w:beforeAutospacing="0" w:after="20" w:afterAutospacing="0"/>
              <w:rPr>
                <w:rFonts w:ascii="Arial" w:hAnsi="Arial" w:cs="Arial"/>
                <w:color w:val="495965"/>
                <w:sz w:val="36"/>
                <w:szCs w:val="36"/>
              </w:rPr>
            </w:pPr>
            <w:r w:rsidRPr="00BF7A94">
              <w:rPr>
                <w:rFonts w:ascii="Calibri" w:hAnsi="Calibri" w:cs="Calibri"/>
                <w:color w:val="495965"/>
                <w:kern w:val="24"/>
                <w:sz w:val="20"/>
                <w:szCs w:val="20"/>
              </w:rPr>
              <w:t>Other Government Departments</w:t>
            </w:r>
          </w:p>
        </w:tc>
        <w:tc>
          <w:tcPr>
            <w:tcW w:w="1552" w:type="dxa"/>
            <w:shd w:val="clear" w:color="auto" w:fill="auto"/>
            <w:vAlign w:val="bottom"/>
          </w:tcPr>
          <w:p w14:paraId="2CECFABC" w14:textId="77777777" w:rsidR="00C368C9" w:rsidRPr="00BF7A94" w:rsidRDefault="00C368C9" w:rsidP="00F857E7">
            <w:pPr>
              <w:pStyle w:val="NormalWeb"/>
              <w:spacing w:before="20" w:beforeAutospacing="0" w:after="20" w:afterAutospacing="0"/>
              <w:ind w:right="172"/>
              <w:jc w:val="right"/>
              <w:rPr>
                <w:rFonts w:ascii="Arial" w:hAnsi="Arial" w:cs="Arial"/>
                <w:color w:val="495965"/>
                <w:sz w:val="36"/>
                <w:szCs w:val="36"/>
              </w:rPr>
            </w:pPr>
            <w:r>
              <w:rPr>
                <w:rFonts w:ascii="Calibri Light" w:eastAsia="Calibri Light" w:hAnsi="Calibri Light"/>
                <w:color w:val="495965"/>
                <w:kern w:val="24"/>
                <w:sz w:val="20"/>
                <w:szCs w:val="20"/>
              </w:rPr>
              <w:t>88.1</w:t>
            </w:r>
          </w:p>
        </w:tc>
      </w:tr>
      <w:tr w:rsidR="00C368C9" w:rsidRPr="00BF7A94" w14:paraId="7EAF85CF" w14:textId="77777777" w:rsidTr="00F857E7">
        <w:trPr>
          <w:trHeight w:hRule="exact" w:val="454"/>
        </w:trPr>
        <w:tc>
          <w:tcPr>
            <w:tcW w:w="3715" w:type="dxa"/>
            <w:tcBorders>
              <w:bottom w:val="single" w:sz="2" w:space="0" w:color="65C5B4" w:themeColor="accent1"/>
            </w:tcBorders>
            <w:shd w:val="clear" w:color="auto" w:fill="auto"/>
            <w:vAlign w:val="bottom"/>
          </w:tcPr>
          <w:p w14:paraId="5106A24F" w14:textId="77777777" w:rsidR="00C368C9" w:rsidRPr="00D95D96" w:rsidRDefault="00C368C9" w:rsidP="00F857E7">
            <w:pPr>
              <w:pStyle w:val="NormalWeb"/>
              <w:spacing w:before="20" w:beforeAutospacing="0" w:after="20" w:afterAutospacing="0"/>
              <w:rPr>
                <w:rFonts w:asciiTheme="majorHAnsi" w:hAnsiTheme="majorHAnsi" w:cs="Arial"/>
                <w:color w:val="495965"/>
                <w:sz w:val="36"/>
                <w:szCs w:val="36"/>
              </w:rPr>
            </w:pPr>
            <w:r w:rsidRPr="00D95D96">
              <w:rPr>
                <w:rFonts w:asciiTheme="majorHAnsi" w:hAnsiTheme="majorHAnsi" w:cs="Calibri"/>
                <w:b/>
                <w:bCs/>
                <w:color w:val="495965"/>
                <w:kern w:val="24"/>
                <w:sz w:val="20"/>
                <w:szCs w:val="20"/>
              </w:rPr>
              <w:t>Total Australian ODA to Pacific Regional</w:t>
            </w:r>
          </w:p>
        </w:tc>
        <w:tc>
          <w:tcPr>
            <w:tcW w:w="1552" w:type="dxa"/>
            <w:tcBorders>
              <w:bottom w:val="single" w:sz="2" w:space="0" w:color="65C5B4" w:themeColor="accent1"/>
            </w:tcBorders>
            <w:shd w:val="clear" w:color="auto" w:fill="auto"/>
            <w:vAlign w:val="bottom"/>
          </w:tcPr>
          <w:p w14:paraId="068D8838" w14:textId="77777777" w:rsidR="00C368C9" w:rsidRPr="00D95D96" w:rsidRDefault="00C368C9" w:rsidP="00F857E7">
            <w:pPr>
              <w:pStyle w:val="NormalWeb"/>
              <w:spacing w:before="20" w:beforeAutospacing="0" w:after="20" w:afterAutospacing="0"/>
              <w:ind w:right="172"/>
              <w:jc w:val="right"/>
              <w:rPr>
                <w:rFonts w:asciiTheme="majorHAnsi" w:hAnsiTheme="majorHAnsi" w:cs="Arial"/>
                <w:color w:val="495965"/>
                <w:sz w:val="36"/>
                <w:szCs w:val="36"/>
              </w:rPr>
            </w:pPr>
            <w:r w:rsidRPr="00D95D96">
              <w:rPr>
                <w:rFonts w:asciiTheme="majorHAnsi" w:eastAsia="Calibri Light" w:hAnsiTheme="majorHAnsi"/>
                <w:b/>
                <w:bCs/>
                <w:color w:val="495965"/>
                <w:kern w:val="24"/>
                <w:sz w:val="20"/>
                <w:szCs w:val="20"/>
              </w:rPr>
              <w:t>336.4</w:t>
            </w:r>
          </w:p>
        </w:tc>
      </w:tr>
    </w:tbl>
    <w:p w14:paraId="197287D7" w14:textId="77777777" w:rsidR="00C368C9" w:rsidRDefault="00C368C9" w:rsidP="00C368C9">
      <w:pPr>
        <w:spacing w:before="0" w:line="240" w:lineRule="auto"/>
        <w:rPr>
          <w:rFonts w:ascii="Calibri Light" w:eastAsia="Calibri Light" w:hAnsi="Calibri Light"/>
          <w:bCs/>
          <w:kern w:val="24"/>
          <w:sz w:val="18"/>
          <w:szCs w:val="20"/>
        </w:rPr>
      </w:pPr>
      <w:r w:rsidRPr="00C368C9">
        <w:rPr>
          <w:rFonts w:ascii="Calibri" w:hAnsi="Calibri" w:cs="Calibri"/>
          <w:bCs/>
          <w:color w:val="495965"/>
          <w:kern w:val="24"/>
          <w:sz w:val="16"/>
          <w:szCs w:val="20"/>
        </w:rPr>
        <w:t>*Actual expenditure is expected to be available in December 2020</w:t>
      </w:r>
    </w:p>
    <w:p w14:paraId="21B1DFA5" w14:textId="5CCD3C45" w:rsidR="00C368C9" w:rsidRDefault="00C368C9" w:rsidP="00494F98">
      <w:pPr>
        <w:spacing w:before="0" w:after="0"/>
        <w:rPr>
          <w:color w:val="495965"/>
        </w:rPr>
      </w:pPr>
      <w:r>
        <w:rPr>
          <w:noProof/>
          <w:color w:val="495965"/>
          <w:lang w:val="en-AU" w:eastAsia="en-AU"/>
        </w:rPr>
        <w:drawing>
          <wp:inline distT="0" distB="0" distL="0" distR="0" wp14:anchorId="488E10E9" wp14:editId="35BA38AB">
            <wp:extent cx="3406775" cy="1849709"/>
            <wp:effectExtent l="0" t="0" r="3175" b="0"/>
            <wp:docPr id="2" name="Picture 2" descr="Infrastructure and trade – 15%&#10;Agriculture, fisheries and water – 16%&#10;Governance – 20%&#10;Education – 14%&#10;Health – 6%&#10;Building resilience – 27%&#10;General development support – 2%&#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6256" cy="1854857"/>
                    </a:xfrm>
                    <a:prstGeom prst="rect">
                      <a:avLst/>
                    </a:prstGeom>
                    <a:noFill/>
                  </pic:spPr>
                </pic:pic>
              </a:graphicData>
            </a:graphic>
          </wp:inline>
        </w:drawing>
      </w:r>
    </w:p>
    <w:p w14:paraId="1679BA65" w14:textId="77777777" w:rsidR="00C368C9" w:rsidRDefault="00C368C9" w:rsidP="00494F98">
      <w:pPr>
        <w:spacing w:before="0" w:after="0"/>
        <w:rPr>
          <w:color w:val="495965"/>
        </w:rPr>
      </w:pPr>
    </w:p>
    <w:p w14:paraId="6C2523AB" w14:textId="654EAE18" w:rsidR="00452298" w:rsidRPr="00BF7A94" w:rsidRDefault="00C46EB7" w:rsidP="00494F98">
      <w:pPr>
        <w:spacing w:before="0" w:after="0"/>
        <w:rPr>
          <w:color w:val="495965"/>
        </w:rPr>
        <w:sectPr w:rsidR="00452298" w:rsidRPr="00BF7A94" w:rsidSect="00C368C9">
          <w:type w:val="continuous"/>
          <w:pgSz w:w="11906" w:h="16838" w:code="9"/>
          <w:pgMar w:top="1701" w:right="140" w:bottom="1418" w:left="709" w:header="142" w:footer="493" w:gutter="0"/>
          <w:cols w:num="2" w:space="397"/>
          <w:titlePg/>
          <w:docGrid w:linePitch="360"/>
        </w:sectPr>
      </w:pPr>
      <w:r>
        <w:rPr>
          <w:color w:val="495965"/>
        </w:rPr>
        <w:t xml:space="preserve"> </w:t>
      </w:r>
    </w:p>
    <w:p w14:paraId="67D6512D" w14:textId="77777777" w:rsidR="004125B7" w:rsidRDefault="00651213" w:rsidP="00D866BB">
      <w:pPr>
        <w:spacing w:before="0" w:after="0" w:line="240" w:lineRule="auto"/>
        <w:rPr>
          <w:color w:val="495965"/>
        </w:rPr>
      </w:pPr>
      <w:r w:rsidRPr="006461B8">
        <w:rPr>
          <w:b/>
          <w:color w:val="495965"/>
          <w:sz w:val="24"/>
        </w:rPr>
        <w:t>COVID-19 Development Response</w:t>
      </w:r>
      <w:r w:rsidR="004125B7" w:rsidRPr="00BF7A94">
        <w:rPr>
          <w:color w:val="495965"/>
        </w:rPr>
        <w:t xml:space="preserve"> </w:t>
      </w:r>
    </w:p>
    <w:p w14:paraId="23F52782" w14:textId="77777777" w:rsidR="00C46EB7" w:rsidRPr="00450B28" w:rsidRDefault="005B3594" w:rsidP="006461B8">
      <w:pPr>
        <w:suppressAutoHyphens w:val="0"/>
        <w:spacing w:before="0" w:line="240" w:lineRule="auto"/>
        <w:rPr>
          <w:color w:val="495965"/>
        </w:rPr>
      </w:pPr>
      <w:r w:rsidRPr="00450B28">
        <w:rPr>
          <w:color w:val="495965"/>
        </w:rPr>
        <w:t xml:space="preserve">Building on </w:t>
      </w:r>
      <w:r w:rsidR="00624911" w:rsidRPr="00450B28">
        <w:rPr>
          <w:color w:val="495965"/>
        </w:rPr>
        <w:t xml:space="preserve">the </w:t>
      </w:r>
      <w:r w:rsidRPr="00450B28">
        <w:rPr>
          <w:b/>
          <w:color w:val="495965"/>
        </w:rPr>
        <w:t>Pacific Step-up</w:t>
      </w:r>
      <w:r w:rsidRPr="00450B28">
        <w:rPr>
          <w:color w:val="495965"/>
        </w:rPr>
        <w:t xml:space="preserve">, </w:t>
      </w:r>
      <w:r w:rsidR="00C03905" w:rsidRPr="00450B28">
        <w:rPr>
          <w:color w:val="495965"/>
        </w:rPr>
        <w:t xml:space="preserve">Australia quickly pivoted our Pacific regional development programs to </w:t>
      </w:r>
      <w:r w:rsidR="00EE2A97" w:rsidRPr="00450B28">
        <w:rPr>
          <w:color w:val="495965"/>
        </w:rPr>
        <w:t xml:space="preserve">respond to </w:t>
      </w:r>
      <w:r w:rsidR="00317C59">
        <w:rPr>
          <w:color w:val="495965"/>
        </w:rPr>
        <w:t>COVID-19</w:t>
      </w:r>
      <w:r w:rsidR="00C46EB7" w:rsidRPr="00450B28">
        <w:rPr>
          <w:color w:val="495965"/>
        </w:rPr>
        <w:t>. This enabled Australia to:</w:t>
      </w:r>
    </w:p>
    <w:p w14:paraId="0EF958E2" w14:textId="0958AABA" w:rsidR="005872E2" w:rsidRPr="00317C59" w:rsidRDefault="00C46EB7" w:rsidP="00085CE8">
      <w:pPr>
        <w:pStyle w:val="ListParagraph"/>
        <w:numPr>
          <w:ilvl w:val="0"/>
          <w:numId w:val="18"/>
        </w:numPr>
        <w:suppressAutoHyphens w:val="0"/>
        <w:spacing w:before="0" w:line="240" w:lineRule="auto"/>
        <w:ind w:left="284" w:hanging="284"/>
        <w:contextualSpacing w:val="0"/>
        <w:rPr>
          <w:color w:val="495965"/>
        </w:rPr>
      </w:pPr>
      <w:r>
        <w:rPr>
          <w:color w:val="495965"/>
        </w:rPr>
        <w:t>Deliver</w:t>
      </w:r>
      <w:r w:rsidR="00333874" w:rsidRPr="00EE2A97">
        <w:rPr>
          <w:color w:val="495965"/>
        </w:rPr>
        <w:t xml:space="preserve"> </w:t>
      </w:r>
      <w:r w:rsidR="00AC461B" w:rsidRPr="00EE2A97">
        <w:rPr>
          <w:color w:val="495965"/>
        </w:rPr>
        <w:t xml:space="preserve">$100 million in grant finance to </w:t>
      </w:r>
      <w:r w:rsidR="00AC461B" w:rsidRPr="00317C59">
        <w:rPr>
          <w:color w:val="495965"/>
        </w:rPr>
        <w:t>n</w:t>
      </w:r>
      <w:r w:rsidR="00C03905" w:rsidRPr="00317C59">
        <w:rPr>
          <w:color w:val="495965"/>
        </w:rPr>
        <w:t xml:space="preserve">ine </w:t>
      </w:r>
      <w:r w:rsidR="00EE2A97" w:rsidRPr="00317C59">
        <w:rPr>
          <w:color w:val="495965"/>
        </w:rPr>
        <w:t>Pacific count</w:t>
      </w:r>
      <w:r w:rsidR="00624911" w:rsidRPr="00317C59">
        <w:rPr>
          <w:color w:val="495965"/>
        </w:rPr>
        <w:t>ries and Timor-Leste</w:t>
      </w:r>
      <w:r w:rsidR="00EE2A97" w:rsidRPr="00317C59">
        <w:rPr>
          <w:color w:val="495965"/>
        </w:rPr>
        <w:t xml:space="preserve">. This package </w:t>
      </w:r>
      <w:r w:rsidRPr="00317C59">
        <w:rPr>
          <w:color w:val="495965"/>
        </w:rPr>
        <w:t xml:space="preserve">included </w:t>
      </w:r>
      <w:r w:rsidR="00EE2A97" w:rsidRPr="00317C59">
        <w:rPr>
          <w:color w:val="495965"/>
        </w:rPr>
        <w:t xml:space="preserve">budget supplementation </w:t>
      </w:r>
      <w:r w:rsidR="0047313B">
        <w:rPr>
          <w:color w:val="495965"/>
        </w:rPr>
        <w:t xml:space="preserve">for health economic </w:t>
      </w:r>
      <w:r w:rsidR="0047313B" w:rsidRPr="00317C59">
        <w:rPr>
          <w:color w:val="495965"/>
        </w:rPr>
        <w:t>response</w:t>
      </w:r>
      <w:r w:rsidR="0047313B">
        <w:rPr>
          <w:color w:val="495965"/>
        </w:rPr>
        <w:t>s</w:t>
      </w:r>
      <w:r w:rsidR="0047313B" w:rsidRPr="00317C59">
        <w:rPr>
          <w:color w:val="495965"/>
        </w:rPr>
        <w:t xml:space="preserve"> to COVID-19</w:t>
      </w:r>
      <w:r w:rsidR="0047313B">
        <w:rPr>
          <w:color w:val="495965"/>
        </w:rPr>
        <w:t xml:space="preserve"> as well as </w:t>
      </w:r>
      <w:r w:rsidR="00EE2A97" w:rsidRPr="00317C59">
        <w:rPr>
          <w:color w:val="495965"/>
        </w:rPr>
        <w:t xml:space="preserve">support for the emerging needs of </w:t>
      </w:r>
      <w:r w:rsidRPr="00317C59">
        <w:rPr>
          <w:color w:val="495965"/>
        </w:rPr>
        <w:t>women and girls</w:t>
      </w:r>
      <w:r w:rsidR="00514158">
        <w:rPr>
          <w:color w:val="495965"/>
        </w:rPr>
        <w:t>.</w:t>
      </w:r>
    </w:p>
    <w:p w14:paraId="631B5267" w14:textId="7014A0C4" w:rsidR="00EE2A97" w:rsidRPr="00317C59" w:rsidRDefault="00173D9D" w:rsidP="00085CE8">
      <w:pPr>
        <w:pStyle w:val="ListParagraph"/>
        <w:numPr>
          <w:ilvl w:val="0"/>
          <w:numId w:val="18"/>
        </w:numPr>
        <w:suppressAutoHyphens w:val="0"/>
        <w:spacing w:before="0" w:line="240" w:lineRule="auto"/>
        <w:ind w:left="284" w:hanging="284"/>
        <w:contextualSpacing w:val="0"/>
        <w:rPr>
          <w:color w:val="495965"/>
        </w:rPr>
      </w:pPr>
      <w:r w:rsidRPr="00317C59">
        <w:rPr>
          <w:color w:val="495965"/>
        </w:rPr>
        <w:t>Support</w:t>
      </w:r>
      <w:r w:rsidR="00085486" w:rsidRPr="00317C59">
        <w:rPr>
          <w:color w:val="495965"/>
        </w:rPr>
        <w:t xml:space="preserve"> </w:t>
      </w:r>
      <w:r w:rsidRPr="00317C59">
        <w:rPr>
          <w:color w:val="495965"/>
        </w:rPr>
        <w:t>regional organisations</w:t>
      </w:r>
      <w:r w:rsidR="00404015">
        <w:rPr>
          <w:color w:val="495965"/>
        </w:rPr>
        <w:t xml:space="preserve">, including our work with other </w:t>
      </w:r>
      <w:r w:rsidR="003504AE" w:rsidRPr="00317C59">
        <w:rPr>
          <w:color w:val="495965"/>
        </w:rPr>
        <w:t xml:space="preserve">Pacific Islands Forum </w:t>
      </w:r>
      <w:r w:rsidR="00404015">
        <w:rPr>
          <w:color w:val="495965"/>
        </w:rPr>
        <w:t>members</w:t>
      </w:r>
      <w:r w:rsidR="003504AE" w:rsidRPr="00317C59">
        <w:rPr>
          <w:color w:val="495965"/>
        </w:rPr>
        <w:t xml:space="preserve"> to move</w:t>
      </w:r>
      <w:r w:rsidRPr="00317C59">
        <w:rPr>
          <w:color w:val="495965"/>
        </w:rPr>
        <w:t xml:space="preserve"> critical </w:t>
      </w:r>
      <w:r w:rsidR="003504AE" w:rsidRPr="00317C59">
        <w:rPr>
          <w:color w:val="495965"/>
        </w:rPr>
        <w:t xml:space="preserve">goods and people through </w:t>
      </w:r>
      <w:r w:rsidR="001448EE" w:rsidRPr="00317C59">
        <w:rPr>
          <w:color w:val="495965"/>
        </w:rPr>
        <w:t xml:space="preserve">the </w:t>
      </w:r>
      <w:r w:rsidR="001448EE" w:rsidRPr="0064247B">
        <w:rPr>
          <w:i/>
          <w:color w:val="495965"/>
        </w:rPr>
        <w:t>Pacific Humanitarian Pathway for COVID-19</w:t>
      </w:r>
      <w:r w:rsidRPr="00317C59">
        <w:rPr>
          <w:color w:val="495965"/>
        </w:rPr>
        <w:t xml:space="preserve">, and support </w:t>
      </w:r>
      <w:r w:rsidR="00EE2A97" w:rsidRPr="00317C59">
        <w:rPr>
          <w:color w:val="495965"/>
        </w:rPr>
        <w:t>t</w:t>
      </w:r>
      <w:r w:rsidR="00957E40" w:rsidRPr="00317C59">
        <w:rPr>
          <w:color w:val="495965"/>
        </w:rPr>
        <w:t xml:space="preserve">he Pacific Community </w:t>
      </w:r>
      <w:r w:rsidR="00404015">
        <w:rPr>
          <w:color w:val="495965"/>
        </w:rPr>
        <w:t xml:space="preserve">(SPC) </w:t>
      </w:r>
      <w:r w:rsidR="00EE2A97" w:rsidRPr="00317C59">
        <w:rPr>
          <w:color w:val="495965"/>
        </w:rPr>
        <w:t xml:space="preserve">to bolster laboratories, </w:t>
      </w:r>
      <w:r w:rsidR="00957E40" w:rsidRPr="00317C59">
        <w:rPr>
          <w:color w:val="495965"/>
        </w:rPr>
        <w:t>critical care capacity and testing regimes</w:t>
      </w:r>
      <w:r w:rsidR="00EE2A97" w:rsidRPr="00317C59">
        <w:rPr>
          <w:color w:val="495965"/>
        </w:rPr>
        <w:t xml:space="preserve"> across the Pacific</w:t>
      </w:r>
      <w:r w:rsidR="00514158">
        <w:rPr>
          <w:color w:val="495965"/>
        </w:rPr>
        <w:t>.</w:t>
      </w:r>
      <w:r w:rsidRPr="00317C59">
        <w:rPr>
          <w:color w:val="495965"/>
        </w:rPr>
        <w:t xml:space="preserve"> </w:t>
      </w:r>
    </w:p>
    <w:p w14:paraId="4E069B86" w14:textId="6A731C19" w:rsidR="001448EE" w:rsidRPr="00317C59" w:rsidRDefault="001448EE" w:rsidP="00085CE8">
      <w:pPr>
        <w:pStyle w:val="ListParagraph"/>
        <w:numPr>
          <w:ilvl w:val="0"/>
          <w:numId w:val="18"/>
        </w:numPr>
        <w:suppressAutoHyphens w:val="0"/>
        <w:spacing w:before="0" w:line="240" w:lineRule="auto"/>
        <w:ind w:left="284" w:hanging="284"/>
        <w:contextualSpacing w:val="0"/>
        <w:rPr>
          <w:color w:val="495965"/>
        </w:rPr>
      </w:pPr>
      <w:r>
        <w:rPr>
          <w:color w:val="495965"/>
        </w:rPr>
        <w:t>D</w:t>
      </w:r>
      <w:r w:rsidRPr="00317C59">
        <w:rPr>
          <w:color w:val="495965"/>
        </w:rPr>
        <w:t xml:space="preserve">eliver almost 10 tonnes of humanitarian supplies and return 600 </w:t>
      </w:r>
      <w:r>
        <w:rPr>
          <w:color w:val="495965"/>
        </w:rPr>
        <w:t>Pacific islanders and Timorese</w:t>
      </w:r>
      <w:r w:rsidRPr="00317C59">
        <w:rPr>
          <w:color w:val="495965"/>
        </w:rPr>
        <w:t xml:space="preserve"> </w:t>
      </w:r>
      <w:r>
        <w:rPr>
          <w:color w:val="495965"/>
        </w:rPr>
        <w:t>home.</w:t>
      </w:r>
    </w:p>
    <w:p w14:paraId="2A3529E3" w14:textId="77777777" w:rsidR="00C46EB7" w:rsidRDefault="00C46EB7" w:rsidP="00085CE8">
      <w:pPr>
        <w:pStyle w:val="ListParagraph"/>
        <w:numPr>
          <w:ilvl w:val="0"/>
          <w:numId w:val="18"/>
        </w:numPr>
        <w:suppressAutoHyphens w:val="0"/>
        <w:spacing w:before="0" w:line="240" w:lineRule="auto"/>
        <w:ind w:left="284" w:hanging="284"/>
        <w:contextualSpacing w:val="0"/>
        <w:rPr>
          <w:color w:val="495965"/>
        </w:rPr>
      </w:pPr>
      <w:r w:rsidRPr="00317C59">
        <w:rPr>
          <w:color w:val="495965"/>
        </w:rPr>
        <w:t>Partner</w:t>
      </w:r>
      <w:r w:rsidR="00463A10" w:rsidRPr="00317C59">
        <w:rPr>
          <w:color w:val="495965"/>
        </w:rPr>
        <w:t xml:space="preserve"> with </w:t>
      </w:r>
      <w:r w:rsidR="00463A10" w:rsidRPr="006461B8">
        <w:rPr>
          <w:color w:val="495965"/>
        </w:rPr>
        <w:t xml:space="preserve">multilateral </w:t>
      </w:r>
      <w:r w:rsidR="00463A10" w:rsidRPr="00B7494E">
        <w:rPr>
          <w:color w:val="495965"/>
        </w:rPr>
        <w:t>banks</w:t>
      </w:r>
      <w:r w:rsidR="00463A10" w:rsidRPr="00317C59">
        <w:rPr>
          <w:color w:val="495965"/>
        </w:rPr>
        <w:t xml:space="preserve"> </w:t>
      </w:r>
      <w:r w:rsidR="00F44E16" w:rsidRPr="00317C59">
        <w:rPr>
          <w:color w:val="495965"/>
        </w:rPr>
        <w:t>to facilitate</w:t>
      </w:r>
      <w:r w:rsidR="00463A10" w:rsidRPr="00317C59">
        <w:rPr>
          <w:color w:val="495965"/>
        </w:rPr>
        <w:t xml:space="preserve"> over US$140 million in loans and grants to the region to </w:t>
      </w:r>
      <w:r w:rsidR="003504AE" w:rsidRPr="00317C59">
        <w:rPr>
          <w:color w:val="495965"/>
        </w:rPr>
        <w:t>address the impacts of COVID-19.</w:t>
      </w:r>
    </w:p>
    <w:p w14:paraId="5494B597" w14:textId="77777777" w:rsidR="005B3594" w:rsidRPr="00BF7A94" w:rsidRDefault="00651213" w:rsidP="006461B8">
      <w:pPr>
        <w:rPr>
          <w:b/>
          <w:color w:val="495965"/>
          <w:sz w:val="24"/>
        </w:rPr>
      </w:pPr>
      <w:r w:rsidRPr="00BF7A94">
        <w:rPr>
          <w:b/>
          <w:color w:val="495965"/>
          <w:sz w:val="24"/>
        </w:rPr>
        <w:t>Other program highlights</w:t>
      </w:r>
    </w:p>
    <w:p w14:paraId="680750AC" w14:textId="77777777" w:rsidR="003504AE" w:rsidRPr="00A51563" w:rsidRDefault="003504AE" w:rsidP="006461B8">
      <w:pPr>
        <w:suppressAutoHyphens w:val="0"/>
        <w:spacing w:before="0" w:line="240" w:lineRule="auto"/>
        <w:rPr>
          <w:color w:val="495965"/>
        </w:rPr>
      </w:pPr>
      <w:r w:rsidRPr="00173D9D">
        <w:rPr>
          <w:color w:val="495965"/>
        </w:rPr>
        <w:t xml:space="preserve">In 2019-20, </w:t>
      </w:r>
      <w:r w:rsidR="00173D9D">
        <w:rPr>
          <w:color w:val="495965"/>
        </w:rPr>
        <w:t xml:space="preserve">Australia </w:t>
      </w:r>
      <w:r w:rsidRPr="00173D9D">
        <w:rPr>
          <w:color w:val="495965"/>
        </w:rPr>
        <w:t xml:space="preserve">also delivered on a </w:t>
      </w:r>
      <w:r w:rsidRPr="00A51563">
        <w:rPr>
          <w:color w:val="495965"/>
        </w:rPr>
        <w:t xml:space="preserve">number of existing commitments to the Pacific </w:t>
      </w:r>
      <w:r w:rsidR="00CA2DE3" w:rsidRPr="00A51563">
        <w:rPr>
          <w:color w:val="495965"/>
        </w:rPr>
        <w:t>by</w:t>
      </w:r>
      <w:r w:rsidRPr="00A51563">
        <w:rPr>
          <w:color w:val="495965"/>
        </w:rPr>
        <w:t>:</w:t>
      </w:r>
    </w:p>
    <w:p w14:paraId="7BAEC91F" w14:textId="77777777" w:rsidR="00B7494E" w:rsidRPr="00085CE8" w:rsidRDefault="00B7494E" w:rsidP="00085CE8">
      <w:pPr>
        <w:pStyle w:val="ListParagraph"/>
        <w:numPr>
          <w:ilvl w:val="0"/>
          <w:numId w:val="19"/>
        </w:numPr>
        <w:suppressAutoHyphens w:val="0"/>
        <w:spacing w:before="0" w:line="240" w:lineRule="auto"/>
        <w:ind w:left="284" w:hanging="284"/>
        <w:rPr>
          <w:color w:val="495965"/>
        </w:rPr>
      </w:pPr>
      <w:r w:rsidRPr="00085CE8">
        <w:rPr>
          <w:color w:val="495965"/>
        </w:rPr>
        <w:t>Delivering crisis services to 21,223 women and children experiencing violence through local partnerships under the Pacific Women program</w:t>
      </w:r>
      <w:r w:rsidR="00514158" w:rsidRPr="00085CE8">
        <w:rPr>
          <w:color w:val="495965"/>
        </w:rPr>
        <w:t>.</w:t>
      </w:r>
    </w:p>
    <w:p w14:paraId="7B66A704" w14:textId="77777777" w:rsidR="00571BEA" w:rsidRPr="00085CE8" w:rsidRDefault="00C46EB7" w:rsidP="00085CE8">
      <w:pPr>
        <w:pStyle w:val="ListParagraph"/>
        <w:numPr>
          <w:ilvl w:val="0"/>
          <w:numId w:val="19"/>
        </w:numPr>
        <w:suppressAutoHyphens w:val="0"/>
        <w:spacing w:before="0" w:line="240" w:lineRule="auto"/>
        <w:ind w:left="284" w:hanging="284"/>
        <w:rPr>
          <w:color w:val="495965"/>
          <w:lang w:val="en-AU"/>
        </w:rPr>
      </w:pPr>
      <w:r w:rsidRPr="00085CE8">
        <w:rPr>
          <w:color w:val="495965"/>
          <w:lang w:val="en-AU"/>
        </w:rPr>
        <w:t>C</w:t>
      </w:r>
      <w:r w:rsidR="003504AE" w:rsidRPr="00085CE8">
        <w:rPr>
          <w:color w:val="495965"/>
          <w:lang w:val="en-AU"/>
        </w:rPr>
        <w:t>omplet</w:t>
      </w:r>
      <w:r w:rsidR="00CA2DE3" w:rsidRPr="00085CE8">
        <w:rPr>
          <w:color w:val="495965"/>
          <w:lang w:val="en-AU"/>
        </w:rPr>
        <w:t>ing</w:t>
      </w:r>
      <w:r w:rsidR="00173D9D" w:rsidRPr="00085CE8">
        <w:rPr>
          <w:color w:val="495965"/>
          <w:lang w:val="en-AU"/>
        </w:rPr>
        <w:t xml:space="preserve"> </w:t>
      </w:r>
      <w:r w:rsidRPr="00085CE8">
        <w:rPr>
          <w:color w:val="495965"/>
          <w:lang w:val="en-AU"/>
        </w:rPr>
        <w:t>the</w:t>
      </w:r>
      <w:r w:rsidR="00571BEA" w:rsidRPr="00085CE8">
        <w:rPr>
          <w:color w:val="495965"/>
          <w:lang w:val="en-AU"/>
        </w:rPr>
        <w:t xml:space="preserve"> Coral Sea Cable System, </w:t>
      </w:r>
      <w:r w:rsidRPr="00085CE8">
        <w:rPr>
          <w:color w:val="495965"/>
          <w:lang w:val="en-AU"/>
        </w:rPr>
        <w:t>which became operational in February 2020, and is now</w:t>
      </w:r>
      <w:r w:rsidR="00571BEA" w:rsidRPr="00085CE8">
        <w:rPr>
          <w:color w:val="495965"/>
          <w:lang w:val="en-AU"/>
        </w:rPr>
        <w:t xml:space="preserve"> supporting faster and more reliable </w:t>
      </w:r>
      <w:r w:rsidR="00571BEA" w:rsidRPr="00085CE8">
        <w:rPr>
          <w:color w:val="495965"/>
        </w:rPr>
        <w:t>internet</w:t>
      </w:r>
      <w:r w:rsidR="00571BEA" w:rsidRPr="00085CE8">
        <w:rPr>
          <w:color w:val="495965"/>
          <w:lang w:val="en-AU"/>
        </w:rPr>
        <w:t xml:space="preserve"> connection within the region</w:t>
      </w:r>
      <w:r w:rsidR="00514158" w:rsidRPr="00085CE8">
        <w:rPr>
          <w:color w:val="495965"/>
          <w:lang w:val="en-AU"/>
        </w:rPr>
        <w:t>.</w:t>
      </w:r>
      <w:r w:rsidR="00571BEA" w:rsidRPr="00085CE8">
        <w:rPr>
          <w:color w:val="495965"/>
          <w:lang w:val="en-AU"/>
        </w:rPr>
        <w:t xml:space="preserve"> </w:t>
      </w:r>
    </w:p>
    <w:p w14:paraId="2C222EEE" w14:textId="77777777" w:rsidR="00700625" w:rsidRPr="00085CE8" w:rsidRDefault="003504AE" w:rsidP="00085CE8">
      <w:pPr>
        <w:pStyle w:val="ListParagraph"/>
        <w:numPr>
          <w:ilvl w:val="0"/>
          <w:numId w:val="19"/>
        </w:numPr>
        <w:suppressAutoHyphens w:val="0"/>
        <w:spacing w:before="0" w:line="240" w:lineRule="auto"/>
        <w:ind w:left="284" w:hanging="284"/>
        <w:rPr>
          <w:color w:val="495965"/>
          <w:lang w:val="en-AU"/>
        </w:rPr>
      </w:pPr>
      <w:r w:rsidRPr="00085CE8">
        <w:rPr>
          <w:color w:val="495965"/>
          <w:lang w:val="en-AU"/>
        </w:rPr>
        <w:t>Completing</w:t>
      </w:r>
      <w:r w:rsidR="00C46EB7" w:rsidRPr="00085CE8">
        <w:rPr>
          <w:color w:val="495965"/>
          <w:lang w:val="en-AU"/>
        </w:rPr>
        <w:t xml:space="preserve"> the inaugural year of</w:t>
      </w:r>
      <w:r w:rsidR="00207D2E" w:rsidRPr="00085CE8">
        <w:rPr>
          <w:color w:val="495965"/>
          <w:lang w:val="en-AU"/>
        </w:rPr>
        <w:t xml:space="preserve"> the Australian Infrastructure Financing Facility for the Pacific with financing progressing for the Solomon Islands’ Tina River Transmission System, Papua New Guinea’s Markham Valley Solar Projec</w:t>
      </w:r>
      <w:r w:rsidRPr="00085CE8">
        <w:rPr>
          <w:color w:val="495965"/>
          <w:lang w:val="en-AU"/>
        </w:rPr>
        <w:t>t and Palau’s undersea cable.</w:t>
      </w:r>
      <w:r w:rsidR="00207D2E" w:rsidRPr="00085CE8">
        <w:rPr>
          <w:color w:val="495965"/>
          <w:lang w:val="en-AU"/>
        </w:rPr>
        <w:t xml:space="preserve"> </w:t>
      </w:r>
    </w:p>
    <w:p w14:paraId="366F1849" w14:textId="77777777" w:rsidR="005A5442" w:rsidRPr="00085CE8" w:rsidRDefault="00C46EB7" w:rsidP="00085CE8">
      <w:pPr>
        <w:pStyle w:val="ListParagraph"/>
        <w:numPr>
          <w:ilvl w:val="0"/>
          <w:numId w:val="19"/>
        </w:numPr>
        <w:suppressAutoHyphens w:val="0"/>
        <w:spacing w:before="0" w:line="240" w:lineRule="auto"/>
        <w:ind w:left="284" w:hanging="284"/>
        <w:rPr>
          <w:color w:val="495965"/>
          <w:lang w:val="en-AU"/>
        </w:rPr>
      </w:pPr>
      <w:r w:rsidRPr="00085CE8">
        <w:rPr>
          <w:color w:val="495965"/>
          <w:lang w:val="en-AU"/>
        </w:rPr>
        <w:t>E</w:t>
      </w:r>
      <w:r w:rsidR="003504AE" w:rsidRPr="00085CE8">
        <w:rPr>
          <w:color w:val="495965"/>
          <w:lang w:val="en-AU"/>
        </w:rPr>
        <w:t>xceed</w:t>
      </w:r>
      <w:r w:rsidR="00CA2DE3" w:rsidRPr="00085CE8">
        <w:rPr>
          <w:color w:val="495965"/>
          <w:lang w:val="en-AU"/>
        </w:rPr>
        <w:t>ing</w:t>
      </w:r>
      <w:r w:rsidR="00173D9D" w:rsidRPr="00085CE8">
        <w:rPr>
          <w:color w:val="495965"/>
          <w:lang w:val="en-AU"/>
        </w:rPr>
        <w:t xml:space="preserve"> </w:t>
      </w:r>
      <w:r w:rsidRPr="00085CE8">
        <w:rPr>
          <w:color w:val="495965"/>
          <w:lang w:val="en-AU"/>
        </w:rPr>
        <w:t>our</w:t>
      </w:r>
      <w:r w:rsidR="005A5442" w:rsidRPr="00085CE8">
        <w:rPr>
          <w:color w:val="495965"/>
          <w:lang w:val="en-AU"/>
        </w:rPr>
        <w:t xml:space="preserve"> 2016 commitment to spend $300</w:t>
      </w:r>
      <w:r w:rsidR="00514158" w:rsidRPr="00085CE8">
        <w:rPr>
          <w:color w:val="495965"/>
          <w:lang w:val="en-AU"/>
        </w:rPr>
        <w:t> </w:t>
      </w:r>
      <w:r w:rsidR="005A5442" w:rsidRPr="00085CE8">
        <w:rPr>
          <w:color w:val="495965"/>
          <w:lang w:val="en-AU"/>
        </w:rPr>
        <w:t>million over four years to strengthen climate and disaster resilience in the Pacific</w:t>
      </w:r>
      <w:r w:rsidR="00514158" w:rsidRPr="00085CE8">
        <w:rPr>
          <w:color w:val="495965"/>
          <w:lang w:val="en-AU"/>
        </w:rPr>
        <w:t>.</w:t>
      </w:r>
    </w:p>
    <w:p w14:paraId="5F03685B" w14:textId="7202F898" w:rsidR="007F3CB8" w:rsidRPr="00085CE8" w:rsidRDefault="00C46EB7" w:rsidP="00085CE8">
      <w:pPr>
        <w:pStyle w:val="ListParagraph"/>
        <w:numPr>
          <w:ilvl w:val="0"/>
          <w:numId w:val="19"/>
        </w:numPr>
        <w:suppressAutoHyphens w:val="0"/>
        <w:spacing w:before="0" w:line="240" w:lineRule="auto"/>
        <w:ind w:left="284" w:hanging="284"/>
        <w:rPr>
          <w:color w:val="495965"/>
          <w:lang w:val="en-AU"/>
        </w:rPr>
      </w:pPr>
      <w:r w:rsidRPr="00085CE8">
        <w:rPr>
          <w:color w:val="495965"/>
          <w:lang w:val="en-AU"/>
        </w:rPr>
        <w:t>P</w:t>
      </w:r>
      <w:r w:rsidR="003504AE" w:rsidRPr="00085CE8">
        <w:rPr>
          <w:color w:val="495965"/>
          <w:lang w:val="en-AU"/>
        </w:rPr>
        <w:t>artner</w:t>
      </w:r>
      <w:r w:rsidR="00CA2DE3" w:rsidRPr="00085CE8">
        <w:rPr>
          <w:color w:val="495965"/>
          <w:lang w:val="en-AU"/>
        </w:rPr>
        <w:t>ing</w:t>
      </w:r>
      <w:r w:rsidR="00173D9D" w:rsidRPr="00085CE8">
        <w:rPr>
          <w:color w:val="495965"/>
          <w:lang w:val="en-AU"/>
        </w:rPr>
        <w:t xml:space="preserve"> </w:t>
      </w:r>
      <w:r w:rsidR="005B3594" w:rsidRPr="00085CE8">
        <w:rPr>
          <w:color w:val="495965"/>
          <w:lang w:val="en-AU"/>
        </w:rPr>
        <w:t>with 10 countries to exceed 1,000</w:t>
      </w:r>
      <w:r w:rsidR="00514158" w:rsidRPr="00085CE8">
        <w:rPr>
          <w:color w:val="495965"/>
          <w:lang w:val="en-AU"/>
        </w:rPr>
        <w:t> </w:t>
      </w:r>
      <w:r w:rsidR="005B3594" w:rsidRPr="00085CE8">
        <w:rPr>
          <w:color w:val="495965"/>
          <w:lang w:val="en-AU"/>
        </w:rPr>
        <w:t>worker mobilisations</w:t>
      </w:r>
      <w:r w:rsidRPr="00085CE8">
        <w:rPr>
          <w:color w:val="495965"/>
          <w:lang w:val="en-AU"/>
        </w:rPr>
        <w:t xml:space="preserve"> </w:t>
      </w:r>
      <w:r w:rsidR="00CA2DE3" w:rsidRPr="00085CE8">
        <w:rPr>
          <w:color w:val="495965"/>
          <w:lang w:val="en-AU"/>
        </w:rPr>
        <w:t xml:space="preserve">under </w:t>
      </w:r>
      <w:r w:rsidR="0047313B" w:rsidRPr="00085CE8">
        <w:rPr>
          <w:color w:val="495965"/>
          <w:lang w:val="en-AU"/>
        </w:rPr>
        <w:t>the Pacific Labour Scheme</w:t>
      </w:r>
      <w:r w:rsidR="00624911" w:rsidRPr="00085CE8">
        <w:rPr>
          <w:color w:val="495965"/>
          <w:lang w:val="en-AU"/>
        </w:rPr>
        <w:t>,</w:t>
      </w:r>
      <w:r w:rsidR="005B3594" w:rsidRPr="00085CE8">
        <w:rPr>
          <w:color w:val="495965"/>
          <w:lang w:val="en-AU"/>
        </w:rPr>
        <w:t xml:space="preserve"> providing incomes, </w:t>
      </w:r>
      <w:r w:rsidR="00CA2DE3" w:rsidRPr="00085CE8">
        <w:rPr>
          <w:color w:val="495965"/>
          <w:lang w:val="en-AU"/>
        </w:rPr>
        <w:t xml:space="preserve">remittances and </w:t>
      </w:r>
      <w:r w:rsidR="005B3594" w:rsidRPr="00085CE8">
        <w:rPr>
          <w:color w:val="495965"/>
          <w:lang w:val="en-AU"/>
        </w:rPr>
        <w:t xml:space="preserve">job skills for workers and their communities, </w:t>
      </w:r>
      <w:r w:rsidR="005A5442" w:rsidRPr="00085CE8">
        <w:rPr>
          <w:color w:val="495965"/>
          <w:lang w:val="en-AU"/>
        </w:rPr>
        <w:t xml:space="preserve">and </w:t>
      </w:r>
      <w:r w:rsidR="005B3594" w:rsidRPr="00085CE8">
        <w:rPr>
          <w:color w:val="495965"/>
          <w:lang w:val="en-AU"/>
        </w:rPr>
        <w:t>supporting regional Australia</w:t>
      </w:r>
      <w:r w:rsidR="005A5442" w:rsidRPr="00085CE8">
        <w:rPr>
          <w:color w:val="495965"/>
          <w:lang w:val="en-AU"/>
        </w:rPr>
        <w:t>’s workforce needs</w:t>
      </w:r>
      <w:r w:rsidR="00514158" w:rsidRPr="00085CE8">
        <w:rPr>
          <w:color w:val="495965"/>
          <w:lang w:val="en-AU"/>
        </w:rPr>
        <w:t>.</w:t>
      </w:r>
      <w:r w:rsidR="005B3594" w:rsidRPr="00085CE8">
        <w:rPr>
          <w:color w:val="495965"/>
          <w:lang w:val="en-AU"/>
        </w:rPr>
        <w:t xml:space="preserve"> </w:t>
      </w:r>
    </w:p>
    <w:p w14:paraId="20C761F9" w14:textId="77777777" w:rsidR="00CA2DE3" w:rsidRPr="00085CE8" w:rsidRDefault="00CA2DE3" w:rsidP="00085CE8">
      <w:pPr>
        <w:pStyle w:val="ListParagraph"/>
        <w:numPr>
          <w:ilvl w:val="0"/>
          <w:numId w:val="19"/>
        </w:numPr>
        <w:suppressAutoHyphens w:val="0"/>
        <w:spacing w:before="0" w:line="240" w:lineRule="auto"/>
        <w:ind w:left="284" w:hanging="284"/>
        <w:rPr>
          <w:color w:val="495965"/>
          <w:lang w:val="en-AU"/>
        </w:rPr>
      </w:pPr>
      <w:r w:rsidRPr="00085CE8">
        <w:rPr>
          <w:color w:val="495965"/>
          <w:lang w:val="en-AU"/>
        </w:rPr>
        <w:t>Graduating</w:t>
      </w:r>
      <w:r w:rsidR="00173D9D" w:rsidRPr="00085CE8">
        <w:rPr>
          <w:color w:val="495965"/>
          <w:lang w:val="en-AU"/>
        </w:rPr>
        <w:t xml:space="preserve"> </w:t>
      </w:r>
      <w:r w:rsidR="00C46EB7" w:rsidRPr="00085CE8">
        <w:rPr>
          <w:color w:val="495965"/>
          <w:lang w:val="en-AU"/>
        </w:rPr>
        <w:t>1,306 students through the</w:t>
      </w:r>
      <w:r w:rsidR="00D46415" w:rsidRPr="00085CE8">
        <w:rPr>
          <w:color w:val="495965"/>
          <w:lang w:val="en-AU"/>
        </w:rPr>
        <w:t xml:space="preserve"> Australia Pacific Training Coalition</w:t>
      </w:r>
      <w:r w:rsidR="00514158" w:rsidRPr="00085CE8">
        <w:rPr>
          <w:color w:val="495965"/>
          <w:lang w:val="en-AU"/>
        </w:rPr>
        <w:t>.</w:t>
      </w:r>
    </w:p>
    <w:p w14:paraId="1C064B0D" w14:textId="77777777" w:rsidR="00317C59" w:rsidRPr="00085CE8" w:rsidRDefault="00257C99" w:rsidP="00085CE8">
      <w:pPr>
        <w:pStyle w:val="ListParagraph"/>
        <w:numPr>
          <w:ilvl w:val="0"/>
          <w:numId w:val="19"/>
        </w:numPr>
        <w:suppressAutoHyphens w:val="0"/>
        <w:spacing w:before="0" w:line="240" w:lineRule="auto"/>
        <w:ind w:left="284" w:hanging="284"/>
        <w:rPr>
          <w:color w:val="495965"/>
          <w:lang w:val="en-AU"/>
        </w:rPr>
      </w:pPr>
      <w:r w:rsidRPr="00085CE8">
        <w:rPr>
          <w:color w:val="495965"/>
          <w:lang w:val="en-AU"/>
        </w:rPr>
        <w:t xml:space="preserve">Supporting 2018 </w:t>
      </w:r>
      <w:proofErr w:type="spellStart"/>
      <w:r w:rsidRPr="00085CE8">
        <w:rPr>
          <w:color w:val="495965"/>
          <w:lang w:val="en-AU"/>
        </w:rPr>
        <w:t>Boe</w:t>
      </w:r>
      <w:proofErr w:type="spellEnd"/>
      <w:r w:rsidRPr="00085CE8">
        <w:rPr>
          <w:color w:val="495965"/>
          <w:lang w:val="en-AU"/>
        </w:rPr>
        <w:t xml:space="preserve"> Declaration on Regional Security </w:t>
      </w:r>
      <w:r w:rsidR="00317C59" w:rsidRPr="00085CE8">
        <w:rPr>
          <w:color w:val="495965"/>
          <w:lang w:val="en-AU"/>
        </w:rPr>
        <w:t>implementation</w:t>
      </w:r>
      <w:r w:rsidR="00404015" w:rsidRPr="00085CE8">
        <w:rPr>
          <w:color w:val="495965"/>
          <w:lang w:val="en-AU"/>
        </w:rPr>
        <w:t>,</w:t>
      </w:r>
      <w:r w:rsidR="00317C59" w:rsidRPr="00085CE8">
        <w:rPr>
          <w:color w:val="495965"/>
          <w:lang w:val="en-AU"/>
        </w:rPr>
        <w:t xml:space="preserve"> </w:t>
      </w:r>
      <w:r w:rsidRPr="00085CE8">
        <w:rPr>
          <w:color w:val="495965"/>
          <w:lang w:val="en-AU"/>
        </w:rPr>
        <w:t>including with the launch of the Australia Pacific Security College</w:t>
      </w:r>
      <w:r w:rsidR="00514158" w:rsidRPr="00085CE8">
        <w:rPr>
          <w:color w:val="495965"/>
          <w:lang w:val="en-AU"/>
        </w:rPr>
        <w:t>.</w:t>
      </w:r>
    </w:p>
    <w:p w14:paraId="3879F10A" w14:textId="77777777" w:rsidR="00A51563" w:rsidRPr="00085CE8" w:rsidRDefault="007F3CB8" w:rsidP="00085CE8">
      <w:pPr>
        <w:pStyle w:val="ListParagraph"/>
        <w:numPr>
          <w:ilvl w:val="0"/>
          <w:numId w:val="19"/>
        </w:numPr>
        <w:suppressAutoHyphens w:val="0"/>
        <w:spacing w:before="0" w:line="240" w:lineRule="auto"/>
        <w:ind w:left="284" w:hanging="284"/>
        <w:rPr>
          <w:color w:val="495965"/>
          <w:lang w:val="en-AU"/>
        </w:rPr>
      </w:pPr>
      <w:r w:rsidRPr="00085CE8">
        <w:rPr>
          <w:color w:val="495965"/>
          <w:lang w:val="en-AU"/>
        </w:rPr>
        <w:t>Hosting Pacific e</w:t>
      </w:r>
      <w:r w:rsidR="00317C59" w:rsidRPr="00085CE8">
        <w:rPr>
          <w:color w:val="495965"/>
          <w:lang w:val="en-AU"/>
        </w:rPr>
        <w:t xml:space="preserve">ducation </w:t>
      </w:r>
      <w:r w:rsidR="00A51563" w:rsidRPr="00085CE8">
        <w:rPr>
          <w:color w:val="495965"/>
          <w:lang w:val="en-AU"/>
        </w:rPr>
        <w:t xml:space="preserve">senior </w:t>
      </w:r>
      <w:r w:rsidR="00317C59" w:rsidRPr="00085CE8">
        <w:rPr>
          <w:color w:val="495965"/>
          <w:lang w:val="en-AU"/>
        </w:rPr>
        <w:t>officials</w:t>
      </w:r>
      <w:r w:rsidR="00493CE9" w:rsidRPr="00085CE8">
        <w:rPr>
          <w:color w:val="495965"/>
          <w:lang w:val="en-AU"/>
        </w:rPr>
        <w:t>,</w:t>
      </w:r>
      <w:r w:rsidR="00317C59" w:rsidRPr="00085CE8">
        <w:rPr>
          <w:color w:val="495965"/>
          <w:lang w:val="en-AU"/>
        </w:rPr>
        <w:t xml:space="preserve"> and co-financing </w:t>
      </w:r>
      <w:r w:rsidR="00B7494E" w:rsidRPr="00085CE8">
        <w:rPr>
          <w:color w:val="495965"/>
          <w:lang w:val="en-AU"/>
        </w:rPr>
        <w:t xml:space="preserve">complementary </w:t>
      </w:r>
      <w:r w:rsidR="00317C59" w:rsidRPr="00085CE8">
        <w:rPr>
          <w:color w:val="495965"/>
          <w:lang w:val="en-AU"/>
        </w:rPr>
        <w:t>Nauru scholarships</w:t>
      </w:r>
      <w:r w:rsidR="00493CE9" w:rsidRPr="00085CE8">
        <w:rPr>
          <w:color w:val="495965"/>
          <w:lang w:val="en-AU"/>
        </w:rPr>
        <w:t>,</w:t>
      </w:r>
      <w:r w:rsidR="00317C59" w:rsidRPr="00085CE8">
        <w:rPr>
          <w:color w:val="495965"/>
          <w:lang w:val="en-AU"/>
        </w:rPr>
        <w:t xml:space="preserve"> </w:t>
      </w:r>
      <w:r w:rsidR="00A51563" w:rsidRPr="00085CE8">
        <w:rPr>
          <w:color w:val="495965"/>
          <w:lang w:val="en-AU"/>
        </w:rPr>
        <w:t xml:space="preserve">in </w:t>
      </w:r>
      <w:r w:rsidR="00317C59" w:rsidRPr="00085CE8">
        <w:rPr>
          <w:color w:val="495965"/>
          <w:lang w:val="en-AU"/>
        </w:rPr>
        <w:t>the secondary schools scholarship program</w:t>
      </w:r>
      <w:r w:rsidR="00493CE9" w:rsidRPr="00085CE8">
        <w:rPr>
          <w:color w:val="495965"/>
          <w:lang w:val="en-AU"/>
        </w:rPr>
        <w:t>’s</w:t>
      </w:r>
      <w:r w:rsidR="00B7494E" w:rsidRPr="00085CE8">
        <w:rPr>
          <w:color w:val="495965"/>
          <w:lang w:val="en-AU"/>
        </w:rPr>
        <w:t xml:space="preserve"> first </w:t>
      </w:r>
      <w:r w:rsidR="00493CE9" w:rsidRPr="00085CE8">
        <w:rPr>
          <w:color w:val="495965"/>
          <w:lang w:val="en-AU"/>
        </w:rPr>
        <w:t>year</w:t>
      </w:r>
      <w:r w:rsidR="00514158" w:rsidRPr="00085CE8">
        <w:rPr>
          <w:color w:val="495965"/>
          <w:lang w:val="en-AU"/>
        </w:rPr>
        <w:t>.</w:t>
      </w:r>
    </w:p>
    <w:p w14:paraId="3920D2C4" w14:textId="77777777" w:rsidR="00317C59" w:rsidRPr="00085CE8" w:rsidRDefault="00072384" w:rsidP="00085CE8">
      <w:pPr>
        <w:pStyle w:val="ListParagraph"/>
        <w:numPr>
          <w:ilvl w:val="0"/>
          <w:numId w:val="19"/>
        </w:numPr>
        <w:suppressAutoHyphens w:val="0"/>
        <w:spacing w:before="0" w:line="240" w:lineRule="auto"/>
        <w:ind w:left="284" w:hanging="284"/>
        <w:rPr>
          <w:color w:val="495965"/>
        </w:rPr>
        <w:sectPr w:rsidR="00317C59" w:rsidRPr="00085CE8" w:rsidSect="00AB1A66">
          <w:headerReference w:type="default" r:id="rId16"/>
          <w:footerReference w:type="default" r:id="rId17"/>
          <w:headerReference w:type="first" r:id="rId18"/>
          <w:footerReference w:type="first" r:id="rId19"/>
          <w:type w:val="continuous"/>
          <w:pgSz w:w="11906" w:h="16838" w:code="9"/>
          <w:pgMar w:top="1701" w:right="851" w:bottom="1418" w:left="851" w:header="425" w:footer="493" w:gutter="0"/>
          <w:cols w:num="2" w:space="397"/>
          <w:titlePg/>
          <w:docGrid w:linePitch="360"/>
        </w:sectPr>
      </w:pPr>
      <w:r w:rsidRPr="00085CE8">
        <w:rPr>
          <w:color w:val="495965"/>
        </w:rPr>
        <w:t xml:space="preserve">Supporting over 150 Pacific athletes to compete at the </w:t>
      </w:r>
      <w:r w:rsidR="005D1993" w:rsidRPr="00085CE8">
        <w:rPr>
          <w:color w:val="495965"/>
        </w:rPr>
        <w:t xml:space="preserve">Samoa </w:t>
      </w:r>
      <w:r w:rsidRPr="00085CE8">
        <w:rPr>
          <w:color w:val="495965"/>
        </w:rPr>
        <w:t>Pacific Games</w:t>
      </w:r>
      <w:r w:rsidR="005D1993" w:rsidRPr="00085CE8">
        <w:rPr>
          <w:color w:val="495965"/>
        </w:rPr>
        <w:t xml:space="preserve"> through </w:t>
      </w:r>
      <w:proofErr w:type="spellStart"/>
      <w:r w:rsidR="005D1993" w:rsidRPr="00085CE8">
        <w:rPr>
          <w:i/>
          <w:color w:val="495965"/>
        </w:rPr>
        <w:t>PacificAus</w:t>
      </w:r>
      <w:proofErr w:type="spellEnd"/>
      <w:r w:rsidR="005D1993" w:rsidRPr="00085CE8">
        <w:rPr>
          <w:i/>
          <w:color w:val="495965"/>
        </w:rPr>
        <w:t xml:space="preserve"> Sports</w:t>
      </w:r>
      <w:r w:rsidR="005D1993" w:rsidRPr="00085CE8">
        <w:rPr>
          <w:color w:val="495965"/>
        </w:rPr>
        <w:t>.</w:t>
      </w:r>
    </w:p>
    <w:p w14:paraId="3B4283A4" w14:textId="3DAE30D0" w:rsidR="004C5598" w:rsidRPr="00BF7A94" w:rsidRDefault="00D00153" w:rsidP="004C5598">
      <w:pPr>
        <w:pStyle w:val="Heading2"/>
        <w:spacing w:before="360" w:line="300" w:lineRule="exact"/>
        <w:contextualSpacing w:val="0"/>
        <w:rPr>
          <w:color w:val="495965"/>
          <w:sz w:val="24"/>
          <w:szCs w:val="24"/>
        </w:rPr>
      </w:pPr>
      <w:r w:rsidRPr="00B002F9">
        <w:rPr>
          <w:color w:val="495965"/>
        </w:rPr>
        <w:lastRenderedPageBreak/>
        <w:t>P</w:t>
      </w:r>
      <w:r w:rsidR="004C5598" w:rsidRPr="00B002F9">
        <w:rPr>
          <w:color w:val="495965"/>
        </w:rPr>
        <w:t>rogress against 2019-20 performance</w:t>
      </w:r>
      <w:r w:rsidR="004C5598" w:rsidRPr="00BF7A94">
        <w:rPr>
          <w:color w:val="495965"/>
        </w:rPr>
        <w:t xml:space="preserve"> indicators</w:t>
      </w:r>
      <w:r w:rsidR="00C32299" w:rsidRPr="00BF7A94">
        <w:rPr>
          <w:color w:val="495965"/>
        </w:rPr>
        <w:br/>
      </w:r>
    </w:p>
    <w:tbl>
      <w:tblPr>
        <w:tblStyle w:val="TableGrid"/>
        <w:tblW w:w="10059" w:type="dxa"/>
        <w:tblLayout w:type="fixed"/>
        <w:tblLook w:val="04A0" w:firstRow="1" w:lastRow="0" w:firstColumn="1" w:lastColumn="0" w:noHBand="0" w:noVBand="1"/>
        <w:tblCaption w:val="Performance Assessment Framework1"/>
        <w:tblDescription w:val="This program has four strategic objectives and nine performance benchmark, indicators that are used to measure progress."/>
      </w:tblPr>
      <w:tblGrid>
        <w:gridCol w:w="2122"/>
        <w:gridCol w:w="2551"/>
        <w:gridCol w:w="5386"/>
      </w:tblGrid>
      <w:tr w:rsidR="00BF7A94" w:rsidRPr="00BF7A94" w14:paraId="684189A2" w14:textId="77777777" w:rsidTr="006523F1">
        <w:trPr>
          <w:tblHeader/>
        </w:trPr>
        <w:tc>
          <w:tcPr>
            <w:tcW w:w="2122" w:type="dxa"/>
            <w:shd w:val="clear" w:color="auto" w:fill="C1E7E0" w:themeFill="accent1" w:themeFillTint="66"/>
          </w:tcPr>
          <w:p w14:paraId="01C10DA3" w14:textId="77777777" w:rsidR="00616559" w:rsidRPr="00BF7A94" w:rsidRDefault="00616559" w:rsidP="0082311C">
            <w:pPr>
              <w:pStyle w:val="BodyText"/>
              <w:spacing w:before="40" w:after="40" w:line="240" w:lineRule="auto"/>
              <w:rPr>
                <w:rFonts w:asciiTheme="majorHAnsi" w:eastAsiaTheme="majorEastAsia" w:hAnsiTheme="majorHAnsi" w:cstheme="majorHAnsi"/>
                <w:b/>
                <w:caps/>
                <w:color w:val="495965"/>
                <w:sz w:val="20"/>
                <w:szCs w:val="20"/>
              </w:rPr>
            </w:pPr>
            <w:r w:rsidRPr="00BF7A94">
              <w:rPr>
                <w:rFonts w:asciiTheme="majorHAnsi" w:eastAsiaTheme="majorEastAsia" w:hAnsiTheme="majorHAnsi" w:cstheme="majorHAnsi"/>
                <w:b/>
                <w:caps/>
                <w:color w:val="495965"/>
                <w:sz w:val="20"/>
                <w:szCs w:val="20"/>
              </w:rPr>
              <w:t>title of strategic OBJECTIVE</w:t>
            </w:r>
          </w:p>
        </w:tc>
        <w:tc>
          <w:tcPr>
            <w:tcW w:w="2551" w:type="dxa"/>
            <w:shd w:val="clear" w:color="auto" w:fill="C1E7E0" w:themeFill="accent1" w:themeFillTint="66"/>
          </w:tcPr>
          <w:p w14:paraId="6634DEA2" w14:textId="77777777" w:rsidR="00616559" w:rsidRPr="00BF7A94" w:rsidRDefault="00616559" w:rsidP="0082311C">
            <w:pPr>
              <w:pStyle w:val="BodyText"/>
              <w:spacing w:before="40" w:after="40" w:line="240" w:lineRule="auto"/>
              <w:rPr>
                <w:rFonts w:asciiTheme="majorHAnsi" w:eastAsiaTheme="majorEastAsia" w:hAnsiTheme="majorHAnsi" w:cstheme="majorHAnsi"/>
                <w:b/>
                <w:caps/>
                <w:color w:val="495965"/>
                <w:sz w:val="20"/>
                <w:szCs w:val="20"/>
              </w:rPr>
            </w:pPr>
            <w:r w:rsidRPr="00BF7A94">
              <w:rPr>
                <w:rFonts w:asciiTheme="majorHAnsi" w:eastAsiaTheme="majorEastAsia" w:hAnsiTheme="majorHAnsi" w:cstheme="majorHAnsi"/>
                <w:b/>
                <w:caps/>
                <w:color w:val="495965"/>
                <w:sz w:val="20"/>
                <w:szCs w:val="20"/>
              </w:rPr>
              <w:t>Performance assessment framework indicator/benchmark</w:t>
            </w:r>
          </w:p>
        </w:tc>
        <w:tc>
          <w:tcPr>
            <w:tcW w:w="5386" w:type="dxa"/>
            <w:shd w:val="clear" w:color="auto" w:fill="C1E7E0" w:themeFill="accent1" w:themeFillTint="66"/>
          </w:tcPr>
          <w:p w14:paraId="154DE471" w14:textId="77777777" w:rsidR="00616559" w:rsidRPr="00BF7A94" w:rsidRDefault="00616559" w:rsidP="001A7ED5">
            <w:pPr>
              <w:pStyle w:val="BodyText"/>
              <w:spacing w:before="40" w:after="40" w:line="240" w:lineRule="auto"/>
              <w:rPr>
                <w:rFonts w:asciiTheme="majorHAnsi" w:eastAsiaTheme="majorEastAsia" w:hAnsiTheme="majorHAnsi" w:cstheme="majorHAnsi"/>
                <w:b/>
                <w:caps/>
                <w:color w:val="495965"/>
                <w:sz w:val="20"/>
                <w:szCs w:val="20"/>
              </w:rPr>
            </w:pPr>
            <w:r w:rsidRPr="00BF7A94">
              <w:rPr>
                <w:rFonts w:asciiTheme="majorHAnsi" w:eastAsiaTheme="majorEastAsia" w:hAnsiTheme="majorHAnsi" w:cstheme="majorHAnsi"/>
                <w:b/>
                <w:caps/>
                <w:color w:val="495965"/>
                <w:sz w:val="20"/>
                <w:szCs w:val="20"/>
              </w:rPr>
              <w:t>Brief summary of progress against indicator/benchmark</w:t>
            </w:r>
          </w:p>
        </w:tc>
      </w:tr>
      <w:tr w:rsidR="00BF7A94" w:rsidRPr="00BF7A94" w14:paraId="3A9A1CDB" w14:textId="77777777" w:rsidTr="006523F1">
        <w:trPr>
          <w:tblHeader/>
        </w:trPr>
        <w:tc>
          <w:tcPr>
            <w:tcW w:w="2122" w:type="dxa"/>
          </w:tcPr>
          <w:p w14:paraId="3549E9BD" w14:textId="77777777" w:rsidR="003823B9" w:rsidRPr="00BF7A94" w:rsidRDefault="003823B9" w:rsidP="00CF790F">
            <w:pPr>
              <w:pStyle w:val="BodyText"/>
              <w:spacing w:before="40" w:after="40" w:line="240" w:lineRule="auto"/>
              <w:rPr>
                <w:rFonts w:eastAsia="Times New Roman"/>
                <w:b/>
                <w:iCs/>
                <w:color w:val="495965"/>
                <w:szCs w:val="17"/>
              </w:rPr>
            </w:pPr>
            <w:r w:rsidRPr="00BF7A94">
              <w:rPr>
                <w:rFonts w:eastAsia="Times New Roman"/>
                <w:b/>
                <w:iCs/>
                <w:color w:val="495965"/>
                <w:szCs w:val="17"/>
              </w:rPr>
              <w:t xml:space="preserve">Objective 1: Economic Growth  </w:t>
            </w:r>
          </w:p>
          <w:p w14:paraId="1AA332E8" w14:textId="77777777" w:rsidR="00616559" w:rsidRDefault="00CC75A0" w:rsidP="00CF790F">
            <w:pPr>
              <w:pStyle w:val="BodyText"/>
              <w:spacing w:before="40" w:after="40" w:line="240" w:lineRule="auto"/>
              <w:rPr>
                <w:iCs/>
                <w:color w:val="495965"/>
                <w:sz w:val="20"/>
                <w:szCs w:val="20"/>
              </w:rPr>
            </w:pPr>
            <w:r>
              <w:rPr>
                <w:iCs/>
                <w:color w:val="495965"/>
                <w:sz w:val="20"/>
                <w:szCs w:val="20"/>
              </w:rPr>
              <w:t xml:space="preserve">- </w:t>
            </w:r>
            <w:r w:rsidR="00616559" w:rsidRPr="00BF7A94">
              <w:rPr>
                <w:iCs/>
                <w:color w:val="495965"/>
                <w:sz w:val="20"/>
                <w:szCs w:val="20"/>
              </w:rPr>
              <w:t>Collective action managing regional resources delivers economic benefits to Pacific governments</w:t>
            </w:r>
            <w:r>
              <w:rPr>
                <w:iCs/>
                <w:color w:val="495965"/>
                <w:sz w:val="20"/>
                <w:szCs w:val="20"/>
              </w:rPr>
              <w:t>.</w:t>
            </w:r>
          </w:p>
          <w:p w14:paraId="4BA254BF" w14:textId="62E4123B" w:rsidR="00CC75A0" w:rsidRDefault="00CC75A0" w:rsidP="00CC75A0">
            <w:pPr>
              <w:pStyle w:val="BodyText"/>
              <w:spacing w:before="40" w:after="40" w:line="240" w:lineRule="auto"/>
              <w:rPr>
                <w:iCs/>
                <w:color w:val="495965"/>
                <w:sz w:val="20"/>
                <w:szCs w:val="20"/>
              </w:rPr>
            </w:pPr>
            <w:r>
              <w:rPr>
                <w:iCs/>
                <w:color w:val="495965"/>
                <w:sz w:val="20"/>
                <w:szCs w:val="20"/>
              </w:rPr>
              <w:t xml:space="preserve">- </w:t>
            </w:r>
            <w:r w:rsidRPr="00BF7A94">
              <w:rPr>
                <w:iCs/>
                <w:color w:val="495965"/>
                <w:sz w:val="20"/>
                <w:szCs w:val="20"/>
              </w:rPr>
              <w:t>Australia Pacific Training Coalition</w:t>
            </w:r>
            <w:r>
              <w:rPr>
                <w:iCs/>
                <w:color w:val="495965"/>
                <w:sz w:val="20"/>
                <w:szCs w:val="20"/>
              </w:rPr>
              <w:t xml:space="preserve"> (APTC)</w:t>
            </w:r>
            <w:r w:rsidRPr="00BF7A94">
              <w:rPr>
                <w:iCs/>
                <w:color w:val="495965"/>
                <w:sz w:val="20"/>
                <w:szCs w:val="20"/>
              </w:rPr>
              <w:t xml:space="preserve"> provides more Pacific islanders with internationally recognised qualifications</w:t>
            </w:r>
            <w:r>
              <w:rPr>
                <w:iCs/>
                <w:color w:val="495965"/>
                <w:sz w:val="20"/>
                <w:szCs w:val="20"/>
              </w:rPr>
              <w:t>.</w:t>
            </w:r>
          </w:p>
          <w:p w14:paraId="59D0EB4B" w14:textId="77777777" w:rsidR="00CC75A0" w:rsidRPr="00BF7A94" w:rsidRDefault="00CC75A0" w:rsidP="00CC75A0">
            <w:pPr>
              <w:pStyle w:val="BodyText"/>
              <w:spacing w:before="40" w:after="40" w:line="240" w:lineRule="auto"/>
              <w:rPr>
                <w:iCs/>
                <w:color w:val="495965"/>
                <w:sz w:val="20"/>
                <w:szCs w:val="20"/>
              </w:rPr>
            </w:pPr>
            <w:r>
              <w:rPr>
                <w:iCs/>
                <w:color w:val="495965"/>
                <w:sz w:val="20"/>
                <w:szCs w:val="20"/>
              </w:rPr>
              <w:t xml:space="preserve">- </w:t>
            </w:r>
            <w:r w:rsidRPr="00BF7A94">
              <w:rPr>
                <w:iCs/>
                <w:color w:val="495965"/>
                <w:sz w:val="20"/>
                <w:szCs w:val="20"/>
              </w:rPr>
              <w:t>Aid program attracts new private sector investment that contributes to Pacific development outcomes</w:t>
            </w:r>
            <w:r>
              <w:rPr>
                <w:iCs/>
                <w:color w:val="495965"/>
                <w:sz w:val="20"/>
                <w:szCs w:val="20"/>
              </w:rPr>
              <w:t>.</w:t>
            </w:r>
          </w:p>
          <w:p w14:paraId="6F98C1FD" w14:textId="432918A4" w:rsidR="00CC75A0" w:rsidRPr="00BF7A94" w:rsidRDefault="00CC75A0" w:rsidP="00CF790F">
            <w:pPr>
              <w:pStyle w:val="BodyText"/>
              <w:spacing w:before="40" w:after="40" w:line="240" w:lineRule="auto"/>
              <w:rPr>
                <w:iCs/>
                <w:color w:val="495965"/>
                <w:sz w:val="20"/>
                <w:szCs w:val="20"/>
              </w:rPr>
            </w:pPr>
          </w:p>
        </w:tc>
        <w:tc>
          <w:tcPr>
            <w:tcW w:w="2551" w:type="dxa"/>
          </w:tcPr>
          <w:p w14:paraId="5256E7F1" w14:textId="77777777" w:rsidR="003823B9" w:rsidRPr="00BF7A94" w:rsidRDefault="00616559" w:rsidP="00CF790F">
            <w:pPr>
              <w:pStyle w:val="BodyText"/>
              <w:spacing w:before="40" w:after="40" w:line="240" w:lineRule="auto"/>
              <w:rPr>
                <w:iCs/>
                <w:color w:val="495965"/>
                <w:sz w:val="20"/>
                <w:szCs w:val="20"/>
              </w:rPr>
            </w:pPr>
            <w:r w:rsidRPr="00BF7A94">
              <w:rPr>
                <w:b/>
                <w:iCs/>
                <w:color w:val="495965"/>
                <w:sz w:val="20"/>
                <w:szCs w:val="20"/>
              </w:rPr>
              <w:t>1.1</w:t>
            </w:r>
            <w:r w:rsidRPr="00BF7A94">
              <w:rPr>
                <w:iCs/>
                <w:color w:val="495965"/>
                <w:sz w:val="20"/>
                <w:szCs w:val="20"/>
              </w:rPr>
              <w:t xml:space="preserve">  5 per cent annual increase in revenue flowing to Forum Fisheries Agency (FFA) Pacific island member governments from offshore tuna fisheries</w:t>
            </w:r>
          </w:p>
          <w:p w14:paraId="7811A24F" w14:textId="4DA6420A" w:rsidR="00616559" w:rsidRDefault="00207D2E" w:rsidP="00CF790F">
            <w:pPr>
              <w:pStyle w:val="BodyText"/>
              <w:spacing w:before="40" w:after="40" w:line="240" w:lineRule="auto"/>
              <w:rPr>
                <w:iCs/>
                <w:color w:val="495965"/>
                <w:sz w:val="18"/>
                <w:szCs w:val="20"/>
              </w:rPr>
            </w:pPr>
            <w:r>
              <w:rPr>
                <w:iCs/>
                <w:color w:val="495965"/>
                <w:sz w:val="18"/>
                <w:szCs w:val="20"/>
              </w:rPr>
              <w:t>[</w:t>
            </w:r>
            <w:r w:rsidR="00616559" w:rsidRPr="00BF7A94">
              <w:rPr>
                <w:iCs/>
                <w:color w:val="495965"/>
                <w:sz w:val="18"/>
                <w:szCs w:val="20"/>
              </w:rPr>
              <w:t xml:space="preserve">draft Roadmap aim </w:t>
            </w:r>
            <w:r w:rsidR="005574AF" w:rsidRPr="00BF7A94">
              <w:rPr>
                <w:iCs/>
                <w:color w:val="495965"/>
                <w:sz w:val="18"/>
                <w:szCs w:val="20"/>
              </w:rPr>
              <w:t>$</w:t>
            </w:r>
            <w:r w:rsidR="00616559" w:rsidRPr="00BF7A94">
              <w:rPr>
                <w:iCs/>
                <w:color w:val="495965"/>
                <w:sz w:val="18"/>
                <w:szCs w:val="20"/>
              </w:rPr>
              <w:t>475m</w:t>
            </w:r>
            <w:r w:rsidR="008A4B7C">
              <w:rPr>
                <w:iCs/>
                <w:color w:val="495965"/>
                <w:sz w:val="18"/>
                <w:szCs w:val="20"/>
              </w:rPr>
              <w:t xml:space="preserve"> </w:t>
            </w:r>
            <w:r w:rsidR="00616559" w:rsidRPr="00BF7A94">
              <w:rPr>
                <w:iCs/>
                <w:color w:val="495965"/>
                <w:sz w:val="18"/>
                <w:szCs w:val="20"/>
              </w:rPr>
              <w:t>by 2020-21</w:t>
            </w:r>
            <w:r>
              <w:rPr>
                <w:iCs/>
                <w:color w:val="495965"/>
                <w:sz w:val="18"/>
                <w:szCs w:val="20"/>
              </w:rPr>
              <w:t>]</w:t>
            </w:r>
            <w:r w:rsidR="00CC75A0">
              <w:rPr>
                <w:iCs/>
                <w:color w:val="495965"/>
                <w:sz w:val="18"/>
                <w:szCs w:val="20"/>
              </w:rPr>
              <w:t>.</w:t>
            </w:r>
          </w:p>
          <w:p w14:paraId="0BD3127E" w14:textId="77777777" w:rsidR="00CC75A0" w:rsidRDefault="00CC75A0" w:rsidP="00CC75A0">
            <w:pPr>
              <w:pStyle w:val="BodyText"/>
              <w:spacing w:before="40" w:after="40" w:line="240" w:lineRule="auto"/>
              <w:rPr>
                <w:iCs/>
                <w:color w:val="495965"/>
                <w:sz w:val="20"/>
                <w:szCs w:val="20"/>
              </w:rPr>
            </w:pPr>
            <w:r w:rsidRPr="00BF7A94">
              <w:rPr>
                <w:rFonts w:eastAsia="Times New Roman"/>
                <w:b/>
                <w:iCs/>
                <w:color w:val="495965"/>
                <w:sz w:val="20"/>
                <w:szCs w:val="20"/>
              </w:rPr>
              <w:t>1.2</w:t>
            </w:r>
            <w:r w:rsidRPr="00BF7A94">
              <w:rPr>
                <w:rFonts w:eastAsia="Times New Roman"/>
                <w:iCs/>
                <w:color w:val="495965"/>
                <w:sz w:val="20"/>
                <w:szCs w:val="20"/>
              </w:rPr>
              <w:t xml:space="preserve">  </w:t>
            </w:r>
            <w:r w:rsidRPr="00BF7A94">
              <w:rPr>
                <w:iCs/>
                <w:color w:val="495965"/>
                <w:sz w:val="20"/>
                <w:szCs w:val="20"/>
              </w:rPr>
              <w:t>Additional 1000 Pacific islander graduates per year with internationally recognised qualifications in areas of demonstrated labour market demand</w:t>
            </w:r>
            <w:r>
              <w:rPr>
                <w:iCs/>
                <w:color w:val="495965"/>
                <w:sz w:val="20"/>
                <w:szCs w:val="20"/>
              </w:rPr>
              <w:t>.</w:t>
            </w:r>
          </w:p>
          <w:p w14:paraId="13505DBD" w14:textId="77777777" w:rsidR="00CC75A0" w:rsidRPr="00BF7A94" w:rsidRDefault="00CC75A0" w:rsidP="00CC75A0">
            <w:pPr>
              <w:pStyle w:val="BodyText"/>
              <w:spacing w:before="40" w:after="40" w:line="240" w:lineRule="auto"/>
              <w:rPr>
                <w:iCs/>
                <w:color w:val="495965"/>
                <w:sz w:val="20"/>
                <w:szCs w:val="20"/>
              </w:rPr>
            </w:pPr>
            <w:r w:rsidRPr="00BF7A94">
              <w:rPr>
                <w:b/>
                <w:iCs/>
                <w:color w:val="495965"/>
                <w:sz w:val="20"/>
                <w:szCs w:val="20"/>
              </w:rPr>
              <w:t>1.3</w:t>
            </w:r>
            <w:r w:rsidRPr="00BF7A94">
              <w:rPr>
                <w:iCs/>
                <w:color w:val="495965"/>
                <w:sz w:val="20"/>
                <w:szCs w:val="20"/>
              </w:rPr>
              <w:t xml:space="preserve">  Private sector investment leveraged </w:t>
            </w:r>
          </w:p>
          <w:p w14:paraId="0D28D429" w14:textId="77777777" w:rsidR="00CC75A0" w:rsidRPr="00BF7A94" w:rsidRDefault="00CC75A0" w:rsidP="00CC75A0">
            <w:pPr>
              <w:pStyle w:val="BodyText"/>
              <w:spacing w:before="40" w:after="40" w:line="240" w:lineRule="auto"/>
              <w:rPr>
                <w:iCs/>
                <w:color w:val="495965"/>
                <w:sz w:val="20"/>
                <w:szCs w:val="20"/>
              </w:rPr>
            </w:pPr>
            <w:r>
              <w:rPr>
                <w:iCs/>
                <w:color w:val="495965"/>
                <w:sz w:val="18"/>
                <w:szCs w:val="20"/>
              </w:rPr>
              <w:t>[</w:t>
            </w:r>
            <w:r w:rsidRPr="00BF7A94">
              <w:rPr>
                <w:iCs/>
                <w:color w:val="495965"/>
                <w:sz w:val="18"/>
                <w:szCs w:val="20"/>
              </w:rPr>
              <w:t>aim $</w:t>
            </w:r>
            <w:r>
              <w:rPr>
                <w:iCs/>
                <w:color w:val="495965"/>
                <w:sz w:val="18"/>
                <w:szCs w:val="20"/>
              </w:rPr>
              <w:t>660</w:t>
            </w:r>
            <w:r w:rsidRPr="00BF7A94">
              <w:rPr>
                <w:iCs/>
                <w:color w:val="495965"/>
                <w:sz w:val="18"/>
                <w:szCs w:val="20"/>
              </w:rPr>
              <w:t>m</w:t>
            </w:r>
            <w:r>
              <w:rPr>
                <w:iCs/>
                <w:color w:val="495965"/>
                <w:sz w:val="18"/>
                <w:szCs w:val="20"/>
              </w:rPr>
              <w:t xml:space="preserve"> </w:t>
            </w:r>
            <w:r w:rsidRPr="00BF7A94">
              <w:rPr>
                <w:iCs/>
                <w:color w:val="495965"/>
                <w:sz w:val="18"/>
                <w:szCs w:val="20"/>
              </w:rPr>
              <w:t>/</w:t>
            </w:r>
            <w:r>
              <w:rPr>
                <w:iCs/>
                <w:color w:val="495965"/>
                <w:sz w:val="18"/>
                <w:szCs w:val="20"/>
              </w:rPr>
              <w:t xml:space="preserve"> US$500</w:t>
            </w:r>
            <w:r w:rsidRPr="00BF7A94">
              <w:rPr>
                <w:iCs/>
                <w:color w:val="495965"/>
                <w:sz w:val="18"/>
                <w:szCs w:val="20"/>
              </w:rPr>
              <w:t>m</w:t>
            </w:r>
            <w:r>
              <w:rPr>
                <w:iCs/>
                <w:color w:val="495965"/>
                <w:sz w:val="18"/>
                <w:szCs w:val="20"/>
              </w:rPr>
              <w:t>]</w:t>
            </w:r>
          </w:p>
          <w:p w14:paraId="6B0CEB14" w14:textId="71FFA95F" w:rsidR="00CC75A0" w:rsidRPr="00C95791" w:rsidRDefault="00CC75A0" w:rsidP="00CF790F">
            <w:pPr>
              <w:pStyle w:val="BodyText"/>
              <w:spacing w:before="40" w:after="40" w:line="240" w:lineRule="auto"/>
              <w:rPr>
                <w:iCs/>
                <w:color w:val="495965"/>
                <w:sz w:val="18"/>
                <w:szCs w:val="20"/>
              </w:rPr>
            </w:pPr>
          </w:p>
        </w:tc>
        <w:tc>
          <w:tcPr>
            <w:tcW w:w="5386" w:type="dxa"/>
            <w:shd w:val="clear" w:color="auto" w:fill="auto"/>
          </w:tcPr>
          <w:p w14:paraId="29FC3227" w14:textId="75D608BB" w:rsidR="00CC75A0" w:rsidRDefault="00CC75A0" w:rsidP="00700625">
            <w:pPr>
              <w:pStyle w:val="BodyText"/>
              <w:spacing w:before="40" w:after="40" w:line="240" w:lineRule="auto"/>
              <w:rPr>
                <w:iCs/>
                <w:color w:val="495965"/>
                <w:sz w:val="20"/>
                <w:szCs w:val="20"/>
              </w:rPr>
            </w:pPr>
            <w:r>
              <w:rPr>
                <w:iCs/>
                <w:color w:val="495965"/>
                <w:sz w:val="20"/>
                <w:szCs w:val="20"/>
              </w:rPr>
              <w:t xml:space="preserve">~ </w:t>
            </w:r>
            <w:r w:rsidR="00700625" w:rsidRPr="00700625">
              <w:rPr>
                <w:iCs/>
                <w:color w:val="495965"/>
                <w:sz w:val="20"/>
                <w:szCs w:val="20"/>
              </w:rPr>
              <w:t xml:space="preserve">Through collective action, FFA Pacific island member governments have achieved the 2020-21 </w:t>
            </w:r>
            <w:r w:rsidR="00700625">
              <w:rPr>
                <w:iCs/>
                <w:color w:val="495965"/>
                <w:sz w:val="20"/>
                <w:szCs w:val="20"/>
              </w:rPr>
              <w:t xml:space="preserve">roadmap </w:t>
            </w:r>
            <w:r w:rsidR="00700625" w:rsidRPr="00700625">
              <w:rPr>
                <w:iCs/>
                <w:color w:val="495965"/>
                <w:sz w:val="20"/>
                <w:szCs w:val="20"/>
              </w:rPr>
              <w:t>target ahead of schedule. The annual value of access fees paid by foreign vessels to FFA m</w:t>
            </w:r>
            <w:r w:rsidR="00700625">
              <w:rPr>
                <w:iCs/>
                <w:color w:val="495965"/>
                <w:sz w:val="20"/>
                <w:szCs w:val="20"/>
              </w:rPr>
              <w:t>embers was approximately US$554</w:t>
            </w:r>
            <w:r w:rsidR="00700625" w:rsidRPr="00700625">
              <w:rPr>
                <w:iCs/>
                <w:color w:val="495965"/>
                <w:sz w:val="20"/>
                <w:szCs w:val="20"/>
              </w:rPr>
              <w:t>m</w:t>
            </w:r>
            <w:r w:rsidR="00700625">
              <w:rPr>
                <w:iCs/>
                <w:color w:val="495965"/>
                <w:sz w:val="20"/>
                <w:szCs w:val="20"/>
              </w:rPr>
              <w:t xml:space="preserve"> </w:t>
            </w:r>
            <w:r w:rsidR="00700625" w:rsidRPr="00700625">
              <w:rPr>
                <w:iCs/>
                <w:color w:val="495965"/>
                <w:sz w:val="20"/>
                <w:szCs w:val="20"/>
              </w:rPr>
              <w:t xml:space="preserve">in 2018. </w:t>
            </w:r>
            <w:r w:rsidR="00700625">
              <w:rPr>
                <w:iCs/>
                <w:color w:val="495965"/>
                <w:sz w:val="20"/>
                <w:szCs w:val="20"/>
              </w:rPr>
              <w:t xml:space="preserve"> </w:t>
            </w:r>
            <w:r w:rsidR="007B03A4" w:rsidRPr="00BF7A94">
              <w:rPr>
                <w:iCs/>
                <w:color w:val="495965"/>
                <w:sz w:val="20"/>
                <w:szCs w:val="20"/>
              </w:rPr>
              <w:t xml:space="preserve">We </w:t>
            </w:r>
            <w:r w:rsidR="00616559" w:rsidRPr="00BF7A94">
              <w:rPr>
                <w:iCs/>
                <w:color w:val="495965"/>
                <w:sz w:val="20"/>
                <w:szCs w:val="20"/>
              </w:rPr>
              <w:t>acknowledge the challenge in attribution</w:t>
            </w:r>
            <w:r w:rsidR="004D6337" w:rsidRPr="00BF7A94">
              <w:rPr>
                <w:iCs/>
                <w:color w:val="495965"/>
                <w:sz w:val="20"/>
                <w:szCs w:val="20"/>
              </w:rPr>
              <w:t xml:space="preserve"> for </w:t>
            </w:r>
            <w:r w:rsidR="007B03A4" w:rsidRPr="00BF7A94">
              <w:rPr>
                <w:iCs/>
                <w:color w:val="495965"/>
                <w:sz w:val="20"/>
                <w:szCs w:val="20"/>
              </w:rPr>
              <w:t xml:space="preserve">this </w:t>
            </w:r>
            <w:r w:rsidR="004D6337" w:rsidRPr="00BF7A94">
              <w:rPr>
                <w:iCs/>
                <w:color w:val="495965"/>
                <w:sz w:val="20"/>
                <w:szCs w:val="20"/>
              </w:rPr>
              <w:t xml:space="preserve">benchmark. However, </w:t>
            </w:r>
            <w:r w:rsidR="00616559" w:rsidRPr="00BF7A94">
              <w:rPr>
                <w:iCs/>
                <w:color w:val="495965"/>
                <w:sz w:val="20"/>
                <w:szCs w:val="20"/>
              </w:rPr>
              <w:t>Australia’s core funding to FFA demonstrates a significant, ongoing contribution to members’ fisheries revenue</w:t>
            </w:r>
            <w:r w:rsidR="004D6337" w:rsidRPr="00BF7A94">
              <w:rPr>
                <w:iCs/>
                <w:color w:val="495965"/>
                <w:sz w:val="20"/>
                <w:szCs w:val="20"/>
              </w:rPr>
              <w:t xml:space="preserve"> by supporting</w:t>
            </w:r>
            <w:r w:rsidR="00BE50FA" w:rsidRPr="00BF7A94">
              <w:rPr>
                <w:iCs/>
                <w:color w:val="495965"/>
                <w:sz w:val="20"/>
                <w:szCs w:val="20"/>
              </w:rPr>
              <w:t xml:space="preserve"> </w:t>
            </w:r>
            <w:r w:rsidR="00616559" w:rsidRPr="00BF7A94">
              <w:rPr>
                <w:iCs/>
                <w:color w:val="495965"/>
                <w:sz w:val="20"/>
                <w:szCs w:val="20"/>
              </w:rPr>
              <w:t xml:space="preserve">the </w:t>
            </w:r>
            <w:r w:rsidR="00C95791">
              <w:rPr>
                <w:iCs/>
                <w:color w:val="495965"/>
                <w:sz w:val="20"/>
                <w:szCs w:val="20"/>
              </w:rPr>
              <w:t>effective</w:t>
            </w:r>
            <w:r w:rsidR="00616559" w:rsidRPr="00BF7A94">
              <w:rPr>
                <w:iCs/>
                <w:color w:val="495965"/>
                <w:sz w:val="20"/>
                <w:szCs w:val="20"/>
              </w:rPr>
              <w:t xml:space="preserve"> manage</w:t>
            </w:r>
            <w:r w:rsidR="00C95791">
              <w:rPr>
                <w:iCs/>
                <w:color w:val="495965"/>
                <w:sz w:val="20"/>
                <w:szCs w:val="20"/>
              </w:rPr>
              <w:t>ment</w:t>
            </w:r>
            <w:r w:rsidR="00616559" w:rsidRPr="00BF7A94">
              <w:rPr>
                <w:iCs/>
                <w:color w:val="495965"/>
                <w:sz w:val="20"/>
                <w:szCs w:val="20"/>
              </w:rPr>
              <w:t xml:space="preserve"> and monitor</w:t>
            </w:r>
            <w:r w:rsidR="00C95791">
              <w:rPr>
                <w:iCs/>
                <w:color w:val="495965"/>
                <w:sz w:val="20"/>
                <w:szCs w:val="20"/>
              </w:rPr>
              <w:t>ing of</w:t>
            </w:r>
            <w:r w:rsidR="00616559" w:rsidRPr="00BF7A94">
              <w:rPr>
                <w:iCs/>
                <w:color w:val="495965"/>
                <w:sz w:val="20"/>
                <w:szCs w:val="20"/>
              </w:rPr>
              <w:t xml:space="preserve"> regional fisheries</w:t>
            </w:r>
            <w:r w:rsidR="004D6337" w:rsidRPr="00BF7A94">
              <w:rPr>
                <w:iCs/>
                <w:color w:val="495965"/>
                <w:sz w:val="20"/>
                <w:szCs w:val="20"/>
              </w:rPr>
              <w:t xml:space="preserve">. Our funding </w:t>
            </w:r>
            <w:r w:rsidR="00616559" w:rsidRPr="00BF7A94">
              <w:rPr>
                <w:iCs/>
                <w:color w:val="495965"/>
                <w:sz w:val="20"/>
                <w:szCs w:val="20"/>
              </w:rPr>
              <w:t xml:space="preserve">allows FFA to remain </w:t>
            </w:r>
            <w:r w:rsidR="007B03A4" w:rsidRPr="00BF7A94">
              <w:rPr>
                <w:iCs/>
                <w:color w:val="495965"/>
                <w:sz w:val="20"/>
                <w:szCs w:val="20"/>
              </w:rPr>
              <w:t xml:space="preserve">responsive </w:t>
            </w:r>
            <w:r w:rsidR="00616559" w:rsidRPr="00BF7A94">
              <w:rPr>
                <w:iCs/>
                <w:color w:val="495965"/>
                <w:sz w:val="20"/>
                <w:szCs w:val="20"/>
              </w:rPr>
              <w:t xml:space="preserve">to member needs, particularly </w:t>
            </w:r>
            <w:r w:rsidR="007B03A4" w:rsidRPr="00BF7A94">
              <w:rPr>
                <w:iCs/>
                <w:color w:val="495965"/>
                <w:sz w:val="20"/>
                <w:szCs w:val="20"/>
              </w:rPr>
              <w:t xml:space="preserve">for </w:t>
            </w:r>
            <w:r w:rsidR="00616559" w:rsidRPr="00BF7A94">
              <w:rPr>
                <w:iCs/>
                <w:color w:val="495965"/>
                <w:sz w:val="20"/>
                <w:szCs w:val="20"/>
              </w:rPr>
              <w:t>COVID-19.</w:t>
            </w:r>
          </w:p>
          <w:p w14:paraId="2A57C4DD" w14:textId="77777777" w:rsidR="00CC75A0" w:rsidRDefault="00616559" w:rsidP="00CC75A0">
            <w:pPr>
              <w:pStyle w:val="BodyText"/>
              <w:spacing w:before="40" w:after="40" w:line="240" w:lineRule="auto"/>
              <w:rPr>
                <w:iCs/>
                <w:color w:val="495965"/>
              </w:rPr>
            </w:pPr>
            <w:r w:rsidRPr="00BF7A94">
              <w:rPr>
                <w:iCs/>
                <w:color w:val="495965"/>
                <w:sz w:val="20"/>
                <w:szCs w:val="20"/>
              </w:rPr>
              <w:t xml:space="preserve">  </w:t>
            </w:r>
            <w:r w:rsidR="00CC75A0">
              <w:rPr>
                <w:iCs/>
                <w:color w:val="495965"/>
                <w:sz w:val="20"/>
                <w:szCs w:val="20"/>
              </w:rPr>
              <w:t xml:space="preserve">~ </w:t>
            </w:r>
            <w:r w:rsidR="00CC75A0" w:rsidRPr="00B002F9">
              <w:rPr>
                <w:iCs/>
                <w:color w:val="495965"/>
                <w:sz w:val="20"/>
                <w:szCs w:val="20"/>
              </w:rPr>
              <w:t>There were 1,</w:t>
            </w:r>
            <w:r w:rsidR="00CC75A0" w:rsidRPr="007F3CB8">
              <w:rPr>
                <w:iCs/>
                <w:color w:val="495965"/>
                <w:sz w:val="20"/>
                <w:szCs w:val="20"/>
              </w:rPr>
              <w:t xml:space="preserve">306 </w:t>
            </w:r>
            <w:r w:rsidR="00CC75A0" w:rsidRPr="006461B8">
              <w:rPr>
                <w:iCs/>
                <w:color w:val="495965"/>
                <w:sz w:val="20"/>
                <w:szCs w:val="20"/>
              </w:rPr>
              <w:t xml:space="preserve">Pacific </w:t>
            </w:r>
            <w:r w:rsidR="00CC75A0">
              <w:rPr>
                <w:iCs/>
                <w:color w:val="495965"/>
                <w:sz w:val="20"/>
                <w:szCs w:val="20"/>
              </w:rPr>
              <w:t>i</w:t>
            </w:r>
            <w:r w:rsidR="00CC75A0" w:rsidRPr="006461B8">
              <w:rPr>
                <w:iCs/>
                <w:color w:val="495965"/>
                <w:sz w:val="20"/>
                <w:szCs w:val="20"/>
              </w:rPr>
              <w:t>sland APTC graduates with internally recognised qualifications</w:t>
            </w:r>
            <w:r w:rsidR="00CC75A0">
              <w:rPr>
                <w:iCs/>
                <w:color w:val="495965"/>
                <w:sz w:val="20"/>
                <w:szCs w:val="20"/>
              </w:rPr>
              <w:t>;</w:t>
            </w:r>
            <w:r w:rsidR="00CC75A0" w:rsidRPr="006461B8">
              <w:rPr>
                <w:iCs/>
                <w:color w:val="495965"/>
                <w:sz w:val="20"/>
                <w:szCs w:val="20"/>
              </w:rPr>
              <w:t xml:space="preserve"> over</w:t>
            </w:r>
            <w:r w:rsidR="00CC75A0" w:rsidRPr="006461B8">
              <w:rPr>
                <w:color w:val="495965"/>
              </w:rPr>
              <w:t xml:space="preserve"> </w:t>
            </w:r>
            <w:r w:rsidR="00CC75A0" w:rsidRPr="006461B8">
              <w:rPr>
                <w:iCs/>
                <w:color w:val="495965"/>
                <w:sz w:val="20"/>
                <w:szCs w:val="20"/>
              </w:rPr>
              <w:t>39 per cent were female graduates. APTC has moved into new training areas in the care sector, partnered to strengthen local TVET institutions</w:t>
            </w:r>
            <w:r w:rsidR="00CC75A0">
              <w:rPr>
                <w:iCs/>
                <w:color w:val="495965"/>
                <w:sz w:val="20"/>
                <w:szCs w:val="20"/>
              </w:rPr>
              <w:t>,</w:t>
            </w:r>
            <w:r w:rsidR="00CC75A0" w:rsidRPr="006461B8">
              <w:rPr>
                <w:iCs/>
                <w:color w:val="495965"/>
                <w:sz w:val="20"/>
                <w:szCs w:val="20"/>
              </w:rPr>
              <w:t xml:space="preserve"> and is providing training to enhance labour mobility pathways for Pacific Islanders in the region.</w:t>
            </w:r>
            <w:r w:rsidR="00CC75A0" w:rsidRPr="006461B8">
              <w:rPr>
                <w:iCs/>
                <w:color w:val="495965"/>
              </w:rPr>
              <w:t xml:space="preserve"> </w:t>
            </w:r>
          </w:p>
          <w:p w14:paraId="69A358FF" w14:textId="61840799" w:rsidR="00616559" w:rsidRPr="00BF7A94" w:rsidRDefault="00CC75A0" w:rsidP="00CC75A0">
            <w:pPr>
              <w:pStyle w:val="BodyText"/>
              <w:spacing w:before="40" w:after="40" w:line="240" w:lineRule="auto"/>
              <w:rPr>
                <w:iCs/>
                <w:color w:val="495965"/>
                <w:sz w:val="20"/>
                <w:szCs w:val="20"/>
              </w:rPr>
            </w:pPr>
            <w:r>
              <w:rPr>
                <w:iCs/>
                <w:color w:val="495965"/>
                <w:sz w:val="20"/>
                <w:szCs w:val="20"/>
              </w:rPr>
              <w:t xml:space="preserve">~ </w:t>
            </w:r>
            <w:r w:rsidRPr="007F3CB8">
              <w:rPr>
                <w:iCs/>
                <w:color w:val="495965"/>
                <w:sz w:val="20"/>
                <w:szCs w:val="20"/>
              </w:rPr>
              <w:t>Appro</w:t>
            </w:r>
            <w:r w:rsidRPr="006461B8">
              <w:rPr>
                <w:iCs/>
                <w:color w:val="495965"/>
                <w:sz w:val="20"/>
                <w:szCs w:val="20"/>
              </w:rPr>
              <w:t>ximately $782.9m was leveraged in private sector investment. In reporting period, this comprised approximately: $22.5m, IFC partnership; $2.39m, Pacific Trade Invest (PTI) Australia; and $1.04m, Pacific Readiness for Investment and Social Enterprises. Through our IFC partnership: the Solomon Islands’ Tina River Hydropower project attracted US$10.01m in private equity and in-kind/ parallel contributions; and, the Vanuatu National Provident Fund committed to invest US$4m to construct a Vanuatu Sandalwood distillery. Of note, PTI Australia facilitated $26.5m in trade.</w:t>
            </w:r>
          </w:p>
        </w:tc>
      </w:tr>
      <w:tr w:rsidR="00BF7A94" w:rsidRPr="00BF7A94" w14:paraId="58C0DB1A" w14:textId="77777777" w:rsidTr="006523F1">
        <w:trPr>
          <w:tblHeader/>
        </w:trPr>
        <w:tc>
          <w:tcPr>
            <w:tcW w:w="2122" w:type="dxa"/>
          </w:tcPr>
          <w:p w14:paraId="7CD767C3" w14:textId="77777777" w:rsidR="00616559" w:rsidRDefault="003823B9" w:rsidP="00CF790F">
            <w:pPr>
              <w:pStyle w:val="BodyText"/>
              <w:spacing w:before="40" w:after="40" w:line="240" w:lineRule="auto"/>
              <w:rPr>
                <w:iCs/>
                <w:color w:val="495965"/>
                <w:sz w:val="20"/>
                <w:szCs w:val="20"/>
              </w:rPr>
            </w:pPr>
            <w:r w:rsidRPr="00BF7A94">
              <w:rPr>
                <w:rFonts w:eastAsia="Times New Roman"/>
                <w:b/>
                <w:iCs/>
                <w:color w:val="495965"/>
                <w:szCs w:val="17"/>
              </w:rPr>
              <w:t xml:space="preserve">Objective 2: Effective regional institutions </w:t>
            </w:r>
            <w:r w:rsidR="00CC75A0">
              <w:rPr>
                <w:rFonts w:eastAsia="Times New Roman"/>
                <w:b/>
                <w:iCs/>
                <w:color w:val="495965"/>
                <w:szCs w:val="17"/>
              </w:rPr>
              <w:t xml:space="preserve">- - </w:t>
            </w:r>
            <w:r w:rsidR="00616559" w:rsidRPr="00BF7A94">
              <w:rPr>
                <w:iCs/>
                <w:color w:val="495965"/>
                <w:sz w:val="20"/>
                <w:szCs w:val="20"/>
              </w:rPr>
              <w:t>Collective ownership of regional organisations by</w:t>
            </w:r>
            <w:r w:rsidRPr="00BF7A94">
              <w:rPr>
                <w:iCs/>
                <w:color w:val="495965"/>
                <w:sz w:val="20"/>
                <w:szCs w:val="20"/>
              </w:rPr>
              <w:t xml:space="preserve"> Pacific island country members</w:t>
            </w:r>
            <w:r w:rsidR="00CC75A0">
              <w:rPr>
                <w:iCs/>
                <w:color w:val="495965"/>
                <w:sz w:val="20"/>
                <w:szCs w:val="20"/>
              </w:rPr>
              <w:t>.</w:t>
            </w:r>
          </w:p>
          <w:p w14:paraId="192A26FB" w14:textId="7DC3F47D" w:rsidR="00CC75A0" w:rsidRPr="00BF7A94" w:rsidRDefault="00CC75A0" w:rsidP="00CF790F">
            <w:pPr>
              <w:pStyle w:val="BodyText"/>
              <w:spacing w:before="40" w:after="40" w:line="240" w:lineRule="auto"/>
              <w:rPr>
                <w:i/>
                <w:iCs/>
                <w:color w:val="495965"/>
                <w:sz w:val="20"/>
                <w:szCs w:val="20"/>
              </w:rPr>
            </w:pPr>
            <w:r>
              <w:rPr>
                <w:iCs/>
                <w:color w:val="495965"/>
                <w:sz w:val="20"/>
                <w:szCs w:val="20"/>
              </w:rPr>
              <w:t xml:space="preserve">- </w:t>
            </w:r>
            <w:r w:rsidRPr="00BF7A94">
              <w:rPr>
                <w:iCs/>
                <w:color w:val="495965"/>
                <w:sz w:val="20"/>
                <w:szCs w:val="20"/>
              </w:rPr>
              <w:t>Regional organisations have prioritised and consolidated programs focused on their comparative advantages</w:t>
            </w:r>
          </w:p>
        </w:tc>
        <w:tc>
          <w:tcPr>
            <w:tcW w:w="2551" w:type="dxa"/>
          </w:tcPr>
          <w:p w14:paraId="0126215C" w14:textId="77777777" w:rsidR="003823B9" w:rsidRPr="00BF7A94" w:rsidRDefault="00616559" w:rsidP="00F90805">
            <w:pPr>
              <w:pStyle w:val="BodyText"/>
              <w:spacing w:before="40" w:after="40" w:line="240" w:lineRule="auto"/>
              <w:rPr>
                <w:i/>
                <w:iCs/>
                <w:color w:val="495965"/>
                <w:sz w:val="20"/>
                <w:szCs w:val="20"/>
              </w:rPr>
            </w:pPr>
            <w:r w:rsidRPr="00BF7A94">
              <w:rPr>
                <w:rFonts w:eastAsia="Times New Roman"/>
                <w:b/>
                <w:iCs/>
                <w:color w:val="495965"/>
                <w:sz w:val="20"/>
                <w:szCs w:val="20"/>
              </w:rPr>
              <w:t>2.1</w:t>
            </w:r>
            <w:r w:rsidRPr="00BF7A94">
              <w:rPr>
                <w:rFonts w:eastAsia="Times New Roman"/>
                <w:i/>
                <w:iCs/>
                <w:color w:val="495965"/>
                <w:sz w:val="20"/>
                <w:szCs w:val="20"/>
              </w:rPr>
              <w:t xml:space="preserve">  </w:t>
            </w:r>
            <w:r w:rsidRPr="00BF7A94">
              <w:rPr>
                <w:iCs/>
                <w:color w:val="495965"/>
                <w:sz w:val="20"/>
                <w:szCs w:val="20"/>
              </w:rPr>
              <w:t>Pacific island country members engaged in decision-making at Pacific regional organisation governing body meetings</w:t>
            </w:r>
            <w:r w:rsidRPr="00BF7A94">
              <w:rPr>
                <w:i/>
                <w:iCs/>
                <w:color w:val="495965"/>
                <w:sz w:val="20"/>
                <w:szCs w:val="20"/>
              </w:rPr>
              <w:t xml:space="preserve"> </w:t>
            </w:r>
          </w:p>
          <w:p w14:paraId="2EDA8669" w14:textId="3BE732B1" w:rsidR="00616559" w:rsidRDefault="00207D2E" w:rsidP="00F90805">
            <w:pPr>
              <w:pStyle w:val="BodyText"/>
              <w:spacing w:before="40" w:after="40" w:line="240" w:lineRule="auto"/>
              <w:rPr>
                <w:iCs/>
                <w:color w:val="495965"/>
                <w:sz w:val="18"/>
                <w:szCs w:val="20"/>
              </w:rPr>
            </w:pPr>
            <w:r>
              <w:rPr>
                <w:iCs/>
                <w:color w:val="495965"/>
                <w:sz w:val="18"/>
                <w:szCs w:val="20"/>
              </w:rPr>
              <w:t>[</w:t>
            </w:r>
            <w:r w:rsidR="00616559" w:rsidRPr="00BF7A94">
              <w:rPr>
                <w:iCs/>
                <w:color w:val="495965"/>
                <w:sz w:val="18"/>
                <w:szCs w:val="20"/>
              </w:rPr>
              <w:t>aim 60 per cent</w:t>
            </w:r>
            <w:r>
              <w:rPr>
                <w:iCs/>
                <w:color w:val="495965"/>
                <w:sz w:val="18"/>
                <w:szCs w:val="20"/>
              </w:rPr>
              <w:t>]</w:t>
            </w:r>
            <w:r w:rsidR="00CC75A0">
              <w:rPr>
                <w:iCs/>
                <w:color w:val="495965"/>
                <w:sz w:val="18"/>
                <w:szCs w:val="20"/>
              </w:rPr>
              <w:t>.</w:t>
            </w:r>
          </w:p>
          <w:p w14:paraId="106348A2" w14:textId="48CD05CF" w:rsidR="00616559" w:rsidRPr="00BF7A94" w:rsidRDefault="00CC75A0" w:rsidP="00F90805">
            <w:pPr>
              <w:pStyle w:val="BodyText"/>
              <w:spacing w:before="40" w:after="40" w:line="240" w:lineRule="auto"/>
              <w:rPr>
                <w:i/>
                <w:iCs/>
                <w:color w:val="495965"/>
                <w:sz w:val="20"/>
                <w:szCs w:val="20"/>
              </w:rPr>
            </w:pPr>
            <w:r w:rsidRPr="00BF7A94">
              <w:rPr>
                <w:b/>
                <w:iCs/>
                <w:color w:val="495965"/>
                <w:sz w:val="20"/>
                <w:szCs w:val="20"/>
              </w:rPr>
              <w:t>2.2</w:t>
            </w:r>
            <w:r w:rsidRPr="00BF7A94">
              <w:rPr>
                <w:iCs/>
                <w:color w:val="495965"/>
                <w:sz w:val="20"/>
                <w:szCs w:val="20"/>
              </w:rPr>
              <w:t xml:space="preserve">  Regional organisations have defined clear, sensible priorities for the organisation and the predicted budgets of regional organisations compare well to expected expenditure</w:t>
            </w:r>
          </w:p>
        </w:tc>
        <w:tc>
          <w:tcPr>
            <w:tcW w:w="5386" w:type="dxa"/>
            <w:shd w:val="clear" w:color="auto" w:fill="auto"/>
          </w:tcPr>
          <w:p w14:paraId="3A081923" w14:textId="35CE7D26" w:rsidR="00616559" w:rsidRDefault="00CC75A0">
            <w:pPr>
              <w:pStyle w:val="BodyText"/>
              <w:spacing w:before="40" w:after="40" w:line="240" w:lineRule="auto"/>
              <w:rPr>
                <w:iCs/>
                <w:color w:val="495965"/>
                <w:sz w:val="20"/>
                <w:szCs w:val="20"/>
              </w:rPr>
            </w:pPr>
            <w:r>
              <w:rPr>
                <w:iCs/>
                <w:color w:val="495965"/>
                <w:sz w:val="20"/>
                <w:szCs w:val="20"/>
              </w:rPr>
              <w:t xml:space="preserve">~ </w:t>
            </w:r>
            <w:r w:rsidR="00BE50FA" w:rsidRPr="00BF7A94">
              <w:rPr>
                <w:iCs/>
                <w:color w:val="495965"/>
                <w:sz w:val="20"/>
                <w:szCs w:val="20"/>
              </w:rPr>
              <w:t xml:space="preserve">Regional organisations remained critical to driving </w:t>
            </w:r>
            <w:r w:rsidR="004D6337" w:rsidRPr="00BF7A94">
              <w:rPr>
                <w:iCs/>
                <w:color w:val="495965"/>
                <w:sz w:val="20"/>
                <w:szCs w:val="20"/>
              </w:rPr>
              <w:t xml:space="preserve">regional </w:t>
            </w:r>
            <w:r w:rsidR="00BE50FA" w:rsidRPr="00BF7A94">
              <w:rPr>
                <w:iCs/>
                <w:color w:val="495965"/>
                <w:sz w:val="20"/>
                <w:szCs w:val="20"/>
              </w:rPr>
              <w:t xml:space="preserve">collaboration and </w:t>
            </w:r>
            <w:r w:rsidR="00CB70FD" w:rsidRPr="00BF7A94">
              <w:rPr>
                <w:iCs/>
                <w:color w:val="495965"/>
                <w:sz w:val="20"/>
                <w:szCs w:val="20"/>
              </w:rPr>
              <w:t xml:space="preserve">action </w:t>
            </w:r>
            <w:r w:rsidR="00BE50FA" w:rsidRPr="00BF7A94">
              <w:rPr>
                <w:iCs/>
                <w:color w:val="495965"/>
                <w:sz w:val="20"/>
                <w:szCs w:val="20"/>
              </w:rPr>
              <w:t>on significan</w:t>
            </w:r>
            <w:r w:rsidR="00404015">
              <w:rPr>
                <w:iCs/>
                <w:color w:val="495965"/>
                <w:sz w:val="20"/>
                <w:szCs w:val="20"/>
              </w:rPr>
              <w:t>t</w:t>
            </w:r>
            <w:r w:rsidR="004D6337" w:rsidRPr="00BF7A94">
              <w:rPr>
                <w:iCs/>
                <w:color w:val="495965"/>
                <w:sz w:val="20"/>
                <w:szCs w:val="20"/>
              </w:rPr>
              <w:t xml:space="preserve"> issues</w:t>
            </w:r>
            <w:r w:rsidR="00BE50FA" w:rsidRPr="00BF7A94">
              <w:rPr>
                <w:iCs/>
                <w:color w:val="495965"/>
                <w:sz w:val="20"/>
                <w:szCs w:val="20"/>
              </w:rPr>
              <w:t xml:space="preserve">, including COVID-19.  Over 80 per cent of </w:t>
            </w:r>
            <w:r w:rsidR="00404015">
              <w:rPr>
                <w:iCs/>
                <w:color w:val="495965"/>
                <w:sz w:val="20"/>
                <w:szCs w:val="20"/>
              </w:rPr>
              <w:t>Forum l</w:t>
            </w:r>
            <w:r w:rsidR="00CB70FD" w:rsidRPr="00BF7A94">
              <w:rPr>
                <w:iCs/>
                <w:color w:val="495965"/>
                <w:sz w:val="20"/>
                <w:szCs w:val="20"/>
              </w:rPr>
              <w:t>eaders were present</w:t>
            </w:r>
            <w:r w:rsidR="00BE50FA" w:rsidRPr="00BF7A94">
              <w:rPr>
                <w:iCs/>
                <w:color w:val="495965"/>
                <w:sz w:val="20"/>
                <w:szCs w:val="20"/>
              </w:rPr>
              <w:t xml:space="preserve"> at the 2019 </w:t>
            </w:r>
            <w:r w:rsidR="00B12AD9" w:rsidRPr="00BF7A94">
              <w:rPr>
                <w:iCs/>
                <w:color w:val="495965"/>
                <w:sz w:val="20"/>
                <w:szCs w:val="20"/>
              </w:rPr>
              <w:t xml:space="preserve">Tuvalu </w:t>
            </w:r>
            <w:r w:rsidR="00BE50FA" w:rsidRPr="00BF7A94">
              <w:rPr>
                <w:iCs/>
                <w:color w:val="495965"/>
                <w:sz w:val="20"/>
                <w:szCs w:val="20"/>
              </w:rPr>
              <w:t>Pacific Islands Forum. Minister level attendance ranged from 60-90 per cent at Forum meetings. Pacific island countries were well-represented at the</w:t>
            </w:r>
            <w:r w:rsidR="00F31FED">
              <w:rPr>
                <w:iCs/>
                <w:color w:val="495965"/>
                <w:sz w:val="20"/>
                <w:szCs w:val="20"/>
              </w:rPr>
              <w:t xml:space="preserve"> </w:t>
            </w:r>
            <w:r w:rsidR="00CB7C82" w:rsidRPr="00BF7A94">
              <w:rPr>
                <w:iCs/>
                <w:color w:val="495965"/>
                <w:sz w:val="20"/>
                <w:szCs w:val="20"/>
              </w:rPr>
              <w:t xml:space="preserve">Secretariat of the Regional Environment Programme (SPREP) </w:t>
            </w:r>
            <w:r w:rsidR="00BE50FA" w:rsidRPr="00BF7A94">
              <w:rPr>
                <w:iCs/>
                <w:color w:val="495965"/>
                <w:sz w:val="20"/>
                <w:szCs w:val="20"/>
              </w:rPr>
              <w:t>Officials and Environment Ministers Meeting in September</w:t>
            </w:r>
            <w:r w:rsidR="00C27AF2" w:rsidRPr="00BF7A94">
              <w:rPr>
                <w:iCs/>
                <w:color w:val="495965"/>
                <w:sz w:val="20"/>
                <w:szCs w:val="20"/>
              </w:rPr>
              <w:t xml:space="preserve"> 2019</w:t>
            </w:r>
            <w:r w:rsidR="00BE50FA" w:rsidRPr="00BF7A94">
              <w:rPr>
                <w:iCs/>
                <w:color w:val="495965"/>
                <w:sz w:val="20"/>
                <w:szCs w:val="20"/>
              </w:rPr>
              <w:t>.</w:t>
            </w:r>
          </w:p>
          <w:p w14:paraId="4BE62FB4" w14:textId="793825A1" w:rsidR="00CC75A0" w:rsidRPr="00BF7A94" w:rsidRDefault="00CC75A0" w:rsidP="006523F1">
            <w:pPr>
              <w:pStyle w:val="BodyText"/>
              <w:spacing w:before="40" w:after="40" w:line="240" w:lineRule="auto"/>
              <w:rPr>
                <w:iCs/>
                <w:color w:val="495965"/>
                <w:sz w:val="20"/>
                <w:szCs w:val="20"/>
              </w:rPr>
            </w:pPr>
            <w:r>
              <w:rPr>
                <w:iCs/>
                <w:color w:val="495965"/>
                <w:sz w:val="20"/>
                <w:szCs w:val="20"/>
              </w:rPr>
              <w:t xml:space="preserve">~ </w:t>
            </w:r>
            <w:r w:rsidRPr="00BF7A94">
              <w:rPr>
                <w:iCs/>
                <w:color w:val="495965"/>
                <w:sz w:val="20"/>
                <w:szCs w:val="20"/>
              </w:rPr>
              <w:t xml:space="preserve">The Forum Secretariat, SPC, SPREP and FFA have all successfully pivoted to respond to COVID-19 while still maintaining momentum on their core priorities. </w:t>
            </w:r>
            <w:r w:rsidRPr="00BF7A94">
              <w:rPr>
                <w:color w:val="495965"/>
                <w:sz w:val="20"/>
                <w:szCs w:val="20"/>
              </w:rPr>
              <w:t>The Forum Leaders invoked the E</w:t>
            </w:r>
            <w:r>
              <w:rPr>
                <w:color w:val="495965"/>
                <w:sz w:val="20"/>
                <w:szCs w:val="20"/>
              </w:rPr>
              <w:t xml:space="preserve">mergency Cooperation Mechanism </w:t>
            </w:r>
            <w:r w:rsidRPr="00BF7A94">
              <w:rPr>
                <w:color w:val="495965"/>
                <w:sz w:val="20"/>
                <w:szCs w:val="20"/>
              </w:rPr>
              <w:t xml:space="preserve">under the 2000 </w:t>
            </w:r>
            <w:proofErr w:type="spellStart"/>
            <w:r w:rsidRPr="00BF7A94">
              <w:rPr>
                <w:color w:val="495965"/>
                <w:sz w:val="20"/>
                <w:szCs w:val="20"/>
              </w:rPr>
              <w:t>Biketawa</w:t>
            </w:r>
            <w:proofErr w:type="spellEnd"/>
            <w:r w:rsidRPr="00BF7A94">
              <w:rPr>
                <w:color w:val="495965"/>
                <w:sz w:val="20"/>
                <w:szCs w:val="20"/>
              </w:rPr>
              <w:t xml:space="preserve"> Declaration as the basis for establishing the Pacific Humanitarian Pathway on COVID-19</w:t>
            </w:r>
            <w:r>
              <w:rPr>
                <w:color w:val="495965"/>
                <w:sz w:val="20"/>
                <w:szCs w:val="20"/>
              </w:rPr>
              <w:t>.</w:t>
            </w:r>
            <w:r w:rsidRPr="00BF7A94">
              <w:rPr>
                <w:color w:val="495965"/>
                <w:sz w:val="20"/>
                <w:szCs w:val="20"/>
              </w:rPr>
              <w:t xml:space="preserve"> SPC is re-orienting</w:t>
            </w:r>
            <w:r>
              <w:rPr>
                <w:color w:val="495965"/>
                <w:sz w:val="20"/>
                <w:szCs w:val="20"/>
              </w:rPr>
              <w:t xml:space="preserve"> </w:t>
            </w:r>
            <w:r w:rsidRPr="00BF7A94">
              <w:rPr>
                <w:color w:val="495965"/>
                <w:sz w:val="20"/>
                <w:szCs w:val="20"/>
              </w:rPr>
              <w:t>to focus on the region’s recovery.</w:t>
            </w:r>
            <w:r w:rsidRPr="00BF7A94">
              <w:rPr>
                <w:iCs/>
                <w:color w:val="495965"/>
                <w:sz w:val="20"/>
                <w:szCs w:val="20"/>
              </w:rPr>
              <w:t xml:space="preserve"> </w:t>
            </w:r>
            <w:r>
              <w:rPr>
                <w:iCs/>
                <w:color w:val="495965"/>
                <w:sz w:val="20"/>
                <w:szCs w:val="20"/>
              </w:rPr>
              <w:t>T</w:t>
            </w:r>
            <w:r w:rsidRPr="00BF7A94">
              <w:rPr>
                <w:iCs/>
                <w:color w:val="495965"/>
                <w:sz w:val="20"/>
                <w:szCs w:val="20"/>
              </w:rPr>
              <w:t xml:space="preserve">he </w:t>
            </w:r>
            <w:r w:rsidRPr="00BF7A94">
              <w:rPr>
                <w:color w:val="495965"/>
                <w:sz w:val="20"/>
                <w:szCs w:val="20"/>
              </w:rPr>
              <w:t xml:space="preserve">Forum </w:t>
            </w:r>
            <w:r>
              <w:rPr>
                <w:color w:val="495965"/>
                <w:sz w:val="20"/>
                <w:szCs w:val="20"/>
              </w:rPr>
              <w:t xml:space="preserve">also </w:t>
            </w:r>
            <w:r w:rsidRPr="00BF7A94">
              <w:rPr>
                <w:color w:val="495965"/>
                <w:sz w:val="20"/>
                <w:szCs w:val="20"/>
              </w:rPr>
              <w:t xml:space="preserve">delivered agreement to develop the 2050 Strategy for the Blue Pacific Continent and endorsements of: </w:t>
            </w:r>
            <w:r>
              <w:rPr>
                <w:color w:val="495965"/>
                <w:sz w:val="20"/>
                <w:szCs w:val="20"/>
              </w:rPr>
              <w:t xml:space="preserve">the </w:t>
            </w:r>
            <w:proofErr w:type="spellStart"/>
            <w:r w:rsidRPr="00BF7A94">
              <w:rPr>
                <w:color w:val="495965"/>
                <w:sz w:val="20"/>
                <w:szCs w:val="20"/>
              </w:rPr>
              <w:t>Boe</w:t>
            </w:r>
            <w:proofErr w:type="spellEnd"/>
            <w:r w:rsidRPr="00BF7A94">
              <w:rPr>
                <w:color w:val="495965"/>
                <w:sz w:val="20"/>
                <w:szCs w:val="20"/>
              </w:rPr>
              <w:t xml:space="preserve"> Declaration Action Plan; concept and transitional arrangements for the </w:t>
            </w:r>
            <w:r>
              <w:rPr>
                <w:color w:val="495965"/>
                <w:sz w:val="20"/>
                <w:szCs w:val="20"/>
              </w:rPr>
              <w:t xml:space="preserve">proposed </w:t>
            </w:r>
            <w:r w:rsidRPr="00BF7A94">
              <w:rPr>
                <w:color w:val="495965"/>
                <w:sz w:val="20"/>
                <w:szCs w:val="20"/>
              </w:rPr>
              <w:t xml:space="preserve">Pacific Resilience Facility; and the </w:t>
            </w:r>
            <w:proofErr w:type="spellStart"/>
            <w:r w:rsidRPr="00BF7A94">
              <w:rPr>
                <w:color w:val="495965"/>
                <w:sz w:val="20"/>
                <w:szCs w:val="20"/>
              </w:rPr>
              <w:t>Kainaki</w:t>
            </w:r>
            <w:proofErr w:type="spellEnd"/>
            <w:r w:rsidRPr="00BF7A94">
              <w:rPr>
                <w:color w:val="495965"/>
                <w:sz w:val="20"/>
                <w:szCs w:val="20"/>
              </w:rPr>
              <w:t xml:space="preserve"> II Declaration for Urgent Climate Change Action Now. SPC implement</w:t>
            </w:r>
            <w:r>
              <w:rPr>
                <w:color w:val="495965"/>
                <w:sz w:val="20"/>
                <w:szCs w:val="20"/>
              </w:rPr>
              <w:t>ed</w:t>
            </w:r>
            <w:r w:rsidRPr="00BF7A94">
              <w:rPr>
                <w:color w:val="495965"/>
                <w:sz w:val="20"/>
                <w:szCs w:val="20"/>
              </w:rPr>
              <w:t xml:space="preserve"> its</w:t>
            </w:r>
            <w:r>
              <w:rPr>
                <w:color w:val="495965"/>
                <w:sz w:val="20"/>
                <w:szCs w:val="20"/>
              </w:rPr>
              <w:t xml:space="preserve"> </w:t>
            </w:r>
            <w:r w:rsidRPr="00BF7A94">
              <w:rPr>
                <w:color w:val="495965"/>
                <w:sz w:val="20"/>
                <w:szCs w:val="20"/>
              </w:rPr>
              <w:t xml:space="preserve"> current strategic plan – focused on public health, education, </w:t>
            </w:r>
          </w:p>
        </w:tc>
      </w:tr>
    </w:tbl>
    <w:p w14:paraId="4DF69FD8" w14:textId="77777777" w:rsidR="006523F1" w:rsidRDefault="006523F1"/>
    <w:tbl>
      <w:tblPr>
        <w:tblStyle w:val="TableGrid"/>
        <w:tblW w:w="10059" w:type="dxa"/>
        <w:tblLayout w:type="fixed"/>
        <w:tblLook w:val="04A0" w:firstRow="1" w:lastRow="0" w:firstColumn="1" w:lastColumn="0" w:noHBand="0" w:noVBand="1"/>
        <w:tblCaption w:val="Performance Assessment Framework2"/>
        <w:tblDescription w:val="This program has four strategic objectives and nine performance benchmark, indicators that are used to measure progress."/>
      </w:tblPr>
      <w:tblGrid>
        <w:gridCol w:w="2122"/>
        <w:gridCol w:w="2551"/>
        <w:gridCol w:w="5386"/>
      </w:tblGrid>
      <w:tr w:rsidR="006523F1" w:rsidRPr="00BF7A94" w14:paraId="44A7E563" w14:textId="77777777" w:rsidTr="006523F1">
        <w:trPr>
          <w:tblHeader/>
        </w:trPr>
        <w:tc>
          <w:tcPr>
            <w:tcW w:w="2122" w:type="dxa"/>
            <w:shd w:val="clear" w:color="auto" w:fill="C1E7E0" w:themeFill="accent1" w:themeFillTint="66"/>
          </w:tcPr>
          <w:p w14:paraId="4B3D8427" w14:textId="6E1E38C4" w:rsidR="006523F1" w:rsidRPr="00BF7A94" w:rsidRDefault="006523F1" w:rsidP="006523F1">
            <w:pPr>
              <w:pStyle w:val="BodyText"/>
              <w:spacing w:before="40" w:after="40" w:line="240" w:lineRule="auto"/>
              <w:rPr>
                <w:rFonts w:eastAsia="Times New Roman"/>
                <w:b/>
                <w:iCs/>
                <w:color w:val="495965"/>
                <w:szCs w:val="17"/>
              </w:rPr>
            </w:pPr>
            <w:r w:rsidRPr="00BF7A94">
              <w:rPr>
                <w:rFonts w:asciiTheme="majorHAnsi" w:eastAsiaTheme="majorEastAsia" w:hAnsiTheme="majorHAnsi" w:cstheme="majorHAnsi"/>
                <w:b/>
                <w:caps/>
                <w:color w:val="495965"/>
                <w:sz w:val="20"/>
                <w:szCs w:val="20"/>
              </w:rPr>
              <w:t>title of strategic OBJECTIVE</w:t>
            </w:r>
          </w:p>
        </w:tc>
        <w:tc>
          <w:tcPr>
            <w:tcW w:w="2551" w:type="dxa"/>
            <w:shd w:val="clear" w:color="auto" w:fill="C1E7E0" w:themeFill="accent1" w:themeFillTint="66"/>
          </w:tcPr>
          <w:p w14:paraId="1203B1B3" w14:textId="1874988A" w:rsidR="006523F1" w:rsidRPr="00BF7A94" w:rsidRDefault="006523F1" w:rsidP="006523F1">
            <w:pPr>
              <w:keepLines/>
              <w:spacing w:before="40" w:after="40" w:line="200" w:lineRule="atLeast"/>
              <w:rPr>
                <w:b/>
                <w:iCs/>
                <w:color w:val="495965"/>
                <w:sz w:val="20"/>
                <w:szCs w:val="20"/>
              </w:rPr>
            </w:pPr>
            <w:r w:rsidRPr="00BF7A94">
              <w:rPr>
                <w:rFonts w:asciiTheme="majorHAnsi" w:eastAsiaTheme="majorEastAsia" w:hAnsiTheme="majorHAnsi" w:cstheme="majorHAnsi"/>
                <w:b/>
                <w:caps/>
                <w:color w:val="495965"/>
                <w:sz w:val="20"/>
                <w:szCs w:val="20"/>
              </w:rPr>
              <w:t>Performance assessment framework indicator/benchmark</w:t>
            </w:r>
          </w:p>
        </w:tc>
        <w:tc>
          <w:tcPr>
            <w:tcW w:w="5386" w:type="dxa"/>
            <w:shd w:val="clear" w:color="auto" w:fill="C1E7E0" w:themeFill="accent1" w:themeFillTint="66"/>
          </w:tcPr>
          <w:p w14:paraId="32C4D83A" w14:textId="4C0C97CF" w:rsidR="006523F1" w:rsidRDefault="006523F1" w:rsidP="006523F1">
            <w:pPr>
              <w:pStyle w:val="BodyText"/>
              <w:spacing w:before="40" w:after="40" w:line="240" w:lineRule="auto"/>
              <w:rPr>
                <w:iCs/>
                <w:color w:val="495965"/>
                <w:sz w:val="20"/>
                <w:szCs w:val="20"/>
              </w:rPr>
            </w:pPr>
            <w:r w:rsidRPr="00BF7A94">
              <w:rPr>
                <w:rFonts w:asciiTheme="majorHAnsi" w:eastAsiaTheme="majorEastAsia" w:hAnsiTheme="majorHAnsi" w:cstheme="majorHAnsi"/>
                <w:b/>
                <w:caps/>
                <w:color w:val="495965"/>
                <w:sz w:val="20"/>
                <w:szCs w:val="20"/>
              </w:rPr>
              <w:t>Brief summary of progress against indicator/benchmark</w:t>
            </w:r>
          </w:p>
        </w:tc>
      </w:tr>
      <w:tr w:rsidR="006523F1" w:rsidRPr="00BF7A94" w14:paraId="30E036E3" w14:textId="77777777" w:rsidTr="006523F1">
        <w:trPr>
          <w:tblHeader/>
        </w:trPr>
        <w:tc>
          <w:tcPr>
            <w:tcW w:w="2122" w:type="dxa"/>
          </w:tcPr>
          <w:p w14:paraId="4C6A9C03" w14:textId="77777777" w:rsidR="006523F1" w:rsidRPr="00BF7A94" w:rsidRDefault="006523F1" w:rsidP="00CF790F">
            <w:pPr>
              <w:pStyle w:val="BodyText"/>
              <w:spacing w:before="40" w:after="40" w:line="240" w:lineRule="auto"/>
              <w:rPr>
                <w:rFonts w:eastAsia="Times New Roman"/>
                <w:b/>
                <w:iCs/>
                <w:color w:val="495965"/>
                <w:szCs w:val="17"/>
              </w:rPr>
            </w:pPr>
          </w:p>
        </w:tc>
        <w:tc>
          <w:tcPr>
            <w:tcW w:w="2551" w:type="dxa"/>
            <w:shd w:val="clear" w:color="auto" w:fill="auto"/>
          </w:tcPr>
          <w:p w14:paraId="30EFFF00" w14:textId="77777777" w:rsidR="006523F1" w:rsidRPr="00BF7A94" w:rsidRDefault="006523F1" w:rsidP="00CF790F">
            <w:pPr>
              <w:keepLines/>
              <w:spacing w:before="40" w:after="40" w:line="200" w:lineRule="atLeast"/>
              <w:rPr>
                <w:b/>
                <w:iCs/>
                <w:color w:val="495965"/>
                <w:sz w:val="20"/>
                <w:szCs w:val="20"/>
              </w:rPr>
            </w:pPr>
          </w:p>
        </w:tc>
        <w:tc>
          <w:tcPr>
            <w:tcW w:w="5386" w:type="dxa"/>
            <w:shd w:val="clear" w:color="auto" w:fill="auto"/>
          </w:tcPr>
          <w:p w14:paraId="29A001AA" w14:textId="77777777" w:rsidR="006523F1" w:rsidRPr="00BF7A94" w:rsidRDefault="006523F1" w:rsidP="006523F1">
            <w:pPr>
              <w:pStyle w:val="BodyText"/>
              <w:spacing w:before="40" w:after="40" w:line="240" w:lineRule="auto"/>
              <w:rPr>
                <w:iCs/>
                <w:color w:val="495965"/>
                <w:sz w:val="20"/>
                <w:szCs w:val="20"/>
              </w:rPr>
            </w:pPr>
            <w:r w:rsidRPr="00BF7A94">
              <w:rPr>
                <w:color w:val="495965"/>
                <w:sz w:val="20"/>
                <w:szCs w:val="20"/>
              </w:rPr>
              <w:t>social development, human rights, statistics, climate change, disaster resilience</w:t>
            </w:r>
            <w:r>
              <w:rPr>
                <w:color w:val="495965"/>
                <w:sz w:val="20"/>
                <w:szCs w:val="20"/>
              </w:rPr>
              <w:t xml:space="preserve">, </w:t>
            </w:r>
            <w:r w:rsidRPr="00BF7A94">
              <w:rPr>
                <w:color w:val="495965"/>
                <w:sz w:val="20"/>
                <w:szCs w:val="20"/>
              </w:rPr>
              <w:t xml:space="preserve">tuna fisheries and natural resources – and is now developing the new post-2021 strategic plan. </w:t>
            </w:r>
            <w:r w:rsidRPr="00BF7A94">
              <w:rPr>
                <w:iCs/>
                <w:color w:val="495965"/>
                <w:sz w:val="20"/>
                <w:szCs w:val="20"/>
              </w:rPr>
              <w:t xml:space="preserve">SPREP’s work remains important to manage waste and invasive species, and address threats to biodiversity. </w:t>
            </w:r>
            <w:r>
              <w:rPr>
                <w:iCs/>
                <w:color w:val="495965"/>
                <w:sz w:val="20"/>
                <w:szCs w:val="20"/>
              </w:rPr>
              <w:t>FFA</w:t>
            </w:r>
            <w:r w:rsidRPr="00BF7A94">
              <w:rPr>
                <w:iCs/>
                <w:color w:val="495965"/>
                <w:sz w:val="20"/>
                <w:szCs w:val="20"/>
              </w:rPr>
              <w:t xml:space="preserve"> adopted their new Strategic Plan and Longline Strategy and implemented the Regional Monitoring, Control and Surveillance Strategy.</w:t>
            </w:r>
          </w:p>
          <w:p w14:paraId="021669A9" w14:textId="7A6CA7D4" w:rsidR="006523F1" w:rsidRDefault="006523F1" w:rsidP="006523F1">
            <w:pPr>
              <w:pStyle w:val="BodyText"/>
              <w:spacing w:before="40" w:after="40" w:line="240" w:lineRule="auto"/>
              <w:rPr>
                <w:iCs/>
                <w:color w:val="495965"/>
                <w:sz w:val="20"/>
                <w:szCs w:val="20"/>
              </w:rPr>
            </w:pPr>
            <w:r w:rsidRPr="00BF7A94">
              <w:rPr>
                <w:color w:val="495965"/>
                <w:sz w:val="20"/>
                <w:szCs w:val="20"/>
              </w:rPr>
              <w:t>Pressure on the Forum’s budget continued in 2019</w:t>
            </w:r>
            <w:r>
              <w:rPr>
                <w:color w:val="495965"/>
                <w:sz w:val="20"/>
                <w:szCs w:val="20"/>
              </w:rPr>
              <w:t>,</w:t>
            </w:r>
            <w:r w:rsidRPr="00BF7A94">
              <w:rPr>
                <w:color w:val="495965"/>
                <w:sz w:val="20"/>
                <w:szCs w:val="20"/>
              </w:rPr>
              <w:t xml:space="preserve"> as general reserves were drawn-upon to meet the deficit. The Secretariat is working to ensure it remains equipped to meet its core priorities, including COVID-19 support. SPC is on track to expend its budget, and will be able to respond to COVID-19 issues.</w:t>
            </w:r>
          </w:p>
        </w:tc>
      </w:tr>
      <w:tr w:rsidR="00BF7A94" w:rsidRPr="00BF7A94" w14:paraId="71C68204" w14:textId="77777777" w:rsidTr="006523F1">
        <w:trPr>
          <w:tblHeader/>
        </w:trPr>
        <w:tc>
          <w:tcPr>
            <w:tcW w:w="2122" w:type="dxa"/>
          </w:tcPr>
          <w:p w14:paraId="32E2AD9D" w14:textId="77777777" w:rsidR="003823B9" w:rsidRPr="00BF7A94" w:rsidRDefault="003823B9" w:rsidP="00CF790F">
            <w:pPr>
              <w:pStyle w:val="BodyText"/>
              <w:spacing w:before="40" w:after="40" w:line="240" w:lineRule="auto"/>
              <w:rPr>
                <w:rFonts w:eastAsia="Times New Roman"/>
                <w:b/>
                <w:iCs/>
                <w:color w:val="495965"/>
                <w:szCs w:val="17"/>
              </w:rPr>
            </w:pPr>
            <w:r w:rsidRPr="00BF7A94">
              <w:rPr>
                <w:rFonts w:eastAsia="Times New Roman"/>
                <w:b/>
                <w:iCs/>
                <w:color w:val="495965"/>
                <w:szCs w:val="17"/>
              </w:rPr>
              <w:t>Objective 3: Health and resilient communities</w:t>
            </w:r>
          </w:p>
          <w:p w14:paraId="3A832100" w14:textId="77777777" w:rsidR="00616559" w:rsidRDefault="00CC75A0" w:rsidP="00CF790F">
            <w:pPr>
              <w:pStyle w:val="BodyText"/>
              <w:spacing w:before="40" w:after="40" w:line="240" w:lineRule="auto"/>
              <w:rPr>
                <w:iCs/>
                <w:color w:val="495965"/>
                <w:sz w:val="20"/>
                <w:szCs w:val="20"/>
              </w:rPr>
            </w:pPr>
            <w:r>
              <w:rPr>
                <w:iCs/>
                <w:color w:val="495965"/>
                <w:sz w:val="20"/>
                <w:szCs w:val="20"/>
              </w:rPr>
              <w:t xml:space="preserve">- </w:t>
            </w:r>
            <w:r w:rsidR="003823B9" w:rsidRPr="00BF7A94">
              <w:rPr>
                <w:iCs/>
                <w:color w:val="495965"/>
                <w:sz w:val="20"/>
                <w:szCs w:val="20"/>
              </w:rPr>
              <w:t>Pacific island countries effectively manage global sources of climate finance</w:t>
            </w:r>
            <w:r>
              <w:rPr>
                <w:iCs/>
                <w:color w:val="495965"/>
                <w:sz w:val="20"/>
                <w:szCs w:val="20"/>
              </w:rPr>
              <w:t>.</w:t>
            </w:r>
          </w:p>
          <w:p w14:paraId="0E5F65D3" w14:textId="77777777" w:rsidR="00CC75A0" w:rsidRDefault="00CC75A0" w:rsidP="00CC75A0">
            <w:pPr>
              <w:pStyle w:val="BodyText"/>
              <w:spacing w:before="40" w:after="40" w:line="240" w:lineRule="auto"/>
              <w:rPr>
                <w:iCs/>
                <w:color w:val="495965"/>
                <w:sz w:val="20"/>
                <w:szCs w:val="20"/>
              </w:rPr>
            </w:pPr>
            <w:r>
              <w:rPr>
                <w:iCs/>
                <w:color w:val="495965"/>
                <w:sz w:val="20"/>
                <w:szCs w:val="20"/>
              </w:rPr>
              <w:t xml:space="preserve">- </w:t>
            </w:r>
            <w:r w:rsidRPr="00BF7A94">
              <w:rPr>
                <w:iCs/>
                <w:color w:val="495965"/>
                <w:sz w:val="20"/>
                <w:szCs w:val="20"/>
              </w:rPr>
              <w:t>Collective action managing regional fisheries resources delivers economic benefits to Pacific countries</w:t>
            </w:r>
            <w:r>
              <w:rPr>
                <w:iCs/>
                <w:color w:val="495965"/>
                <w:sz w:val="20"/>
                <w:szCs w:val="20"/>
              </w:rPr>
              <w:t>.</w:t>
            </w:r>
          </w:p>
          <w:p w14:paraId="3D2B23FF" w14:textId="016DF3F4" w:rsidR="00CC75A0" w:rsidRPr="00BF7A94" w:rsidRDefault="00CC75A0" w:rsidP="00CF790F">
            <w:pPr>
              <w:pStyle w:val="BodyText"/>
              <w:spacing w:before="40" w:after="40" w:line="240" w:lineRule="auto"/>
              <w:rPr>
                <w:iCs/>
                <w:color w:val="495965"/>
                <w:sz w:val="20"/>
                <w:szCs w:val="20"/>
              </w:rPr>
            </w:pPr>
            <w:r>
              <w:rPr>
                <w:iCs/>
                <w:color w:val="495965"/>
                <w:sz w:val="20"/>
                <w:szCs w:val="20"/>
              </w:rPr>
              <w:t xml:space="preserve">- </w:t>
            </w:r>
            <w:r w:rsidRPr="00BF7A94">
              <w:rPr>
                <w:iCs/>
                <w:color w:val="495965"/>
                <w:sz w:val="20"/>
                <w:szCs w:val="20"/>
              </w:rPr>
              <w:t>Pacific island government national surveillance systems effectively monitor outbreaks of infectious diseases</w:t>
            </w:r>
          </w:p>
        </w:tc>
        <w:tc>
          <w:tcPr>
            <w:tcW w:w="2551" w:type="dxa"/>
            <w:shd w:val="clear" w:color="auto" w:fill="auto"/>
          </w:tcPr>
          <w:p w14:paraId="3B10BDD0" w14:textId="77777777" w:rsidR="00616559" w:rsidRPr="00BF7A94" w:rsidRDefault="00616559" w:rsidP="00CF790F">
            <w:pPr>
              <w:keepLines/>
              <w:spacing w:before="40" w:after="40" w:line="200" w:lineRule="atLeast"/>
              <w:rPr>
                <w:iCs/>
                <w:color w:val="495965"/>
                <w:sz w:val="20"/>
                <w:szCs w:val="20"/>
              </w:rPr>
            </w:pPr>
            <w:r w:rsidRPr="00BF7A94">
              <w:rPr>
                <w:b/>
                <w:iCs/>
                <w:color w:val="495965"/>
                <w:sz w:val="20"/>
                <w:szCs w:val="20"/>
              </w:rPr>
              <w:t>3.1</w:t>
            </w:r>
            <w:r w:rsidRPr="00BF7A94">
              <w:rPr>
                <w:iCs/>
                <w:color w:val="495965"/>
                <w:sz w:val="20"/>
                <w:szCs w:val="20"/>
              </w:rPr>
              <w:t xml:space="preserve">  Pacific governments are able to access and use information on climate change impacts in national planning</w:t>
            </w:r>
          </w:p>
          <w:p w14:paraId="0C4E95AE" w14:textId="55566CE3" w:rsidR="00616559" w:rsidRDefault="00207D2E" w:rsidP="00CF790F">
            <w:pPr>
              <w:pStyle w:val="BodyText"/>
              <w:spacing w:before="40" w:after="40" w:line="240" w:lineRule="auto"/>
              <w:rPr>
                <w:iCs/>
                <w:color w:val="495965"/>
                <w:sz w:val="18"/>
                <w:szCs w:val="20"/>
              </w:rPr>
            </w:pPr>
            <w:r>
              <w:rPr>
                <w:iCs/>
                <w:color w:val="495965"/>
                <w:sz w:val="18"/>
                <w:szCs w:val="20"/>
              </w:rPr>
              <w:t>[</w:t>
            </w:r>
            <w:r w:rsidR="00616559" w:rsidRPr="00BF7A94">
              <w:rPr>
                <w:iCs/>
                <w:color w:val="495965"/>
                <w:sz w:val="18"/>
                <w:szCs w:val="20"/>
              </w:rPr>
              <w:t>Nine Pacific island country programs have commenced implementation of integration plans, as evidenced by the number of new investments addressing climate and other disaster risks and resilience</w:t>
            </w:r>
            <w:r>
              <w:rPr>
                <w:iCs/>
                <w:color w:val="495965"/>
                <w:sz w:val="18"/>
                <w:szCs w:val="20"/>
              </w:rPr>
              <w:t>]</w:t>
            </w:r>
            <w:r w:rsidR="00CC75A0">
              <w:rPr>
                <w:iCs/>
                <w:color w:val="495965"/>
                <w:sz w:val="18"/>
                <w:szCs w:val="20"/>
              </w:rPr>
              <w:t>.</w:t>
            </w:r>
          </w:p>
          <w:p w14:paraId="6F9C326E" w14:textId="3585A0BA" w:rsidR="00CC75A0" w:rsidRPr="00BF7A94" w:rsidRDefault="00CC75A0" w:rsidP="00CF790F">
            <w:pPr>
              <w:pStyle w:val="BodyText"/>
              <w:spacing w:before="40" w:after="40" w:line="240" w:lineRule="auto"/>
              <w:rPr>
                <w:iCs/>
                <w:color w:val="495965"/>
                <w:sz w:val="20"/>
                <w:szCs w:val="20"/>
              </w:rPr>
            </w:pPr>
            <w:r w:rsidRPr="00BF7A94">
              <w:rPr>
                <w:rFonts w:eastAsia="Times New Roman"/>
                <w:b/>
                <w:iCs/>
                <w:color w:val="495965"/>
                <w:sz w:val="20"/>
                <w:szCs w:val="20"/>
              </w:rPr>
              <w:t>3.2</w:t>
            </w:r>
            <w:r w:rsidRPr="00BF7A94">
              <w:rPr>
                <w:rFonts w:eastAsia="Times New Roman"/>
                <w:iCs/>
                <w:color w:val="495965"/>
                <w:sz w:val="20"/>
                <w:szCs w:val="20"/>
              </w:rPr>
              <w:t xml:space="preserve"> </w:t>
            </w:r>
            <w:r w:rsidRPr="00BF7A94">
              <w:rPr>
                <w:iCs/>
                <w:color w:val="495965"/>
                <w:sz w:val="20"/>
                <w:szCs w:val="20"/>
              </w:rPr>
              <w:t xml:space="preserve">Pacific governments provide more resources (financial and human) to holistic community-based </w:t>
            </w:r>
            <w:r>
              <w:rPr>
                <w:iCs/>
                <w:color w:val="495965"/>
                <w:sz w:val="20"/>
                <w:szCs w:val="20"/>
              </w:rPr>
              <w:t xml:space="preserve">fisheries management approaches </w:t>
            </w:r>
            <w:r>
              <w:rPr>
                <w:iCs/>
                <w:color w:val="495965"/>
                <w:sz w:val="18"/>
                <w:szCs w:val="20"/>
              </w:rPr>
              <w:t>[</w:t>
            </w:r>
            <w:r w:rsidRPr="00BF7A94">
              <w:rPr>
                <w:iCs/>
                <w:color w:val="495965"/>
                <w:sz w:val="18"/>
                <w:szCs w:val="20"/>
              </w:rPr>
              <w:t>ACIAR provides evidence of holistic community-based fisheries management approach in at least 3 countries</w:t>
            </w:r>
            <w:r>
              <w:rPr>
                <w:iCs/>
                <w:color w:val="495965"/>
                <w:sz w:val="18"/>
                <w:szCs w:val="20"/>
              </w:rPr>
              <w:t>]</w:t>
            </w:r>
          </w:p>
          <w:p w14:paraId="29903FB9" w14:textId="77777777" w:rsidR="00CC75A0" w:rsidRDefault="00CC75A0" w:rsidP="00CC75A0">
            <w:pPr>
              <w:pStyle w:val="BodyText"/>
              <w:spacing w:before="40" w:after="40" w:line="240" w:lineRule="auto"/>
              <w:rPr>
                <w:rFonts w:eastAsia="Times New Roman"/>
                <w:iCs/>
                <w:color w:val="495965"/>
                <w:sz w:val="20"/>
                <w:szCs w:val="20"/>
              </w:rPr>
            </w:pPr>
            <w:r w:rsidRPr="00BF7A94">
              <w:rPr>
                <w:rFonts w:eastAsia="Times New Roman"/>
                <w:b/>
                <w:iCs/>
                <w:color w:val="495965"/>
                <w:sz w:val="20"/>
                <w:szCs w:val="20"/>
              </w:rPr>
              <w:t>3.3</w:t>
            </w:r>
            <w:r w:rsidRPr="00BF7A94">
              <w:rPr>
                <w:rFonts w:eastAsia="Times New Roman"/>
                <w:iCs/>
                <w:color w:val="495965"/>
                <w:sz w:val="20"/>
                <w:szCs w:val="20"/>
              </w:rPr>
              <w:t xml:space="preserve">  </w:t>
            </w:r>
            <w:r w:rsidRPr="00207D2E">
              <w:rPr>
                <w:rFonts w:eastAsia="Times New Roman"/>
                <w:iCs/>
                <w:color w:val="495965"/>
                <w:sz w:val="20"/>
                <w:szCs w:val="20"/>
              </w:rPr>
              <w:t>Aggregate IHR capacity (per cent) for the Pacific region as reported in States Parties Self-Assessment and Annual Reporting (SPAR)</w:t>
            </w:r>
          </w:p>
          <w:p w14:paraId="117206D4" w14:textId="1DE96830" w:rsidR="00616559" w:rsidRPr="00BF7A94" w:rsidRDefault="00CC75A0" w:rsidP="00CC75A0">
            <w:pPr>
              <w:pStyle w:val="BodyText"/>
              <w:spacing w:before="40" w:after="40" w:line="240" w:lineRule="auto"/>
              <w:rPr>
                <w:b/>
                <w:iCs/>
                <w:color w:val="495965"/>
                <w:sz w:val="20"/>
                <w:szCs w:val="20"/>
              </w:rPr>
            </w:pPr>
            <w:r>
              <w:rPr>
                <w:rFonts w:eastAsia="Times New Roman"/>
                <w:iCs/>
                <w:color w:val="495965"/>
                <w:sz w:val="18"/>
                <w:szCs w:val="20"/>
              </w:rPr>
              <w:t>[</w:t>
            </w:r>
            <w:r w:rsidRPr="00207D2E">
              <w:rPr>
                <w:rFonts w:eastAsia="Times New Roman"/>
                <w:iCs/>
                <w:color w:val="495965"/>
                <w:sz w:val="18"/>
                <w:szCs w:val="20"/>
              </w:rPr>
              <w:t>baseline is 52 per cent</w:t>
            </w:r>
            <w:r>
              <w:rPr>
                <w:rFonts w:eastAsia="Times New Roman"/>
                <w:iCs/>
                <w:color w:val="495965"/>
                <w:sz w:val="18"/>
                <w:szCs w:val="20"/>
              </w:rPr>
              <w:t>]</w:t>
            </w:r>
          </w:p>
        </w:tc>
        <w:tc>
          <w:tcPr>
            <w:tcW w:w="5386" w:type="dxa"/>
            <w:shd w:val="clear" w:color="auto" w:fill="auto"/>
          </w:tcPr>
          <w:p w14:paraId="52447BB5" w14:textId="7545F29D" w:rsidR="00616559" w:rsidRDefault="00CC75A0">
            <w:pPr>
              <w:pStyle w:val="BodyText"/>
              <w:spacing w:before="40" w:after="40" w:line="240" w:lineRule="auto"/>
              <w:rPr>
                <w:iCs/>
                <w:color w:val="495965"/>
                <w:sz w:val="20"/>
                <w:szCs w:val="20"/>
              </w:rPr>
            </w:pPr>
            <w:r>
              <w:rPr>
                <w:iCs/>
                <w:color w:val="495965"/>
                <w:sz w:val="20"/>
                <w:szCs w:val="20"/>
              </w:rPr>
              <w:t xml:space="preserve">~ </w:t>
            </w:r>
            <w:r w:rsidR="00700625" w:rsidRPr="00700625">
              <w:rPr>
                <w:iCs/>
                <w:color w:val="495965"/>
                <w:sz w:val="20"/>
                <w:szCs w:val="20"/>
              </w:rPr>
              <w:t xml:space="preserve">Climate change and disaster resilience </w:t>
            </w:r>
            <w:r w:rsidR="00033774">
              <w:rPr>
                <w:iCs/>
                <w:color w:val="495965"/>
                <w:sz w:val="20"/>
                <w:szCs w:val="20"/>
              </w:rPr>
              <w:t xml:space="preserve">considerations are </w:t>
            </w:r>
            <w:r w:rsidR="00700625" w:rsidRPr="00700625">
              <w:rPr>
                <w:iCs/>
                <w:color w:val="495965"/>
                <w:sz w:val="20"/>
                <w:szCs w:val="20"/>
              </w:rPr>
              <w:t xml:space="preserve">integrated into 172 bilateral and regional aid investments – benefiting </w:t>
            </w:r>
            <w:r w:rsidR="00DF51CA">
              <w:rPr>
                <w:iCs/>
                <w:color w:val="495965"/>
                <w:sz w:val="20"/>
                <w:szCs w:val="20"/>
              </w:rPr>
              <w:t>14</w:t>
            </w:r>
            <w:r w:rsidR="00DF51CA" w:rsidRPr="00700625">
              <w:rPr>
                <w:iCs/>
                <w:color w:val="495965"/>
                <w:sz w:val="20"/>
                <w:szCs w:val="20"/>
              </w:rPr>
              <w:t xml:space="preserve"> </w:t>
            </w:r>
            <w:r w:rsidR="00700625" w:rsidRPr="00700625">
              <w:rPr>
                <w:iCs/>
                <w:color w:val="495965"/>
                <w:sz w:val="20"/>
                <w:szCs w:val="20"/>
              </w:rPr>
              <w:t xml:space="preserve">countries – through the </w:t>
            </w:r>
            <w:r w:rsidR="00700625" w:rsidRPr="00700625">
              <w:rPr>
                <w:i/>
                <w:iCs/>
                <w:color w:val="495965"/>
                <w:sz w:val="20"/>
                <w:szCs w:val="20"/>
              </w:rPr>
              <w:t>Australia Pacific Climate Partnership</w:t>
            </w:r>
            <w:r w:rsidR="00700625" w:rsidRPr="00700625">
              <w:rPr>
                <w:iCs/>
                <w:color w:val="495965"/>
                <w:sz w:val="20"/>
                <w:szCs w:val="20"/>
              </w:rPr>
              <w:t>.</w:t>
            </w:r>
            <w:r w:rsidR="00700625">
              <w:rPr>
                <w:iCs/>
                <w:color w:val="495965"/>
                <w:sz w:val="20"/>
                <w:szCs w:val="20"/>
              </w:rPr>
              <w:t xml:space="preserve"> </w:t>
            </w:r>
            <w:r w:rsidR="00CB70FD" w:rsidRPr="00BF7A94">
              <w:rPr>
                <w:iCs/>
                <w:color w:val="495965"/>
                <w:sz w:val="20"/>
                <w:szCs w:val="20"/>
              </w:rPr>
              <w:t xml:space="preserve">For </w:t>
            </w:r>
            <w:r w:rsidR="000149BE" w:rsidRPr="00BF7A94">
              <w:rPr>
                <w:iCs/>
                <w:color w:val="495965"/>
                <w:sz w:val="20"/>
                <w:szCs w:val="20"/>
              </w:rPr>
              <w:t xml:space="preserve">instance, </w:t>
            </w:r>
            <w:r w:rsidR="00DF51CA">
              <w:rPr>
                <w:iCs/>
                <w:color w:val="495965"/>
                <w:sz w:val="20"/>
                <w:szCs w:val="20"/>
              </w:rPr>
              <w:t>14</w:t>
            </w:r>
            <w:r w:rsidR="00DF51CA" w:rsidRPr="00BF7A94">
              <w:rPr>
                <w:iCs/>
                <w:color w:val="495965"/>
                <w:sz w:val="20"/>
                <w:szCs w:val="20"/>
              </w:rPr>
              <w:t xml:space="preserve"> </w:t>
            </w:r>
            <w:r w:rsidR="00616559" w:rsidRPr="00BF7A94">
              <w:rPr>
                <w:iCs/>
                <w:color w:val="495965"/>
                <w:sz w:val="20"/>
                <w:szCs w:val="20"/>
              </w:rPr>
              <w:t xml:space="preserve">meteorological services </w:t>
            </w:r>
            <w:r w:rsidR="00CB70FD" w:rsidRPr="00BF7A94">
              <w:rPr>
                <w:iCs/>
                <w:color w:val="495965"/>
                <w:sz w:val="20"/>
                <w:szCs w:val="20"/>
              </w:rPr>
              <w:t xml:space="preserve">were </w:t>
            </w:r>
            <w:r w:rsidR="00616559" w:rsidRPr="00BF7A94">
              <w:rPr>
                <w:iCs/>
                <w:color w:val="495965"/>
                <w:sz w:val="20"/>
                <w:szCs w:val="20"/>
              </w:rPr>
              <w:t>supported to monitor, analyse and communicate information about climate and oceans</w:t>
            </w:r>
            <w:r w:rsidR="00CB70FD" w:rsidRPr="00BF7A94">
              <w:rPr>
                <w:iCs/>
                <w:color w:val="495965"/>
                <w:sz w:val="20"/>
                <w:szCs w:val="20"/>
              </w:rPr>
              <w:t xml:space="preserve">; </w:t>
            </w:r>
            <w:r w:rsidR="00616559" w:rsidRPr="00BF7A94">
              <w:rPr>
                <w:iCs/>
                <w:color w:val="495965"/>
                <w:sz w:val="20"/>
                <w:szCs w:val="20"/>
              </w:rPr>
              <w:t xml:space="preserve">the </w:t>
            </w:r>
            <w:r w:rsidR="00CB70FD" w:rsidRPr="00BF7A94">
              <w:rPr>
                <w:iCs/>
                <w:color w:val="495965"/>
                <w:sz w:val="20"/>
                <w:szCs w:val="20"/>
              </w:rPr>
              <w:t xml:space="preserve">Samoan </w:t>
            </w:r>
            <w:r w:rsidR="00616559" w:rsidRPr="00BF7A94">
              <w:rPr>
                <w:iCs/>
                <w:color w:val="495965"/>
                <w:sz w:val="20"/>
                <w:szCs w:val="20"/>
              </w:rPr>
              <w:t xml:space="preserve">Ministry of Health </w:t>
            </w:r>
            <w:r w:rsidR="00CB70FD" w:rsidRPr="00BF7A94">
              <w:rPr>
                <w:iCs/>
                <w:color w:val="495965"/>
                <w:sz w:val="20"/>
                <w:szCs w:val="20"/>
              </w:rPr>
              <w:t xml:space="preserve">was </w:t>
            </w:r>
            <w:r w:rsidR="00616559" w:rsidRPr="00BF7A94">
              <w:rPr>
                <w:iCs/>
                <w:color w:val="495965"/>
                <w:sz w:val="20"/>
                <w:szCs w:val="20"/>
              </w:rPr>
              <w:t>supported to integrate climate and disaster resilience actions into the</w:t>
            </w:r>
            <w:r w:rsidR="00CB70FD" w:rsidRPr="00BF7A94">
              <w:rPr>
                <w:iCs/>
                <w:color w:val="495965"/>
                <w:sz w:val="20"/>
                <w:szCs w:val="20"/>
              </w:rPr>
              <w:t>ir</w:t>
            </w:r>
            <w:r w:rsidR="00616559" w:rsidRPr="00BF7A94">
              <w:rPr>
                <w:iCs/>
                <w:color w:val="495965"/>
                <w:sz w:val="20"/>
                <w:szCs w:val="20"/>
              </w:rPr>
              <w:t xml:space="preserve"> health system</w:t>
            </w:r>
            <w:r w:rsidR="00CB70FD" w:rsidRPr="00BF7A94">
              <w:rPr>
                <w:iCs/>
                <w:color w:val="495965"/>
                <w:sz w:val="20"/>
                <w:szCs w:val="20"/>
              </w:rPr>
              <w:t xml:space="preserve">; and </w:t>
            </w:r>
            <w:r w:rsidR="00616559" w:rsidRPr="00BF7A94">
              <w:rPr>
                <w:iCs/>
                <w:color w:val="495965"/>
                <w:sz w:val="20"/>
                <w:szCs w:val="20"/>
              </w:rPr>
              <w:t xml:space="preserve">the PNG Government </w:t>
            </w:r>
            <w:r w:rsidR="00091DD6" w:rsidRPr="00BF7A94">
              <w:rPr>
                <w:iCs/>
                <w:color w:val="495965"/>
                <w:sz w:val="20"/>
                <w:szCs w:val="20"/>
              </w:rPr>
              <w:t>w</w:t>
            </w:r>
            <w:r w:rsidR="00DF51CA">
              <w:rPr>
                <w:iCs/>
                <w:color w:val="495965"/>
                <w:sz w:val="20"/>
                <w:szCs w:val="20"/>
              </w:rPr>
              <w:t>as</w:t>
            </w:r>
            <w:r w:rsidR="00091DD6" w:rsidRPr="00BF7A94">
              <w:rPr>
                <w:iCs/>
                <w:color w:val="495965"/>
                <w:sz w:val="20"/>
                <w:szCs w:val="20"/>
              </w:rPr>
              <w:t xml:space="preserve"> </w:t>
            </w:r>
            <w:r w:rsidR="00616559" w:rsidRPr="00BF7A94">
              <w:rPr>
                <w:iCs/>
                <w:color w:val="495965"/>
                <w:sz w:val="20"/>
                <w:szCs w:val="20"/>
              </w:rPr>
              <w:t>supported to build roads and bridges that are more resilient to extreme weather</w:t>
            </w:r>
            <w:r w:rsidR="00CB70FD" w:rsidRPr="00BF7A94">
              <w:rPr>
                <w:iCs/>
                <w:color w:val="495965"/>
                <w:sz w:val="20"/>
                <w:szCs w:val="20"/>
              </w:rPr>
              <w:t>.</w:t>
            </w:r>
            <w:r w:rsidR="00616559" w:rsidRPr="00BF7A94">
              <w:rPr>
                <w:iCs/>
                <w:color w:val="495965"/>
                <w:sz w:val="20"/>
                <w:szCs w:val="20"/>
              </w:rPr>
              <w:t xml:space="preserve"> Australia </w:t>
            </w:r>
            <w:r w:rsidR="00091DD6" w:rsidRPr="00BF7A94">
              <w:rPr>
                <w:iCs/>
                <w:color w:val="495965"/>
                <w:sz w:val="20"/>
                <w:szCs w:val="20"/>
              </w:rPr>
              <w:t xml:space="preserve">also </w:t>
            </w:r>
            <w:r w:rsidR="00616559" w:rsidRPr="00BF7A94">
              <w:rPr>
                <w:iCs/>
                <w:color w:val="495965"/>
                <w:sz w:val="20"/>
                <w:szCs w:val="20"/>
              </w:rPr>
              <w:t xml:space="preserve">supported standalone </w:t>
            </w:r>
            <w:r w:rsidR="000149BE" w:rsidRPr="00BF7A94">
              <w:rPr>
                <w:iCs/>
                <w:color w:val="495965"/>
                <w:sz w:val="20"/>
                <w:szCs w:val="20"/>
              </w:rPr>
              <w:t>investments, i</w:t>
            </w:r>
            <w:r w:rsidR="00616559" w:rsidRPr="00BF7A94">
              <w:rPr>
                <w:iCs/>
                <w:color w:val="495965"/>
                <w:sz w:val="20"/>
                <w:szCs w:val="20"/>
              </w:rPr>
              <w:t>ncluding</w:t>
            </w:r>
            <w:r w:rsidR="00091DD6" w:rsidRPr="00BF7A94">
              <w:rPr>
                <w:iCs/>
                <w:color w:val="495965"/>
                <w:sz w:val="20"/>
                <w:szCs w:val="20"/>
              </w:rPr>
              <w:t>:</w:t>
            </w:r>
            <w:r w:rsidR="00616559" w:rsidRPr="00BF7A94">
              <w:rPr>
                <w:iCs/>
                <w:color w:val="495965"/>
                <w:sz w:val="20"/>
                <w:szCs w:val="20"/>
              </w:rPr>
              <w:t xml:space="preserve"> five Pacific governments to access global climate finance; </w:t>
            </w:r>
            <w:r w:rsidR="00CB70FD" w:rsidRPr="00BF7A94">
              <w:rPr>
                <w:iCs/>
                <w:color w:val="495965"/>
                <w:sz w:val="20"/>
                <w:szCs w:val="20"/>
              </w:rPr>
              <w:t xml:space="preserve">and </w:t>
            </w:r>
            <w:r w:rsidR="00616559" w:rsidRPr="00BF7A94">
              <w:rPr>
                <w:iCs/>
                <w:color w:val="495965"/>
                <w:sz w:val="20"/>
                <w:szCs w:val="20"/>
              </w:rPr>
              <w:t>seven Pacific governments to manage and resource their response to climate change and geo-hazard challenges</w:t>
            </w:r>
            <w:r w:rsidR="00CB70FD" w:rsidRPr="00BF7A94">
              <w:rPr>
                <w:iCs/>
                <w:color w:val="495965"/>
                <w:sz w:val="20"/>
                <w:szCs w:val="20"/>
              </w:rPr>
              <w:t>.</w:t>
            </w:r>
          </w:p>
          <w:p w14:paraId="792EA18C" w14:textId="77777777" w:rsidR="00CC75A0" w:rsidRDefault="00CC75A0">
            <w:pPr>
              <w:pStyle w:val="BodyText"/>
              <w:spacing w:before="40" w:after="40" w:line="240" w:lineRule="auto"/>
              <w:rPr>
                <w:iCs/>
                <w:color w:val="495965"/>
                <w:sz w:val="20"/>
                <w:szCs w:val="20"/>
              </w:rPr>
            </w:pPr>
            <w:r>
              <w:rPr>
                <w:iCs/>
                <w:color w:val="495965"/>
                <w:sz w:val="20"/>
                <w:szCs w:val="20"/>
              </w:rPr>
              <w:t xml:space="preserve">~ </w:t>
            </w:r>
            <w:r w:rsidRPr="00BF7A94">
              <w:rPr>
                <w:iCs/>
                <w:color w:val="495965"/>
                <w:sz w:val="20"/>
                <w:szCs w:val="20"/>
              </w:rPr>
              <w:t xml:space="preserve">The Community-Based Fisheries Management (CBFM) project is on track to achieve or exceed its targets. The independent mid-term review, undertaken in 2019, found that the project </w:t>
            </w:r>
            <w:r>
              <w:rPr>
                <w:iCs/>
                <w:color w:val="495965"/>
                <w:sz w:val="20"/>
                <w:szCs w:val="20"/>
              </w:rPr>
              <w:t xml:space="preserve">had </w:t>
            </w:r>
            <w:r w:rsidRPr="00BF7A94">
              <w:rPr>
                <w:iCs/>
                <w:color w:val="495965"/>
                <w:sz w:val="20"/>
                <w:szCs w:val="20"/>
              </w:rPr>
              <w:t>achieved success in raising community-based fisheries management awareness, building capacity of national staff and empowering women and youth in decision-making. So far, the project ha</w:t>
            </w:r>
            <w:r>
              <w:rPr>
                <w:iCs/>
                <w:color w:val="495965"/>
                <w:sz w:val="20"/>
                <w:szCs w:val="20"/>
              </w:rPr>
              <w:t>s</w:t>
            </w:r>
            <w:r w:rsidRPr="00BF7A94">
              <w:rPr>
                <w:iCs/>
                <w:color w:val="495965"/>
                <w:sz w:val="20"/>
                <w:szCs w:val="20"/>
              </w:rPr>
              <w:t xml:space="preserve"> directly engaged 104 communities across Kiribati, Solomon Islands and Vanuatu. The project has facilitated the development of the first long-term coastal fisheries strategy in Vanuatu and Kiribati in 2019.</w:t>
            </w:r>
            <w:r>
              <w:rPr>
                <w:iCs/>
                <w:color w:val="495965"/>
                <w:sz w:val="20"/>
                <w:szCs w:val="20"/>
              </w:rPr>
              <w:t xml:space="preserve"> </w:t>
            </w:r>
          </w:p>
          <w:p w14:paraId="5E7CB8B3" w14:textId="10787BB6" w:rsidR="00CC75A0" w:rsidRPr="00BF7A94" w:rsidRDefault="00CC75A0">
            <w:pPr>
              <w:pStyle w:val="BodyText"/>
              <w:spacing w:before="40" w:after="40" w:line="240" w:lineRule="auto"/>
              <w:rPr>
                <w:iCs/>
                <w:color w:val="495965"/>
                <w:sz w:val="20"/>
                <w:szCs w:val="20"/>
              </w:rPr>
            </w:pPr>
            <w:r>
              <w:rPr>
                <w:iCs/>
                <w:color w:val="495965"/>
                <w:sz w:val="20"/>
                <w:szCs w:val="20"/>
              </w:rPr>
              <w:t xml:space="preserve">~ </w:t>
            </w:r>
            <w:r w:rsidRPr="00BA4400">
              <w:rPr>
                <w:iCs/>
                <w:color w:val="495965"/>
                <w:sz w:val="20"/>
                <w:szCs w:val="20"/>
              </w:rPr>
              <w:t>At the time of reporting, this data is unavailable from the WHO or Pacific island countries.</w:t>
            </w:r>
          </w:p>
        </w:tc>
      </w:tr>
      <w:tr w:rsidR="00BF7A94" w:rsidRPr="00BF7A94" w14:paraId="4C944CEE" w14:textId="77777777" w:rsidTr="006523F1">
        <w:trPr>
          <w:tblHeader/>
        </w:trPr>
        <w:tc>
          <w:tcPr>
            <w:tcW w:w="2122" w:type="dxa"/>
          </w:tcPr>
          <w:p w14:paraId="3B5F4DA9" w14:textId="77777777" w:rsidR="003823B9" w:rsidRPr="00BF7A94" w:rsidRDefault="003823B9" w:rsidP="006A026A">
            <w:pPr>
              <w:pStyle w:val="BodyText"/>
              <w:spacing w:before="40" w:after="40" w:line="240" w:lineRule="auto"/>
              <w:rPr>
                <w:iCs/>
                <w:color w:val="495965"/>
                <w:sz w:val="20"/>
                <w:szCs w:val="20"/>
              </w:rPr>
            </w:pPr>
            <w:r w:rsidRPr="00BF7A94">
              <w:rPr>
                <w:rFonts w:eastAsia="Times New Roman"/>
                <w:b/>
                <w:iCs/>
                <w:color w:val="495965"/>
                <w:szCs w:val="17"/>
              </w:rPr>
              <w:t>Objective 4: Empowering women and girls</w:t>
            </w:r>
            <w:r w:rsidRPr="00BF7A94">
              <w:rPr>
                <w:iCs/>
                <w:color w:val="495965"/>
                <w:sz w:val="20"/>
                <w:szCs w:val="20"/>
              </w:rPr>
              <w:t xml:space="preserve"> </w:t>
            </w:r>
          </w:p>
          <w:p w14:paraId="52330F61" w14:textId="1596BD6F" w:rsidR="00616559" w:rsidRPr="00BF7A94" w:rsidRDefault="00CC75A0" w:rsidP="006A026A">
            <w:pPr>
              <w:pStyle w:val="BodyText"/>
              <w:spacing w:before="40" w:after="40" w:line="240" w:lineRule="auto"/>
              <w:rPr>
                <w:iCs/>
                <w:color w:val="495965"/>
                <w:sz w:val="20"/>
                <w:szCs w:val="20"/>
              </w:rPr>
            </w:pPr>
            <w:r>
              <w:rPr>
                <w:iCs/>
                <w:color w:val="495965"/>
                <w:sz w:val="20"/>
                <w:szCs w:val="20"/>
              </w:rPr>
              <w:t xml:space="preserve">- </w:t>
            </w:r>
            <w:r w:rsidR="00616559" w:rsidRPr="00BF7A94">
              <w:rPr>
                <w:iCs/>
                <w:color w:val="495965"/>
                <w:sz w:val="20"/>
                <w:szCs w:val="20"/>
              </w:rPr>
              <w:t>Improved leadership opportunities for women in the Pacific.</w:t>
            </w:r>
          </w:p>
        </w:tc>
        <w:tc>
          <w:tcPr>
            <w:tcW w:w="2551" w:type="dxa"/>
            <w:shd w:val="clear" w:color="auto" w:fill="auto"/>
          </w:tcPr>
          <w:p w14:paraId="0BE1E4EB" w14:textId="77777777" w:rsidR="00616559" w:rsidRPr="00BF7A94" w:rsidRDefault="00616559" w:rsidP="00BA4400">
            <w:pPr>
              <w:pStyle w:val="BodyText"/>
              <w:spacing w:before="40" w:after="40" w:line="240" w:lineRule="auto"/>
              <w:rPr>
                <w:iCs/>
                <w:color w:val="495965"/>
                <w:sz w:val="20"/>
                <w:szCs w:val="20"/>
              </w:rPr>
            </w:pPr>
            <w:r w:rsidRPr="00BF7A94">
              <w:rPr>
                <w:rFonts w:eastAsia="Times New Roman"/>
                <w:b/>
                <w:iCs/>
                <w:color w:val="495965"/>
                <w:sz w:val="20"/>
                <w:szCs w:val="20"/>
              </w:rPr>
              <w:t>4.1</w:t>
            </w:r>
            <w:r w:rsidRPr="00BF7A94">
              <w:rPr>
                <w:rFonts w:eastAsia="Times New Roman"/>
                <w:iCs/>
                <w:color w:val="495965"/>
                <w:sz w:val="20"/>
                <w:szCs w:val="20"/>
              </w:rPr>
              <w:t xml:space="preserve">  </w:t>
            </w:r>
            <w:r w:rsidRPr="00BF7A94">
              <w:rPr>
                <w:iCs/>
                <w:color w:val="495965"/>
                <w:sz w:val="20"/>
                <w:szCs w:val="20"/>
              </w:rPr>
              <w:t>Number of women supported to take on leadership roles at the community,</w:t>
            </w:r>
            <w:r w:rsidR="00C95791">
              <w:rPr>
                <w:iCs/>
                <w:color w:val="495965"/>
                <w:sz w:val="20"/>
                <w:szCs w:val="20"/>
              </w:rPr>
              <w:t xml:space="preserve"> provincial and national level [target 6,000]</w:t>
            </w:r>
          </w:p>
        </w:tc>
        <w:tc>
          <w:tcPr>
            <w:tcW w:w="5386" w:type="dxa"/>
            <w:shd w:val="clear" w:color="auto" w:fill="auto"/>
          </w:tcPr>
          <w:p w14:paraId="7417B554" w14:textId="273C119B" w:rsidR="00D5064F" w:rsidRPr="00BF7A94" w:rsidRDefault="00CC75A0">
            <w:pPr>
              <w:pStyle w:val="BodyText"/>
              <w:spacing w:before="40" w:after="40" w:line="240" w:lineRule="auto"/>
              <w:rPr>
                <w:iCs/>
                <w:color w:val="495965"/>
                <w:sz w:val="20"/>
                <w:szCs w:val="20"/>
              </w:rPr>
            </w:pPr>
            <w:r>
              <w:rPr>
                <w:iCs/>
                <w:color w:val="495965"/>
                <w:sz w:val="20"/>
                <w:szCs w:val="20"/>
              </w:rPr>
              <w:t xml:space="preserve">~ </w:t>
            </w:r>
            <w:r w:rsidR="00C92A83">
              <w:rPr>
                <w:iCs/>
                <w:color w:val="495965"/>
                <w:sz w:val="20"/>
                <w:szCs w:val="20"/>
              </w:rPr>
              <w:t xml:space="preserve">In 2019-20, </w:t>
            </w:r>
            <w:r w:rsidR="00C92A83" w:rsidRPr="00C92A83">
              <w:rPr>
                <w:iCs/>
                <w:color w:val="495965"/>
                <w:sz w:val="20"/>
                <w:szCs w:val="20"/>
              </w:rPr>
              <w:t>4,828 women were supported to take on leadership roles, bring</w:t>
            </w:r>
            <w:r w:rsidR="00DF51CA">
              <w:rPr>
                <w:iCs/>
                <w:color w:val="495965"/>
                <w:sz w:val="20"/>
                <w:szCs w:val="20"/>
              </w:rPr>
              <w:t>ing</w:t>
            </w:r>
            <w:r w:rsidR="00C92A83" w:rsidRPr="00C92A83">
              <w:rPr>
                <w:iCs/>
                <w:color w:val="495965"/>
                <w:sz w:val="20"/>
                <w:szCs w:val="20"/>
              </w:rPr>
              <w:t xml:space="preserve"> the total number of women supported to</w:t>
            </w:r>
            <w:r w:rsidR="00C92A83">
              <w:rPr>
                <w:iCs/>
                <w:color w:val="495965"/>
                <w:sz w:val="20"/>
                <w:szCs w:val="20"/>
              </w:rPr>
              <w:t xml:space="preserve"> 10,544</w:t>
            </w:r>
            <w:r w:rsidR="00C92A83" w:rsidRPr="00C92A83">
              <w:rPr>
                <w:iCs/>
                <w:color w:val="495965"/>
                <w:sz w:val="20"/>
                <w:szCs w:val="20"/>
              </w:rPr>
              <w:t xml:space="preserve">.  </w:t>
            </w:r>
            <w:r w:rsidR="00C92A83">
              <w:rPr>
                <w:iCs/>
                <w:color w:val="495965"/>
                <w:sz w:val="20"/>
                <w:szCs w:val="20"/>
              </w:rPr>
              <w:t>T</w:t>
            </w:r>
            <w:r w:rsidR="00C92A83" w:rsidRPr="00C92A83">
              <w:rPr>
                <w:iCs/>
                <w:color w:val="495965"/>
                <w:sz w:val="20"/>
                <w:szCs w:val="20"/>
              </w:rPr>
              <w:t xml:space="preserve">he Pacific Women regional initiatives supported 4,752 women; the </w:t>
            </w:r>
            <w:r w:rsidR="00C92A83" w:rsidRPr="00C92A83">
              <w:rPr>
                <w:i/>
                <w:iCs/>
                <w:color w:val="495965"/>
                <w:sz w:val="20"/>
                <w:szCs w:val="20"/>
              </w:rPr>
              <w:t>Shifting the Power Coalition</w:t>
            </w:r>
            <w:r w:rsidR="00C92A83" w:rsidRPr="00C92A83">
              <w:rPr>
                <w:iCs/>
                <w:color w:val="495965"/>
                <w:sz w:val="20"/>
                <w:szCs w:val="20"/>
              </w:rPr>
              <w:t xml:space="preserve"> supported 25 young women to take on climate change leadership roles in their communities; 51 women completed</w:t>
            </w:r>
            <w:r w:rsidR="00C92A83">
              <w:rPr>
                <w:iCs/>
                <w:color w:val="495965"/>
                <w:sz w:val="20"/>
                <w:szCs w:val="20"/>
              </w:rPr>
              <w:t xml:space="preserve"> the</w:t>
            </w:r>
            <w:r w:rsidR="00C92A83" w:rsidRPr="00C92A83">
              <w:rPr>
                <w:iCs/>
                <w:color w:val="495965"/>
                <w:sz w:val="20"/>
                <w:szCs w:val="20"/>
              </w:rPr>
              <w:t xml:space="preserve"> </w:t>
            </w:r>
            <w:r w:rsidR="00C92A83">
              <w:rPr>
                <w:iCs/>
                <w:color w:val="495965"/>
                <w:sz w:val="20"/>
                <w:szCs w:val="20"/>
              </w:rPr>
              <w:t xml:space="preserve">APTC’s </w:t>
            </w:r>
            <w:r w:rsidR="00C92A83" w:rsidRPr="00C92A83">
              <w:rPr>
                <w:iCs/>
                <w:color w:val="495965"/>
                <w:sz w:val="20"/>
                <w:szCs w:val="20"/>
              </w:rPr>
              <w:t xml:space="preserve">Certificate IV in Leadership and Management course. In 2019, the </w:t>
            </w:r>
            <w:r w:rsidR="00C92A83" w:rsidRPr="00C92A83">
              <w:rPr>
                <w:i/>
                <w:iCs/>
                <w:color w:val="495965"/>
                <w:sz w:val="20"/>
                <w:szCs w:val="20"/>
              </w:rPr>
              <w:t>Pacific Girl and Balance of Power</w:t>
            </w:r>
            <w:r w:rsidR="00C92A83" w:rsidRPr="00C92A83">
              <w:rPr>
                <w:iCs/>
                <w:color w:val="495965"/>
                <w:sz w:val="20"/>
                <w:szCs w:val="20"/>
              </w:rPr>
              <w:t xml:space="preserve"> directly engage</w:t>
            </w:r>
            <w:r w:rsidR="00C92A83">
              <w:rPr>
                <w:iCs/>
                <w:color w:val="495965"/>
                <w:sz w:val="20"/>
                <w:szCs w:val="20"/>
              </w:rPr>
              <w:t>d</w:t>
            </w:r>
            <w:r w:rsidR="00C92A83" w:rsidRPr="00C92A83">
              <w:rPr>
                <w:iCs/>
                <w:color w:val="495965"/>
                <w:sz w:val="20"/>
                <w:szCs w:val="20"/>
              </w:rPr>
              <w:t xml:space="preserve"> adolescent girls </w:t>
            </w:r>
            <w:r w:rsidR="00DF51CA">
              <w:rPr>
                <w:iCs/>
                <w:color w:val="495965"/>
                <w:sz w:val="20"/>
                <w:szCs w:val="20"/>
              </w:rPr>
              <w:t xml:space="preserve">on </w:t>
            </w:r>
            <w:r w:rsidR="00C92A83" w:rsidRPr="00C92A83">
              <w:rPr>
                <w:iCs/>
                <w:color w:val="495965"/>
                <w:sz w:val="20"/>
                <w:szCs w:val="20"/>
              </w:rPr>
              <w:t>participation and voice in political processes.</w:t>
            </w:r>
          </w:p>
        </w:tc>
      </w:tr>
    </w:tbl>
    <w:p w14:paraId="678329A1" w14:textId="77777777" w:rsidR="00CC75A0" w:rsidRDefault="00CC75A0">
      <w:pPr>
        <w:suppressAutoHyphens w:val="0"/>
        <w:spacing w:before="0" w:after="120" w:line="440" w:lineRule="atLeast"/>
        <w:rPr>
          <w:rFonts w:asciiTheme="majorHAnsi" w:eastAsiaTheme="majorEastAsia" w:hAnsiTheme="majorHAnsi" w:cstheme="majorBidi"/>
          <w:bCs/>
          <w:caps/>
          <w:color w:val="495965"/>
          <w:sz w:val="28"/>
          <w:szCs w:val="28"/>
        </w:rPr>
      </w:pPr>
      <w:r>
        <w:rPr>
          <w:color w:val="495965"/>
          <w:sz w:val="28"/>
          <w:szCs w:val="28"/>
        </w:rPr>
        <w:br w:type="page"/>
      </w:r>
    </w:p>
    <w:p w14:paraId="70581236" w14:textId="10174372" w:rsidR="007A23FB" w:rsidRDefault="007A23FB" w:rsidP="007A23FB">
      <w:pPr>
        <w:pStyle w:val="Heading2Numbered"/>
        <w:numPr>
          <w:ilvl w:val="0"/>
          <w:numId w:val="0"/>
        </w:numPr>
        <w:spacing w:before="240" w:after="240"/>
        <w:rPr>
          <w:color w:val="495965"/>
          <w:sz w:val="28"/>
          <w:szCs w:val="28"/>
        </w:rPr>
      </w:pPr>
      <w:r w:rsidRPr="00BF7A94">
        <w:rPr>
          <w:color w:val="495965"/>
          <w:sz w:val="28"/>
          <w:szCs w:val="28"/>
        </w:rPr>
        <w:lastRenderedPageBreak/>
        <w:t>ANNEX A: Program Quality</w:t>
      </w:r>
    </w:p>
    <w:p w14:paraId="56DB4D21" w14:textId="2ECBC91A" w:rsidR="008A1F81" w:rsidRPr="00142E84" w:rsidRDefault="008A1F81" w:rsidP="008A1F81">
      <w:pPr>
        <w:rPr>
          <w:rFonts w:asciiTheme="majorHAnsi" w:hAnsiTheme="majorHAnsi" w:cstheme="majorHAnsi"/>
          <w:sz w:val="30"/>
          <w:szCs w:val="30"/>
        </w:rPr>
      </w:pPr>
      <w:r w:rsidRPr="00142E84">
        <w:rPr>
          <w:rFonts w:asciiTheme="majorHAnsi" w:hAnsiTheme="majorHAnsi" w:cstheme="majorHAnsi"/>
          <w:sz w:val="30"/>
          <w:szCs w:val="30"/>
        </w:rPr>
        <w:t>Investment Monitoring Report ratings</w:t>
      </w:r>
    </w:p>
    <w:p w14:paraId="3A0E9CF2" w14:textId="41D782DE" w:rsidR="008A1F81" w:rsidRPr="008A1F81" w:rsidRDefault="00930581" w:rsidP="008A1F81">
      <w:r>
        <w:rPr>
          <w:noProof/>
        </w:rPr>
        <w:drawing>
          <wp:inline distT="0" distB="0" distL="0" distR="0" wp14:anchorId="530CB6A8" wp14:editId="7AF4E3B3">
            <wp:extent cx="5730875" cy="7047865"/>
            <wp:effectExtent l="0" t="0" r="3175" b="635"/>
            <wp:docPr id="3" name="Picture 3" descr="Investment Monitoring Report ratings for 22 inve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7047865"/>
                    </a:xfrm>
                    <a:prstGeom prst="rect">
                      <a:avLst/>
                    </a:prstGeom>
                    <a:noFill/>
                  </pic:spPr>
                </pic:pic>
              </a:graphicData>
            </a:graphic>
          </wp:inline>
        </w:drawing>
      </w:r>
    </w:p>
    <w:p w14:paraId="2956258F" w14:textId="3EA7CE34" w:rsidR="00930581" w:rsidRDefault="00930581" w:rsidP="00D442FC">
      <w:pPr>
        <w:pStyle w:val="Heading3"/>
        <w:rPr>
          <w:color w:val="495965"/>
        </w:rPr>
      </w:pPr>
      <w:r>
        <w:rPr>
          <w:noProof/>
          <w:color w:val="495965"/>
        </w:rPr>
        <w:lastRenderedPageBreak/>
        <w:drawing>
          <wp:inline distT="0" distB="0" distL="0" distR="0" wp14:anchorId="50593433" wp14:editId="2998868D">
            <wp:extent cx="5730875" cy="1566545"/>
            <wp:effectExtent l="0" t="0" r="3175" b="0"/>
            <wp:docPr id="1" name="Picture 1" descr="Investment Monitoring Report ratings for 3 inve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1566545"/>
                    </a:xfrm>
                    <a:prstGeom prst="rect">
                      <a:avLst/>
                    </a:prstGeom>
                    <a:noFill/>
                  </pic:spPr>
                </pic:pic>
              </a:graphicData>
            </a:graphic>
          </wp:inline>
        </w:drawing>
      </w:r>
    </w:p>
    <w:p w14:paraId="3317B1D8" w14:textId="77777777" w:rsidR="00930581" w:rsidRDefault="00930581" w:rsidP="00D442FC">
      <w:pPr>
        <w:pStyle w:val="Heading3"/>
        <w:rPr>
          <w:color w:val="495965"/>
        </w:rPr>
      </w:pPr>
    </w:p>
    <w:p w14:paraId="6795D9E4" w14:textId="68EBA4A1" w:rsidR="00D442FC" w:rsidRDefault="00D442FC" w:rsidP="00D442FC">
      <w:pPr>
        <w:pStyle w:val="Heading3"/>
        <w:rPr>
          <w:color w:val="495965"/>
        </w:rPr>
      </w:pPr>
      <w:r w:rsidRPr="00BF7A94">
        <w:rPr>
          <w:color w:val="495965"/>
        </w:rPr>
        <w:t xml:space="preserve">Final Investment Monitoring Report ratings </w:t>
      </w:r>
    </w:p>
    <w:tbl>
      <w:tblPr>
        <w:tblStyle w:val="APPR"/>
        <w:tblW w:w="4931" w:type="pct"/>
        <w:tblCellSpacing w:w="0" w:type="nil"/>
        <w:tblInd w:w="-5" w:type="dxa"/>
        <w:tblBorders>
          <w:top w:val="single" w:sz="6" w:space="0" w:color="auto"/>
          <w:bottom w:val="single" w:sz="6" w:space="0" w:color="auto"/>
          <w:insideH w:val="single" w:sz="6" w:space="0" w:color="auto"/>
        </w:tblBorders>
        <w:tblCellMar>
          <w:top w:w="28" w:type="dxa"/>
          <w:left w:w="57" w:type="dxa"/>
          <w:right w:w="28" w:type="dxa"/>
        </w:tblCellMar>
        <w:tblLook w:val="04A0" w:firstRow="1" w:lastRow="0" w:firstColumn="1" w:lastColumn="0" w:noHBand="0" w:noVBand="1"/>
      </w:tblPr>
      <w:tblGrid>
        <w:gridCol w:w="5109"/>
        <w:gridCol w:w="1336"/>
        <w:gridCol w:w="509"/>
        <w:gridCol w:w="509"/>
        <w:gridCol w:w="509"/>
        <w:gridCol w:w="509"/>
        <w:gridCol w:w="509"/>
        <w:gridCol w:w="515"/>
      </w:tblGrid>
      <w:tr w:rsidR="00C70587" w:rsidRPr="00126D61" w14:paraId="5F4DA1D2" w14:textId="77777777" w:rsidTr="00714831">
        <w:trPr>
          <w:cnfStyle w:val="100000000000" w:firstRow="1" w:lastRow="0" w:firstColumn="0" w:lastColumn="0" w:oddVBand="0" w:evenVBand="0" w:oddHBand="0" w:evenHBand="0" w:firstRowFirstColumn="0" w:firstRowLastColumn="0" w:lastRowFirstColumn="0" w:lastRowLastColumn="0"/>
          <w:trHeight w:val="1087"/>
          <w:tblCellSpacing w:w="0" w:type="nil"/>
        </w:trPr>
        <w:tc>
          <w:tcPr>
            <w:tcW w:w="2686" w:type="pct"/>
            <w:tcBorders>
              <w:top w:val="none" w:sz="0" w:space="0" w:color="auto"/>
              <w:bottom w:val="none" w:sz="0" w:space="0" w:color="auto"/>
            </w:tcBorders>
            <w:vAlign w:val="center"/>
          </w:tcPr>
          <w:p w14:paraId="7AD4F1DE" w14:textId="2C5BCD01" w:rsidR="00C70587" w:rsidRPr="00142E84" w:rsidRDefault="00142E84" w:rsidP="00C70587">
            <w:pPr>
              <w:suppressAutoHyphens w:val="0"/>
              <w:spacing w:before="0" w:after="120" w:line="440" w:lineRule="atLeast"/>
              <w:rPr>
                <w:rFonts w:asciiTheme="minorHAnsi" w:hAnsiTheme="minorHAnsi" w:cstheme="minorHAnsi"/>
              </w:rPr>
            </w:pPr>
            <w:r>
              <w:rPr>
                <w:rFonts w:asciiTheme="minorHAnsi" w:hAnsiTheme="minorHAnsi" w:cstheme="minorHAnsi"/>
              </w:rPr>
              <w:t>Investment name</w:t>
            </w:r>
          </w:p>
        </w:tc>
        <w:tc>
          <w:tcPr>
            <w:tcW w:w="702" w:type="pct"/>
            <w:tcBorders>
              <w:top w:val="none" w:sz="0" w:space="0" w:color="auto"/>
              <w:bottom w:val="none" w:sz="0" w:space="0" w:color="auto"/>
            </w:tcBorders>
            <w:vAlign w:val="bottom"/>
          </w:tcPr>
          <w:p w14:paraId="564FBD05" w14:textId="77777777" w:rsidR="00C70587" w:rsidRPr="00126D61" w:rsidRDefault="00C70587" w:rsidP="00C70587">
            <w:pPr>
              <w:spacing w:before="0" w:after="0" w:line="240" w:lineRule="auto"/>
              <w:rPr>
                <w:rFonts w:eastAsia="Times New Roman"/>
                <w:iCs/>
                <w:szCs w:val="17"/>
              </w:rPr>
            </w:pPr>
            <w:r w:rsidRPr="00126D61">
              <w:rPr>
                <w:rFonts w:asciiTheme="minorHAnsi" w:eastAsia="Times New Roman" w:hAnsiTheme="minorHAnsi"/>
                <w:iCs/>
                <w:szCs w:val="17"/>
              </w:rPr>
              <w:t>Approved budget ($m) and duration</w:t>
            </w:r>
          </w:p>
        </w:tc>
        <w:tc>
          <w:tcPr>
            <w:tcW w:w="268" w:type="pct"/>
            <w:tcBorders>
              <w:top w:val="none" w:sz="0" w:space="0" w:color="auto"/>
              <w:bottom w:val="none" w:sz="0" w:space="0" w:color="auto"/>
            </w:tcBorders>
            <w:textDirection w:val="btLr"/>
          </w:tcPr>
          <w:p w14:paraId="4C134DE5" w14:textId="5AB27867" w:rsidR="00C70587" w:rsidRPr="00C70587" w:rsidRDefault="00C70587" w:rsidP="00DB3D49">
            <w:pPr>
              <w:spacing w:before="0" w:after="0" w:line="200" w:lineRule="atLeast"/>
              <w:jc w:val="center"/>
              <w:rPr>
                <w:rFonts w:eastAsia="Times New Roman"/>
                <w:iCs/>
                <w:szCs w:val="17"/>
              </w:rPr>
            </w:pPr>
            <w:r w:rsidRPr="00C70587">
              <w:rPr>
                <w:rFonts w:asciiTheme="minorHAnsi" w:eastAsia="Times New Roman" w:hAnsiTheme="minorHAnsi"/>
                <w:iCs/>
                <w:color w:val="495965"/>
                <w:szCs w:val="17"/>
                <w:lang w:eastAsia="en-US"/>
              </w:rPr>
              <w:t>Effectiveness</w:t>
            </w:r>
          </w:p>
        </w:tc>
        <w:tc>
          <w:tcPr>
            <w:tcW w:w="268" w:type="pct"/>
            <w:tcBorders>
              <w:top w:val="none" w:sz="0" w:space="0" w:color="auto"/>
              <w:bottom w:val="none" w:sz="0" w:space="0" w:color="auto"/>
            </w:tcBorders>
            <w:textDirection w:val="btLr"/>
          </w:tcPr>
          <w:p w14:paraId="1BA0254F" w14:textId="77777777" w:rsidR="00C70587" w:rsidRPr="00C70587" w:rsidRDefault="00C70587" w:rsidP="00DB3D49">
            <w:pPr>
              <w:spacing w:before="0" w:after="0" w:line="200" w:lineRule="atLeast"/>
              <w:jc w:val="center"/>
              <w:rPr>
                <w:rFonts w:eastAsia="Times New Roman"/>
                <w:iCs/>
                <w:szCs w:val="17"/>
              </w:rPr>
            </w:pPr>
            <w:r w:rsidRPr="00C70587">
              <w:rPr>
                <w:rFonts w:asciiTheme="minorHAnsi" w:eastAsia="Times New Roman" w:hAnsiTheme="minorHAnsi"/>
                <w:iCs/>
                <w:color w:val="495965"/>
                <w:szCs w:val="17"/>
                <w:lang w:eastAsia="en-US"/>
              </w:rPr>
              <w:t>Efficiency</w:t>
            </w:r>
          </w:p>
        </w:tc>
        <w:tc>
          <w:tcPr>
            <w:tcW w:w="268" w:type="pct"/>
            <w:tcBorders>
              <w:top w:val="none" w:sz="0" w:space="0" w:color="auto"/>
              <w:bottom w:val="none" w:sz="0" w:space="0" w:color="auto"/>
            </w:tcBorders>
            <w:textDirection w:val="btLr"/>
          </w:tcPr>
          <w:p w14:paraId="69C3F661" w14:textId="77777777" w:rsidR="00C70587" w:rsidRPr="00C70587" w:rsidRDefault="00C70587" w:rsidP="00DB3D49">
            <w:pPr>
              <w:spacing w:before="0" w:after="0" w:line="200" w:lineRule="atLeast"/>
              <w:jc w:val="center"/>
              <w:rPr>
                <w:rFonts w:eastAsia="Times New Roman"/>
                <w:iCs/>
                <w:szCs w:val="17"/>
              </w:rPr>
            </w:pPr>
            <w:r w:rsidRPr="00C70587">
              <w:rPr>
                <w:rFonts w:asciiTheme="minorHAnsi" w:eastAsia="Times New Roman" w:hAnsiTheme="minorHAnsi"/>
                <w:iCs/>
                <w:color w:val="495965"/>
                <w:szCs w:val="17"/>
                <w:lang w:eastAsia="en-US"/>
              </w:rPr>
              <w:t>Gender equality</w:t>
            </w:r>
          </w:p>
        </w:tc>
        <w:tc>
          <w:tcPr>
            <w:tcW w:w="268" w:type="pct"/>
            <w:tcBorders>
              <w:top w:val="none" w:sz="0" w:space="0" w:color="auto"/>
              <w:bottom w:val="none" w:sz="0" w:space="0" w:color="auto"/>
            </w:tcBorders>
            <w:noWrap/>
            <w:textDirection w:val="btLr"/>
          </w:tcPr>
          <w:p w14:paraId="1DCFC74C" w14:textId="77777777" w:rsidR="00C70587" w:rsidRPr="00C70587" w:rsidRDefault="00C70587" w:rsidP="00DB3D49">
            <w:pPr>
              <w:spacing w:before="0" w:after="0" w:line="200" w:lineRule="atLeast"/>
              <w:jc w:val="center"/>
              <w:rPr>
                <w:rFonts w:eastAsia="Times New Roman"/>
                <w:iCs/>
                <w:szCs w:val="17"/>
              </w:rPr>
            </w:pPr>
            <w:r w:rsidRPr="00C70587">
              <w:rPr>
                <w:rFonts w:asciiTheme="minorHAnsi" w:eastAsia="Times New Roman" w:hAnsiTheme="minorHAnsi"/>
                <w:iCs/>
                <w:color w:val="495965"/>
                <w:szCs w:val="17"/>
                <w:lang w:eastAsia="en-US"/>
              </w:rPr>
              <w:t>Relevance</w:t>
            </w:r>
          </w:p>
        </w:tc>
        <w:tc>
          <w:tcPr>
            <w:tcW w:w="268" w:type="pct"/>
            <w:tcBorders>
              <w:top w:val="none" w:sz="0" w:space="0" w:color="auto"/>
              <w:bottom w:val="none" w:sz="0" w:space="0" w:color="auto"/>
            </w:tcBorders>
            <w:noWrap/>
            <w:textDirection w:val="btLr"/>
          </w:tcPr>
          <w:p w14:paraId="471D8334" w14:textId="77777777" w:rsidR="00C70587" w:rsidRPr="00C70587" w:rsidRDefault="00C70587" w:rsidP="00DB3D49">
            <w:pPr>
              <w:spacing w:before="0" w:after="0" w:line="200" w:lineRule="atLeast"/>
              <w:jc w:val="center"/>
              <w:rPr>
                <w:rFonts w:eastAsia="Times New Roman"/>
                <w:iCs/>
                <w:szCs w:val="17"/>
              </w:rPr>
            </w:pPr>
            <w:r w:rsidRPr="00C70587">
              <w:rPr>
                <w:rFonts w:asciiTheme="minorHAnsi" w:eastAsia="Times New Roman" w:hAnsiTheme="minorHAnsi"/>
                <w:iCs/>
                <w:color w:val="495965"/>
                <w:szCs w:val="17"/>
                <w:lang w:eastAsia="en-US"/>
              </w:rPr>
              <w:t>Monitoring and Evaluation</w:t>
            </w:r>
          </w:p>
        </w:tc>
        <w:tc>
          <w:tcPr>
            <w:tcW w:w="271" w:type="pct"/>
            <w:tcBorders>
              <w:top w:val="none" w:sz="0" w:space="0" w:color="auto"/>
              <w:bottom w:val="none" w:sz="0" w:space="0" w:color="auto"/>
            </w:tcBorders>
            <w:noWrap/>
            <w:textDirection w:val="btLr"/>
          </w:tcPr>
          <w:p w14:paraId="523F3E80" w14:textId="77777777" w:rsidR="00C70587" w:rsidRPr="00C70587" w:rsidRDefault="00C70587" w:rsidP="00DB3D49">
            <w:pPr>
              <w:spacing w:before="0" w:after="0" w:line="200" w:lineRule="atLeast"/>
              <w:jc w:val="center"/>
              <w:rPr>
                <w:rFonts w:eastAsia="Times New Roman"/>
                <w:iCs/>
                <w:szCs w:val="17"/>
              </w:rPr>
            </w:pPr>
            <w:r w:rsidRPr="00C70587">
              <w:rPr>
                <w:rFonts w:asciiTheme="minorHAnsi" w:eastAsia="Times New Roman" w:hAnsiTheme="minorHAnsi"/>
                <w:iCs/>
                <w:color w:val="495965"/>
                <w:szCs w:val="17"/>
                <w:lang w:eastAsia="en-US"/>
              </w:rPr>
              <w:t>Sustainability</w:t>
            </w:r>
          </w:p>
        </w:tc>
      </w:tr>
      <w:tr w:rsidR="00C70587" w:rsidRPr="00126D61" w14:paraId="23A235CD" w14:textId="77777777" w:rsidTr="00714831">
        <w:trPr>
          <w:trHeight w:val="20"/>
          <w:tblHeader w:val="0"/>
          <w:tblCellSpacing w:w="0" w:type="nil"/>
        </w:trPr>
        <w:tc>
          <w:tcPr>
            <w:tcW w:w="2686" w:type="pct"/>
            <w:vAlign w:val="center"/>
          </w:tcPr>
          <w:p w14:paraId="4045CFA7" w14:textId="5E7B0AA2" w:rsidR="00C70587" w:rsidRPr="001F5F77" w:rsidRDefault="00C70587" w:rsidP="00717723">
            <w:pPr>
              <w:suppressAutoHyphens w:val="0"/>
              <w:spacing w:before="0" w:after="0" w:line="240" w:lineRule="auto"/>
              <w:rPr>
                <w:rFonts w:eastAsia="Times New Roman"/>
                <w:iCs/>
                <w:szCs w:val="17"/>
              </w:rPr>
            </w:pPr>
            <w:r w:rsidRPr="00C36387">
              <w:rPr>
                <w:rFonts w:asciiTheme="minorHAnsi" w:eastAsia="Times New Roman" w:hAnsiTheme="minorHAnsi"/>
                <w:iCs/>
                <w:color w:val="495965"/>
                <w:szCs w:val="17"/>
                <w:lang w:eastAsia="en-US"/>
              </w:rPr>
              <w:t>Undersea Cables Project</w:t>
            </w:r>
            <w:r w:rsidRPr="001F5F77">
              <w:rPr>
                <w:rFonts w:asciiTheme="minorHAnsi" w:eastAsia="Times New Roman" w:hAnsiTheme="minorHAnsi"/>
                <w:iCs/>
                <w:color w:val="495965"/>
                <w:szCs w:val="17"/>
                <w:lang w:eastAsia="en-US"/>
              </w:rPr>
              <w:t xml:space="preserve"> </w:t>
            </w:r>
          </w:p>
        </w:tc>
        <w:tc>
          <w:tcPr>
            <w:tcW w:w="702" w:type="pct"/>
            <w:vAlign w:val="center"/>
          </w:tcPr>
          <w:p w14:paraId="513C15C1" w14:textId="79FA8092" w:rsidR="00C70587" w:rsidRPr="00BF7A94" w:rsidRDefault="00C70587" w:rsidP="00C70587">
            <w:pPr>
              <w:autoSpaceDE w:val="0"/>
              <w:autoSpaceDN w:val="0"/>
              <w:adjustRightInd w:val="0"/>
              <w:spacing w:before="40" w:after="40" w:line="240" w:lineRule="auto"/>
              <w:rPr>
                <w:rFonts w:asciiTheme="minorHAnsi" w:eastAsia="Times New Roman" w:hAnsiTheme="minorHAnsi"/>
                <w:iCs/>
                <w:color w:val="495965"/>
                <w:szCs w:val="17"/>
                <w:lang w:eastAsia="en-US"/>
              </w:rPr>
            </w:pPr>
            <w:r w:rsidRPr="00BF7A94">
              <w:rPr>
                <w:rFonts w:asciiTheme="minorHAnsi" w:eastAsia="Times New Roman" w:hAnsiTheme="minorHAnsi"/>
                <w:iCs/>
                <w:color w:val="495965"/>
                <w:szCs w:val="17"/>
                <w:lang w:eastAsia="en-US"/>
              </w:rPr>
              <w:t>$158.</w:t>
            </w:r>
            <w:r w:rsidR="004007E4">
              <w:rPr>
                <w:rFonts w:asciiTheme="minorHAnsi" w:eastAsia="Times New Roman" w:hAnsiTheme="minorHAnsi"/>
                <w:iCs/>
                <w:color w:val="495965"/>
                <w:szCs w:val="17"/>
                <w:lang w:eastAsia="en-US"/>
              </w:rPr>
              <w:t>5</w:t>
            </w:r>
            <w:r w:rsidRPr="00BF7A94">
              <w:rPr>
                <w:rFonts w:asciiTheme="minorHAnsi" w:eastAsia="Times New Roman" w:hAnsiTheme="minorHAnsi"/>
                <w:iCs/>
                <w:color w:val="495965"/>
                <w:szCs w:val="17"/>
                <w:lang w:eastAsia="en-US"/>
              </w:rPr>
              <w:t>m</w:t>
            </w:r>
          </w:p>
          <w:p w14:paraId="091B7006" w14:textId="77777777" w:rsidR="00C70587" w:rsidRPr="00126D61" w:rsidRDefault="00C70587" w:rsidP="00C70587">
            <w:pPr>
              <w:suppressAutoHyphens w:val="0"/>
              <w:spacing w:before="0" w:after="0" w:line="240" w:lineRule="auto"/>
              <w:rPr>
                <w:rFonts w:eastAsia="Times New Roman"/>
                <w:iCs/>
                <w:szCs w:val="17"/>
              </w:rPr>
            </w:pPr>
            <w:r w:rsidRPr="00BF7A94">
              <w:rPr>
                <w:rFonts w:asciiTheme="minorHAnsi" w:eastAsia="Times New Roman" w:hAnsiTheme="minorHAnsi"/>
                <w:iCs/>
                <w:color w:val="495965"/>
                <w:szCs w:val="17"/>
                <w:lang w:eastAsia="en-US"/>
              </w:rPr>
              <w:t>2017-22</w:t>
            </w:r>
          </w:p>
        </w:tc>
        <w:tc>
          <w:tcPr>
            <w:tcW w:w="268" w:type="pct"/>
            <w:vAlign w:val="center"/>
          </w:tcPr>
          <w:p w14:paraId="7CA540A9" w14:textId="77777777" w:rsidR="00C70587" w:rsidRPr="00126D61" w:rsidRDefault="00C70587" w:rsidP="00C70587">
            <w:pPr>
              <w:spacing w:before="0" w:after="0" w:line="200" w:lineRule="atLeast"/>
              <w:jc w:val="center"/>
              <w:rPr>
                <w:rFonts w:eastAsia="Times New Roman"/>
                <w:iCs/>
                <w:szCs w:val="17"/>
              </w:rPr>
            </w:pPr>
            <w:r w:rsidRPr="00BF7A94">
              <w:rPr>
                <w:rFonts w:asciiTheme="minorHAnsi" w:eastAsia="Times New Roman" w:hAnsiTheme="minorHAnsi"/>
                <w:iCs/>
                <w:color w:val="495965"/>
                <w:szCs w:val="17"/>
                <w:lang w:eastAsia="en-US"/>
              </w:rPr>
              <w:t>5</w:t>
            </w:r>
          </w:p>
        </w:tc>
        <w:tc>
          <w:tcPr>
            <w:tcW w:w="268" w:type="pct"/>
            <w:vAlign w:val="center"/>
          </w:tcPr>
          <w:p w14:paraId="6AAE9338" w14:textId="77777777" w:rsidR="00C70587" w:rsidRPr="00126D61" w:rsidRDefault="00C70587" w:rsidP="00C70587">
            <w:pPr>
              <w:spacing w:before="0" w:after="0" w:line="200" w:lineRule="atLeast"/>
              <w:jc w:val="center"/>
              <w:rPr>
                <w:rFonts w:eastAsia="Times New Roman"/>
                <w:iCs/>
                <w:szCs w:val="17"/>
              </w:rPr>
            </w:pPr>
            <w:r w:rsidRPr="00BF7A94">
              <w:rPr>
                <w:rFonts w:asciiTheme="minorHAnsi" w:eastAsia="Times New Roman" w:hAnsiTheme="minorHAnsi"/>
                <w:iCs/>
                <w:color w:val="495965"/>
                <w:szCs w:val="17"/>
                <w:lang w:eastAsia="en-US"/>
              </w:rPr>
              <w:t>5</w:t>
            </w:r>
          </w:p>
        </w:tc>
        <w:tc>
          <w:tcPr>
            <w:tcW w:w="268" w:type="pct"/>
            <w:vAlign w:val="center"/>
          </w:tcPr>
          <w:p w14:paraId="4652C70D" w14:textId="77777777" w:rsidR="00C70587" w:rsidRPr="00126D61" w:rsidRDefault="00C70587" w:rsidP="00C70587">
            <w:pPr>
              <w:spacing w:before="0" w:after="0" w:line="200" w:lineRule="atLeast"/>
              <w:jc w:val="center"/>
              <w:rPr>
                <w:rFonts w:eastAsia="Times New Roman"/>
                <w:iCs/>
                <w:szCs w:val="17"/>
              </w:rPr>
            </w:pPr>
            <w:r w:rsidRPr="00BF7A94">
              <w:rPr>
                <w:rFonts w:asciiTheme="minorHAnsi" w:eastAsia="Times New Roman" w:hAnsiTheme="minorHAnsi"/>
                <w:iCs/>
                <w:color w:val="495965"/>
                <w:szCs w:val="17"/>
                <w:lang w:eastAsia="en-US"/>
              </w:rPr>
              <w:t>3</w:t>
            </w:r>
          </w:p>
        </w:tc>
        <w:tc>
          <w:tcPr>
            <w:tcW w:w="268" w:type="pct"/>
            <w:noWrap/>
            <w:vAlign w:val="center"/>
          </w:tcPr>
          <w:p w14:paraId="70AB134A" w14:textId="77777777" w:rsidR="00C70587" w:rsidRPr="00126D61" w:rsidRDefault="00C70587" w:rsidP="00C70587">
            <w:pPr>
              <w:spacing w:before="0" w:after="0" w:line="200" w:lineRule="atLeast"/>
              <w:jc w:val="center"/>
              <w:rPr>
                <w:rFonts w:eastAsia="Times New Roman"/>
                <w:iCs/>
                <w:szCs w:val="17"/>
              </w:rPr>
            </w:pPr>
            <w:r w:rsidRPr="00BF7A94">
              <w:rPr>
                <w:rFonts w:asciiTheme="minorHAnsi" w:eastAsia="Times New Roman" w:hAnsiTheme="minorHAnsi"/>
                <w:iCs/>
                <w:color w:val="495965"/>
                <w:szCs w:val="17"/>
                <w:lang w:eastAsia="en-US"/>
              </w:rPr>
              <w:t>5</w:t>
            </w:r>
          </w:p>
        </w:tc>
        <w:tc>
          <w:tcPr>
            <w:tcW w:w="268" w:type="pct"/>
            <w:noWrap/>
            <w:vAlign w:val="center"/>
          </w:tcPr>
          <w:p w14:paraId="6E0FE85A" w14:textId="77777777" w:rsidR="00C70587" w:rsidRPr="00126D61" w:rsidRDefault="00C70587" w:rsidP="00C70587">
            <w:pPr>
              <w:spacing w:before="0" w:after="0" w:line="200" w:lineRule="atLeast"/>
              <w:jc w:val="center"/>
              <w:rPr>
                <w:rFonts w:eastAsia="Times New Roman"/>
                <w:iCs/>
                <w:szCs w:val="17"/>
              </w:rPr>
            </w:pPr>
            <w:r w:rsidRPr="00BF7A94">
              <w:rPr>
                <w:rFonts w:asciiTheme="minorHAnsi" w:eastAsia="Times New Roman" w:hAnsiTheme="minorHAnsi"/>
                <w:iCs/>
                <w:color w:val="495965"/>
                <w:szCs w:val="17"/>
                <w:lang w:eastAsia="en-US"/>
              </w:rPr>
              <w:t>3</w:t>
            </w:r>
          </w:p>
        </w:tc>
        <w:tc>
          <w:tcPr>
            <w:tcW w:w="271" w:type="pct"/>
            <w:noWrap/>
            <w:vAlign w:val="center"/>
          </w:tcPr>
          <w:p w14:paraId="7351C93E" w14:textId="77777777" w:rsidR="00C70587" w:rsidRPr="00126D61" w:rsidRDefault="00C70587" w:rsidP="00C70587">
            <w:pPr>
              <w:spacing w:before="0" w:after="0" w:line="200" w:lineRule="atLeast"/>
              <w:jc w:val="center"/>
              <w:rPr>
                <w:rFonts w:eastAsia="Times New Roman"/>
                <w:iCs/>
                <w:szCs w:val="17"/>
              </w:rPr>
            </w:pPr>
            <w:r w:rsidRPr="00BF7A94">
              <w:rPr>
                <w:rFonts w:asciiTheme="minorHAnsi" w:eastAsia="Times New Roman" w:hAnsiTheme="minorHAnsi"/>
                <w:iCs/>
                <w:color w:val="495965"/>
                <w:szCs w:val="17"/>
                <w:lang w:eastAsia="en-US"/>
              </w:rPr>
              <w:t>4</w:t>
            </w:r>
          </w:p>
        </w:tc>
      </w:tr>
      <w:tr w:rsidR="00C70587" w:rsidRPr="00126D61" w14:paraId="00C90C7B" w14:textId="77777777" w:rsidTr="00714831">
        <w:trPr>
          <w:cnfStyle w:val="000000010000" w:firstRow="0" w:lastRow="0" w:firstColumn="0" w:lastColumn="0" w:oddVBand="0" w:evenVBand="0" w:oddHBand="0" w:evenHBand="1" w:firstRowFirstColumn="0" w:firstRowLastColumn="0" w:lastRowFirstColumn="0" w:lastRowLastColumn="0"/>
          <w:trHeight w:val="20"/>
          <w:tblHeader w:val="0"/>
          <w:tblCellSpacing w:w="0" w:type="nil"/>
        </w:trPr>
        <w:tc>
          <w:tcPr>
            <w:tcW w:w="2686"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0F6D111" w14:textId="3153DE91" w:rsidR="00C70587" w:rsidRPr="001F5F77" w:rsidRDefault="00C70587" w:rsidP="00717723">
            <w:pPr>
              <w:suppressAutoHyphens w:val="0"/>
              <w:spacing w:before="0" w:after="0" w:line="240" w:lineRule="auto"/>
              <w:rPr>
                <w:rFonts w:eastAsia="Times New Roman"/>
                <w:iCs/>
                <w:color w:val="495965"/>
                <w:szCs w:val="17"/>
              </w:rPr>
            </w:pPr>
            <w:r w:rsidRPr="00C36387">
              <w:rPr>
                <w:rFonts w:asciiTheme="minorHAnsi" w:eastAsia="Times New Roman" w:hAnsiTheme="minorHAnsi"/>
                <w:iCs/>
                <w:color w:val="495965"/>
                <w:szCs w:val="17"/>
                <w:lang w:eastAsia="en-US"/>
              </w:rPr>
              <w:t>UNDP Pacific Financial Inclusion Programme</w:t>
            </w:r>
            <w:r w:rsidRPr="001F5F77">
              <w:rPr>
                <w:rFonts w:asciiTheme="minorHAnsi" w:eastAsia="Times New Roman" w:hAnsiTheme="minorHAnsi"/>
                <w:iCs/>
                <w:color w:val="495965"/>
                <w:szCs w:val="17"/>
                <w:lang w:eastAsia="en-US"/>
              </w:rPr>
              <w:t xml:space="preserve"> </w:t>
            </w:r>
          </w:p>
        </w:tc>
        <w:tc>
          <w:tcPr>
            <w:tcW w:w="702"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7BF399D" w14:textId="77777777" w:rsidR="00C70587" w:rsidRPr="00BF7A94" w:rsidRDefault="00C70587" w:rsidP="00C70587">
            <w:pPr>
              <w:autoSpaceDE w:val="0"/>
              <w:autoSpaceDN w:val="0"/>
              <w:adjustRightInd w:val="0"/>
              <w:spacing w:before="40" w:after="40" w:line="240" w:lineRule="auto"/>
              <w:rPr>
                <w:rFonts w:asciiTheme="minorHAnsi" w:eastAsia="Times New Roman" w:hAnsiTheme="minorHAnsi"/>
                <w:iCs/>
                <w:color w:val="495965"/>
                <w:szCs w:val="17"/>
                <w:lang w:eastAsia="en-US"/>
              </w:rPr>
            </w:pPr>
            <w:r w:rsidRPr="00BF7A94">
              <w:rPr>
                <w:rFonts w:asciiTheme="minorHAnsi" w:eastAsia="Times New Roman" w:hAnsiTheme="minorHAnsi"/>
                <w:iCs/>
                <w:color w:val="495965"/>
                <w:szCs w:val="17"/>
                <w:lang w:eastAsia="en-US"/>
              </w:rPr>
              <w:t>$31.2m</w:t>
            </w:r>
          </w:p>
          <w:p w14:paraId="3E121DF8" w14:textId="77777777" w:rsidR="00C70587" w:rsidRPr="00BF7A94" w:rsidRDefault="00C70587" w:rsidP="00C70587">
            <w:pPr>
              <w:autoSpaceDE w:val="0"/>
              <w:autoSpaceDN w:val="0"/>
              <w:adjustRightInd w:val="0"/>
              <w:spacing w:before="40" w:after="40" w:line="240" w:lineRule="auto"/>
              <w:rPr>
                <w:rFonts w:eastAsia="Times New Roman"/>
                <w:iCs/>
                <w:color w:val="495965"/>
                <w:szCs w:val="17"/>
              </w:rPr>
            </w:pPr>
            <w:r w:rsidRPr="00BF7A94">
              <w:rPr>
                <w:rFonts w:asciiTheme="minorHAnsi" w:eastAsia="Times New Roman" w:hAnsiTheme="minorHAnsi"/>
                <w:iCs/>
                <w:color w:val="495965"/>
                <w:szCs w:val="17"/>
                <w:lang w:eastAsia="en-US"/>
              </w:rPr>
              <w:t>2009-20</w:t>
            </w:r>
          </w:p>
        </w:tc>
        <w:tc>
          <w:tcPr>
            <w:tcW w:w="26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8147614" w14:textId="77777777" w:rsidR="00C70587" w:rsidRPr="00BF7A94" w:rsidRDefault="00C70587" w:rsidP="00C70587">
            <w:pPr>
              <w:spacing w:before="0" w:after="0" w:line="200" w:lineRule="atLeast"/>
              <w:jc w:val="center"/>
              <w:rPr>
                <w:rFonts w:eastAsia="Times New Roman"/>
                <w:iCs/>
                <w:color w:val="495965"/>
                <w:szCs w:val="17"/>
              </w:rPr>
            </w:pPr>
            <w:r w:rsidRPr="00BF7A94">
              <w:rPr>
                <w:rFonts w:asciiTheme="minorHAnsi" w:eastAsia="Times New Roman" w:hAnsiTheme="minorHAnsi"/>
                <w:iCs/>
                <w:color w:val="495965"/>
                <w:szCs w:val="17"/>
                <w:lang w:eastAsia="en-US"/>
              </w:rPr>
              <w:t>4</w:t>
            </w:r>
          </w:p>
        </w:tc>
        <w:tc>
          <w:tcPr>
            <w:tcW w:w="26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402C5F1" w14:textId="77777777" w:rsidR="00C70587" w:rsidRPr="00BF7A94" w:rsidRDefault="00C70587" w:rsidP="00C70587">
            <w:pPr>
              <w:spacing w:before="0" w:after="0" w:line="200" w:lineRule="atLeast"/>
              <w:jc w:val="center"/>
              <w:rPr>
                <w:rFonts w:eastAsia="Times New Roman"/>
                <w:iCs/>
                <w:color w:val="495965"/>
                <w:szCs w:val="17"/>
              </w:rPr>
            </w:pPr>
            <w:r w:rsidRPr="00BF7A94">
              <w:rPr>
                <w:rFonts w:asciiTheme="minorHAnsi" w:eastAsia="Times New Roman" w:hAnsiTheme="minorHAnsi"/>
                <w:iCs/>
                <w:color w:val="495965"/>
                <w:szCs w:val="17"/>
                <w:lang w:eastAsia="en-US"/>
              </w:rPr>
              <w:t>4</w:t>
            </w:r>
          </w:p>
        </w:tc>
        <w:tc>
          <w:tcPr>
            <w:tcW w:w="26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9707EE0" w14:textId="798E21DC" w:rsidR="00C70587" w:rsidRPr="00BF7A94" w:rsidRDefault="00725519" w:rsidP="00C70587">
            <w:pPr>
              <w:spacing w:before="0" w:after="0" w:line="200" w:lineRule="atLeast"/>
              <w:jc w:val="center"/>
              <w:rPr>
                <w:rFonts w:eastAsia="Times New Roman"/>
                <w:iCs/>
                <w:color w:val="495965"/>
                <w:szCs w:val="17"/>
              </w:rPr>
            </w:pPr>
            <w:r>
              <w:rPr>
                <w:rFonts w:asciiTheme="minorHAnsi" w:eastAsia="Times New Roman" w:hAnsiTheme="minorHAnsi"/>
                <w:iCs/>
                <w:color w:val="495965"/>
                <w:szCs w:val="17"/>
                <w:lang w:eastAsia="en-US"/>
              </w:rPr>
              <w:t>3</w:t>
            </w:r>
          </w:p>
        </w:tc>
        <w:tc>
          <w:tcPr>
            <w:tcW w:w="268" w:type="pct"/>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tcPr>
          <w:p w14:paraId="0BC0266E" w14:textId="77777777" w:rsidR="00C70587" w:rsidRPr="00BF7A94" w:rsidRDefault="00C70587" w:rsidP="00C70587">
            <w:pPr>
              <w:spacing w:before="0" w:after="0" w:line="200" w:lineRule="atLeast"/>
              <w:jc w:val="center"/>
              <w:rPr>
                <w:rFonts w:eastAsia="Times New Roman"/>
                <w:iCs/>
                <w:color w:val="495965"/>
                <w:szCs w:val="17"/>
              </w:rPr>
            </w:pPr>
            <w:r w:rsidRPr="00BF7A94">
              <w:rPr>
                <w:rFonts w:asciiTheme="minorHAnsi" w:eastAsia="Times New Roman" w:hAnsiTheme="minorHAnsi"/>
                <w:iCs/>
                <w:color w:val="495965"/>
                <w:szCs w:val="17"/>
                <w:lang w:eastAsia="en-US"/>
              </w:rPr>
              <w:t>5</w:t>
            </w:r>
          </w:p>
        </w:tc>
        <w:tc>
          <w:tcPr>
            <w:tcW w:w="268" w:type="pct"/>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tcPr>
          <w:p w14:paraId="658EEF46" w14:textId="77777777" w:rsidR="00C70587" w:rsidRPr="00BF7A94" w:rsidRDefault="00C70587" w:rsidP="00C70587">
            <w:pPr>
              <w:spacing w:before="0" w:after="0" w:line="200" w:lineRule="atLeast"/>
              <w:jc w:val="center"/>
              <w:rPr>
                <w:rFonts w:eastAsia="Times New Roman"/>
                <w:iCs/>
                <w:color w:val="495965"/>
                <w:szCs w:val="17"/>
              </w:rPr>
            </w:pPr>
            <w:r w:rsidRPr="00BF7A94">
              <w:rPr>
                <w:rFonts w:asciiTheme="minorHAnsi" w:eastAsia="Times New Roman" w:hAnsiTheme="minorHAnsi"/>
                <w:iCs/>
                <w:color w:val="495965"/>
                <w:szCs w:val="17"/>
                <w:lang w:eastAsia="en-US"/>
              </w:rPr>
              <w:t>3</w:t>
            </w:r>
          </w:p>
        </w:tc>
        <w:tc>
          <w:tcPr>
            <w:tcW w:w="271" w:type="pct"/>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tcPr>
          <w:p w14:paraId="377E3BCE" w14:textId="77777777" w:rsidR="00C70587" w:rsidRPr="00BF7A94" w:rsidRDefault="00C70587" w:rsidP="00C70587">
            <w:pPr>
              <w:spacing w:before="0" w:after="0" w:line="200" w:lineRule="atLeast"/>
              <w:jc w:val="center"/>
              <w:rPr>
                <w:rFonts w:eastAsia="Times New Roman"/>
                <w:iCs/>
                <w:color w:val="495965"/>
                <w:szCs w:val="17"/>
              </w:rPr>
            </w:pPr>
            <w:r w:rsidRPr="00BF7A94">
              <w:rPr>
                <w:rFonts w:asciiTheme="minorHAnsi" w:eastAsia="Times New Roman" w:hAnsiTheme="minorHAnsi"/>
                <w:iCs/>
                <w:color w:val="495965"/>
                <w:szCs w:val="17"/>
                <w:lang w:eastAsia="en-US"/>
              </w:rPr>
              <w:t>4</w:t>
            </w:r>
          </w:p>
        </w:tc>
      </w:tr>
      <w:tr w:rsidR="00C70587" w:rsidRPr="00126D61" w14:paraId="2016BD19" w14:textId="77777777" w:rsidTr="00714831">
        <w:trPr>
          <w:trHeight w:val="20"/>
          <w:tblHeader w:val="0"/>
          <w:tblCellSpacing w:w="0" w:type="nil"/>
        </w:trPr>
        <w:tc>
          <w:tcPr>
            <w:tcW w:w="2686" w:type="pct"/>
            <w:vAlign w:val="center"/>
          </w:tcPr>
          <w:p w14:paraId="3BF07877" w14:textId="5CB5F62C" w:rsidR="00C70587" w:rsidRPr="001F5F77" w:rsidRDefault="00C70587" w:rsidP="00717723">
            <w:pPr>
              <w:suppressAutoHyphens w:val="0"/>
              <w:spacing w:before="0" w:after="0" w:line="240" w:lineRule="auto"/>
              <w:rPr>
                <w:rFonts w:eastAsia="Times New Roman"/>
                <w:iCs/>
                <w:color w:val="495965"/>
                <w:szCs w:val="17"/>
              </w:rPr>
            </w:pPr>
            <w:r w:rsidRPr="00C36387">
              <w:rPr>
                <w:rFonts w:asciiTheme="minorHAnsi" w:eastAsia="Times New Roman" w:hAnsiTheme="minorHAnsi"/>
                <w:iCs/>
                <w:color w:val="495965"/>
                <w:szCs w:val="17"/>
                <w:lang w:eastAsia="en-US"/>
              </w:rPr>
              <w:t>Asia-Pacific Data for Development Initiative</w:t>
            </w:r>
            <w:r w:rsidRPr="001F5F77">
              <w:rPr>
                <w:rFonts w:asciiTheme="minorHAnsi" w:eastAsia="Times New Roman" w:hAnsiTheme="minorHAnsi"/>
                <w:iCs/>
                <w:color w:val="495965"/>
                <w:szCs w:val="17"/>
                <w:lang w:eastAsia="en-US"/>
              </w:rPr>
              <w:t xml:space="preserve"> </w:t>
            </w:r>
          </w:p>
        </w:tc>
        <w:tc>
          <w:tcPr>
            <w:tcW w:w="702" w:type="pct"/>
            <w:vAlign w:val="center"/>
          </w:tcPr>
          <w:p w14:paraId="30951F29" w14:textId="77777777" w:rsidR="00DB3D49" w:rsidRDefault="00C70587" w:rsidP="00C70587">
            <w:pPr>
              <w:autoSpaceDE w:val="0"/>
              <w:autoSpaceDN w:val="0"/>
              <w:adjustRightInd w:val="0"/>
              <w:spacing w:before="40" w:after="40" w:line="240" w:lineRule="auto"/>
              <w:rPr>
                <w:rFonts w:asciiTheme="minorHAnsi" w:eastAsia="Times New Roman" w:hAnsiTheme="minorHAnsi"/>
                <w:iCs/>
                <w:color w:val="495965"/>
                <w:szCs w:val="17"/>
                <w:lang w:eastAsia="en-US"/>
              </w:rPr>
            </w:pPr>
            <w:r w:rsidRPr="00BF7A94">
              <w:rPr>
                <w:rFonts w:asciiTheme="minorHAnsi" w:eastAsia="Times New Roman" w:hAnsiTheme="minorHAnsi"/>
                <w:iCs/>
                <w:color w:val="495965"/>
                <w:szCs w:val="17"/>
                <w:lang w:eastAsia="en-US"/>
              </w:rPr>
              <w:t xml:space="preserve">$1.8m </w:t>
            </w:r>
          </w:p>
          <w:p w14:paraId="134A4666" w14:textId="3CE8230B" w:rsidR="00C70587" w:rsidRPr="00BF7A94" w:rsidRDefault="00C70587" w:rsidP="00C70587">
            <w:pPr>
              <w:autoSpaceDE w:val="0"/>
              <w:autoSpaceDN w:val="0"/>
              <w:adjustRightInd w:val="0"/>
              <w:spacing w:before="40" w:after="40" w:line="240" w:lineRule="auto"/>
              <w:rPr>
                <w:rFonts w:eastAsia="Times New Roman"/>
                <w:iCs/>
                <w:color w:val="495965"/>
                <w:szCs w:val="17"/>
              </w:rPr>
            </w:pPr>
            <w:r w:rsidRPr="00BF7A94">
              <w:rPr>
                <w:rFonts w:asciiTheme="minorHAnsi" w:eastAsia="Times New Roman" w:hAnsiTheme="minorHAnsi"/>
                <w:iCs/>
                <w:color w:val="495965"/>
                <w:szCs w:val="17"/>
                <w:lang w:eastAsia="en-US"/>
              </w:rPr>
              <w:t>2018-21</w:t>
            </w:r>
          </w:p>
        </w:tc>
        <w:tc>
          <w:tcPr>
            <w:tcW w:w="268" w:type="pct"/>
            <w:vAlign w:val="center"/>
          </w:tcPr>
          <w:p w14:paraId="237B7BD7" w14:textId="4BB1DC90" w:rsidR="00C70587" w:rsidRPr="00BF7A94" w:rsidRDefault="00BE7383" w:rsidP="00C70587">
            <w:pPr>
              <w:spacing w:before="0" w:after="0" w:line="200" w:lineRule="atLeast"/>
              <w:jc w:val="center"/>
              <w:rPr>
                <w:rFonts w:eastAsia="Times New Roman"/>
                <w:iCs/>
                <w:color w:val="495965"/>
                <w:szCs w:val="17"/>
              </w:rPr>
            </w:pPr>
            <w:r>
              <w:rPr>
                <w:rFonts w:asciiTheme="minorHAnsi" w:eastAsia="Times New Roman" w:hAnsiTheme="minorHAnsi"/>
                <w:iCs/>
                <w:color w:val="495965"/>
                <w:szCs w:val="17"/>
                <w:lang w:eastAsia="en-US"/>
              </w:rPr>
              <w:t>1</w:t>
            </w:r>
          </w:p>
        </w:tc>
        <w:tc>
          <w:tcPr>
            <w:tcW w:w="268" w:type="pct"/>
            <w:vAlign w:val="center"/>
          </w:tcPr>
          <w:p w14:paraId="534AB734" w14:textId="01674D58" w:rsidR="00C70587" w:rsidRPr="00BF7A94" w:rsidRDefault="00BE7383" w:rsidP="00C70587">
            <w:pPr>
              <w:spacing w:before="0" w:after="0" w:line="200" w:lineRule="atLeast"/>
              <w:jc w:val="center"/>
              <w:rPr>
                <w:rFonts w:eastAsia="Times New Roman"/>
                <w:iCs/>
                <w:color w:val="495965"/>
                <w:szCs w:val="17"/>
              </w:rPr>
            </w:pPr>
            <w:r>
              <w:rPr>
                <w:rFonts w:asciiTheme="minorHAnsi" w:eastAsia="Times New Roman" w:hAnsiTheme="minorHAnsi"/>
                <w:iCs/>
                <w:color w:val="495965"/>
                <w:szCs w:val="17"/>
                <w:lang w:eastAsia="en-US"/>
              </w:rPr>
              <w:t>1</w:t>
            </w:r>
          </w:p>
        </w:tc>
        <w:tc>
          <w:tcPr>
            <w:tcW w:w="268" w:type="pct"/>
            <w:vAlign w:val="center"/>
          </w:tcPr>
          <w:p w14:paraId="74632665" w14:textId="730ED1F4" w:rsidR="00C70587" w:rsidRPr="00BF7A94" w:rsidRDefault="00BE7383" w:rsidP="00C70587">
            <w:pPr>
              <w:spacing w:before="0" w:after="0" w:line="200" w:lineRule="atLeast"/>
              <w:jc w:val="center"/>
              <w:rPr>
                <w:rFonts w:eastAsia="Times New Roman"/>
                <w:iCs/>
                <w:color w:val="495965"/>
                <w:szCs w:val="17"/>
              </w:rPr>
            </w:pPr>
            <w:r>
              <w:rPr>
                <w:rFonts w:asciiTheme="minorHAnsi" w:eastAsia="Times New Roman" w:hAnsiTheme="minorHAnsi"/>
                <w:iCs/>
                <w:color w:val="495965"/>
                <w:szCs w:val="17"/>
                <w:lang w:eastAsia="en-US"/>
              </w:rPr>
              <w:t>1</w:t>
            </w:r>
          </w:p>
        </w:tc>
        <w:tc>
          <w:tcPr>
            <w:tcW w:w="268" w:type="pct"/>
            <w:noWrap/>
            <w:vAlign w:val="center"/>
          </w:tcPr>
          <w:p w14:paraId="1AC4EF19" w14:textId="1A996532" w:rsidR="00C70587" w:rsidRPr="00BF7A94" w:rsidRDefault="00BE7383" w:rsidP="00C70587">
            <w:pPr>
              <w:spacing w:before="0" w:after="0" w:line="200" w:lineRule="atLeast"/>
              <w:jc w:val="center"/>
              <w:rPr>
                <w:rFonts w:eastAsia="Times New Roman"/>
                <w:iCs/>
                <w:color w:val="495965"/>
                <w:szCs w:val="17"/>
              </w:rPr>
            </w:pPr>
            <w:r>
              <w:rPr>
                <w:rFonts w:asciiTheme="minorHAnsi" w:eastAsia="Times New Roman" w:hAnsiTheme="minorHAnsi"/>
                <w:iCs/>
                <w:color w:val="495965"/>
                <w:szCs w:val="17"/>
                <w:lang w:eastAsia="en-US"/>
              </w:rPr>
              <w:t>3</w:t>
            </w:r>
          </w:p>
        </w:tc>
        <w:tc>
          <w:tcPr>
            <w:tcW w:w="268" w:type="pct"/>
            <w:noWrap/>
            <w:vAlign w:val="center"/>
          </w:tcPr>
          <w:p w14:paraId="1015560C" w14:textId="09CBEF3B" w:rsidR="00C70587" w:rsidRPr="00BF7A94" w:rsidRDefault="00BE7383" w:rsidP="00C70587">
            <w:pPr>
              <w:spacing w:before="0" w:after="0" w:line="200" w:lineRule="atLeast"/>
              <w:jc w:val="center"/>
              <w:rPr>
                <w:rFonts w:eastAsia="Times New Roman"/>
                <w:iCs/>
                <w:color w:val="495965"/>
                <w:szCs w:val="17"/>
              </w:rPr>
            </w:pPr>
            <w:r>
              <w:rPr>
                <w:rFonts w:asciiTheme="minorHAnsi" w:eastAsia="Times New Roman" w:hAnsiTheme="minorHAnsi"/>
                <w:iCs/>
                <w:color w:val="495965"/>
                <w:szCs w:val="17"/>
                <w:lang w:eastAsia="en-US"/>
              </w:rPr>
              <w:t>1</w:t>
            </w:r>
          </w:p>
        </w:tc>
        <w:tc>
          <w:tcPr>
            <w:tcW w:w="271" w:type="pct"/>
            <w:noWrap/>
            <w:vAlign w:val="center"/>
          </w:tcPr>
          <w:p w14:paraId="1D92B42C" w14:textId="6FA56985" w:rsidR="00C70587" w:rsidRPr="00BF7A94" w:rsidRDefault="00C27B17" w:rsidP="00C70587">
            <w:pPr>
              <w:spacing w:before="0" w:after="0" w:line="200" w:lineRule="atLeast"/>
              <w:jc w:val="center"/>
              <w:rPr>
                <w:rFonts w:eastAsia="Times New Roman"/>
                <w:iCs/>
                <w:color w:val="495965"/>
                <w:szCs w:val="17"/>
              </w:rPr>
            </w:pPr>
            <w:r>
              <w:rPr>
                <w:rFonts w:asciiTheme="minorHAnsi" w:eastAsia="Times New Roman" w:hAnsiTheme="minorHAnsi"/>
                <w:iCs/>
                <w:color w:val="495965"/>
                <w:szCs w:val="17"/>
                <w:lang w:eastAsia="en-US"/>
              </w:rPr>
              <w:t>2</w:t>
            </w:r>
          </w:p>
        </w:tc>
      </w:tr>
    </w:tbl>
    <w:p w14:paraId="23613C01" w14:textId="77777777" w:rsidR="00C70587" w:rsidRDefault="00C70587" w:rsidP="00D442FC">
      <w:pPr>
        <w:spacing w:before="20" w:after="20" w:line="180" w:lineRule="atLeast"/>
        <w:jc w:val="both"/>
        <w:rPr>
          <w:rFonts w:eastAsia="Times New Roman"/>
          <w:color w:val="495965"/>
          <w:sz w:val="16"/>
          <w:szCs w:val="14"/>
        </w:rPr>
      </w:pPr>
    </w:p>
    <w:p w14:paraId="6447B69F" w14:textId="77777777" w:rsidR="00390828" w:rsidRPr="00C70587" w:rsidRDefault="00D442FC" w:rsidP="00D442FC">
      <w:pPr>
        <w:spacing w:before="20" w:after="20" w:line="180" w:lineRule="atLeast"/>
        <w:jc w:val="both"/>
        <w:rPr>
          <w:rFonts w:eastAsia="Times New Roman"/>
          <w:b/>
          <w:color w:val="495965"/>
          <w:sz w:val="16"/>
          <w:szCs w:val="14"/>
        </w:rPr>
      </w:pPr>
      <w:r w:rsidRPr="00C70587">
        <w:rPr>
          <w:rFonts w:eastAsia="Times New Roman"/>
          <w:b/>
          <w:color w:val="495965"/>
          <w:sz w:val="16"/>
          <w:szCs w:val="14"/>
        </w:rPr>
        <w:t xml:space="preserve">Definitions </w:t>
      </w:r>
      <w:r w:rsidR="00390828" w:rsidRPr="00C70587">
        <w:rPr>
          <w:rFonts w:eastAsia="Times New Roman"/>
          <w:b/>
          <w:color w:val="495965"/>
          <w:sz w:val="16"/>
          <w:szCs w:val="14"/>
        </w:rPr>
        <w:t>of rating scale:</w:t>
      </w:r>
      <w:r w:rsidR="00390828" w:rsidRPr="00C70587">
        <w:rPr>
          <w:rFonts w:eastAsia="Times New Roman"/>
          <w:b/>
          <w:color w:val="495965"/>
          <w:sz w:val="16"/>
          <w:szCs w:val="14"/>
        </w:rPr>
        <w:tab/>
      </w:r>
    </w:p>
    <w:p w14:paraId="2E35DDCF" w14:textId="77777777" w:rsidR="00390828" w:rsidRPr="00BF7A94" w:rsidRDefault="00390828" w:rsidP="00390828">
      <w:pPr>
        <w:spacing w:before="20" w:after="20" w:line="180" w:lineRule="atLeast"/>
        <w:jc w:val="both"/>
        <w:rPr>
          <w:color w:val="495965"/>
          <w:sz w:val="16"/>
          <w:u w:val="single"/>
        </w:rPr>
      </w:pPr>
      <w:r w:rsidRPr="00BF7A94">
        <w:rPr>
          <w:color w:val="495965"/>
          <w:sz w:val="16"/>
          <w:u w:val="single"/>
        </w:rPr>
        <w:t>Satisfactory (4, 5 and 6)</w:t>
      </w:r>
    </w:p>
    <w:p w14:paraId="638B2530" w14:textId="77777777" w:rsidR="00390828" w:rsidRPr="00BF7A94" w:rsidRDefault="00390828" w:rsidP="00390828">
      <w:pPr>
        <w:spacing w:before="20" w:after="20" w:line="180" w:lineRule="atLeast"/>
        <w:rPr>
          <w:color w:val="495965"/>
          <w:sz w:val="16"/>
        </w:rPr>
      </w:pPr>
      <w:r w:rsidRPr="00BF7A94">
        <w:rPr>
          <w:color w:val="495965"/>
          <w:sz w:val="16"/>
        </w:rPr>
        <w:t>6 = Very good; satisfies criteria in all areas.  5 = Good; satisfies criteria in almost all areas.</w:t>
      </w:r>
    </w:p>
    <w:p w14:paraId="6C1E9E37" w14:textId="77777777" w:rsidR="00390828" w:rsidRPr="00BF7A94" w:rsidRDefault="00390828" w:rsidP="00390828">
      <w:pPr>
        <w:spacing w:before="20" w:after="20" w:line="180" w:lineRule="atLeast"/>
        <w:rPr>
          <w:color w:val="495965"/>
          <w:sz w:val="16"/>
        </w:rPr>
      </w:pPr>
      <w:r w:rsidRPr="00BF7A94">
        <w:rPr>
          <w:color w:val="495965"/>
          <w:sz w:val="16"/>
        </w:rPr>
        <w:t>4 = Adequate; on balance, satisfies criteria; does not fail in any major area.</w:t>
      </w:r>
    </w:p>
    <w:p w14:paraId="6DA8A6E1" w14:textId="77777777" w:rsidR="00390828" w:rsidRPr="00BF7A94" w:rsidRDefault="00390828" w:rsidP="00390828">
      <w:pPr>
        <w:spacing w:before="20" w:after="20" w:line="180" w:lineRule="atLeast"/>
        <w:rPr>
          <w:color w:val="495965"/>
          <w:sz w:val="16"/>
          <w:u w:val="single"/>
        </w:rPr>
      </w:pPr>
      <w:r w:rsidRPr="00BF7A94">
        <w:rPr>
          <w:color w:val="495965"/>
          <w:sz w:val="16"/>
          <w:u w:val="single"/>
        </w:rPr>
        <w:t>Less than satisfactory (1, 2 and 3)</w:t>
      </w:r>
    </w:p>
    <w:p w14:paraId="7A16EC29" w14:textId="77777777" w:rsidR="00390828" w:rsidRPr="00BF7A94" w:rsidRDefault="00390828" w:rsidP="00390828">
      <w:pPr>
        <w:spacing w:before="20" w:after="20" w:line="180" w:lineRule="atLeast"/>
        <w:rPr>
          <w:color w:val="495965"/>
          <w:sz w:val="16"/>
        </w:rPr>
      </w:pPr>
      <w:r w:rsidRPr="00BF7A94">
        <w:rPr>
          <w:color w:val="495965"/>
          <w:sz w:val="16"/>
        </w:rPr>
        <w:t xml:space="preserve"> 3 = Less than adequate; on balance does not satisfy criteria and/or fails in at least one major area.</w:t>
      </w:r>
    </w:p>
    <w:p w14:paraId="65D52ACD" w14:textId="614F0303" w:rsidR="005873D7" w:rsidRDefault="00390828" w:rsidP="00714831">
      <w:pPr>
        <w:spacing w:before="20" w:after="20" w:line="180" w:lineRule="atLeast"/>
        <w:rPr>
          <w:color w:val="495965"/>
        </w:rPr>
      </w:pPr>
      <w:r w:rsidRPr="00BF7A94">
        <w:rPr>
          <w:color w:val="495965"/>
          <w:sz w:val="16"/>
        </w:rPr>
        <w:t xml:space="preserve"> 2 = Poor; does not satisfy criteria in major areas</w:t>
      </w:r>
      <w:bookmarkStart w:id="0" w:name="_GoBack"/>
      <w:bookmarkEnd w:id="0"/>
      <w:r w:rsidRPr="00BF7A94">
        <w:rPr>
          <w:color w:val="495965"/>
          <w:sz w:val="16"/>
        </w:rPr>
        <w:t>.  1 = Very poor; does not satisfy criteria in many major area.</w:t>
      </w:r>
    </w:p>
    <w:sectPr w:rsidR="005873D7" w:rsidSect="00EC3C2D">
      <w:headerReference w:type="even" r:id="rId22"/>
      <w:head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655F" w14:textId="77777777" w:rsidR="0019600C" w:rsidRDefault="0019600C" w:rsidP="00D37B04">
      <w:r>
        <w:separator/>
      </w:r>
    </w:p>
  </w:endnote>
  <w:endnote w:type="continuationSeparator" w:id="0">
    <w:p w14:paraId="7DD21EF1" w14:textId="77777777" w:rsidR="0019600C" w:rsidRDefault="0019600C" w:rsidP="00D37B04">
      <w:r>
        <w:continuationSeparator/>
      </w:r>
    </w:p>
  </w:endnote>
  <w:endnote w:type="continuationNotice" w:id="1">
    <w:p w14:paraId="112CE359" w14:textId="77777777" w:rsidR="0019600C" w:rsidRDefault="001960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51B5" w14:textId="77777777" w:rsidR="0019600C" w:rsidRPr="00FC322F" w:rsidRDefault="0019600C" w:rsidP="00FC322F">
    <w:pPr>
      <w:pStyle w:val="Footer"/>
      <w:rPr>
        <w:b/>
      </w:rPr>
    </w:pPr>
    <w:r w:rsidRPr="00FC322F">
      <w:rPr>
        <w:b/>
        <w:noProof/>
        <w:lang w:val="en-AU" w:eastAsia="en-AU"/>
      </w:rPr>
      <w:drawing>
        <wp:inline distT="0" distB="0" distL="0" distR="0" wp14:anchorId="6C0CCC8A" wp14:editId="420FCA69">
          <wp:extent cx="108000" cy="87480"/>
          <wp:effectExtent l="0" t="0" r="6350" b="8255"/>
          <wp:docPr id="5" name="Picture 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43098"/>
      <w:docPartObj>
        <w:docPartGallery w:val="Page Numbers (Bottom of Page)"/>
        <w:docPartUnique/>
      </w:docPartObj>
    </w:sdtPr>
    <w:sdtEndPr>
      <w:rPr>
        <w:noProof/>
      </w:rPr>
    </w:sdtEndPr>
    <w:sdtContent>
      <w:p w14:paraId="0B3F5520" w14:textId="45F76F63" w:rsidR="00A3748B" w:rsidRDefault="00A3748B">
        <w:pPr>
          <w:pStyle w:val="Footer"/>
          <w:jc w:val="center"/>
        </w:pPr>
        <w:r>
          <w:fldChar w:fldCharType="begin"/>
        </w:r>
        <w:r>
          <w:instrText xml:space="preserve"> PAGE   \* MERGEFORMAT </w:instrText>
        </w:r>
        <w:r>
          <w:fldChar w:fldCharType="separate"/>
        </w:r>
        <w:r w:rsidR="006523F1">
          <w:rPr>
            <w:noProof/>
          </w:rPr>
          <w:t>1</w:t>
        </w:r>
        <w:r>
          <w:rPr>
            <w:noProof/>
          </w:rPr>
          <w:fldChar w:fldCharType="end"/>
        </w:r>
      </w:p>
    </w:sdtContent>
  </w:sdt>
  <w:p w14:paraId="322E44C6" w14:textId="5A51B2A5" w:rsidR="0019600C" w:rsidRPr="00FC322F" w:rsidRDefault="0019600C"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758417"/>
      <w:docPartObj>
        <w:docPartGallery w:val="Page Numbers (Bottom of Page)"/>
        <w:docPartUnique/>
      </w:docPartObj>
    </w:sdtPr>
    <w:sdtEndPr>
      <w:rPr>
        <w:noProof/>
      </w:rPr>
    </w:sdtEndPr>
    <w:sdtContent>
      <w:p w14:paraId="00C8BF8B" w14:textId="57215E07" w:rsidR="00A3748B" w:rsidRDefault="00A3748B">
        <w:pPr>
          <w:pStyle w:val="Footer"/>
          <w:jc w:val="center"/>
        </w:pPr>
        <w:r>
          <w:fldChar w:fldCharType="begin"/>
        </w:r>
        <w:r>
          <w:instrText xml:space="preserve"> PAGE   \* MERGEFORMAT </w:instrText>
        </w:r>
        <w:r>
          <w:fldChar w:fldCharType="separate"/>
        </w:r>
        <w:r w:rsidR="006523F1">
          <w:rPr>
            <w:noProof/>
          </w:rPr>
          <w:t>5</w:t>
        </w:r>
        <w:r>
          <w:rPr>
            <w:noProof/>
          </w:rPr>
          <w:fldChar w:fldCharType="end"/>
        </w:r>
      </w:p>
    </w:sdtContent>
  </w:sdt>
  <w:p w14:paraId="3068556D" w14:textId="4919E090" w:rsidR="0019600C" w:rsidRPr="00FC322F" w:rsidRDefault="0019600C"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AC8A" w14:textId="77777777" w:rsidR="0019600C" w:rsidRPr="00FC322F" w:rsidRDefault="0019600C" w:rsidP="00FC322F">
    <w:pPr>
      <w:pStyle w:val="Footer"/>
      <w:rPr>
        <w:b/>
      </w:rPr>
    </w:pPr>
    <w:r w:rsidRPr="00FC322F">
      <w:rPr>
        <w:b/>
        <w:noProof/>
        <w:lang w:val="en-AU" w:eastAsia="en-AU"/>
      </w:rPr>
      <w:drawing>
        <wp:inline distT="0" distB="0" distL="0" distR="0" wp14:anchorId="46D3892E" wp14:editId="3C427204">
          <wp:extent cx="108000" cy="87480"/>
          <wp:effectExtent l="0" t="0" r="6350" b="8255"/>
          <wp:docPr id="19" name="Picture 1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8313"/>
      <w:docPartObj>
        <w:docPartGallery w:val="Page Numbers (Bottom of Page)"/>
        <w:docPartUnique/>
      </w:docPartObj>
    </w:sdtPr>
    <w:sdtEndPr>
      <w:rPr>
        <w:noProof/>
      </w:rPr>
    </w:sdtEndPr>
    <w:sdtContent>
      <w:p w14:paraId="6A44E2F8" w14:textId="4AC145F7" w:rsidR="00A3748B" w:rsidRDefault="00A3748B">
        <w:pPr>
          <w:pStyle w:val="Footer"/>
          <w:jc w:val="center"/>
        </w:pPr>
        <w:r>
          <w:fldChar w:fldCharType="begin"/>
        </w:r>
        <w:r>
          <w:instrText xml:space="preserve"> PAGE   \* MERGEFORMAT </w:instrText>
        </w:r>
        <w:r>
          <w:fldChar w:fldCharType="separate"/>
        </w:r>
        <w:r w:rsidR="006523F1">
          <w:rPr>
            <w:noProof/>
          </w:rPr>
          <w:t>2</w:t>
        </w:r>
        <w:r>
          <w:rPr>
            <w:noProof/>
          </w:rPr>
          <w:fldChar w:fldCharType="end"/>
        </w:r>
      </w:p>
    </w:sdtContent>
  </w:sdt>
  <w:p w14:paraId="12D15DC9" w14:textId="55424459" w:rsidR="0019600C" w:rsidRPr="00EC3C2D" w:rsidRDefault="0019600C"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3449" w14:textId="77777777" w:rsidR="0019600C" w:rsidRPr="008C5A0E" w:rsidRDefault="0019600C" w:rsidP="00D37B04">
      <w:pPr>
        <w:pStyle w:val="Footer"/>
      </w:pPr>
    </w:p>
  </w:footnote>
  <w:footnote w:type="continuationSeparator" w:id="0">
    <w:p w14:paraId="0DCCF972" w14:textId="77777777" w:rsidR="0019600C" w:rsidRDefault="0019600C" w:rsidP="00D37B04">
      <w:r>
        <w:continuationSeparator/>
      </w:r>
    </w:p>
  </w:footnote>
  <w:footnote w:type="continuationNotice" w:id="1">
    <w:p w14:paraId="545AC422" w14:textId="77777777" w:rsidR="0019600C" w:rsidRDefault="001960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750D" w14:textId="77777777" w:rsidR="0019600C" w:rsidRPr="000854FD" w:rsidRDefault="0019600C" w:rsidP="002D5B25">
    <w:pPr>
      <w:pStyle w:val="Header"/>
    </w:pPr>
    <w:r w:rsidRPr="00943730">
      <w:rPr>
        <w:noProof/>
        <w:lang w:val="en-AU" w:eastAsia="en-AU"/>
      </w:rPr>
      <w:drawing>
        <wp:anchor distT="0" distB="0" distL="114300" distR="114300" simplePos="0" relativeHeight="251668480" behindDoc="1" locked="1" layoutInCell="1" allowOverlap="1" wp14:anchorId="1C4FEFE0" wp14:editId="5048BDDF">
          <wp:simplePos x="0" y="0"/>
          <wp:positionH relativeFrom="page">
            <wp:posOffset>12700</wp:posOffset>
          </wp:positionH>
          <wp:positionV relativeFrom="page">
            <wp:posOffset>0</wp:posOffset>
          </wp:positionV>
          <wp:extent cx="7559040" cy="1069276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0EA3" w14:textId="77777777" w:rsidR="0019600C" w:rsidRPr="00943730" w:rsidRDefault="0019600C" w:rsidP="0082311C">
    <w:pPr>
      <w:pStyle w:val="Header"/>
      <w:ind w:left="0"/>
    </w:pPr>
    <w:r w:rsidRPr="00252C04">
      <w:rPr>
        <w:noProof/>
        <w:lang w:val="en-AU" w:eastAsia="en-AU"/>
      </w:rPr>
      <w:drawing>
        <wp:anchor distT="0" distB="0" distL="114300" distR="114300" simplePos="0" relativeHeight="251669504" behindDoc="1" locked="1" layoutInCell="1" allowOverlap="1" wp14:anchorId="72D4F6C8" wp14:editId="11A8F6D8">
          <wp:simplePos x="0" y="0"/>
          <wp:positionH relativeFrom="page">
            <wp:posOffset>5699125</wp:posOffset>
          </wp:positionH>
          <wp:positionV relativeFrom="topMargin">
            <wp:align>bottom</wp:align>
          </wp:positionV>
          <wp:extent cx="1115060" cy="512445"/>
          <wp:effectExtent l="0" t="0" r="889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46BDAFA2" wp14:editId="1A12865A">
          <wp:simplePos x="0" y="0"/>
          <wp:positionH relativeFrom="page">
            <wp:posOffset>713740</wp:posOffset>
          </wp:positionH>
          <wp:positionV relativeFrom="topMargin">
            <wp:align>bottom</wp:align>
          </wp:positionV>
          <wp:extent cx="3166745" cy="55435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1FFB652F" wp14:editId="53B8E1EB">
          <wp:simplePos x="0" y="0"/>
          <wp:positionH relativeFrom="page">
            <wp:posOffset>12700</wp:posOffset>
          </wp:positionH>
          <wp:positionV relativeFrom="page">
            <wp:posOffset>-68580</wp:posOffset>
          </wp:positionV>
          <wp:extent cx="7559040" cy="10692130"/>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4007" w14:textId="77777777" w:rsidR="0019600C" w:rsidRPr="000854FD" w:rsidRDefault="0019600C" w:rsidP="002D5B25">
    <w:pPr>
      <w:pStyle w:val="Header"/>
    </w:pPr>
    <w:r w:rsidRPr="00943730">
      <w:rPr>
        <w:noProof/>
        <w:lang w:val="en-AU" w:eastAsia="en-AU"/>
      </w:rPr>
      <w:drawing>
        <wp:anchor distT="0" distB="0" distL="114300" distR="114300" simplePos="0" relativeHeight="251662336" behindDoc="1" locked="1" layoutInCell="1" allowOverlap="1" wp14:anchorId="512D60D7" wp14:editId="229254F1">
          <wp:simplePos x="0" y="0"/>
          <wp:positionH relativeFrom="page">
            <wp:posOffset>12700</wp:posOffset>
          </wp:positionH>
          <wp:positionV relativeFrom="page">
            <wp:posOffset>0</wp:posOffset>
          </wp:positionV>
          <wp:extent cx="7559040" cy="10692765"/>
          <wp:effectExtent l="0" t="0" r="381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FF92" w14:textId="261B0215" w:rsidR="0019600C" w:rsidRPr="00943730" w:rsidRDefault="0019600C" w:rsidP="00943730">
    <w:pPr>
      <w:pStyle w:val="Header"/>
    </w:pPr>
    <w:r w:rsidRPr="00943730">
      <w:fldChar w:fldCharType="begin"/>
    </w:r>
    <w:r w:rsidRPr="00943730">
      <w:instrText xml:space="preserve"> DATE  \@ "MMMM yyyy"  \* MERGEFORMAT </w:instrText>
    </w:r>
    <w:r w:rsidRPr="00943730">
      <w:fldChar w:fldCharType="separate"/>
    </w:r>
    <w:r w:rsidR="00930581">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2C770480" wp14:editId="76BFC930">
          <wp:simplePos x="0" y="0"/>
          <wp:positionH relativeFrom="page">
            <wp:posOffset>5724525</wp:posOffset>
          </wp:positionH>
          <wp:positionV relativeFrom="page">
            <wp:posOffset>720090</wp:posOffset>
          </wp:positionV>
          <wp:extent cx="1115060" cy="512445"/>
          <wp:effectExtent l="0" t="0" r="8890" b="190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7608D8AD" wp14:editId="369627F4">
          <wp:simplePos x="0" y="0"/>
          <wp:positionH relativeFrom="page">
            <wp:posOffset>720090</wp:posOffset>
          </wp:positionH>
          <wp:positionV relativeFrom="page">
            <wp:posOffset>683895</wp:posOffset>
          </wp:positionV>
          <wp:extent cx="3166745" cy="55435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BECF3EC" wp14:editId="39879CAC">
          <wp:simplePos x="0" y="0"/>
          <wp:positionH relativeFrom="page">
            <wp:posOffset>12700</wp:posOffset>
          </wp:positionH>
          <wp:positionV relativeFrom="page">
            <wp:posOffset>-69850</wp:posOffset>
          </wp:positionV>
          <wp:extent cx="10585450" cy="10692130"/>
          <wp:effectExtent l="0" t="0" r="635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9009" w14:textId="77777777" w:rsidR="0019600C" w:rsidRDefault="001960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4F35" w14:textId="185BB518" w:rsidR="0019600C" w:rsidRPr="00333501" w:rsidRDefault="0019600C" w:rsidP="0082311C">
    <w:pPr>
      <w:pStyle w:val="Header"/>
    </w:pPr>
    <w:r>
      <w:rPr>
        <w:noProof/>
        <w:lang w:val="en-AU" w:eastAsia="en-AU"/>
      </w:rPr>
      <w:drawing>
        <wp:anchor distT="0" distB="0" distL="114300" distR="114300" simplePos="0" relativeHeight="251672576" behindDoc="1" locked="1" layoutInCell="1" allowOverlap="1" wp14:anchorId="5C1CE828" wp14:editId="63ED3289">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DD66" w14:textId="77777777" w:rsidR="0019600C" w:rsidRPr="003D352D" w:rsidRDefault="0019600C" w:rsidP="0082311C">
    <w:pPr>
      <w:pStyle w:val="Header"/>
    </w:pPr>
    <w:r>
      <w:rPr>
        <w:noProof/>
        <w:lang w:val="en-AU" w:eastAsia="en-AU"/>
      </w:rPr>
      <w:drawing>
        <wp:anchor distT="0" distB="0" distL="114300" distR="114300" simplePos="0" relativeHeight="251671552" behindDoc="1" locked="1" layoutInCell="1" allowOverlap="1" wp14:anchorId="7FB5A5E7" wp14:editId="1DB8A96F">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D4919"/>
    <w:multiLevelType w:val="hybridMultilevel"/>
    <w:tmpl w:val="2EACE154"/>
    <w:lvl w:ilvl="0" w:tplc="E41A51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0E1DED"/>
    <w:multiLevelType w:val="hybridMultilevel"/>
    <w:tmpl w:val="DF3A6D4A"/>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5" w15:restartNumberingAfterBreak="0">
    <w:nsid w:val="203554A7"/>
    <w:multiLevelType w:val="hybridMultilevel"/>
    <w:tmpl w:val="81587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71BE9"/>
    <w:multiLevelType w:val="hybridMultilevel"/>
    <w:tmpl w:val="F83EF6B8"/>
    <w:lvl w:ilvl="0" w:tplc="E41A5102">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EA77D3E"/>
    <w:multiLevelType w:val="hybridMultilevel"/>
    <w:tmpl w:val="2586E56C"/>
    <w:lvl w:ilvl="0" w:tplc="E41A51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CA4643"/>
    <w:multiLevelType w:val="hybridMultilevel"/>
    <w:tmpl w:val="7D9EA30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10" w15:restartNumberingAfterBreak="0">
    <w:nsid w:val="52553D9F"/>
    <w:multiLevelType w:val="multilevel"/>
    <w:tmpl w:val="A6FA45D0"/>
    <w:numStyleLink w:val="BulletsList"/>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1FE1351"/>
    <w:multiLevelType w:val="hybridMultilevel"/>
    <w:tmpl w:val="97CAA650"/>
    <w:lvl w:ilvl="0" w:tplc="31E239B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DF5978"/>
    <w:multiLevelType w:val="hybridMultilevel"/>
    <w:tmpl w:val="FC90DC2E"/>
    <w:lvl w:ilvl="0" w:tplc="EBB65BB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0"/>
  </w:num>
  <w:num w:numId="3">
    <w:abstractNumId w:val="7"/>
  </w:num>
  <w:num w:numId="4">
    <w:abstractNumId w:val="11"/>
  </w:num>
  <w:num w:numId="5">
    <w:abstractNumId w:val="12"/>
  </w:num>
  <w:num w:numId="6">
    <w:abstractNumId w:val="7"/>
  </w:num>
  <w:num w:numId="7">
    <w:abstractNumId w:val="0"/>
  </w:num>
  <w:num w:numId="8">
    <w:abstractNumId w:val="3"/>
  </w:num>
  <w:num w:numId="9">
    <w:abstractNumId w:val="16"/>
  </w:num>
  <w:num w:numId="10">
    <w:abstractNumId w:val="10"/>
  </w:num>
  <w:num w:numId="11">
    <w:abstractNumId w:val="6"/>
  </w:num>
  <w:num w:numId="12">
    <w:abstractNumId w:val="1"/>
  </w:num>
  <w:num w:numId="13">
    <w:abstractNumId w:val="5"/>
  </w:num>
  <w:num w:numId="14">
    <w:abstractNumId w:val="8"/>
  </w:num>
  <w:num w:numId="15">
    <w:abstractNumId w:val="13"/>
  </w:num>
  <w:num w:numId="16">
    <w:abstractNumId w:val="2"/>
  </w:num>
  <w:num w:numId="17">
    <w:abstractNumId w:val="14"/>
  </w:num>
  <w:num w:numId="18">
    <w:abstractNumId w:val="9"/>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7D87"/>
    <w:rsid w:val="00011B5F"/>
    <w:rsid w:val="000136A7"/>
    <w:rsid w:val="00013B83"/>
    <w:rsid w:val="000149BE"/>
    <w:rsid w:val="000156DC"/>
    <w:rsid w:val="00015783"/>
    <w:rsid w:val="0002080A"/>
    <w:rsid w:val="00020D3C"/>
    <w:rsid w:val="0002782F"/>
    <w:rsid w:val="00033774"/>
    <w:rsid w:val="00035BBF"/>
    <w:rsid w:val="000363B9"/>
    <w:rsid w:val="00040DF1"/>
    <w:rsid w:val="00050806"/>
    <w:rsid w:val="00052922"/>
    <w:rsid w:val="000546D9"/>
    <w:rsid w:val="00054AAA"/>
    <w:rsid w:val="00054E4D"/>
    <w:rsid w:val="00060073"/>
    <w:rsid w:val="000616C6"/>
    <w:rsid w:val="00064E3B"/>
    <w:rsid w:val="000678E2"/>
    <w:rsid w:val="00067DC6"/>
    <w:rsid w:val="00071788"/>
    <w:rsid w:val="00072384"/>
    <w:rsid w:val="00085486"/>
    <w:rsid w:val="000854FD"/>
    <w:rsid w:val="00085CE8"/>
    <w:rsid w:val="00091DD6"/>
    <w:rsid w:val="000A3256"/>
    <w:rsid w:val="000B1203"/>
    <w:rsid w:val="000B37F5"/>
    <w:rsid w:val="000B3E65"/>
    <w:rsid w:val="000B6EEB"/>
    <w:rsid w:val="000C2199"/>
    <w:rsid w:val="000C5205"/>
    <w:rsid w:val="000C7205"/>
    <w:rsid w:val="000D66D6"/>
    <w:rsid w:val="000E19E4"/>
    <w:rsid w:val="000E36FF"/>
    <w:rsid w:val="000E398E"/>
    <w:rsid w:val="000F7B3A"/>
    <w:rsid w:val="00104D5A"/>
    <w:rsid w:val="00110C81"/>
    <w:rsid w:val="00113288"/>
    <w:rsid w:val="001146D4"/>
    <w:rsid w:val="001211B2"/>
    <w:rsid w:val="001214BE"/>
    <w:rsid w:val="00124233"/>
    <w:rsid w:val="00126D61"/>
    <w:rsid w:val="0013101C"/>
    <w:rsid w:val="001412E8"/>
    <w:rsid w:val="00142E84"/>
    <w:rsid w:val="001448EE"/>
    <w:rsid w:val="00145172"/>
    <w:rsid w:val="00145656"/>
    <w:rsid w:val="001461D6"/>
    <w:rsid w:val="001541EA"/>
    <w:rsid w:val="00156327"/>
    <w:rsid w:val="001616D0"/>
    <w:rsid w:val="0017256F"/>
    <w:rsid w:val="00173D9D"/>
    <w:rsid w:val="001907AA"/>
    <w:rsid w:val="0019600C"/>
    <w:rsid w:val="001962F2"/>
    <w:rsid w:val="001A4170"/>
    <w:rsid w:val="001A7ED5"/>
    <w:rsid w:val="001B5561"/>
    <w:rsid w:val="001C50B3"/>
    <w:rsid w:val="001D663E"/>
    <w:rsid w:val="001E1DC0"/>
    <w:rsid w:val="001E53AC"/>
    <w:rsid w:val="001F46E4"/>
    <w:rsid w:val="001F5F77"/>
    <w:rsid w:val="00200936"/>
    <w:rsid w:val="00203277"/>
    <w:rsid w:val="00205B2E"/>
    <w:rsid w:val="002068B7"/>
    <w:rsid w:val="00207D2E"/>
    <w:rsid w:val="00213A46"/>
    <w:rsid w:val="0022631C"/>
    <w:rsid w:val="00226DC0"/>
    <w:rsid w:val="00230777"/>
    <w:rsid w:val="002308EE"/>
    <w:rsid w:val="0023137A"/>
    <w:rsid w:val="00235EAB"/>
    <w:rsid w:val="002432F0"/>
    <w:rsid w:val="00250B6D"/>
    <w:rsid w:val="00250E19"/>
    <w:rsid w:val="00252C04"/>
    <w:rsid w:val="00257C99"/>
    <w:rsid w:val="002646C3"/>
    <w:rsid w:val="00265DDB"/>
    <w:rsid w:val="00266120"/>
    <w:rsid w:val="00276A54"/>
    <w:rsid w:val="0028602A"/>
    <w:rsid w:val="00286E2D"/>
    <w:rsid w:val="002A7F56"/>
    <w:rsid w:val="002B5E10"/>
    <w:rsid w:val="002B7A3F"/>
    <w:rsid w:val="002B7CF4"/>
    <w:rsid w:val="002C24E2"/>
    <w:rsid w:val="002C2CE1"/>
    <w:rsid w:val="002C793D"/>
    <w:rsid w:val="002D34A8"/>
    <w:rsid w:val="002D43E5"/>
    <w:rsid w:val="002D5B25"/>
    <w:rsid w:val="002F2DC9"/>
    <w:rsid w:val="002F4F2B"/>
    <w:rsid w:val="002F5F05"/>
    <w:rsid w:val="00300091"/>
    <w:rsid w:val="003002C0"/>
    <w:rsid w:val="00301144"/>
    <w:rsid w:val="00301EDE"/>
    <w:rsid w:val="003031C6"/>
    <w:rsid w:val="00303F95"/>
    <w:rsid w:val="00304984"/>
    <w:rsid w:val="00307414"/>
    <w:rsid w:val="00312BF8"/>
    <w:rsid w:val="003148B7"/>
    <w:rsid w:val="003158C3"/>
    <w:rsid w:val="00317C59"/>
    <w:rsid w:val="003213E2"/>
    <w:rsid w:val="00323AB4"/>
    <w:rsid w:val="003274CD"/>
    <w:rsid w:val="00327D3D"/>
    <w:rsid w:val="00330E12"/>
    <w:rsid w:val="003315B2"/>
    <w:rsid w:val="00333501"/>
    <w:rsid w:val="00333874"/>
    <w:rsid w:val="003365E4"/>
    <w:rsid w:val="00342AE7"/>
    <w:rsid w:val="00343D59"/>
    <w:rsid w:val="003457C4"/>
    <w:rsid w:val="003500CF"/>
    <w:rsid w:val="003504AE"/>
    <w:rsid w:val="0035119D"/>
    <w:rsid w:val="003632AE"/>
    <w:rsid w:val="00365569"/>
    <w:rsid w:val="00372FC5"/>
    <w:rsid w:val="003753EF"/>
    <w:rsid w:val="00376324"/>
    <w:rsid w:val="003823B9"/>
    <w:rsid w:val="00382777"/>
    <w:rsid w:val="00384D40"/>
    <w:rsid w:val="00390828"/>
    <w:rsid w:val="0039344A"/>
    <w:rsid w:val="00395163"/>
    <w:rsid w:val="003B4F12"/>
    <w:rsid w:val="003B7739"/>
    <w:rsid w:val="003D4C6F"/>
    <w:rsid w:val="003D4E21"/>
    <w:rsid w:val="003D69C6"/>
    <w:rsid w:val="003E1FB7"/>
    <w:rsid w:val="003F1278"/>
    <w:rsid w:val="003F2041"/>
    <w:rsid w:val="004007E4"/>
    <w:rsid w:val="00402ACC"/>
    <w:rsid w:val="00404015"/>
    <w:rsid w:val="00410C58"/>
    <w:rsid w:val="004120EC"/>
    <w:rsid w:val="004125B7"/>
    <w:rsid w:val="00413415"/>
    <w:rsid w:val="00417C4C"/>
    <w:rsid w:val="00423F31"/>
    <w:rsid w:val="004267BF"/>
    <w:rsid w:val="00431899"/>
    <w:rsid w:val="00442055"/>
    <w:rsid w:val="00442A31"/>
    <w:rsid w:val="00445C93"/>
    <w:rsid w:val="00447C94"/>
    <w:rsid w:val="00450B28"/>
    <w:rsid w:val="00452298"/>
    <w:rsid w:val="00463A10"/>
    <w:rsid w:val="0047313B"/>
    <w:rsid w:val="00475D7D"/>
    <w:rsid w:val="00482AE8"/>
    <w:rsid w:val="0048492D"/>
    <w:rsid w:val="00485849"/>
    <w:rsid w:val="00486804"/>
    <w:rsid w:val="004939C4"/>
    <w:rsid w:val="00493CE9"/>
    <w:rsid w:val="00494F98"/>
    <w:rsid w:val="00496155"/>
    <w:rsid w:val="004A258D"/>
    <w:rsid w:val="004B06FD"/>
    <w:rsid w:val="004B0BB7"/>
    <w:rsid w:val="004B1618"/>
    <w:rsid w:val="004B3775"/>
    <w:rsid w:val="004B3F4F"/>
    <w:rsid w:val="004C5598"/>
    <w:rsid w:val="004C6342"/>
    <w:rsid w:val="004D0BA0"/>
    <w:rsid w:val="004D6337"/>
    <w:rsid w:val="004E058F"/>
    <w:rsid w:val="004E12C0"/>
    <w:rsid w:val="004E2B06"/>
    <w:rsid w:val="004E365A"/>
    <w:rsid w:val="004E3B87"/>
    <w:rsid w:val="00505577"/>
    <w:rsid w:val="005062C1"/>
    <w:rsid w:val="00510921"/>
    <w:rsid w:val="00510AD3"/>
    <w:rsid w:val="00510EA7"/>
    <w:rsid w:val="00513348"/>
    <w:rsid w:val="00513AD8"/>
    <w:rsid w:val="00514158"/>
    <w:rsid w:val="005204D2"/>
    <w:rsid w:val="00522396"/>
    <w:rsid w:val="00533B5D"/>
    <w:rsid w:val="005361E0"/>
    <w:rsid w:val="005368D3"/>
    <w:rsid w:val="00543D7B"/>
    <w:rsid w:val="00555C77"/>
    <w:rsid w:val="005574AF"/>
    <w:rsid w:val="0055759A"/>
    <w:rsid w:val="00560AC4"/>
    <w:rsid w:val="00571BEA"/>
    <w:rsid w:val="00573B0F"/>
    <w:rsid w:val="00575721"/>
    <w:rsid w:val="0057585F"/>
    <w:rsid w:val="005872E2"/>
    <w:rsid w:val="005873D7"/>
    <w:rsid w:val="00591B5F"/>
    <w:rsid w:val="0059409C"/>
    <w:rsid w:val="005A0827"/>
    <w:rsid w:val="005A20F6"/>
    <w:rsid w:val="005A5442"/>
    <w:rsid w:val="005B3594"/>
    <w:rsid w:val="005B55E8"/>
    <w:rsid w:val="005C7D42"/>
    <w:rsid w:val="005D1993"/>
    <w:rsid w:val="005D3249"/>
    <w:rsid w:val="005D3655"/>
    <w:rsid w:val="005D64B3"/>
    <w:rsid w:val="005E4830"/>
    <w:rsid w:val="005F42E6"/>
    <w:rsid w:val="005F5D9A"/>
    <w:rsid w:val="00616559"/>
    <w:rsid w:val="00622B86"/>
    <w:rsid w:val="00623BA1"/>
    <w:rsid w:val="00624911"/>
    <w:rsid w:val="006346BC"/>
    <w:rsid w:val="006461B8"/>
    <w:rsid w:val="00650C19"/>
    <w:rsid w:val="00651213"/>
    <w:rsid w:val="00652353"/>
    <w:rsid w:val="006523F1"/>
    <w:rsid w:val="00660121"/>
    <w:rsid w:val="0066652A"/>
    <w:rsid w:val="00667907"/>
    <w:rsid w:val="006719C3"/>
    <w:rsid w:val="0067788C"/>
    <w:rsid w:val="00680522"/>
    <w:rsid w:val="00682167"/>
    <w:rsid w:val="00693D1C"/>
    <w:rsid w:val="006976D5"/>
    <w:rsid w:val="006A026A"/>
    <w:rsid w:val="006B5D0B"/>
    <w:rsid w:val="006C2028"/>
    <w:rsid w:val="006C2C76"/>
    <w:rsid w:val="006C42AF"/>
    <w:rsid w:val="006E716D"/>
    <w:rsid w:val="006F7595"/>
    <w:rsid w:val="00700625"/>
    <w:rsid w:val="0070161A"/>
    <w:rsid w:val="007031B5"/>
    <w:rsid w:val="00711163"/>
    <w:rsid w:val="00711B87"/>
    <w:rsid w:val="00711D8E"/>
    <w:rsid w:val="00712672"/>
    <w:rsid w:val="00714831"/>
    <w:rsid w:val="00715351"/>
    <w:rsid w:val="00717723"/>
    <w:rsid w:val="00720E58"/>
    <w:rsid w:val="00725519"/>
    <w:rsid w:val="00731C37"/>
    <w:rsid w:val="00732998"/>
    <w:rsid w:val="00734E3F"/>
    <w:rsid w:val="00735288"/>
    <w:rsid w:val="00736985"/>
    <w:rsid w:val="00741CBF"/>
    <w:rsid w:val="0074586D"/>
    <w:rsid w:val="00745DF5"/>
    <w:rsid w:val="007511DE"/>
    <w:rsid w:val="00752BA5"/>
    <w:rsid w:val="0076250F"/>
    <w:rsid w:val="00763317"/>
    <w:rsid w:val="007706B8"/>
    <w:rsid w:val="00772997"/>
    <w:rsid w:val="00774EE4"/>
    <w:rsid w:val="00780FA5"/>
    <w:rsid w:val="007827ED"/>
    <w:rsid w:val="00790171"/>
    <w:rsid w:val="0079197D"/>
    <w:rsid w:val="00791C4F"/>
    <w:rsid w:val="00795DD9"/>
    <w:rsid w:val="007A1ABE"/>
    <w:rsid w:val="007A23FB"/>
    <w:rsid w:val="007A5328"/>
    <w:rsid w:val="007A6663"/>
    <w:rsid w:val="007B03A4"/>
    <w:rsid w:val="007B06DC"/>
    <w:rsid w:val="007B59BC"/>
    <w:rsid w:val="007B6200"/>
    <w:rsid w:val="007D5498"/>
    <w:rsid w:val="007E0B3B"/>
    <w:rsid w:val="007E3FF9"/>
    <w:rsid w:val="007E4969"/>
    <w:rsid w:val="007F3395"/>
    <w:rsid w:val="007F3CB8"/>
    <w:rsid w:val="00801B9F"/>
    <w:rsid w:val="0080204D"/>
    <w:rsid w:val="00805B9C"/>
    <w:rsid w:val="00810213"/>
    <w:rsid w:val="00817DE6"/>
    <w:rsid w:val="0082311C"/>
    <w:rsid w:val="00823B7F"/>
    <w:rsid w:val="0083052F"/>
    <w:rsid w:val="00831B9A"/>
    <w:rsid w:val="008475F0"/>
    <w:rsid w:val="00854659"/>
    <w:rsid w:val="0085518A"/>
    <w:rsid w:val="008557A7"/>
    <w:rsid w:val="0086532E"/>
    <w:rsid w:val="00865C2E"/>
    <w:rsid w:val="00870928"/>
    <w:rsid w:val="00877EC8"/>
    <w:rsid w:val="00880AFF"/>
    <w:rsid w:val="0088286A"/>
    <w:rsid w:val="00883000"/>
    <w:rsid w:val="00885A62"/>
    <w:rsid w:val="008938B8"/>
    <w:rsid w:val="0089405C"/>
    <w:rsid w:val="00897FA2"/>
    <w:rsid w:val="008A1F81"/>
    <w:rsid w:val="008A2F92"/>
    <w:rsid w:val="008A4B7C"/>
    <w:rsid w:val="008A5AFE"/>
    <w:rsid w:val="008C37AF"/>
    <w:rsid w:val="008C48F9"/>
    <w:rsid w:val="008C5A0E"/>
    <w:rsid w:val="008C765A"/>
    <w:rsid w:val="008D49D4"/>
    <w:rsid w:val="008D74B0"/>
    <w:rsid w:val="008F611A"/>
    <w:rsid w:val="008F666E"/>
    <w:rsid w:val="008F6A4B"/>
    <w:rsid w:val="009004F3"/>
    <w:rsid w:val="00905367"/>
    <w:rsid w:val="00925EF3"/>
    <w:rsid w:val="00927172"/>
    <w:rsid w:val="009278D2"/>
    <w:rsid w:val="00930581"/>
    <w:rsid w:val="0093332C"/>
    <w:rsid w:val="00935ABC"/>
    <w:rsid w:val="00943730"/>
    <w:rsid w:val="00947BCE"/>
    <w:rsid w:val="0095053A"/>
    <w:rsid w:val="00957E40"/>
    <w:rsid w:val="00961E72"/>
    <w:rsid w:val="00971D2F"/>
    <w:rsid w:val="00975CA5"/>
    <w:rsid w:val="00977676"/>
    <w:rsid w:val="00980574"/>
    <w:rsid w:val="00983AED"/>
    <w:rsid w:val="00986590"/>
    <w:rsid w:val="00992C76"/>
    <w:rsid w:val="00993DE3"/>
    <w:rsid w:val="009969D6"/>
    <w:rsid w:val="009A0908"/>
    <w:rsid w:val="009A3DD2"/>
    <w:rsid w:val="009B4D3B"/>
    <w:rsid w:val="009B7942"/>
    <w:rsid w:val="009C19F7"/>
    <w:rsid w:val="009C1E5F"/>
    <w:rsid w:val="009C264E"/>
    <w:rsid w:val="009D57C0"/>
    <w:rsid w:val="009D7407"/>
    <w:rsid w:val="009E0866"/>
    <w:rsid w:val="009E273C"/>
    <w:rsid w:val="009E5778"/>
    <w:rsid w:val="009E67CA"/>
    <w:rsid w:val="009F1350"/>
    <w:rsid w:val="009F3C73"/>
    <w:rsid w:val="009F6423"/>
    <w:rsid w:val="009F713D"/>
    <w:rsid w:val="00A07C06"/>
    <w:rsid w:val="00A14B63"/>
    <w:rsid w:val="00A175B3"/>
    <w:rsid w:val="00A24A62"/>
    <w:rsid w:val="00A27ED5"/>
    <w:rsid w:val="00A31C9F"/>
    <w:rsid w:val="00A35285"/>
    <w:rsid w:val="00A3748B"/>
    <w:rsid w:val="00A37CAE"/>
    <w:rsid w:val="00A4144F"/>
    <w:rsid w:val="00A51563"/>
    <w:rsid w:val="00A61B4D"/>
    <w:rsid w:val="00A624D2"/>
    <w:rsid w:val="00A63917"/>
    <w:rsid w:val="00A77289"/>
    <w:rsid w:val="00A80F95"/>
    <w:rsid w:val="00A82066"/>
    <w:rsid w:val="00A8260A"/>
    <w:rsid w:val="00A83DBE"/>
    <w:rsid w:val="00A91795"/>
    <w:rsid w:val="00A940CA"/>
    <w:rsid w:val="00A97BF1"/>
    <w:rsid w:val="00AA14F8"/>
    <w:rsid w:val="00AA298A"/>
    <w:rsid w:val="00AA315B"/>
    <w:rsid w:val="00AB1A66"/>
    <w:rsid w:val="00AB376E"/>
    <w:rsid w:val="00AB4389"/>
    <w:rsid w:val="00AB7EFE"/>
    <w:rsid w:val="00AC164A"/>
    <w:rsid w:val="00AC461B"/>
    <w:rsid w:val="00AC597F"/>
    <w:rsid w:val="00AC68FC"/>
    <w:rsid w:val="00AE2D58"/>
    <w:rsid w:val="00AE448A"/>
    <w:rsid w:val="00AE4CE3"/>
    <w:rsid w:val="00AF2050"/>
    <w:rsid w:val="00AF632B"/>
    <w:rsid w:val="00B002F9"/>
    <w:rsid w:val="00B0385D"/>
    <w:rsid w:val="00B03CA8"/>
    <w:rsid w:val="00B05089"/>
    <w:rsid w:val="00B120ED"/>
    <w:rsid w:val="00B1281A"/>
    <w:rsid w:val="00B12AD9"/>
    <w:rsid w:val="00B1584E"/>
    <w:rsid w:val="00B16FE3"/>
    <w:rsid w:val="00B17179"/>
    <w:rsid w:val="00B277F6"/>
    <w:rsid w:val="00B33C0A"/>
    <w:rsid w:val="00B377A7"/>
    <w:rsid w:val="00B412E8"/>
    <w:rsid w:val="00B47F98"/>
    <w:rsid w:val="00B5072E"/>
    <w:rsid w:val="00B53142"/>
    <w:rsid w:val="00B55E19"/>
    <w:rsid w:val="00B637DD"/>
    <w:rsid w:val="00B6495A"/>
    <w:rsid w:val="00B66722"/>
    <w:rsid w:val="00B70B50"/>
    <w:rsid w:val="00B74902"/>
    <w:rsid w:val="00B7494E"/>
    <w:rsid w:val="00B815DC"/>
    <w:rsid w:val="00B927C4"/>
    <w:rsid w:val="00B94758"/>
    <w:rsid w:val="00B96A32"/>
    <w:rsid w:val="00BA0538"/>
    <w:rsid w:val="00BA4400"/>
    <w:rsid w:val="00BA4B6D"/>
    <w:rsid w:val="00BB132B"/>
    <w:rsid w:val="00BB26C5"/>
    <w:rsid w:val="00BC31BD"/>
    <w:rsid w:val="00BD2CB3"/>
    <w:rsid w:val="00BE50FA"/>
    <w:rsid w:val="00BE5FD5"/>
    <w:rsid w:val="00BE7383"/>
    <w:rsid w:val="00BF194D"/>
    <w:rsid w:val="00BF3E4C"/>
    <w:rsid w:val="00BF4DE6"/>
    <w:rsid w:val="00BF7A94"/>
    <w:rsid w:val="00C03905"/>
    <w:rsid w:val="00C06B13"/>
    <w:rsid w:val="00C26C77"/>
    <w:rsid w:val="00C27AF2"/>
    <w:rsid w:val="00C27B17"/>
    <w:rsid w:val="00C27D25"/>
    <w:rsid w:val="00C27D2F"/>
    <w:rsid w:val="00C32299"/>
    <w:rsid w:val="00C36387"/>
    <w:rsid w:val="00C368C9"/>
    <w:rsid w:val="00C42541"/>
    <w:rsid w:val="00C42CDE"/>
    <w:rsid w:val="00C4545E"/>
    <w:rsid w:val="00C46EB7"/>
    <w:rsid w:val="00C474B7"/>
    <w:rsid w:val="00C478A0"/>
    <w:rsid w:val="00C5182A"/>
    <w:rsid w:val="00C63EE9"/>
    <w:rsid w:val="00C67017"/>
    <w:rsid w:val="00C70202"/>
    <w:rsid w:val="00C70587"/>
    <w:rsid w:val="00C8688B"/>
    <w:rsid w:val="00C92A83"/>
    <w:rsid w:val="00C93D9B"/>
    <w:rsid w:val="00C95791"/>
    <w:rsid w:val="00CA16F3"/>
    <w:rsid w:val="00CA2DE3"/>
    <w:rsid w:val="00CA37B1"/>
    <w:rsid w:val="00CB1959"/>
    <w:rsid w:val="00CB70FD"/>
    <w:rsid w:val="00CB7C82"/>
    <w:rsid w:val="00CC741B"/>
    <w:rsid w:val="00CC75A0"/>
    <w:rsid w:val="00CD0E4B"/>
    <w:rsid w:val="00CE4375"/>
    <w:rsid w:val="00CE4C89"/>
    <w:rsid w:val="00CF07BA"/>
    <w:rsid w:val="00CF084A"/>
    <w:rsid w:val="00CF6C83"/>
    <w:rsid w:val="00CF790F"/>
    <w:rsid w:val="00D00153"/>
    <w:rsid w:val="00D0296C"/>
    <w:rsid w:val="00D02D57"/>
    <w:rsid w:val="00D0437E"/>
    <w:rsid w:val="00D0542B"/>
    <w:rsid w:val="00D06152"/>
    <w:rsid w:val="00D11BC4"/>
    <w:rsid w:val="00D32D6F"/>
    <w:rsid w:val="00D37560"/>
    <w:rsid w:val="00D37B04"/>
    <w:rsid w:val="00D421AB"/>
    <w:rsid w:val="00D442FC"/>
    <w:rsid w:val="00D4598D"/>
    <w:rsid w:val="00D46415"/>
    <w:rsid w:val="00D5064F"/>
    <w:rsid w:val="00D540C6"/>
    <w:rsid w:val="00D62F6E"/>
    <w:rsid w:val="00D64BD1"/>
    <w:rsid w:val="00D65749"/>
    <w:rsid w:val="00D75D4C"/>
    <w:rsid w:val="00D807ED"/>
    <w:rsid w:val="00D813DF"/>
    <w:rsid w:val="00D81D37"/>
    <w:rsid w:val="00D866BB"/>
    <w:rsid w:val="00D8710E"/>
    <w:rsid w:val="00D92254"/>
    <w:rsid w:val="00D93BC6"/>
    <w:rsid w:val="00D95D96"/>
    <w:rsid w:val="00DA1B0E"/>
    <w:rsid w:val="00DB3D49"/>
    <w:rsid w:val="00DC066E"/>
    <w:rsid w:val="00DC0E20"/>
    <w:rsid w:val="00DD0A93"/>
    <w:rsid w:val="00DE084C"/>
    <w:rsid w:val="00DE10B6"/>
    <w:rsid w:val="00DE2274"/>
    <w:rsid w:val="00DF01BB"/>
    <w:rsid w:val="00DF51CA"/>
    <w:rsid w:val="00E05E2A"/>
    <w:rsid w:val="00E07D12"/>
    <w:rsid w:val="00E14F51"/>
    <w:rsid w:val="00E16FE3"/>
    <w:rsid w:val="00E17F7E"/>
    <w:rsid w:val="00E23EEC"/>
    <w:rsid w:val="00E357B7"/>
    <w:rsid w:val="00E43659"/>
    <w:rsid w:val="00E533F1"/>
    <w:rsid w:val="00E53800"/>
    <w:rsid w:val="00E6081F"/>
    <w:rsid w:val="00E60BE8"/>
    <w:rsid w:val="00E6518F"/>
    <w:rsid w:val="00E655FE"/>
    <w:rsid w:val="00E7786F"/>
    <w:rsid w:val="00E8296D"/>
    <w:rsid w:val="00E8457B"/>
    <w:rsid w:val="00E91457"/>
    <w:rsid w:val="00E97E08"/>
    <w:rsid w:val="00EA04B2"/>
    <w:rsid w:val="00EA20F3"/>
    <w:rsid w:val="00EA2ECE"/>
    <w:rsid w:val="00EB398C"/>
    <w:rsid w:val="00EB43D4"/>
    <w:rsid w:val="00EC3C2D"/>
    <w:rsid w:val="00EC53BA"/>
    <w:rsid w:val="00ED0815"/>
    <w:rsid w:val="00ED2831"/>
    <w:rsid w:val="00ED43D1"/>
    <w:rsid w:val="00EE1027"/>
    <w:rsid w:val="00EE25F4"/>
    <w:rsid w:val="00EE2A97"/>
    <w:rsid w:val="00EE4EE1"/>
    <w:rsid w:val="00EF4574"/>
    <w:rsid w:val="00EF5FB3"/>
    <w:rsid w:val="00F00D20"/>
    <w:rsid w:val="00F054E0"/>
    <w:rsid w:val="00F14367"/>
    <w:rsid w:val="00F15F7A"/>
    <w:rsid w:val="00F24696"/>
    <w:rsid w:val="00F25A93"/>
    <w:rsid w:val="00F2684E"/>
    <w:rsid w:val="00F30087"/>
    <w:rsid w:val="00F31FED"/>
    <w:rsid w:val="00F366DB"/>
    <w:rsid w:val="00F44E16"/>
    <w:rsid w:val="00F5404C"/>
    <w:rsid w:val="00F57818"/>
    <w:rsid w:val="00F617F9"/>
    <w:rsid w:val="00F63864"/>
    <w:rsid w:val="00F729EF"/>
    <w:rsid w:val="00F744A2"/>
    <w:rsid w:val="00F74546"/>
    <w:rsid w:val="00F77CAE"/>
    <w:rsid w:val="00F77ECE"/>
    <w:rsid w:val="00F82271"/>
    <w:rsid w:val="00F83428"/>
    <w:rsid w:val="00F90805"/>
    <w:rsid w:val="00F950F7"/>
    <w:rsid w:val="00F96BB9"/>
    <w:rsid w:val="00FA1C79"/>
    <w:rsid w:val="00FA69AF"/>
    <w:rsid w:val="00FA7833"/>
    <w:rsid w:val="00FB6D8C"/>
    <w:rsid w:val="00FC0CAC"/>
    <w:rsid w:val="00FC322F"/>
    <w:rsid w:val="00FC775A"/>
    <w:rsid w:val="00FD3E83"/>
    <w:rsid w:val="00FD53DA"/>
    <w:rsid w:val="00FE49E6"/>
    <w:rsid w:val="00FE6D51"/>
    <w:rsid w:val="00FE6F2A"/>
    <w:rsid w:val="00FF20B9"/>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E8C2580"/>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97E08"/>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97E08"/>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E97E08"/>
    <w:pPr>
      <w:spacing w:before="0" w:after="0" w:line="240" w:lineRule="exact"/>
      <w:ind w:left="284" w:right="284"/>
    </w:pPr>
    <w:rPr>
      <w:color w:val="auto"/>
    </w:rPr>
  </w:style>
  <w:style w:type="character" w:customStyle="1" w:styleId="FooterChar">
    <w:name w:val="Footer Char"/>
    <w:basedOn w:val="DefaultParagraphFont"/>
    <w:link w:val="Footer"/>
    <w:uiPriority w:val="99"/>
    <w:rsid w:val="00E97E08"/>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E97E08"/>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customStyle="1" w:styleId="TableTextEntries">
    <w:name w:val="Table Text Entries"/>
    <w:rsid w:val="004B06FD"/>
    <w:pPr>
      <w:keepLines/>
      <w:spacing w:before="40" w:after="40" w:line="200" w:lineRule="atLeast"/>
    </w:pPr>
    <w:rPr>
      <w:rFonts w:ascii="Franklin Gothic Book" w:eastAsia="Times New Roman" w:hAnsi="Franklin Gothic Book" w:cs="Times New Roman"/>
      <w:iCs/>
      <w:sz w:val="17"/>
      <w:szCs w:val="17"/>
    </w:rPr>
  </w:style>
  <w:style w:type="table" w:customStyle="1" w:styleId="DFATTable">
    <w:name w:val="DFAT Table"/>
    <w:basedOn w:val="TableNormal"/>
    <w:uiPriority w:val="99"/>
    <w:rsid w:val="004B06FD"/>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Default">
    <w:name w:val="Default"/>
    <w:uiPriority w:val="99"/>
    <w:rsid w:val="00D442FC"/>
    <w:pPr>
      <w:autoSpaceDE w:val="0"/>
      <w:autoSpaceDN w:val="0"/>
      <w:adjustRightInd w:val="0"/>
      <w:spacing w:after="0" w:line="240" w:lineRule="auto"/>
    </w:pPr>
    <w:rPr>
      <w:rFonts w:ascii="Calibri Light" w:hAnsi="Calibri Light" w:cs="Calibri Light"/>
      <w:color w:val="000000"/>
      <w:sz w:val="24"/>
      <w:szCs w:val="24"/>
    </w:rPr>
  </w:style>
  <w:style w:type="paragraph" w:customStyle="1" w:styleId="TableTextColumnHeading">
    <w:name w:val="Table Text Column Heading"/>
    <w:basedOn w:val="Normal"/>
    <w:autoRedefine/>
    <w:rsid w:val="00CF790F"/>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223025590">
      <w:bodyDiv w:val="1"/>
      <w:marLeft w:val="0"/>
      <w:marRight w:val="0"/>
      <w:marTop w:val="0"/>
      <w:marBottom w:val="0"/>
      <w:divBdr>
        <w:top w:val="none" w:sz="0" w:space="0" w:color="auto"/>
        <w:left w:val="none" w:sz="0" w:space="0" w:color="auto"/>
        <w:bottom w:val="none" w:sz="0" w:space="0" w:color="auto"/>
        <w:right w:val="none" w:sz="0" w:space="0" w:color="auto"/>
      </w:divBdr>
    </w:div>
    <w:div w:id="362026634">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2624810">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34004084">
      <w:bodyDiv w:val="1"/>
      <w:marLeft w:val="0"/>
      <w:marRight w:val="0"/>
      <w:marTop w:val="0"/>
      <w:marBottom w:val="0"/>
      <w:divBdr>
        <w:top w:val="none" w:sz="0" w:space="0" w:color="auto"/>
        <w:left w:val="none" w:sz="0" w:space="0" w:color="auto"/>
        <w:bottom w:val="none" w:sz="0" w:space="0" w:color="auto"/>
        <w:right w:val="none" w:sz="0" w:space="0" w:color="auto"/>
      </w:divBdr>
    </w:div>
    <w:div w:id="549072430">
      <w:bodyDiv w:val="1"/>
      <w:marLeft w:val="0"/>
      <w:marRight w:val="0"/>
      <w:marTop w:val="0"/>
      <w:marBottom w:val="0"/>
      <w:divBdr>
        <w:top w:val="none" w:sz="0" w:space="0" w:color="auto"/>
        <w:left w:val="none" w:sz="0" w:space="0" w:color="auto"/>
        <w:bottom w:val="none" w:sz="0" w:space="0" w:color="auto"/>
        <w:right w:val="none" w:sz="0" w:space="0" w:color="auto"/>
      </w:divBdr>
    </w:div>
    <w:div w:id="790319963">
      <w:bodyDiv w:val="1"/>
      <w:marLeft w:val="0"/>
      <w:marRight w:val="0"/>
      <w:marTop w:val="0"/>
      <w:marBottom w:val="0"/>
      <w:divBdr>
        <w:top w:val="none" w:sz="0" w:space="0" w:color="auto"/>
        <w:left w:val="none" w:sz="0" w:space="0" w:color="auto"/>
        <w:bottom w:val="none" w:sz="0" w:space="0" w:color="auto"/>
        <w:right w:val="none" w:sz="0" w:space="0" w:color="auto"/>
      </w:divBdr>
    </w:div>
    <w:div w:id="815874571">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199125096">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360855711">
      <w:bodyDiv w:val="1"/>
      <w:marLeft w:val="0"/>
      <w:marRight w:val="0"/>
      <w:marTop w:val="0"/>
      <w:marBottom w:val="0"/>
      <w:divBdr>
        <w:top w:val="none" w:sz="0" w:space="0" w:color="auto"/>
        <w:left w:val="none" w:sz="0" w:space="0" w:color="auto"/>
        <w:bottom w:val="none" w:sz="0" w:space="0" w:color="auto"/>
        <w:right w:val="none" w:sz="0" w:space="0" w:color="auto"/>
      </w:divBdr>
    </w:div>
    <w:div w:id="1432314604">
      <w:bodyDiv w:val="1"/>
      <w:marLeft w:val="0"/>
      <w:marRight w:val="0"/>
      <w:marTop w:val="0"/>
      <w:marBottom w:val="0"/>
      <w:divBdr>
        <w:top w:val="none" w:sz="0" w:space="0" w:color="auto"/>
        <w:left w:val="none" w:sz="0" w:space="0" w:color="auto"/>
        <w:bottom w:val="none" w:sz="0" w:space="0" w:color="auto"/>
        <w:right w:val="none" w:sz="0" w:space="0" w:color="auto"/>
      </w:divBdr>
    </w:div>
    <w:div w:id="1593320860">
      <w:bodyDiv w:val="1"/>
      <w:marLeft w:val="0"/>
      <w:marRight w:val="0"/>
      <w:marTop w:val="0"/>
      <w:marBottom w:val="0"/>
      <w:divBdr>
        <w:top w:val="none" w:sz="0" w:space="0" w:color="auto"/>
        <w:left w:val="none" w:sz="0" w:space="0" w:color="auto"/>
        <w:bottom w:val="none" w:sz="0" w:space="0" w:color="auto"/>
        <w:right w:val="none" w:sz="0" w:space="0" w:color="auto"/>
      </w:divBdr>
      <w:divsChild>
        <w:div w:id="1246014">
          <w:marLeft w:val="0"/>
          <w:marRight w:val="0"/>
          <w:marTop w:val="0"/>
          <w:marBottom w:val="0"/>
          <w:divBdr>
            <w:top w:val="none" w:sz="0" w:space="0" w:color="auto"/>
            <w:left w:val="none" w:sz="0" w:space="0" w:color="auto"/>
            <w:bottom w:val="none" w:sz="0" w:space="0" w:color="auto"/>
            <w:right w:val="none" w:sz="0" w:space="0" w:color="auto"/>
          </w:divBdr>
          <w:divsChild>
            <w:div w:id="777145309">
              <w:marLeft w:val="0"/>
              <w:marRight w:val="0"/>
              <w:marTop w:val="0"/>
              <w:marBottom w:val="0"/>
              <w:divBdr>
                <w:top w:val="none" w:sz="0" w:space="0" w:color="auto"/>
                <w:left w:val="none" w:sz="0" w:space="0" w:color="auto"/>
                <w:bottom w:val="none" w:sz="0" w:space="0" w:color="auto"/>
                <w:right w:val="none" w:sz="0" w:space="0" w:color="auto"/>
              </w:divBdr>
              <w:divsChild>
                <w:div w:id="1130709388">
                  <w:marLeft w:val="0"/>
                  <w:marRight w:val="0"/>
                  <w:marTop w:val="0"/>
                  <w:marBottom w:val="0"/>
                  <w:divBdr>
                    <w:top w:val="none" w:sz="0" w:space="0" w:color="auto"/>
                    <w:left w:val="none" w:sz="0" w:space="0" w:color="auto"/>
                    <w:bottom w:val="none" w:sz="0" w:space="0" w:color="auto"/>
                    <w:right w:val="none" w:sz="0" w:space="0" w:color="auto"/>
                  </w:divBdr>
                  <w:divsChild>
                    <w:div w:id="428351479">
                      <w:marLeft w:val="0"/>
                      <w:marRight w:val="0"/>
                      <w:marTop w:val="0"/>
                      <w:marBottom w:val="0"/>
                      <w:divBdr>
                        <w:top w:val="none" w:sz="0" w:space="0" w:color="auto"/>
                        <w:left w:val="none" w:sz="0" w:space="0" w:color="auto"/>
                        <w:bottom w:val="none" w:sz="0" w:space="0" w:color="auto"/>
                        <w:right w:val="none" w:sz="0" w:space="0" w:color="auto"/>
                      </w:divBdr>
                    </w:div>
                    <w:div w:id="17930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6217">
      <w:bodyDiv w:val="1"/>
      <w:marLeft w:val="0"/>
      <w:marRight w:val="0"/>
      <w:marTop w:val="0"/>
      <w:marBottom w:val="0"/>
      <w:divBdr>
        <w:top w:val="none" w:sz="0" w:space="0" w:color="auto"/>
        <w:left w:val="none" w:sz="0" w:space="0" w:color="auto"/>
        <w:bottom w:val="none" w:sz="0" w:space="0" w:color="auto"/>
        <w:right w:val="none" w:sz="0" w:space="0" w:color="auto"/>
      </w:divBdr>
    </w:div>
    <w:div w:id="1680427776">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836727548">
      <w:bodyDiv w:val="1"/>
      <w:marLeft w:val="0"/>
      <w:marRight w:val="0"/>
      <w:marTop w:val="0"/>
      <w:marBottom w:val="0"/>
      <w:divBdr>
        <w:top w:val="none" w:sz="0" w:space="0" w:color="auto"/>
        <w:left w:val="none" w:sz="0" w:space="0" w:color="auto"/>
        <w:bottom w:val="none" w:sz="0" w:space="0" w:color="auto"/>
        <w:right w:val="none" w:sz="0" w:space="0" w:color="auto"/>
      </w:divBdr>
    </w:div>
    <w:div w:id="1856075065">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362352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 w:id="2067992372">
      <w:bodyDiv w:val="1"/>
      <w:marLeft w:val="0"/>
      <w:marRight w:val="0"/>
      <w:marTop w:val="0"/>
      <w:marBottom w:val="0"/>
      <w:divBdr>
        <w:top w:val="none" w:sz="0" w:space="0" w:color="auto"/>
        <w:left w:val="none" w:sz="0" w:space="0" w:color="auto"/>
        <w:bottom w:val="none" w:sz="0" w:space="0" w:color="auto"/>
        <w:right w:val="none" w:sz="0" w:space="0" w:color="auto"/>
      </w:divBdr>
    </w:div>
    <w:div w:id="2126851505">
      <w:bodyDiv w:val="1"/>
      <w:marLeft w:val="0"/>
      <w:marRight w:val="0"/>
      <w:marTop w:val="0"/>
      <w:marBottom w:val="0"/>
      <w:divBdr>
        <w:top w:val="none" w:sz="0" w:space="0" w:color="auto"/>
        <w:left w:val="none" w:sz="0" w:space="0" w:color="auto"/>
        <w:bottom w:val="none" w:sz="0" w:space="0" w:color="auto"/>
        <w:right w:val="none" w:sz="0" w:space="0" w:color="auto"/>
      </w:divBdr>
    </w:div>
    <w:div w:id="21431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3.xml><?xml version="1.0" encoding="utf-8"?>
<ds:datastoreItem xmlns:ds="http://schemas.openxmlformats.org/officeDocument/2006/customXml" ds:itemID="{8E44B631-7640-4A17-8550-BEE8955DE750}">
  <ds:schemaRefs>
    <ds:schemaRef ds:uri="http://schemas.microsoft.com/office/infopath/2007/PartnerControls"/>
    <ds:schemaRef ds:uri="6b894c73-1921-4299-aefc-49f5a4cb1310"/>
    <ds:schemaRef ds:uri="http://purl.org/dc/elements/1.1/"/>
    <ds:schemaRef ds:uri="http://schemas.microsoft.com/office/2006/metadata/properties"/>
    <ds:schemaRef ds:uri="349e11ad-1311-4134-818c-bb844dbfed54"/>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ADB16E7D-979A-4EC8-9668-13CF29D7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Worcester, Adelaide</dc:creator>
  <cp:lastModifiedBy>Sydney Carpenter</cp:lastModifiedBy>
  <cp:revision>9</cp:revision>
  <cp:lastPrinted>2020-07-16T03:36:00Z</cp:lastPrinted>
  <dcterms:created xsi:type="dcterms:W3CDTF">2020-11-03T07:02:00Z</dcterms:created>
  <dcterms:modified xsi:type="dcterms:W3CDTF">2020-11-17T22:20:00Z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f4d7e329-c13a-486e-8365-6271e4f77b0a</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