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3A9EF" w14:textId="77777777" w:rsidR="0059146A" w:rsidRDefault="0059146A" w:rsidP="005B5769">
      <w:pPr>
        <w:pStyle w:val="ListBullet"/>
        <w:tabs>
          <w:tab w:val="clear" w:pos="284"/>
        </w:tabs>
      </w:pPr>
      <w:bookmarkStart w:id="0" w:name="_GoBack"/>
      <w:bookmarkEnd w:id="0"/>
    </w:p>
    <w:p w14:paraId="32CB0CD1" w14:textId="77777777" w:rsidR="0059146A" w:rsidRDefault="0059146A" w:rsidP="005B5769">
      <w:pPr>
        <w:pStyle w:val="ListBullet"/>
        <w:tabs>
          <w:tab w:val="clear" w:pos="284"/>
        </w:tabs>
      </w:pPr>
    </w:p>
    <w:p w14:paraId="32B78358" w14:textId="77777777" w:rsidR="0059146A" w:rsidRPr="0059146A" w:rsidRDefault="0059146A" w:rsidP="005B5769">
      <w:pPr>
        <w:pStyle w:val="ListBullet"/>
        <w:tabs>
          <w:tab w:val="clear" w:pos="284"/>
        </w:tabs>
      </w:pPr>
    </w:p>
    <w:p w14:paraId="4536A381" w14:textId="77777777" w:rsidR="00A56F14" w:rsidRPr="0059146A" w:rsidRDefault="00A56F14" w:rsidP="0059146A">
      <w:pPr>
        <w:pStyle w:val="ListBullet"/>
        <w:tabs>
          <w:tab w:val="clear" w:pos="284"/>
        </w:tabs>
      </w:pPr>
    </w:p>
    <w:p w14:paraId="5C2B7237" w14:textId="77777777" w:rsidR="00A56F14" w:rsidRDefault="00A56F14" w:rsidP="00A56F14">
      <w:pPr>
        <w:spacing w:after="200" w:line="276" w:lineRule="auto"/>
        <w:rPr>
          <w:b/>
        </w:rPr>
      </w:pPr>
    </w:p>
    <w:p w14:paraId="09C98678" w14:textId="77777777" w:rsidR="00A56F14" w:rsidRDefault="00A56F14" w:rsidP="00A56F14">
      <w:pPr>
        <w:spacing w:after="200" w:line="276" w:lineRule="auto"/>
        <w:rPr>
          <w:b/>
        </w:rPr>
      </w:pPr>
    </w:p>
    <w:p w14:paraId="13385EF2" w14:textId="77777777" w:rsidR="00C6626C" w:rsidRDefault="00C6626C" w:rsidP="00A56F14"/>
    <w:p w14:paraId="749F29FA" w14:textId="77777777" w:rsidR="00C6626C" w:rsidRDefault="00C6626C" w:rsidP="00A56F14"/>
    <w:p w14:paraId="191A4147" w14:textId="77777777" w:rsidR="00C6626C" w:rsidRDefault="00C6626C" w:rsidP="00A56F14"/>
    <w:p w14:paraId="1F46F22C" w14:textId="77777777" w:rsidR="00C6626C" w:rsidRDefault="00C6626C" w:rsidP="00A56F14"/>
    <w:p w14:paraId="7FC5505B" w14:textId="77777777" w:rsidR="00C6626C" w:rsidRDefault="00C6626C" w:rsidP="00A56F14"/>
    <w:p w14:paraId="4FA8B31C" w14:textId="77777777" w:rsidR="00C6626C" w:rsidRDefault="00C6626C" w:rsidP="00A56F14"/>
    <w:p w14:paraId="15EC2359" w14:textId="77777777" w:rsidR="00C6626C" w:rsidRDefault="00C6626C" w:rsidP="00A56F14"/>
    <w:p w14:paraId="1F14CF92" w14:textId="77777777" w:rsidR="00C6626C" w:rsidRDefault="00C6626C" w:rsidP="00A56F14"/>
    <w:p w14:paraId="7C6BDD64" w14:textId="77777777" w:rsidR="00C6626C" w:rsidRDefault="00C6626C" w:rsidP="00A56F14"/>
    <w:p w14:paraId="51193EDC" w14:textId="77777777" w:rsidR="00C6626C" w:rsidRDefault="00C6626C" w:rsidP="00A56F14"/>
    <w:p w14:paraId="508D6FBD" w14:textId="77777777" w:rsidR="00C6626C" w:rsidRDefault="00C6626C" w:rsidP="00A56F14"/>
    <w:p w14:paraId="5D047C20" w14:textId="77777777" w:rsidR="00C6626C" w:rsidRDefault="00C6626C" w:rsidP="00A56F14"/>
    <w:p w14:paraId="101AC8FF" w14:textId="77777777" w:rsidR="00C6626C" w:rsidRDefault="00C6626C" w:rsidP="00A56F14"/>
    <w:p w14:paraId="6E9D8B4B" w14:textId="77777777" w:rsidR="00C6626C" w:rsidRDefault="00C6626C" w:rsidP="00A56F14"/>
    <w:p w14:paraId="2CF59FFA" w14:textId="77777777" w:rsidR="00C6626C" w:rsidRDefault="00C6626C" w:rsidP="00A56F14"/>
    <w:p w14:paraId="66070AAA" w14:textId="77777777" w:rsidR="00C6626C" w:rsidRDefault="00C6626C" w:rsidP="00A56F14"/>
    <w:p w14:paraId="37311B96" w14:textId="77777777" w:rsidR="00C6626C" w:rsidRDefault="00C6626C" w:rsidP="00A56F14"/>
    <w:p w14:paraId="71FC1EAF" w14:textId="77777777" w:rsidR="00C6626C" w:rsidRDefault="00C6626C" w:rsidP="00A56F14"/>
    <w:p w14:paraId="70320D91" w14:textId="77777777" w:rsidR="00C6626C" w:rsidRDefault="00C6626C" w:rsidP="00A56F14"/>
    <w:p w14:paraId="4B3F6664" w14:textId="77777777" w:rsidR="00C6626C" w:rsidRDefault="00C6626C" w:rsidP="00A56F14"/>
    <w:p w14:paraId="5A47E7C3" w14:textId="77777777" w:rsidR="00C6626C" w:rsidRDefault="00C6626C" w:rsidP="00A56F14"/>
    <w:p w14:paraId="13931117" w14:textId="77777777" w:rsidR="00D7713F" w:rsidRPr="00D7713F" w:rsidRDefault="00A56F14" w:rsidP="002A51CA">
      <w:pPr>
        <w:pStyle w:val="Title"/>
        <w:spacing w:after="120" w:line="600" w:lineRule="exact"/>
        <w:rPr>
          <w:spacing w:val="-20"/>
          <w:sz w:val="60"/>
          <w:szCs w:val="60"/>
        </w:rPr>
      </w:pPr>
      <w:r w:rsidRPr="00D7713F">
        <w:rPr>
          <w:noProof/>
          <w:spacing w:val="-20"/>
          <w:sz w:val="60"/>
          <w:szCs w:val="60"/>
          <w:lang w:val="en-AU" w:eastAsia="en-AU"/>
        </w:rPr>
        <w:drawing>
          <wp:anchor distT="0" distB="0" distL="114300" distR="114300" simplePos="0" relativeHeight="251664384" behindDoc="1" locked="1" layoutInCell="1" allowOverlap="1" wp14:anchorId="39F7575E" wp14:editId="60DF806C">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D7713F">
        <w:rPr>
          <w:noProof/>
          <w:spacing w:val="-20"/>
          <w:sz w:val="60"/>
          <w:szCs w:val="60"/>
          <w:lang w:val="en-AU" w:eastAsia="en-AU"/>
        </w:rPr>
        <w:drawing>
          <wp:anchor distT="0" distB="0" distL="114300" distR="114300" simplePos="0" relativeHeight="251663360" behindDoc="1" locked="1" layoutInCell="1" allowOverlap="1" wp14:anchorId="794E8FD0" wp14:editId="55F023EF">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D7713F">
        <w:rPr>
          <w:spacing w:val="-20"/>
          <w:sz w:val="60"/>
          <w:szCs w:val="60"/>
        </w:rPr>
        <w:t xml:space="preserve">Aid Program Performance Report </w:t>
      </w:r>
    </w:p>
    <w:p w14:paraId="0C034C64" w14:textId="77777777" w:rsidR="00C6626C" w:rsidRPr="00D7713F" w:rsidRDefault="00D7713F" w:rsidP="002A51CA">
      <w:pPr>
        <w:pStyle w:val="Title"/>
        <w:spacing w:after="120" w:line="600" w:lineRule="exact"/>
        <w:rPr>
          <w:spacing w:val="-20"/>
          <w:sz w:val="60"/>
          <w:szCs w:val="60"/>
        </w:rPr>
      </w:pPr>
      <w:r>
        <w:rPr>
          <w:spacing w:val="-20"/>
          <w:sz w:val="60"/>
          <w:szCs w:val="60"/>
        </w:rPr>
        <w:t xml:space="preserve">FULL APPR </w:t>
      </w:r>
      <w:r w:rsidR="00C6626C" w:rsidRPr="00D7713F">
        <w:rPr>
          <w:spacing w:val="-20"/>
          <w:sz w:val="60"/>
          <w:szCs w:val="60"/>
        </w:rPr>
        <w:t>201</w:t>
      </w:r>
      <w:r>
        <w:rPr>
          <w:spacing w:val="-20"/>
          <w:sz w:val="60"/>
          <w:szCs w:val="60"/>
        </w:rPr>
        <w:t>8-19</w:t>
      </w:r>
    </w:p>
    <w:p w14:paraId="7596522B" w14:textId="77777777" w:rsidR="00C6626C" w:rsidRDefault="00CF21E5" w:rsidP="00A56F14">
      <w:r>
        <w:rPr>
          <w:sz w:val="40"/>
        </w:rPr>
        <w:t>Pacific Regional Program</w:t>
      </w:r>
    </w:p>
    <w:p w14:paraId="22DB4484" w14:textId="77777777" w:rsidR="00C6626C" w:rsidRPr="002A51CA" w:rsidRDefault="00C6626C" w:rsidP="00A56F14">
      <w:pPr>
        <w:rPr>
          <w:sz w:val="24"/>
        </w:rPr>
      </w:pPr>
      <w:r w:rsidRPr="002A51CA">
        <w:rPr>
          <w:sz w:val="24"/>
        </w:rPr>
        <w:t>September 201</w:t>
      </w:r>
      <w:r w:rsidR="00D7713F">
        <w:rPr>
          <w:sz w:val="24"/>
        </w:rPr>
        <w:t>9</w:t>
      </w:r>
    </w:p>
    <w:p w14:paraId="50E05066" w14:textId="77777777" w:rsidR="00C6626C" w:rsidRDefault="00C6626C" w:rsidP="00A56F14">
      <w:pPr>
        <w:sectPr w:rsidR="00C6626C" w:rsidSect="00C6626C">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p>
    <w:p w14:paraId="487927BB" w14:textId="77777777" w:rsidR="00D7713F" w:rsidRPr="00BB648A" w:rsidRDefault="00312E36" w:rsidP="00D7713F">
      <w:pPr>
        <w:pStyle w:val="Title"/>
        <w:spacing w:before="120" w:after="240" w:line="300" w:lineRule="exact"/>
        <w:contextualSpacing w:val="0"/>
        <w:rPr>
          <w:szCs w:val="38"/>
        </w:rPr>
      </w:pPr>
      <w:r w:rsidRPr="00312E36">
        <w:rPr>
          <w:szCs w:val="38"/>
        </w:rPr>
        <w:lastRenderedPageBreak/>
        <w:t>Pacific Regiona</w:t>
      </w:r>
      <w:r w:rsidRPr="0037238B">
        <w:rPr>
          <w:szCs w:val="38"/>
        </w:rPr>
        <w:t>l</w:t>
      </w:r>
      <w:r w:rsidR="00D7713F" w:rsidRPr="0037238B">
        <w:rPr>
          <w:szCs w:val="38"/>
        </w:rPr>
        <w:t xml:space="preserve"> Aid </w:t>
      </w:r>
      <w:r w:rsidR="00D7713F" w:rsidRPr="00BB648A">
        <w:rPr>
          <w:szCs w:val="38"/>
        </w:rPr>
        <w:t>Program Performance 201</w:t>
      </w:r>
      <w:r w:rsidR="00F46D79">
        <w:rPr>
          <w:szCs w:val="38"/>
        </w:rPr>
        <w:t>8-19</w:t>
      </w:r>
    </w:p>
    <w:p w14:paraId="6AF60021" w14:textId="77777777" w:rsidR="00C6626C" w:rsidRPr="00C61187" w:rsidRDefault="00C6626C" w:rsidP="00D7713F">
      <w:pPr>
        <w:pStyle w:val="ListBullet"/>
        <w:tabs>
          <w:tab w:val="clear" w:pos="284"/>
        </w:tabs>
        <w:spacing w:before="360" w:line="300" w:lineRule="exact"/>
        <w:rPr>
          <w:kern w:val="28"/>
        </w:rPr>
      </w:pPr>
      <w:r w:rsidRPr="002A51CA">
        <w:rPr>
          <w:rFonts w:asciiTheme="majorHAnsi" w:eastAsiaTheme="majorEastAsia" w:hAnsiTheme="majorHAnsi" w:cstheme="majorBidi"/>
          <w:caps/>
          <w:color w:val="495965" w:themeColor="text2"/>
          <w:sz w:val="38"/>
          <w:szCs w:val="26"/>
          <w:lang w:val="en-GB" w:eastAsia="en-US"/>
        </w:rPr>
        <w:t>Key Messages</w:t>
      </w:r>
    </w:p>
    <w:p w14:paraId="7A6FF1F6" w14:textId="77777777" w:rsidR="00D7713F" w:rsidRPr="00171B90" w:rsidRDefault="007908CF" w:rsidP="00D7713F">
      <w:pPr>
        <w:spacing w:after="120"/>
      </w:pPr>
      <w:r>
        <w:t xml:space="preserve">Over the last five years Australia’s regional aid program to the Pacific has focused on the following objectives: </w:t>
      </w:r>
      <w:r w:rsidRPr="007D5383">
        <w:rPr>
          <w:i/>
        </w:rPr>
        <w:t>securing sustainable economic growth, building effective institutions, supporting healthy and resilient communities and empowering women and girls</w:t>
      </w:r>
      <w:r>
        <w:rPr>
          <w:i/>
        </w:rPr>
        <w:t xml:space="preserve"> </w:t>
      </w:r>
      <w:r>
        <w:t xml:space="preserve">(outlined in the </w:t>
      </w:r>
      <w:hyperlink r:id="rId16" w:history="1">
        <w:r w:rsidRPr="001B44F5">
          <w:rPr>
            <w:rStyle w:val="Hyperlink"/>
            <w:rFonts w:cstheme="minorBidi"/>
          </w:rPr>
          <w:t>Aid Investment Plan (AIP) 2015-16 to 2018-19</w:t>
        </w:r>
      </w:hyperlink>
      <w:r>
        <w:t>)</w:t>
      </w:r>
      <w:r w:rsidRPr="00171B90">
        <w:t xml:space="preserve">. </w:t>
      </w:r>
      <w:r w:rsidR="00D7713F" w:rsidRPr="00171B90">
        <w:t xml:space="preserve">This report summarises the performance of Australia’s aid program in </w:t>
      </w:r>
      <w:r w:rsidR="001D7EE1" w:rsidRPr="00171B90">
        <w:t xml:space="preserve">the Pacific Regional Program </w:t>
      </w:r>
      <w:r w:rsidR="00D7713F" w:rsidRPr="00171B90">
        <w:t xml:space="preserve">from July 2018 to June 2019 against </w:t>
      </w:r>
      <w:r>
        <w:t>these objectives at a time when DFAT is preparing a new aid investment plan.</w:t>
      </w:r>
    </w:p>
    <w:p w14:paraId="33A273DD" w14:textId="70D62792" w:rsidR="00320E7C" w:rsidRDefault="00A742C3" w:rsidP="00EE743A">
      <w:pPr>
        <w:spacing w:after="120"/>
      </w:pPr>
      <w:r w:rsidRPr="004624AC">
        <w:t xml:space="preserve">The Pacific </w:t>
      </w:r>
      <w:r w:rsidR="001502D6" w:rsidRPr="004624AC">
        <w:t>R</w:t>
      </w:r>
      <w:r w:rsidRPr="004624AC">
        <w:t xml:space="preserve">egional </w:t>
      </w:r>
      <w:r w:rsidR="001502D6" w:rsidRPr="004624AC">
        <w:t>A</w:t>
      </w:r>
      <w:r w:rsidRPr="004624AC">
        <w:t xml:space="preserve">id </w:t>
      </w:r>
      <w:r w:rsidR="001502D6" w:rsidRPr="004624AC">
        <w:t>P</w:t>
      </w:r>
      <w:r w:rsidR="00EE743A" w:rsidRPr="004624AC">
        <w:t xml:space="preserve">rogram continues to make </w:t>
      </w:r>
      <w:r w:rsidRPr="004624AC">
        <w:t xml:space="preserve">steady </w:t>
      </w:r>
      <w:r w:rsidR="00EE743A" w:rsidRPr="004624AC">
        <w:t xml:space="preserve">progress against </w:t>
      </w:r>
      <w:r w:rsidRPr="004624AC">
        <w:t>AIP objectives</w:t>
      </w:r>
      <w:r w:rsidR="00EE743A" w:rsidRPr="00171B90">
        <w:t xml:space="preserve">. At the same time, Australian </w:t>
      </w:r>
      <w:r w:rsidR="00C5664B">
        <w:t>ha</w:t>
      </w:r>
      <w:r w:rsidR="00EE743A" w:rsidRPr="00171B90">
        <w:t>s</w:t>
      </w:r>
      <w:r w:rsidR="00320E7C">
        <w:t xml:space="preserve"> committed to</w:t>
      </w:r>
      <w:r w:rsidR="00C5664B">
        <w:t xml:space="preserve"> </w:t>
      </w:r>
      <w:r w:rsidR="005068B5">
        <w:t xml:space="preserve">a </w:t>
      </w:r>
      <w:r w:rsidR="00C5664B">
        <w:t xml:space="preserve">more ambitious and intensified engagement in the </w:t>
      </w:r>
      <w:r w:rsidR="001502D6">
        <w:t xml:space="preserve">region </w:t>
      </w:r>
      <w:r>
        <w:t>through the Pacific Step-Up (announced November 2018)</w:t>
      </w:r>
      <w:r w:rsidR="00320E7C">
        <w:t xml:space="preserve">. </w:t>
      </w:r>
      <w:r>
        <w:t>The Step-Up</w:t>
      </w:r>
      <w:r w:rsidR="005068B5">
        <w:t xml:space="preserve"> objectives</w:t>
      </w:r>
      <w:r>
        <w:t xml:space="preserve">, delivered through the </w:t>
      </w:r>
      <w:r w:rsidR="009D56D9">
        <w:t xml:space="preserve">recently </w:t>
      </w:r>
      <w:r>
        <w:t>formed Office of the Pacific</w:t>
      </w:r>
      <w:r w:rsidR="005068B5">
        <w:t>,</w:t>
      </w:r>
      <w:r>
        <w:t xml:space="preserve"> are</w:t>
      </w:r>
      <w:r w:rsidR="005068B5">
        <w:t>:</w:t>
      </w:r>
      <w:r>
        <w:t xml:space="preserve">  </w:t>
      </w:r>
    </w:p>
    <w:p w14:paraId="7A43A4BF" w14:textId="77777777" w:rsidR="00320E7C" w:rsidRPr="00320E7C" w:rsidRDefault="00320E7C" w:rsidP="00C00D3F">
      <w:pPr>
        <w:pStyle w:val="ListParagraph"/>
        <w:numPr>
          <w:ilvl w:val="0"/>
          <w:numId w:val="42"/>
        </w:numPr>
        <w:spacing w:after="120"/>
      </w:pPr>
      <w:r w:rsidRPr="00320E7C">
        <w:rPr>
          <w:rFonts w:asciiTheme="minorHAnsi" w:eastAsiaTheme="minorHAnsi" w:hAnsiTheme="minorHAnsi" w:cstheme="minorBidi"/>
          <w:color w:val="495965" w:themeColor="text2"/>
          <w:sz w:val="22"/>
          <w:szCs w:val="22"/>
          <w:lang w:val="en-GB"/>
        </w:rPr>
        <w:t xml:space="preserve">Stronger partnerships for </w:t>
      </w:r>
      <w:r w:rsidR="00DD54C7">
        <w:rPr>
          <w:rFonts w:asciiTheme="minorHAnsi" w:eastAsiaTheme="minorHAnsi" w:hAnsiTheme="minorHAnsi" w:cstheme="minorBidi"/>
          <w:color w:val="495965" w:themeColor="text2"/>
          <w:sz w:val="22"/>
          <w:szCs w:val="22"/>
          <w:lang w:val="en-GB"/>
        </w:rPr>
        <w:t xml:space="preserve">sustainable </w:t>
      </w:r>
      <w:r w:rsidRPr="00320E7C">
        <w:rPr>
          <w:rFonts w:asciiTheme="minorHAnsi" w:eastAsiaTheme="minorHAnsi" w:hAnsiTheme="minorHAnsi" w:cstheme="minorBidi"/>
          <w:color w:val="495965" w:themeColor="text2"/>
          <w:sz w:val="22"/>
          <w:szCs w:val="22"/>
          <w:lang w:val="en-GB"/>
        </w:rPr>
        <w:t>economic growth</w:t>
      </w:r>
      <w:r w:rsidR="005E0D97">
        <w:rPr>
          <w:rFonts w:asciiTheme="minorHAnsi" w:eastAsiaTheme="minorHAnsi" w:hAnsiTheme="minorHAnsi" w:cstheme="minorBidi"/>
          <w:color w:val="495965" w:themeColor="text2"/>
          <w:sz w:val="22"/>
          <w:szCs w:val="22"/>
          <w:lang w:val="en-GB"/>
        </w:rPr>
        <w:t>.</w:t>
      </w:r>
    </w:p>
    <w:p w14:paraId="10142DD3" w14:textId="77777777" w:rsidR="00320E7C" w:rsidRPr="00320E7C" w:rsidRDefault="00320E7C" w:rsidP="00C00D3F">
      <w:pPr>
        <w:pStyle w:val="ListParagraph"/>
        <w:numPr>
          <w:ilvl w:val="0"/>
          <w:numId w:val="42"/>
        </w:numPr>
        <w:spacing w:after="120"/>
      </w:pPr>
      <w:r w:rsidRPr="00320E7C">
        <w:rPr>
          <w:rFonts w:asciiTheme="minorHAnsi" w:eastAsiaTheme="minorHAnsi" w:hAnsiTheme="minorHAnsi" w:cstheme="minorBidi"/>
          <w:color w:val="495965" w:themeColor="text2"/>
          <w:sz w:val="22"/>
          <w:szCs w:val="22"/>
          <w:lang w:val="en-GB"/>
        </w:rPr>
        <w:t>Stronger partnerships for security</w:t>
      </w:r>
      <w:r w:rsidR="005E0D97">
        <w:rPr>
          <w:rFonts w:asciiTheme="minorHAnsi" w:eastAsiaTheme="minorHAnsi" w:hAnsiTheme="minorHAnsi" w:cstheme="minorBidi"/>
          <w:color w:val="495965" w:themeColor="text2"/>
          <w:sz w:val="22"/>
          <w:szCs w:val="22"/>
          <w:lang w:val="en-GB"/>
        </w:rPr>
        <w:t>.</w:t>
      </w:r>
      <w:r w:rsidRPr="00320E7C">
        <w:rPr>
          <w:rFonts w:asciiTheme="minorHAnsi" w:eastAsiaTheme="minorHAnsi" w:hAnsiTheme="minorHAnsi" w:cstheme="minorBidi"/>
          <w:color w:val="495965" w:themeColor="text2"/>
          <w:sz w:val="22"/>
          <w:szCs w:val="22"/>
          <w:lang w:val="en-GB"/>
        </w:rPr>
        <w:t xml:space="preserve"> </w:t>
      </w:r>
    </w:p>
    <w:p w14:paraId="712EA3A2" w14:textId="77777777" w:rsidR="00320E7C" w:rsidRPr="00D81CA4" w:rsidRDefault="00320E7C" w:rsidP="00C00D3F">
      <w:pPr>
        <w:pStyle w:val="ListParagraph"/>
        <w:numPr>
          <w:ilvl w:val="0"/>
          <w:numId w:val="42"/>
        </w:numPr>
        <w:spacing w:after="120"/>
      </w:pPr>
      <w:r w:rsidRPr="00320E7C">
        <w:rPr>
          <w:rFonts w:asciiTheme="minorHAnsi" w:eastAsiaTheme="minorHAnsi" w:hAnsiTheme="minorHAnsi" w:cstheme="minorBidi"/>
          <w:color w:val="495965" w:themeColor="text2"/>
          <w:sz w:val="22"/>
          <w:szCs w:val="22"/>
          <w:lang w:val="en-GB"/>
        </w:rPr>
        <w:t>Stronger relationships between our people.</w:t>
      </w:r>
    </w:p>
    <w:p w14:paraId="25486F98" w14:textId="77777777" w:rsidR="00EE743A" w:rsidRPr="00C00D3F" w:rsidRDefault="007908CF">
      <w:pPr>
        <w:spacing w:after="120"/>
      </w:pPr>
      <w:r>
        <w:t xml:space="preserve">During the review period, major regional Step Up investments, such as the Pacific Labour Scheme </w:t>
      </w:r>
      <w:r w:rsidR="001502D6">
        <w:t xml:space="preserve">(PLS) </w:t>
      </w:r>
      <w:r>
        <w:t xml:space="preserve">and the </w:t>
      </w:r>
      <w:r w:rsidR="00DD54C7">
        <w:t xml:space="preserve">Australian </w:t>
      </w:r>
      <w:r>
        <w:t>Infrastructure Financing Facility for the Pacific (AIFFP) have significantly expanded the scope and ambition of our regional aid portfolio</w:t>
      </w:r>
      <w:r w:rsidR="001502D6">
        <w:t>,</w:t>
      </w:r>
      <w:r>
        <w:t xml:space="preserve"> and strengthened our whole-of-government engagement with Pacific Governments and institutions. Our </w:t>
      </w:r>
      <w:r w:rsidR="001502D6">
        <w:t xml:space="preserve">regional and multilateral </w:t>
      </w:r>
      <w:r>
        <w:t>partnerships facilitat</w:t>
      </w:r>
      <w:r w:rsidR="001502D6">
        <w:t>e</w:t>
      </w:r>
      <w:r>
        <w:t xml:space="preserve"> engagement on complex regional challenges such as climate change, security and human development.</w:t>
      </w:r>
    </w:p>
    <w:p w14:paraId="66EDE9DE" w14:textId="77777777" w:rsidR="00EE743A" w:rsidRPr="00171B90" w:rsidRDefault="00EE743A" w:rsidP="00EE743A">
      <w:pPr>
        <w:spacing w:after="120"/>
      </w:pPr>
      <w:r w:rsidRPr="00171B90">
        <w:t xml:space="preserve">Standout achievements </w:t>
      </w:r>
      <w:r w:rsidR="007908CF">
        <w:t xml:space="preserve">over this transitional </w:t>
      </w:r>
      <w:r w:rsidRPr="00171B90">
        <w:t>reporting period include:</w:t>
      </w:r>
    </w:p>
    <w:p w14:paraId="20A0FE86" w14:textId="08E22E7E" w:rsidR="00EE743A" w:rsidRPr="00171B90" w:rsidRDefault="00EE743A" w:rsidP="00EE743A">
      <w:pPr>
        <w:pStyle w:val="ListParagraph"/>
        <w:numPr>
          <w:ilvl w:val="0"/>
          <w:numId w:val="40"/>
        </w:numPr>
        <w:spacing w:after="120"/>
        <w:rPr>
          <w:rFonts w:cstheme="minorHAnsi"/>
          <w:color w:val="495965" w:themeColor="text2"/>
        </w:rPr>
      </w:pPr>
      <w:r w:rsidRPr="00171B90">
        <w:rPr>
          <w:rFonts w:asciiTheme="minorHAnsi" w:hAnsiTheme="minorHAnsi" w:cstheme="minorHAnsi"/>
          <w:b/>
          <w:color w:val="495965" w:themeColor="text2"/>
          <w:sz w:val="22"/>
          <w:szCs w:val="22"/>
        </w:rPr>
        <w:t>A successful inaugural year of the Pacific Labour Scheme</w:t>
      </w:r>
      <w:r w:rsidR="00DD54C7">
        <w:rPr>
          <w:rFonts w:asciiTheme="minorHAnsi" w:hAnsiTheme="minorHAnsi" w:cstheme="minorHAnsi"/>
          <w:color w:val="495965" w:themeColor="text2"/>
          <w:sz w:val="22"/>
          <w:szCs w:val="22"/>
        </w:rPr>
        <w:t>,</w:t>
      </w:r>
      <w:r w:rsidRPr="00171B90">
        <w:rPr>
          <w:rFonts w:asciiTheme="minorHAnsi" w:hAnsiTheme="minorHAnsi" w:cstheme="minorHAnsi"/>
          <w:color w:val="495965" w:themeColor="text2"/>
          <w:sz w:val="22"/>
          <w:szCs w:val="22"/>
        </w:rPr>
        <w:t xml:space="preserve"> with 10 country partners, over 200 workers and 50 employers participating in the first year</w:t>
      </w:r>
      <w:r w:rsidR="005068B5">
        <w:rPr>
          <w:rFonts w:asciiTheme="minorHAnsi" w:hAnsiTheme="minorHAnsi" w:cstheme="minorHAnsi"/>
          <w:color w:val="495965" w:themeColor="text2"/>
          <w:sz w:val="22"/>
          <w:szCs w:val="22"/>
        </w:rPr>
        <w:t xml:space="preserve"> – providing incomes and opportunities to build </w:t>
      </w:r>
      <w:r w:rsidR="008269C9">
        <w:rPr>
          <w:rFonts w:asciiTheme="minorHAnsi" w:hAnsiTheme="minorHAnsi" w:cstheme="minorHAnsi"/>
          <w:color w:val="495965" w:themeColor="text2"/>
          <w:sz w:val="22"/>
          <w:szCs w:val="22"/>
        </w:rPr>
        <w:t>on</w:t>
      </w:r>
      <w:r w:rsidR="00DD54C7">
        <w:rPr>
          <w:rFonts w:asciiTheme="minorHAnsi" w:hAnsiTheme="minorHAnsi" w:cstheme="minorHAnsi"/>
          <w:color w:val="495965" w:themeColor="text2"/>
          <w:sz w:val="22"/>
          <w:szCs w:val="22"/>
        </w:rPr>
        <w:t xml:space="preserve"> </w:t>
      </w:r>
      <w:r w:rsidR="008269C9">
        <w:rPr>
          <w:rFonts w:asciiTheme="minorHAnsi" w:hAnsiTheme="minorHAnsi" w:cstheme="minorHAnsi"/>
          <w:color w:val="495965" w:themeColor="text2"/>
          <w:sz w:val="22"/>
          <w:szCs w:val="22"/>
        </w:rPr>
        <w:t>the</w:t>
      </w:r>
      <w:r w:rsidR="00DD54C7">
        <w:rPr>
          <w:rFonts w:asciiTheme="minorHAnsi" w:hAnsiTheme="minorHAnsi" w:cstheme="minorHAnsi"/>
          <w:color w:val="495965" w:themeColor="text2"/>
          <w:sz w:val="22"/>
          <w:szCs w:val="22"/>
        </w:rPr>
        <w:t xml:space="preserve"> </w:t>
      </w:r>
      <w:r w:rsidR="008269C9">
        <w:rPr>
          <w:rFonts w:asciiTheme="minorHAnsi" w:hAnsiTheme="minorHAnsi" w:cstheme="minorHAnsi"/>
          <w:color w:val="495965" w:themeColor="text2"/>
          <w:sz w:val="22"/>
          <w:szCs w:val="22"/>
        </w:rPr>
        <w:t>job</w:t>
      </w:r>
      <w:r w:rsidR="00DD54C7">
        <w:rPr>
          <w:rFonts w:asciiTheme="minorHAnsi" w:hAnsiTheme="minorHAnsi" w:cstheme="minorHAnsi"/>
          <w:color w:val="495965" w:themeColor="text2"/>
          <w:sz w:val="22"/>
          <w:szCs w:val="22"/>
        </w:rPr>
        <w:t xml:space="preserve"> </w:t>
      </w:r>
      <w:r w:rsidR="005068B5">
        <w:rPr>
          <w:rFonts w:asciiTheme="minorHAnsi" w:hAnsiTheme="minorHAnsi" w:cstheme="minorHAnsi"/>
          <w:color w:val="495965" w:themeColor="text2"/>
          <w:sz w:val="22"/>
          <w:szCs w:val="22"/>
        </w:rPr>
        <w:t>skills in Australia</w:t>
      </w:r>
      <w:r w:rsidRPr="00171B90">
        <w:rPr>
          <w:rFonts w:asciiTheme="minorHAnsi" w:hAnsiTheme="minorHAnsi" w:cstheme="minorHAnsi"/>
          <w:color w:val="495965" w:themeColor="text2"/>
          <w:sz w:val="22"/>
          <w:szCs w:val="22"/>
        </w:rPr>
        <w:t xml:space="preserve">. </w:t>
      </w:r>
    </w:p>
    <w:p w14:paraId="5B511C51" w14:textId="681E5031" w:rsidR="00EE743A" w:rsidRPr="0063700C" w:rsidRDefault="00EE743A" w:rsidP="00EE743A">
      <w:pPr>
        <w:pStyle w:val="ListParagraph"/>
        <w:numPr>
          <w:ilvl w:val="0"/>
          <w:numId w:val="40"/>
        </w:numPr>
        <w:spacing w:after="120"/>
        <w:rPr>
          <w:rFonts w:cstheme="minorHAnsi"/>
          <w:color w:val="495965" w:themeColor="text2"/>
        </w:rPr>
      </w:pPr>
      <w:r w:rsidRPr="00171B90">
        <w:rPr>
          <w:rFonts w:asciiTheme="minorHAnsi" w:hAnsiTheme="minorHAnsi" w:cstheme="minorHAnsi"/>
          <w:b/>
          <w:color w:val="495965" w:themeColor="text2"/>
          <w:sz w:val="22"/>
          <w:szCs w:val="22"/>
        </w:rPr>
        <w:t>Delivering on the Coral Sea Cable System</w:t>
      </w:r>
      <w:r w:rsidRPr="00171B90">
        <w:rPr>
          <w:rFonts w:asciiTheme="minorHAnsi" w:hAnsiTheme="minorHAnsi" w:cstheme="minorHAnsi"/>
          <w:color w:val="495965" w:themeColor="text2"/>
          <w:sz w:val="22"/>
          <w:szCs w:val="22"/>
        </w:rPr>
        <w:t xml:space="preserve">, which is on track for completion by the end of </w:t>
      </w:r>
      <w:r w:rsidR="00A23CAB">
        <w:rPr>
          <w:rFonts w:asciiTheme="minorHAnsi" w:hAnsiTheme="minorHAnsi" w:cstheme="minorHAnsi"/>
          <w:color w:val="495965" w:themeColor="text2"/>
          <w:sz w:val="22"/>
          <w:szCs w:val="22"/>
        </w:rPr>
        <w:t>2019</w:t>
      </w:r>
      <w:r w:rsidRPr="00171B90">
        <w:rPr>
          <w:rFonts w:asciiTheme="minorHAnsi" w:hAnsiTheme="minorHAnsi" w:cstheme="minorHAnsi"/>
          <w:color w:val="495965" w:themeColor="text2"/>
          <w:sz w:val="22"/>
          <w:szCs w:val="22"/>
        </w:rPr>
        <w:t xml:space="preserve">. This </w:t>
      </w:r>
      <w:r w:rsidR="00DD54C7">
        <w:rPr>
          <w:rFonts w:asciiTheme="minorHAnsi" w:hAnsiTheme="minorHAnsi" w:cstheme="minorHAnsi"/>
          <w:color w:val="495965" w:themeColor="text2"/>
          <w:sz w:val="22"/>
          <w:szCs w:val="22"/>
        </w:rPr>
        <w:t xml:space="preserve">major infrastructure </w:t>
      </w:r>
      <w:r w:rsidRPr="00171B90">
        <w:rPr>
          <w:rFonts w:asciiTheme="minorHAnsi" w:hAnsiTheme="minorHAnsi" w:cstheme="minorHAnsi"/>
          <w:color w:val="495965" w:themeColor="text2"/>
          <w:sz w:val="22"/>
          <w:szCs w:val="22"/>
        </w:rPr>
        <w:t>project has the potential to catalyse economic growth, with World Bank research estimating improved internet access and connectivity could translate into additional GDP of more than USD5</w:t>
      </w:r>
      <w:r w:rsidR="00B10ED4">
        <w:rPr>
          <w:rFonts w:asciiTheme="minorHAnsi" w:hAnsiTheme="minorHAnsi" w:cstheme="minorHAnsi"/>
          <w:color w:val="495965" w:themeColor="text2"/>
          <w:sz w:val="22"/>
          <w:szCs w:val="22"/>
        </w:rPr>
        <w:t> </w:t>
      </w:r>
      <w:r w:rsidRPr="00171B90">
        <w:rPr>
          <w:rFonts w:asciiTheme="minorHAnsi" w:hAnsiTheme="minorHAnsi" w:cstheme="minorHAnsi"/>
          <w:color w:val="495965" w:themeColor="text2"/>
          <w:sz w:val="22"/>
          <w:szCs w:val="22"/>
        </w:rPr>
        <w:t>billion and close to 300,000 additional jobs in the Pacific by 2040.</w:t>
      </w:r>
    </w:p>
    <w:p w14:paraId="51B82DC2" w14:textId="77777777" w:rsidR="007908CF" w:rsidRPr="000B0E65" w:rsidRDefault="007908CF" w:rsidP="00EE743A">
      <w:pPr>
        <w:pStyle w:val="ListParagraph"/>
        <w:numPr>
          <w:ilvl w:val="0"/>
          <w:numId w:val="40"/>
        </w:numPr>
        <w:spacing w:after="120"/>
        <w:rPr>
          <w:rFonts w:cstheme="minorHAnsi"/>
          <w:color w:val="495965" w:themeColor="text2"/>
        </w:rPr>
      </w:pPr>
      <w:r>
        <w:rPr>
          <w:rFonts w:asciiTheme="minorHAnsi" w:hAnsiTheme="minorHAnsi" w:cstheme="minorHAnsi"/>
          <w:b/>
          <w:color w:val="495965" w:themeColor="text2"/>
          <w:sz w:val="22"/>
          <w:szCs w:val="22"/>
        </w:rPr>
        <w:t>Launch of the Australia Pacific Training Coalition phase 3</w:t>
      </w:r>
      <w:r w:rsidR="001502D6">
        <w:rPr>
          <w:rFonts w:asciiTheme="minorHAnsi" w:hAnsiTheme="minorHAnsi" w:cstheme="minorHAnsi"/>
          <w:b/>
          <w:color w:val="495965" w:themeColor="text2"/>
          <w:sz w:val="22"/>
          <w:szCs w:val="22"/>
        </w:rPr>
        <w:t xml:space="preserve">, </w:t>
      </w:r>
      <w:r w:rsidRPr="007D5383">
        <w:rPr>
          <w:rFonts w:asciiTheme="minorHAnsi" w:hAnsiTheme="minorHAnsi" w:cstheme="minorHAnsi"/>
          <w:color w:val="495965" w:themeColor="text2"/>
          <w:sz w:val="22"/>
          <w:szCs w:val="22"/>
        </w:rPr>
        <w:t xml:space="preserve">building on </w:t>
      </w:r>
      <w:r>
        <w:rPr>
          <w:rFonts w:asciiTheme="minorHAnsi" w:hAnsiTheme="minorHAnsi" w:cstheme="minorHAnsi"/>
          <w:color w:val="495965" w:themeColor="text2"/>
          <w:sz w:val="22"/>
          <w:szCs w:val="22"/>
        </w:rPr>
        <w:t>over a decade of success, including over</w:t>
      </w:r>
      <w:r w:rsidRPr="007D5383">
        <w:rPr>
          <w:rFonts w:asciiTheme="minorHAnsi" w:hAnsiTheme="minorHAnsi" w:cstheme="minorHAnsi"/>
          <w:color w:val="495965" w:themeColor="text2"/>
          <w:sz w:val="22"/>
          <w:szCs w:val="22"/>
        </w:rPr>
        <w:t xml:space="preserve"> 12,000 </w:t>
      </w:r>
      <w:r>
        <w:rPr>
          <w:rFonts w:asciiTheme="minorHAnsi" w:hAnsiTheme="minorHAnsi" w:cstheme="minorHAnsi"/>
          <w:color w:val="495965" w:themeColor="text2"/>
          <w:sz w:val="22"/>
          <w:szCs w:val="22"/>
        </w:rPr>
        <w:t xml:space="preserve">Pacific graduates and </w:t>
      </w:r>
      <w:r w:rsidRPr="007D5383">
        <w:rPr>
          <w:rFonts w:asciiTheme="minorHAnsi" w:hAnsiTheme="minorHAnsi" w:cstheme="minorHAnsi"/>
          <w:color w:val="495965" w:themeColor="text2"/>
          <w:sz w:val="22"/>
          <w:szCs w:val="22"/>
        </w:rPr>
        <w:t>focus</w:t>
      </w:r>
      <w:r>
        <w:rPr>
          <w:rFonts w:asciiTheme="minorHAnsi" w:hAnsiTheme="minorHAnsi" w:cstheme="minorHAnsi"/>
          <w:color w:val="495965" w:themeColor="text2"/>
          <w:sz w:val="22"/>
          <w:szCs w:val="22"/>
        </w:rPr>
        <w:t>ing</w:t>
      </w:r>
      <w:r w:rsidRPr="007D5383">
        <w:rPr>
          <w:rFonts w:asciiTheme="minorHAnsi" w:hAnsiTheme="minorHAnsi" w:cstheme="minorHAnsi"/>
          <w:color w:val="495965" w:themeColor="text2"/>
          <w:sz w:val="22"/>
          <w:szCs w:val="22"/>
        </w:rPr>
        <w:t xml:space="preserve"> on building </w:t>
      </w:r>
      <w:r>
        <w:rPr>
          <w:rFonts w:asciiTheme="minorHAnsi" w:hAnsiTheme="minorHAnsi" w:cstheme="minorHAnsi"/>
          <w:color w:val="495965" w:themeColor="text2"/>
          <w:sz w:val="22"/>
          <w:szCs w:val="22"/>
        </w:rPr>
        <w:t xml:space="preserve">quality </w:t>
      </w:r>
      <w:r w:rsidRPr="007D5383">
        <w:rPr>
          <w:rFonts w:asciiTheme="minorHAnsi" w:hAnsiTheme="minorHAnsi" w:cstheme="minorHAnsi"/>
          <w:color w:val="495965" w:themeColor="text2"/>
          <w:sz w:val="22"/>
          <w:szCs w:val="22"/>
        </w:rPr>
        <w:t>Pacific systems</w:t>
      </w:r>
      <w:r>
        <w:rPr>
          <w:rFonts w:asciiTheme="minorHAnsi" w:hAnsiTheme="minorHAnsi" w:cstheme="minorHAnsi"/>
          <w:color w:val="495965" w:themeColor="text2"/>
          <w:sz w:val="22"/>
          <w:szCs w:val="22"/>
        </w:rPr>
        <w:t xml:space="preserve"> and employment outcomes for Pacific Islanders.</w:t>
      </w:r>
    </w:p>
    <w:p w14:paraId="21C05F9E" w14:textId="77777777" w:rsidR="00DD54C7" w:rsidRPr="000B0E65" w:rsidRDefault="00DD54C7" w:rsidP="00A50580">
      <w:pPr>
        <w:pStyle w:val="ListParagraph"/>
        <w:numPr>
          <w:ilvl w:val="0"/>
          <w:numId w:val="40"/>
        </w:numPr>
        <w:spacing w:after="120"/>
        <w:rPr>
          <w:rFonts w:cstheme="minorHAnsi"/>
          <w:color w:val="495965" w:themeColor="text2"/>
        </w:rPr>
      </w:pPr>
      <w:r w:rsidRPr="00C00D3F">
        <w:rPr>
          <w:rFonts w:asciiTheme="minorHAnsi" w:hAnsiTheme="minorHAnsi" w:cstheme="minorHAnsi"/>
          <w:b/>
          <w:color w:val="495965" w:themeColor="text2"/>
          <w:sz w:val="22"/>
          <w:szCs w:val="22"/>
        </w:rPr>
        <w:t xml:space="preserve">Continued efforts by major regional </w:t>
      </w:r>
      <w:r w:rsidRPr="00C5664B">
        <w:rPr>
          <w:rFonts w:asciiTheme="minorHAnsi" w:hAnsiTheme="minorHAnsi" w:cstheme="minorHAnsi"/>
          <w:b/>
          <w:color w:val="495965" w:themeColor="text2"/>
          <w:sz w:val="22"/>
          <w:szCs w:val="22"/>
        </w:rPr>
        <w:t>organisation</w:t>
      </w:r>
      <w:r w:rsidRPr="00C00D3F">
        <w:rPr>
          <w:rFonts w:asciiTheme="minorHAnsi" w:hAnsiTheme="minorHAnsi" w:cstheme="minorHAnsi"/>
          <w:b/>
          <w:color w:val="495965" w:themeColor="text2"/>
          <w:sz w:val="22"/>
          <w:szCs w:val="22"/>
        </w:rPr>
        <w:t>s</w:t>
      </w:r>
      <w:r w:rsidRPr="00C00D3F">
        <w:rPr>
          <w:rFonts w:asciiTheme="minorHAnsi" w:hAnsiTheme="minorHAnsi" w:cstheme="minorHAnsi"/>
          <w:color w:val="495965" w:themeColor="text2"/>
          <w:sz w:val="22"/>
          <w:szCs w:val="22"/>
        </w:rPr>
        <w:t xml:space="preserve"> </w:t>
      </w:r>
      <w:r>
        <w:rPr>
          <w:rFonts w:asciiTheme="minorHAnsi" w:hAnsiTheme="minorHAnsi" w:cstheme="minorHAnsi"/>
          <w:color w:val="495965" w:themeColor="text2"/>
          <w:sz w:val="22"/>
          <w:szCs w:val="22"/>
        </w:rPr>
        <w:t xml:space="preserve">to consolidate financial and management reforms driving better development outcomes for the Pacific. For example, further </w:t>
      </w:r>
      <w:r w:rsidRPr="00C00D3F">
        <w:rPr>
          <w:rFonts w:asciiTheme="minorHAnsi" w:hAnsiTheme="minorHAnsi" w:cstheme="minorHAnsi"/>
          <w:color w:val="495965" w:themeColor="text2"/>
          <w:sz w:val="22"/>
          <w:szCs w:val="22"/>
        </w:rPr>
        <w:t xml:space="preserve">internal reform of </w:t>
      </w:r>
      <w:r>
        <w:rPr>
          <w:rFonts w:asciiTheme="minorHAnsi" w:hAnsiTheme="minorHAnsi" w:cstheme="minorHAnsi"/>
          <w:color w:val="495965" w:themeColor="text2"/>
          <w:sz w:val="22"/>
          <w:szCs w:val="22"/>
        </w:rPr>
        <w:t>the Pacific Community (</w:t>
      </w:r>
      <w:r w:rsidRPr="00C00D3F">
        <w:rPr>
          <w:rFonts w:asciiTheme="minorHAnsi" w:hAnsiTheme="minorHAnsi" w:cstheme="minorHAnsi"/>
          <w:color w:val="495965" w:themeColor="text2"/>
          <w:sz w:val="22"/>
          <w:szCs w:val="22"/>
        </w:rPr>
        <w:t>SP</w:t>
      </w:r>
      <w:r>
        <w:rPr>
          <w:rFonts w:asciiTheme="minorHAnsi" w:hAnsiTheme="minorHAnsi" w:cstheme="minorHAnsi"/>
          <w:color w:val="495965" w:themeColor="text2"/>
          <w:sz w:val="22"/>
          <w:szCs w:val="22"/>
        </w:rPr>
        <w:t xml:space="preserve">C) has helped strengthen </w:t>
      </w:r>
      <w:r w:rsidRPr="00171B90">
        <w:rPr>
          <w:rFonts w:asciiTheme="minorHAnsi" w:hAnsiTheme="minorHAnsi" w:cstheme="minorHAnsi"/>
          <w:color w:val="495965" w:themeColor="text2"/>
          <w:sz w:val="22"/>
          <w:szCs w:val="22"/>
        </w:rPr>
        <w:t>the delivery of services for the Pacific in vital areas like fisheries science, coastal fisheries management, education standards, sustainable agriculture and health.</w:t>
      </w:r>
    </w:p>
    <w:p w14:paraId="6C20F8B4" w14:textId="0ED0E42D" w:rsidR="00EE743A" w:rsidRPr="00171B90" w:rsidRDefault="00EE743A" w:rsidP="00EE743A">
      <w:pPr>
        <w:spacing w:after="120"/>
      </w:pPr>
      <w:r w:rsidRPr="00171B90">
        <w:t xml:space="preserve">Challenges in the reporting period relate to </w:t>
      </w:r>
      <w:r w:rsidR="005E0D97">
        <w:t>developing</w:t>
      </w:r>
      <w:r w:rsidRPr="00171B90">
        <w:t xml:space="preserve"> the additional 14 Step</w:t>
      </w:r>
      <w:r w:rsidR="001502D6">
        <w:t>-</w:t>
      </w:r>
      <w:r w:rsidRPr="00171B90">
        <w:t>Up activities alongside existing activities</w:t>
      </w:r>
      <w:r w:rsidR="008A0B66" w:rsidRPr="00171B90">
        <w:t>, the proliferation of small investments, and</w:t>
      </w:r>
      <w:r w:rsidR="004E37C6">
        <w:t xml:space="preserve"> the need for greater</w:t>
      </w:r>
      <w:r w:rsidR="008A0B66" w:rsidRPr="00171B90">
        <w:t xml:space="preserve"> coherence </w:t>
      </w:r>
      <w:r w:rsidR="004E37C6">
        <w:t>between</w:t>
      </w:r>
      <w:r w:rsidR="004E37C6" w:rsidRPr="00171B90">
        <w:t xml:space="preserve"> </w:t>
      </w:r>
      <w:r w:rsidR="008A0B66" w:rsidRPr="00171B90">
        <w:t>bilateral and regional investments</w:t>
      </w:r>
      <w:r w:rsidRPr="00171B90">
        <w:t xml:space="preserve">. To better reflect Australia’s enhanced Pacific engagement and strengthen program coherence, a new regional aid investment </w:t>
      </w:r>
      <w:r w:rsidR="00171B90">
        <w:t xml:space="preserve">plan </w:t>
      </w:r>
      <w:r w:rsidR="00DD54C7">
        <w:t>is being</w:t>
      </w:r>
      <w:r w:rsidRPr="00171B90">
        <w:t xml:space="preserve"> developed </w:t>
      </w:r>
      <w:r w:rsidR="008269C9">
        <w:t xml:space="preserve">for consultation </w:t>
      </w:r>
      <w:r w:rsidRPr="00171B90">
        <w:t xml:space="preserve">in </w:t>
      </w:r>
      <w:r w:rsidR="008A0B66" w:rsidRPr="00171B90">
        <w:t>late</w:t>
      </w:r>
      <w:r w:rsidRPr="00171B90">
        <w:t xml:space="preserve"> 20</w:t>
      </w:r>
      <w:r w:rsidR="008A0B66" w:rsidRPr="00171B90">
        <w:t>19</w:t>
      </w:r>
      <w:r w:rsidRPr="00171B90">
        <w:t xml:space="preserve">. The </w:t>
      </w:r>
      <w:r w:rsidR="00DD54C7">
        <w:t xml:space="preserve">next </w:t>
      </w:r>
      <w:r w:rsidR="001502D6">
        <w:t>R</w:t>
      </w:r>
      <w:r w:rsidRPr="00171B90">
        <w:t xml:space="preserve">egional </w:t>
      </w:r>
      <w:r w:rsidR="001502D6">
        <w:t>A</w:t>
      </w:r>
      <w:r w:rsidRPr="00171B90">
        <w:t xml:space="preserve">id </w:t>
      </w:r>
      <w:r w:rsidR="001502D6">
        <w:t>I</w:t>
      </w:r>
      <w:r w:rsidRPr="00171B90">
        <w:t xml:space="preserve">nvestment </w:t>
      </w:r>
      <w:r w:rsidR="001502D6">
        <w:t>P</w:t>
      </w:r>
      <w:r w:rsidRPr="00171B90">
        <w:t xml:space="preserve">lan will undertake additional analysis to ensure Australia’s aid investments are targeted and will </w:t>
      </w:r>
      <w:r w:rsidR="008269C9">
        <w:t xml:space="preserve">work towards </w:t>
      </w:r>
      <w:r w:rsidRPr="00171B90">
        <w:t>streamlin</w:t>
      </w:r>
      <w:r w:rsidR="008269C9">
        <w:t>ing</w:t>
      </w:r>
      <w:r w:rsidRPr="00171B90">
        <w:t xml:space="preserve"> investments to improve the effectiveness and efficiency of delivery.  The Pacific </w:t>
      </w:r>
      <w:r w:rsidR="001502D6">
        <w:t>R</w:t>
      </w:r>
      <w:r w:rsidRPr="00171B90">
        <w:t xml:space="preserve">egional </w:t>
      </w:r>
      <w:r w:rsidR="001502D6">
        <w:t>P</w:t>
      </w:r>
      <w:r w:rsidRPr="00171B90">
        <w:t xml:space="preserve">rogram will also seek to improve its performance assessment framework to measure </w:t>
      </w:r>
      <w:r w:rsidR="00DD54C7" w:rsidRPr="00171B90">
        <w:t>more effectively</w:t>
      </w:r>
      <w:r w:rsidR="00DD54C7">
        <w:t>,</w:t>
      </w:r>
      <w:r w:rsidR="00DD54C7" w:rsidRPr="00171B90">
        <w:t xml:space="preserve"> </w:t>
      </w:r>
      <w:r w:rsidRPr="00171B90">
        <w:t xml:space="preserve">and </w:t>
      </w:r>
      <w:r w:rsidR="00DD54C7">
        <w:t xml:space="preserve">to </w:t>
      </w:r>
      <w:r w:rsidRPr="00171B90">
        <w:t>track program performance</w:t>
      </w:r>
      <w:r w:rsidR="003B5177">
        <w:t xml:space="preserve">, including performance on gender </w:t>
      </w:r>
      <w:r w:rsidR="004E37C6">
        <w:t xml:space="preserve">equality </w:t>
      </w:r>
      <w:r w:rsidR="003B5177">
        <w:t>and disability inclusion</w:t>
      </w:r>
      <w:r w:rsidRPr="00171B90">
        <w:t xml:space="preserve">.  </w:t>
      </w:r>
    </w:p>
    <w:p w14:paraId="47F1F618" w14:textId="77777777" w:rsidR="00C6626C" w:rsidRPr="00C61187" w:rsidRDefault="00D7713F" w:rsidP="00D7713F">
      <w:pPr>
        <w:pStyle w:val="ListBullet"/>
        <w:tabs>
          <w:tab w:val="clear" w:pos="284"/>
        </w:tabs>
        <w:spacing w:before="360" w:line="300" w:lineRule="exact"/>
        <w:rPr>
          <w:kern w:val="28"/>
        </w:rPr>
      </w:pPr>
      <w:r>
        <w:rPr>
          <w:rFonts w:asciiTheme="majorHAnsi" w:eastAsiaTheme="majorEastAsia" w:hAnsiTheme="majorHAnsi" w:cstheme="majorBidi"/>
          <w:caps/>
          <w:color w:val="495965" w:themeColor="text2"/>
          <w:sz w:val="38"/>
          <w:szCs w:val="26"/>
          <w:lang w:val="en-GB" w:eastAsia="en-US"/>
        </w:rPr>
        <w:lastRenderedPageBreak/>
        <w:t xml:space="preserve">Context </w:t>
      </w:r>
    </w:p>
    <w:p w14:paraId="287AD55B" w14:textId="7E5085F2" w:rsidR="0037597B" w:rsidRDefault="0031272C" w:rsidP="00475603">
      <w:r w:rsidRPr="00C00D3F">
        <w:rPr>
          <w:b/>
        </w:rPr>
        <w:t xml:space="preserve">The Pacific Regional Program is designed to complement efforts at the bilateral level to address </w:t>
      </w:r>
      <w:r w:rsidR="001B44F5">
        <w:rPr>
          <w:b/>
        </w:rPr>
        <w:t xml:space="preserve">a range of regional development and </w:t>
      </w:r>
      <w:r w:rsidRPr="00C00D3F">
        <w:rPr>
          <w:b/>
        </w:rPr>
        <w:t>economic growth challenge</w:t>
      </w:r>
      <w:r w:rsidR="001502D6">
        <w:rPr>
          <w:b/>
        </w:rPr>
        <w:t>s</w:t>
      </w:r>
      <w:r w:rsidRPr="00C00D3F">
        <w:rPr>
          <w:b/>
        </w:rPr>
        <w:t>.</w:t>
      </w:r>
      <w:r>
        <w:t xml:space="preserve"> </w:t>
      </w:r>
      <w:r w:rsidR="0037597B">
        <w:t xml:space="preserve">The four strategic objectives are </w:t>
      </w:r>
      <w:r>
        <w:t xml:space="preserve">economic growth, </w:t>
      </w:r>
      <w:r w:rsidR="0037597B">
        <w:t>effective</w:t>
      </w:r>
      <w:r>
        <w:t xml:space="preserve"> regional institutions, healthy and resilient communities</w:t>
      </w:r>
      <w:r w:rsidR="001B44F5">
        <w:t>;</w:t>
      </w:r>
      <w:r>
        <w:t xml:space="preserve"> and empower</w:t>
      </w:r>
      <w:r w:rsidR="0037597B">
        <w:t>ing</w:t>
      </w:r>
      <w:r>
        <w:t xml:space="preserve"> of women and girls. </w:t>
      </w:r>
      <w:r w:rsidR="0037597B">
        <w:t>These regional AIP objectives remain relevant to Pacific development, however there will be a need to refresh the regional aid investment architecture to better reflect Step</w:t>
      </w:r>
      <w:r w:rsidR="00A70F7C">
        <w:t>-</w:t>
      </w:r>
      <w:r w:rsidR="0037597B">
        <w:t>Up priorities (planned for late</w:t>
      </w:r>
      <w:r w:rsidR="00A70F7C">
        <w:t xml:space="preserve"> 2019</w:t>
      </w:r>
      <w:r w:rsidR="0037597B">
        <w:t xml:space="preserve">). </w:t>
      </w:r>
    </w:p>
    <w:p w14:paraId="0B57C759" w14:textId="2A60552D" w:rsidR="0058693A" w:rsidRDefault="0037597B" w:rsidP="0058693A">
      <w:r w:rsidRPr="00802AD4">
        <w:rPr>
          <w:rFonts w:ascii="Calibri Light" w:hAnsi="Calibri Light" w:cs="Calibri Light"/>
          <w:b/>
        </w:rPr>
        <w:t xml:space="preserve">Australia’s development cooperation with </w:t>
      </w:r>
      <w:r>
        <w:rPr>
          <w:rFonts w:ascii="Calibri Light" w:hAnsi="Calibri Light" w:cs="Calibri Light"/>
          <w:b/>
        </w:rPr>
        <w:t xml:space="preserve">the Pacific moved into a new phase as Australia stepped up its </w:t>
      </w:r>
      <w:r w:rsidR="009378B2">
        <w:rPr>
          <w:rFonts w:ascii="Calibri Light" w:hAnsi="Calibri Light" w:cs="Calibri Light"/>
          <w:b/>
        </w:rPr>
        <w:t>engagement</w:t>
      </w:r>
      <w:r w:rsidR="001B44F5">
        <w:rPr>
          <w:rFonts w:ascii="Calibri Light" w:hAnsi="Calibri Light" w:cs="Calibri Light"/>
          <w:b/>
        </w:rPr>
        <w:t xml:space="preserve"> across the board in the Pacific</w:t>
      </w:r>
      <w:r>
        <w:rPr>
          <w:rFonts w:ascii="Calibri Light" w:hAnsi="Calibri Light" w:cs="Calibri Light"/>
          <w:b/>
        </w:rPr>
        <w:t xml:space="preserve">. </w:t>
      </w:r>
      <w:r w:rsidR="001B44F5" w:rsidRPr="000B0E65">
        <w:rPr>
          <w:rFonts w:ascii="Calibri Light" w:hAnsi="Calibri Light" w:cs="Calibri Light"/>
        </w:rPr>
        <w:t>The</w:t>
      </w:r>
      <w:r w:rsidR="001B44F5">
        <w:rPr>
          <w:rFonts w:ascii="Calibri Light" w:hAnsi="Calibri Light" w:cs="Calibri Light"/>
          <w:b/>
        </w:rPr>
        <w:t xml:space="preserve"> </w:t>
      </w:r>
      <w:r w:rsidR="008269C9" w:rsidRPr="002C50DE">
        <w:rPr>
          <w:rFonts w:ascii="Calibri Light" w:hAnsi="Calibri Light" w:cs="Calibri Light"/>
        </w:rPr>
        <w:t xml:space="preserve">Step-up </w:t>
      </w:r>
      <w:r w:rsidR="006A3598">
        <w:rPr>
          <w:rFonts w:ascii="Calibri Light" w:hAnsi="Calibri Light" w:cs="Calibri Light"/>
        </w:rPr>
        <w:t>strengthen</w:t>
      </w:r>
      <w:r w:rsidR="001B44F5">
        <w:rPr>
          <w:rFonts w:ascii="Calibri Light" w:hAnsi="Calibri Light" w:cs="Calibri Light"/>
        </w:rPr>
        <w:t>s Australia’s</w:t>
      </w:r>
      <w:r w:rsidR="006A3598">
        <w:rPr>
          <w:rFonts w:ascii="Calibri Light" w:hAnsi="Calibri Light" w:cs="Calibri Light"/>
        </w:rPr>
        <w:t xml:space="preserve"> support for </w:t>
      </w:r>
      <w:r>
        <w:rPr>
          <w:rFonts w:ascii="Calibri Light" w:hAnsi="Calibri Light" w:cs="Calibri Light"/>
        </w:rPr>
        <w:t xml:space="preserve">infrastructure, labour mobility and expanded cooperation on regional security. </w:t>
      </w:r>
      <w:r w:rsidR="001B44F5">
        <w:rPr>
          <w:rFonts w:ascii="Calibri Light" w:hAnsi="Calibri Light" w:cs="Calibri Light"/>
        </w:rPr>
        <w:t xml:space="preserve">Under the Step-up, we have </w:t>
      </w:r>
      <w:r w:rsidR="008269C9">
        <w:rPr>
          <w:rFonts w:ascii="Calibri Light" w:hAnsi="Calibri Light" w:cs="Calibri Light"/>
        </w:rPr>
        <w:t xml:space="preserve">also </w:t>
      </w:r>
      <w:r w:rsidR="00B6515C">
        <w:rPr>
          <w:rFonts w:ascii="Calibri Light" w:hAnsi="Calibri Light" w:cs="Calibri Light"/>
        </w:rPr>
        <w:t xml:space="preserve">progressed </w:t>
      </w:r>
      <w:r>
        <w:rPr>
          <w:rFonts w:ascii="Calibri Light" w:hAnsi="Calibri Light" w:cs="Calibri Light"/>
        </w:rPr>
        <w:t>n</w:t>
      </w:r>
      <w:r w:rsidRPr="00802AD4">
        <w:rPr>
          <w:rFonts w:ascii="Calibri Light" w:hAnsi="Calibri Light" w:cs="Calibri Light"/>
        </w:rPr>
        <w:t>ew partnerships on sports</w:t>
      </w:r>
      <w:r w:rsidR="001B44F5">
        <w:rPr>
          <w:rFonts w:ascii="Calibri Light" w:hAnsi="Calibri Light" w:cs="Calibri Light"/>
        </w:rPr>
        <w:t xml:space="preserve">, </w:t>
      </w:r>
      <w:r w:rsidRPr="00802AD4">
        <w:rPr>
          <w:rFonts w:ascii="Calibri Light" w:hAnsi="Calibri Light" w:cs="Calibri Light"/>
        </w:rPr>
        <w:t>churches</w:t>
      </w:r>
      <w:r w:rsidR="001B44F5">
        <w:rPr>
          <w:rFonts w:ascii="Calibri Light" w:hAnsi="Calibri Light" w:cs="Calibri Light"/>
        </w:rPr>
        <w:t xml:space="preserve"> </w:t>
      </w:r>
      <w:r w:rsidR="001B44F5" w:rsidRPr="00C9150B">
        <w:rPr>
          <w:rFonts w:ascii="Calibri Light" w:hAnsi="Calibri Light" w:cs="Calibri Light"/>
        </w:rPr>
        <w:t xml:space="preserve">and </w:t>
      </w:r>
      <w:r w:rsidR="001B44F5" w:rsidRPr="000B0E65">
        <w:rPr>
          <w:rFonts w:ascii="Calibri Light" w:hAnsi="Calibri Light" w:cs="Calibri Light"/>
        </w:rPr>
        <w:t>secondary scholarships</w:t>
      </w:r>
      <w:r>
        <w:rPr>
          <w:rFonts w:ascii="Calibri Light" w:hAnsi="Calibri Light" w:cs="Calibri Light"/>
        </w:rPr>
        <w:t xml:space="preserve">, deepening our </w:t>
      </w:r>
      <w:r w:rsidR="001B44F5">
        <w:rPr>
          <w:rFonts w:ascii="Calibri Light" w:hAnsi="Calibri Light" w:cs="Calibri Light"/>
        </w:rPr>
        <w:t xml:space="preserve">community-level </w:t>
      </w:r>
      <w:r>
        <w:rPr>
          <w:rFonts w:ascii="Calibri Light" w:hAnsi="Calibri Light" w:cs="Calibri Light"/>
        </w:rPr>
        <w:t xml:space="preserve">connections. </w:t>
      </w:r>
      <w:r w:rsidR="00B930CB">
        <w:t xml:space="preserve"> </w:t>
      </w:r>
    </w:p>
    <w:p w14:paraId="00741360" w14:textId="5C4874A1" w:rsidR="00C00D3F" w:rsidRPr="00EF6FCB" w:rsidRDefault="00C00D3F" w:rsidP="00E13FAA">
      <w:r w:rsidRPr="00C00D3F">
        <w:rPr>
          <w:b/>
        </w:rPr>
        <w:t xml:space="preserve">Pacific regional organisations </w:t>
      </w:r>
      <w:r w:rsidRPr="00EF6FCB">
        <w:rPr>
          <w:b/>
        </w:rPr>
        <w:t>remain an essential partner</w:t>
      </w:r>
      <w:r w:rsidRPr="00C00D3F">
        <w:rPr>
          <w:b/>
        </w:rPr>
        <w:t xml:space="preserve"> for achieving a stable, secure and prosperous region.</w:t>
      </w:r>
      <w:r w:rsidRPr="00EF6FCB">
        <w:t xml:space="preserve"> Australia is a founding member of, and </w:t>
      </w:r>
      <w:r w:rsidR="001B44F5">
        <w:t xml:space="preserve">a major </w:t>
      </w:r>
      <w:r w:rsidR="006A3598">
        <w:t>contributor of funds to</w:t>
      </w:r>
      <w:r w:rsidRPr="00EF6FCB">
        <w:t xml:space="preserve">, the main regional organisations – the Pacific Islands Forum (PIF), the Pacific Community (SPC), the Forum Fisheries Agency (FFA), the Secretariat of the Pacific Regional Environment Programme (SPREP) and the University of the South Pacific (USP). These organisations bring unique expertise, skills and specialist services that supplement Pacific island </w:t>
      </w:r>
      <w:r w:rsidRPr="00C9150B">
        <w:t>countries o</w:t>
      </w:r>
      <w:r w:rsidRPr="00EF6FCB">
        <w:t xml:space="preserve">wn efforts. Regional organisations also promote shared approaches to addressing </w:t>
      </w:r>
      <w:r w:rsidR="00A70F7C">
        <w:t xml:space="preserve">cross-border </w:t>
      </w:r>
      <w:r w:rsidRPr="00EF6FCB">
        <w:t xml:space="preserve">challenges </w:t>
      </w:r>
      <w:r w:rsidR="00A70F7C">
        <w:t xml:space="preserve">in </w:t>
      </w:r>
      <w:r w:rsidRPr="00EF6FCB">
        <w:t>our region including climate change, oceans management and governance, sustainable fisheries, environment and regional security.</w:t>
      </w:r>
    </w:p>
    <w:p w14:paraId="0017F410" w14:textId="6134DFF6" w:rsidR="00810459" w:rsidRPr="0063700C" w:rsidRDefault="00810459" w:rsidP="0063700C">
      <w:r w:rsidRPr="0063700C">
        <w:rPr>
          <w:b/>
        </w:rPr>
        <w:t>Multilateral partners – including development banks and organisations –</w:t>
      </w:r>
      <w:r w:rsidR="003A23F3">
        <w:rPr>
          <w:b/>
        </w:rPr>
        <w:t xml:space="preserve"> </w:t>
      </w:r>
      <w:r w:rsidRPr="0063700C">
        <w:rPr>
          <w:b/>
        </w:rPr>
        <w:t xml:space="preserve">play an important role in bringing large-scale finance and expertise to the region. </w:t>
      </w:r>
      <w:r w:rsidRPr="0063700C">
        <w:t xml:space="preserve">Both the World Bank and </w:t>
      </w:r>
      <w:r w:rsidR="00A70F7C">
        <w:t xml:space="preserve">the </w:t>
      </w:r>
      <w:r w:rsidRPr="0063700C">
        <w:t xml:space="preserve">Asian Development Bank </w:t>
      </w:r>
      <w:r w:rsidR="00A70F7C">
        <w:t xml:space="preserve">(ADB) </w:t>
      </w:r>
      <w:r w:rsidRPr="0063700C">
        <w:t>have large and growing portfolios in the region (USD1.1 billion and USD3.2 billion projected respectively by 2020), and are key partners on important policy priorities, such as debt management and building financial management capacity.</w:t>
      </w:r>
      <w:r w:rsidR="00A70F7C">
        <w:t xml:space="preserve"> </w:t>
      </w:r>
      <w:r w:rsidR="00FA4679" w:rsidRPr="0063700C">
        <w:t xml:space="preserve">The ADB has been scaling-up its presence in the Pacific. It aims to have offices in all 15 ADB member Pacific countries (except Niue) by the end of 2020. </w:t>
      </w:r>
    </w:p>
    <w:p w14:paraId="31FAC768" w14:textId="01993987" w:rsidR="00E13FAA" w:rsidRPr="00692BA0" w:rsidRDefault="00E13FAA" w:rsidP="00E13FAA">
      <w:pPr>
        <w:rPr>
          <w:color w:val="auto"/>
          <w:lang w:val="en-AU"/>
        </w:rPr>
      </w:pPr>
      <w:r w:rsidRPr="002C50DE">
        <w:rPr>
          <w:b/>
        </w:rPr>
        <w:t xml:space="preserve">Economic development </w:t>
      </w:r>
      <w:r w:rsidR="00604814" w:rsidRPr="002C50DE">
        <w:rPr>
          <w:b/>
        </w:rPr>
        <w:t>remains a challenge</w:t>
      </w:r>
      <w:r w:rsidR="00604814">
        <w:t xml:space="preserve">. </w:t>
      </w:r>
      <w:r w:rsidR="00B34BD9">
        <w:t>ADB estimates show g</w:t>
      </w:r>
      <w:r>
        <w:t>rowth from the region slow</w:t>
      </w:r>
      <w:r w:rsidR="00604814">
        <w:t>ed</w:t>
      </w:r>
      <w:r>
        <w:t xml:space="preserve"> to 1 per cent</w:t>
      </w:r>
      <w:r w:rsidR="005C61ED">
        <w:t xml:space="preserve"> over 2018</w:t>
      </w:r>
      <w:r>
        <w:t>, from 3 per cent in 2017</w:t>
      </w:r>
      <w:r w:rsidR="00B34BD9">
        <w:t xml:space="preserve">, </w:t>
      </w:r>
      <w:r w:rsidR="00B34BD9" w:rsidRPr="000B0E65">
        <w:t>in line with decelerating global economic growth</w:t>
      </w:r>
      <w:r w:rsidR="00B34BD9">
        <w:rPr>
          <w:rStyle w:val="FootnoteReference"/>
          <w:color w:val="1F497D"/>
        </w:rPr>
        <w:footnoteReference w:id="1"/>
      </w:r>
      <w:r>
        <w:t>. Remoteness, weak institutions,</w:t>
      </w:r>
      <w:r w:rsidRPr="00E13FAA">
        <w:t xml:space="preserve"> narrow producti</w:t>
      </w:r>
      <w:r>
        <w:t>on bases and limited pro</w:t>
      </w:r>
      <w:r w:rsidRPr="00E13FAA">
        <w:t>s</w:t>
      </w:r>
      <w:r>
        <w:t>p</w:t>
      </w:r>
      <w:r w:rsidRPr="00E13FAA">
        <w:t xml:space="preserve">ects for future diversification </w:t>
      </w:r>
      <w:r w:rsidR="006A3598">
        <w:t>remain</w:t>
      </w:r>
      <w:r>
        <w:t xml:space="preserve"> </w:t>
      </w:r>
      <w:r w:rsidRPr="00E13FAA">
        <w:t>key constraints</w:t>
      </w:r>
      <w:r>
        <w:t xml:space="preserve"> to </w:t>
      </w:r>
      <w:r w:rsidR="00AC67A0">
        <w:t xml:space="preserve">sustainable </w:t>
      </w:r>
      <w:r>
        <w:t>economic growth</w:t>
      </w:r>
      <w:r w:rsidRPr="00C9150B">
        <w:t xml:space="preserve">. Regional economic integration </w:t>
      </w:r>
      <w:r w:rsidR="005C61ED" w:rsidRPr="00C9150B">
        <w:t>is also limited</w:t>
      </w:r>
      <w:r w:rsidR="009A5A28" w:rsidRPr="000B0E65">
        <w:t>,</w:t>
      </w:r>
      <w:r w:rsidR="005C61ED" w:rsidRPr="00C9150B">
        <w:t xml:space="preserve"> with good</w:t>
      </w:r>
      <w:r w:rsidR="00AC67A0" w:rsidRPr="00C9150B">
        <w:t>s</w:t>
      </w:r>
      <w:r w:rsidR="005C61ED" w:rsidRPr="00C9150B">
        <w:t xml:space="preserve"> and services t</w:t>
      </w:r>
      <w:r w:rsidRPr="00C9150B">
        <w:t>r</w:t>
      </w:r>
      <w:r w:rsidR="005C61ED" w:rsidRPr="009A5A28">
        <w:t>a</w:t>
      </w:r>
      <w:r w:rsidRPr="009A5A28">
        <w:t xml:space="preserve">de between Australia and </w:t>
      </w:r>
      <w:r w:rsidR="009A5A28">
        <w:t>Pacific island countries, and among Pacific island countries, small</w:t>
      </w:r>
      <w:r w:rsidR="009A5A28">
        <w:rPr>
          <w:rStyle w:val="FootnoteReference"/>
        </w:rPr>
        <w:footnoteReference w:id="2"/>
      </w:r>
      <w:r w:rsidR="009A5A28">
        <w:t>. Designed to help address this modest trade, t</w:t>
      </w:r>
      <w:r w:rsidR="009A5A28" w:rsidRPr="00532CA3">
        <w:t xml:space="preserve">he Pacific Agreement on Closer Economic Relations Plus </w:t>
      </w:r>
      <w:r w:rsidR="009A5A28">
        <w:t xml:space="preserve">(PACER Plus) has been developed. This </w:t>
      </w:r>
      <w:r w:rsidR="009A5A28" w:rsidRPr="00532CA3">
        <w:t>regional development-centred trade agreement</w:t>
      </w:r>
      <w:r w:rsidR="009A5A28">
        <w:t xml:space="preserve"> will support increased trade and investment between Australia and New Zealand and Pacific island countries</w:t>
      </w:r>
      <w:r w:rsidR="009A5A28">
        <w:rPr>
          <w:rStyle w:val="FootnoteReference"/>
        </w:rPr>
        <w:footnoteReference w:id="3"/>
      </w:r>
      <w:r w:rsidR="009A5A28" w:rsidRPr="00532CA3">
        <w:t>.</w:t>
      </w:r>
    </w:p>
    <w:p w14:paraId="7CC0AB97" w14:textId="7D3BB653" w:rsidR="004E37C6" w:rsidRPr="0063700C" w:rsidRDefault="004E37C6" w:rsidP="00E13FAA">
      <w:r>
        <w:rPr>
          <w:b/>
        </w:rPr>
        <w:t>Education and skills</w:t>
      </w:r>
      <w:r w:rsidRPr="00350B20">
        <w:rPr>
          <w:b/>
        </w:rPr>
        <w:t xml:space="preserve"> underpin economic development</w:t>
      </w:r>
      <w:r w:rsidR="0063700C">
        <w:rPr>
          <w:b/>
        </w:rPr>
        <w:t>.</w:t>
      </w:r>
      <w:r w:rsidR="00B86089">
        <w:rPr>
          <w:b/>
        </w:rPr>
        <w:t xml:space="preserve"> </w:t>
      </w:r>
      <w:r w:rsidRPr="00754EC3">
        <w:t>Around half of all Year 4 students and a third of all Year 6 students across 15 Pacific Islands are not meeting expected literacy standards</w:t>
      </w:r>
      <w:r w:rsidR="00DC445E">
        <w:rPr>
          <w:rStyle w:val="FootnoteReference"/>
        </w:rPr>
        <w:footnoteReference w:id="4"/>
      </w:r>
      <w:r w:rsidRPr="00754EC3">
        <w:t xml:space="preserve">. Boys lag behind girls in both literacy and numeracy. </w:t>
      </w:r>
      <w:r w:rsidR="0063700C">
        <w:t xml:space="preserve">Pacific </w:t>
      </w:r>
      <w:r w:rsidRPr="00754EC3">
        <w:t>employers report</w:t>
      </w:r>
      <w:r>
        <w:t xml:space="preserve"> that an</w:t>
      </w:r>
      <w:r w:rsidRPr="00754EC3">
        <w:t xml:space="preserve"> inadequately trained workfo</w:t>
      </w:r>
      <w:r>
        <w:t>rce i</w:t>
      </w:r>
      <w:r w:rsidRPr="00754EC3">
        <w:t>s a major constraint to operations. School education systems are essential to ensure Pacific Islanders can take advantage of tertiary (including vocational), employment and labour mobility pathways.</w:t>
      </w:r>
    </w:p>
    <w:p w14:paraId="0683CC8A" w14:textId="6397E950" w:rsidR="00E13FAA" w:rsidRDefault="00E13FAA" w:rsidP="00E13FAA">
      <w:r w:rsidRPr="00C00D3F">
        <w:rPr>
          <w:b/>
        </w:rPr>
        <w:t>The Pacific region’s susceptibility to natural disasters continued in 2018-19</w:t>
      </w:r>
      <w:r w:rsidR="00A50580">
        <w:rPr>
          <w:b/>
        </w:rPr>
        <w:t>.</w:t>
      </w:r>
      <w:r>
        <w:t xml:space="preserve"> </w:t>
      </w:r>
      <w:r w:rsidR="00A50580">
        <w:t>S</w:t>
      </w:r>
      <w:r w:rsidR="008C5D29">
        <w:t xml:space="preserve">everal Pacific countries experienced </w:t>
      </w:r>
      <w:r>
        <w:t>seismic activity and volcanic eruptions, and tropical cyclones</w:t>
      </w:r>
      <w:r w:rsidR="008C5D29">
        <w:t xml:space="preserve"> occurred</w:t>
      </w:r>
      <w:r>
        <w:t xml:space="preserve"> across the region. Climatic changes, such as reduced rainfall and shifting seasonal patterns, have exacerbated existing developmental challenges </w:t>
      </w:r>
      <w:r w:rsidR="00A50580">
        <w:t xml:space="preserve">including </w:t>
      </w:r>
      <w:r>
        <w:t xml:space="preserve">food and water security. </w:t>
      </w:r>
    </w:p>
    <w:p w14:paraId="094A6BA1" w14:textId="77777777" w:rsidR="009A5A28" w:rsidRDefault="009A5A28" w:rsidP="00E13FAA"/>
    <w:p w14:paraId="070FBA63" w14:textId="53977AD7" w:rsidR="00B27F37" w:rsidRPr="00B27F37" w:rsidRDefault="00D801AC" w:rsidP="00B27F37">
      <w:r w:rsidRPr="00C00D3F">
        <w:rPr>
          <w:b/>
          <w:lang w:val="en-US"/>
        </w:rPr>
        <w:t xml:space="preserve">Pacific women and girls continue to face challenges </w:t>
      </w:r>
      <w:r w:rsidR="00516767" w:rsidRPr="00C00D3F">
        <w:rPr>
          <w:b/>
          <w:lang w:val="en-US"/>
        </w:rPr>
        <w:t xml:space="preserve">identified in </w:t>
      </w:r>
      <w:r w:rsidRPr="00C00D3F">
        <w:rPr>
          <w:b/>
          <w:lang w:val="en-US"/>
        </w:rPr>
        <w:t>previous reporting periods. Up to 60 per cent of women and girls have experienced violence at the hands of partners or family members.</w:t>
      </w:r>
      <w:r>
        <w:rPr>
          <w:lang w:val="en-US"/>
        </w:rPr>
        <w:t xml:space="preserve"> </w:t>
      </w:r>
      <w:r w:rsidR="008C5D29">
        <w:rPr>
          <w:lang w:val="en-US"/>
        </w:rPr>
        <w:t>T</w:t>
      </w:r>
      <w:r>
        <w:rPr>
          <w:lang w:val="en-US"/>
        </w:rPr>
        <w:t xml:space="preserve">he Inter-Parliamentary Union reports that globally women comprise </w:t>
      </w:r>
      <w:r w:rsidR="00B27F37">
        <w:rPr>
          <w:lang w:val="en-US"/>
        </w:rPr>
        <w:t xml:space="preserve">24.1 </w:t>
      </w:r>
      <w:r>
        <w:rPr>
          <w:lang w:val="en-US"/>
        </w:rPr>
        <w:t>per cent of national parliamentarians (wo</w:t>
      </w:r>
      <w:r w:rsidR="005C61ED">
        <w:rPr>
          <w:lang w:val="en-US"/>
        </w:rPr>
        <w:t xml:space="preserve">rld average as at </w:t>
      </w:r>
      <w:r w:rsidR="00B27F37">
        <w:rPr>
          <w:lang w:val="en-US"/>
        </w:rPr>
        <w:t>December 2018</w:t>
      </w:r>
      <w:r w:rsidR="005C61ED">
        <w:rPr>
          <w:lang w:val="en-US"/>
        </w:rPr>
        <w:t>)</w:t>
      </w:r>
      <w:r>
        <w:rPr>
          <w:lang w:val="en-US"/>
        </w:rPr>
        <w:t xml:space="preserve"> </w:t>
      </w:r>
      <w:r w:rsidR="008C5D29">
        <w:rPr>
          <w:lang w:val="en-US"/>
        </w:rPr>
        <w:t xml:space="preserve">but that </w:t>
      </w:r>
      <w:r>
        <w:rPr>
          <w:lang w:val="en-US"/>
        </w:rPr>
        <w:t xml:space="preserve">the percentage of women in Pacific parliaments is around </w:t>
      </w:r>
      <w:r w:rsidR="00B27F37">
        <w:rPr>
          <w:lang w:val="en-US"/>
        </w:rPr>
        <w:t>7</w:t>
      </w:r>
      <w:r>
        <w:rPr>
          <w:lang w:val="en-US"/>
        </w:rPr>
        <w:t xml:space="preserve">.9 per cent. </w:t>
      </w:r>
      <w:r w:rsidR="00B27F37" w:rsidRPr="00B27F37">
        <w:rPr>
          <w:lang w:val="en-US"/>
        </w:rPr>
        <w:t>There is a gender gap in labour force participation (formal and informal sectors) i</w:t>
      </w:r>
      <w:r w:rsidR="003B5177">
        <w:rPr>
          <w:lang w:val="en-US"/>
        </w:rPr>
        <w:t xml:space="preserve">n most Pacific countries. </w:t>
      </w:r>
      <w:r w:rsidR="00B27F37" w:rsidRPr="00B27F37">
        <w:rPr>
          <w:lang w:val="en-US"/>
        </w:rPr>
        <w:t xml:space="preserve">In general, </w:t>
      </w:r>
      <w:r w:rsidR="00B27F37" w:rsidRPr="00B27F37">
        <w:t xml:space="preserve">women are less likely to be in paid jobs than men, and are still under-represented in non-agriculture waged employment.  </w:t>
      </w:r>
    </w:p>
    <w:p w14:paraId="016E129A" w14:textId="50ECC204" w:rsidR="00D801AC" w:rsidRDefault="00A50580" w:rsidP="00B27F37">
      <w:r>
        <w:t xml:space="preserve">Australia, through our aid program, </w:t>
      </w:r>
      <w:r w:rsidR="00B27F37" w:rsidRPr="00B27F37">
        <w:t xml:space="preserve">pursues a twin-track approach to gender equality; </w:t>
      </w:r>
      <w:r>
        <w:t xml:space="preserve">we </w:t>
      </w:r>
      <w:r w:rsidR="00B27F37" w:rsidRPr="00B27F37">
        <w:t xml:space="preserve">mainstream gender equality considerations in bilateral and regional programs and </w:t>
      </w:r>
      <w:r>
        <w:t xml:space="preserve">we </w:t>
      </w:r>
      <w:r w:rsidR="00B27F37" w:rsidRPr="00B27F37">
        <w:t xml:space="preserve">provide targeted programming through </w:t>
      </w:r>
      <w:r w:rsidR="00B27F37" w:rsidRPr="000B0E65">
        <w:rPr>
          <w:i/>
        </w:rPr>
        <w:t>Pacific Women Shaping Pacific Development</w:t>
      </w:r>
      <w:r w:rsidR="00B27F37" w:rsidRPr="00B27F37">
        <w:t xml:space="preserve"> (</w:t>
      </w:r>
      <w:r w:rsidR="00B27F37" w:rsidRPr="00B27F37">
        <w:rPr>
          <w:i/>
        </w:rPr>
        <w:t xml:space="preserve">Pacific Women, </w:t>
      </w:r>
      <w:r w:rsidR="00B27F37" w:rsidRPr="00B27F37">
        <w:t>Objective 4) to shift entrenched gender inequalities.</w:t>
      </w:r>
    </w:p>
    <w:p w14:paraId="76CC5EFB" w14:textId="25DC002D" w:rsidR="001B48BE" w:rsidRDefault="001B48BE" w:rsidP="00B27F37">
      <w:pPr>
        <w:rPr>
          <w:lang w:val="en-US"/>
        </w:rPr>
      </w:pPr>
      <w:r w:rsidRPr="001B48BE">
        <w:rPr>
          <w:b/>
          <w:lang w:val="en-US"/>
        </w:rPr>
        <w:t xml:space="preserve">In the Pacific Region, an estimated 1.7 million people have a disability, with many more experiencing </w:t>
      </w:r>
      <w:r>
        <w:rPr>
          <w:b/>
          <w:lang w:val="en-US"/>
        </w:rPr>
        <w:t xml:space="preserve">serious </w:t>
      </w:r>
      <w:r w:rsidRPr="001B48BE">
        <w:rPr>
          <w:b/>
          <w:lang w:val="en-US"/>
        </w:rPr>
        <w:t>health conditions.</w:t>
      </w:r>
      <w:r w:rsidRPr="001B48BE">
        <w:rPr>
          <w:lang w:val="en-US"/>
        </w:rPr>
        <w:t xml:space="preserve"> Most Pacific Island countries have ratified the UN Convention on the Rights of Persons with Disabilities (CRPD). Australia’s disability-inclusion strategy, </w:t>
      </w:r>
      <w:r w:rsidRPr="00B10ED4">
        <w:rPr>
          <w:i/>
          <w:lang w:val="en-US"/>
        </w:rPr>
        <w:t>Development for All 2015-2020</w:t>
      </w:r>
      <w:r w:rsidRPr="001B48BE">
        <w:rPr>
          <w:lang w:val="en-US"/>
        </w:rPr>
        <w:t xml:space="preserve">, commits us to strengthening disability-inclusive development in Australia’s development program. Central to Australia’s approach to disability inclusion is supporting </w:t>
      </w:r>
      <w:r w:rsidR="00B10ED4">
        <w:rPr>
          <w:lang w:val="en-US"/>
        </w:rPr>
        <w:t>Disability Peoples’ Organisations (</w:t>
      </w:r>
      <w:r w:rsidRPr="001B48BE">
        <w:rPr>
          <w:lang w:val="en-US"/>
        </w:rPr>
        <w:t>DPOs</w:t>
      </w:r>
      <w:r w:rsidR="00B10ED4">
        <w:rPr>
          <w:lang w:val="en-US"/>
        </w:rPr>
        <w:t>)</w:t>
      </w:r>
      <w:r w:rsidRPr="001B48BE">
        <w:rPr>
          <w:lang w:val="en-US"/>
        </w:rPr>
        <w:t xml:space="preserve"> in developing countries to build their capacity. In the Pacific region, Australia has partnered with the Pacific Disability Forum since 2009 to support ratification and implementation of the CRPD</w:t>
      </w:r>
      <w:r>
        <w:rPr>
          <w:lang w:val="en-US"/>
        </w:rPr>
        <w:t>.</w:t>
      </w:r>
    </w:p>
    <w:p w14:paraId="1964B681" w14:textId="61D67F1B" w:rsidR="00946019" w:rsidRDefault="00946019" w:rsidP="00946019">
      <w:pPr>
        <w:rPr>
          <w:rFonts w:ascii="Times New Roman" w:hAnsi="Times New Roman" w:cs="Times New Roman"/>
          <w:color w:val="auto"/>
          <w:sz w:val="24"/>
          <w:szCs w:val="24"/>
          <w:lang w:val="en-AU" w:eastAsia="en-AU"/>
        </w:rPr>
      </w:pPr>
      <w:r w:rsidRPr="00293023">
        <w:rPr>
          <w:b/>
        </w:rPr>
        <w:t>Australia is the region’s largest donor.</w:t>
      </w:r>
      <w:r>
        <w:t xml:space="preserve"> In 2018-19, Australia provided an estimated </w:t>
      </w:r>
      <w:r w:rsidR="003A23F3">
        <w:t>AUD</w:t>
      </w:r>
      <w:r w:rsidR="00DC5E14">
        <w:t xml:space="preserve">1.3 billion in Official Development Assistance (ODA) to the Pacific, of which </w:t>
      </w:r>
      <w:r w:rsidR="003A23F3">
        <w:t>AUD</w:t>
      </w:r>
      <w:r>
        <w:t xml:space="preserve">278.6 million </w:t>
      </w:r>
      <w:r w:rsidR="00DC5E14">
        <w:t xml:space="preserve">was </w:t>
      </w:r>
      <w:r w:rsidR="008816CC">
        <w:t xml:space="preserve">through </w:t>
      </w:r>
      <w:r w:rsidRPr="00293023">
        <w:t xml:space="preserve">Pacific </w:t>
      </w:r>
      <w:r w:rsidR="00012056">
        <w:t>region</w:t>
      </w:r>
      <w:r w:rsidR="008816CC">
        <w:t xml:space="preserve">al </w:t>
      </w:r>
      <w:r w:rsidR="00445EB8">
        <w:t xml:space="preserve">expenditure - </w:t>
      </w:r>
      <w:r>
        <w:t xml:space="preserve">a marked increased from </w:t>
      </w:r>
      <w:r w:rsidR="003A23F3">
        <w:t>AUD</w:t>
      </w:r>
      <w:r w:rsidR="001C7F1A" w:rsidRPr="001C7F1A">
        <w:t>130.7</w:t>
      </w:r>
      <w:r w:rsidR="001C7F1A">
        <w:t xml:space="preserve"> </w:t>
      </w:r>
      <w:r>
        <w:t>million in 2017-18. Th</w:t>
      </w:r>
      <w:r w:rsidR="00445EB8">
        <w:t>is</w:t>
      </w:r>
      <w:r w:rsidR="00DC5E14">
        <w:t xml:space="preserve"> </w:t>
      </w:r>
      <w:r>
        <w:t xml:space="preserve">reflects an </w:t>
      </w:r>
      <w:r w:rsidR="00445EB8">
        <w:t xml:space="preserve">increase of </w:t>
      </w:r>
      <w:r w:rsidR="003A23F3">
        <w:t>AUD</w:t>
      </w:r>
      <w:r w:rsidR="00030366" w:rsidRPr="00030366">
        <w:t>84.2</w:t>
      </w:r>
      <w:r w:rsidR="003A23F3">
        <w:t> </w:t>
      </w:r>
      <w:r w:rsidRPr="00293023">
        <w:t>million</w:t>
      </w:r>
      <w:r>
        <w:t xml:space="preserve"> </w:t>
      </w:r>
      <w:r w:rsidR="00445EB8">
        <w:t xml:space="preserve">attributable to the </w:t>
      </w:r>
      <w:r>
        <w:t xml:space="preserve">Pacific </w:t>
      </w:r>
      <w:r w:rsidR="00012056">
        <w:t>Regional P</w:t>
      </w:r>
      <w:r>
        <w:t xml:space="preserve">rogram, largely </w:t>
      </w:r>
      <w:r w:rsidR="00445EB8">
        <w:t xml:space="preserve">related </w:t>
      </w:r>
      <w:r>
        <w:t>to the commencement of several Step</w:t>
      </w:r>
      <w:r w:rsidR="00855A3D">
        <w:t>-</w:t>
      </w:r>
      <w:r w:rsidR="00445EB8">
        <w:t>u</w:t>
      </w:r>
      <w:r>
        <w:t xml:space="preserve">p activities. </w:t>
      </w:r>
      <w:r w:rsidR="00012056">
        <w:t>In addition, t</w:t>
      </w:r>
      <w:r>
        <w:t xml:space="preserve">here </w:t>
      </w:r>
      <w:r w:rsidR="00445EB8">
        <w:t>was</w:t>
      </w:r>
      <w:r w:rsidR="00012056">
        <w:t xml:space="preserve"> an estimated </w:t>
      </w:r>
      <w:r>
        <w:t xml:space="preserve">increase of </w:t>
      </w:r>
      <w:r w:rsidR="003A23F3">
        <w:t>AUD</w:t>
      </w:r>
      <w:r w:rsidR="001C7F1A">
        <w:t>63.6</w:t>
      </w:r>
      <w:r w:rsidR="00DC5E14">
        <w:t> </w:t>
      </w:r>
      <w:r w:rsidR="00012056">
        <w:t>million attributable</w:t>
      </w:r>
      <w:r w:rsidRPr="00293023">
        <w:t xml:space="preserve"> to </w:t>
      </w:r>
      <w:r w:rsidR="00033AB2">
        <w:t xml:space="preserve">the </w:t>
      </w:r>
      <w:r w:rsidR="00030366">
        <w:t xml:space="preserve">Pacific </w:t>
      </w:r>
      <w:r w:rsidR="00033AB2">
        <w:t xml:space="preserve">region </w:t>
      </w:r>
      <w:r w:rsidR="00030366">
        <w:t xml:space="preserve">under </w:t>
      </w:r>
      <w:r w:rsidRPr="00293023">
        <w:t>other DFAT regional and global programs</w:t>
      </w:r>
      <w:r w:rsidR="00033AB2">
        <w:t>,</w:t>
      </w:r>
      <w:r w:rsidRPr="00293023">
        <w:t xml:space="preserve"> </w:t>
      </w:r>
      <w:r w:rsidR="00033AB2">
        <w:t xml:space="preserve">as well as </w:t>
      </w:r>
      <w:r w:rsidRPr="00293023">
        <w:t xml:space="preserve">ODA expenditure by other Government </w:t>
      </w:r>
      <w:r w:rsidR="00855A3D">
        <w:t>d</w:t>
      </w:r>
      <w:r w:rsidRPr="00293023">
        <w:t>epartments</w:t>
      </w:r>
      <w:r w:rsidR="00033AB2">
        <w:t xml:space="preserve"> </w:t>
      </w:r>
      <w:r w:rsidR="00033AB2" w:rsidRPr="00033AB2">
        <w:t>as part of the whole of government Pacific Step-</w:t>
      </w:r>
      <w:r w:rsidR="00445EB8">
        <w:t>u</w:t>
      </w:r>
      <w:r w:rsidR="00033AB2" w:rsidRPr="00033AB2">
        <w:t>p</w:t>
      </w:r>
      <w:r w:rsidRPr="00293023">
        <w:t xml:space="preserve"> (see Expenditu</w:t>
      </w:r>
      <w:r>
        <w:t>re Table</w:t>
      </w:r>
      <w:r w:rsidR="00033AB2">
        <w:t xml:space="preserve"> below</w:t>
      </w:r>
      <w:r>
        <w:t>).</w:t>
      </w:r>
      <w:r>
        <w:rPr>
          <w:rFonts w:ascii="Times New Roman" w:hAnsi="Times New Roman" w:cs="Times New Roman"/>
          <w:sz w:val="24"/>
          <w:szCs w:val="24"/>
          <w:lang w:eastAsia="en-AU"/>
        </w:rPr>
        <w:t xml:space="preserve"> </w:t>
      </w:r>
      <w:r w:rsidR="00030366">
        <w:rPr>
          <w:rFonts w:ascii="Times New Roman" w:hAnsi="Times New Roman" w:cs="Times New Roman"/>
          <w:sz w:val="24"/>
          <w:szCs w:val="24"/>
          <w:lang w:eastAsia="en-AU"/>
        </w:rPr>
        <w:t xml:space="preserve"> </w:t>
      </w:r>
    </w:p>
    <w:p w14:paraId="47BA207F" w14:textId="77777777" w:rsidR="00C6626C" w:rsidRPr="002A51CA" w:rsidRDefault="00946019" w:rsidP="00946019">
      <w:pPr>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 xml:space="preserve"> </w:t>
      </w:r>
      <w:r w:rsidR="004E666F">
        <w:rPr>
          <w:rFonts w:asciiTheme="majorHAnsi" w:eastAsiaTheme="majorEastAsia" w:hAnsiTheme="majorHAnsi" w:cstheme="majorBidi"/>
          <w:caps/>
          <w:sz w:val="38"/>
          <w:szCs w:val="26"/>
        </w:rPr>
        <w:br w:type="page"/>
      </w:r>
      <w:r w:rsidR="00C6626C" w:rsidRPr="002A51CA">
        <w:rPr>
          <w:rFonts w:asciiTheme="majorHAnsi" w:eastAsiaTheme="majorEastAsia" w:hAnsiTheme="majorHAnsi" w:cstheme="majorBidi"/>
          <w:caps/>
          <w:sz w:val="38"/>
          <w:szCs w:val="26"/>
        </w:rPr>
        <w:t>Expenditure</w:t>
      </w:r>
    </w:p>
    <w:p w14:paraId="4A7D735D" w14:textId="7CD72737" w:rsidR="00117FC0" w:rsidRPr="00AB35FF" w:rsidRDefault="00117FC0" w:rsidP="00117FC0">
      <w:r>
        <w:t>Estimated ODA attributed to Pacific Regional</w:t>
      </w:r>
      <w:r>
        <w:rPr>
          <w:rStyle w:val="FootnoteReference"/>
        </w:rPr>
        <w:footnoteReference w:id="5"/>
      </w:r>
      <w:r>
        <w:t xml:space="preserve"> </w:t>
      </w:r>
      <w:r w:rsidRPr="00AB35FF">
        <w:t xml:space="preserve">was </w:t>
      </w:r>
      <w:r w:rsidR="003A23F3">
        <w:t>AUD</w:t>
      </w:r>
      <w:r>
        <w:t>278.6 million in 2018</w:t>
      </w:r>
      <w:r w:rsidRPr="00AB35FF">
        <w:t>-</w:t>
      </w:r>
      <w:r>
        <w:t>19.</w:t>
      </w:r>
    </w:p>
    <w:p w14:paraId="49BF9EB6" w14:textId="77777777" w:rsidR="00117FC0" w:rsidRPr="00D25B2D" w:rsidRDefault="00117FC0" w:rsidP="00117FC0">
      <w:pPr>
        <w:rPr>
          <w:b/>
          <w:color w:val="000000" w:themeColor="text1"/>
          <w:sz w:val="24"/>
        </w:rPr>
      </w:pP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1167"/>
        <w:gridCol w:w="1525"/>
      </w:tblGrid>
      <w:tr w:rsidR="00117FC0" w:rsidRPr="003B0793" w14:paraId="2B07EAB2" w14:textId="77777777" w:rsidTr="00FA469E">
        <w:trPr>
          <w:trHeight w:hRule="exact" w:val="406"/>
        </w:trPr>
        <w:tc>
          <w:tcPr>
            <w:tcW w:w="6204" w:type="dxa"/>
          </w:tcPr>
          <w:p w14:paraId="5738837C" w14:textId="77777777" w:rsidR="00117FC0" w:rsidRPr="003B0793" w:rsidRDefault="00117FC0" w:rsidP="00FA469E">
            <w:pPr>
              <w:keepNext/>
              <w:spacing w:before="0" w:after="0" w:line="280" w:lineRule="exact"/>
              <w:rPr>
                <w:rFonts w:eastAsia="Times New Roman"/>
                <w:b/>
                <w:sz w:val="17"/>
                <w:szCs w:val="17"/>
              </w:rPr>
            </w:pPr>
            <w:r w:rsidRPr="00D25B2D">
              <w:rPr>
                <w:rFonts w:eastAsia="Times New Roman"/>
                <w:b/>
                <w:color w:val="000000" w:themeColor="text1"/>
                <w:sz w:val="17"/>
                <w:szCs w:val="17"/>
              </w:rPr>
              <w:t>Objective</w:t>
            </w:r>
          </w:p>
        </w:tc>
        <w:tc>
          <w:tcPr>
            <w:tcW w:w="1167" w:type="dxa"/>
          </w:tcPr>
          <w:p w14:paraId="2E18FDF2" w14:textId="77777777" w:rsidR="00117FC0" w:rsidRPr="003B0793" w:rsidRDefault="00117FC0" w:rsidP="00FA469E">
            <w:pPr>
              <w:keepNext/>
              <w:spacing w:before="0" w:after="0" w:line="240" w:lineRule="auto"/>
              <w:jc w:val="right"/>
              <w:rPr>
                <w:rFonts w:eastAsia="Times New Roman"/>
                <w:sz w:val="17"/>
                <w:szCs w:val="17"/>
              </w:rPr>
            </w:pPr>
            <w:r>
              <w:rPr>
                <w:rFonts w:eastAsia="Times New Roman"/>
                <w:b/>
                <w:color w:val="000000" w:themeColor="text1"/>
                <w:sz w:val="17"/>
                <w:szCs w:val="17"/>
              </w:rPr>
              <w:t>(</w:t>
            </w:r>
            <w:r w:rsidRPr="00D25B2D">
              <w:rPr>
                <w:rFonts w:eastAsia="Times New Roman"/>
                <w:b/>
                <w:color w:val="000000" w:themeColor="text1"/>
                <w:sz w:val="17"/>
                <w:szCs w:val="17"/>
              </w:rPr>
              <w:t>A$</w:t>
            </w:r>
            <w:r>
              <w:rPr>
                <w:rFonts w:eastAsia="Times New Roman"/>
                <w:b/>
                <w:color w:val="000000" w:themeColor="text1"/>
                <w:sz w:val="17"/>
                <w:szCs w:val="17"/>
              </w:rPr>
              <w:t xml:space="preserve"> </w:t>
            </w:r>
            <w:r w:rsidRPr="00D25B2D">
              <w:rPr>
                <w:rFonts w:eastAsia="Times New Roman"/>
                <w:b/>
                <w:color w:val="000000" w:themeColor="text1"/>
                <w:sz w:val="17"/>
                <w:szCs w:val="17"/>
              </w:rPr>
              <w:t>million</w:t>
            </w:r>
            <w:r>
              <w:rPr>
                <w:rFonts w:eastAsia="Times New Roman"/>
                <w:b/>
                <w:color w:val="000000" w:themeColor="text1"/>
                <w:sz w:val="17"/>
                <w:szCs w:val="17"/>
              </w:rPr>
              <w:t>)</w:t>
            </w:r>
          </w:p>
        </w:tc>
        <w:tc>
          <w:tcPr>
            <w:tcW w:w="1525" w:type="dxa"/>
          </w:tcPr>
          <w:p w14:paraId="0FD2F4D9" w14:textId="77777777" w:rsidR="00117FC0" w:rsidRPr="003B0793" w:rsidRDefault="00117FC0" w:rsidP="00FA469E">
            <w:pPr>
              <w:keepNext/>
              <w:spacing w:before="0" w:after="0" w:line="240" w:lineRule="auto"/>
              <w:jc w:val="right"/>
              <w:rPr>
                <w:rFonts w:eastAsia="Times New Roman"/>
                <w:sz w:val="17"/>
                <w:szCs w:val="17"/>
              </w:rPr>
            </w:pPr>
            <w:r w:rsidRPr="00D25B2D">
              <w:rPr>
                <w:rFonts w:eastAsia="Times New Roman"/>
                <w:b/>
                <w:color w:val="000000" w:themeColor="text1"/>
                <w:sz w:val="17"/>
                <w:szCs w:val="17"/>
              </w:rPr>
              <w:t>% of total ODA</w:t>
            </w:r>
            <w:r>
              <w:rPr>
                <w:rStyle w:val="FootnoteReference"/>
                <w:rFonts w:eastAsia="Times New Roman"/>
                <w:b/>
                <w:color w:val="000000" w:themeColor="text1"/>
                <w:sz w:val="17"/>
                <w:szCs w:val="17"/>
              </w:rPr>
              <w:footnoteReference w:id="6"/>
            </w:r>
          </w:p>
        </w:tc>
      </w:tr>
      <w:tr w:rsidR="00117FC0" w:rsidRPr="003B0793" w14:paraId="7D647B0A" w14:textId="77777777" w:rsidTr="00FA469E">
        <w:trPr>
          <w:trHeight w:hRule="exact" w:val="393"/>
        </w:trPr>
        <w:tc>
          <w:tcPr>
            <w:tcW w:w="6204" w:type="dxa"/>
            <w:tcBorders>
              <w:bottom w:val="nil"/>
            </w:tcBorders>
            <w:vAlign w:val="center"/>
          </w:tcPr>
          <w:p w14:paraId="69C37B8A" w14:textId="77777777" w:rsidR="00117FC0" w:rsidRPr="003B0793" w:rsidRDefault="00117FC0" w:rsidP="00FA469E">
            <w:pPr>
              <w:keepNext/>
              <w:spacing w:before="0" w:after="0" w:line="280" w:lineRule="exact"/>
              <w:rPr>
                <w:rFonts w:eastAsia="Times New Roman"/>
                <w:b/>
                <w:i/>
                <w:sz w:val="17"/>
                <w:szCs w:val="17"/>
              </w:rPr>
            </w:pPr>
            <w:r>
              <w:rPr>
                <w:rFonts w:eastAsia="Times New Roman"/>
                <w:b/>
                <w:i/>
                <w:color w:val="000000" w:themeColor="text1"/>
                <w:sz w:val="17"/>
                <w:szCs w:val="17"/>
              </w:rPr>
              <w:t xml:space="preserve">DFAT </w:t>
            </w:r>
            <w:r w:rsidRPr="00D25B2D">
              <w:rPr>
                <w:rFonts w:eastAsia="Times New Roman"/>
                <w:b/>
                <w:i/>
                <w:color w:val="000000" w:themeColor="text1"/>
                <w:sz w:val="17"/>
                <w:szCs w:val="17"/>
              </w:rPr>
              <w:t xml:space="preserve">Pacific Regional </w:t>
            </w:r>
            <w:r>
              <w:rPr>
                <w:rFonts w:eastAsia="Times New Roman"/>
                <w:b/>
                <w:i/>
                <w:color w:val="000000" w:themeColor="text1"/>
                <w:sz w:val="17"/>
                <w:szCs w:val="17"/>
              </w:rPr>
              <w:t>Program</w:t>
            </w:r>
          </w:p>
        </w:tc>
        <w:tc>
          <w:tcPr>
            <w:tcW w:w="1167" w:type="dxa"/>
            <w:tcBorders>
              <w:bottom w:val="nil"/>
            </w:tcBorders>
            <w:vAlign w:val="center"/>
          </w:tcPr>
          <w:p w14:paraId="0B6744E9" w14:textId="77777777" w:rsidR="00117FC0" w:rsidRPr="003B0793" w:rsidRDefault="00117FC0" w:rsidP="00FA469E">
            <w:pPr>
              <w:keepNext/>
              <w:spacing w:before="0" w:after="0" w:line="280" w:lineRule="exact"/>
              <w:jc w:val="right"/>
              <w:rPr>
                <w:rFonts w:eastAsia="Times New Roman"/>
                <w:b/>
                <w:sz w:val="17"/>
                <w:szCs w:val="17"/>
              </w:rPr>
            </w:pPr>
          </w:p>
        </w:tc>
        <w:tc>
          <w:tcPr>
            <w:tcW w:w="1525" w:type="dxa"/>
            <w:tcBorders>
              <w:bottom w:val="nil"/>
            </w:tcBorders>
            <w:vAlign w:val="center"/>
          </w:tcPr>
          <w:p w14:paraId="13CB6814" w14:textId="77777777" w:rsidR="00117FC0" w:rsidRPr="003B0793" w:rsidRDefault="00117FC0" w:rsidP="00FA469E">
            <w:pPr>
              <w:keepNext/>
              <w:spacing w:before="0" w:after="0" w:line="280" w:lineRule="exact"/>
              <w:jc w:val="right"/>
              <w:rPr>
                <w:rFonts w:eastAsia="Times New Roman"/>
                <w:b/>
                <w:sz w:val="17"/>
                <w:szCs w:val="17"/>
              </w:rPr>
            </w:pPr>
          </w:p>
        </w:tc>
      </w:tr>
      <w:tr w:rsidR="00117FC0" w:rsidRPr="003B0793" w14:paraId="14B450F7" w14:textId="77777777" w:rsidTr="00FA4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14:paraId="12D11C2E" w14:textId="77777777" w:rsidR="00117FC0" w:rsidRPr="00D25B2D" w:rsidRDefault="00117FC0" w:rsidP="00FA469E">
            <w:pPr>
              <w:keepNext/>
              <w:spacing w:before="0" w:after="0" w:line="280" w:lineRule="exact"/>
              <w:rPr>
                <w:rFonts w:eastAsia="Times New Roman"/>
                <w:color w:val="000000" w:themeColor="text1"/>
                <w:sz w:val="17"/>
                <w:szCs w:val="17"/>
              </w:rPr>
            </w:pPr>
            <w:r w:rsidRPr="00D25B2D">
              <w:rPr>
                <w:rFonts w:eastAsia="Times New Roman"/>
                <w:color w:val="000000" w:themeColor="text1"/>
                <w:sz w:val="17"/>
                <w:szCs w:val="17"/>
              </w:rPr>
              <w:t>Objective 1:  Economic Growth</w:t>
            </w:r>
          </w:p>
          <w:p w14:paraId="7B32D9C3" w14:textId="77777777" w:rsidR="00117FC0" w:rsidRDefault="00117FC0" w:rsidP="00FA469E">
            <w:pPr>
              <w:keepNext/>
              <w:spacing w:before="0" w:after="0" w:line="280" w:lineRule="exact"/>
              <w:rPr>
                <w:rFonts w:eastAsia="Times New Roman"/>
                <w:i/>
                <w:color w:val="899CAA" w:themeColor="text2" w:themeTint="99"/>
                <w:sz w:val="17"/>
                <w:szCs w:val="17"/>
              </w:rPr>
            </w:pPr>
            <w:r>
              <w:rPr>
                <w:rFonts w:eastAsia="Times New Roman"/>
                <w:i/>
                <w:sz w:val="17"/>
                <w:szCs w:val="17"/>
              </w:rPr>
              <w:t xml:space="preserve">      </w:t>
            </w:r>
            <w:r w:rsidRPr="004C65C1">
              <w:rPr>
                <w:rFonts w:eastAsia="Times New Roman"/>
                <w:i/>
                <w:color w:val="899CAA" w:themeColor="text2" w:themeTint="99"/>
                <w:sz w:val="17"/>
                <w:szCs w:val="17"/>
              </w:rPr>
              <w:t>Private Sector Initiatives and Aid for Trade</w:t>
            </w:r>
          </w:p>
          <w:p w14:paraId="68D911DD" w14:textId="77777777" w:rsidR="00117FC0" w:rsidRPr="004C65C1" w:rsidRDefault="00117FC0" w:rsidP="00FA469E">
            <w:pPr>
              <w:keepNext/>
              <w:spacing w:before="0" w:after="0" w:line="280" w:lineRule="exact"/>
              <w:rPr>
                <w:rFonts w:eastAsia="Times New Roman"/>
                <w:i/>
                <w:color w:val="899CAA" w:themeColor="text2" w:themeTint="99"/>
                <w:sz w:val="17"/>
                <w:szCs w:val="17"/>
              </w:rPr>
            </w:pPr>
            <w:r>
              <w:rPr>
                <w:rFonts w:eastAsia="Times New Roman"/>
                <w:i/>
                <w:sz w:val="17"/>
                <w:szCs w:val="17"/>
              </w:rPr>
              <w:t xml:space="preserve">      </w:t>
            </w:r>
            <w:r>
              <w:rPr>
                <w:rFonts w:eastAsia="Times New Roman"/>
                <w:i/>
                <w:color w:val="899CAA" w:themeColor="text2" w:themeTint="99"/>
                <w:sz w:val="17"/>
                <w:szCs w:val="17"/>
              </w:rPr>
              <w:t xml:space="preserve">Labour Mobility </w:t>
            </w:r>
          </w:p>
          <w:p w14:paraId="6A8F2738" w14:textId="77777777" w:rsidR="00117FC0" w:rsidRPr="004C65C1" w:rsidRDefault="00117FC0" w:rsidP="00FA469E">
            <w:pPr>
              <w:keepNext/>
              <w:spacing w:before="0" w:after="0" w:line="280" w:lineRule="exact"/>
              <w:rPr>
                <w:rFonts w:eastAsia="Times New Roman"/>
                <w:i/>
                <w:color w:val="899CAA" w:themeColor="text2" w:themeTint="99"/>
                <w:sz w:val="17"/>
                <w:szCs w:val="17"/>
              </w:rPr>
            </w:pPr>
            <w:r w:rsidRPr="004C65C1">
              <w:rPr>
                <w:rFonts w:eastAsia="Times New Roman"/>
                <w:i/>
                <w:color w:val="899CAA" w:themeColor="text2" w:themeTint="99"/>
                <w:sz w:val="17"/>
                <w:szCs w:val="17"/>
              </w:rPr>
              <w:t xml:space="preserve">      Fisheries</w:t>
            </w:r>
          </w:p>
          <w:p w14:paraId="10E08AAE" w14:textId="77777777" w:rsidR="00117FC0" w:rsidRPr="00046A4E" w:rsidRDefault="00117FC0" w:rsidP="00FA469E">
            <w:pPr>
              <w:keepNext/>
              <w:spacing w:before="0" w:after="0" w:line="280" w:lineRule="exact"/>
              <w:rPr>
                <w:rFonts w:eastAsia="Times New Roman"/>
                <w:i/>
                <w:sz w:val="17"/>
                <w:szCs w:val="17"/>
              </w:rPr>
            </w:pPr>
            <w:r w:rsidRPr="004C65C1">
              <w:rPr>
                <w:rFonts w:eastAsia="Times New Roman"/>
                <w:i/>
                <w:color w:val="899CAA" w:themeColor="text2" w:themeTint="99"/>
                <w:sz w:val="17"/>
                <w:szCs w:val="17"/>
              </w:rPr>
              <w:t xml:space="preserve">      Education</w:t>
            </w:r>
          </w:p>
        </w:tc>
        <w:tc>
          <w:tcPr>
            <w:tcW w:w="1167" w:type="dxa"/>
            <w:tcBorders>
              <w:top w:val="nil"/>
              <w:left w:val="nil"/>
              <w:bottom w:val="nil"/>
              <w:right w:val="nil"/>
            </w:tcBorders>
          </w:tcPr>
          <w:p w14:paraId="1134E7F1" w14:textId="77777777" w:rsidR="00117FC0" w:rsidRPr="00645317" w:rsidRDefault="00117FC0" w:rsidP="00FA469E">
            <w:pPr>
              <w:keepNext/>
              <w:spacing w:before="0" w:after="0" w:line="280" w:lineRule="exact"/>
              <w:jc w:val="right"/>
              <w:rPr>
                <w:rFonts w:eastAsia="Times New Roman"/>
                <w:sz w:val="17"/>
                <w:szCs w:val="17"/>
              </w:rPr>
            </w:pPr>
            <w:r>
              <w:rPr>
                <w:rFonts w:eastAsia="Times New Roman"/>
                <w:sz w:val="17"/>
                <w:szCs w:val="17"/>
              </w:rPr>
              <w:t>137.0</w:t>
            </w:r>
          </w:p>
          <w:p w14:paraId="35B2BAE7" w14:textId="77777777" w:rsidR="00117FC0" w:rsidRPr="00645317" w:rsidRDefault="00117FC0" w:rsidP="00FA469E">
            <w:pPr>
              <w:keepNext/>
              <w:spacing w:before="0" w:after="0" w:line="280" w:lineRule="exact"/>
              <w:jc w:val="right"/>
              <w:rPr>
                <w:rFonts w:eastAsia="Times New Roman"/>
                <w:i/>
                <w:color w:val="899CAA" w:themeColor="text2" w:themeTint="99"/>
                <w:sz w:val="17"/>
                <w:szCs w:val="17"/>
              </w:rPr>
            </w:pPr>
            <w:r>
              <w:rPr>
                <w:rFonts w:eastAsia="Times New Roman"/>
                <w:i/>
                <w:color w:val="899CAA" w:themeColor="text2" w:themeTint="99"/>
                <w:sz w:val="17"/>
                <w:szCs w:val="17"/>
              </w:rPr>
              <w:t>60.3</w:t>
            </w:r>
          </w:p>
          <w:p w14:paraId="24B90C28" w14:textId="77777777" w:rsidR="00117FC0" w:rsidRPr="00645317" w:rsidRDefault="00117FC0" w:rsidP="00FA469E">
            <w:pPr>
              <w:keepNext/>
              <w:spacing w:before="0" w:after="0" w:line="280" w:lineRule="exact"/>
              <w:jc w:val="right"/>
              <w:rPr>
                <w:rFonts w:eastAsia="Times New Roman"/>
                <w:i/>
                <w:color w:val="899CAA" w:themeColor="text2" w:themeTint="99"/>
                <w:sz w:val="17"/>
                <w:szCs w:val="17"/>
              </w:rPr>
            </w:pPr>
            <w:r>
              <w:rPr>
                <w:rFonts w:eastAsia="Times New Roman"/>
                <w:i/>
                <w:color w:val="899CAA" w:themeColor="text2" w:themeTint="99"/>
                <w:sz w:val="17"/>
                <w:szCs w:val="17"/>
              </w:rPr>
              <w:t>12.4</w:t>
            </w:r>
          </w:p>
          <w:p w14:paraId="6A142502" w14:textId="77777777" w:rsidR="00117FC0" w:rsidRPr="00645317" w:rsidRDefault="00117FC0" w:rsidP="00FA469E">
            <w:pPr>
              <w:keepNext/>
              <w:spacing w:before="0" w:after="0" w:line="280" w:lineRule="exact"/>
              <w:jc w:val="right"/>
              <w:rPr>
                <w:rFonts w:eastAsia="Times New Roman"/>
                <w:i/>
                <w:color w:val="899CAA" w:themeColor="text2" w:themeTint="99"/>
                <w:sz w:val="17"/>
                <w:szCs w:val="17"/>
              </w:rPr>
            </w:pPr>
            <w:r>
              <w:rPr>
                <w:rFonts w:eastAsia="Times New Roman"/>
                <w:i/>
                <w:color w:val="899CAA" w:themeColor="text2" w:themeTint="99"/>
                <w:sz w:val="17"/>
                <w:szCs w:val="17"/>
              </w:rPr>
              <w:t>17.6</w:t>
            </w:r>
          </w:p>
          <w:p w14:paraId="21DCACB3" w14:textId="77777777" w:rsidR="00117FC0" w:rsidRPr="003B0793" w:rsidRDefault="00117FC0" w:rsidP="00FA469E">
            <w:pPr>
              <w:keepNext/>
              <w:spacing w:before="0" w:after="0" w:line="280" w:lineRule="exact"/>
              <w:jc w:val="right"/>
              <w:rPr>
                <w:rFonts w:eastAsia="Times New Roman"/>
                <w:sz w:val="17"/>
                <w:szCs w:val="17"/>
              </w:rPr>
            </w:pPr>
            <w:r>
              <w:rPr>
                <w:rFonts w:eastAsia="Times New Roman"/>
                <w:i/>
                <w:color w:val="899CAA" w:themeColor="text2" w:themeTint="99"/>
                <w:sz w:val="17"/>
                <w:szCs w:val="17"/>
              </w:rPr>
              <w:t>46.9</w:t>
            </w:r>
          </w:p>
        </w:tc>
        <w:tc>
          <w:tcPr>
            <w:tcW w:w="1525" w:type="dxa"/>
            <w:tcBorders>
              <w:top w:val="nil"/>
              <w:left w:val="nil"/>
              <w:bottom w:val="nil"/>
              <w:right w:val="nil"/>
            </w:tcBorders>
          </w:tcPr>
          <w:p w14:paraId="29DA02E1" w14:textId="77777777" w:rsidR="00117FC0" w:rsidRPr="00452DAA" w:rsidRDefault="00117FC0" w:rsidP="00FA469E">
            <w:pPr>
              <w:keepNext/>
              <w:spacing w:before="0" w:after="0" w:line="280" w:lineRule="exact"/>
              <w:jc w:val="right"/>
              <w:rPr>
                <w:rFonts w:eastAsia="Times New Roman"/>
                <w:sz w:val="17"/>
                <w:szCs w:val="17"/>
              </w:rPr>
            </w:pPr>
            <w:r>
              <w:rPr>
                <w:rFonts w:eastAsia="Times New Roman"/>
                <w:sz w:val="17"/>
                <w:szCs w:val="17"/>
              </w:rPr>
              <w:t>65%</w:t>
            </w:r>
          </w:p>
          <w:p w14:paraId="2BAD3FE4" w14:textId="77777777" w:rsidR="00117FC0" w:rsidRPr="00452DAA" w:rsidRDefault="00117FC0" w:rsidP="00FA469E">
            <w:pPr>
              <w:keepNext/>
              <w:spacing w:before="0" w:after="0" w:line="280" w:lineRule="exact"/>
              <w:jc w:val="right"/>
              <w:rPr>
                <w:rFonts w:eastAsia="Times New Roman"/>
                <w:i/>
                <w:color w:val="899CAA" w:themeColor="text2" w:themeTint="99"/>
                <w:sz w:val="17"/>
                <w:szCs w:val="17"/>
              </w:rPr>
            </w:pPr>
            <w:r>
              <w:rPr>
                <w:rFonts w:eastAsia="Times New Roman"/>
                <w:i/>
                <w:color w:val="899CAA" w:themeColor="text2" w:themeTint="99"/>
                <w:sz w:val="17"/>
                <w:szCs w:val="17"/>
              </w:rPr>
              <w:t>28%</w:t>
            </w:r>
          </w:p>
          <w:p w14:paraId="3078D29D" w14:textId="77777777" w:rsidR="00117FC0" w:rsidRPr="00452DAA" w:rsidRDefault="00117FC0" w:rsidP="00FA469E">
            <w:pPr>
              <w:keepNext/>
              <w:spacing w:before="0" w:after="0" w:line="280" w:lineRule="exact"/>
              <w:jc w:val="right"/>
              <w:rPr>
                <w:rFonts w:eastAsia="Times New Roman"/>
                <w:i/>
                <w:color w:val="899CAA" w:themeColor="text2" w:themeTint="99"/>
                <w:sz w:val="17"/>
                <w:szCs w:val="17"/>
              </w:rPr>
            </w:pPr>
            <w:r>
              <w:rPr>
                <w:rFonts w:eastAsia="Times New Roman"/>
                <w:i/>
                <w:color w:val="899CAA" w:themeColor="text2" w:themeTint="99"/>
                <w:sz w:val="17"/>
                <w:szCs w:val="17"/>
              </w:rPr>
              <w:t>6%</w:t>
            </w:r>
          </w:p>
          <w:p w14:paraId="2634A123" w14:textId="77777777" w:rsidR="00117FC0" w:rsidRPr="00452DAA" w:rsidRDefault="00117FC0" w:rsidP="00FA469E">
            <w:pPr>
              <w:keepNext/>
              <w:spacing w:before="0" w:after="0" w:line="280" w:lineRule="exact"/>
              <w:jc w:val="right"/>
              <w:rPr>
                <w:rFonts w:eastAsia="Times New Roman"/>
                <w:i/>
                <w:color w:val="899CAA" w:themeColor="text2" w:themeTint="99"/>
                <w:sz w:val="17"/>
                <w:szCs w:val="17"/>
              </w:rPr>
            </w:pPr>
            <w:r>
              <w:rPr>
                <w:rFonts w:eastAsia="Times New Roman"/>
                <w:i/>
                <w:color w:val="899CAA" w:themeColor="text2" w:themeTint="99"/>
                <w:sz w:val="17"/>
                <w:szCs w:val="17"/>
              </w:rPr>
              <w:t>8%</w:t>
            </w:r>
          </w:p>
          <w:p w14:paraId="4C1675DC" w14:textId="77777777" w:rsidR="00117FC0" w:rsidRPr="00452DAA" w:rsidRDefault="00117FC0" w:rsidP="00FA469E">
            <w:pPr>
              <w:keepNext/>
              <w:spacing w:before="0" w:after="0" w:line="280" w:lineRule="exact"/>
              <w:jc w:val="right"/>
              <w:rPr>
                <w:rFonts w:eastAsia="Times New Roman"/>
                <w:i/>
                <w:color w:val="899CAA" w:themeColor="text2" w:themeTint="99"/>
                <w:sz w:val="17"/>
                <w:szCs w:val="17"/>
              </w:rPr>
            </w:pPr>
            <w:r>
              <w:rPr>
                <w:rFonts w:eastAsia="Times New Roman"/>
                <w:i/>
                <w:color w:val="899CAA" w:themeColor="text2" w:themeTint="99"/>
                <w:sz w:val="17"/>
                <w:szCs w:val="17"/>
              </w:rPr>
              <w:t>22%</w:t>
            </w:r>
          </w:p>
        </w:tc>
      </w:tr>
      <w:tr w:rsidR="00117FC0" w:rsidRPr="003B0793" w14:paraId="3D683BAD" w14:textId="77777777" w:rsidTr="00FA469E">
        <w:tc>
          <w:tcPr>
            <w:tcW w:w="6204" w:type="dxa"/>
            <w:tcBorders>
              <w:top w:val="nil"/>
            </w:tcBorders>
          </w:tcPr>
          <w:p w14:paraId="6492D79D" w14:textId="77777777" w:rsidR="00117FC0" w:rsidRPr="00D25B2D" w:rsidRDefault="00117FC0" w:rsidP="00FA469E">
            <w:pPr>
              <w:keepNext/>
              <w:spacing w:before="0" w:after="0" w:line="280" w:lineRule="exact"/>
              <w:rPr>
                <w:rFonts w:eastAsia="Times New Roman"/>
                <w:color w:val="000000" w:themeColor="text1"/>
                <w:sz w:val="17"/>
                <w:szCs w:val="17"/>
              </w:rPr>
            </w:pPr>
            <w:r w:rsidRPr="00D25B2D">
              <w:rPr>
                <w:rFonts w:eastAsia="Times New Roman"/>
                <w:color w:val="000000" w:themeColor="text1"/>
                <w:sz w:val="17"/>
                <w:szCs w:val="17"/>
              </w:rPr>
              <w:t>Objective 2:  Effective Regional Institutions</w:t>
            </w:r>
          </w:p>
          <w:p w14:paraId="7066919A" w14:textId="77777777" w:rsidR="00117FC0" w:rsidRPr="004C65C1" w:rsidRDefault="00117FC0" w:rsidP="00FA469E">
            <w:pPr>
              <w:keepNext/>
              <w:spacing w:before="0" w:after="0" w:line="280" w:lineRule="exact"/>
              <w:rPr>
                <w:rFonts w:eastAsia="Times New Roman"/>
                <w:i/>
                <w:color w:val="899CAA" w:themeColor="text2" w:themeTint="99"/>
                <w:sz w:val="17"/>
                <w:szCs w:val="17"/>
              </w:rPr>
            </w:pPr>
            <w:r>
              <w:rPr>
                <w:rFonts w:eastAsia="Times New Roman"/>
                <w:sz w:val="17"/>
                <w:szCs w:val="17"/>
              </w:rPr>
              <w:t xml:space="preserve">      </w:t>
            </w:r>
            <w:r w:rsidRPr="004C65C1">
              <w:rPr>
                <w:rFonts w:eastAsia="Times New Roman"/>
                <w:i/>
                <w:color w:val="899CAA" w:themeColor="text2" w:themeTint="99"/>
                <w:sz w:val="17"/>
                <w:szCs w:val="17"/>
              </w:rPr>
              <w:t>Regional Institutions</w:t>
            </w:r>
            <w:r>
              <w:rPr>
                <w:rFonts w:eastAsia="Times New Roman"/>
                <w:i/>
                <w:color w:val="899CAA" w:themeColor="text2" w:themeTint="99"/>
                <w:sz w:val="17"/>
                <w:szCs w:val="17"/>
              </w:rPr>
              <w:t xml:space="preserve"> (PIFs and SPC)</w:t>
            </w:r>
          </w:p>
          <w:p w14:paraId="29ECAC8B" w14:textId="77777777" w:rsidR="00117FC0" w:rsidRDefault="00117FC0" w:rsidP="00FA469E">
            <w:pPr>
              <w:keepNext/>
              <w:spacing w:before="0" w:after="0" w:line="280" w:lineRule="exact"/>
              <w:rPr>
                <w:rFonts w:eastAsia="Times New Roman"/>
                <w:i/>
                <w:color w:val="899CAA" w:themeColor="text2" w:themeTint="99"/>
                <w:sz w:val="17"/>
                <w:szCs w:val="17"/>
              </w:rPr>
            </w:pPr>
            <w:r w:rsidRPr="004C65C1">
              <w:rPr>
                <w:rFonts w:eastAsia="Times New Roman"/>
                <w:i/>
                <w:color w:val="899CAA" w:themeColor="text2" w:themeTint="99"/>
                <w:sz w:val="17"/>
                <w:szCs w:val="17"/>
              </w:rPr>
              <w:t xml:space="preserve">      Governance</w:t>
            </w:r>
          </w:p>
          <w:p w14:paraId="77A4240A" w14:textId="77777777" w:rsidR="00117FC0" w:rsidRDefault="00117FC0" w:rsidP="00FA469E">
            <w:pPr>
              <w:keepNext/>
              <w:spacing w:before="0" w:after="0" w:line="280" w:lineRule="exact"/>
              <w:rPr>
                <w:rFonts w:eastAsia="Times New Roman"/>
                <w:i/>
                <w:color w:val="899CAA" w:themeColor="text2" w:themeTint="99"/>
                <w:sz w:val="17"/>
                <w:szCs w:val="17"/>
              </w:rPr>
            </w:pPr>
            <w:r>
              <w:rPr>
                <w:rFonts w:eastAsia="Times New Roman"/>
                <w:i/>
                <w:color w:val="899CAA" w:themeColor="text2" w:themeTint="99"/>
                <w:sz w:val="17"/>
                <w:szCs w:val="17"/>
              </w:rPr>
              <w:t xml:space="preserve">      People to People Links</w:t>
            </w:r>
          </w:p>
          <w:p w14:paraId="6F0781C6" w14:textId="77777777" w:rsidR="00117FC0" w:rsidRPr="003B0793" w:rsidRDefault="00117FC0" w:rsidP="00FA469E">
            <w:pPr>
              <w:keepNext/>
              <w:spacing w:before="0" w:after="0" w:line="280" w:lineRule="exact"/>
              <w:rPr>
                <w:rFonts w:eastAsia="Times New Roman"/>
                <w:sz w:val="17"/>
                <w:szCs w:val="17"/>
              </w:rPr>
            </w:pPr>
            <w:r>
              <w:rPr>
                <w:rFonts w:eastAsia="Times New Roman"/>
                <w:i/>
                <w:color w:val="899CAA" w:themeColor="text2" w:themeTint="99"/>
                <w:sz w:val="17"/>
                <w:szCs w:val="17"/>
              </w:rPr>
              <w:t xml:space="preserve">      Security Cooperation</w:t>
            </w:r>
          </w:p>
        </w:tc>
        <w:tc>
          <w:tcPr>
            <w:tcW w:w="1167" w:type="dxa"/>
          </w:tcPr>
          <w:p w14:paraId="0E0A89BC" w14:textId="77777777" w:rsidR="00117FC0" w:rsidRPr="00645317" w:rsidRDefault="00171B90" w:rsidP="00FA469E">
            <w:pPr>
              <w:keepNext/>
              <w:spacing w:before="0" w:after="0" w:line="280" w:lineRule="exact"/>
              <w:jc w:val="right"/>
              <w:rPr>
                <w:rFonts w:eastAsia="Times New Roman"/>
                <w:sz w:val="17"/>
                <w:szCs w:val="17"/>
              </w:rPr>
            </w:pPr>
            <w:r>
              <w:rPr>
                <w:rFonts w:eastAsia="Times New Roman"/>
                <w:sz w:val="17"/>
                <w:szCs w:val="17"/>
              </w:rPr>
              <w:t>42.3</w:t>
            </w:r>
          </w:p>
          <w:p w14:paraId="4552AE10" w14:textId="77777777" w:rsidR="00117FC0" w:rsidRPr="00645317" w:rsidRDefault="00117FC0" w:rsidP="00FA469E">
            <w:pPr>
              <w:keepNext/>
              <w:spacing w:before="0" w:after="0" w:line="280" w:lineRule="exact"/>
              <w:jc w:val="right"/>
              <w:rPr>
                <w:rFonts w:eastAsia="Times New Roman"/>
                <w:i/>
                <w:color w:val="899CAA" w:themeColor="text2" w:themeTint="99"/>
                <w:sz w:val="17"/>
                <w:szCs w:val="17"/>
              </w:rPr>
            </w:pPr>
            <w:r>
              <w:rPr>
                <w:rFonts w:eastAsia="Times New Roman"/>
                <w:i/>
                <w:color w:val="899CAA" w:themeColor="text2" w:themeTint="99"/>
                <w:sz w:val="17"/>
                <w:szCs w:val="17"/>
              </w:rPr>
              <w:t>25.5</w:t>
            </w:r>
          </w:p>
          <w:p w14:paraId="0FEC8192" w14:textId="77777777" w:rsidR="00117FC0" w:rsidRPr="00645317" w:rsidRDefault="00117FC0" w:rsidP="00FA469E">
            <w:pPr>
              <w:keepNext/>
              <w:spacing w:before="0" w:after="0" w:line="280" w:lineRule="exact"/>
              <w:jc w:val="right"/>
              <w:rPr>
                <w:rFonts w:eastAsia="Times New Roman"/>
                <w:i/>
                <w:color w:val="899CAA" w:themeColor="text2" w:themeTint="99"/>
                <w:sz w:val="17"/>
                <w:szCs w:val="17"/>
              </w:rPr>
            </w:pPr>
            <w:r>
              <w:rPr>
                <w:rFonts w:eastAsia="Times New Roman"/>
                <w:i/>
                <w:color w:val="899CAA" w:themeColor="text2" w:themeTint="99"/>
                <w:sz w:val="17"/>
                <w:szCs w:val="17"/>
              </w:rPr>
              <w:t>8.0</w:t>
            </w:r>
          </w:p>
          <w:p w14:paraId="7F3364C6" w14:textId="77777777" w:rsidR="00117FC0" w:rsidRPr="00645317" w:rsidRDefault="00117FC0" w:rsidP="00FA469E">
            <w:pPr>
              <w:keepNext/>
              <w:spacing w:before="0" w:after="0" w:line="280" w:lineRule="exact"/>
              <w:jc w:val="right"/>
              <w:rPr>
                <w:rFonts w:eastAsia="Times New Roman"/>
                <w:i/>
                <w:color w:val="899CAA" w:themeColor="text2" w:themeTint="99"/>
                <w:sz w:val="17"/>
                <w:szCs w:val="17"/>
              </w:rPr>
            </w:pPr>
            <w:r>
              <w:rPr>
                <w:rFonts w:eastAsia="Times New Roman"/>
                <w:i/>
                <w:color w:val="899CAA" w:themeColor="text2" w:themeTint="99"/>
                <w:sz w:val="17"/>
                <w:szCs w:val="17"/>
              </w:rPr>
              <w:t>7.3</w:t>
            </w:r>
          </w:p>
          <w:p w14:paraId="71ADFC9C" w14:textId="77777777" w:rsidR="00117FC0" w:rsidRPr="004C65C1" w:rsidRDefault="00117FC0" w:rsidP="00FA469E">
            <w:pPr>
              <w:keepNext/>
              <w:spacing w:before="0" w:after="0" w:line="280" w:lineRule="exact"/>
              <w:jc w:val="right"/>
              <w:rPr>
                <w:rFonts w:eastAsia="Times New Roman"/>
                <w:i/>
                <w:sz w:val="17"/>
                <w:szCs w:val="17"/>
              </w:rPr>
            </w:pPr>
            <w:r>
              <w:rPr>
                <w:rFonts w:eastAsia="Times New Roman"/>
                <w:i/>
                <w:color w:val="899CAA" w:themeColor="text2" w:themeTint="99"/>
                <w:sz w:val="17"/>
                <w:szCs w:val="17"/>
              </w:rPr>
              <w:t>1.5</w:t>
            </w:r>
          </w:p>
        </w:tc>
        <w:tc>
          <w:tcPr>
            <w:tcW w:w="1525" w:type="dxa"/>
          </w:tcPr>
          <w:p w14:paraId="3AC0D01A" w14:textId="77777777" w:rsidR="00117FC0" w:rsidRPr="00452DAA" w:rsidRDefault="00117FC0" w:rsidP="00FA469E">
            <w:pPr>
              <w:keepNext/>
              <w:spacing w:before="0" w:after="0" w:line="280" w:lineRule="exact"/>
              <w:jc w:val="right"/>
              <w:rPr>
                <w:rFonts w:eastAsia="Times New Roman"/>
                <w:sz w:val="17"/>
                <w:szCs w:val="17"/>
              </w:rPr>
            </w:pPr>
            <w:r>
              <w:rPr>
                <w:rFonts w:eastAsia="Times New Roman"/>
                <w:sz w:val="17"/>
                <w:szCs w:val="17"/>
              </w:rPr>
              <w:t>20%</w:t>
            </w:r>
          </w:p>
          <w:p w14:paraId="11FC50C9" w14:textId="77777777" w:rsidR="00117FC0" w:rsidRPr="00452DAA" w:rsidRDefault="00117FC0" w:rsidP="00FA469E">
            <w:pPr>
              <w:keepNext/>
              <w:spacing w:before="0" w:after="0" w:line="280" w:lineRule="exact"/>
              <w:jc w:val="right"/>
              <w:rPr>
                <w:rFonts w:eastAsia="Times New Roman"/>
                <w:i/>
                <w:color w:val="899CAA" w:themeColor="text2" w:themeTint="99"/>
                <w:sz w:val="17"/>
                <w:szCs w:val="17"/>
              </w:rPr>
            </w:pPr>
            <w:r>
              <w:rPr>
                <w:rFonts w:eastAsia="Times New Roman"/>
                <w:i/>
                <w:color w:val="899CAA" w:themeColor="text2" w:themeTint="99"/>
                <w:sz w:val="17"/>
                <w:szCs w:val="17"/>
              </w:rPr>
              <w:t>12%</w:t>
            </w:r>
          </w:p>
          <w:p w14:paraId="17B3F29C" w14:textId="77777777" w:rsidR="00117FC0" w:rsidRPr="00452DAA" w:rsidRDefault="00117FC0" w:rsidP="00FA469E">
            <w:pPr>
              <w:keepNext/>
              <w:spacing w:before="0" w:after="0" w:line="280" w:lineRule="exact"/>
              <w:jc w:val="right"/>
              <w:rPr>
                <w:rFonts w:eastAsia="Times New Roman"/>
                <w:i/>
                <w:color w:val="899CAA" w:themeColor="text2" w:themeTint="99"/>
                <w:sz w:val="17"/>
                <w:szCs w:val="17"/>
              </w:rPr>
            </w:pPr>
            <w:r>
              <w:rPr>
                <w:rFonts w:eastAsia="Times New Roman"/>
                <w:i/>
                <w:color w:val="899CAA" w:themeColor="text2" w:themeTint="99"/>
                <w:sz w:val="17"/>
                <w:szCs w:val="17"/>
              </w:rPr>
              <w:t>4%</w:t>
            </w:r>
          </w:p>
          <w:p w14:paraId="6D6EF800" w14:textId="77777777" w:rsidR="00117FC0" w:rsidRPr="00452DAA" w:rsidRDefault="00117FC0" w:rsidP="00FA469E">
            <w:pPr>
              <w:keepNext/>
              <w:spacing w:before="0" w:after="0" w:line="280" w:lineRule="exact"/>
              <w:jc w:val="right"/>
              <w:rPr>
                <w:rFonts w:eastAsia="Times New Roman"/>
                <w:i/>
                <w:color w:val="899CAA" w:themeColor="text2" w:themeTint="99"/>
                <w:sz w:val="17"/>
                <w:szCs w:val="17"/>
              </w:rPr>
            </w:pPr>
            <w:r>
              <w:rPr>
                <w:rFonts w:eastAsia="Times New Roman"/>
                <w:i/>
                <w:color w:val="899CAA" w:themeColor="text2" w:themeTint="99"/>
                <w:sz w:val="17"/>
                <w:szCs w:val="17"/>
              </w:rPr>
              <w:t>3%</w:t>
            </w:r>
          </w:p>
          <w:p w14:paraId="552D1415" w14:textId="77777777" w:rsidR="00117FC0" w:rsidRPr="004C65C1" w:rsidRDefault="00117FC0" w:rsidP="00FA469E">
            <w:pPr>
              <w:keepNext/>
              <w:spacing w:before="0" w:after="0" w:line="280" w:lineRule="exact"/>
              <w:jc w:val="right"/>
              <w:rPr>
                <w:rFonts w:eastAsia="Times New Roman"/>
                <w:i/>
                <w:sz w:val="17"/>
                <w:szCs w:val="17"/>
              </w:rPr>
            </w:pPr>
            <w:r>
              <w:rPr>
                <w:rFonts w:eastAsia="Times New Roman"/>
                <w:i/>
                <w:color w:val="899CAA" w:themeColor="text2" w:themeTint="99"/>
                <w:sz w:val="17"/>
                <w:szCs w:val="17"/>
              </w:rPr>
              <w:t>0.7%</w:t>
            </w:r>
          </w:p>
        </w:tc>
      </w:tr>
      <w:tr w:rsidR="00117FC0" w:rsidRPr="003B0793" w14:paraId="7C176527" w14:textId="77777777" w:rsidTr="00FA469E">
        <w:tc>
          <w:tcPr>
            <w:tcW w:w="6204" w:type="dxa"/>
          </w:tcPr>
          <w:p w14:paraId="62C631B7" w14:textId="77777777" w:rsidR="00117FC0" w:rsidRPr="00D25B2D" w:rsidRDefault="00117FC0" w:rsidP="00FA469E">
            <w:pPr>
              <w:keepNext/>
              <w:spacing w:before="0" w:after="0" w:line="280" w:lineRule="exact"/>
              <w:rPr>
                <w:rFonts w:eastAsia="Times New Roman"/>
                <w:color w:val="000000" w:themeColor="text1"/>
                <w:sz w:val="17"/>
                <w:szCs w:val="17"/>
              </w:rPr>
            </w:pPr>
            <w:r w:rsidRPr="00D25B2D">
              <w:rPr>
                <w:rFonts w:eastAsia="Times New Roman"/>
                <w:color w:val="000000" w:themeColor="text1"/>
                <w:sz w:val="17"/>
                <w:szCs w:val="17"/>
              </w:rPr>
              <w:t>Objective 3:  Healthy and Resilient Communities</w:t>
            </w:r>
          </w:p>
          <w:p w14:paraId="686E1976" w14:textId="77777777" w:rsidR="00117FC0" w:rsidRPr="00D25B2D" w:rsidRDefault="00117FC0" w:rsidP="00FA469E">
            <w:pPr>
              <w:keepNext/>
              <w:spacing w:before="0" w:after="0" w:line="280" w:lineRule="exact"/>
              <w:rPr>
                <w:rFonts w:eastAsia="Times New Roman"/>
                <w:i/>
                <w:color w:val="899CAA" w:themeColor="text2" w:themeTint="99"/>
                <w:sz w:val="17"/>
                <w:szCs w:val="17"/>
              </w:rPr>
            </w:pPr>
            <w:r>
              <w:rPr>
                <w:rFonts w:eastAsia="Times New Roman"/>
                <w:sz w:val="17"/>
                <w:szCs w:val="17"/>
              </w:rPr>
              <w:t xml:space="preserve">      </w:t>
            </w:r>
            <w:r w:rsidRPr="00D25B2D">
              <w:rPr>
                <w:rFonts w:eastAsia="Times New Roman"/>
                <w:i/>
                <w:color w:val="899CAA" w:themeColor="text2" w:themeTint="99"/>
                <w:sz w:val="17"/>
                <w:szCs w:val="17"/>
              </w:rPr>
              <w:t>Health and Disability Support</w:t>
            </w:r>
          </w:p>
          <w:p w14:paraId="62D3B7DB" w14:textId="77777777" w:rsidR="00117FC0" w:rsidRPr="003B0793" w:rsidRDefault="00117FC0" w:rsidP="00FA469E">
            <w:pPr>
              <w:keepNext/>
              <w:spacing w:before="0" w:after="0" w:line="280" w:lineRule="exact"/>
              <w:rPr>
                <w:rFonts w:eastAsia="Times New Roman"/>
                <w:sz w:val="17"/>
                <w:szCs w:val="17"/>
              </w:rPr>
            </w:pPr>
            <w:r w:rsidRPr="00D25B2D">
              <w:rPr>
                <w:rFonts w:eastAsia="Times New Roman"/>
                <w:i/>
                <w:color w:val="899CAA" w:themeColor="text2" w:themeTint="99"/>
                <w:sz w:val="17"/>
                <w:szCs w:val="17"/>
              </w:rPr>
              <w:t xml:space="preserve">      Climate Change Adaptation and Disaster Risk Reduction</w:t>
            </w:r>
          </w:p>
        </w:tc>
        <w:tc>
          <w:tcPr>
            <w:tcW w:w="1167" w:type="dxa"/>
          </w:tcPr>
          <w:p w14:paraId="6F412D4A" w14:textId="77777777" w:rsidR="00117FC0" w:rsidRPr="00645317" w:rsidRDefault="00117FC0" w:rsidP="00FA469E">
            <w:pPr>
              <w:keepNext/>
              <w:spacing w:before="0" w:after="0" w:line="280" w:lineRule="exact"/>
              <w:jc w:val="right"/>
              <w:rPr>
                <w:rFonts w:eastAsia="Times New Roman"/>
                <w:sz w:val="17"/>
                <w:szCs w:val="17"/>
              </w:rPr>
            </w:pPr>
            <w:r>
              <w:rPr>
                <w:rFonts w:eastAsia="Times New Roman"/>
                <w:sz w:val="17"/>
                <w:szCs w:val="17"/>
              </w:rPr>
              <w:t>29.5</w:t>
            </w:r>
          </w:p>
          <w:p w14:paraId="32735CD4" w14:textId="77777777" w:rsidR="00117FC0" w:rsidRPr="00645317" w:rsidRDefault="00117FC0" w:rsidP="00FA469E">
            <w:pPr>
              <w:keepNext/>
              <w:spacing w:before="0" w:after="0" w:line="280" w:lineRule="exact"/>
              <w:jc w:val="right"/>
              <w:rPr>
                <w:rFonts w:eastAsia="Times New Roman"/>
                <w:i/>
                <w:color w:val="899CAA" w:themeColor="text2" w:themeTint="99"/>
                <w:sz w:val="17"/>
                <w:szCs w:val="17"/>
              </w:rPr>
            </w:pPr>
            <w:r>
              <w:rPr>
                <w:rFonts w:eastAsia="Times New Roman"/>
                <w:i/>
                <w:color w:val="899CAA" w:themeColor="text2" w:themeTint="99"/>
                <w:sz w:val="17"/>
                <w:szCs w:val="17"/>
              </w:rPr>
              <w:t>7.9</w:t>
            </w:r>
          </w:p>
          <w:p w14:paraId="0EBD0F0E" w14:textId="77777777" w:rsidR="00117FC0" w:rsidRPr="00D25B2D" w:rsidRDefault="00117FC0" w:rsidP="00FA469E">
            <w:pPr>
              <w:keepNext/>
              <w:spacing w:before="0" w:after="0" w:line="280" w:lineRule="exact"/>
              <w:jc w:val="right"/>
              <w:rPr>
                <w:rFonts w:eastAsia="Times New Roman"/>
                <w:i/>
                <w:sz w:val="17"/>
                <w:szCs w:val="17"/>
              </w:rPr>
            </w:pPr>
            <w:r>
              <w:rPr>
                <w:rFonts w:eastAsia="Times New Roman"/>
                <w:i/>
                <w:color w:val="899CAA" w:themeColor="text2" w:themeTint="99"/>
                <w:sz w:val="17"/>
                <w:szCs w:val="17"/>
              </w:rPr>
              <w:t>21.7</w:t>
            </w:r>
          </w:p>
        </w:tc>
        <w:tc>
          <w:tcPr>
            <w:tcW w:w="1525" w:type="dxa"/>
          </w:tcPr>
          <w:p w14:paraId="05F73DFE" w14:textId="77777777" w:rsidR="00117FC0" w:rsidRPr="00452DAA" w:rsidRDefault="00117FC0" w:rsidP="00FA469E">
            <w:pPr>
              <w:keepNext/>
              <w:spacing w:before="0" w:after="0" w:line="280" w:lineRule="exact"/>
              <w:jc w:val="right"/>
              <w:rPr>
                <w:rFonts w:eastAsia="Times New Roman"/>
                <w:sz w:val="17"/>
                <w:szCs w:val="17"/>
              </w:rPr>
            </w:pPr>
            <w:r>
              <w:rPr>
                <w:rFonts w:eastAsia="Times New Roman"/>
                <w:sz w:val="17"/>
                <w:szCs w:val="17"/>
              </w:rPr>
              <w:t>14%</w:t>
            </w:r>
          </w:p>
          <w:p w14:paraId="7911EBB2" w14:textId="77777777" w:rsidR="00117FC0" w:rsidRPr="00C92E50" w:rsidRDefault="00117FC0" w:rsidP="00FA469E">
            <w:pPr>
              <w:keepNext/>
              <w:spacing w:before="0" w:after="0" w:line="280" w:lineRule="exact"/>
              <w:jc w:val="right"/>
              <w:rPr>
                <w:rFonts w:eastAsia="Times New Roman"/>
                <w:i/>
                <w:color w:val="899CAA" w:themeColor="text2" w:themeTint="99"/>
                <w:sz w:val="17"/>
                <w:szCs w:val="17"/>
              </w:rPr>
            </w:pPr>
            <w:r>
              <w:rPr>
                <w:rFonts w:eastAsia="Times New Roman"/>
                <w:i/>
                <w:color w:val="899CAA" w:themeColor="text2" w:themeTint="99"/>
                <w:sz w:val="17"/>
                <w:szCs w:val="17"/>
              </w:rPr>
              <w:t>4</w:t>
            </w:r>
            <w:r w:rsidRPr="00C92E50">
              <w:rPr>
                <w:rFonts w:eastAsia="Times New Roman"/>
                <w:i/>
                <w:color w:val="899CAA" w:themeColor="text2" w:themeTint="99"/>
                <w:sz w:val="17"/>
                <w:szCs w:val="17"/>
              </w:rPr>
              <w:t>%</w:t>
            </w:r>
          </w:p>
          <w:p w14:paraId="3F8C153C" w14:textId="77777777" w:rsidR="00117FC0" w:rsidRPr="00D25B2D" w:rsidRDefault="00117FC0" w:rsidP="00FA469E">
            <w:pPr>
              <w:keepNext/>
              <w:spacing w:before="0" w:after="0" w:line="280" w:lineRule="exact"/>
              <w:jc w:val="right"/>
              <w:rPr>
                <w:rFonts w:eastAsia="Times New Roman"/>
                <w:i/>
                <w:sz w:val="17"/>
                <w:szCs w:val="17"/>
              </w:rPr>
            </w:pPr>
            <w:r>
              <w:rPr>
                <w:rFonts w:eastAsia="Times New Roman"/>
                <w:i/>
                <w:color w:val="899CAA" w:themeColor="text2" w:themeTint="99"/>
                <w:sz w:val="17"/>
                <w:szCs w:val="17"/>
              </w:rPr>
              <w:t>10</w:t>
            </w:r>
            <w:r w:rsidRPr="00C92E50">
              <w:rPr>
                <w:rFonts w:eastAsia="Times New Roman"/>
                <w:i/>
                <w:color w:val="899CAA" w:themeColor="text2" w:themeTint="99"/>
                <w:sz w:val="17"/>
                <w:szCs w:val="17"/>
              </w:rPr>
              <w:t>%</w:t>
            </w:r>
          </w:p>
        </w:tc>
      </w:tr>
      <w:tr w:rsidR="00117FC0" w:rsidRPr="00D25B2D" w14:paraId="3019789E" w14:textId="77777777" w:rsidTr="00FA469E">
        <w:tc>
          <w:tcPr>
            <w:tcW w:w="6204" w:type="dxa"/>
          </w:tcPr>
          <w:p w14:paraId="28907883" w14:textId="77777777" w:rsidR="00117FC0" w:rsidRPr="00D25B2D" w:rsidRDefault="00117FC0" w:rsidP="00FA469E">
            <w:pPr>
              <w:keepNext/>
              <w:spacing w:before="40" w:after="40" w:line="280" w:lineRule="exact"/>
              <w:rPr>
                <w:rFonts w:eastAsia="Times New Roman"/>
                <w:color w:val="000000" w:themeColor="text1"/>
                <w:sz w:val="17"/>
                <w:szCs w:val="17"/>
              </w:rPr>
            </w:pPr>
            <w:r w:rsidRPr="00D25B2D">
              <w:rPr>
                <w:rFonts w:eastAsia="Times New Roman"/>
                <w:color w:val="000000" w:themeColor="text1"/>
                <w:sz w:val="17"/>
                <w:szCs w:val="17"/>
              </w:rPr>
              <w:t>Objective 4:  Empowering Women and Girls</w:t>
            </w:r>
          </w:p>
        </w:tc>
        <w:tc>
          <w:tcPr>
            <w:tcW w:w="1167" w:type="dxa"/>
          </w:tcPr>
          <w:p w14:paraId="496C106E" w14:textId="77777777" w:rsidR="00117FC0" w:rsidRPr="00645317" w:rsidRDefault="00117FC0" w:rsidP="00FA469E">
            <w:pPr>
              <w:keepNext/>
              <w:spacing w:before="40" w:after="40" w:line="280" w:lineRule="exact"/>
              <w:jc w:val="right"/>
              <w:rPr>
                <w:rFonts w:eastAsia="Times New Roman"/>
                <w:color w:val="000000" w:themeColor="text1"/>
                <w:sz w:val="17"/>
                <w:szCs w:val="17"/>
              </w:rPr>
            </w:pPr>
            <w:r>
              <w:rPr>
                <w:rFonts w:eastAsia="Times New Roman"/>
                <w:color w:val="000000" w:themeColor="text1"/>
                <w:sz w:val="17"/>
                <w:szCs w:val="17"/>
              </w:rPr>
              <w:t>0.7</w:t>
            </w:r>
            <w:r>
              <w:rPr>
                <w:rStyle w:val="FootnoteReference"/>
                <w:rFonts w:eastAsia="Times New Roman"/>
                <w:color w:val="000000" w:themeColor="text1"/>
                <w:sz w:val="17"/>
                <w:szCs w:val="17"/>
              </w:rPr>
              <w:footnoteReference w:id="7"/>
            </w:r>
          </w:p>
        </w:tc>
        <w:tc>
          <w:tcPr>
            <w:tcW w:w="1525" w:type="dxa"/>
          </w:tcPr>
          <w:p w14:paraId="51BF39CE" w14:textId="77777777" w:rsidR="00117FC0" w:rsidRPr="00452DAA" w:rsidRDefault="00117FC0" w:rsidP="00FA469E">
            <w:pPr>
              <w:keepNext/>
              <w:spacing w:before="0" w:after="0" w:line="280" w:lineRule="exact"/>
              <w:jc w:val="right"/>
              <w:rPr>
                <w:rFonts w:eastAsia="Times New Roman"/>
                <w:sz w:val="17"/>
                <w:szCs w:val="17"/>
              </w:rPr>
            </w:pPr>
            <w:r>
              <w:rPr>
                <w:rFonts w:eastAsia="Times New Roman"/>
                <w:sz w:val="17"/>
                <w:szCs w:val="17"/>
              </w:rPr>
              <w:t>0.3%</w:t>
            </w:r>
          </w:p>
        </w:tc>
      </w:tr>
      <w:tr w:rsidR="00117FC0" w:rsidRPr="003B0793" w14:paraId="2C1247F6" w14:textId="77777777" w:rsidTr="00FA469E">
        <w:tc>
          <w:tcPr>
            <w:tcW w:w="6204" w:type="dxa"/>
          </w:tcPr>
          <w:p w14:paraId="5C3504A3" w14:textId="77777777" w:rsidR="00117FC0" w:rsidRPr="005F46EB" w:rsidRDefault="00117FC0" w:rsidP="00FA469E">
            <w:pPr>
              <w:keepNext/>
              <w:spacing w:before="0" w:after="0" w:line="280" w:lineRule="exact"/>
              <w:rPr>
                <w:rFonts w:eastAsia="Times New Roman"/>
                <w:color w:val="000000" w:themeColor="text1"/>
                <w:sz w:val="17"/>
                <w:szCs w:val="17"/>
              </w:rPr>
            </w:pPr>
            <w:r w:rsidRPr="005F46EB">
              <w:rPr>
                <w:rFonts w:eastAsia="Times New Roman"/>
                <w:color w:val="000000" w:themeColor="text1"/>
                <w:sz w:val="17"/>
                <w:szCs w:val="17"/>
              </w:rPr>
              <w:t>Other</w:t>
            </w:r>
          </w:p>
        </w:tc>
        <w:tc>
          <w:tcPr>
            <w:tcW w:w="1167" w:type="dxa"/>
          </w:tcPr>
          <w:p w14:paraId="78FFC6BD" w14:textId="77777777" w:rsidR="00117FC0" w:rsidRPr="00645317" w:rsidRDefault="00117FC0" w:rsidP="00FA469E">
            <w:pPr>
              <w:keepNext/>
              <w:spacing w:before="0" w:after="0" w:line="280" w:lineRule="exact"/>
              <w:jc w:val="right"/>
              <w:rPr>
                <w:rFonts w:eastAsia="Times New Roman"/>
                <w:color w:val="000000" w:themeColor="text1"/>
                <w:sz w:val="17"/>
                <w:szCs w:val="17"/>
              </w:rPr>
            </w:pPr>
            <w:r>
              <w:rPr>
                <w:rFonts w:eastAsia="Times New Roman"/>
                <w:color w:val="000000" w:themeColor="text1"/>
                <w:sz w:val="17"/>
                <w:szCs w:val="17"/>
              </w:rPr>
              <w:t>2.2</w:t>
            </w:r>
          </w:p>
        </w:tc>
        <w:tc>
          <w:tcPr>
            <w:tcW w:w="1525" w:type="dxa"/>
          </w:tcPr>
          <w:p w14:paraId="07784596" w14:textId="77777777" w:rsidR="00117FC0" w:rsidRDefault="00117FC0" w:rsidP="00FA469E">
            <w:pPr>
              <w:keepNext/>
              <w:spacing w:before="0" w:after="0" w:line="280" w:lineRule="exact"/>
              <w:jc w:val="right"/>
              <w:rPr>
                <w:rFonts w:eastAsia="Times New Roman"/>
                <w:b/>
                <w:color w:val="000000" w:themeColor="text1"/>
                <w:sz w:val="17"/>
                <w:szCs w:val="17"/>
              </w:rPr>
            </w:pPr>
            <w:r w:rsidRPr="00452DAA">
              <w:rPr>
                <w:rFonts w:eastAsia="Times New Roman"/>
                <w:color w:val="000000" w:themeColor="text1"/>
                <w:sz w:val="17"/>
                <w:szCs w:val="17"/>
              </w:rPr>
              <w:t>1</w:t>
            </w:r>
            <w:r>
              <w:rPr>
                <w:rFonts w:eastAsia="Times New Roman"/>
                <w:color w:val="000000" w:themeColor="text1"/>
                <w:sz w:val="17"/>
                <w:szCs w:val="17"/>
              </w:rPr>
              <w:t>%</w:t>
            </w:r>
          </w:p>
        </w:tc>
      </w:tr>
      <w:tr w:rsidR="00117FC0" w:rsidRPr="006C582A" w14:paraId="44FDBD5F" w14:textId="77777777" w:rsidTr="00FA469E">
        <w:tc>
          <w:tcPr>
            <w:tcW w:w="6204" w:type="dxa"/>
          </w:tcPr>
          <w:p w14:paraId="545F723F" w14:textId="77777777" w:rsidR="00117FC0" w:rsidRPr="006C582A" w:rsidRDefault="00117FC0" w:rsidP="00FA469E">
            <w:pPr>
              <w:keepNext/>
              <w:spacing w:before="0" w:after="0" w:line="280" w:lineRule="exact"/>
              <w:rPr>
                <w:rFonts w:eastAsia="Times New Roman"/>
                <w:b/>
                <w:i/>
                <w:color w:val="000000" w:themeColor="text1"/>
                <w:sz w:val="17"/>
                <w:szCs w:val="17"/>
              </w:rPr>
            </w:pPr>
            <w:r w:rsidRPr="006C582A">
              <w:rPr>
                <w:rFonts w:eastAsia="Times New Roman"/>
                <w:b/>
                <w:i/>
                <w:color w:val="000000" w:themeColor="text1"/>
                <w:sz w:val="17"/>
                <w:szCs w:val="17"/>
              </w:rPr>
              <w:t>Sub-total Pacific Regional</w:t>
            </w:r>
            <w:r>
              <w:rPr>
                <w:rFonts w:eastAsia="Times New Roman"/>
                <w:b/>
                <w:i/>
                <w:color w:val="000000" w:themeColor="text1"/>
                <w:sz w:val="17"/>
                <w:szCs w:val="17"/>
              </w:rPr>
              <w:t xml:space="preserve"> Program</w:t>
            </w:r>
          </w:p>
          <w:p w14:paraId="6CAEB878" w14:textId="77777777" w:rsidR="00117FC0" w:rsidRPr="006C582A" w:rsidRDefault="00117FC0" w:rsidP="00FA469E">
            <w:pPr>
              <w:keepNext/>
              <w:spacing w:before="0" w:after="0" w:line="280" w:lineRule="exact"/>
              <w:rPr>
                <w:rFonts w:eastAsia="Times New Roman"/>
                <w:b/>
                <w:i/>
                <w:sz w:val="17"/>
                <w:szCs w:val="17"/>
              </w:rPr>
            </w:pPr>
          </w:p>
        </w:tc>
        <w:tc>
          <w:tcPr>
            <w:tcW w:w="1167" w:type="dxa"/>
          </w:tcPr>
          <w:p w14:paraId="05E7CEC8" w14:textId="77777777" w:rsidR="00117FC0" w:rsidRPr="006C582A" w:rsidRDefault="00117FC0" w:rsidP="00FA469E">
            <w:pPr>
              <w:keepNext/>
              <w:spacing w:before="40" w:after="40" w:line="280" w:lineRule="exact"/>
              <w:jc w:val="right"/>
              <w:rPr>
                <w:rFonts w:eastAsia="Times New Roman"/>
                <w:b/>
                <w:i/>
                <w:color w:val="000000" w:themeColor="text1"/>
                <w:sz w:val="17"/>
                <w:szCs w:val="17"/>
              </w:rPr>
            </w:pPr>
            <w:r>
              <w:rPr>
                <w:rFonts w:eastAsia="Times New Roman"/>
                <w:b/>
                <w:i/>
                <w:color w:val="000000" w:themeColor="text1"/>
                <w:sz w:val="17"/>
                <w:szCs w:val="17"/>
              </w:rPr>
              <w:t>211.9</w:t>
            </w:r>
          </w:p>
        </w:tc>
        <w:tc>
          <w:tcPr>
            <w:tcW w:w="1525" w:type="dxa"/>
          </w:tcPr>
          <w:p w14:paraId="28F47373" w14:textId="77777777" w:rsidR="00117FC0" w:rsidRPr="006C582A" w:rsidRDefault="00117FC0" w:rsidP="00FA469E">
            <w:pPr>
              <w:keepNext/>
              <w:spacing w:before="40" w:after="40" w:line="280" w:lineRule="exact"/>
              <w:jc w:val="right"/>
              <w:rPr>
                <w:rFonts w:eastAsia="Times New Roman"/>
                <w:b/>
                <w:i/>
                <w:color w:val="000000" w:themeColor="text1"/>
                <w:sz w:val="17"/>
                <w:szCs w:val="17"/>
              </w:rPr>
            </w:pPr>
            <w:r>
              <w:rPr>
                <w:rFonts w:eastAsia="Times New Roman"/>
                <w:b/>
                <w:i/>
                <w:color w:val="000000" w:themeColor="text1"/>
                <w:sz w:val="17"/>
                <w:szCs w:val="17"/>
              </w:rPr>
              <w:t>100%</w:t>
            </w:r>
          </w:p>
        </w:tc>
      </w:tr>
      <w:tr w:rsidR="00117FC0" w:rsidRPr="003B0793" w14:paraId="7E1A2CE4" w14:textId="77777777" w:rsidTr="00FA469E">
        <w:tc>
          <w:tcPr>
            <w:tcW w:w="6204" w:type="dxa"/>
          </w:tcPr>
          <w:p w14:paraId="5556C100" w14:textId="77777777" w:rsidR="00117FC0" w:rsidRDefault="00117FC0" w:rsidP="00FA469E">
            <w:pPr>
              <w:keepNext/>
              <w:spacing w:before="0" w:after="0" w:line="280" w:lineRule="exact"/>
              <w:rPr>
                <w:rFonts w:eastAsia="Times New Roman"/>
                <w:color w:val="000000" w:themeColor="text1"/>
                <w:sz w:val="17"/>
                <w:szCs w:val="17"/>
              </w:rPr>
            </w:pPr>
            <w:r>
              <w:rPr>
                <w:rFonts w:eastAsia="Times New Roman"/>
                <w:color w:val="000000" w:themeColor="text1"/>
                <w:sz w:val="17"/>
                <w:szCs w:val="17"/>
              </w:rPr>
              <w:t>Less Pacific regional program flows attributed to Pacific Countries</w:t>
            </w:r>
            <w:r w:rsidRPr="00F060AD">
              <w:rPr>
                <w:rStyle w:val="FootnoteReference"/>
                <w:color w:val="000000" w:themeColor="text1"/>
                <w:sz w:val="17"/>
                <w:szCs w:val="17"/>
              </w:rPr>
              <w:footnoteReference w:id="8"/>
            </w:r>
          </w:p>
        </w:tc>
        <w:tc>
          <w:tcPr>
            <w:tcW w:w="1167" w:type="dxa"/>
          </w:tcPr>
          <w:p w14:paraId="7C36EE85" w14:textId="77777777" w:rsidR="00117FC0" w:rsidRPr="00645317" w:rsidRDefault="00117FC0" w:rsidP="00FA469E">
            <w:pPr>
              <w:keepNext/>
              <w:spacing w:before="0" w:after="0" w:line="280" w:lineRule="exact"/>
              <w:jc w:val="right"/>
              <w:rPr>
                <w:rFonts w:eastAsia="Times New Roman"/>
                <w:color w:val="000000" w:themeColor="text1"/>
                <w:sz w:val="17"/>
                <w:szCs w:val="17"/>
              </w:rPr>
            </w:pPr>
            <w:r>
              <w:rPr>
                <w:rFonts w:eastAsia="Times New Roman"/>
                <w:color w:val="000000" w:themeColor="text1"/>
                <w:sz w:val="17"/>
                <w:szCs w:val="17"/>
              </w:rPr>
              <w:t>-30.4</w:t>
            </w:r>
          </w:p>
        </w:tc>
        <w:tc>
          <w:tcPr>
            <w:tcW w:w="1525" w:type="dxa"/>
          </w:tcPr>
          <w:p w14:paraId="62695621" w14:textId="77777777" w:rsidR="00117FC0" w:rsidRPr="00452DAA" w:rsidRDefault="00117FC0" w:rsidP="00FA469E">
            <w:pPr>
              <w:keepNext/>
              <w:spacing w:before="0" w:after="0" w:line="280" w:lineRule="exact"/>
              <w:jc w:val="right"/>
              <w:rPr>
                <w:rFonts w:eastAsia="Times New Roman"/>
                <w:color w:val="000000" w:themeColor="text1"/>
                <w:sz w:val="17"/>
                <w:szCs w:val="17"/>
              </w:rPr>
            </w:pPr>
          </w:p>
        </w:tc>
      </w:tr>
      <w:tr w:rsidR="00117FC0" w:rsidRPr="003B0793" w14:paraId="0CA12D40" w14:textId="77777777" w:rsidTr="00FA469E">
        <w:tc>
          <w:tcPr>
            <w:tcW w:w="6204" w:type="dxa"/>
          </w:tcPr>
          <w:p w14:paraId="4D391F2A" w14:textId="77777777" w:rsidR="00117FC0" w:rsidRPr="003B0793" w:rsidRDefault="00117FC0" w:rsidP="00FA469E">
            <w:pPr>
              <w:keepNext/>
              <w:spacing w:before="0" w:after="0" w:line="280" w:lineRule="exact"/>
              <w:rPr>
                <w:rFonts w:eastAsia="Times New Roman"/>
                <w:sz w:val="17"/>
                <w:szCs w:val="17"/>
              </w:rPr>
            </w:pPr>
            <w:r>
              <w:rPr>
                <w:rFonts w:eastAsia="Times New Roman"/>
                <w:color w:val="000000" w:themeColor="text1"/>
                <w:sz w:val="17"/>
                <w:szCs w:val="17"/>
              </w:rPr>
              <w:t>DFAT Other R</w:t>
            </w:r>
            <w:r w:rsidRPr="00D25B2D">
              <w:rPr>
                <w:rFonts w:eastAsia="Times New Roman"/>
                <w:color w:val="000000" w:themeColor="text1"/>
                <w:sz w:val="17"/>
                <w:szCs w:val="17"/>
              </w:rPr>
              <w:t>egional and Global</w:t>
            </w:r>
            <w:r>
              <w:rPr>
                <w:rFonts w:eastAsia="Times New Roman"/>
                <w:color w:val="000000" w:themeColor="text1"/>
                <w:sz w:val="17"/>
                <w:szCs w:val="17"/>
              </w:rPr>
              <w:t xml:space="preserve"> programs</w:t>
            </w:r>
          </w:p>
        </w:tc>
        <w:tc>
          <w:tcPr>
            <w:tcW w:w="1167" w:type="dxa"/>
          </w:tcPr>
          <w:p w14:paraId="236D5D4F" w14:textId="77777777" w:rsidR="00117FC0" w:rsidRPr="00645317" w:rsidRDefault="00117FC0" w:rsidP="00FA469E">
            <w:pPr>
              <w:keepNext/>
              <w:spacing w:before="0" w:after="0" w:line="280" w:lineRule="exact"/>
              <w:jc w:val="right"/>
              <w:rPr>
                <w:rFonts w:eastAsia="Times New Roman"/>
                <w:color w:val="000000" w:themeColor="text1"/>
                <w:sz w:val="17"/>
                <w:szCs w:val="17"/>
              </w:rPr>
            </w:pPr>
            <w:r>
              <w:rPr>
                <w:rFonts w:eastAsia="Times New Roman"/>
                <w:color w:val="000000" w:themeColor="text1"/>
                <w:sz w:val="17"/>
                <w:szCs w:val="17"/>
              </w:rPr>
              <w:t>66.1</w:t>
            </w:r>
          </w:p>
        </w:tc>
        <w:tc>
          <w:tcPr>
            <w:tcW w:w="1525" w:type="dxa"/>
          </w:tcPr>
          <w:p w14:paraId="35A16B61" w14:textId="77777777" w:rsidR="00117FC0" w:rsidRPr="00452DAA" w:rsidRDefault="00117FC0" w:rsidP="00FA469E">
            <w:pPr>
              <w:keepNext/>
              <w:spacing w:before="0" w:after="0" w:line="280" w:lineRule="exact"/>
              <w:jc w:val="right"/>
              <w:rPr>
                <w:rFonts w:eastAsia="Times New Roman"/>
                <w:color w:val="000000" w:themeColor="text1"/>
                <w:sz w:val="17"/>
                <w:szCs w:val="17"/>
              </w:rPr>
            </w:pPr>
          </w:p>
        </w:tc>
      </w:tr>
      <w:tr w:rsidR="00117FC0" w:rsidRPr="003B0793" w14:paraId="4B676C72" w14:textId="77777777" w:rsidTr="00FA469E">
        <w:tc>
          <w:tcPr>
            <w:tcW w:w="6204" w:type="dxa"/>
          </w:tcPr>
          <w:p w14:paraId="1E51AEE4" w14:textId="77777777" w:rsidR="00117FC0" w:rsidRPr="003B0793" w:rsidRDefault="00117FC0" w:rsidP="00FA469E">
            <w:pPr>
              <w:keepNext/>
              <w:spacing w:before="0" w:after="0" w:line="280" w:lineRule="exact"/>
              <w:rPr>
                <w:rFonts w:eastAsia="Times New Roman"/>
                <w:sz w:val="17"/>
                <w:szCs w:val="17"/>
              </w:rPr>
            </w:pPr>
            <w:r w:rsidRPr="00D25B2D">
              <w:rPr>
                <w:rFonts w:eastAsia="Times New Roman"/>
                <w:color w:val="000000" w:themeColor="text1"/>
                <w:sz w:val="17"/>
                <w:szCs w:val="17"/>
              </w:rPr>
              <w:t>Other Government Departments</w:t>
            </w:r>
          </w:p>
        </w:tc>
        <w:tc>
          <w:tcPr>
            <w:tcW w:w="1167" w:type="dxa"/>
          </w:tcPr>
          <w:p w14:paraId="3EAF34F9" w14:textId="77777777" w:rsidR="00117FC0" w:rsidRPr="00645317" w:rsidRDefault="00117FC0" w:rsidP="00FA469E">
            <w:pPr>
              <w:keepNext/>
              <w:spacing w:before="0" w:after="0" w:line="280" w:lineRule="exact"/>
              <w:jc w:val="right"/>
              <w:rPr>
                <w:rFonts w:eastAsia="Times New Roman"/>
                <w:color w:val="000000" w:themeColor="text1"/>
                <w:sz w:val="17"/>
                <w:szCs w:val="17"/>
              </w:rPr>
            </w:pPr>
            <w:r>
              <w:rPr>
                <w:rFonts w:eastAsia="Times New Roman"/>
                <w:color w:val="000000" w:themeColor="text1"/>
                <w:sz w:val="17"/>
                <w:szCs w:val="17"/>
              </w:rPr>
              <w:t>30.9</w:t>
            </w:r>
          </w:p>
        </w:tc>
        <w:tc>
          <w:tcPr>
            <w:tcW w:w="1525" w:type="dxa"/>
          </w:tcPr>
          <w:p w14:paraId="62900D9F" w14:textId="77777777" w:rsidR="00117FC0" w:rsidRPr="00452DAA" w:rsidRDefault="00117FC0" w:rsidP="00FA469E">
            <w:pPr>
              <w:keepNext/>
              <w:spacing w:before="0" w:after="0" w:line="280" w:lineRule="exact"/>
              <w:jc w:val="right"/>
              <w:rPr>
                <w:rFonts w:eastAsia="Times New Roman"/>
                <w:color w:val="000000" w:themeColor="text1"/>
                <w:sz w:val="17"/>
                <w:szCs w:val="17"/>
              </w:rPr>
            </w:pPr>
          </w:p>
        </w:tc>
      </w:tr>
      <w:tr w:rsidR="00117FC0" w:rsidRPr="003B0793" w14:paraId="5F48A734" w14:textId="77777777" w:rsidTr="00FA469E">
        <w:tc>
          <w:tcPr>
            <w:tcW w:w="6204" w:type="dxa"/>
          </w:tcPr>
          <w:p w14:paraId="59B82987" w14:textId="77777777" w:rsidR="00117FC0" w:rsidRPr="003B0793" w:rsidRDefault="00117FC0" w:rsidP="00FA469E">
            <w:pPr>
              <w:keepNext/>
              <w:spacing w:before="0" w:after="0" w:line="280" w:lineRule="exact"/>
              <w:rPr>
                <w:rFonts w:eastAsia="Times New Roman"/>
                <w:b/>
                <w:sz w:val="17"/>
                <w:szCs w:val="17"/>
              </w:rPr>
            </w:pPr>
            <w:r w:rsidRPr="00D25B2D">
              <w:rPr>
                <w:rFonts w:eastAsia="Times New Roman"/>
                <w:b/>
                <w:color w:val="000000" w:themeColor="text1"/>
                <w:sz w:val="17"/>
                <w:szCs w:val="17"/>
              </w:rPr>
              <w:t xml:space="preserve">Total </w:t>
            </w:r>
            <w:r>
              <w:rPr>
                <w:rFonts w:eastAsia="Times New Roman"/>
                <w:b/>
                <w:color w:val="000000" w:themeColor="text1"/>
                <w:sz w:val="17"/>
                <w:szCs w:val="17"/>
              </w:rPr>
              <w:t xml:space="preserve">Pacific Regional </w:t>
            </w:r>
            <w:r w:rsidRPr="00D25B2D">
              <w:rPr>
                <w:rFonts w:eastAsia="Times New Roman"/>
                <w:b/>
                <w:color w:val="000000" w:themeColor="text1"/>
                <w:sz w:val="17"/>
                <w:szCs w:val="17"/>
              </w:rPr>
              <w:t>ODA Expenditure</w:t>
            </w:r>
          </w:p>
        </w:tc>
        <w:tc>
          <w:tcPr>
            <w:tcW w:w="1167" w:type="dxa"/>
          </w:tcPr>
          <w:p w14:paraId="091E1143" w14:textId="77777777" w:rsidR="00117FC0" w:rsidRPr="00132D41" w:rsidRDefault="00117FC0" w:rsidP="00FA469E">
            <w:pPr>
              <w:keepNext/>
              <w:spacing w:before="40" w:after="40" w:line="280" w:lineRule="exact"/>
              <w:jc w:val="right"/>
              <w:rPr>
                <w:rFonts w:eastAsia="Times New Roman"/>
                <w:b/>
                <w:sz w:val="17"/>
                <w:szCs w:val="17"/>
              </w:rPr>
            </w:pPr>
            <w:r>
              <w:rPr>
                <w:rFonts w:eastAsia="Times New Roman"/>
                <w:b/>
                <w:color w:val="000000" w:themeColor="text1"/>
                <w:sz w:val="17"/>
                <w:szCs w:val="17"/>
              </w:rPr>
              <w:t>278.6</w:t>
            </w:r>
            <w:r>
              <w:rPr>
                <w:rStyle w:val="FootnoteReference"/>
                <w:rFonts w:eastAsia="Times New Roman"/>
                <w:b/>
                <w:color w:val="000000" w:themeColor="text1"/>
                <w:sz w:val="17"/>
                <w:szCs w:val="17"/>
              </w:rPr>
              <w:footnoteReference w:id="9"/>
            </w:r>
          </w:p>
        </w:tc>
        <w:tc>
          <w:tcPr>
            <w:tcW w:w="1525" w:type="dxa"/>
          </w:tcPr>
          <w:p w14:paraId="6188FC6C" w14:textId="77777777" w:rsidR="00117FC0" w:rsidRPr="00452DAA" w:rsidRDefault="00117FC0" w:rsidP="00FA469E">
            <w:pPr>
              <w:keepNext/>
              <w:spacing w:before="40" w:after="40" w:line="280" w:lineRule="exact"/>
              <w:jc w:val="right"/>
              <w:rPr>
                <w:rFonts w:eastAsia="Times New Roman"/>
                <w:b/>
                <w:color w:val="000000" w:themeColor="text1"/>
                <w:sz w:val="17"/>
                <w:szCs w:val="17"/>
              </w:rPr>
            </w:pPr>
          </w:p>
        </w:tc>
      </w:tr>
    </w:tbl>
    <w:p w14:paraId="01436C48" w14:textId="77777777" w:rsidR="004E666F" w:rsidRDefault="004E666F" w:rsidP="00117FC0"/>
    <w:p w14:paraId="129DB956" w14:textId="77777777" w:rsidR="004E666F" w:rsidRDefault="004E666F">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47DBCE0B" w14:textId="77777777" w:rsidR="002A51CA" w:rsidRPr="004E666F" w:rsidRDefault="002A51CA" w:rsidP="004E666F">
      <w:pPr>
        <w:pStyle w:val="ListBullet"/>
        <w:tabs>
          <w:tab w:val="clear" w:pos="284"/>
        </w:tabs>
        <w:spacing w:before="360" w:line="300" w:lineRule="exact"/>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Progress towards </w:t>
      </w:r>
      <w:r w:rsidR="00162218">
        <w:rPr>
          <w:rFonts w:asciiTheme="majorHAnsi" w:eastAsiaTheme="majorEastAsia" w:hAnsiTheme="majorHAnsi" w:cstheme="majorBidi"/>
          <w:caps/>
          <w:color w:val="495965" w:themeColor="text2"/>
          <w:sz w:val="38"/>
          <w:szCs w:val="26"/>
          <w:lang w:val="en-GB" w:eastAsia="en-US"/>
        </w:rPr>
        <w:t xml:space="preserve">AIP </w:t>
      </w:r>
      <w:r w:rsidRPr="002A51CA">
        <w:rPr>
          <w:rFonts w:asciiTheme="majorHAnsi" w:eastAsiaTheme="majorEastAsia" w:hAnsiTheme="majorHAnsi" w:cstheme="majorBidi"/>
          <w:caps/>
          <w:color w:val="495965" w:themeColor="text2"/>
          <w:sz w:val="38"/>
          <w:szCs w:val="26"/>
          <w:lang w:val="en-GB" w:eastAsia="en-US"/>
        </w:rPr>
        <w:t>Objectives</w:t>
      </w:r>
      <w:r w:rsidRPr="002A51CA">
        <w:rPr>
          <w:rFonts w:asciiTheme="majorHAnsi" w:eastAsiaTheme="majorEastAsia" w:hAnsiTheme="majorHAnsi" w:cstheme="majorBidi"/>
          <w:caps/>
          <w:color w:val="495965" w:themeColor="text2"/>
          <w:sz w:val="38"/>
          <w:szCs w:val="26"/>
          <w:lang w:val="en-GB" w:eastAsia="en-US"/>
        </w:rPr>
        <w:tab/>
      </w:r>
    </w:p>
    <w:p w14:paraId="567C4B02" w14:textId="3A589BE7"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5C33DB">
        <w:rPr>
          <w:b/>
          <w:noProof/>
          <w:sz w:val="24"/>
        </w:rPr>
        <w:t>1</w:t>
      </w:r>
      <w:r w:rsidRPr="008C2F58">
        <w:rPr>
          <w:b/>
          <w:noProof/>
          <w:sz w:val="24"/>
        </w:rPr>
        <w:fldChar w:fldCharType="end"/>
      </w:r>
      <w:r w:rsidRPr="008C2F58">
        <w:rPr>
          <w:b/>
          <w:sz w:val="24"/>
        </w:rPr>
        <w:t xml:space="preserve"> Rating of the Program's Progress towards Australia’s Aid Objectives</w:t>
      </w:r>
    </w:p>
    <w:tbl>
      <w:tblPr>
        <w:tblStyle w:val="AP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4"/>
        <w:gridCol w:w="1496"/>
        <w:gridCol w:w="1499"/>
      </w:tblGrid>
      <w:tr w:rsidR="00355959" w:rsidRPr="00812509" w14:paraId="7BFEF38F" w14:textId="77777777" w:rsidTr="003851B6">
        <w:trPr>
          <w:cnfStyle w:val="000000010000" w:firstRow="0" w:lastRow="0" w:firstColumn="0" w:lastColumn="0" w:oddVBand="0" w:evenVBand="0" w:oddHBand="0" w:evenHBand="1" w:firstRowFirstColumn="0" w:firstRowLastColumn="0" w:lastRowFirstColumn="0" w:lastRowLastColumn="0"/>
          <w:trHeight w:val="651"/>
        </w:trPr>
        <w:tc>
          <w:tcPr>
            <w:tcW w:w="6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566723" w14:textId="77777777" w:rsidR="00355959" w:rsidRPr="00812509" w:rsidRDefault="00355959" w:rsidP="00D05246">
            <w:pPr>
              <w:pStyle w:val="TableTextColumnHeading"/>
            </w:pPr>
            <w:r w:rsidRPr="00812509">
              <w:rPr>
                <w:noProof/>
              </w:rPr>
              <w:drawing>
                <wp:anchor distT="0" distB="0" distL="114300" distR="114300" simplePos="0" relativeHeight="251681792" behindDoc="0" locked="0" layoutInCell="1" allowOverlap="1" wp14:anchorId="789F6DF3" wp14:editId="1749F339">
                  <wp:simplePos x="0" y="0"/>
                  <wp:positionH relativeFrom="column">
                    <wp:posOffset>0</wp:posOffset>
                  </wp:positionH>
                  <wp:positionV relativeFrom="paragraph">
                    <wp:posOffset>0</wp:posOffset>
                  </wp:positionV>
                  <wp:extent cx="1857375" cy="228600"/>
                  <wp:effectExtent l="0" t="0" r="9525" b="0"/>
                  <wp:wrapNone/>
                  <wp:docPr id="35" name="Picture 3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44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BF9AA3" w14:textId="77777777" w:rsidR="00355959" w:rsidRPr="00812509" w:rsidRDefault="00355959" w:rsidP="00D05246">
            <w:pPr>
              <w:pStyle w:val="TableTextColumnHeading"/>
            </w:pPr>
            <w:r w:rsidRPr="00812509">
              <w:t>Previous Rating</w:t>
            </w:r>
          </w:p>
        </w:tc>
        <w:tc>
          <w:tcPr>
            <w:tcW w:w="143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B9C0881" w14:textId="77777777" w:rsidR="00355959" w:rsidRPr="00812509" w:rsidRDefault="00355959" w:rsidP="00D05246">
            <w:pPr>
              <w:pStyle w:val="TableTextColumnHeading"/>
            </w:pPr>
            <w:r w:rsidRPr="00812509">
              <w:t>Current Rating</w:t>
            </w:r>
          </w:p>
        </w:tc>
      </w:tr>
      <w:tr w:rsidR="00355959" w:rsidRPr="00812509" w14:paraId="40DDA3D6" w14:textId="77777777" w:rsidTr="00692BA0">
        <w:trPr>
          <w:cnfStyle w:val="000000010000" w:firstRow="0" w:lastRow="0" w:firstColumn="0" w:lastColumn="0" w:oddVBand="0" w:evenVBand="0" w:oddHBand="0" w:evenHBand="1" w:firstRowFirstColumn="0" w:firstRowLastColumn="0" w:lastRowFirstColumn="0" w:lastRowLastColumn="0"/>
        </w:trPr>
        <w:tc>
          <w:tcPr>
            <w:tcW w:w="6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ED2BCB5" w14:textId="77777777" w:rsidR="00355959" w:rsidRPr="00812509" w:rsidRDefault="00355959" w:rsidP="00D05246">
            <w:pPr>
              <w:pStyle w:val="TableTextEntries"/>
              <w:rPr>
                <w:rFonts w:asciiTheme="minorHAnsi" w:hAnsiTheme="minorHAnsi"/>
              </w:rPr>
            </w:pPr>
            <w:r w:rsidRPr="00812509">
              <w:rPr>
                <w:rFonts w:asciiTheme="minorHAnsi" w:hAnsiTheme="minorHAnsi"/>
              </w:rPr>
              <w:t>Objective 1</w:t>
            </w:r>
            <w:r w:rsidR="00643C85">
              <w:rPr>
                <w:rFonts w:asciiTheme="minorHAnsi" w:hAnsiTheme="minorHAnsi"/>
              </w:rPr>
              <w:t xml:space="preserve"> – Economic Growth</w:t>
            </w:r>
          </w:p>
        </w:tc>
        <w:tc>
          <w:tcPr>
            <w:tcW w:w="144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14:paraId="759E61EA" w14:textId="77777777" w:rsidR="00355959" w:rsidRPr="00812509" w:rsidRDefault="00355959"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4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2AF2F"/>
            <w:noWrap/>
          </w:tcPr>
          <w:p w14:paraId="581F3914" w14:textId="77777777" w:rsidR="00355959" w:rsidRPr="00812509" w:rsidRDefault="00692BA0"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r w:rsidR="00355959" w:rsidRPr="00812509" w14:paraId="147628C1" w14:textId="77777777" w:rsidTr="00692BA0">
        <w:trPr>
          <w:cnfStyle w:val="000000010000" w:firstRow="0" w:lastRow="0" w:firstColumn="0" w:lastColumn="0" w:oddVBand="0" w:evenVBand="0" w:oddHBand="0" w:evenHBand="1" w:firstRowFirstColumn="0" w:firstRowLastColumn="0" w:lastRowFirstColumn="0" w:lastRowLastColumn="0"/>
        </w:trPr>
        <w:tc>
          <w:tcPr>
            <w:tcW w:w="6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E30DFB" w14:textId="77777777" w:rsidR="00355959" w:rsidRPr="00812509" w:rsidRDefault="00355959" w:rsidP="00D05246">
            <w:pPr>
              <w:pStyle w:val="TableTextEntries"/>
              <w:rPr>
                <w:rFonts w:asciiTheme="minorHAnsi" w:hAnsiTheme="minorHAnsi"/>
              </w:rPr>
            </w:pPr>
            <w:r w:rsidRPr="00812509">
              <w:rPr>
                <w:rFonts w:asciiTheme="minorHAnsi" w:hAnsiTheme="minorHAnsi"/>
              </w:rPr>
              <w:t>Objective 2</w:t>
            </w:r>
            <w:r w:rsidR="00643C85">
              <w:rPr>
                <w:rFonts w:asciiTheme="minorHAnsi" w:hAnsiTheme="minorHAnsi"/>
              </w:rPr>
              <w:t xml:space="preserve"> - </w:t>
            </w:r>
            <w:r w:rsidR="00751C91" w:rsidRPr="00751C91">
              <w:rPr>
                <w:rFonts w:asciiTheme="minorHAnsi" w:hAnsiTheme="minorHAnsi"/>
              </w:rPr>
              <w:t>Effective Regional Institutions</w:t>
            </w:r>
          </w:p>
        </w:tc>
        <w:tc>
          <w:tcPr>
            <w:tcW w:w="144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tcPr>
          <w:p w14:paraId="4E9C035D" w14:textId="77777777" w:rsidR="00355959" w:rsidRPr="00812509" w:rsidRDefault="00355959"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c>
          <w:tcPr>
            <w:tcW w:w="14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26C0A"/>
            <w:noWrap/>
          </w:tcPr>
          <w:p w14:paraId="5239F4EE" w14:textId="77777777" w:rsidR="00355959" w:rsidRPr="00812509" w:rsidRDefault="00692BA0"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r>
      <w:tr w:rsidR="00355959" w:rsidRPr="00812509" w14:paraId="6EE73CC6" w14:textId="77777777" w:rsidTr="00692BA0">
        <w:trPr>
          <w:cnfStyle w:val="000000010000" w:firstRow="0" w:lastRow="0" w:firstColumn="0" w:lastColumn="0" w:oddVBand="0" w:evenVBand="0" w:oddHBand="0" w:evenHBand="1" w:firstRowFirstColumn="0" w:firstRowLastColumn="0" w:lastRowFirstColumn="0" w:lastRowLastColumn="0"/>
        </w:trPr>
        <w:tc>
          <w:tcPr>
            <w:tcW w:w="6492"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0622DF" w14:textId="77777777" w:rsidR="00355959" w:rsidRPr="00812509" w:rsidRDefault="00355959" w:rsidP="00D05246">
            <w:pPr>
              <w:pStyle w:val="TableTextEntries"/>
              <w:rPr>
                <w:rFonts w:asciiTheme="minorHAnsi" w:hAnsiTheme="minorHAnsi"/>
              </w:rPr>
            </w:pPr>
            <w:r w:rsidRPr="00812509">
              <w:rPr>
                <w:rFonts w:asciiTheme="minorHAnsi" w:hAnsiTheme="minorHAnsi"/>
              </w:rPr>
              <w:t>Objective 3</w:t>
            </w:r>
            <w:r w:rsidR="00751C91">
              <w:rPr>
                <w:rFonts w:asciiTheme="minorHAnsi" w:hAnsiTheme="minorHAnsi"/>
              </w:rPr>
              <w:t xml:space="preserve"> - </w:t>
            </w:r>
            <w:r w:rsidR="00751C91" w:rsidRPr="00751C91">
              <w:rPr>
                <w:rFonts w:asciiTheme="minorHAnsi" w:hAnsiTheme="minorHAnsi"/>
              </w:rPr>
              <w:t>Healthy and Resilient Communities</w:t>
            </w:r>
          </w:p>
        </w:tc>
        <w:tc>
          <w:tcPr>
            <w:tcW w:w="144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36C0A"/>
            <w:noWrap/>
          </w:tcPr>
          <w:p w14:paraId="4A7485AD" w14:textId="77777777" w:rsidR="00355959" w:rsidRPr="00812509" w:rsidRDefault="00692BA0"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c>
          <w:tcPr>
            <w:tcW w:w="143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E26C0A"/>
            <w:noWrap/>
          </w:tcPr>
          <w:p w14:paraId="73390E51" w14:textId="77777777" w:rsidR="00355959" w:rsidRPr="00812509" w:rsidRDefault="001B0C58" w:rsidP="00D0524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r>
      <w:tr w:rsidR="003851B6" w:rsidRPr="00812509" w14:paraId="57E031BB" w14:textId="77777777" w:rsidTr="000B0E65">
        <w:trPr>
          <w:cnfStyle w:val="000000010000" w:firstRow="0" w:lastRow="0" w:firstColumn="0" w:lastColumn="0" w:oddVBand="0" w:evenVBand="0" w:oddHBand="0" w:evenHBand="1" w:firstRowFirstColumn="0" w:firstRowLastColumn="0" w:lastRowFirstColumn="0" w:lastRowLastColumn="0"/>
        </w:trPr>
        <w:tc>
          <w:tcPr>
            <w:tcW w:w="6492" w:type="dxa"/>
            <w:tcBorders>
              <w:top w:val="single" w:sz="4" w:space="0" w:color="auto"/>
              <w:bottom w:val="single" w:sz="4" w:space="0" w:color="auto"/>
              <w:right w:val="single" w:sz="4" w:space="0" w:color="auto"/>
            </w:tcBorders>
          </w:tcPr>
          <w:p w14:paraId="381361CE" w14:textId="77777777" w:rsidR="003851B6" w:rsidRPr="00812509" w:rsidRDefault="003851B6" w:rsidP="003851B6">
            <w:pPr>
              <w:pStyle w:val="TableTextEntries"/>
              <w:rPr>
                <w:rFonts w:asciiTheme="minorHAnsi" w:hAnsiTheme="minorHAnsi"/>
              </w:rPr>
            </w:pPr>
            <w:r>
              <w:rPr>
                <w:rFonts w:asciiTheme="minorHAnsi" w:hAnsiTheme="minorHAnsi"/>
              </w:rPr>
              <w:t>Objective 4</w:t>
            </w:r>
            <w:r w:rsidR="00751C91">
              <w:rPr>
                <w:rFonts w:asciiTheme="minorHAnsi" w:hAnsiTheme="minorHAnsi"/>
              </w:rPr>
              <w:t xml:space="preserve"> - </w:t>
            </w:r>
            <w:r w:rsidR="00751C91" w:rsidRPr="00751C91">
              <w:rPr>
                <w:rFonts w:asciiTheme="minorHAnsi" w:hAnsiTheme="minorHAnsi"/>
              </w:rPr>
              <w:t>Empowering Women and Girls</w:t>
            </w:r>
          </w:p>
        </w:tc>
        <w:tc>
          <w:tcPr>
            <w:tcW w:w="1448" w:type="dxa"/>
            <w:shd w:val="clear" w:color="auto" w:fill="72AF2F"/>
            <w:noWrap/>
          </w:tcPr>
          <w:p w14:paraId="5A9BE8A3" w14:textId="77777777" w:rsidR="003851B6" w:rsidRPr="00812509" w:rsidRDefault="003851B6" w:rsidP="003851B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1437" w:type="dxa"/>
            <w:shd w:val="clear" w:color="auto" w:fill="72AF2F"/>
            <w:noWrap/>
          </w:tcPr>
          <w:p w14:paraId="2A389606" w14:textId="77777777" w:rsidR="003851B6" w:rsidRPr="00812509" w:rsidRDefault="003851B6" w:rsidP="003851B6">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r>
    </w:tbl>
    <w:p w14:paraId="4EE0ACB2" w14:textId="77777777" w:rsidR="00355959" w:rsidRPr="00812509" w:rsidRDefault="00355959" w:rsidP="00355959">
      <w:pPr>
        <w:pStyle w:val="Note"/>
        <w:rPr>
          <w:rFonts w:asciiTheme="minorHAnsi" w:hAnsiTheme="minorHAnsi"/>
          <w:sz w:val="16"/>
        </w:rPr>
      </w:pPr>
      <w:r w:rsidRPr="00812509">
        <w:rPr>
          <w:rFonts w:asciiTheme="minorHAnsi" w:hAnsiTheme="minorHAnsi"/>
          <w:sz w:val="16"/>
        </w:rPr>
        <w:t xml:space="preserve">Note: </w:t>
      </w:r>
    </w:p>
    <w:p w14:paraId="1C4E19BC" w14:textId="77777777" w:rsidR="00355959" w:rsidRPr="00812509" w:rsidRDefault="00355959" w:rsidP="0035595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7B3DF871" w14:textId="77777777" w:rsidR="00355959" w:rsidRPr="00812509" w:rsidRDefault="00355959" w:rsidP="0035595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1370FB45" w14:textId="77777777" w:rsidR="00355959" w:rsidRDefault="00355959" w:rsidP="0035595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70642F0D" w14:textId="77777777" w:rsidR="0072170F" w:rsidRPr="00877607" w:rsidRDefault="0072170F" w:rsidP="0072170F">
      <w:pPr>
        <w:spacing w:before="240"/>
        <w:rPr>
          <w:rFonts w:asciiTheme="majorHAnsi" w:eastAsiaTheme="majorEastAsia" w:hAnsiTheme="majorHAnsi" w:cstheme="majorBidi"/>
          <w:caps/>
          <w:sz w:val="32"/>
          <w:szCs w:val="32"/>
        </w:rPr>
      </w:pPr>
      <w:r w:rsidRPr="00877607">
        <w:rPr>
          <w:rFonts w:asciiTheme="majorHAnsi" w:eastAsiaTheme="majorEastAsia" w:hAnsiTheme="majorHAnsi" w:cstheme="majorBidi"/>
          <w:caps/>
          <w:sz w:val="32"/>
          <w:szCs w:val="32"/>
        </w:rPr>
        <w:t>Objective 1</w:t>
      </w:r>
      <w:r w:rsidR="00243C4F">
        <w:rPr>
          <w:rFonts w:asciiTheme="majorHAnsi" w:eastAsiaTheme="majorEastAsia" w:hAnsiTheme="majorHAnsi" w:cstheme="majorBidi"/>
          <w:caps/>
          <w:sz w:val="32"/>
          <w:szCs w:val="32"/>
        </w:rPr>
        <w:t xml:space="preserve"> - </w:t>
      </w:r>
      <w:r w:rsidR="00243C4F" w:rsidRPr="00243C4F">
        <w:rPr>
          <w:rFonts w:asciiTheme="majorHAnsi" w:eastAsiaTheme="majorEastAsia" w:hAnsiTheme="majorHAnsi" w:cstheme="majorBidi"/>
          <w:caps/>
          <w:sz w:val="32"/>
          <w:szCs w:val="32"/>
        </w:rPr>
        <w:t>Economic Growth</w:t>
      </w:r>
      <w:r w:rsidRPr="00243C4F">
        <w:rPr>
          <w:rFonts w:asciiTheme="majorHAnsi" w:eastAsiaTheme="majorEastAsia" w:hAnsiTheme="majorHAnsi" w:cstheme="majorBidi"/>
          <w:caps/>
          <w:sz w:val="32"/>
          <w:szCs w:val="32"/>
        </w:rPr>
        <w:t xml:space="preserve"> </w:t>
      </w:r>
    </w:p>
    <w:tbl>
      <w:tblPr>
        <w:tblStyle w:val="TableGrid"/>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909"/>
        <w:gridCol w:w="1911"/>
        <w:gridCol w:w="1911"/>
        <w:gridCol w:w="2318"/>
      </w:tblGrid>
      <w:tr w:rsidR="008B2CE9" w14:paraId="7B800FE0" w14:textId="77777777" w:rsidTr="008B2CE9">
        <w:tc>
          <w:tcPr>
            <w:tcW w:w="2300" w:type="dxa"/>
          </w:tcPr>
          <w:p w14:paraId="4E6DED46" w14:textId="77777777" w:rsidR="008B2CE9" w:rsidRDefault="008B2CE9" w:rsidP="00AF4970">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0B049393" wp14:editId="499E14EA">
                  <wp:extent cx="1137600" cy="720000"/>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9" w:type="dxa"/>
          </w:tcPr>
          <w:p w14:paraId="6A347177" w14:textId="77777777" w:rsidR="008B2CE9" w:rsidRDefault="008B2CE9" w:rsidP="008B2CE9">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50953CC8" wp14:editId="0849B474">
                  <wp:extent cx="612000" cy="61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14:paraId="78F1D6AA" w14:textId="77777777" w:rsidR="008B2CE9" w:rsidRDefault="008B2CE9" w:rsidP="008B2CE9">
            <w:pPr>
              <w:pStyle w:val="ListBullet"/>
              <w:tabs>
                <w:tab w:val="clear" w:pos="284"/>
              </w:tabs>
              <w:spacing w:after="60" w:line="240" w:lineRule="auto"/>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0E9C79EB" wp14:editId="23FDF38E">
                  <wp:extent cx="612000" cy="61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14:paraId="70C5424C" w14:textId="77777777" w:rsidR="008B2CE9" w:rsidRDefault="008B2CE9" w:rsidP="008B2CE9">
            <w:pPr>
              <w:pStyle w:val="ListBullet"/>
              <w:tabs>
                <w:tab w:val="clear" w:pos="284"/>
              </w:tabs>
              <w:spacing w:after="60" w:line="240" w:lineRule="auto"/>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6075577D" wp14:editId="10AA4C80">
                  <wp:extent cx="609600" cy="609600"/>
                  <wp:effectExtent l="0" t="0" r="0" b="0"/>
                  <wp:docPr id="36" name="Picture 36"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318" w:type="dxa"/>
          </w:tcPr>
          <w:p w14:paraId="5A8D5844" w14:textId="77777777" w:rsidR="008B2CE9" w:rsidRDefault="008B2CE9" w:rsidP="008B2CE9">
            <w:pPr>
              <w:pStyle w:val="ListBullet"/>
              <w:tabs>
                <w:tab w:val="clear" w:pos="284"/>
              </w:tabs>
              <w:spacing w:after="60" w:line="240" w:lineRule="auto"/>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7045882A" wp14:editId="36859FE8">
                  <wp:extent cx="612000" cy="61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rPr>
              <w:drawing>
                <wp:inline distT="0" distB="0" distL="0" distR="0" wp14:anchorId="3F544971" wp14:editId="1F925CCE">
                  <wp:extent cx="612000" cy="612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7AEE0925" w14:textId="4B3020FE" w:rsidR="00AF4970" w:rsidRDefault="00B930CB" w:rsidP="00AF4970">
      <w:r>
        <w:t xml:space="preserve">While economic growth </w:t>
      </w:r>
      <w:r w:rsidR="001959BA">
        <w:t>in the region has declined in 2018</w:t>
      </w:r>
      <w:r>
        <w:t xml:space="preserve">, Australia’s investments </w:t>
      </w:r>
      <w:r w:rsidR="00604814">
        <w:t xml:space="preserve">have contributed to improving the enabling environment </w:t>
      </w:r>
      <w:r w:rsidR="001959BA">
        <w:t xml:space="preserve">to support longer term </w:t>
      </w:r>
      <w:r w:rsidR="00C103EA">
        <w:t xml:space="preserve">sustainable </w:t>
      </w:r>
      <w:r w:rsidR="001959BA">
        <w:t>growth. P</w:t>
      </w:r>
      <w:r w:rsidR="00522173">
        <w:t xml:space="preserve">rogress </w:t>
      </w:r>
      <w:r w:rsidR="001959BA">
        <w:t xml:space="preserve">against this objective </w:t>
      </w:r>
      <w:r w:rsidR="004C069D">
        <w:t xml:space="preserve">remained </w:t>
      </w:r>
      <w:r w:rsidR="00A809B3">
        <w:t>green</w:t>
      </w:r>
      <w:r w:rsidR="001959BA">
        <w:t>,</w:t>
      </w:r>
      <w:r w:rsidR="00FA4679">
        <w:t xml:space="preserve"> based on the continued strong performance of</w:t>
      </w:r>
      <w:r w:rsidR="00FA4679" w:rsidRPr="00307D0D">
        <w:t xml:space="preserve"> </w:t>
      </w:r>
      <w:r w:rsidR="001959BA">
        <w:t xml:space="preserve">DFAT’s </w:t>
      </w:r>
      <w:r w:rsidR="00522173">
        <w:t>key private sector development, educ</w:t>
      </w:r>
      <w:r w:rsidR="005E0D97">
        <w:t>ation and fisheries investments. This includes</w:t>
      </w:r>
      <w:r w:rsidR="001959BA">
        <w:t xml:space="preserve"> </w:t>
      </w:r>
      <w:r w:rsidR="00FA4679">
        <w:t xml:space="preserve">the </w:t>
      </w:r>
      <w:r w:rsidR="00522173">
        <w:t>on track delivery of the Coral Sea Cable system and the successful</w:t>
      </w:r>
      <w:r w:rsidR="00A20106">
        <w:t xml:space="preserve"> mobilisation of the Pacific </w:t>
      </w:r>
      <w:r w:rsidR="00A20106" w:rsidRPr="00171B90">
        <w:t xml:space="preserve">Labour Scheme. </w:t>
      </w:r>
      <w:r w:rsidR="00FA4679">
        <w:t xml:space="preserve">Furthermore, all three performance benchmarks for Objective 1 were achieved in the reporting period (see Annex B). </w:t>
      </w:r>
      <w:r w:rsidR="00FA469E">
        <w:t>Supporting women’s economic empowerment and engagement remains a priority</w:t>
      </w:r>
      <w:r w:rsidR="006A3598">
        <w:t>.</w:t>
      </w:r>
      <w:r w:rsidR="007401CA">
        <w:t xml:space="preserve"> </w:t>
      </w:r>
      <w:r w:rsidR="006A3598">
        <w:t>W</w:t>
      </w:r>
      <w:r w:rsidR="007401CA">
        <w:t xml:space="preserve">hile some economic growth investments </w:t>
      </w:r>
      <w:r w:rsidR="003B5177">
        <w:t xml:space="preserve">improved </w:t>
      </w:r>
      <w:r w:rsidR="007401CA">
        <w:t xml:space="preserve">their </w:t>
      </w:r>
      <w:r w:rsidR="003B5177">
        <w:t xml:space="preserve">performance on </w:t>
      </w:r>
      <w:r w:rsidR="007401CA">
        <w:t>gender equality (PACE</w:t>
      </w:r>
      <w:r w:rsidR="004071C5">
        <w:t>R</w:t>
      </w:r>
      <w:r w:rsidR="007401CA">
        <w:t xml:space="preserve"> Plus), more work needs to be done to </w:t>
      </w:r>
      <w:r w:rsidR="003B5177">
        <w:t>accelerate progress</w:t>
      </w:r>
      <w:r w:rsidR="007401CA">
        <w:rPr>
          <w:spacing w:val="-3"/>
          <w:lang w:val="en-US"/>
        </w:rPr>
        <w:t>.</w:t>
      </w:r>
      <w:r w:rsidR="00D81CA4">
        <w:rPr>
          <w:spacing w:val="-3"/>
          <w:lang w:val="en-US"/>
        </w:rPr>
        <w:t xml:space="preserve"> </w:t>
      </w:r>
      <w:r w:rsidR="00D81CA4" w:rsidRPr="00850591">
        <w:rPr>
          <w:spacing w:val="-3"/>
          <w:lang w:val="en-US"/>
        </w:rPr>
        <w:t xml:space="preserve">Policy dialogue remains a key tool for driving investment performance. </w:t>
      </w:r>
      <w:r w:rsidR="00AF4970" w:rsidRPr="00850591">
        <w:rPr>
          <w:spacing w:val="-3"/>
          <w:lang w:val="en-US"/>
        </w:rPr>
        <w:t xml:space="preserve">For example, </w:t>
      </w:r>
      <w:r w:rsidR="00AF4970" w:rsidRPr="00850591">
        <w:t xml:space="preserve">the Pacific Labour Mobility Annual Meeting held in </w:t>
      </w:r>
      <w:r w:rsidR="00473DB4">
        <w:t xml:space="preserve">October 2018 in </w:t>
      </w:r>
      <w:r w:rsidR="00AF4970" w:rsidRPr="00850591">
        <w:t xml:space="preserve">Honiara, Solomon Islands, </w:t>
      </w:r>
      <w:r w:rsidR="00AF4970">
        <w:t>brought</w:t>
      </w:r>
      <w:r w:rsidR="00AF4970" w:rsidRPr="00850591">
        <w:t xml:space="preserve"> together over 150 delegates from across</w:t>
      </w:r>
      <w:r w:rsidR="00AF4970">
        <w:t xml:space="preserve"> the region to accelerate labour mobility programs</w:t>
      </w:r>
      <w:r w:rsidR="00293023">
        <w:t xml:space="preserve">, and agreement was reached to further progress Pacific worker access to superannuation. </w:t>
      </w:r>
    </w:p>
    <w:p w14:paraId="18E1CB8D" w14:textId="7C508538" w:rsidR="00FA469E" w:rsidRPr="00DF1841" w:rsidRDefault="00FA469E" w:rsidP="00FA469E">
      <w:pPr>
        <w:rPr>
          <w:lang w:val="en-AU"/>
        </w:rPr>
      </w:pPr>
      <w:r w:rsidRPr="00FA469E">
        <w:rPr>
          <w:b/>
          <w:lang w:val="en-AU"/>
        </w:rPr>
        <w:t>Infrastructure</w:t>
      </w:r>
      <w:r w:rsidRPr="00DF1841">
        <w:rPr>
          <w:lang w:val="en-AU"/>
        </w:rPr>
        <w:t xml:space="preserve"> is critical to sustainable economic growth in the Pacific. </w:t>
      </w:r>
      <w:r w:rsidR="001258B0">
        <w:t>The commencement of the Australian Infrastructure Financing Facility for the Pacific (AIFFP) in 2019 is a key addition to our stepp</w:t>
      </w:r>
      <w:r w:rsidR="00A20106">
        <w:t xml:space="preserve">ed up engagement in the region. The AIFFP </w:t>
      </w:r>
      <w:r w:rsidR="001258B0">
        <w:t>will provide much needed funding to support economic growth enha</w:t>
      </w:r>
      <w:r w:rsidR="00A20106">
        <w:t xml:space="preserve">ncing </w:t>
      </w:r>
      <w:r w:rsidR="00C103EA">
        <w:t xml:space="preserve">sustainable </w:t>
      </w:r>
      <w:r w:rsidR="00A20106">
        <w:t>infrastructure projects. In 2018-19</w:t>
      </w:r>
      <w:r w:rsidR="005E0D97">
        <w:t>,</w:t>
      </w:r>
      <w:r w:rsidR="00A20106">
        <w:t xml:space="preserve"> </w:t>
      </w:r>
      <w:r w:rsidRPr="00DF1841">
        <w:rPr>
          <w:lang w:val="en-AU"/>
        </w:rPr>
        <w:t xml:space="preserve">DFAT undertook a comprehensive design process </w:t>
      </w:r>
      <w:r w:rsidR="00E72669">
        <w:rPr>
          <w:lang w:val="en-AU"/>
        </w:rPr>
        <w:t>for the AIFFP</w:t>
      </w:r>
      <w:r w:rsidR="00A20106">
        <w:rPr>
          <w:lang w:val="en-AU"/>
        </w:rPr>
        <w:t>. The design included extensive consultation</w:t>
      </w:r>
      <w:r w:rsidRPr="00DF1841">
        <w:rPr>
          <w:lang w:val="en-AU"/>
        </w:rPr>
        <w:t xml:space="preserve"> with Pacific Governments, multilateral development finance institutions, infrastructure supply chain companies, infrastructure investment fund managers and the inter</w:t>
      </w:r>
      <w:r>
        <w:rPr>
          <w:lang w:val="en-AU"/>
        </w:rPr>
        <w:t>national development community.</w:t>
      </w:r>
      <w:r w:rsidRPr="00DF1841">
        <w:rPr>
          <w:lang w:val="en-AU"/>
        </w:rPr>
        <w:t xml:space="preserve"> </w:t>
      </w:r>
      <w:r w:rsidRPr="00FA469E">
        <w:rPr>
          <w:b/>
          <w:lang w:val="en-AU"/>
        </w:rPr>
        <w:t>As of 1 July 2</w:t>
      </w:r>
      <w:r w:rsidR="00A20106">
        <w:rPr>
          <w:b/>
          <w:lang w:val="en-AU"/>
        </w:rPr>
        <w:t>019</w:t>
      </w:r>
      <w:r w:rsidRPr="00FA469E">
        <w:rPr>
          <w:b/>
          <w:lang w:val="en-AU"/>
        </w:rPr>
        <w:t xml:space="preserve"> the </w:t>
      </w:r>
      <w:r w:rsidR="00E72669">
        <w:rPr>
          <w:b/>
          <w:lang w:val="en-AU"/>
        </w:rPr>
        <w:t xml:space="preserve">AIFFP </w:t>
      </w:r>
      <w:r w:rsidRPr="00FA469E">
        <w:rPr>
          <w:b/>
          <w:lang w:val="en-AU"/>
        </w:rPr>
        <w:t>is operational</w:t>
      </w:r>
      <w:r w:rsidRPr="00DF1841">
        <w:rPr>
          <w:lang w:val="en-AU"/>
        </w:rPr>
        <w:t>, and work is underway to develop a pipeline of quality infrastructure projects for investment that will promote economic development, and align with the Pacific Governments’ priorities.  </w:t>
      </w:r>
      <w:r w:rsidR="00662F73" w:rsidRPr="00662F73">
        <w:t>All infrastructure supported through the AIFFP will be built to withstand the impacts of climate change and natural disasters.  Under the AIFFP’s Climate Infrastructure Window the AIFFP will fund projects which support renewable and lower emissions energy generation and transmission.</w:t>
      </w:r>
      <w:r w:rsidR="00662F73" w:rsidRPr="00662F73">
        <w:rPr>
          <w:lang w:val="en-AU"/>
        </w:rPr>
        <w:t xml:space="preserve"> </w:t>
      </w:r>
      <w:r w:rsidR="00B8695D" w:rsidRPr="00AB7C22">
        <w:rPr>
          <w:lang w:val="en-AU"/>
        </w:rPr>
        <w:t>Gender Equality and Social Inclusion (GESI) is central to AIFFP investment effectiveness</w:t>
      </w:r>
      <w:r w:rsidR="00B8695D">
        <w:rPr>
          <w:lang w:val="en-AU"/>
        </w:rPr>
        <w:t xml:space="preserve"> and has been considered from the outset in the design and set</w:t>
      </w:r>
      <w:r w:rsidR="00662F73">
        <w:rPr>
          <w:lang w:val="en-AU"/>
        </w:rPr>
        <w:t>-</w:t>
      </w:r>
      <w:r w:rsidR="00B8695D">
        <w:rPr>
          <w:lang w:val="en-AU"/>
        </w:rPr>
        <w:t xml:space="preserve">up of the facility. </w:t>
      </w:r>
      <w:r w:rsidR="00855A3D">
        <w:rPr>
          <w:lang w:val="en-AU"/>
        </w:rPr>
        <w:t xml:space="preserve">Forty </w:t>
      </w:r>
      <w:r w:rsidR="00B8695D">
        <w:rPr>
          <w:lang w:val="en-AU"/>
        </w:rPr>
        <w:t>percent of the AIFFP board is female and a</w:t>
      </w:r>
      <w:r w:rsidR="00B8695D" w:rsidRPr="00AB7C22">
        <w:rPr>
          <w:lang w:val="en-AU"/>
        </w:rPr>
        <w:t xml:space="preserve"> dedicated gender and social inclusion manager has been recruited</w:t>
      </w:r>
      <w:r w:rsidR="00B8695D">
        <w:rPr>
          <w:lang w:val="en-AU"/>
        </w:rPr>
        <w:t xml:space="preserve"> to support the integration of GESI across the project cycle. AIFFP </w:t>
      </w:r>
      <w:r w:rsidR="00B8695D" w:rsidRPr="00AB7C22">
        <w:rPr>
          <w:lang w:val="en-AU"/>
        </w:rPr>
        <w:t>projects will be developed, with atte</w:t>
      </w:r>
      <w:r w:rsidR="00B8695D">
        <w:rPr>
          <w:lang w:val="en-AU"/>
        </w:rPr>
        <w:t>ntion to the business case for G</w:t>
      </w:r>
      <w:r w:rsidR="00B8695D" w:rsidRPr="00AB7C22">
        <w:rPr>
          <w:lang w:val="en-AU"/>
        </w:rPr>
        <w:t>ESI. This includes assessing the way GESI positively intersects with factors for long-term economic growth (i.e., competitive markets, human capital, rule of law and openness to trade) as well as shorter-term, pract</w:t>
      </w:r>
      <w:r w:rsidR="00B8695D">
        <w:rPr>
          <w:lang w:val="en-AU"/>
        </w:rPr>
        <w:t>ical advantages of gender</w:t>
      </w:r>
      <w:r w:rsidR="00B8695D" w:rsidRPr="00AB7C22">
        <w:rPr>
          <w:lang w:val="en-AU"/>
        </w:rPr>
        <w:t xml:space="preserve"> </w:t>
      </w:r>
      <w:r w:rsidR="00B8695D">
        <w:rPr>
          <w:lang w:val="en-AU"/>
        </w:rPr>
        <w:t>diverse talent</w:t>
      </w:r>
      <w:r w:rsidR="00B8695D" w:rsidRPr="00AB7C22">
        <w:rPr>
          <w:lang w:val="en-AU"/>
        </w:rPr>
        <w:t>, enhanced business creativity,</w:t>
      </w:r>
      <w:r w:rsidR="00B8695D">
        <w:rPr>
          <w:lang w:val="en-AU"/>
        </w:rPr>
        <w:t xml:space="preserve"> social licence, accessibility and use of infrastructure by both men and women.</w:t>
      </w:r>
    </w:p>
    <w:p w14:paraId="294AA47C" w14:textId="77777777" w:rsidR="00FC104E" w:rsidRPr="00DF1841" w:rsidRDefault="00FC104E" w:rsidP="00FC104E">
      <w:pPr>
        <w:rPr>
          <w:lang w:val="en-AU"/>
        </w:rPr>
      </w:pPr>
      <w:r w:rsidRPr="00DF1841">
        <w:rPr>
          <w:lang w:val="en-AU"/>
        </w:rPr>
        <w:t xml:space="preserve">The </w:t>
      </w:r>
      <w:r w:rsidRPr="00DF1841">
        <w:rPr>
          <w:b/>
          <w:lang w:val="en-AU"/>
        </w:rPr>
        <w:t>Coral Sea Cable System</w:t>
      </w:r>
      <w:r w:rsidRPr="00DF1841">
        <w:rPr>
          <w:lang w:val="en-AU"/>
        </w:rPr>
        <w:t xml:space="preserve"> </w:t>
      </w:r>
      <w:r>
        <w:rPr>
          <w:lang w:val="en-AU"/>
        </w:rPr>
        <w:t>(</w:t>
      </w:r>
      <w:r w:rsidRPr="00DF1841">
        <w:rPr>
          <w:lang w:val="en-AU"/>
        </w:rPr>
        <w:t>undersea telecommunications cable</w:t>
      </w:r>
      <w:r>
        <w:rPr>
          <w:lang w:val="en-AU"/>
        </w:rPr>
        <w:t>)</w:t>
      </w:r>
      <w:r w:rsidRPr="00DF1841">
        <w:rPr>
          <w:lang w:val="en-AU"/>
        </w:rPr>
        <w:t xml:space="preserve"> </w:t>
      </w:r>
      <w:r>
        <w:rPr>
          <w:lang w:val="en-AU"/>
        </w:rPr>
        <w:t xml:space="preserve">connecting Australia </w:t>
      </w:r>
      <w:r w:rsidRPr="00DF1841">
        <w:rPr>
          <w:lang w:val="en-AU"/>
        </w:rPr>
        <w:t>to Papua New Guinea and Solomon Islands will deliver improved internet speed</w:t>
      </w:r>
      <w:r>
        <w:rPr>
          <w:lang w:val="en-AU"/>
        </w:rPr>
        <w:t>,</w:t>
      </w:r>
      <w:r w:rsidRPr="00DF1841">
        <w:rPr>
          <w:lang w:val="en-AU"/>
        </w:rPr>
        <w:t xml:space="preserve"> enabl</w:t>
      </w:r>
      <w:r>
        <w:rPr>
          <w:lang w:val="en-AU"/>
        </w:rPr>
        <w:t>ing</w:t>
      </w:r>
      <w:r w:rsidRPr="00DF1841">
        <w:rPr>
          <w:lang w:val="en-AU"/>
        </w:rPr>
        <w:t xml:space="preserve"> significant economic opportunities. In 2018-19, substantial progress was made in the delivery of the</w:t>
      </w:r>
      <w:r>
        <w:rPr>
          <w:lang w:val="en-AU"/>
        </w:rPr>
        <w:t xml:space="preserve"> Australian majority funded</w:t>
      </w:r>
      <w:r w:rsidRPr="00DF1841">
        <w:rPr>
          <w:lang w:val="en-AU"/>
        </w:rPr>
        <w:t xml:space="preserve"> cable project</w:t>
      </w:r>
      <w:r>
        <w:rPr>
          <w:lang w:val="en-AU"/>
        </w:rPr>
        <w:t xml:space="preserve">. The project </w:t>
      </w:r>
      <w:r w:rsidRPr="00C868CC">
        <w:rPr>
          <w:lang w:val="en-AU"/>
        </w:rPr>
        <w:t>is</w:t>
      </w:r>
      <w:r w:rsidRPr="00FA469E">
        <w:rPr>
          <w:b/>
          <w:lang w:val="en-AU"/>
        </w:rPr>
        <w:t xml:space="preserve"> on track to be completed by December 2019</w:t>
      </w:r>
      <w:r w:rsidRPr="00DF1841">
        <w:rPr>
          <w:lang w:val="en-AU"/>
        </w:rPr>
        <w:t xml:space="preserve">. </w:t>
      </w:r>
      <w:r>
        <w:rPr>
          <w:lang w:val="en-AU"/>
        </w:rPr>
        <w:t>A</w:t>
      </w:r>
      <w:r w:rsidRPr="00DF1841">
        <w:rPr>
          <w:lang w:val="en-AU"/>
        </w:rPr>
        <w:t xml:space="preserve"> marine survey determine</w:t>
      </w:r>
      <w:r>
        <w:rPr>
          <w:lang w:val="en-AU"/>
        </w:rPr>
        <w:t>d</w:t>
      </w:r>
      <w:r w:rsidRPr="00DF1841">
        <w:rPr>
          <w:lang w:val="en-AU"/>
        </w:rPr>
        <w:t xml:space="preserve"> the route of the cable</w:t>
      </w:r>
      <w:r>
        <w:rPr>
          <w:lang w:val="en-AU"/>
        </w:rPr>
        <w:t xml:space="preserve"> in 2018 and c</w:t>
      </w:r>
      <w:r w:rsidRPr="00DF1841">
        <w:rPr>
          <w:lang w:val="en-AU"/>
        </w:rPr>
        <w:t xml:space="preserve">able manufacture was </w:t>
      </w:r>
      <w:r>
        <w:rPr>
          <w:lang w:val="en-AU"/>
        </w:rPr>
        <w:t xml:space="preserve">completed in </w:t>
      </w:r>
      <w:r w:rsidRPr="00DF1841">
        <w:rPr>
          <w:lang w:val="en-AU"/>
        </w:rPr>
        <w:t>March 2019. Civil works were simultaneously carried out to prepare the cable landing infrastructure in all locations on time.</w:t>
      </w:r>
      <w:r w:rsidRPr="00DF1841" w:rsidDel="00884F21">
        <w:rPr>
          <w:lang w:val="en-AU"/>
        </w:rPr>
        <w:t xml:space="preserve"> </w:t>
      </w:r>
      <w:r w:rsidRPr="00DF1841">
        <w:rPr>
          <w:lang w:val="en-AU"/>
        </w:rPr>
        <w:t xml:space="preserve">Considerable progress was </w:t>
      </w:r>
      <w:r>
        <w:rPr>
          <w:lang w:val="en-AU"/>
        </w:rPr>
        <w:t>achieved</w:t>
      </w:r>
      <w:r w:rsidRPr="00DF1841">
        <w:rPr>
          <w:lang w:val="en-AU"/>
        </w:rPr>
        <w:t xml:space="preserve"> with partners in PNG and Solomon Islands on cable ownership</w:t>
      </w:r>
      <w:r>
        <w:rPr>
          <w:lang w:val="en-AU"/>
        </w:rPr>
        <w:t xml:space="preserve">, </w:t>
      </w:r>
      <w:r w:rsidRPr="00DF1841">
        <w:rPr>
          <w:lang w:val="en-AU"/>
        </w:rPr>
        <w:t>access</w:t>
      </w:r>
      <w:r>
        <w:rPr>
          <w:lang w:val="en-AU"/>
        </w:rPr>
        <w:t>,</w:t>
      </w:r>
      <w:r w:rsidRPr="00DF1841">
        <w:rPr>
          <w:lang w:val="en-AU"/>
        </w:rPr>
        <w:t xml:space="preserve"> and management arrangements</w:t>
      </w:r>
      <w:r>
        <w:rPr>
          <w:lang w:val="en-AU"/>
        </w:rPr>
        <w:t xml:space="preserve"> to enable </w:t>
      </w:r>
      <w:r w:rsidRPr="00DF1841">
        <w:rPr>
          <w:lang w:val="en-AU"/>
        </w:rPr>
        <w:t xml:space="preserve">sustainable operation </w:t>
      </w:r>
      <w:r>
        <w:rPr>
          <w:lang w:val="en-AU"/>
        </w:rPr>
        <w:t>(</w:t>
      </w:r>
      <w:r w:rsidRPr="00DF1841">
        <w:rPr>
          <w:lang w:val="en-AU"/>
        </w:rPr>
        <w:t xml:space="preserve">over </w:t>
      </w:r>
      <w:r>
        <w:rPr>
          <w:lang w:val="en-AU"/>
        </w:rPr>
        <w:t>a</w:t>
      </w:r>
      <w:r w:rsidRPr="00DF1841">
        <w:rPr>
          <w:lang w:val="en-AU"/>
        </w:rPr>
        <w:t xml:space="preserve"> 25-year lifespan</w:t>
      </w:r>
      <w:r>
        <w:rPr>
          <w:lang w:val="en-AU"/>
        </w:rPr>
        <w:t>)</w:t>
      </w:r>
      <w:r w:rsidRPr="00DF1841">
        <w:rPr>
          <w:lang w:val="en-AU"/>
        </w:rPr>
        <w:t>.</w:t>
      </w:r>
      <w:r>
        <w:rPr>
          <w:lang w:val="en-AU"/>
        </w:rPr>
        <w:t xml:space="preserve"> Stakeholder engagement and outreach has been successful </w:t>
      </w:r>
      <w:r w:rsidRPr="00DF1841">
        <w:rPr>
          <w:lang w:val="en-AU"/>
        </w:rPr>
        <w:t>and media coverage</w:t>
      </w:r>
      <w:r>
        <w:rPr>
          <w:lang w:val="en-AU"/>
        </w:rPr>
        <w:t xml:space="preserve"> positive</w:t>
      </w:r>
      <w:r w:rsidRPr="00DF1841">
        <w:rPr>
          <w:lang w:val="en-AU"/>
        </w:rPr>
        <w:t>. Initiatives are underway to assist PNG and</w:t>
      </w:r>
      <w:r>
        <w:rPr>
          <w:lang w:val="en-AU"/>
        </w:rPr>
        <w:t xml:space="preserve"> </w:t>
      </w:r>
      <w:r w:rsidRPr="00DF1841">
        <w:rPr>
          <w:lang w:val="en-AU"/>
        </w:rPr>
        <w:t xml:space="preserve">Solomon Islands to increase internet access </w:t>
      </w:r>
      <w:r>
        <w:rPr>
          <w:lang w:val="en-AU"/>
        </w:rPr>
        <w:t xml:space="preserve">and connectivity, </w:t>
      </w:r>
      <w:r w:rsidRPr="00DF1841">
        <w:rPr>
          <w:lang w:val="en-AU"/>
        </w:rPr>
        <w:t xml:space="preserve">and </w:t>
      </w:r>
      <w:r w:rsidR="00662F73">
        <w:rPr>
          <w:lang w:val="en-AU"/>
        </w:rPr>
        <w:t xml:space="preserve">to </w:t>
      </w:r>
      <w:r w:rsidRPr="00DF1841">
        <w:rPr>
          <w:lang w:val="en-AU"/>
        </w:rPr>
        <w:t>harness the economic benefits offered through the cable.</w:t>
      </w:r>
    </w:p>
    <w:p w14:paraId="2F94EEBB" w14:textId="3813BCBD" w:rsidR="00FC104E" w:rsidRDefault="00FA469E" w:rsidP="00FC104E">
      <w:r>
        <w:t xml:space="preserve">Supporting </w:t>
      </w:r>
      <w:r w:rsidRPr="00F018E3">
        <w:rPr>
          <w:b/>
        </w:rPr>
        <w:t>private sector development</w:t>
      </w:r>
      <w:r w:rsidR="00EF6FCB">
        <w:t xml:space="preserve"> aims to improve</w:t>
      </w:r>
      <w:r>
        <w:t xml:space="preserve"> Pacific countries’ growth prospects, and is an important part of our Pacific step-up. Despite a challenging environment, over 2018 our investments have leveraged private finance; increased access to financial services, including for women; and improved the business enabling environment. The third phase of the </w:t>
      </w:r>
      <w:r w:rsidRPr="00A03D7C">
        <w:rPr>
          <w:b/>
        </w:rPr>
        <w:t>Private Sector Development Initiative (PSDI)</w:t>
      </w:r>
      <w:r>
        <w:t xml:space="preserve"> performed well over the year. </w:t>
      </w:r>
      <w:r w:rsidR="00FC104E">
        <w:t>Business law reform and establishment of online business registries in a number of countries dramatically increased the rate of company formation by an average of 114 per cent, and reduce</w:t>
      </w:r>
      <w:r w:rsidR="004F42B4">
        <w:t>d</w:t>
      </w:r>
      <w:r w:rsidR="00FC104E">
        <w:t xml:space="preserve"> business registration processes from an average 22 to 1.5 </w:t>
      </w:r>
      <w:r w:rsidR="00C33280">
        <w:t>days</w:t>
      </w:r>
      <w:r w:rsidR="00C33280">
        <w:rPr>
          <w:rStyle w:val="FootnoteReference"/>
        </w:rPr>
        <w:footnoteReference w:id="10"/>
      </w:r>
      <w:r w:rsidR="00C33280">
        <w:t>.</w:t>
      </w:r>
      <w:r w:rsidR="00FC104E">
        <w:t xml:space="preserve"> The</w:t>
      </w:r>
      <w:r w:rsidR="00FC104E" w:rsidRPr="00E52885">
        <w:rPr>
          <w:b/>
        </w:rPr>
        <w:t xml:space="preserve"> Pacific Readiness for Investment in Social Enterprise program (Pacific RISE) </w:t>
      </w:r>
      <w:r w:rsidR="00FC104E">
        <w:t xml:space="preserve">transitioned from scoping, to testing investment readiness processes with intermediaries in 2018, to a pipeline of investment ready opportunities. In Vanuatu, Pacific RISE supported Coconut Oil Production Santo Limited (COPSL) with a </w:t>
      </w:r>
      <w:r w:rsidR="003A23F3">
        <w:t>AUD</w:t>
      </w:r>
      <w:r w:rsidR="00FC104E">
        <w:t>250,000 investment to establish a Virgin Coconut Oil processing plant. This investment will open new markets and increase incomes for approximately 100 rural families, with particular benefits for women</w:t>
      </w:r>
      <w:r w:rsidR="004071C5">
        <w:t xml:space="preserve"> </w:t>
      </w:r>
      <w:r w:rsidR="004071C5" w:rsidRPr="004071C5">
        <w:t>as around 30 per cent of oil will be purchased from women suppliers. Pacific RISE has also been involved in linking social enterprises who work with people with a disability to intermediaries in the Pacific. This included consultations on how social enterprises and organisations with a disability focus could play a role in impact investments in the Pacific.</w:t>
      </w:r>
      <w:r w:rsidR="00FC104E">
        <w:t xml:space="preserve"> </w:t>
      </w:r>
    </w:p>
    <w:p w14:paraId="7F9752EC" w14:textId="7435092B" w:rsidR="00FA469E" w:rsidRPr="00D76C12" w:rsidRDefault="00FC104E" w:rsidP="00FA469E">
      <w:r>
        <w:t xml:space="preserve">The </w:t>
      </w:r>
      <w:r w:rsidRPr="00AF4970">
        <w:rPr>
          <w:b/>
        </w:rPr>
        <w:t>Pacific Finance Inclusion Program</w:t>
      </w:r>
      <w:r>
        <w:t xml:space="preserve"> </w:t>
      </w:r>
      <w:r w:rsidRPr="000B0E65">
        <w:rPr>
          <w:b/>
        </w:rPr>
        <w:t>(PFIP)</w:t>
      </w:r>
      <w:r>
        <w:t xml:space="preserve"> has played an important role in expanding access to financial services for more than two million</w:t>
      </w:r>
      <w:r w:rsidRPr="00F52E41">
        <w:t xml:space="preserve"> </w:t>
      </w:r>
      <w:r>
        <w:t>rural and low-income Pacific</w:t>
      </w:r>
      <w:r w:rsidRPr="00F52E41">
        <w:t xml:space="preserve"> </w:t>
      </w:r>
      <w:r>
        <w:t>island people. Over 2018-19, at least an additional 1</w:t>
      </w:r>
      <w:r w:rsidRPr="00F52E41">
        <w:t>27,</w:t>
      </w:r>
      <w:r>
        <w:t xml:space="preserve">697 Pacific island people, a third of </w:t>
      </w:r>
      <w:r w:rsidR="00662F73">
        <w:t xml:space="preserve">who </w:t>
      </w:r>
      <w:r>
        <w:t xml:space="preserve">were women, gained access to some form of financial services. These services included micro-insurance or micro-pension products, mobile money services, and banking services through improved banking-agent networks. </w:t>
      </w:r>
      <w:r w:rsidR="00592623" w:rsidRPr="00AF4970">
        <w:rPr>
          <w:spacing w:val="-3"/>
          <w:lang w:val="en-US"/>
        </w:rPr>
        <w:t xml:space="preserve">The new </w:t>
      </w:r>
      <w:r w:rsidR="00592623" w:rsidRPr="00AF4970">
        <w:rPr>
          <w:b/>
          <w:spacing w:val="-3"/>
          <w:lang w:val="en-US"/>
        </w:rPr>
        <w:t>Asia-Pacific Data for Development Initiative</w:t>
      </w:r>
      <w:r w:rsidR="00592623" w:rsidRPr="00AF4970">
        <w:rPr>
          <w:spacing w:val="-3"/>
          <w:lang w:val="en-US"/>
        </w:rPr>
        <w:t xml:space="preserve"> – Pacific Component (APD4DI) didn’t perform adequately in 2018-19, with </w:t>
      </w:r>
      <w:r w:rsidR="00522173">
        <w:rPr>
          <w:spacing w:val="-3"/>
          <w:lang w:val="en-US"/>
        </w:rPr>
        <w:t xml:space="preserve">stalled implementation and </w:t>
      </w:r>
      <w:r w:rsidR="00592623" w:rsidRPr="00AF4970">
        <w:rPr>
          <w:spacing w:val="-3"/>
          <w:lang w:val="en-US"/>
        </w:rPr>
        <w:t>key milestones not met</w:t>
      </w:r>
      <w:r w:rsidR="00522173">
        <w:rPr>
          <w:spacing w:val="-3"/>
          <w:lang w:val="en-US"/>
        </w:rPr>
        <w:t xml:space="preserve"> </w:t>
      </w:r>
      <w:r w:rsidR="00592623" w:rsidRPr="00AF4970">
        <w:rPr>
          <w:spacing w:val="-3"/>
          <w:lang w:val="en-US"/>
        </w:rPr>
        <w:t xml:space="preserve">(reflected in low </w:t>
      </w:r>
      <w:r w:rsidR="00662F73">
        <w:rPr>
          <w:spacing w:val="-3"/>
          <w:lang w:val="en-US"/>
        </w:rPr>
        <w:t xml:space="preserve">Aid Quality Check </w:t>
      </w:r>
      <w:r w:rsidR="00592623" w:rsidRPr="00AF4970">
        <w:rPr>
          <w:spacing w:val="-3"/>
          <w:lang w:val="en-US"/>
        </w:rPr>
        <w:t>ratings). This has been addressed through revised institutional and governance processes, the recruitment of key staff and advisory capacity, and new partnerships established, resulting in improved performance in 2019.</w:t>
      </w:r>
    </w:p>
    <w:p w14:paraId="6B552383" w14:textId="31ADA4B1" w:rsidR="007E3150" w:rsidRDefault="007E3150" w:rsidP="007E3150">
      <w:r w:rsidRPr="00F018E3">
        <w:rPr>
          <w:b/>
        </w:rPr>
        <w:t xml:space="preserve">Trade facilitation </w:t>
      </w:r>
      <w:r w:rsidR="00EF6FCB">
        <w:t>is</w:t>
      </w:r>
      <w:r w:rsidRPr="00C868CC">
        <w:t xml:space="preserve"> enhancing livelihoods and growth opportunities in Pacific island countries</w:t>
      </w:r>
      <w:r w:rsidRPr="005B08F4">
        <w:t>. In 2018-19</w:t>
      </w:r>
      <w:r>
        <w:t>,</w:t>
      </w:r>
      <w:r w:rsidRPr="005B08F4">
        <w:t xml:space="preserve"> the </w:t>
      </w:r>
      <w:r w:rsidRPr="000B0E65">
        <w:rPr>
          <w:b/>
        </w:rPr>
        <w:t>PACER Plus Readiness Package</w:t>
      </w:r>
      <w:r w:rsidRPr="005B08F4">
        <w:t xml:space="preserve"> supported all Pacific PACER Plus signatories to adopt the latest international customs nomenclature HS2017. It also funded the United Nations Conference on Trade and Development (UNCTAD) to develop</w:t>
      </w:r>
      <w:r>
        <w:t xml:space="preserve"> a</w:t>
      </w:r>
      <w:r w:rsidRPr="005B08F4">
        <w:t xml:space="preserve"> regionally integrated online trade portal for each signatory</w:t>
      </w:r>
      <w:r>
        <w:t>. I</w:t>
      </w:r>
      <w:r w:rsidRPr="005B08F4">
        <w:t>n addition to provid</w:t>
      </w:r>
      <w:r>
        <w:t>ing</w:t>
      </w:r>
      <w:r w:rsidRPr="005B08F4">
        <w:t xml:space="preserve"> advice on tariff rates, </w:t>
      </w:r>
      <w:r>
        <w:t xml:space="preserve">the portal </w:t>
      </w:r>
      <w:r w:rsidRPr="005B08F4">
        <w:t xml:space="preserve">comprehensively documents import and export procedures. </w:t>
      </w:r>
      <w:r w:rsidRPr="00B30F07">
        <w:t>UNCTAD established a PACER Plus Project Regional Coordination Office in Apia, Samoa</w:t>
      </w:r>
      <w:r>
        <w:t>,</w:t>
      </w:r>
      <w:r w:rsidRPr="00B30F07">
        <w:t xml:space="preserve"> to support delivery of the trade transparency project</w:t>
      </w:r>
      <w:r>
        <w:t>. T</w:t>
      </w:r>
      <w:r w:rsidRPr="00B30F07">
        <w:t>rade portals are now operational in eight of the nine signatory countries.</w:t>
      </w:r>
      <w:r>
        <w:t xml:space="preserve"> </w:t>
      </w:r>
    </w:p>
    <w:p w14:paraId="3C405B7D" w14:textId="5ED62EDD" w:rsidR="007E3150" w:rsidRDefault="007E3150" w:rsidP="007E3150">
      <w:r w:rsidRPr="00AF4970">
        <w:rPr>
          <w:b/>
        </w:rPr>
        <w:t>The Pacific Horticultural and Agricultural Market Access Program</w:t>
      </w:r>
      <w:r w:rsidRPr="00154ED6">
        <w:t xml:space="preserve"> (PHAMA Plus) helps Pacific </w:t>
      </w:r>
      <w:r>
        <w:t xml:space="preserve">island </w:t>
      </w:r>
      <w:r w:rsidRPr="00154ED6">
        <w:t xml:space="preserve">countries develop and maintain agricultural export markets by </w:t>
      </w:r>
      <w:r w:rsidR="00662F73">
        <w:t>helping</w:t>
      </w:r>
      <w:r w:rsidR="00662F73" w:rsidRPr="00154ED6">
        <w:t xml:space="preserve"> </w:t>
      </w:r>
      <w:r w:rsidRPr="00154ED6">
        <w:t>them meet export market biosecurity and quality requirements. Since the commencement of the latest phase in November 2018, PHAMA Plus has facilitated an additional volume of over 95MT of cocoa sales from PNG,</w:t>
      </w:r>
      <w:r>
        <w:t xml:space="preserve"> </w:t>
      </w:r>
      <w:r w:rsidRPr="00154ED6">
        <w:t>Solomon Islands and Vanuatu to premium international markets</w:t>
      </w:r>
      <w:r>
        <w:t>. This has</w:t>
      </w:r>
      <w:r w:rsidRPr="00154ED6">
        <w:t xml:space="preserve"> generat</w:t>
      </w:r>
      <w:r>
        <w:t>ed</w:t>
      </w:r>
      <w:r w:rsidRPr="00154ED6">
        <w:t xml:space="preserve"> sales revenue of AUD110,250 for several exporters who are buying from over 100 farmers.</w:t>
      </w:r>
      <w:r>
        <w:t xml:space="preserve"> </w:t>
      </w:r>
      <w:r w:rsidR="00186B78">
        <w:t xml:space="preserve">The previous version of PHAMA ended in November 2018 and generated useful lessons for future market access programs, such as the importance of DFAT working more closely with whole-of-government partners to support PIC market access requests, addressing impediments across value chains alongside market access, and supporting a value-addition process for Pacific products. </w:t>
      </w:r>
      <w:r>
        <w:t>The Australian Government’s support of</w:t>
      </w:r>
      <w:r w:rsidRPr="00154ED6">
        <w:t xml:space="preserve"> </w:t>
      </w:r>
      <w:r w:rsidRPr="00E52885">
        <w:rPr>
          <w:b/>
        </w:rPr>
        <w:t>Pacific Trade Invest</w:t>
      </w:r>
      <w:r>
        <w:t xml:space="preserve"> (PTI), an agency of the Pacific Islands Forum Secretariat, has assisted 981 businesses in 2018-19. PTI has facilitated a total of AUD23.5 million in exports and AUD2.29 million in investments. PTI’s innovative Digital Trade Program focuses on supporting business in Pacific island countries to take advantage of the benefits that e-commerce can provide. </w:t>
      </w:r>
    </w:p>
    <w:p w14:paraId="0C02B0D7" w14:textId="59D0C25B" w:rsidR="009E158F" w:rsidRDefault="009E158F" w:rsidP="009E158F">
      <w:pPr>
        <w:rPr>
          <w:lang w:val="en-AU"/>
        </w:rPr>
      </w:pPr>
      <w:r>
        <w:rPr>
          <w:lang w:val="en-AU"/>
        </w:rPr>
        <w:t>Australia is working with Pacific island countries t</w:t>
      </w:r>
      <w:r w:rsidRPr="00C868CC">
        <w:rPr>
          <w:lang w:val="en-AU"/>
        </w:rPr>
        <w:t xml:space="preserve">hrough </w:t>
      </w:r>
      <w:r>
        <w:rPr>
          <w:lang w:val="en-AU"/>
        </w:rPr>
        <w:t xml:space="preserve">the expansion of </w:t>
      </w:r>
      <w:r w:rsidRPr="00C868CC">
        <w:rPr>
          <w:b/>
          <w:lang w:val="en-AU"/>
        </w:rPr>
        <w:t>Pacific labour mobility</w:t>
      </w:r>
      <w:r w:rsidRPr="00C868CC">
        <w:rPr>
          <w:lang w:val="en-AU"/>
        </w:rPr>
        <w:t xml:space="preserve"> to realise what the World Bank describes as a ‘major transformational economic opportunity’</w:t>
      </w:r>
      <w:r>
        <w:rPr>
          <w:lang w:val="en-AU"/>
        </w:rPr>
        <w:t>. This</w:t>
      </w:r>
      <w:r w:rsidRPr="00C868CC">
        <w:rPr>
          <w:lang w:val="en-AU"/>
        </w:rPr>
        <w:t xml:space="preserve"> could potentially generate additional net income of US</w:t>
      </w:r>
      <w:r>
        <w:rPr>
          <w:lang w:val="en-AU"/>
        </w:rPr>
        <w:t>D</w:t>
      </w:r>
      <w:r w:rsidRPr="00C868CC">
        <w:rPr>
          <w:lang w:val="en-AU"/>
        </w:rPr>
        <w:t>13 billion for Pacific island countries by 2040.</w:t>
      </w:r>
      <w:r>
        <w:rPr>
          <w:rStyle w:val="FootnoteReference"/>
          <w:rFonts w:asciiTheme="majorHAnsi" w:hAnsiTheme="majorHAnsi" w:cstheme="majorHAnsi"/>
          <w:sz w:val="24"/>
          <w:szCs w:val="24"/>
        </w:rPr>
        <w:footnoteReference w:id="11"/>
      </w:r>
      <w:r>
        <w:rPr>
          <w:lang w:val="en-AU"/>
        </w:rPr>
        <w:t xml:space="preserve"> Pacific labour mobility comprises two initiatives – the DFAT-led </w:t>
      </w:r>
      <w:r w:rsidRPr="00C868CC">
        <w:rPr>
          <w:b/>
          <w:lang w:val="en-AU"/>
        </w:rPr>
        <w:t xml:space="preserve">Pacific Labour Scheme </w:t>
      </w:r>
      <w:r w:rsidRPr="00D67368">
        <w:rPr>
          <w:lang w:val="en-AU"/>
        </w:rPr>
        <w:t>(PLS)</w:t>
      </w:r>
      <w:r>
        <w:rPr>
          <w:lang w:val="en-AU"/>
        </w:rPr>
        <w:t xml:space="preserve"> and the Department of Employment-led Seasonal Worker Programme (SWP). </w:t>
      </w:r>
      <w:r w:rsidRPr="003E3B2D">
        <w:rPr>
          <w:lang w:val="en-AU"/>
        </w:rPr>
        <w:t xml:space="preserve">The </w:t>
      </w:r>
      <w:r w:rsidRPr="00C868CC">
        <w:rPr>
          <w:bCs/>
          <w:lang w:val="en-AU"/>
        </w:rPr>
        <w:t xml:space="preserve">PLS </w:t>
      </w:r>
      <w:r w:rsidRPr="00D67368">
        <w:rPr>
          <w:lang w:val="en-AU"/>
        </w:rPr>
        <w:t>commenced on 1 July 2018</w:t>
      </w:r>
      <w:r w:rsidRPr="003E3B2D">
        <w:rPr>
          <w:lang w:val="en-AU"/>
        </w:rPr>
        <w:t xml:space="preserve">, </w:t>
      </w:r>
      <w:r>
        <w:rPr>
          <w:lang w:val="en-AU"/>
        </w:rPr>
        <w:t>providing employment opportunities to Pacific island and Timor</w:t>
      </w:r>
      <w:r w:rsidR="00604814">
        <w:rPr>
          <w:lang w:val="en-AU"/>
        </w:rPr>
        <w:t>-</w:t>
      </w:r>
      <w:r>
        <w:rPr>
          <w:lang w:val="en-AU"/>
        </w:rPr>
        <w:t>Leste workers</w:t>
      </w:r>
      <w:r w:rsidRPr="003E3B2D">
        <w:rPr>
          <w:lang w:val="en-AU"/>
        </w:rPr>
        <w:t>. </w:t>
      </w:r>
      <w:r w:rsidR="00BB2C17">
        <w:rPr>
          <w:lang w:val="en-AU"/>
        </w:rPr>
        <w:t xml:space="preserve">In November 2018, the Australian Government announced the uncapping and expansion of PLS to all key Pacific island countries (previously capped </w:t>
      </w:r>
      <w:r w:rsidR="001A6CB7">
        <w:rPr>
          <w:lang w:val="en-AU"/>
        </w:rPr>
        <w:t>with</w:t>
      </w:r>
      <w:r w:rsidR="00BB2C17">
        <w:rPr>
          <w:lang w:val="en-AU"/>
        </w:rPr>
        <w:t xml:space="preserve"> upper limit of 2,000 workers per year). Over </w:t>
      </w:r>
      <w:r>
        <w:rPr>
          <w:lang w:val="en-AU"/>
        </w:rPr>
        <w:t>2018-19</w:t>
      </w:r>
      <w:r w:rsidRPr="003E3B2D">
        <w:rPr>
          <w:lang w:val="en-AU"/>
        </w:rPr>
        <w:t xml:space="preserve">, Australia </w:t>
      </w:r>
      <w:r>
        <w:rPr>
          <w:lang w:val="en-AU"/>
        </w:rPr>
        <w:t xml:space="preserve">negotiated and </w:t>
      </w:r>
      <w:r w:rsidRPr="003E3B2D">
        <w:rPr>
          <w:lang w:val="en-AU"/>
        </w:rPr>
        <w:t>signed Memorand</w:t>
      </w:r>
      <w:r>
        <w:rPr>
          <w:lang w:val="en-AU"/>
        </w:rPr>
        <w:t>a</w:t>
      </w:r>
      <w:r w:rsidRPr="003E3B2D">
        <w:rPr>
          <w:lang w:val="en-AU"/>
        </w:rPr>
        <w:t xml:space="preserve"> of Understanding with </w:t>
      </w:r>
      <w:r>
        <w:rPr>
          <w:lang w:val="en-AU"/>
        </w:rPr>
        <w:t>seven new</w:t>
      </w:r>
      <w:r w:rsidRPr="003E3B2D">
        <w:rPr>
          <w:lang w:val="en-AU"/>
        </w:rPr>
        <w:t xml:space="preserve"> countries to join the Pacific Labour Scheme</w:t>
      </w:r>
      <w:r>
        <w:rPr>
          <w:lang w:val="en-AU"/>
        </w:rPr>
        <w:t xml:space="preserve">. Workers from </w:t>
      </w:r>
      <w:r w:rsidRPr="003E3B2D">
        <w:rPr>
          <w:lang w:val="en-AU"/>
        </w:rPr>
        <w:t>Fiji,</w:t>
      </w:r>
      <w:r>
        <w:rPr>
          <w:lang w:val="en-AU"/>
        </w:rPr>
        <w:t xml:space="preserve"> Kiribati, Nauru,</w:t>
      </w:r>
      <w:r w:rsidRPr="003E3B2D">
        <w:rPr>
          <w:lang w:val="en-AU"/>
        </w:rPr>
        <w:t xml:space="preserve"> Papua New Guinea, Samoa, Solomon Islands, Timor-Leste, Tonga,</w:t>
      </w:r>
      <w:r>
        <w:rPr>
          <w:lang w:val="en-AU"/>
        </w:rPr>
        <w:t xml:space="preserve"> Tuvalu</w:t>
      </w:r>
      <w:r w:rsidRPr="003E3B2D">
        <w:rPr>
          <w:lang w:val="en-AU"/>
        </w:rPr>
        <w:t xml:space="preserve"> and Vanuatu</w:t>
      </w:r>
      <w:r>
        <w:rPr>
          <w:lang w:val="en-AU"/>
        </w:rPr>
        <w:t xml:space="preserve"> can now access low and semi-skilled employment for one to three years in rural and regional Australia.</w:t>
      </w:r>
      <w:r w:rsidR="001A6CB7">
        <w:rPr>
          <w:lang w:val="en-AU"/>
        </w:rPr>
        <w:t xml:space="preserve"> The </w:t>
      </w:r>
      <w:r w:rsidR="001A6CB7" w:rsidRPr="001A6CB7">
        <w:rPr>
          <w:lang w:val="en-AU"/>
        </w:rPr>
        <w:t xml:space="preserve">Australia Pacific Training Coalition (APTC3) </w:t>
      </w:r>
      <w:r w:rsidR="001A6CB7">
        <w:rPr>
          <w:lang w:val="en-AU"/>
        </w:rPr>
        <w:t xml:space="preserve">has been recast to </w:t>
      </w:r>
      <w:r w:rsidR="001A6CB7" w:rsidRPr="001A6CB7">
        <w:rPr>
          <w:lang w:val="en-AU"/>
        </w:rPr>
        <w:t xml:space="preserve">ensure Pacific workers are well connected to the opportunities the </w:t>
      </w:r>
      <w:r w:rsidR="00871434">
        <w:rPr>
          <w:lang w:val="en-AU"/>
        </w:rPr>
        <w:t>PLS</w:t>
      </w:r>
      <w:r w:rsidR="001A6CB7" w:rsidRPr="001A6CB7">
        <w:rPr>
          <w:lang w:val="en-AU"/>
        </w:rPr>
        <w:t xml:space="preserve"> </w:t>
      </w:r>
      <w:r w:rsidR="00871434">
        <w:rPr>
          <w:lang w:val="en-AU"/>
        </w:rPr>
        <w:t>provides</w:t>
      </w:r>
      <w:r w:rsidR="001A6CB7" w:rsidRPr="001A6CB7">
        <w:rPr>
          <w:lang w:val="en-AU"/>
        </w:rPr>
        <w:t>.</w:t>
      </w:r>
      <w:r w:rsidR="001A6CB7">
        <w:rPr>
          <w:lang w:val="en-AU"/>
        </w:rPr>
        <w:t xml:space="preserve"> Going forward, further work is needed to strengthen </w:t>
      </w:r>
      <w:r w:rsidR="00AF4970">
        <w:rPr>
          <w:lang w:val="en-AU"/>
        </w:rPr>
        <w:t>the risk management approach across whole-of-government partners</w:t>
      </w:r>
      <w:r w:rsidR="001A6CB7">
        <w:rPr>
          <w:lang w:val="en-AU"/>
        </w:rPr>
        <w:t>.</w:t>
      </w:r>
      <w:r w:rsidRPr="003E3B2D">
        <w:rPr>
          <w:lang w:val="en-AU"/>
        </w:rPr>
        <w:t xml:space="preserve"> </w:t>
      </w:r>
    </w:p>
    <w:p w14:paraId="5E46E732" w14:textId="759802BC" w:rsidR="009E158F" w:rsidRPr="003E3B2D" w:rsidRDefault="00662F73" w:rsidP="009E158F">
      <w:pPr>
        <w:rPr>
          <w:lang w:val="en-AU"/>
        </w:rPr>
      </w:pPr>
      <w:r>
        <w:rPr>
          <w:lang w:val="en-AU"/>
        </w:rPr>
        <w:t>We established t</w:t>
      </w:r>
      <w:r w:rsidR="009E158F">
        <w:rPr>
          <w:lang w:val="en-AU"/>
        </w:rPr>
        <w:t>h</w:t>
      </w:r>
      <w:r w:rsidR="009E158F" w:rsidRPr="003E3B2D">
        <w:rPr>
          <w:lang w:val="en-AU"/>
        </w:rPr>
        <w:t xml:space="preserve">e </w:t>
      </w:r>
      <w:r w:rsidR="009E158F" w:rsidRPr="003E3B2D">
        <w:rPr>
          <w:b/>
          <w:bCs/>
          <w:lang w:val="en-AU"/>
        </w:rPr>
        <w:t>Pacific Labour Facility</w:t>
      </w:r>
      <w:r w:rsidR="009E158F" w:rsidRPr="003E3B2D">
        <w:rPr>
          <w:lang w:val="en-AU"/>
        </w:rPr>
        <w:t xml:space="preserve"> </w:t>
      </w:r>
      <w:r w:rsidR="009E158F">
        <w:rPr>
          <w:lang w:val="en-AU"/>
        </w:rPr>
        <w:t>(PLF)</w:t>
      </w:r>
      <w:r w:rsidR="00C27CC6">
        <w:rPr>
          <w:lang w:val="en-AU"/>
        </w:rPr>
        <w:t xml:space="preserve"> </w:t>
      </w:r>
      <w:r w:rsidR="009E158F">
        <w:rPr>
          <w:lang w:val="en-AU"/>
        </w:rPr>
        <w:t>i</w:t>
      </w:r>
      <w:r w:rsidR="009E158F" w:rsidRPr="003E3B2D">
        <w:rPr>
          <w:lang w:val="en-AU"/>
        </w:rPr>
        <w:t xml:space="preserve">n </w:t>
      </w:r>
      <w:r w:rsidR="009E158F">
        <w:rPr>
          <w:lang w:val="en-AU"/>
        </w:rPr>
        <w:t xml:space="preserve">October </w:t>
      </w:r>
      <w:r w:rsidR="009E158F" w:rsidRPr="003E3B2D">
        <w:rPr>
          <w:lang w:val="en-AU"/>
        </w:rPr>
        <w:t>2018</w:t>
      </w:r>
      <w:r w:rsidR="00C27CC6">
        <w:rPr>
          <w:lang w:val="en-AU"/>
        </w:rPr>
        <w:t xml:space="preserve"> to</w:t>
      </w:r>
      <w:r w:rsidR="009E158F" w:rsidRPr="003E3B2D">
        <w:rPr>
          <w:lang w:val="en-AU"/>
        </w:rPr>
        <w:t xml:space="preserve"> </w:t>
      </w:r>
      <w:r w:rsidR="009E158F">
        <w:rPr>
          <w:lang w:val="en-AU"/>
        </w:rPr>
        <w:t xml:space="preserve">connect </w:t>
      </w:r>
      <w:r w:rsidR="009E158F" w:rsidRPr="003E3B2D">
        <w:rPr>
          <w:lang w:val="en-AU"/>
        </w:rPr>
        <w:t xml:space="preserve">Australian businesses </w:t>
      </w:r>
      <w:r w:rsidR="009E158F">
        <w:rPr>
          <w:lang w:val="en-AU"/>
        </w:rPr>
        <w:t>with Pacific island and Timor Leste workers</w:t>
      </w:r>
      <w:r w:rsidR="009E158F" w:rsidRPr="003E3B2D">
        <w:rPr>
          <w:lang w:val="en-AU"/>
        </w:rPr>
        <w:t xml:space="preserve"> and support sending countries to increase the number of workers coming to Australia. The </w:t>
      </w:r>
      <w:r w:rsidR="009E158F">
        <w:rPr>
          <w:lang w:val="en-AU"/>
        </w:rPr>
        <w:t xml:space="preserve">PLF </w:t>
      </w:r>
      <w:r w:rsidR="009E158F" w:rsidRPr="003E3B2D">
        <w:rPr>
          <w:lang w:val="en-AU"/>
        </w:rPr>
        <w:t>has established robust systems provid</w:t>
      </w:r>
      <w:r w:rsidR="009E158F">
        <w:rPr>
          <w:lang w:val="en-AU"/>
        </w:rPr>
        <w:t>ing</w:t>
      </w:r>
      <w:r w:rsidR="009E158F" w:rsidRPr="003E3B2D">
        <w:rPr>
          <w:lang w:val="en-AU"/>
        </w:rPr>
        <w:t xml:space="preserve"> a strong foundation to increase the number of workers in coming years</w:t>
      </w:r>
      <w:r w:rsidR="001A6CB7">
        <w:rPr>
          <w:lang w:val="en-AU"/>
        </w:rPr>
        <w:t xml:space="preserve">, including through mobilising managers </w:t>
      </w:r>
      <w:r w:rsidR="00CC2624">
        <w:rPr>
          <w:lang w:val="en-AU"/>
        </w:rPr>
        <w:t xml:space="preserve">out-posted </w:t>
      </w:r>
      <w:r w:rsidR="001A6CB7">
        <w:rPr>
          <w:lang w:val="en-AU"/>
        </w:rPr>
        <w:t>in six countries</w:t>
      </w:r>
      <w:r w:rsidR="009E158F" w:rsidRPr="003E3B2D">
        <w:rPr>
          <w:lang w:val="en-AU"/>
        </w:rPr>
        <w:t>.</w:t>
      </w:r>
      <w:r w:rsidR="009E158F">
        <w:rPr>
          <w:lang w:val="en-AU"/>
        </w:rPr>
        <w:t xml:space="preserve"> The number of PLS workers steadily increased in 2018-19; </w:t>
      </w:r>
      <w:r w:rsidR="009E158F" w:rsidRPr="00EF6FCB">
        <w:rPr>
          <w:lang w:val="en-AU"/>
        </w:rPr>
        <w:t>2</w:t>
      </w:r>
      <w:r w:rsidR="00EF6FCB" w:rsidRPr="00EF6FCB">
        <w:rPr>
          <w:lang w:val="en-AU"/>
        </w:rPr>
        <w:t>02</w:t>
      </w:r>
      <w:r w:rsidR="009E158F">
        <w:rPr>
          <w:lang w:val="en-AU"/>
        </w:rPr>
        <w:t xml:space="preserve"> Pacific island workers, including 39 per cent women, arriv</w:t>
      </w:r>
      <w:r w:rsidR="00871434">
        <w:rPr>
          <w:lang w:val="en-AU"/>
        </w:rPr>
        <w:t>ed</w:t>
      </w:r>
      <w:r w:rsidR="009E158F">
        <w:rPr>
          <w:lang w:val="en-AU"/>
        </w:rPr>
        <w:t xml:space="preserve"> in Australia during this inception phase.</w:t>
      </w:r>
      <w:r w:rsidR="009E158F" w:rsidRPr="003E3B2D">
        <w:rPr>
          <w:lang w:val="en-AU"/>
        </w:rPr>
        <w:t xml:space="preserve"> </w:t>
      </w:r>
      <w:r w:rsidR="009E158F">
        <w:rPr>
          <w:lang w:val="en-AU"/>
        </w:rPr>
        <w:t>Strong g</w:t>
      </w:r>
      <w:r w:rsidR="009E158F" w:rsidRPr="003E3B2D">
        <w:rPr>
          <w:lang w:val="en-AU"/>
        </w:rPr>
        <w:t xml:space="preserve">rowth </w:t>
      </w:r>
      <w:r w:rsidR="009E158F">
        <w:rPr>
          <w:lang w:val="en-AU"/>
        </w:rPr>
        <w:t xml:space="preserve">is expected </w:t>
      </w:r>
      <w:r w:rsidR="009E158F" w:rsidRPr="003E3B2D">
        <w:rPr>
          <w:lang w:val="en-AU"/>
        </w:rPr>
        <w:t xml:space="preserve">as awareness of the scheme </w:t>
      </w:r>
      <w:r w:rsidR="009E158F">
        <w:rPr>
          <w:lang w:val="en-AU"/>
        </w:rPr>
        <w:t>increases</w:t>
      </w:r>
      <w:r w:rsidR="009E158F" w:rsidRPr="003E3B2D">
        <w:rPr>
          <w:lang w:val="en-AU"/>
        </w:rPr>
        <w:t>. Australian business</w:t>
      </w:r>
      <w:r w:rsidR="009E158F">
        <w:rPr>
          <w:lang w:val="en-AU"/>
        </w:rPr>
        <w:t>es</w:t>
      </w:r>
      <w:r w:rsidR="009E158F" w:rsidRPr="003E3B2D">
        <w:rPr>
          <w:lang w:val="en-AU"/>
        </w:rPr>
        <w:t xml:space="preserve"> ha</w:t>
      </w:r>
      <w:r w:rsidR="009E158F">
        <w:rPr>
          <w:lang w:val="en-AU"/>
        </w:rPr>
        <w:t>ve</w:t>
      </w:r>
      <w:r w:rsidR="009E158F" w:rsidRPr="003E3B2D">
        <w:rPr>
          <w:lang w:val="en-AU"/>
        </w:rPr>
        <w:t xml:space="preserve"> demonstrated </w:t>
      </w:r>
      <w:r w:rsidR="009E158F">
        <w:rPr>
          <w:lang w:val="en-AU"/>
        </w:rPr>
        <w:t>keen</w:t>
      </w:r>
      <w:r w:rsidR="009E158F" w:rsidRPr="003E3B2D">
        <w:rPr>
          <w:lang w:val="en-AU"/>
        </w:rPr>
        <w:t xml:space="preserve"> interest, with more than 50 employers</w:t>
      </w:r>
      <w:r w:rsidR="009E158F">
        <w:rPr>
          <w:lang w:val="en-AU"/>
        </w:rPr>
        <w:t xml:space="preserve"> </w:t>
      </w:r>
      <w:r w:rsidR="009E158F" w:rsidRPr="003E3B2D">
        <w:rPr>
          <w:lang w:val="en-AU"/>
        </w:rPr>
        <w:t xml:space="preserve">approved </w:t>
      </w:r>
      <w:r w:rsidR="009E158F">
        <w:rPr>
          <w:lang w:val="en-AU"/>
        </w:rPr>
        <w:t xml:space="preserve">to participate </w:t>
      </w:r>
      <w:r w:rsidR="009E158F" w:rsidRPr="003E3B2D">
        <w:rPr>
          <w:lang w:val="en-AU"/>
        </w:rPr>
        <w:t xml:space="preserve">in the </w:t>
      </w:r>
      <w:r w:rsidR="009E158F">
        <w:rPr>
          <w:lang w:val="en-AU"/>
        </w:rPr>
        <w:t xml:space="preserve">PLS in the </w:t>
      </w:r>
      <w:r w:rsidR="009E158F" w:rsidRPr="003E3B2D">
        <w:rPr>
          <w:lang w:val="en-AU"/>
        </w:rPr>
        <w:t xml:space="preserve">first 12 months. The </w:t>
      </w:r>
      <w:r w:rsidR="009E158F">
        <w:rPr>
          <w:lang w:val="en-AU"/>
        </w:rPr>
        <w:t xml:space="preserve">PLF also provided </w:t>
      </w:r>
      <w:r w:rsidR="009E158F" w:rsidRPr="003E3B2D">
        <w:rPr>
          <w:lang w:val="en-AU"/>
        </w:rPr>
        <w:t>support</w:t>
      </w:r>
      <w:r w:rsidR="009E158F">
        <w:rPr>
          <w:lang w:val="en-AU"/>
        </w:rPr>
        <w:t xml:space="preserve"> to</w:t>
      </w:r>
      <w:r w:rsidR="009E158F" w:rsidRPr="003E3B2D">
        <w:rPr>
          <w:lang w:val="en-AU"/>
        </w:rPr>
        <w:t xml:space="preserve"> the expanding </w:t>
      </w:r>
      <w:r w:rsidR="009E158F">
        <w:rPr>
          <w:lang w:val="en-AU"/>
        </w:rPr>
        <w:t>SWP</w:t>
      </w:r>
      <w:r w:rsidR="00C27CC6">
        <w:rPr>
          <w:lang w:val="en-AU"/>
        </w:rPr>
        <w:t xml:space="preserve">, </w:t>
      </w:r>
      <w:r w:rsidR="009E158F" w:rsidRPr="003E3B2D">
        <w:rPr>
          <w:lang w:val="en-AU"/>
        </w:rPr>
        <w:t xml:space="preserve">through </w:t>
      </w:r>
      <w:r w:rsidR="00C27CC6">
        <w:rPr>
          <w:lang w:val="en-AU"/>
        </w:rPr>
        <w:t xml:space="preserve">strengthening partner government systems and establishing </w:t>
      </w:r>
      <w:r w:rsidR="00CC2624">
        <w:rPr>
          <w:lang w:val="en-AU"/>
        </w:rPr>
        <w:t xml:space="preserve">a </w:t>
      </w:r>
      <w:r w:rsidR="009E158F" w:rsidRPr="003E3B2D">
        <w:rPr>
          <w:lang w:val="en-AU"/>
        </w:rPr>
        <w:t>24 hour hotline</w:t>
      </w:r>
      <w:r w:rsidR="00C27CC6">
        <w:rPr>
          <w:lang w:val="en-AU"/>
        </w:rPr>
        <w:t xml:space="preserve"> to support workers welfare</w:t>
      </w:r>
      <w:r w:rsidR="009E158F">
        <w:rPr>
          <w:lang w:val="en-AU"/>
        </w:rPr>
        <w:t>. I</w:t>
      </w:r>
      <w:r w:rsidR="009E158F" w:rsidRPr="003E3B2D">
        <w:rPr>
          <w:lang w:val="en-AU"/>
        </w:rPr>
        <w:t xml:space="preserve">n 2018–19, over 12,200 </w:t>
      </w:r>
      <w:r w:rsidR="009E158F">
        <w:rPr>
          <w:lang w:val="en-AU"/>
        </w:rPr>
        <w:t xml:space="preserve">SWP </w:t>
      </w:r>
      <w:r w:rsidR="009E158F" w:rsidRPr="003E3B2D">
        <w:rPr>
          <w:lang w:val="en-AU"/>
        </w:rPr>
        <w:t>workers came to Australia</w:t>
      </w:r>
      <w:r w:rsidR="009E158F">
        <w:rPr>
          <w:lang w:val="en-AU"/>
        </w:rPr>
        <w:t xml:space="preserve">, </w:t>
      </w:r>
      <w:r w:rsidR="009E158F" w:rsidRPr="003E3B2D">
        <w:rPr>
          <w:lang w:val="en-AU"/>
        </w:rPr>
        <w:t>a</w:t>
      </w:r>
      <w:r w:rsidR="009E158F">
        <w:rPr>
          <w:lang w:val="en-AU"/>
        </w:rPr>
        <w:t>n increase of</w:t>
      </w:r>
      <w:r w:rsidR="00C9150B">
        <w:rPr>
          <w:lang w:val="en-AU"/>
        </w:rPr>
        <w:t> </w:t>
      </w:r>
      <w:r w:rsidR="009E158F" w:rsidRPr="003E3B2D">
        <w:rPr>
          <w:lang w:val="en-AU"/>
        </w:rPr>
        <w:t>44</w:t>
      </w:r>
      <w:r w:rsidR="009E158F">
        <w:rPr>
          <w:lang w:val="en-AU"/>
        </w:rPr>
        <w:t xml:space="preserve"> per cent</w:t>
      </w:r>
      <w:r w:rsidR="009E158F" w:rsidRPr="003E3B2D">
        <w:rPr>
          <w:lang w:val="en-AU"/>
        </w:rPr>
        <w:t xml:space="preserve"> from 2017-18. </w:t>
      </w:r>
      <w:r w:rsidR="009E158F">
        <w:rPr>
          <w:lang w:val="en-AU"/>
        </w:rPr>
        <w:t>W</w:t>
      </w:r>
      <w:r w:rsidR="009E158F" w:rsidRPr="003E3B2D">
        <w:rPr>
          <w:lang w:val="en-AU"/>
        </w:rPr>
        <w:t xml:space="preserve">omen’s participation in </w:t>
      </w:r>
      <w:r w:rsidR="009E158F">
        <w:rPr>
          <w:lang w:val="en-AU"/>
        </w:rPr>
        <w:t xml:space="preserve">the SWP has increased to almost 18 per cent, up from </w:t>
      </w:r>
      <w:r w:rsidR="009E158F" w:rsidRPr="003E3B2D">
        <w:rPr>
          <w:lang w:val="en-AU"/>
        </w:rPr>
        <w:t>13.7</w:t>
      </w:r>
      <w:r w:rsidR="009E158F">
        <w:rPr>
          <w:lang w:val="en-AU"/>
        </w:rPr>
        <w:t xml:space="preserve"> per cent</w:t>
      </w:r>
      <w:r w:rsidR="009E158F" w:rsidRPr="003E3B2D">
        <w:rPr>
          <w:lang w:val="en-AU"/>
        </w:rPr>
        <w:t xml:space="preserve"> </w:t>
      </w:r>
      <w:r w:rsidR="009E158F">
        <w:rPr>
          <w:lang w:val="en-AU"/>
        </w:rPr>
        <w:t xml:space="preserve">during </w:t>
      </w:r>
      <w:r w:rsidR="009E158F" w:rsidRPr="003E3B2D">
        <w:rPr>
          <w:lang w:val="en-AU"/>
        </w:rPr>
        <w:t>2012</w:t>
      </w:r>
      <w:r w:rsidR="00C9150B">
        <w:rPr>
          <w:lang w:val="en-AU"/>
        </w:rPr>
        <w:noBreakHyphen/>
      </w:r>
      <w:r w:rsidR="009E158F" w:rsidRPr="003E3B2D">
        <w:rPr>
          <w:lang w:val="en-AU"/>
        </w:rPr>
        <w:t>2017</w:t>
      </w:r>
      <w:r w:rsidR="00C9150B">
        <w:rPr>
          <w:rStyle w:val="FootnoteReference"/>
          <w:lang w:val="en-AU"/>
        </w:rPr>
        <w:footnoteReference w:id="12"/>
      </w:r>
      <w:r w:rsidR="009E158F" w:rsidRPr="003E3B2D">
        <w:rPr>
          <w:lang w:val="en-AU"/>
        </w:rPr>
        <w:t>.</w:t>
      </w:r>
      <w:r w:rsidR="009E158F">
        <w:rPr>
          <w:lang w:val="en-AU"/>
        </w:rPr>
        <w:t xml:space="preserve"> </w:t>
      </w:r>
    </w:p>
    <w:p w14:paraId="612040C1" w14:textId="77777777" w:rsidR="004E37C6" w:rsidRDefault="00B114C2" w:rsidP="004E37C6">
      <w:pPr>
        <w:rPr>
          <w:lang w:val="en-AU"/>
        </w:rPr>
      </w:pPr>
      <w:r w:rsidRPr="00DD50FC">
        <w:rPr>
          <w:lang w:val="en-AU"/>
        </w:rPr>
        <w:t xml:space="preserve">The </w:t>
      </w:r>
      <w:r w:rsidRPr="00C868CC">
        <w:rPr>
          <w:bCs/>
          <w:lang w:val="en-AU"/>
        </w:rPr>
        <w:t xml:space="preserve">Pacific regional </w:t>
      </w:r>
      <w:r w:rsidRPr="00DD50FC">
        <w:rPr>
          <w:b/>
          <w:bCs/>
          <w:lang w:val="en-AU"/>
        </w:rPr>
        <w:t xml:space="preserve">education and skills </w:t>
      </w:r>
      <w:r w:rsidRPr="0063700C">
        <w:rPr>
          <w:b/>
          <w:bCs/>
          <w:lang w:val="en-AU"/>
        </w:rPr>
        <w:t>portfolio</w:t>
      </w:r>
      <w:r w:rsidRPr="00C868CC">
        <w:rPr>
          <w:bCs/>
          <w:lang w:val="en-AU"/>
        </w:rPr>
        <w:t xml:space="preserve"> </w:t>
      </w:r>
      <w:r w:rsidRPr="00DD50FC">
        <w:rPr>
          <w:lang w:val="en-AU"/>
        </w:rPr>
        <w:t>is vital for the Pacific to realise its economic potential.</w:t>
      </w:r>
      <w:r>
        <w:rPr>
          <w:lang w:val="en-AU"/>
        </w:rPr>
        <w:t xml:space="preserve"> The portfolio focuses on supporting regional education public goods to complement national education reform efforts with a focus on student and employment pathways in the region.</w:t>
      </w:r>
      <w:r w:rsidR="00563726" w:rsidRPr="00563726">
        <w:rPr>
          <w:lang w:val="en-AU"/>
        </w:rPr>
        <w:t xml:space="preserve"> </w:t>
      </w:r>
    </w:p>
    <w:p w14:paraId="2D6112EB" w14:textId="63ADD57D" w:rsidR="004E37C6" w:rsidRDefault="004E37C6" w:rsidP="004E37C6">
      <w:pPr>
        <w:rPr>
          <w:lang w:val="en-AU"/>
        </w:rPr>
      </w:pPr>
      <w:r>
        <w:rPr>
          <w:lang w:val="en-AU"/>
        </w:rPr>
        <w:t xml:space="preserve">There is </w:t>
      </w:r>
      <w:r w:rsidRPr="008B7AE0">
        <w:rPr>
          <w:lang w:val="en-AU"/>
        </w:rPr>
        <w:t>a strong commitment and momentum for education ref</w:t>
      </w:r>
      <w:r>
        <w:rPr>
          <w:lang w:val="en-AU"/>
        </w:rPr>
        <w:t>orm across the Pacific. This has been</w:t>
      </w:r>
      <w:r w:rsidRPr="008B7AE0">
        <w:rPr>
          <w:lang w:val="en-AU"/>
        </w:rPr>
        <w:t xml:space="preserve"> led by the Pacific Heads of Education Systems (PHES) through </w:t>
      </w:r>
      <w:r w:rsidRPr="007D5383">
        <w:rPr>
          <w:b/>
          <w:lang w:val="en-AU"/>
        </w:rPr>
        <w:t>agreement on the Pacific Regional Education Framework (PacREF) 2018-2030</w:t>
      </w:r>
      <w:r w:rsidRPr="008B7AE0">
        <w:rPr>
          <w:lang w:val="en-AU"/>
        </w:rPr>
        <w:t xml:space="preserve">. </w:t>
      </w:r>
      <w:r w:rsidRPr="00DD50FC">
        <w:rPr>
          <w:lang w:val="en-AU"/>
        </w:rPr>
        <w:t>In 2018-19, DFAT engaged</w:t>
      </w:r>
      <w:r w:rsidRPr="008B7AE0">
        <w:rPr>
          <w:lang w:val="en-AU"/>
        </w:rPr>
        <w:t xml:space="preserve"> </w:t>
      </w:r>
      <w:r>
        <w:rPr>
          <w:lang w:val="en-AU"/>
        </w:rPr>
        <w:t>extensively</w:t>
      </w:r>
      <w:r w:rsidRPr="008B7AE0">
        <w:rPr>
          <w:lang w:val="en-AU"/>
        </w:rPr>
        <w:t xml:space="preserve"> with Pacific Island Countries (PICs) </w:t>
      </w:r>
      <w:r w:rsidRPr="00DD50FC">
        <w:rPr>
          <w:lang w:val="en-AU"/>
        </w:rPr>
        <w:t xml:space="preserve">on the preparation </w:t>
      </w:r>
      <w:r w:rsidRPr="00CE4141">
        <w:rPr>
          <w:lang w:val="en-AU"/>
        </w:rPr>
        <w:t xml:space="preserve">of the </w:t>
      </w:r>
      <w:r w:rsidRPr="00CE4141">
        <w:rPr>
          <w:bCs/>
          <w:lang w:val="en-AU"/>
        </w:rPr>
        <w:t>PacREF</w:t>
      </w:r>
      <w:r>
        <w:rPr>
          <w:lang w:val="en-AU"/>
        </w:rPr>
        <w:t xml:space="preserve"> </w:t>
      </w:r>
      <w:r w:rsidRPr="008B7AE0">
        <w:rPr>
          <w:lang w:val="en-AU"/>
        </w:rPr>
        <w:t>and</w:t>
      </w:r>
      <w:r w:rsidR="00871434">
        <w:rPr>
          <w:lang w:val="en-AU"/>
        </w:rPr>
        <w:t xml:space="preserve">, </w:t>
      </w:r>
      <w:r w:rsidR="00CC2624">
        <w:rPr>
          <w:lang w:val="en-AU"/>
        </w:rPr>
        <w:t>looking ahead,</w:t>
      </w:r>
      <w:r w:rsidRPr="008B7AE0">
        <w:rPr>
          <w:lang w:val="en-AU"/>
        </w:rPr>
        <w:t xml:space="preserve"> is committed to coordinating bilateral and regional resources to support the reg</w:t>
      </w:r>
      <w:r>
        <w:rPr>
          <w:lang w:val="en-AU"/>
        </w:rPr>
        <w:t>ional education reform agenda.</w:t>
      </w:r>
      <w:r w:rsidRPr="00DD50FC">
        <w:rPr>
          <w:lang w:val="en-AU"/>
        </w:rPr>
        <w:t xml:space="preserve"> Key areas of focus for the PacREF </w:t>
      </w:r>
      <w:r w:rsidR="00871434">
        <w:rPr>
          <w:lang w:val="en-AU"/>
        </w:rPr>
        <w:t xml:space="preserve">will </w:t>
      </w:r>
      <w:r w:rsidRPr="00DD50FC">
        <w:rPr>
          <w:lang w:val="en-AU"/>
        </w:rPr>
        <w:t>include supporting curriculum development, school level learning pathways</w:t>
      </w:r>
      <w:r>
        <w:rPr>
          <w:lang w:val="en-AU"/>
        </w:rPr>
        <w:t xml:space="preserve">, </w:t>
      </w:r>
      <w:r w:rsidRPr="00DD50FC">
        <w:rPr>
          <w:lang w:val="en-AU"/>
        </w:rPr>
        <w:t xml:space="preserve">and building the capacity of teachers. </w:t>
      </w:r>
    </w:p>
    <w:p w14:paraId="5308EC89" w14:textId="286C0470" w:rsidR="00563726" w:rsidRPr="00DD50FC" w:rsidRDefault="00563726" w:rsidP="00563726">
      <w:pPr>
        <w:rPr>
          <w:lang w:val="en-AU"/>
        </w:rPr>
      </w:pPr>
      <w:r w:rsidRPr="00DD50FC">
        <w:rPr>
          <w:lang w:val="en-AU"/>
        </w:rPr>
        <w:t xml:space="preserve">The </w:t>
      </w:r>
      <w:r w:rsidRPr="00DD50FC">
        <w:rPr>
          <w:b/>
          <w:bCs/>
          <w:lang w:val="en-AU"/>
        </w:rPr>
        <w:t>Education Quality Assessment Program</w:t>
      </w:r>
      <w:r>
        <w:rPr>
          <w:b/>
          <w:bCs/>
          <w:lang w:val="en-AU"/>
        </w:rPr>
        <w:t xml:space="preserve"> </w:t>
      </w:r>
      <w:r w:rsidRPr="00C868CC">
        <w:rPr>
          <w:bCs/>
          <w:lang w:val="en-AU"/>
        </w:rPr>
        <w:t>(EQAP)</w:t>
      </w:r>
      <w:r w:rsidRPr="00DD50FC">
        <w:rPr>
          <w:lang w:val="en-AU"/>
        </w:rPr>
        <w:t xml:space="preserve"> (</w:t>
      </w:r>
      <w:r w:rsidR="003A23F3">
        <w:rPr>
          <w:lang w:val="en-AU"/>
        </w:rPr>
        <w:t>AUD</w:t>
      </w:r>
      <w:r w:rsidRPr="00DD50FC">
        <w:rPr>
          <w:lang w:val="en-AU"/>
        </w:rPr>
        <w:t xml:space="preserve">16 million over </w:t>
      </w:r>
      <w:r>
        <w:rPr>
          <w:lang w:val="en-AU"/>
        </w:rPr>
        <w:t>five</w:t>
      </w:r>
      <w:r w:rsidRPr="00DD50FC">
        <w:rPr>
          <w:lang w:val="en-AU"/>
        </w:rPr>
        <w:t xml:space="preserve"> years</w:t>
      </w:r>
      <w:r w:rsidRPr="00DD50FC">
        <w:rPr>
          <w:i/>
          <w:iCs/>
          <w:lang w:val="en-AU"/>
        </w:rPr>
        <w:t>)</w:t>
      </w:r>
      <w:r w:rsidRPr="00DD50FC">
        <w:rPr>
          <w:lang w:val="en-AU"/>
        </w:rPr>
        <w:t xml:space="preserve"> administers school assessment and compiles education data and research that assists national education systems. In 2018, EQAP conducted the </w:t>
      </w:r>
      <w:r>
        <w:rPr>
          <w:lang w:val="en-AU"/>
        </w:rPr>
        <w:t xml:space="preserve">third </w:t>
      </w:r>
      <w:r w:rsidRPr="00DD50FC">
        <w:rPr>
          <w:lang w:val="en-AU"/>
        </w:rPr>
        <w:t>Pacific Islands Literacy and Numeracy Assessment (PILNA)</w:t>
      </w:r>
      <w:r>
        <w:rPr>
          <w:lang w:val="en-AU"/>
        </w:rPr>
        <w:t xml:space="preserve"> </w:t>
      </w:r>
      <w:r w:rsidRPr="00DD50FC">
        <w:rPr>
          <w:lang w:val="en-AU"/>
        </w:rPr>
        <w:t xml:space="preserve">administered in </w:t>
      </w:r>
      <w:r>
        <w:rPr>
          <w:lang w:val="en-AU"/>
        </w:rPr>
        <w:t>15</w:t>
      </w:r>
      <w:r w:rsidR="00DC445E">
        <w:rPr>
          <w:lang w:val="en-AU"/>
        </w:rPr>
        <w:t> </w:t>
      </w:r>
      <w:r>
        <w:rPr>
          <w:lang w:val="en-AU"/>
        </w:rPr>
        <w:t xml:space="preserve">countries in </w:t>
      </w:r>
      <w:r w:rsidRPr="00DD50FC">
        <w:rPr>
          <w:lang w:val="en-AU"/>
        </w:rPr>
        <w:t>10 languages</w:t>
      </w:r>
      <w:r w:rsidR="002A2D2C">
        <w:rPr>
          <w:lang w:val="en-AU"/>
        </w:rPr>
        <w:t xml:space="preserve"> and</w:t>
      </w:r>
      <w:r w:rsidRPr="00DD50FC">
        <w:rPr>
          <w:lang w:val="en-AU"/>
        </w:rPr>
        <w:t xml:space="preserve"> undertaken by 40,000 year 4 and 6 students in 925 schools. Key findings of the PILNA include</w:t>
      </w:r>
      <w:r w:rsidR="002A2D2C">
        <w:rPr>
          <w:lang w:val="en-AU"/>
        </w:rPr>
        <w:t>d</w:t>
      </w:r>
      <w:r w:rsidRPr="00DD50FC">
        <w:rPr>
          <w:lang w:val="en-AU"/>
        </w:rPr>
        <w:t xml:space="preserve"> improvements in literacy and numeracy</w:t>
      </w:r>
      <w:r>
        <w:rPr>
          <w:lang w:val="en-AU"/>
        </w:rPr>
        <w:t xml:space="preserve">; </w:t>
      </w:r>
      <w:r w:rsidRPr="00DD50FC">
        <w:rPr>
          <w:lang w:val="en-AU"/>
        </w:rPr>
        <w:t>53 per cent of students in Year 4 met or exceeded literacy standards, up from 43 per cent in 2015</w:t>
      </w:r>
      <w:r>
        <w:rPr>
          <w:lang w:val="en-AU"/>
        </w:rPr>
        <w:t>;</w:t>
      </w:r>
      <w:r w:rsidRPr="00DD50FC">
        <w:rPr>
          <w:lang w:val="en-AU"/>
        </w:rPr>
        <w:t xml:space="preserve"> and 63 per cent of Year 6 students met or exceeded expected literacy standards, up from 50 per cent in 2015.</w:t>
      </w:r>
      <w:r>
        <w:rPr>
          <w:lang w:val="en-AU"/>
        </w:rPr>
        <w:t xml:space="preserve"> F</w:t>
      </w:r>
      <w:r w:rsidRPr="00DD50FC">
        <w:rPr>
          <w:lang w:val="en-AU"/>
        </w:rPr>
        <w:t xml:space="preserve">urther interventions are required </w:t>
      </w:r>
      <w:r>
        <w:rPr>
          <w:lang w:val="en-AU"/>
        </w:rPr>
        <w:t xml:space="preserve">to </w:t>
      </w:r>
      <w:r w:rsidRPr="00DD50FC">
        <w:rPr>
          <w:lang w:val="en-AU"/>
        </w:rPr>
        <w:t>enable improvements for the significant number of students not meeting expected standards.</w:t>
      </w:r>
    </w:p>
    <w:p w14:paraId="18672C73" w14:textId="5DD8C8D4" w:rsidR="00B114C2" w:rsidRDefault="00871434" w:rsidP="00B114C2">
      <w:pPr>
        <w:rPr>
          <w:lang w:val="en-AU"/>
        </w:rPr>
      </w:pPr>
      <w:r w:rsidRPr="00FD4587">
        <w:rPr>
          <w:noProof/>
          <w:lang w:val="en-AU" w:eastAsia="en-AU"/>
        </w:rPr>
        <mc:AlternateContent>
          <mc:Choice Requires="wps">
            <w:drawing>
              <wp:anchor distT="91440" distB="91440" distL="114300" distR="114300" simplePos="0" relativeHeight="251687936" behindDoc="0" locked="0" layoutInCell="1" allowOverlap="1" wp14:anchorId="4CFEFBC3" wp14:editId="6D0D5921">
                <wp:simplePos x="0" y="0"/>
                <wp:positionH relativeFrom="margin">
                  <wp:align>right</wp:align>
                </wp:positionH>
                <wp:positionV relativeFrom="paragraph">
                  <wp:posOffset>1498804</wp:posOffset>
                </wp:positionV>
                <wp:extent cx="6035040" cy="3314700"/>
                <wp:effectExtent l="0" t="0" r="22860" b="1905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314700"/>
                        </a:xfrm>
                        <a:prstGeom prst="rect">
                          <a:avLst/>
                        </a:prstGeom>
                        <a:noFill/>
                        <a:ln w="9525">
                          <a:solidFill>
                            <a:schemeClr val="tx1"/>
                          </a:solidFill>
                          <a:miter lim="800000"/>
                          <a:headEnd/>
                          <a:tailEnd/>
                        </a:ln>
                      </wps:spPr>
                      <wps:txbx>
                        <w:txbxContent>
                          <w:p w14:paraId="03C58784" w14:textId="77777777" w:rsidR="005C33DB" w:rsidRPr="007050AD" w:rsidRDefault="005C33DB" w:rsidP="006C2A4E">
                            <w:pPr>
                              <w:rPr>
                                <w:rFonts w:ascii="Calibri Light" w:hAnsi="Calibri Light"/>
                                <w:b/>
                                <w:color w:val="495965"/>
                              </w:rPr>
                            </w:pPr>
                            <w:r w:rsidRPr="007050AD">
                              <w:rPr>
                                <w:rFonts w:ascii="Calibri Light" w:hAnsi="Calibri Light"/>
                                <w:b/>
                                <w:color w:val="495965"/>
                              </w:rPr>
                              <w:t>Australia Pacific Technical College (APTC) Phase 2 2011-2018</w:t>
                            </w:r>
                          </w:p>
                          <w:p w14:paraId="4BEC82FB" w14:textId="1C186E16" w:rsidR="005C33DB" w:rsidRPr="007050AD" w:rsidRDefault="005C33DB" w:rsidP="006C2A4E">
                            <w:pPr>
                              <w:rPr>
                                <w:rFonts w:ascii="Calibri Light" w:hAnsi="Calibri Light"/>
                                <w:color w:val="495965"/>
                              </w:rPr>
                            </w:pPr>
                            <w:r w:rsidRPr="007050AD">
                              <w:rPr>
                                <w:rFonts w:ascii="Calibri Light" w:hAnsi="Calibri Light"/>
                                <w:color w:val="495965"/>
                              </w:rPr>
                              <w:t>APTC, one of Australia’s flagship investment</w:t>
                            </w:r>
                            <w:r>
                              <w:rPr>
                                <w:rFonts w:ascii="Calibri Light" w:hAnsi="Calibri Light"/>
                                <w:color w:val="495965"/>
                              </w:rPr>
                              <w:t>s</w:t>
                            </w:r>
                            <w:r w:rsidRPr="007050AD">
                              <w:rPr>
                                <w:rFonts w:ascii="Calibri Light" w:hAnsi="Calibri Light"/>
                                <w:color w:val="495965"/>
                              </w:rPr>
                              <w:t xml:space="preserve"> in the Pacific region, provided a strong Australian identity and successfully promoted Australia's ongoing commitment to the Pacific, including strengthened people-to-people linkages and economic growth through skills development. Skills development and vocational education </w:t>
                            </w:r>
                            <w:r>
                              <w:rPr>
                                <w:rFonts w:ascii="Calibri Light" w:hAnsi="Calibri Light"/>
                                <w:color w:val="495965"/>
                              </w:rPr>
                              <w:t>are</w:t>
                            </w:r>
                            <w:r w:rsidRPr="007050AD">
                              <w:rPr>
                                <w:rFonts w:ascii="Calibri Light" w:hAnsi="Calibri Light"/>
                                <w:color w:val="495965"/>
                              </w:rPr>
                              <w:t xml:space="preserve"> key elements in Australia’s </w:t>
                            </w:r>
                            <w:r>
                              <w:rPr>
                                <w:rFonts w:ascii="Calibri Light" w:hAnsi="Calibri Light"/>
                                <w:color w:val="495965"/>
                              </w:rPr>
                              <w:t>support for the Pacific</w:t>
                            </w:r>
                            <w:r w:rsidRPr="007050AD">
                              <w:rPr>
                                <w:rFonts w:ascii="Calibri Light" w:hAnsi="Calibri Light"/>
                                <w:color w:val="495965"/>
                              </w:rPr>
                              <w:t xml:space="preserve"> including </w:t>
                            </w:r>
                            <w:r>
                              <w:rPr>
                                <w:rFonts w:ascii="Calibri Light" w:hAnsi="Calibri Light"/>
                                <w:color w:val="495965"/>
                              </w:rPr>
                              <w:t>our</w:t>
                            </w:r>
                            <w:r w:rsidRPr="007050AD">
                              <w:rPr>
                                <w:rFonts w:ascii="Calibri Light" w:hAnsi="Calibri Light"/>
                                <w:color w:val="495965"/>
                              </w:rPr>
                              <w:t xml:space="preserve"> stepped up Pacific engagement. APTC succeeded in building national and regional capacity in skills development and gained a strong reputation for quality and relevance among stakeholders.  </w:t>
                            </w:r>
                          </w:p>
                          <w:p w14:paraId="4B69C195" w14:textId="77777777" w:rsidR="005C33DB" w:rsidRPr="007050AD" w:rsidRDefault="005C33DB" w:rsidP="006C2A4E">
                            <w:pPr>
                              <w:rPr>
                                <w:rFonts w:ascii="Calibri Light" w:hAnsi="Calibri Light"/>
                                <w:b/>
                                <w:color w:val="495965"/>
                              </w:rPr>
                            </w:pPr>
                            <w:r w:rsidRPr="007050AD">
                              <w:rPr>
                                <w:rFonts w:ascii="Calibri Light" w:hAnsi="Calibri Light"/>
                                <w:b/>
                                <w:color w:val="495965"/>
                              </w:rPr>
                              <w:t xml:space="preserve">By the end of phase 2: </w:t>
                            </w:r>
                          </w:p>
                          <w:p w14:paraId="33344846" w14:textId="77777777" w:rsidR="005C33DB" w:rsidRPr="007050AD" w:rsidRDefault="005C33DB" w:rsidP="006C2A4E">
                            <w:pPr>
                              <w:rPr>
                                <w:rFonts w:ascii="Calibri Light" w:hAnsi="Calibri Light"/>
                                <w:color w:val="495965"/>
                              </w:rPr>
                            </w:pPr>
                            <w:r w:rsidRPr="007050AD">
                              <w:rPr>
                                <w:rFonts w:ascii="Calibri Light" w:hAnsi="Calibri Light"/>
                                <w:color w:val="495965"/>
                              </w:rPr>
                              <w:t>- 12,862 Pacific Islanders had graduated with Australian VET qualifications, including over 40% women. </w:t>
                            </w:r>
                          </w:p>
                          <w:p w14:paraId="77C5626B" w14:textId="77777777" w:rsidR="005C33DB" w:rsidRPr="007050AD" w:rsidRDefault="005C33DB" w:rsidP="006C2A4E">
                            <w:pPr>
                              <w:rPr>
                                <w:rFonts w:ascii="Calibri Light" w:hAnsi="Calibri Light"/>
                                <w:color w:val="495965"/>
                              </w:rPr>
                            </w:pPr>
                            <w:r w:rsidRPr="007050AD">
                              <w:rPr>
                                <w:rFonts w:ascii="Calibri Light" w:hAnsi="Calibri Light"/>
                                <w:color w:val="495965"/>
                              </w:rPr>
                              <w:t xml:space="preserve">- 93% of graduates responding to surveys reported having improved employment prospects.  </w:t>
                            </w:r>
                          </w:p>
                          <w:p w14:paraId="6A5D9D87" w14:textId="77777777" w:rsidR="005C33DB" w:rsidRPr="007050AD" w:rsidRDefault="005C33DB" w:rsidP="006C2A4E">
                            <w:pPr>
                              <w:rPr>
                                <w:rFonts w:ascii="Calibri Light" w:hAnsi="Calibri Light"/>
                                <w:color w:val="495965"/>
                              </w:rPr>
                            </w:pPr>
                            <w:r w:rsidRPr="007050AD">
                              <w:rPr>
                                <w:rFonts w:ascii="Calibri Light" w:hAnsi="Calibri Light"/>
                                <w:color w:val="495965"/>
                              </w:rPr>
                              <w:t xml:space="preserve">- 55% of graduates promoted and/or given more responsibility and 52% earned more than before.  </w:t>
                            </w:r>
                          </w:p>
                          <w:p w14:paraId="24712B39" w14:textId="7044086C" w:rsidR="005C33DB" w:rsidRPr="007050AD" w:rsidRDefault="005C33DB" w:rsidP="006C2A4E">
                            <w:pPr>
                              <w:rPr>
                                <w:rFonts w:ascii="Calibri Light" w:hAnsi="Calibri Light"/>
                                <w:color w:val="495965"/>
                              </w:rPr>
                            </w:pPr>
                            <w:r w:rsidRPr="007050AD">
                              <w:rPr>
                                <w:rFonts w:ascii="Calibri Light" w:hAnsi="Calibri Light"/>
                                <w:color w:val="495965"/>
                              </w:rPr>
                              <w:t xml:space="preserve">- 42% of APTC academic staff were female, and 62% of support and management staff were female. </w:t>
                            </w:r>
                          </w:p>
                          <w:p w14:paraId="2493E1C1" w14:textId="77777777" w:rsidR="005C33DB" w:rsidRPr="007050AD" w:rsidRDefault="005C33DB" w:rsidP="006C2A4E">
                            <w:pPr>
                              <w:rPr>
                                <w:rFonts w:ascii="Calibri Light" w:hAnsi="Calibri Light"/>
                                <w:color w:val="495965"/>
                              </w:rPr>
                            </w:pPr>
                            <w:r w:rsidRPr="007050AD">
                              <w:rPr>
                                <w:rFonts w:ascii="Calibri Light" w:hAnsi="Calibri Light"/>
                                <w:color w:val="495965"/>
                              </w:rPr>
                              <w:t xml:space="preserve">- APTC addressed occupational gender discrimination through the proactive recruitment of women to study in traditionally male-dominated trade areas (eg electrical, plumbing, carpentry etc), and of male students to study health and community services courses (e.g. disability, children’s' services, aged care). </w:t>
                            </w:r>
                          </w:p>
                          <w:p w14:paraId="58487DDB" w14:textId="77777777" w:rsidR="005C33DB" w:rsidRPr="00FD4587" w:rsidRDefault="005C33DB" w:rsidP="006C2A4E">
                            <w:pPr>
                              <w:pBdr>
                                <w:top w:val="single" w:sz="24" w:space="23" w:color="65C5B4" w:themeColor="accent1"/>
                                <w:bottom w:val="single" w:sz="24" w:space="8" w:color="65C5B4" w:themeColor="accent1"/>
                              </w:pBdr>
                              <w:spacing w:after="0"/>
                              <w:rPr>
                                <w:iCs/>
                                <w:color w:val="65C5B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FEFBC3" id="_x0000_t202" coordsize="21600,21600" o:spt="202" path="m,l,21600r21600,l21600,xe">
                <v:stroke joinstyle="miter"/>
                <v:path gradientshapeok="t" o:connecttype="rect"/>
              </v:shapetype>
              <v:shape id="Text Box 2" o:spid="_x0000_s1026" type="#_x0000_t202" style="position:absolute;margin-left:424pt;margin-top:118pt;width:475.2pt;height:261pt;z-index:251687936;visibility:visible;mso-wrap-style:square;mso-width-percent:0;mso-height-percent:0;mso-wrap-distance-left:9pt;mso-wrap-distance-top:7.2pt;mso-wrap-distance-right:9pt;mso-wrap-distance-bottom:7.2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" filled="f" strokecolor="black [3213]">
                <v:textbox>
                  <w:txbxContent>
                    <w:p w14:paraId="03C58784" w14:textId="77777777" w:rsidR="005C33DB" w:rsidRPr="007050AD" w:rsidRDefault="005C33DB" w:rsidP="006C2A4E">
                      <w:pPr>
                        <w:rPr>
                          <w:rFonts w:ascii="Calibri Light" w:hAnsi="Calibri Light"/>
                          <w:b/>
                          <w:color w:val="495965"/>
                        </w:rPr>
                      </w:pPr>
                      <w:r w:rsidRPr="007050AD">
                        <w:rPr>
                          <w:rFonts w:ascii="Calibri Light" w:hAnsi="Calibri Light"/>
                          <w:b/>
                          <w:color w:val="495965"/>
                        </w:rPr>
                        <w:t>Australia Pacific Technical College (APTC) Phase 2 2011-2018</w:t>
                      </w:r>
                    </w:p>
                    <w:p w14:paraId="4BEC82FB" w14:textId="1C186E16" w:rsidR="005C33DB" w:rsidRPr="007050AD" w:rsidRDefault="005C33DB" w:rsidP="006C2A4E">
                      <w:pPr>
                        <w:rPr>
                          <w:rFonts w:ascii="Calibri Light" w:hAnsi="Calibri Light"/>
                          <w:color w:val="495965"/>
                        </w:rPr>
                      </w:pPr>
                      <w:r w:rsidRPr="007050AD">
                        <w:rPr>
                          <w:rFonts w:ascii="Calibri Light" w:hAnsi="Calibri Light"/>
                          <w:color w:val="495965"/>
                        </w:rPr>
                        <w:t>APTC, one of Australia’s flagship investment</w:t>
                      </w:r>
                      <w:r>
                        <w:rPr>
                          <w:rFonts w:ascii="Calibri Light" w:hAnsi="Calibri Light"/>
                          <w:color w:val="495965"/>
                        </w:rPr>
                        <w:t>s</w:t>
                      </w:r>
                      <w:r w:rsidRPr="007050AD">
                        <w:rPr>
                          <w:rFonts w:ascii="Calibri Light" w:hAnsi="Calibri Light"/>
                          <w:color w:val="495965"/>
                        </w:rPr>
                        <w:t xml:space="preserve"> in the Pacific region, provided a strong Australian identity and successfully promoted Australia's ongoing commitment to the Pacific, including strengthened people-to-people linkages and economic growth through skills development. Skills development and vocational education </w:t>
                      </w:r>
                      <w:r>
                        <w:rPr>
                          <w:rFonts w:ascii="Calibri Light" w:hAnsi="Calibri Light"/>
                          <w:color w:val="495965"/>
                        </w:rPr>
                        <w:t>are</w:t>
                      </w:r>
                      <w:r w:rsidRPr="007050AD">
                        <w:rPr>
                          <w:rFonts w:ascii="Calibri Light" w:hAnsi="Calibri Light"/>
                          <w:color w:val="495965"/>
                        </w:rPr>
                        <w:t xml:space="preserve"> key elements in Australia’s </w:t>
                      </w:r>
                      <w:r>
                        <w:rPr>
                          <w:rFonts w:ascii="Calibri Light" w:hAnsi="Calibri Light"/>
                          <w:color w:val="495965"/>
                        </w:rPr>
                        <w:t>support for the Pacific</w:t>
                      </w:r>
                      <w:r w:rsidRPr="007050AD">
                        <w:rPr>
                          <w:rFonts w:ascii="Calibri Light" w:hAnsi="Calibri Light"/>
                          <w:color w:val="495965"/>
                        </w:rPr>
                        <w:t xml:space="preserve"> including </w:t>
                      </w:r>
                      <w:r>
                        <w:rPr>
                          <w:rFonts w:ascii="Calibri Light" w:hAnsi="Calibri Light"/>
                          <w:color w:val="495965"/>
                        </w:rPr>
                        <w:t>our</w:t>
                      </w:r>
                      <w:r w:rsidRPr="007050AD">
                        <w:rPr>
                          <w:rFonts w:ascii="Calibri Light" w:hAnsi="Calibri Light"/>
                          <w:color w:val="495965"/>
                        </w:rPr>
                        <w:t xml:space="preserve"> stepped up Pacific engagement. APTC succeeded in building national and regional capacity in skills development and gained a strong reputation for quality and relevance among stakeholders.  </w:t>
                      </w:r>
                    </w:p>
                    <w:p w14:paraId="4B69C195" w14:textId="77777777" w:rsidR="005C33DB" w:rsidRPr="007050AD" w:rsidRDefault="005C33DB" w:rsidP="006C2A4E">
                      <w:pPr>
                        <w:rPr>
                          <w:rFonts w:ascii="Calibri Light" w:hAnsi="Calibri Light"/>
                          <w:b/>
                          <w:color w:val="495965"/>
                        </w:rPr>
                      </w:pPr>
                      <w:r w:rsidRPr="007050AD">
                        <w:rPr>
                          <w:rFonts w:ascii="Calibri Light" w:hAnsi="Calibri Light"/>
                          <w:b/>
                          <w:color w:val="495965"/>
                        </w:rPr>
                        <w:t xml:space="preserve">By the end of phase 2: </w:t>
                      </w:r>
                    </w:p>
                    <w:p w14:paraId="33344846" w14:textId="77777777" w:rsidR="005C33DB" w:rsidRPr="007050AD" w:rsidRDefault="005C33DB" w:rsidP="006C2A4E">
                      <w:pPr>
                        <w:rPr>
                          <w:rFonts w:ascii="Calibri Light" w:hAnsi="Calibri Light"/>
                          <w:color w:val="495965"/>
                        </w:rPr>
                      </w:pPr>
                      <w:r w:rsidRPr="007050AD">
                        <w:rPr>
                          <w:rFonts w:ascii="Calibri Light" w:hAnsi="Calibri Light"/>
                          <w:color w:val="495965"/>
                        </w:rPr>
                        <w:t>- 12,862 Pacific Islanders had graduated with Australian VET qualifications, including over 40% women. </w:t>
                      </w:r>
                    </w:p>
                    <w:p w14:paraId="77C5626B" w14:textId="77777777" w:rsidR="005C33DB" w:rsidRPr="007050AD" w:rsidRDefault="005C33DB" w:rsidP="006C2A4E">
                      <w:pPr>
                        <w:rPr>
                          <w:rFonts w:ascii="Calibri Light" w:hAnsi="Calibri Light"/>
                          <w:color w:val="495965"/>
                        </w:rPr>
                      </w:pPr>
                      <w:r w:rsidRPr="007050AD">
                        <w:rPr>
                          <w:rFonts w:ascii="Calibri Light" w:hAnsi="Calibri Light"/>
                          <w:color w:val="495965"/>
                        </w:rPr>
                        <w:t xml:space="preserve">- 93% of graduates responding to surveys reported having improved employment prospects.  </w:t>
                      </w:r>
                    </w:p>
                    <w:p w14:paraId="6A5D9D87" w14:textId="77777777" w:rsidR="005C33DB" w:rsidRPr="007050AD" w:rsidRDefault="005C33DB" w:rsidP="006C2A4E">
                      <w:pPr>
                        <w:rPr>
                          <w:rFonts w:ascii="Calibri Light" w:hAnsi="Calibri Light"/>
                          <w:color w:val="495965"/>
                        </w:rPr>
                      </w:pPr>
                      <w:r w:rsidRPr="007050AD">
                        <w:rPr>
                          <w:rFonts w:ascii="Calibri Light" w:hAnsi="Calibri Light"/>
                          <w:color w:val="495965"/>
                        </w:rPr>
                        <w:t xml:space="preserve">- 55% of graduates promoted and/or given more responsibility and 52% earned more than before.  </w:t>
                      </w:r>
                    </w:p>
                    <w:p w14:paraId="24712B39" w14:textId="7044086C" w:rsidR="005C33DB" w:rsidRPr="007050AD" w:rsidRDefault="005C33DB" w:rsidP="006C2A4E">
                      <w:pPr>
                        <w:rPr>
                          <w:rFonts w:ascii="Calibri Light" w:hAnsi="Calibri Light"/>
                          <w:color w:val="495965"/>
                        </w:rPr>
                      </w:pPr>
                      <w:r w:rsidRPr="007050AD">
                        <w:rPr>
                          <w:rFonts w:ascii="Calibri Light" w:hAnsi="Calibri Light"/>
                          <w:color w:val="495965"/>
                        </w:rPr>
                        <w:t xml:space="preserve">- 42% of APTC academic staff were female, and 62% of support and management staff were female. </w:t>
                      </w:r>
                    </w:p>
                    <w:p w14:paraId="2493E1C1" w14:textId="77777777" w:rsidR="005C33DB" w:rsidRPr="007050AD" w:rsidRDefault="005C33DB" w:rsidP="006C2A4E">
                      <w:pPr>
                        <w:rPr>
                          <w:rFonts w:ascii="Calibri Light" w:hAnsi="Calibri Light"/>
                          <w:color w:val="495965"/>
                        </w:rPr>
                      </w:pPr>
                      <w:r w:rsidRPr="007050AD">
                        <w:rPr>
                          <w:rFonts w:ascii="Calibri Light" w:hAnsi="Calibri Light"/>
                          <w:color w:val="495965"/>
                        </w:rPr>
                        <w:t xml:space="preserve">- APTC addressed occupational gender discrimination through the proactive recruitment of women to study in traditionally male-dominated trade areas (eg electrical, plumbing, carpentry etc), and of male students to study health and community services courses (e.g. disability, children’s' services, aged care). </w:t>
                      </w:r>
                    </w:p>
                    <w:p w14:paraId="58487DDB" w14:textId="77777777" w:rsidR="005C33DB" w:rsidRPr="00FD4587" w:rsidRDefault="005C33DB" w:rsidP="006C2A4E">
                      <w:pPr>
                        <w:pBdr>
                          <w:top w:val="single" w:sz="24" w:space="23" w:color="65C5B4" w:themeColor="accent1"/>
                          <w:bottom w:val="single" w:sz="24" w:space="8" w:color="65C5B4" w:themeColor="accent1"/>
                        </w:pBdr>
                        <w:spacing w:after="0"/>
                        <w:rPr>
                          <w:iCs/>
                          <w:color w:val="65C5B4" w:themeColor="accent1"/>
                          <w:sz w:val="24"/>
                        </w:rPr>
                      </w:pPr>
                    </w:p>
                  </w:txbxContent>
                </v:textbox>
                <w10:wrap type="topAndBottom" anchorx="margin"/>
              </v:shape>
            </w:pict>
          </mc:Fallback>
        </mc:AlternateContent>
      </w:r>
      <w:r w:rsidR="00B114C2" w:rsidRPr="00DD50FC">
        <w:rPr>
          <w:lang w:val="en-AU"/>
        </w:rPr>
        <w:t xml:space="preserve">The </w:t>
      </w:r>
      <w:r w:rsidR="00B114C2" w:rsidRPr="00DD50FC">
        <w:rPr>
          <w:b/>
          <w:bCs/>
          <w:lang w:val="en-AU"/>
        </w:rPr>
        <w:t>Australia Pacific Training Coalition (APTC3)</w:t>
      </w:r>
      <w:r w:rsidR="00B114C2" w:rsidRPr="00DD50FC">
        <w:rPr>
          <w:lang w:val="en-AU"/>
        </w:rPr>
        <w:t xml:space="preserve"> third phase </w:t>
      </w:r>
      <w:r w:rsidR="00B114C2">
        <w:rPr>
          <w:lang w:val="en-AU"/>
        </w:rPr>
        <w:t>commenced</w:t>
      </w:r>
      <w:r w:rsidR="00B114C2" w:rsidRPr="00DD50FC">
        <w:rPr>
          <w:lang w:val="en-AU"/>
        </w:rPr>
        <w:t xml:space="preserve"> on 1 July 2018</w:t>
      </w:r>
      <w:r w:rsidR="00FD4587">
        <w:rPr>
          <w:lang w:val="en-AU"/>
        </w:rPr>
        <w:t>, following a successful second phase which concluded 30 June 2018 (see box below)</w:t>
      </w:r>
      <w:r w:rsidR="00B114C2" w:rsidRPr="00DD50FC">
        <w:rPr>
          <w:lang w:val="en-AU"/>
        </w:rPr>
        <w:t xml:space="preserve">. </w:t>
      </w:r>
      <w:r w:rsidR="00B114C2">
        <w:rPr>
          <w:lang w:val="en-AU"/>
        </w:rPr>
        <w:t>APTC3</w:t>
      </w:r>
      <w:r w:rsidR="00B114C2" w:rsidRPr="00DD50FC">
        <w:rPr>
          <w:lang w:val="en-AU"/>
        </w:rPr>
        <w:t xml:space="preserve"> is helping create a skilled and competitive Pacific workforce</w:t>
      </w:r>
      <w:r w:rsidR="00B114C2">
        <w:rPr>
          <w:lang w:val="en-AU"/>
        </w:rPr>
        <w:t xml:space="preserve"> through a </w:t>
      </w:r>
      <w:r w:rsidR="003A23F3">
        <w:rPr>
          <w:lang w:val="en-AU"/>
        </w:rPr>
        <w:t>AUD</w:t>
      </w:r>
      <w:r w:rsidR="00B114C2">
        <w:rPr>
          <w:lang w:val="en-AU"/>
        </w:rPr>
        <w:t>128 million investment over four years</w:t>
      </w:r>
      <w:r w:rsidR="00E56AF3" w:rsidRPr="001C7F1A">
        <w:rPr>
          <w:lang w:val="en-AU"/>
        </w:rPr>
        <w:t>, with</w:t>
      </w:r>
      <w:r w:rsidR="00E56AF3" w:rsidRPr="00E12D4A">
        <w:t xml:space="preserve"> campuses in five countries – Fiji, Samoa, Vanuatu, Papua New Guinea and Solomon Islands.</w:t>
      </w:r>
      <w:r w:rsidR="00E56AF3" w:rsidRPr="001C7F1A">
        <w:t xml:space="preserve"> </w:t>
      </w:r>
      <w:r w:rsidR="00B114C2" w:rsidRPr="001C7F1A">
        <w:rPr>
          <w:lang w:val="en-AU"/>
        </w:rPr>
        <w:t>In 2018-19:</w:t>
      </w:r>
      <w:r w:rsidR="00B114C2" w:rsidRPr="00DD50FC">
        <w:rPr>
          <w:lang w:val="en-AU"/>
        </w:rPr>
        <w:t xml:space="preserve"> 2,025</w:t>
      </w:r>
      <w:r w:rsidR="00E56AF3">
        <w:rPr>
          <w:lang w:val="en-AU"/>
        </w:rPr>
        <w:t> </w:t>
      </w:r>
      <w:r w:rsidR="00B114C2" w:rsidRPr="00DD50FC">
        <w:rPr>
          <w:lang w:val="en-AU"/>
        </w:rPr>
        <w:t>students graduated with Australian qualifications, of which 34 per cent were women</w:t>
      </w:r>
      <w:r w:rsidR="00D76C12">
        <w:rPr>
          <w:lang w:val="en-AU"/>
        </w:rPr>
        <w:t xml:space="preserve">, and </w:t>
      </w:r>
      <w:r w:rsidR="00B114C2" w:rsidRPr="00DD50FC">
        <w:rPr>
          <w:lang w:val="en-AU"/>
        </w:rPr>
        <w:t xml:space="preserve">more than 80 per cent of graduates were employed in their field of training. To date, international labour mobility for APTC graduates has been low. The baseline is 2 per cent of graduates. </w:t>
      </w:r>
      <w:r w:rsidR="00B114C2">
        <w:rPr>
          <w:lang w:val="en-AU"/>
        </w:rPr>
        <w:t xml:space="preserve">The APTC and PLF are working closely to strengthen opportunities for APTC graduates to access opportunities under </w:t>
      </w:r>
      <w:r w:rsidR="002A2D2C">
        <w:rPr>
          <w:lang w:val="en-AU"/>
        </w:rPr>
        <w:t>Australia’s Pacific labour mobility programs</w:t>
      </w:r>
      <w:r w:rsidR="00B114C2">
        <w:rPr>
          <w:lang w:val="en-AU"/>
        </w:rPr>
        <w:t>.</w:t>
      </w:r>
    </w:p>
    <w:p w14:paraId="4920F020" w14:textId="6111CC67" w:rsidR="00C74AD6" w:rsidRDefault="00C74AD6" w:rsidP="00C74AD6">
      <w:pPr>
        <w:rPr>
          <w:rFonts w:ascii="Calibri Light" w:hAnsi="Calibri Light"/>
          <w:color w:val="495965"/>
        </w:rPr>
      </w:pPr>
      <w:r>
        <w:rPr>
          <w:rFonts w:ascii="Calibri Light" w:hAnsi="Calibri Light"/>
          <w:b/>
          <w:bCs/>
          <w:color w:val="495965"/>
        </w:rPr>
        <w:t xml:space="preserve">Fisheries </w:t>
      </w:r>
      <w:r>
        <w:rPr>
          <w:rFonts w:ascii="Calibri Light" w:hAnsi="Calibri Light"/>
          <w:color w:val="495965"/>
        </w:rPr>
        <w:t>are a</w:t>
      </w:r>
      <w:r w:rsidR="005E0D97">
        <w:rPr>
          <w:rFonts w:ascii="Calibri Light" w:hAnsi="Calibri Light"/>
          <w:color w:val="495965"/>
        </w:rPr>
        <w:t>n essential</w:t>
      </w:r>
      <w:r>
        <w:rPr>
          <w:rFonts w:ascii="Calibri Light" w:hAnsi="Calibri Light"/>
          <w:color w:val="495965"/>
        </w:rPr>
        <w:t xml:space="preserve"> source of food, nutrition, revenue and employment, and present an opportunity to support and strengthen economic growth outcomes in the Pacific. Australia’s long standing support and active engagement in Pacific fisheries, principally through the </w:t>
      </w:r>
      <w:r w:rsidRPr="00E52885">
        <w:rPr>
          <w:rFonts w:ascii="Calibri Light" w:hAnsi="Calibri Light"/>
          <w:b/>
          <w:color w:val="495965"/>
        </w:rPr>
        <w:t>Forum Fisheries Agency (FFA)</w:t>
      </w:r>
      <w:r>
        <w:rPr>
          <w:rFonts w:ascii="Calibri Light" w:hAnsi="Calibri Light"/>
          <w:color w:val="495965"/>
        </w:rPr>
        <w:t xml:space="preserve"> and the </w:t>
      </w:r>
      <w:r w:rsidRPr="00E52885">
        <w:rPr>
          <w:rFonts w:ascii="Calibri Light" w:hAnsi="Calibri Light"/>
          <w:b/>
          <w:color w:val="495965"/>
        </w:rPr>
        <w:t>Pacific Community (SPC)</w:t>
      </w:r>
      <w:r>
        <w:rPr>
          <w:rFonts w:ascii="Calibri Light" w:hAnsi="Calibri Light"/>
          <w:color w:val="495965"/>
        </w:rPr>
        <w:t xml:space="preserve"> (</w:t>
      </w:r>
      <w:r w:rsidR="00DB1F1C">
        <w:rPr>
          <w:rFonts w:ascii="Calibri Light" w:hAnsi="Calibri Light"/>
          <w:color w:val="495965"/>
        </w:rPr>
        <w:t xml:space="preserve">respectively, </w:t>
      </w:r>
      <w:r>
        <w:rPr>
          <w:rFonts w:ascii="Calibri Light" w:hAnsi="Calibri Light"/>
          <w:color w:val="495965"/>
        </w:rPr>
        <w:t xml:space="preserve">AUD5 million and AUD2.4 million annually), </w:t>
      </w:r>
      <w:r w:rsidR="00E56AF3">
        <w:rPr>
          <w:rFonts w:ascii="Calibri Light" w:hAnsi="Calibri Light"/>
          <w:color w:val="495965"/>
        </w:rPr>
        <w:t xml:space="preserve">helps </w:t>
      </w:r>
      <w:r>
        <w:rPr>
          <w:rFonts w:ascii="Calibri Light" w:hAnsi="Calibri Light"/>
          <w:color w:val="495965"/>
        </w:rPr>
        <w:t xml:space="preserve">Pacific island countries to benefit from the sustainable use of their fisheries resources. Pacific Leaders’ ten year goals for offshore tuna fisheries set out under the Regional Roadmap for Fisheries (2015) are largely being achieved. </w:t>
      </w:r>
      <w:r w:rsidR="00F76B55">
        <w:rPr>
          <w:rFonts w:ascii="Calibri Light" w:hAnsi="Calibri Light"/>
          <w:color w:val="495965"/>
        </w:rPr>
        <w:t>Most recent figures (</w:t>
      </w:r>
      <w:r>
        <w:rPr>
          <w:rFonts w:ascii="Calibri Light" w:hAnsi="Calibri Light"/>
          <w:color w:val="495965"/>
        </w:rPr>
        <w:t>2017</w:t>
      </w:r>
      <w:r w:rsidR="00F76B55">
        <w:rPr>
          <w:rFonts w:ascii="Calibri Light" w:hAnsi="Calibri Light"/>
          <w:color w:val="495965"/>
        </w:rPr>
        <w:t>) show</w:t>
      </w:r>
      <w:r>
        <w:rPr>
          <w:rFonts w:ascii="Calibri Light" w:hAnsi="Calibri Light"/>
          <w:color w:val="495965"/>
        </w:rPr>
        <w:t xml:space="preserve"> the tuna catch in the water</w:t>
      </w:r>
      <w:r>
        <w:rPr>
          <w:rFonts w:ascii="Calibri Light" w:hAnsi="Calibri Light"/>
          <w:color w:val="1F497D"/>
        </w:rPr>
        <w:t>s</w:t>
      </w:r>
      <w:r>
        <w:rPr>
          <w:rFonts w:ascii="Calibri Light" w:hAnsi="Calibri Light"/>
          <w:color w:val="495965"/>
        </w:rPr>
        <w:t xml:space="preserve"> of FFA members delivered over USD535 million in revenue from access and license fees (up 8 per cent from 2016) and USD450 million in GDP (up 26 per cent from 2016).  Employment in tuna</w:t>
      </w:r>
      <w:r w:rsidR="00E56AF3">
        <w:rPr>
          <w:rFonts w:ascii="Calibri Light" w:hAnsi="Calibri Light"/>
          <w:color w:val="495965"/>
        </w:rPr>
        <w:t>-</w:t>
      </w:r>
      <w:r>
        <w:rPr>
          <w:rFonts w:ascii="Calibri Light" w:hAnsi="Calibri Light"/>
          <w:color w:val="495965"/>
        </w:rPr>
        <w:t>related sectors also continued to increase to an estimated 22,500. The Western and Central Pacific Fisheries Ocean remained the only tuna fishing region in the world where stocks are not classified as overfished</w:t>
      </w:r>
      <w:r w:rsidR="00E56AF3">
        <w:rPr>
          <w:rFonts w:ascii="Calibri Light" w:hAnsi="Calibri Light"/>
          <w:color w:val="495965"/>
        </w:rPr>
        <w:t>.</w:t>
      </w:r>
      <w:r>
        <w:rPr>
          <w:rFonts w:ascii="Calibri Light" w:hAnsi="Calibri Light"/>
          <w:color w:val="495965"/>
        </w:rPr>
        <w:t xml:space="preserve"> </w:t>
      </w:r>
      <w:r w:rsidR="00E56AF3">
        <w:rPr>
          <w:rFonts w:ascii="Calibri Light" w:hAnsi="Calibri Light"/>
          <w:color w:val="495965"/>
        </w:rPr>
        <w:t xml:space="preserve">Still, </w:t>
      </w:r>
      <w:r>
        <w:rPr>
          <w:rFonts w:ascii="Calibri Light" w:hAnsi="Calibri Light"/>
          <w:color w:val="495965"/>
        </w:rPr>
        <w:t xml:space="preserve">the long-term sustainability and profitability of this fishery </w:t>
      </w:r>
      <w:r w:rsidR="00DB1F1C">
        <w:rPr>
          <w:rFonts w:ascii="Calibri Light" w:hAnsi="Calibri Light"/>
          <w:color w:val="495965"/>
        </w:rPr>
        <w:t>is</w:t>
      </w:r>
      <w:r>
        <w:rPr>
          <w:rFonts w:ascii="Calibri Light" w:hAnsi="Calibri Light"/>
          <w:color w:val="495965"/>
        </w:rPr>
        <w:t xml:space="preserve"> being undermined by overcapacity; illegal, unreported and unregulated fishing activities; and the impacts of climate change.  </w:t>
      </w:r>
    </w:p>
    <w:p w14:paraId="0FA8C5E2" w14:textId="77777777" w:rsidR="00E56AF3" w:rsidRDefault="00E56AF3" w:rsidP="00C74AD6">
      <w:pPr>
        <w:rPr>
          <w:rFonts w:ascii="Calibri Light" w:hAnsi="Calibri Light"/>
          <w:color w:val="495965"/>
        </w:rPr>
      </w:pPr>
    </w:p>
    <w:p w14:paraId="58BC22CD" w14:textId="674D6F5B" w:rsidR="000C74B4" w:rsidRPr="0014648B" w:rsidRDefault="000C74B4" w:rsidP="000C74B4">
      <w:pPr>
        <w:spacing w:before="0"/>
        <w:jc w:val="both"/>
      </w:pPr>
      <w:r>
        <w:t xml:space="preserve">Australia continued to work with partners to strengthen community-based approaches to </w:t>
      </w:r>
      <w:r w:rsidRPr="000C74B4">
        <w:rPr>
          <w:b/>
        </w:rPr>
        <w:t>Pacific coastal fisheries management</w:t>
      </w:r>
      <w:r>
        <w:t xml:space="preserve"> for food security. </w:t>
      </w:r>
      <w:r w:rsidRPr="00F52E41">
        <w:t xml:space="preserve">To date, the project has engaged </w:t>
      </w:r>
      <w:r w:rsidR="00FA0F6A">
        <w:t xml:space="preserve">directly </w:t>
      </w:r>
      <w:r w:rsidRPr="00F52E41">
        <w:t>with 101 communities across Kiribati (31), Solomon Islands (37) and Vanuatu (33)</w:t>
      </w:r>
      <w:r w:rsidR="00FA0F6A">
        <w:t>, and developed</w:t>
      </w:r>
      <w:r w:rsidRPr="00F52E41">
        <w:t xml:space="preserve"> 18 new management plans. Overall, 75% of project activities to date were conducted in collaboration with one or more national, sub-national, or civil society agenc</w:t>
      </w:r>
      <w:r w:rsidR="00FA0F6A">
        <w:t>y</w:t>
      </w:r>
      <w:r w:rsidRPr="00F52E41">
        <w:t>, promoting increased recognition and support for sustainable management of inshore fisheries resources.</w:t>
      </w:r>
    </w:p>
    <w:p w14:paraId="448FF90D" w14:textId="7E9E668E" w:rsidR="00C74AD6" w:rsidRDefault="00C74AD6" w:rsidP="00C74AD6">
      <w:pPr>
        <w:rPr>
          <w:rFonts w:ascii="Times New Roman" w:hAnsi="Times New Roman"/>
          <w:color w:val="auto"/>
          <w:sz w:val="24"/>
          <w:szCs w:val="24"/>
          <w:lang w:val="en-AU" w:eastAsia="en-AU"/>
        </w:rPr>
      </w:pPr>
      <w:r>
        <w:rPr>
          <w:rFonts w:ascii="Calibri Light" w:hAnsi="Calibri Light"/>
          <w:b/>
          <w:bCs/>
          <w:color w:val="495965"/>
        </w:rPr>
        <w:t>Securing maritime boundaries</w:t>
      </w:r>
      <w:r>
        <w:rPr>
          <w:rFonts w:ascii="Calibri Light" w:hAnsi="Calibri Light"/>
          <w:color w:val="495965"/>
        </w:rPr>
        <w:t xml:space="preserve"> is a key issue for the development</w:t>
      </w:r>
      <w:r w:rsidR="00A1777D">
        <w:rPr>
          <w:rFonts w:ascii="Calibri Light" w:hAnsi="Calibri Light"/>
          <w:color w:val="495965"/>
        </w:rPr>
        <w:t>, sovereignty</w:t>
      </w:r>
      <w:r>
        <w:rPr>
          <w:rFonts w:ascii="Calibri Light" w:hAnsi="Calibri Light"/>
          <w:color w:val="495965"/>
        </w:rPr>
        <w:t xml:space="preserve"> and security of the region. Noting the importance of maritime resources for economic development in the Pacific, in 2018-19 Australia worked with partners, including the Pacific Community, to help countries establish maritime zones consistently with the UN Convention of the Law of the Sea (UNCLOS), including their E</w:t>
      </w:r>
      <w:r w:rsidR="00C63165">
        <w:rPr>
          <w:rFonts w:ascii="Calibri Light" w:hAnsi="Calibri Light"/>
          <w:color w:val="495965"/>
        </w:rPr>
        <w:t xml:space="preserve">xclusive </w:t>
      </w:r>
      <w:r>
        <w:rPr>
          <w:rFonts w:ascii="Calibri Light" w:hAnsi="Calibri Light"/>
          <w:color w:val="495965"/>
        </w:rPr>
        <w:t>E</w:t>
      </w:r>
      <w:r w:rsidR="00C63165">
        <w:rPr>
          <w:rFonts w:ascii="Calibri Light" w:hAnsi="Calibri Light"/>
          <w:color w:val="495965"/>
        </w:rPr>
        <w:t xml:space="preserve">conomic </w:t>
      </w:r>
      <w:r>
        <w:rPr>
          <w:rFonts w:ascii="Calibri Light" w:hAnsi="Calibri Light"/>
          <w:color w:val="495965"/>
        </w:rPr>
        <w:t>Z</w:t>
      </w:r>
      <w:r w:rsidR="00C63165">
        <w:rPr>
          <w:rFonts w:ascii="Calibri Light" w:hAnsi="Calibri Light"/>
          <w:color w:val="495965"/>
        </w:rPr>
        <w:t>one</w:t>
      </w:r>
      <w:r>
        <w:rPr>
          <w:rFonts w:ascii="Calibri Light" w:hAnsi="Calibri Light"/>
          <w:color w:val="495965"/>
        </w:rPr>
        <w:t xml:space="preserve">s and continental shelves. </w:t>
      </w:r>
      <w:r>
        <w:rPr>
          <w:rFonts w:ascii="Calibri Light" w:hAnsi="Calibri Light"/>
          <w:color w:val="1F497D"/>
        </w:rPr>
        <w:t>In the last year, t</w:t>
      </w:r>
      <w:r>
        <w:rPr>
          <w:rFonts w:ascii="Calibri Light" w:hAnsi="Calibri Light"/>
          <w:color w:val="495965"/>
        </w:rPr>
        <w:t xml:space="preserve">hree shared boundaries </w:t>
      </w:r>
      <w:r w:rsidR="00BE72BD">
        <w:rPr>
          <w:rFonts w:ascii="Calibri Light" w:hAnsi="Calibri Light"/>
          <w:color w:val="495965"/>
        </w:rPr>
        <w:t>were</w:t>
      </w:r>
      <w:r>
        <w:rPr>
          <w:rFonts w:ascii="Calibri Light" w:hAnsi="Calibri Light"/>
          <w:color w:val="495965"/>
        </w:rPr>
        <w:t xml:space="preserve"> agreed in-principle, with signature pending approval by respective </w:t>
      </w:r>
      <w:r w:rsidR="00F76B55">
        <w:rPr>
          <w:rFonts w:ascii="Calibri Light" w:hAnsi="Calibri Light"/>
          <w:color w:val="495965"/>
        </w:rPr>
        <w:t>G</w:t>
      </w:r>
      <w:r>
        <w:rPr>
          <w:rFonts w:ascii="Calibri Light" w:hAnsi="Calibri Light"/>
          <w:color w:val="495965"/>
        </w:rPr>
        <w:t xml:space="preserve">overnments. Establishing maritime zone limits and depositing this information with the UN is also a priority </w:t>
      </w:r>
      <w:r w:rsidR="00DB1F1C">
        <w:rPr>
          <w:rFonts w:ascii="Calibri Light" w:hAnsi="Calibri Light"/>
          <w:color w:val="495965"/>
        </w:rPr>
        <w:t>for</w:t>
      </w:r>
      <w:r>
        <w:rPr>
          <w:rFonts w:ascii="Calibri Light" w:hAnsi="Calibri Light"/>
          <w:color w:val="495965"/>
        </w:rPr>
        <w:t xml:space="preserve"> securing maritime jurisdiction in the face of climate change impacts, such as sea level rise. </w:t>
      </w:r>
    </w:p>
    <w:p w14:paraId="625234BF" w14:textId="7F6DFF3D" w:rsidR="00DD50FC" w:rsidRDefault="00C74AD6" w:rsidP="00DD50FC">
      <w:r>
        <w:rPr>
          <w:rFonts w:ascii="Calibri Light" w:hAnsi="Calibri Light"/>
          <w:color w:val="495965"/>
        </w:rPr>
        <w:t xml:space="preserve">In 2018-19, </w:t>
      </w:r>
      <w:r w:rsidR="00A1777D">
        <w:rPr>
          <w:rFonts w:ascii="Calibri Light" w:hAnsi="Calibri Light"/>
          <w:color w:val="495965"/>
        </w:rPr>
        <w:t xml:space="preserve">Australia </w:t>
      </w:r>
      <w:r>
        <w:rPr>
          <w:rFonts w:ascii="Calibri Light" w:hAnsi="Calibri Light"/>
          <w:color w:val="495965"/>
        </w:rPr>
        <w:t xml:space="preserve">remained a strong supporter of the Pacific Ocean Commissioner’s role in regional coordination and advocacy on </w:t>
      </w:r>
      <w:r>
        <w:rPr>
          <w:rFonts w:ascii="Calibri Light" w:hAnsi="Calibri Light"/>
          <w:b/>
          <w:bCs/>
          <w:color w:val="495965"/>
        </w:rPr>
        <w:t>cross-sectoral ocean issues</w:t>
      </w:r>
      <w:r>
        <w:rPr>
          <w:rFonts w:ascii="Calibri Light" w:hAnsi="Calibri Light"/>
          <w:color w:val="495965"/>
        </w:rPr>
        <w:t>, including ongoing negotiations for a new international agreement on biological diversity of areas beyond national</w:t>
      </w:r>
      <w:r w:rsidR="00462BB1">
        <w:rPr>
          <w:rFonts w:ascii="Calibri Light" w:hAnsi="Calibri Light"/>
          <w:color w:val="495965"/>
        </w:rPr>
        <w:t xml:space="preserve"> boundaries</w:t>
      </w:r>
      <w:r>
        <w:rPr>
          <w:rFonts w:ascii="Calibri Light" w:hAnsi="Calibri Light"/>
          <w:color w:val="495965"/>
        </w:rPr>
        <w:t>. This is a key focus for developing states, which seek a share of benefits derived from high seas marine genetic resources</w:t>
      </w:r>
      <w:r w:rsidR="00462BB1">
        <w:rPr>
          <w:rFonts w:ascii="Calibri Light" w:hAnsi="Calibri Light"/>
          <w:color w:val="495965"/>
        </w:rPr>
        <w:t>,</w:t>
      </w:r>
      <w:r>
        <w:rPr>
          <w:rFonts w:ascii="Calibri Light" w:hAnsi="Calibri Light"/>
          <w:color w:val="495965"/>
        </w:rPr>
        <w:t xml:space="preserve"> and a priority identified by PIF Leaders. </w:t>
      </w:r>
      <w:r w:rsidR="009E158F">
        <w:t xml:space="preserve"> </w:t>
      </w:r>
    </w:p>
    <w:p w14:paraId="06BE791A" w14:textId="77777777" w:rsidR="004F42B4" w:rsidRDefault="004F42B4" w:rsidP="00DD50FC">
      <w:r>
        <w:t xml:space="preserve">The absence of a </w:t>
      </w:r>
      <w:r w:rsidR="00473DB4">
        <w:t xml:space="preserve">Pacific regional </w:t>
      </w:r>
      <w:r>
        <w:t xml:space="preserve">Performance Assessment Framework and the number and diversity of investments grouped under the economic growth objective makes it </w:t>
      </w:r>
      <w:r w:rsidR="00563726">
        <w:t>challenging</w:t>
      </w:r>
      <w:r w:rsidR="00E47B1C">
        <w:t xml:space="preserve"> </w:t>
      </w:r>
      <w:r>
        <w:t xml:space="preserve">to track and assess overall performance. A key management action is to develop a new regional aid investment plan and performance assessment framework to improve program coherence and performance. Another important management action will be to strengthen the links between skills programming and the </w:t>
      </w:r>
      <w:r w:rsidR="00F76B55">
        <w:t>PLS</w:t>
      </w:r>
      <w:r>
        <w:t xml:space="preserve"> to ensure workers have the most relevant skills possible to participate in the Australian job market</w:t>
      </w:r>
      <w:r w:rsidR="00462BB1">
        <w:t xml:space="preserve"> as well as in home economies</w:t>
      </w:r>
      <w:r>
        <w:t xml:space="preserve">. </w:t>
      </w:r>
    </w:p>
    <w:p w14:paraId="54389BA2" w14:textId="77777777" w:rsidR="0072170F" w:rsidRPr="00CF62AE" w:rsidRDefault="0072170F" w:rsidP="0072170F">
      <w:pPr>
        <w:spacing w:before="240"/>
        <w:rPr>
          <w:rFonts w:asciiTheme="majorHAnsi" w:eastAsiaTheme="majorEastAsia" w:hAnsiTheme="majorHAnsi" w:cstheme="majorBidi"/>
          <w:caps/>
          <w:color w:val="FF0000"/>
          <w:sz w:val="32"/>
          <w:szCs w:val="32"/>
        </w:rPr>
      </w:pPr>
      <w:r w:rsidRPr="00877607">
        <w:rPr>
          <w:rFonts w:asciiTheme="majorHAnsi" w:eastAsiaTheme="majorEastAsia" w:hAnsiTheme="majorHAnsi" w:cstheme="majorBidi"/>
          <w:caps/>
          <w:sz w:val="32"/>
          <w:szCs w:val="32"/>
        </w:rPr>
        <w:t>Objective 2</w:t>
      </w:r>
      <w:r w:rsidR="0014648B">
        <w:rPr>
          <w:rFonts w:asciiTheme="majorHAnsi" w:eastAsiaTheme="majorEastAsia" w:hAnsiTheme="majorHAnsi" w:cstheme="majorBidi"/>
          <w:caps/>
          <w:sz w:val="32"/>
          <w:szCs w:val="32"/>
        </w:rPr>
        <w:t xml:space="preserve"> - </w:t>
      </w:r>
      <w:r w:rsidR="0014648B" w:rsidRPr="0014648B">
        <w:rPr>
          <w:rFonts w:asciiTheme="majorHAnsi" w:eastAsiaTheme="majorEastAsia" w:hAnsiTheme="majorHAnsi" w:cstheme="majorBidi"/>
          <w:caps/>
          <w:sz w:val="32"/>
          <w:szCs w:val="32"/>
        </w:rPr>
        <w:t>Effective Regional Institutions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313"/>
        <w:gridCol w:w="1314"/>
        <w:gridCol w:w="1314"/>
        <w:gridCol w:w="1314"/>
        <w:gridCol w:w="1179"/>
        <w:gridCol w:w="1188"/>
      </w:tblGrid>
      <w:tr w:rsidR="00EA22F7" w14:paraId="72CF7659" w14:textId="77777777" w:rsidTr="00AF4970">
        <w:tc>
          <w:tcPr>
            <w:tcW w:w="2016" w:type="dxa"/>
          </w:tcPr>
          <w:p w14:paraId="1AB770BE" w14:textId="77777777" w:rsidR="00EA22F7" w:rsidRDefault="00EA22F7" w:rsidP="00AF4970">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34213968" wp14:editId="79A40C57">
                  <wp:extent cx="1137600" cy="720000"/>
                  <wp:effectExtent l="0" t="0" r="5715"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313" w:type="dxa"/>
          </w:tcPr>
          <w:p w14:paraId="0A6CE92A" w14:textId="77777777" w:rsidR="00EA22F7" w:rsidRDefault="00EA22F7" w:rsidP="00AF4970">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257A6356" wp14:editId="6341AC49">
                  <wp:extent cx="609600" cy="60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314" w:type="dxa"/>
          </w:tcPr>
          <w:p w14:paraId="0F39B652" w14:textId="77777777" w:rsidR="00EA22F7" w:rsidRDefault="00EA22F7" w:rsidP="00AF4970">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697B68C0" wp14:editId="3E6E6DBC">
                  <wp:extent cx="612000" cy="612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314" w:type="dxa"/>
          </w:tcPr>
          <w:p w14:paraId="341414E6" w14:textId="77777777" w:rsidR="00EA22F7" w:rsidRDefault="00EA22F7" w:rsidP="00AF4970">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D7492ED" wp14:editId="6C354877">
                  <wp:extent cx="612000" cy="612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314" w:type="dxa"/>
          </w:tcPr>
          <w:p w14:paraId="01727C5F" w14:textId="77777777" w:rsidR="00EA22F7" w:rsidRDefault="00EA22F7" w:rsidP="00AF4970">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5329EA2D" wp14:editId="0A099E63">
                  <wp:extent cx="612000" cy="612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tcPr>
          <w:p w14:paraId="201A008F" w14:textId="77777777" w:rsidR="00EA22F7" w:rsidRDefault="00EA22F7" w:rsidP="00AF4970">
            <w:pPr>
              <w:pStyle w:val="ListBullet"/>
              <w:tabs>
                <w:tab w:val="clear" w:pos="284"/>
              </w:tabs>
              <w:spacing w:after="60" w:line="240" w:lineRule="auto"/>
              <w:jc w:val="center"/>
              <w:rPr>
                <w:noProof/>
              </w:rPr>
            </w:pPr>
            <w:r>
              <w:rPr>
                <w:noProof/>
              </w:rPr>
              <w:drawing>
                <wp:inline distT="0" distB="0" distL="0" distR="0" wp14:anchorId="2E0DEDDE" wp14:editId="676B3670">
                  <wp:extent cx="612000" cy="612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88" w:type="dxa"/>
          </w:tcPr>
          <w:p w14:paraId="209442B2" w14:textId="77777777" w:rsidR="00EA22F7" w:rsidRDefault="00EA22F7" w:rsidP="00AF4970">
            <w:pPr>
              <w:pStyle w:val="ListBullet"/>
              <w:tabs>
                <w:tab w:val="clear" w:pos="284"/>
              </w:tabs>
              <w:spacing w:after="60" w:line="240" w:lineRule="auto"/>
              <w:jc w:val="center"/>
              <w:rPr>
                <w:noProof/>
              </w:rPr>
            </w:pPr>
            <w:r>
              <w:rPr>
                <w:noProof/>
              </w:rPr>
              <w:drawing>
                <wp:inline distT="0" distB="0" distL="0" distR="0" wp14:anchorId="171449E5" wp14:editId="00639C8E">
                  <wp:extent cx="612000" cy="612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r w:rsidR="00EA22F7" w14:paraId="5643EC54" w14:textId="77777777" w:rsidTr="00AF4970">
        <w:trPr>
          <w:trHeight w:val="1308"/>
        </w:trPr>
        <w:tc>
          <w:tcPr>
            <w:tcW w:w="2016" w:type="dxa"/>
          </w:tcPr>
          <w:p w14:paraId="1BFC2810" w14:textId="77777777" w:rsidR="00EA22F7" w:rsidRDefault="00EA22F7" w:rsidP="00AF4970">
            <w:pPr>
              <w:pStyle w:val="ListBullet"/>
              <w:tabs>
                <w:tab w:val="clear" w:pos="284"/>
              </w:tabs>
              <w:spacing w:after="60" w:line="240" w:lineRule="auto"/>
              <w:jc w:val="center"/>
              <w:rPr>
                <w:rFonts w:asciiTheme="majorHAnsi" w:eastAsiaTheme="majorEastAsia" w:hAnsiTheme="majorHAnsi" w:cstheme="majorBidi"/>
                <w:caps/>
                <w:noProof/>
                <w:color w:val="495965" w:themeColor="text2"/>
                <w:sz w:val="38"/>
                <w:szCs w:val="26"/>
              </w:rPr>
            </w:pPr>
          </w:p>
        </w:tc>
        <w:tc>
          <w:tcPr>
            <w:tcW w:w="1313" w:type="dxa"/>
          </w:tcPr>
          <w:p w14:paraId="3399A316" w14:textId="77777777" w:rsidR="00EA22F7" w:rsidRDefault="00EA22F7" w:rsidP="00AF4970">
            <w:pPr>
              <w:pStyle w:val="ListBullet"/>
              <w:tabs>
                <w:tab w:val="clear" w:pos="284"/>
              </w:tabs>
              <w:spacing w:after="60" w:line="240" w:lineRule="auto"/>
              <w:jc w:val="center"/>
              <w:rPr>
                <w:noProof/>
              </w:rPr>
            </w:pPr>
            <w:r>
              <w:rPr>
                <w:noProof/>
              </w:rPr>
              <w:drawing>
                <wp:inline distT="0" distB="0" distL="0" distR="0" wp14:anchorId="08799635" wp14:editId="3B841F96">
                  <wp:extent cx="612000" cy="612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314" w:type="dxa"/>
          </w:tcPr>
          <w:p w14:paraId="28126274" w14:textId="77777777" w:rsidR="00EA22F7" w:rsidRDefault="00EA22F7" w:rsidP="00AF4970">
            <w:pPr>
              <w:pStyle w:val="ListBullet"/>
              <w:tabs>
                <w:tab w:val="clear" w:pos="284"/>
              </w:tabs>
              <w:spacing w:after="60" w:line="240" w:lineRule="auto"/>
              <w:jc w:val="center"/>
              <w:rPr>
                <w:noProof/>
              </w:rPr>
            </w:pPr>
            <w:r>
              <w:rPr>
                <w:noProof/>
              </w:rPr>
              <w:drawing>
                <wp:inline distT="0" distB="0" distL="0" distR="0" wp14:anchorId="56BC856A" wp14:editId="19570C73">
                  <wp:extent cx="609600" cy="609600"/>
                  <wp:effectExtent l="0" t="0" r="0" b="0"/>
                  <wp:docPr id="50" name="Picture 50"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314" w:type="dxa"/>
          </w:tcPr>
          <w:p w14:paraId="6457BF59" w14:textId="77777777" w:rsidR="00EA22F7" w:rsidRDefault="00EA22F7" w:rsidP="00AF4970">
            <w:pPr>
              <w:pStyle w:val="ListBullet"/>
              <w:tabs>
                <w:tab w:val="clear" w:pos="284"/>
              </w:tabs>
              <w:spacing w:after="60" w:line="240" w:lineRule="auto"/>
              <w:jc w:val="center"/>
              <w:rPr>
                <w:noProof/>
              </w:rPr>
            </w:pPr>
            <w:r>
              <w:rPr>
                <w:noProof/>
              </w:rPr>
              <w:drawing>
                <wp:inline distT="0" distB="0" distL="0" distR="0" wp14:anchorId="3B85628E" wp14:editId="0722C612">
                  <wp:extent cx="612000" cy="612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314" w:type="dxa"/>
          </w:tcPr>
          <w:p w14:paraId="1554B6EA" w14:textId="77777777" w:rsidR="00EA22F7" w:rsidRDefault="00EA22F7" w:rsidP="00AF4970">
            <w:pPr>
              <w:pStyle w:val="ListBullet"/>
              <w:tabs>
                <w:tab w:val="clear" w:pos="284"/>
              </w:tabs>
              <w:spacing w:after="60" w:line="240" w:lineRule="auto"/>
              <w:jc w:val="center"/>
              <w:rPr>
                <w:noProof/>
              </w:rPr>
            </w:pPr>
            <w:r>
              <w:rPr>
                <w:noProof/>
              </w:rPr>
              <w:drawing>
                <wp:inline distT="0" distB="0" distL="0" distR="0" wp14:anchorId="5C1543E7" wp14:editId="36DAEAEE">
                  <wp:extent cx="612000" cy="61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179" w:type="dxa"/>
          </w:tcPr>
          <w:p w14:paraId="6DF9F2F7" w14:textId="77777777" w:rsidR="00EA22F7" w:rsidRDefault="00EA22F7" w:rsidP="00AF4970">
            <w:pPr>
              <w:pStyle w:val="ListBullet"/>
              <w:tabs>
                <w:tab w:val="clear" w:pos="284"/>
              </w:tabs>
              <w:spacing w:after="60" w:line="240" w:lineRule="auto"/>
              <w:jc w:val="center"/>
              <w:rPr>
                <w:noProof/>
              </w:rPr>
            </w:pPr>
            <w:r>
              <w:rPr>
                <w:noProof/>
              </w:rPr>
              <w:drawing>
                <wp:inline distT="0" distB="0" distL="0" distR="0" wp14:anchorId="07738987" wp14:editId="766FA415">
                  <wp:extent cx="608400" cy="612000"/>
                  <wp:effectExtent l="0" t="0" r="127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188" w:type="dxa"/>
          </w:tcPr>
          <w:p w14:paraId="28EAE445" w14:textId="77777777" w:rsidR="00EA22F7" w:rsidRDefault="00EA22F7" w:rsidP="00AF4970">
            <w:pPr>
              <w:pStyle w:val="ListBullet"/>
              <w:tabs>
                <w:tab w:val="clear" w:pos="284"/>
              </w:tabs>
              <w:spacing w:after="60" w:line="240" w:lineRule="auto"/>
              <w:jc w:val="center"/>
              <w:rPr>
                <w:noProof/>
              </w:rPr>
            </w:pPr>
            <w:r>
              <w:rPr>
                <w:noProof/>
              </w:rPr>
              <w:drawing>
                <wp:inline distT="0" distB="0" distL="0" distR="0" wp14:anchorId="33F6A1A1" wp14:editId="17A37BD3">
                  <wp:extent cx="612000" cy="612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06CE3460" w14:textId="3C74CB42" w:rsidR="006A3598" w:rsidRPr="0014648B" w:rsidRDefault="008F76D5" w:rsidP="006A3598">
      <w:r>
        <w:t xml:space="preserve">Progress against this objective remained amber. </w:t>
      </w:r>
      <w:r w:rsidR="006A3598">
        <w:t xml:space="preserve">The major regional organisations have consolidated reforms of their financial and management systems. They further prioritised their work over the reporting period </w:t>
      </w:r>
      <w:r w:rsidR="005E0D97">
        <w:t xml:space="preserve">to partially meet </w:t>
      </w:r>
      <w:r w:rsidR="006A3598">
        <w:t xml:space="preserve">the benchmark - </w:t>
      </w:r>
      <w:r w:rsidR="006A3598" w:rsidRPr="005D12AC">
        <w:t>that regional organisations have defined, clear and sensible priorities</w:t>
      </w:r>
      <w:r w:rsidR="006A3598">
        <w:t xml:space="preserve">. Challenges remain to tighten financial accountability, in particular for the University of South Pacific (USP). </w:t>
      </w:r>
      <w:r w:rsidR="00353BBF">
        <w:t>Regional organisations demonstrated mixed p</w:t>
      </w:r>
      <w:r w:rsidR="005E0D97">
        <w:t>erformance on gender equality.</w:t>
      </w:r>
      <w:r w:rsidR="006A3598">
        <w:t xml:space="preserve"> </w:t>
      </w:r>
      <w:r w:rsidR="005E0D97">
        <w:t>Pacific Island Forum Secretar</w:t>
      </w:r>
      <w:r w:rsidR="00462BB1">
        <w:t>iat</w:t>
      </w:r>
      <w:r w:rsidR="005E0D97">
        <w:t xml:space="preserve"> (</w:t>
      </w:r>
      <w:r w:rsidR="00C310D9">
        <w:t>PIFS</w:t>
      </w:r>
      <w:r w:rsidR="005E0D97">
        <w:t>)</w:t>
      </w:r>
      <w:r w:rsidR="00C310D9">
        <w:t xml:space="preserve"> significantly increased its gender equality performance, making good progress through </w:t>
      </w:r>
      <w:r w:rsidR="00491C17">
        <w:t xml:space="preserve">the DFAT funded </w:t>
      </w:r>
      <w:r w:rsidR="00C310D9" w:rsidRPr="001718F4">
        <w:t>Gender Equality and Social Inclusion (GESI)</w:t>
      </w:r>
      <w:r w:rsidR="00C310D9" w:rsidRPr="00723B8B">
        <w:t xml:space="preserve"> Adviser</w:t>
      </w:r>
      <w:r w:rsidR="00C310D9">
        <w:t xml:space="preserve"> and improved international engagement and reporting on gender equality outcomes. </w:t>
      </w:r>
      <w:r w:rsidR="006A3598">
        <w:t xml:space="preserve">Despite strong progress in some key divisions, more work needs to be done across </w:t>
      </w:r>
      <w:r w:rsidR="00C310D9">
        <w:t>SPC</w:t>
      </w:r>
      <w:r w:rsidR="006A3598">
        <w:t xml:space="preserve"> to lift </w:t>
      </w:r>
      <w:r w:rsidR="00C310D9">
        <w:t xml:space="preserve">performance on </w:t>
      </w:r>
      <w:r w:rsidR="005E0D97">
        <w:t>gender equality</w:t>
      </w:r>
      <w:r w:rsidR="006A3598">
        <w:rPr>
          <w:spacing w:val="-3"/>
          <w:lang w:val="en-US"/>
        </w:rPr>
        <w:t xml:space="preserve">. </w:t>
      </w:r>
      <w:r w:rsidR="005E0D97">
        <w:rPr>
          <w:spacing w:val="-3"/>
          <w:lang w:val="en-US"/>
        </w:rPr>
        <w:t xml:space="preserve">There is room for improvement within </w:t>
      </w:r>
      <w:r w:rsidR="005E0D97" w:rsidRPr="005E0D97">
        <w:rPr>
          <w:spacing w:val="-3"/>
          <w:lang w:val="en-US"/>
        </w:rPr>
        <w:t xml:space="preserve">the </w:t>
      </w:r>
      <w:r w:rsidR="005E0D97" w:rsidRPr="005E0D97">
        <w:t>Secretariat of the Pacific Regional Environment Programme</w:t>
      </w:r>
      <w:r w:rsidR="005E0D97" w:rsidRPr="00EE1F24">
        <w:t xml:space="preserve"> </w:t>
      </w:r>
      <w:r w:rsidR="005E0D97">
        <w:t>(</w:t>
      </w:r>
      <w:r w:rsidR="00C310D9">
        <w:rPr>
          <w:spacing w:val="-3"/>
          <w:lang w:val="en-US"/>
        </w:rPr>
        <w:t>SPREP</w:t>
      </w:r>
      <w:r w:rsidR="005E0D97">
        <w:rPr>
          <w:spacing w:val="-3"/>
          <w:lang w:val="en-US"/>
        </w:rPr>
        <w:t>)</w:t>
      </w:r>
      <w:r w:rsidR="00C310D9">
        <w:rPr>
          <w:spacing w:val="-3"/>
          <w:lang w:val="en-US"/>
        </w:rPr>
        <w:t xml:space="preserve"> Partnership </w:t>
      </w:r>
      <w:r w:rsidR="005E0D97">
        <w:rPr>
          <w:spacing w:val="-3"/>
          <w:lang w:val="en-US"/>
        </w:rPr>
        <w:t xml:space="preserve">to improve gender equality. </w:t>
      </w:r>
      <w:r w:rsidR="006A3598">
        <w:t xml:space="preserve">Strengthening gender analysis and social inclusion remains a priority for Australia, and we will work with the regional organisations to embed this approach in their work. Regular </w:t>
      </w:r>
      <w:r w:rsidR="00DB1F1C">
        <w:t>policy</w:t>
      </w:r>
      <w:r w:rsidR="006A3598" w:rsidRPr="00850591">
        <w:rPr>
          <w:spacing w:val="-3"/>
          <w:lang w:val="en-US"/>
        </w:rPr>
        <w:t xml:space="preserve"> dialogue remains a key tool for </w:t>
      </w:r>
      <w:r w:rsidR="006A3598">
        <w:rPr>
          <w:spacing w:val="-3"/>
          <w:lang w:val="en-US"/>
        </w:rPr>
        <w:t>progressing shared challenges and joint commitments</w:t>
      </w:r>
      <w:r w:rsidR="006A3598" w:rsidRPr="00850591">
        <w:rPr>
          <w:spacing w:val="-3"/>
          <w:lang w:val="en-US"/>
        </w:rPr>
        <w:t xml:space="preserve">. </w:t>
      </w:r>
    </w:p>
    <w:p w14:paraId="2FBC02E5" w14:textId="67A6758C" w:rsidR="006A3598" w:rsidRDefault="006A3598" w:rsidP="006A3598">
      <w:r w:rsidRPr="00CD52A4">
        <w:rPr>
          <w:b/>
        </w:rPr>
        <w:t>The Pacific Community (SPC) is the largest technical and scientific organisation in the Pacific.</w:t>
      </w:r>
      <w:r>
        <w:t xml:space="preserve"> Australia is a member of SPC, as are all Pacific island countries and territories, New Zealand, the United States and France. Australia is also the largest donor to SPC, and in 2018 provided </w:t>
      </w:r>
      <w:r w:rsidR="003A23F3">
        <w:t>AUD</w:t>
      </w:r>
      <w:r>
        <w:t xml:space="preserve">28.9 million for core funding, and for SPC programs and project activities. Our funding to SPC supported delivery of essential services to Pacific island countries and territories, including in fisheries science to help manage the region’s valuable tuna stock, maintaining education standards, addressing non-communicable diseases, and generating statistics to track progress against the Sustainable Development Goals (SDGs). </w:t>
      </w:r>
    </w:p>
    <w:p w14:paraId="5AC7D19F" w14:textId="77777777" w:rsidR="006A3598" w:rsidRDefault="006A3598" w:rsidP="006A3598">
      <w:r>
        <w:t>In 2018-19, with Australia’s support, SPC delivered the Pacific Literacy and Numeracy Assessment, which aims to lift education standards across 15 Pacific island countries and territories. Other examples of where Australian funding to SPC made an impact included: Fiji amended legislation in favour of equal employment of men and women in its mining sector; Samoa finalised its maritime boundaries; and in Kiribati 6,000 people gained access to water following SPC installation of a water system.</w:t>
      </w:r>
    </w:p>
    <w:p w14:paraId="3EC1B713" w14:textId="77777777" w:rsidR="006A3598" w:rsidRDefault="006A3598" w:rsidP="006A3598">
      <w:r>
        <w:t xml:space="preserve">Australia’s support to SPC is focused on improved regional service delivery, enhanced SPC capabilities (including improved financial management and gender mainstreaming) and a stronger relationship between Australia and SPC. In 2018-19, SPC maintained its momentum in terms of budget and project delivery reform, increasing its project expenditure rates to almost 100 per cent. </w:t>
      </w:r>
    </w:p>
    <w:p w14:paraId="2899267A" w14:textId="77777777" w:rsidR="006A3598" w:rsidRDefault="006A3598" w:rsidP="006A3598">
      <w:r>
        <w:t>SPC further refined its programs to focus on the 10 priorities agreed by SPC members, including climate change and disasters, ocean science and food security. Australia’s support to SPC continued to fund world-class stock assessments for offshore fisheries and the sustainable management of coastal fisheries. SPC demonstrated excellent results on gender equality over the reporting period in the fisheries and maritime sectors, which applied gender analysis to their important work on coastal fisheries, but slower progress on gender in other sectors.</w:t>
      </w:r>
      <w:r w:rsidR="00C310D9">
        <w:t xml:space="preserve"> </w:t>
      </w:r>
      <w:r w:rsidR="002E6D36" w:rsidRPr="002E6D36">
        <w:rPr>
          <w:lang w:val="en-AU"/>
        </w:rPr>
        <w:t>SPC Division of Fisheries, Aquaculture and Marine Ecosystems</w:t>
      </w:r>
      <w:r w:rsidR="002E6D36">
        <w:rPr>
          <w:lang w:val="en-AU"/>
        </w:rPr>
        <w:t xml:space="preserve"> (FAME) </w:t>
      </w:r>
      <w:r w:rsidR="00C310D9" w:rsidRPr="00C310D9">
        <w:rPr>
          <w:lang w:val="en-AU"/>
        </w:rPr>
        <w:t>worked closely with SPC's Social Development Program to improve gender equity and social inclusion in delivery of outcomes relating to sustainable management of natural resources. Initiatives included development of the Pacific Handbook for Gender Equity and Social Inclusion in Fisheries and Aquaculture (published March 2019), and gender analysis of the aquaculture sector in Fiji and Samoa.</w:t>
      </w:r>
    </w:p>
    <w:p w14:paraId="1665D03E" w14:textId="77F85C24" w:rsidR="006A3598" w:rsidRDefault="006A3598" w:rsidP="006A3598">
      <w:r>
        <w:t>In early April 2018, and for the first time, Australia and New Zealand held joint High Level Consultations with the SPC. Reflecting the alignment of Australia and New Zealand’s interests in the region, the talks were an important opportunity to discuss our collective interests in effective SPC service delivery</w:t>
      </w:r>
      <w:r w:rsidR="00304F6D">
        <w:t xml:space="preserve"> to help build a</w:t>
      </w:r>
      <w:r>
        <w:t xml:space="preserve"> secure and prosperous region.</w:t>
      </w:r>
    </w:p>
    <w:p w14:paraId="5AF29DA8" w14:textId="5A499003" w:rsidR="006A3598" w:rsidRDefault="006A3598" w:rsidP="006A3598">
      <w:r>
        <w:t xml:space="preserve">On 21 June 2019, Foreign Minister Payne attended the biennial SPC Ministerial Conference, the first Australian Foreign Minister to attend the Conference since its inception. Ministers called for greater investments in ocean science and discussed how best to ensure the long-term health of our oceans, which are vital to Pacific economies, livelihoods and cultures. Minister Payne also announced an additional </w:t>
      </w:r>
      <w:r w:rsidR="003A23F3">
        <w:t>AUD</w:t>
      </w:r>
      <w:r>
        <w:t>3.5</w:t>
      </w:r>
      <w:r w:rsidR="003A23F3">
        <w:t> </w:t>
      </w:r>
      <w:r>
        <w:t xml:space="preserve">million for the SPC to help Pacific island countries address the risks to their maritime zones posed by sea-level rise, and other climate-related impacts. </w:t>
      </w:r>
    </w:p>
    <w:p w14:paraId="28972CA5" w14:textId="5326B189" w:rsidR="006A3598" w:rsidRDefault="006A3598" w:rsidP="006A3598">
      <w:r>
        <w:t xml:space="preserve">Australia is the largest donor to the </w:t>
      </w:r>
      <w:r w:rsidRPr="009E158F">
        <w:rPr>
          <w:b/>
        </w:rPr>
        <w:t>Pacific Islands Forum Secretariat</w:t>
      </w:r>
      <w:r w:rsidR="005E0D97">
        <w:rPr>
          <w:b/>
        </w:rPr>
        <w:t xml:space="preserve"> (PIFS)</w:t>
      </w:r>
      <w:r>
        <w:t xml:space="preserve">, and in 2018-19 provided </w:t>
      </w:r>
      <w:r w:rsidR="003A23F3">
        <w:t>AUD</w:t>
      </w:r>
      <w:r>
        <w:t>6.24 million in core funding to support its work on regional political governance, economic cooperation, security and trade. Australia assisted the Secretariat to support a number of high-level events in the Pacific, including the participation of Pacific leaders at Asia-Pacific Economic Cooperation (APEC) leaders week, hosted by Papua New Guinea in late November 2018, and a visit by UN Secretary-General Guterres to Fiji, Tuvalu and Vanuatu. The Secretariat hosted a high-level political dialogue for PIF Leaders with Secretary-General Guterres on 15 May, focused on climate change ahead of the Secretary-General’s Climate Action Summit in September 2019.</w:t>
      </w:r>
    </w:p>
    <w:p w14:paraId="4A987E06" w14:textId="77777777" w:rsidR="005E62B1" w:rsidRDefault="005E62B1" w:rsidP="006A3598"/>
    <w:p w14:paraId="57277BFA" w14:textId="77777777" w:rsidR="005E62B1" w:rsidRDefault="005E62B1" w:rsidP="006A3598"/>
    <w:p w14:paraId="20CC10D2" w14:textId="0E75A492" w:rsidR="006A3598" w:rsidRDefault="006A3598" w:rsidP="006A3598">
      <w:r>
        <w:t xml:space="preserve">The PIF Secretariat led two major reviews in the reporting period – a health check of the Framework for Pacific Regionalism, and a Forum Troika review of arrangements for the PIF leaders’ meeting. Australia contributed to both reviews, including supporting the development </w:t>
      </w:r>
      <w:r w:rsidR="00A2258D">
        <w:t xml:space="preserve">of </w:t>
      </w:r>
      <w:r>
        <w:t xml:space="preserve">a </w:t>
      </w:r>
      <w:r w:rsidRPr="00B10ED4">
        <w:rPr>
          <w:i/>
        </w:rPr>
        <w:t>2050 Strategy to Secure the Blue Pacific</w:t>
      </w:r>
      <w:r>
        <w:t>, and proposing ways to strengthen leaders’ discussions with Forum Dialogue Partners (the 18</w:t>
      </w:r>
      <w:r w:rsidR="00DC445E">
        <w:t> </w:t>
      </w:r>
      <w:r>
        <w:t xml:space="preserve">countries recognised by PIF leaders as having significant political or economic interests in the Pacific, including the US, UK, China and Japan). </w:t>
      </w:r>
    </w:p>
    <w:p w14:paraId="4FAE0A73" w14:textId="77777777" w:rsidR="006A3598" w:rsidRPr="00B114C2" w:rsidRDefault="006A3598" w:rsidP="006A3598">
      <w:r>
        <w:t>The Secretariat bedded down important corporate and financial reforms over the past year, including regular meetings of the Audit and Risk Sub-Committee, introducing streamlined business processes for financial management, and finalising a revised Strategic Framework 2017-2021. In September 2018, PIF leaders endorsed a new sustainable funding strategy for the Secretariat. The Strategy will, over time, increase the proportion of membership funding from Forum island countries. This importantly helps secure greater ownership by members of their organisation, and places greater expectations on the Secretariat to deliver relevant policy advice and effective arrangements for its members. Australia has funded a Social Inclusion Adviser position in the Secretariat</w:t>
      </w:r>
      <w:r w:rsidR="00C31BB8">
        <w:t>, which has supported country members to prepare for key international gender equality engagements and established a governance mechanism to implement the Pacific Framework on Rights of Persons with Disabilities (2016).</w:t>
      </w:r>
      <w:r>
        <w:t xml:space="preserve"> This role will strengthen its capacity for gender and disability analysis in </w:t>
      </w:r>
      <w:r w:rsidRPr="00B114C2">
        <w:t>regional policy development.</w:t>
      </w:r>
    </w:p>
    <w:p w14:paraId="62D3C686" w14:textId="4D5F40C8" w:rsidR="006A3598" w:rsidRDefault="006A3598" w:rsidP="006A3598">
      <w:r w:rsidRPr="00B10ED4">
        <w:rPr>
          <w:lang w:val="en-AU"/>
        </w:rPr>
        <w:t xml:space="preserve">The next stage of </w:t>
      </w:r>
      <w:r w:rsidR="00304F6D">
        <w:rPr>
          <w:lang w:val="en-AU"/>
        </w:rPr>
        <w:t>Australia’s</w:t>
      </w:r>
      <w:r w:rsidR="00304F6D" w:rsidRPr="00B10ED4">
        <w:rPr>
          <w:lang w:val="en-AU"/>
        </w:rPr>
        <w:t xml:space="preserve"> </w:t>
      </w:r>
      <w:r w:rsidRPr="00B10ED4">
        <w:rPr>
          <w:lang w:val="en-AU"/>
        </w:rPr>
        <w:t xml:space="preserve">support for the </w:t>
      </w:r>
      <w:r w:rsidRPr="00B10ED4">
        <w:rPr>
          <w:b/>
          <w:bCs/>
          <w:lang w:val="en-AU"/>
        </w:rPr>
        <w:t xml:space="preserve">University of South Pacific (USP) </w:t>
      </w:r>
      <w:r w:rsidRPr="00B10ED4">
        <w:rPr>
          <w:bCs/>
          <w:lang w:val="en-AU"/>
        </w:rPr>
        <w:t xml:space="preserve">commenced in April 2019 with the signing </w:t>
      </w:r>
      <w:r w:rsidR="00304F6D">
        <w:rPr>
          <w:bCs/>
          <w:lang w:val="en-AU"/>
        </w:rPr>
        <w:t xml:space="preserve">of </w:t>
      </w:r>
      <w:r w:rsidRPr="00B10ED4">
        <w:rPr>
          <w:bCs/>
          <w:lang w:val="en-AU"/>
        </w:rPr>
        <w:t xml:space="preserve">a new </w:t>
      </w:r>
      <w:r w:rsidRPr="00B10ED4">
        <w:rPr>
          <w:lang w:val="en-AU"/>
        </w:rPr>
        <w:t>Partnership Agreement</w:t>
      </w:r>
      <w:r w:rsidRPr="00B114C2">
        <w:rPr>
          <w:lang w:val="en-AU"/>
        </w:rPr>
        <w:t xml:space="preserve">. USP is a key source of graduates to industry and government in the region, providing the critical workforce for </w:t>
      </w:r>
      <w:r w:rsidR="00304F6D">
        <w:rPr>
          <w:lang w:val="en-AU"/>
        </w:rPr>
        <w:t xml:space="preserve">sustainable </w:t>
      </w:r>
      <w:r w:rsidRPr="00B114C2">
        <w:rPr>
          <w:lang w:val="en-AU"/>
        </w:rPr>
        <w:t xml:space="preserve">development. </w:t>
      </w:r>
      <w:r w:rsidR="00304F6D">
        <w:rPr>
          <w:lang w:val="en-AU"/>
        </w:rPr>
        <w:t>Australia</w:t>
      </w:r>
      <w:r w:rsidRPr="00B114C2">
        <w:rPr>
          <w:lang w:val="en-AU"/>
        </w:rPr>
        <w:t xml:space="preserve"> recognise</w:t>
      </w:r>
      <w:r w:rsidR="00304F6D">
        <w:rPr>
          <w:lang w:val="en-AU"/>
        </w:rPr>
        <w:t>s</w:t>
      </w:r>
      <w:r w:rsidRPr="00B114C2">
        <w:rPr>
          <w:lang w:val="en-AU"/>
        </w:rPr>
        <w:t xml:space="preserve"> the importance of a university with a strong Pacific identity supporting economic and social development</w:t>
      </w:r>
      <w:r>
        <w:rPr>
          <w:lang w:val="en-AU"/>
        </w:rPr>
        <w:t xml:space="preserve"> in the region</w:t>
      </w:r>
      <w:r w:rsidRPr="00B114C2">
        <w:rPr>
          <w:lang w:val="en-AU"/>
        </w:rPr>
        <w:t xml:space="preserve">. </w:t>
      </w:r>
      <w:r w:rsidR="004E37C6" w:rsidRPr="00620C38">
        <w:rPr>
          <w:lang w:val="en-AU"/>
        </w:rPr>
        <w:t>The education sector, particularly teacher education and education systems strengthening, remains a fundamental part of USP’s mandate and services, with high expectations from P</w:t>
      </w:r>
      <w:r w:rsidR="00304F6D">
        <w:rPr>
          <w:lang w:val="en-AU"/>
        </w:rPr>
        <w:t xml:space="preserve">acific island </w:t>
      </w:r>
      <w:r w:rsidR="004E37C6" w:rsidRPr="00620C38">
        <w:rPr>
          <w:lang w:val="en-AU"/>
        </w:rPr>
        <w:t xml:space="preserve">governments. </w:t>
      </w:r>
      <w:r w:rsidRPr="00B114C2">
        <w:rPr>
          <w:lang w:val="en-AU"/>
        </w:rPr>
        <w:t xml:space="preserve">The new partnership focuses on lifting teacher-training standards in line with the priorities of the new Pacific Regional Education Framework. It also encourages </w:t>
      </w:r>
      <w:r w:rsidR="004E37C6">
        <w:rPr>
          <w:lang w:val="en-AU"/>
        </w:rPr>
        <w:t xml:space="preserve">greater </w:t>
      </w:r>
      <w:r w:rsidRPr="00B114C2">
        <w:rPr>
          <w:lang w:val="en-AU"/>
        </w:rPr>
        <w:t>linkages between the University and Australia’s tertiary education sector.</w:t>
      </w:r>
      <w:r>
        <w:rPr>
          <w:lang w:val="en-AU"/>
        </w:rPr>
        <w:t xml:space="preserve"> </w:t>
      </w:r>
      <w:r w:rsidRPr="00B114C2">
        <w:rPr>
          <w:lang w:val="en-AU"/>
        </w:rPr>
        <w:t>Australia has been working closely with USP to support its transition to new leadership with the appointment of a new Vice-Chancellor in</w:t>
      </w:r>
      <w:r>
        <w:rPr>
          <w:lang w:val="en-AU"/>
        </w:rPr>
        <w:t xml:space="preserve"> January 2019. We have also been working closely with Pacific Education Ministers through our Ministerially-appointed representative on the University Council to respond to </w:t>
      </w:r>
      <w:r w:rsidRPr="004C2545">
        <w:rPr>
          <w:lang w:val="en-AU"/>
        </w:rPr>
        <w:t xml:space="preserve">recent allegations of </w:t>
      </w:r>
      <w:r w:rsidR="00E512A7">
        <w:rPr>
          <w:lang w:val="en-AU"/>
        </w:rPr>
        <w:t xml:space="preserve"> serious policy non-compliance</w:t>
      </w:r>
      <w:r w:rsidRPr="004C2545">
        <w:rPr>
          <w:lang w:val="en-AU"/>
        </w:rPr>
        <w:t xml:space="preserve"> by the University</w:t>
      </w:r>
      <w:r>
        <w:rPr>
          <w:lang w:val="en-AU"/>
        </w:rPr>
        <w:t xml:space="preserve">. </w:t>
      </w:r>
      <w:r w:rsidRPr="00DD50FC" w:rsidDel="00F62D39">
        <w:rPr>
          <w:lang w:val="en-AU"/>
        </w:rPr>
        <w:t xml:space="preserve"> </w:t>
      </w:r>
    </w:p>
    <w:p w14:paraId="71740055" w14:textId="77777777" w:rsidR="001718F4" w:rsidRPr="001718F4" w:rsidRDefault="001718F4" w:rsidP="001718F4">
      <w:pPr>
        <w:rPr>
          <w:lang w:val="en-AU"/>
        </w:rPr>
      </w:pPr>
      <w:r w:rsidRPr="001718F4">
        <w:rPr>
          <w:b/>
          <w:bCs/>
          <w:lang w:val="en-AU"/>
        </w:rPr>
        <w:t>PacificAus Sports</w:t>
      </w:r>
      <w:r w:rsidRPr="001718F4">
        <w:rPr>
          <w:lang w:val="en-AU"/>
        </w:rPr>
        <w:t xml:space="preserve"> (formerly the Australia-Pacific Sports Linkages Program) is</w:t>
      </w:r>
      <w:r>
        <w:rPr>
          <w:lang w:val="en-AU"/>
        </w:rPr>
        <w:t xml:space="preserve"> a </w:t>
      </w:r>
      <w:r w:rsidR="003A23F3">
        <w:rPr>
          <w:lang w:val="en-AU"/>
        </w:rPr>
        <w:t>AUD</w:t>
      </w:r>
      <w:r>
        <w:rPr>
          <w:lang w:val="en-AU"/>
        </w:rPr>
        <w:t>52 million (</w:t>
      </w:r>
      <w:r w:rsidR="003A23F3">
        <w:rPr>
          <w:lang w:val="en-AU"/>
        </w:rPr>
        <w:t>AUD</w:t>
      </w:r>
      <w:r>
        <w:rPr>
          <w:lang w:val="en-AU"/>
        </w:rPr>
        <w:t>40 million non</w:t>
      </w:r>
      <w:r>
        <w:rPr>
          <w:lang w:val="en-AU"/>
        </w:rPr>
        <w:noBreakHyphen/>
      </w:r>
      <w:r w:rsidRPr="001718F4">
        <w:rPr>
          <w:lang w:val="en-AU"/>
        </w:rPr>
        <w:t xml:space="preserve">ODA and </w:t>
      </w:r>
      <w:r w:rsidR="003A23F3">
        <w:rPr>
          <w:lang w:val="en-AU"/>
        </w:rPr>
        <w:t>AUD</w:t>
      </w:r>
      <w:r w:rsidRPr="001718F4">
        <w:rPr>
          <w:lang w:val="en-AU"/>
        </w:rPr>
        <w:t xml:space="preserve">12 million ODA) program designed to build closer and deeper ties with Pacific nations through sport. In PacificAus Sports’ first year (2018-19) it partnered with four Australian national sporting organisations: Netball Australia; Football Federation Australia; National Rugby League; and Rugby Australia to deliver </w:t>
      </w:r>
      <w:r w:rsidR="003A23F3">
        <w:rPr>
          <w:lang w:val="en-AU"/>
        </w:rPr>
        <w:t>AUD</w:t>
      </w:r>
      <w:r w:rsidRPr="001718F4">
        <w:rPr>
          <w:lang w:val="en-AU"/>
        </w:rPr>
        <w:t xml:space="preserve">3.3 million (non-ODA) of sports diplomacy activities in the Pacific focused on high performance sport. </w:t>
      </w:r>
      <w:r>
        <w:rPr>
          <w:lang w:val="en-AU"/>
        </w:rPr>
        <w:t xml:space="preserve">Sixty-one </w:t>
      </w:r>
      <w:r w:rsidRPr="001718F4">
        <w:rPr>
          <w:lang w:val="en-AU"/>
        </w:rPr>
        <w:t xml:space="preserve">per cent of all funded PacificAus Sports activities to date have directly benefitted women and girls. PacificAus Sports will administer </w:t>
      </w:r>
      <w:r w:rsidR="003A23F3">
        <w:rPr>
          <w:lang w:val="en-AU"/>
        </w:rPr>
        <w:t>AUD</w:t>
      </w:r>
      <w:r w:rsidRPr="001718F4">
        <w:rPr>
          <w:lang w:val="en-AU"/>
        </w:rPr>
        <w:t>12 million in ODA funding from 2019-20 to 2022-23 aimed at developing sports administration, governance, and policy in Pacific sporting bodies.  </w:t>
      </w:r>
    </w:p>
    <w:p w14:paraId="0A3DAE2D" w14:textId="77777777" w:rsidR="006A3598" w:rsidRDefault="006A3598" w:rsidP="006A3598">
      <w:r>
        <w:t xml:space="preserve">In 2019, the </w:t>
      </w:r>
      <w:r w:rsidRPr="005E227D">
        <w:rPr>
          <w:b/>
        </w:rPr>
        <w:t>Forum Fisheries Agency (FFA)</w:t>
      </w:r>
      <w:r>
        <w:t xml:space="preserve"> celebrated 40 years of championing coastal states’ rights and cooperation in the sustainable management of the region’s valuable offshore fish stocks as the pathway to long-term regional security. Significant achievements include the approval of a new FFA Strategic Plan 2020</w:t>
      </w:r>
      <w:r>
        <w:noBreakHyphen/>
        <w:t xml:space="preserve">2025 and agreement on a new Regional Longline Strategy– both demonstrating commitment to collective and national action. By presenting a strong unified front, FFA Members achieved all five priorities set by Fisheries Ministers for the Western and Central Pacific Fisheries Commission (WCPFC) </w:t>
      </w:r>
      <w:r w:rsidR="001C0C3F">
        <w:t>m</w:t>
      </w:r>
      <w:r>
        <w:t xml:space="preserve">eeting in December 2018, each of which will deliver long-term benefit to the region. In June 2019, Fisheries Ministers also agreed to introduce harmonised minimum terms and conditions for employment standards of crew on board all fishing vessels, thereby reducing the risk of potential human rights abuses at sea. </w:t>
      </w:r>
    </w:p>
    <w:p w14:paraId="7B4F9A09" w14:textId="77777777" w:rsidR="005E62B1" w:rsidRDefault="005E62B1" w:rsidP="006A3598"/>
    <w:p w14:paraId="37D5331F" w14:textId="77777777" w:rsidR="005E62B1" w:rsidRDefault="005E62B1" w:rsidP="006A3598"/>
    <w:p w14:paraId="0916FCD0" w14:textId="5A452081" w:rsidR="006A3598" w:rsidRDefault="006A3598" w:rsidP="006A3598">
      <w:r w:rsidRPr="00EE1F24">
        <w:t>In 2018-19, Australia increased core funding to</w:t>
      </w:r>
      <w:r>
        <w:t xml:space="preserve"> </w:t>
      </w:r>
      <w:r w:rsidRPr="00E52885">
        <w:rPr>
          <w:b/>
        </w:rPr>
        <w:t>Secretariat of the Pacific Regional Environment Programme</w:t>
      </w:r>
      <w:r w:rsidRPr="00EE1F24">
        <w:t xml:space="preserve"> </w:t>
      </w:r>
      <w:r w:rsidRPr="00E47B1C">
        <w:rPr>
          <w:b/>
        </w:rPr>
        <w:t>(SPREP)</w:t>
      </w:r>
      <w:r w:rsidRPr="00EE1F24">
        <w:t xml:space="preserve"> </w:t>
      </w:r>
      <w:r>
        <w:t xml:space="preserve">to </w:t>
      </w:r>
      <w:r w:rsidRPr="00004268">
        <w:t>support SPREP’s work in protecting island and ocean ecosystems, encouraging sustainable development, assisting in climate change adaptation and improving waste management</w:t>
      </w:r>
      <w:r w:rsidRPr="00EE1F24">
        <w:t xml:space="preserve">. </w:t>
      </w:r>
      <w:r>
        <w:t>Having identified deficiencies in its gender and social inclusion indicators, w</w:t>
      </w:r>
      <w:r w:rsidRPr="00EE1F24">
        <w:t xml:space="preserve">e are working with SPREP to </w:t>
      </w:r>
      <w:r>
        <w:t xml:space="preserve">make </w:t>
      </w:r>
      <w:r w:rsidRPr="00EE1F24">
        <w:t>improve</w:t>
      </w:r>
      <w:r>
        <w:t>ments</w:t>
      </w:r>
      <w:r w:rsidRPr="00EE1F24">
        <w:t xml:space="preserve"> </w:t>
      </w:r>
      <w:r>
        <w:t xml:space="preserve">in these areas. SPREP has made some </w:t>
      </w:r>
      <w:r w:rsidR="00C31BB8">
        <w:t>progress by ensuring projects consider gender equality gaps and constraints in the design and implementation stages, in accordance with the programme gender policy</w:t>
      </w:r>
      <w:r>
        <w:t xml:space="preserve">. Australia also committed to fund the </w:t>
      </w:r>
      <w:r w:rsidR="003A23F3">
        <w:t>AUD</w:t>
      </w:r>
      <w:r w:rsidRPr="00D52F6E">
        <w:t xml:space="preserve">16 million (2019-2025) </w:t>
      </w:r>
      <w:r w:rsidRPr="00E52885">
        <w:rPr>
          <w:b/>
        </w:rPr>
        <w:t>Pacific Ocean Litter Project</w:t>
      </w:r>
      <w:r w:rsidRPr="00D52F6E">
        <w:t xml:space="preserve"> (POLP), </w:t>
      </w:r>
      <w:r>
        <w:t xml:space="preserve">which will </w:t>
      </w:r>
      <w:r w:rsidRPr="00D52F6E">
        <w:t xml:space="preserve">assist SPREP to implement the </w:t>
      </w:r>
      <w:r w:rsidRPr="00CD62EA">
        <w:rPr>
          <w:i/>
        </w:rPr>
        <w:t>Pacific Regional Action Plan on Marine Litter 2018 2025</w:t>
      </w:r>
      <w:r>
        <w:rPr>
          <w:i/>
        </w:rPr>
        <w:t xml:space="preserve"> </w:t>
      </w:r>
      <w:r>
        <w:t>and</w:t>
      </w:r>
      <w:r w:rsidRPr="00D52F6E">
        <w:t xml:space="preserve"> coordinate and align the many regional and national donor driven activities and agendas on plastic pollution in the Pacific.</w:t>
      </w:r>
      <w:r>
        <w:t xml:space="preserve"> Highlights of achievements for SPREP over the past year include </w:t>
      </w:r>
      <w:r w:rsidRPr="00CD62EA">
        <w:t>delivery of assistance</w:t>
      </w:r>
      <w:r>
        <w:t xml:space="preserve"> to Pacific countries</w:t>
      </w:r>
      <w:r w:rsidRPr="00CD62EA">
        <w:t xml:space="preserve"> for the UNFCCC negotiations and communications</w:t>
      </w:r>
      <w:r>
        <w:t xml:space="preserve">; and </w:t>
      </w:r>
      <w:r w:rsidRPr="00CD62EA">
        <w:t>implement</w:t>
      </w:r>
      <w:r>
        <w:t>ing</w:t>
      </w:r>
      <w:r w:rsidRPr="00CD62EA">
        <w:t xml:space="preserve"> the Pacific Marine Litter Action Plan</w:t>
      </w:r>
      <w:r>
        <w:t>.</w:t>
      </w:r>
    </w:p>
    <w:p w14:paraId="51ED7527" w14:textId="77777777" w:rsidR="0005066C" w:rsidRDefault="0005066C" w:rsidP="006A3598">
      <w:r w:rsidRPr="0005066C">
        <w:t>Climate change and disaster resilience coordination is addressed through the Pacific Resilience Partnership (PRP), which implements the Framework for Resilient Development with support of combined secretariat formed by PIFS, SPREP and SPC. The PRP is contributing enhanced alignment of CROP’s climate change mandates.</w:t>
      </w:r>
    </w:p>
    <w:p w14:paraId="1DB43ED9" w14:textId="77777777" w:rsidR="0014648B" w:rsidRDefault="0014648B" w:rsidP="00CF62AE">
      <w:pPr>
        <w:pStyle w:val="Heading2"/>
        <w:spacing w:before="360" w:line="300" w:lineRule="exact"/>
        <w:rPr>
          <w:sz w:val="32"/>
          <w:szCs w:val="32"/>
        </w:rPr>
      </w:pPr>
      <w:r>
        <w:rPr>
          <w:sz w:val="32"/>
          <w:szCs w:val="32"/>
        </w:rPr>
        <w:t>Objective 3</w:t>
      </w:r>
      <w:r>
        <w:rPr>
          <w:caps w:val="0"/>
          <w:sz w:val="32"/>
          <w:szCs w:val="32"/>
        </w:rPr>
        <w:t xml:space="preserve"> - </w:t>
      </w:r>
      <w:r w:rsidRPr="0014648B">
        <w:rPr>
          <w:sz w:val="32"/>
          <w:szCs w:val="32"/>
        </w:rPr>
        <w:t>Healthy and Resilient Communities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9"/>
        <w:gridCol w:w="1911"/>
        <w:gridCol w:w="1911"/>
        <w:gridCol w:w="1891"/>
      </w:tblGrid>
      <w:tr w:rsidR="00EA22F7" w14:paraId="0AB63BD9" w14:textId="77777777" w:rsidTr="00AF4970">
        <w:tc>
          <w:tcPr>
            <w:tcW w:w="2016" w:type="dxa"/>
          </w:tcPr>
          <w:p w14:paraId="26DBD0F7" w14:textId="77777777" w:rsidR="00EA22F7" w:rsidRDefault="00EA22F7" w:rsidP="00AF4970">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75D21B6D" wp14:editId="18731345">
                  <wp:extent cx="1137600" cy="720000"/>
                  <wp:effectExtent l="0" t="0" r="5715"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9" w:type="dxa"/>
          </w:tcPr>
          <w:p w14:paraId="59EC6E2B" w14:textId="77777777" w:rsidR="00EA22F7" w:rsidRDefault="00EA22F7" w:rsidP="00AF4970">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1B6FC7C" wp14:editId="3400E04A">
                  <wp:extent cx="612000" cy="6120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14:paraId="5E4B4AAD" w14:textId="77777777" w:rsidR="00EA22F7" w:rsidRDefault="00EA22F7" w:rsidP="00AF4970">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0A9360D" wp14:editId="168B48EC">
                  <wp:extent cx="612000" cy="6120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14:paraId="097CADA3" w14:textId="77777777" w:rsidR="00EA22F7" w:rsidRDefault="00EA22F7" w:rsidP="00AF4970">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7879420C" wp14:editId="5EE7CF07">
                  <wp:extent cx="612000" cy="61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91" w:type="dxa"/>
          </w:tcPr>
          <w:p w14:paraId="0F1DF114" w14:textId="77777777" w:rsidR="00EA22F7" w:rsidRDefault="00EA22F7" w:rsidP="00AF4970">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p>
        </w:tc>
      </w:tr>
    </w:tbl>
    <w:p w14:paraId="0C22B46C" w14:textId="09E82F25" w:rsidR="0014648B" w:rsidRDefault="00D55C9D" w:rsidP="0014648B">
      <w:r w:rsidRPr="009E158F">
        <w:t xml:space="preserve">The rating for healthy and resilient communities remains amber. The program continues to make good progress in mainstreaming climate change into an increasing number of Pacific bilateral and regional investments, but there </w:t>
      </w:r>
      <w:r w:rsidR="005E0D97">
        <w:t xml:space="preserve">is still more work to do to cover all </w:t>
      </w:r>
      <w:r w:rsidRPr="009E158F">
        <w:t>existing programs and new designs. While there are examples of climate information informing decisions, this requires ongoing work to access and analyse relevant climate information and communicate it in a way that makes sense to government, sectors and communities.</w:t>
      </w:r>
      <w:r w:rsidR="00C1352A" w:rsidRPr="009E158F">
        <w:t xml:space="preserve"> </w:t>
      </w:r>
      <w:r w:rsidR="00AD2F53" w:rsidRPr="009E158F">
        <w:t xml:space="preserve">For health, positive progress was made to ensure the whole portfolio is delivering effective programs </w:t>
      </w:r>
      <w:r w:rsidR="00413795">
        <w:t>but</w:t>
      </w:r>
      <w:r w:rsidR="00AD2F53" w:rsidRPr="009E158F">
        <w:t xml:space="preserve"> there is room for improvement in areas of gender, disability and monitoring and evaluation (M&amp;E).</w:t>
      </w:r>
      <w:r w:rsidR="00C1352A" w:rsidRPr="009E158F">
        <w:t xml:space="preserve"> </w:t>
      </w:r>
      <w:r w:rsidR="00C1352A" w:rsidRPr="00723B8B">
        <w:t>The planned evaluations for</w:t>
      </w:r>
      <w:r w:rsidR="00C1352A" w:rsidRPr="009E158F">
        <w:t xml:space="preserve"> health investments will provide more concrete evidence of performance</w:t>
      </w:r>
      <w:r w:rsidR="00723B8B">
        <w:t xml:space="preserve"> (see Annex C – Evaluation Planning)</w:t>
      </w:r>
      <w:r w:rsidR="00C1352A" w:rsidRPr="009E158F">
        <w:t>.</w:t>
      </w:r>
    </w:p>
    <w:p w14:paraId="2A705CBE" w14:textId="77777777" w:rsidR="0014648B" w:rsidRPr="00005A6E" w:rsidRDefault="00A02531" w:rsidP="00A02531">
      <w:pPr>
        <w:rPr>
          <w:b/>
        </w:rPr>
      </w:pPr>
      <w:r w:rsidRPr="00005A6E">
        <w:rPr>
          <w:b/>
        </w:rPr>
        <w:t>Regional climate change</w:t>
      </w:r>
    </w:p>
    <w:p w14:paraId="33A29FC5" w14:textId="045FD462" w:rsidR="00D55C9D" w:rsidRDefault="00D55C9D" w:rsidP="00D55C9D">
      <w:r>
        <w:t xml:space="preserve">Australia is working more closely than ever with the Pacific on issues of greatest concern to them, including climate change. As part of our steadfast commitment to address climate change in the region, Australia committed to spending </w:t>
      </w:r>
      <w:r w:rsidR="003A23F3">
        <w:t>AUD</w:t>
      </w:r>
      <w:r>
        <w:t>300 million on strengthening climate and disaster resilience between 2016 and 2020. We are well on track to exceed this commitment, through dedicated initiatives aimed at strengthening resilience, as well as a comprehensive effort to integrate climate and disaster risks across the Pacific aid program. At the 2019 Pacific Island Forum (Tuvalu, 13 August)</w:t>
      </w:r>
      <w:r w:rsidR="00413795">
        <w:t>,</w:t>
      </w:r>
      <w:r>
        <w:t xml:space="preserve"> the Prime Minister announced a new </w:t>
      </w:r>
      <w:r w:rsidR="003A23F3">
        <w:t>AUD</w:t>
      </w:r>
      <w:r>
        <w:t>500</w:t>
      </w:r>
      <w:r w:rsidR="00723B8B">
        <w:t> </w:t>
      </w:r>
      <w:r>
        <w:t>million commitment over five years (2020-20</w:t>
      </w:r>
      <w:r w:rsidR="00723B8B">
        <w:t>2</w:t>
      </w:r>
      <w:r>
        <w:t>5) for renewable energy</w:t>
      </w:r>
      <w:r w:rsidR="00413795">
        <w:t>,</w:t>
      </w:r>
      <w:r>
        <w:t xml:space="preserve"> climate change and disaster resilience </w:t>
      </w:r>
      <w:r w:rsidR="00413795">
        <w:t>in</w:t>
      </w:r>
      <w:r>
        <w:t xml:space="preserve"> the Pacific.</w:t>
      </w:r>
    </w:p>
    <w:p w14:paraId="00D80BA2" w14:textId="5D81CFFB" w:rsidR="00D64FF0" w:rsidRPr="0063700C" w:rsidRDefault="00D55C9D" w:rsidP="00D64FF0">
      <w:pPr>
        <w:rPr>
          <w:color w:val="auto"/>
          <w:lang w:val="en-AU"/>
        </w:rPr>
      </w:pPr>
      <w:r>
        <w:t xml:space="preserve">In 2018-19, the </w:t>
      </w:r>
      <w:r w:rsidRPr="00E47B1C">
        <w:rPr>
          <w:b/>
        </w:rPr>
        <w:t>Australia Pacific Climate Partnership</w:t>
      </w:r>
      <w:r>
        <w:t xml:space="preserve"> (the Climate Partnership, </w:t>
      </w:r>
      <w:r w:rsidR="003A23F3">
        <w:t>AUD</w:t>
      </w:r>
      <w:r>
        <w:t xml:space="preserve">75 million 2018-2022) was established. The Partnership includes four components that aim to: integrate climate and disaster risk reduction across Australia’s aid program in the Pacific; increase access to climate information; improve climate change governance; and make climate action more gender and socially inclusive. </w:t>
      </w:r>
      <w:r w:rsidR="00D64FF0">
        <w:t xml:space="preserve">The Climate Partnership has </w:t>
      </w:r>
      <w:r w:rsidR="00F94EA3">
        <w:t xml:space="preserve">provided </w:t>
      </w:r>
      <w:r w:rsidR="00D64FF0">
        <w:t xml:space="preserve">technical assistance for the </w:t>
      </w:r>
      <w:r w:rsidR="004B50F2">
        <w:t>PIF</w:t>
      </w:r>
      <w:r w:rsidR="00D64FF0">
        <w:t xml:space="preserve"> Secretariat to develop a proposal for a new climate and disaster resilience funding mechanism, the Pacific Resilience Facility (PRF). </w:t>
      </w:r>
      <w:r w:rsidR="00F94EA3">
        <w:t xml:space="preserve">A </w:t>
      </w:r>
      <w:r w:rsidR="00D64FF0">
        <w:t>Climate Partnership Gender and Social Inclusion strategy was also developed in 2018 through extensive consultation. The strategy sets out actions to promote gender equality and social inclusion throughout all of the Climate Partnership’s activities and sub-programs.</w:t>
      </w:r>
      <w:r w:rsidR="0005066C">
        <w:t xml:space="preserve"> In 2018 -19, </w:t>
      </w:r>
      <w:r w:rsidR="005E0D97">
        <w:t>the Climate Partnership</w:t>
      </w:r>
      <w:r w:rsidR="0005066C">
        <w:t xml:space="preserve"> also established a partnership with the Pacific Disability Forum to explore the impacts of climate change on men and women with disability. In the first stage of the </w:t>
      </w:r>
      <w:r w:rsidR="0005066C" w:rsidRPr="00F7099A">
        <w:t>partnership P</w:t>
      </w:r>
      <w:r w:rsidR="004B50F2" w:rsidRPr="00F7099A">
        <w:t>R</w:t>
      </w:r>
      <w:r w:rsidR="0005066C" w:rsidRPr="00F7099A">
        <w:t>F</w:t>
      </w:r>
      <w:r w:rsidR="0005066C">
        <w:t xml:space="preserve"> will build an evidence base through case study research with national disabled people’s organisations in Kiribati, Solomon Islands and Tuvalu. The second phase of the partnership will support advocacy and programming for disability inclusive climate and </w:t>
      </w:r>
      <w:r w:rsidR="004C2545">
        <w:t xml:space="preserve">disaster risk reduction (DRR) </w:t>
      </w:r>
      <w:r w:rsidR="0005066C">
        <w:t>actions in selected Pacific countries.</w:t>
      </w:r>
    </w:p>
    <w:p w14:paraId="7B42E8C4" w14:textId="329A1E2E" w:rsidR="00D55C9D" w:rsidRDefault="005D2426" w:rsidP="00D55C9D">
      <w:r w:rsidRPr="005D2426">
        <w:t xml:space="preserve">A key pillar of the </w:t>
      </w:r>
      <w:r w:rsidR="00D55C9D" w:rsidRPr="00E47B1C">
        <w:rPr>
          <w:b/>
        </w:rPr>
        <w:t xml:space="preserve">Climate Partnership </w:t>
      </w:r>
      <w:r w:rsidRPr="000B0E65">
        <w:t>is its</w:t>
      </w:r>
      <w:r>
        <w:rPr>
          <w:b/>
        </w:rPr>
        <w:t xml:space="preserve"> </w:t>
      </w:r>
      <w:r w:rsidR="00D55C9D" w:rsidRPr="00E47B1C">
        <w:rPr>
          <w:b/>
        </w:rPr>
        <w:t>Support Unit</w:t>
      </w:r>
      <w:r w:rsidR="00D55C9D">
        <w:t xml:space="preserve">, </w:t>
      </w:r>
      <w:r w:rsidRPr="005D2426">
        <w:t xml:space="preserve">which is leading the integration of </w:t>
      </w:r>
      <w:r w:rsidR="00D55C9D">
        <w:t xml:space="preserve">climate and disaster resilience into the design and implementation of aid investments in the Pacific, including governance, infrastructure, health and education programs. The Support Unit commissioned a range of thematic analyses in climate change and health, renewable energy, education and infrastructure to inform climate and disaster integration going forward. In addition, the Support Unit responded to 160 requests for support from Pacific country and regional programs with focus on a multi hazard approach to disaster and climate resilience. For example, the redevelopment of the Gizo Market in Solomon Islands was designed to withstand Category 5 cyclone wind speeds and projected storm surge and </w:t>
      </w:r>
      <w:r w:rsidRPr="005D2426">
        <w:t xml:space="preserve">the Support Unit has helped shape </w:t>
      </w:r>
      <w:r w:rsidR="00D55C9D">
        <w:t xml:space="preserve">vocational training in Vanuatu to manage climate change risks in tourism and agribusiness sectors. </w:t>
      </w:r>
    </w:p>
    <w:p w14:paraId="50E899C5" w14:textId="55AE07CC" w:rsidR="00D55C9D" w:rsidRDefault="00D55C9D" w:rsidP="00D55C9D">
      <w:r>
        <w:t>With the impact of climate change and natural disasters escalating</w:t>
      </w:r>
      <w:r w:rsidR="004B50F2">
        <w:t>,</w:t>
      </w:r>
      <w:r>
        <w:t xml:space="preserve"> and focus on infrastructure in the Pacific aid program</w:t>
      </w:r>
      <w:r w:rsidR="005E0D97">
        <w:t xml:space="preserve"> increasing</w:t>
      </w:r>
      <w:r>
        <w:t>, it is important that Australian support is delivering climate and disaster resilient construction. While the Support Unit has increased engagement with bilateral infrastructure programs across the region there have been challenges in this sector, such as ready access to granular climate information and specific technical expertise on cli</w:t>
      </w:r>
      <w:r w:rsidR="00E47B1C">
        <w:t xml:space="preserve">mate resilient infrastructure. </w:t>
      </w:r>
      <w:r w:rsidR="00041CF2">
        <w:t>Australia will</w:t>
      </w:r>
      <w:r>
        <w:t xml:space="preserve"> do more in this space, including through the </w:t>
      </w:r>
      <w:r w:rsidR="00041CF2">
        <w:t xml:space="preserve">new </w:t>
      </w:r>
      <w:r>
        <w:t>AIFFP</w:t>
      </w:r>
      <w:r w:rsidR="00041CF2">
        <w:t>,</w:t>
      </w:r>
      <w:r>
        <w:t xml:space="preserve"> </w:t>
      </w:r>
      <w:r w:rsidR="00041CF2">
        <w:t xml:space="preserve">a key initiative under Australia’s </w:t>
      </w:r>
      <w:r w:rsidR="00E47B1C">
        <w:t>Pacific Step-up.</w:t>
      </w:r>
      <w:r>
        <w:t xml:space="preserve"> Infrastructure </w:t>
      </w:r>
      <w:r w:rsidR="00041CF2">
        <w:t xml:space="preserve">built </w:t>
      </w:r>
      <w:r>
        <w:t xml:space="preserve">through this facility </w:t>
      </w:r>
      <w:r w:rsidR="00D64FF0">
        <w:t xml:space="preserve">will </w:t>
      </w:r>
      <w:r>
        <w:t>be climate smart and disaster resilient, with a focus on energy, transport, water and communication sectors, which are key areas in meeting the challenges of climate change and disasters in the region. Key integration strategies of the Support Unit include ensuring all aid investments integrate climate and disaster resilience and low carbon development at concept and design phase, so that internal resourcing, M&amp;E and risk management is assured during implementation</w:t>
      </w:r>
      <w:r w:rsidR="00B61D37">
        <w:t xml:space="preserve">. </w:t>
      </w:r>
    </w:p>
    <w:p w14:paraId="065FF59C" w14:textId="68EC1450" w:rsidR="00D55C9D" w:rsidRDefault="00D00094" w:rsidP="00D55C9D">
      <w:r>
        <w:t xml:space="preserve">Australia’s </w:t>
      </w:r>
      <w:r w:rsidR="00D55C9D" w:rsidRPr="00E47B1C">
        <w:rPr>
          <w:b/>
        </w:rPr>
        <w:t>Climate and Oceans Support Program</w:t>
      </w:r>
      <w:r w:rsidR="00D55C9D">
        <w:t xml:space="preserve"> in the Pacific was extended to a second phase, building on </w:t>
      </w:r>
      <w:r>
        <w:t xml:space="preserve">our </w:t>
      </w:r>
      <w:r w:rsidR="00D55C9D">
        <w:t>long-term support for climate science in the region. The program supports 14 Pacific meteorological services to monitor, analyse and communicate information about climate and oceans, including seasonal forecasts and sea level rise. In 2018-19, the program supported seven meteorological services (Fiji, PNG, Tuvalu, Solomon Islands, Cook Islands, Samoa, Kiribati) to provide monthly updates on rainfall and predicted dri</w:t>
      </w:r>
      <w:r w:rsidR="00E47B1C">
        <w:t>er or wetter conditions to help</w:t>
      </w:r>
      <w:r w:rsidR="00D55C9D">
        <w:t xml:space="preserve"> communities, sectors (agriculture, health, energy, disaster management agencies) and governments to make decisions and prepare for the season ahead. </w:t>
      </w:r>
    </w:p>
    <w:p w14:paraId="2A5E0963" w14:textId="3F49115A" w:rsidR="00D55C9D" w:rsidRDefault="00D55C9D" w:rsidP="007050AD">
      <w:r>
        <w:t xml:space="preserve">The </w:t>
      </w:r>
      <w:r w:rsidRPr="00E47B1C">
        <w:rPr>
          <w:b/>
        </w:rPr>
        <w:t>Pacific Risk Resilience Program</w:t>
      </w:r>
      <w:r>
        <w:t xml:space="preserve"> </w:t>
      </w:r>
      <w:r w:rsidR="00DB1F1C">
        <w:t xml:space="preserve">(PRRP) </w:t>
      </w:r>
      <w:r>
        <w:t xml:space="preserve">(2012-2018), piloted in Fiji, Solomon Islands, Tonga and Vanuatu, established a model for mainstreaming climate change and disaster risk management into PIC national, sub-national and community decision making and planning. For example, incorporating climate and disaster risk into the design and construction of a rural road in Fiji’s Northern Division resulted in a road that withstood heavy rainfall from two cyclones in 2018 without landslides, while those nearby did not. In 2018- 19, the design of </w:t>
      </w:r>
      <w:r w:rsidRPr="000C74B4">
        <w:rPr>
          <w:b/>
        </w:rPr>
        <w:t>Pacific Resilience and Governance Program</w:t>
      </w:r>
      <w:r>
        <w:t xml:space="preserve"> (PRGP) (</w:t>
      </w:r>
      <w:r w:rsidR="003A23F3">
        <w:t>AUD</w:t>
      </w:r>
      <w:r>
        <w:t>10.4m, 2019-22) was finalised, building on the PRRP and scaling up to integrate climate and disaster risks in Pacific national and sub-national plans and policies in up to nine Pacific countries.</w:t>
      </w:r>
    </w:p>
    <w:p w14:paraId="749AD8C7" w14:textId="77777777" w:rsidR="00A02531" w:rsidRPr="00F65241" w:rsidRDefault="00475942" w:rsidP="007050AD">
      <w:pPr>
        <w:rPr>
          <w:b/>
        </w:rPr>
      </w:pPr>
      <w:r w:rsidRPr="00F65241">
        <w:rPr>
          <w:b/>
        </w:rPr>
        <w:t xml:space="preserve">Pacific </w:t>
      </w:r>
      <w:r w:rsidR="00A02531" w:rsidRPr="00F65241">
        <w:rPr>
          <w:b/>
        </w:rPr>
        <w:t>Regional Health</w:t>
      </w:r>
    </w:p>
    <w:p w14:paraId="737B44DF" w14:textId="72EABC4E" w:rsidR="004C0F44" w:rsidRDefault="004C0F44" w:rsidP="007050AD">
      <w:pPr>
        <w:spacing w:before="0"/>
      </w:pPr>
      <w:r>
        <w:t xml:space="preserve">The Pacific regional health program aims to strengthen regional health governance and policy and deliver health services and training that cannot be provided in individual countries or where there are economies of scale through regional or multi-country approaches. Program objectives are linked to the Pacific region’s </w:t>
      </w:r>
      <w:r>
        <w:rPr>
          <w:i/>
        </w:rPr>
        <w:t>Healthy Islands Framework (2015-2025)</w:t>
      </w:r>
      <w:r>
        <w:t xml:space="preserve"> </w:t>
      </w:r>
      <w:r w:rsidR="00750C80">
        <w:t xml:space="preserve">which </w:t>
      </w:r>
      <w:r>
        <w:t xml:space="preserve">is monitored annually by the Pacific Heads of Health, reporting to Pacific Health Ministers. The regional program </w:t>
      </w:r>
      <w:r w:rsidR="00750C80">
        <w:t xml:space="preserve">complements </w:t>
      </w:r>
      <w:r>
        <w:t xml:space="preserve">investments in bilateral health programs </w:t>
      </w:r>
      <w:r w:rsidR="005A3DF2">
        <w:t>including</w:t>
      </w:r>
      <w:r>
        <w:t xml:space="preserve"> through capacity support for policy and legislation development</w:t>
      </w:r>
      <w:r w:rsidR="00750C80">
        <w:t>, and delivery of clinical training</w:t>
      </w:r>
      <w:r>
        <w:t>.</w:t>
      </w:r>
    </w:p>
    <w:p w14:paraId="5B0E2582" w14:textId="08828F73" w:rsidR="004C0F44" w:rsidRDefault="006E7042" w:rsidP="007050AD">
      <w:pPr>
        <w:spacing w:before="0"/>
        <w:rPr>
          <w:iCs/>
        </w:rPr>
      </w:pPr>
      <w:r>
        <w:t xml:space="preserve">Australia’s </w:t>
      </w:r>
      <w:r w:rsidR="004C0F44">
        <w:t xml:space="preserve">funding is enabling </w:t>
      </w:r>
      <w:r w:rsidR="004C0F44" w:rsidRPr="00330FF3">
        <w:rPr>
          <w:b/>
        </w:rPr>
        <w:t>SPC’s Public Health Division</w:t>
      </w:r>
      <w:r w:rsidR="004C0F44">
        <w:t xml:space="preserve"> </w:t>
      </w:r>
      <w:r w:rsidR="004C0F44" w:rsidRPr="00330FF3">
        <w:rPr>
          <w:b/>
        </w:rPr>
        <w:t>(PHD)</w:t>
      </w:r>
      <w:r w:rsidR="004C0F44">
        <w:t xml:space="preserve"> to extend its support for Pacific Ministries of Health to reduce the burden of non-communicable diseases (NCDs). </w:t>
      </w:r>
      <w:r w:rsidR="004C0F44">
        <w:rPr>
          <w:iCs/>
        </w:rPr>
        <w:t>In 2018-1</w:t>
      </w:r>
      <w:r w:rsidR="006A3598">
        <w:rPr>
          <w:iCs/>
        </w:rPr>
        <w:t xml:space="preserve">9 we committed an additional </w:t>
      </w:r>
      <w:r w:rsidR="003A23F3">
        <w:rPr>
          <w:iCs/>
        </w:rPr>
        <w:t>AUD</w:t>
      </w:r>
      <w:r w:rsidR="006A3598">
        <w:rPr>
          <w:iCs/>
        </w:rPr>
        <w:t>1 </w:t>
      </w:r>
      <w:r w:rsidR="004C0F44">
        <w:rPr>
          <w:iCs/>
        </w:rPr>
        <w:t>million to enable PHD to accelerate efforts to address childhood obesity.</w:t>
      </w:r>
      <w:r w:rsidR="005A3DF2">
        <w:rPr>
          <w:iCs/>
        </w:rPr>
        <w:t xml:space="preserve"> SPC PHD is working directly with countries to ensure action on childhood obesity occurs in a coordinated way across relevant sectors.</w:t>
      </w:r>
    </w:p>
    <w:p w14:paraId="48C1C7DD" w14:textId="3DBD7D6F" w:rsidR="004C0F44" w:rsidRDefault="004C0F44" w:rsidP="007050AD">
      <w:pPr>
        <w:spacing w:before="0"/>
        <w:rPr>
          <w:iCs/>
        </w:rPr>
      </w:pPr>
      <w:r>
        <w:rPr>
          <w:iCs/>
        </w:rPr>
        <w:t xml:space="preserve">Pacific countries work with </w:t>
      </w:r>
      <w:r w:rsidR="003E709B">
        <w:rPr>
          <w:iCs/>
        </w:rPr>
        <w:t xml:space="preserve">the </w:t>
      </w:r>
      <w:r>
        <w:rPr>
          <w:iCs/>
        </w:rPr>
        <w:t>W</w:t>
      </w:r>
      <w:r w:rsidR="003E709B">
        <w:rPr>
          <w:iCs/>
        </w:rPr>
        <w:t xml:space="preserve">orld </w:t>
      </w:r>
      <w:r>
        <w:rPr>
          <w:iCs/>
        </w:rPr>
        <w:t>H</w:t>
      </w:r>
      <w:r w:rsidR="003E709B">
        <w:rPr>
          <w:iCs/>
        </w:rPr>
        <w:t xml:space="preserve">ealth </w:t>
      </w:r>
      <w:r>
        <w:rPr>
          <w:iCs/>
        </w:rPr>
        <w:t>O</w:t>
      </w:r>
      <w:r w:rsidR="003E709B">
        <w:rPr>
          <w:iCs/>
        </w:rPr>
        <w:t>rganisation</w:t>
      </w:r>
      <w:r>
        <w:rPr>
          <w:iCs/>
        </w:rPr>
        <w:t xml:space="preserve"> and SPC PHD to improve their compliance with the </w:t>
      </w:r>
      <w:r w:rsidRPr="00330FF3">
        <w:rPr>
          <w:b/>
          <w:iCs/>
        </w:rPr>
        <w:t>International Health Regulations</w:t>
      </w:r>
      <w:r>
        <w:rPr>
          <w:iCs/>
        </w:rPr>
        <w:t xml:space="preserve">. </w:t>
      </w:r>
      <w:r>
        <w:t xml:space="preserve">PHD </w:t>
      </w:r>
      <w:r w:rsidR="006E7042">
        <w:t xml:space="preserve">helped </w:t>
      </w:r>
      <w:r>
        <w:t xml:space="preserve">five Pacific countries implement their national surveillance, disaster preparedness and response plans; and three countries are now implementing their national infection prevention and control policies. This </w:t>
      </w:r>
      <w:r w:rsidR="006E7042">
        <w:t>should</w:t>
      </w:r>
      <w:r>
        <w:t xml:space="preserve"> enable more rapid and organised response to disasters and lead to </w:t>
      </w:r>
      <w:r w:rsidR="006E7042">
        <w:t xml:space="preserve">a </w:t>
      </w:r>
      <w:r>
        <w:t>reduction in health-care associated infections.</w:t>
      </w:r>
    </w:p>
    <w:p w14:paraId="4D1D48BE" w14:textId="77777777" w:rsidR="004C0F44" w:rsidRDefault="004C0F44" w:rsidP="007050AD">
      <w:pPr>
        <w:spacing w:before="0"/>
        <w:rPr>
          <w:i/>
          <w:iCs/>
          <w:color w:val="auto"/>
          <w:highlight w:val="yellow"/>
          <w:lang w:val="en-AU"/>
        </w:rPr>
      </w:pPr>
      <w:r>
        <w:t xml:space="preserve">The </w:t>
      </w:r>
      <w:r w:rsidRPr="00330FF3">
        <w:rPr>
          <w:b/>
        </w:rPr>
        <w:t>Royal Australasian College of Surgeons</w:t>
      </w:r>
      <w:r>
        <w:t xml:space="preserve"> (RACS) worked in eight Pacific countries. Volunteer medical teams conducted, on average, more than five clinical consultations daily and at least one operation daily, which averted 3443 disability-adjusted life years from 340 patients across six surgical specialties.</w:t>
      </w:r>
      <w:r w:rsidR="002615CE">
        <w:t xml:space="preserve"> RACS’ increased emphasis on professional development activities has been building professional relationships and networks which contribute to a connected and well-supported Pacific health workforce.</w:t>
      </w:r>
    </w:p>
    <w:p w14:paraId="777C8A98" w14:textId="77777777" w:rsidR="004C0F44" w:rsidRDefault="004C0F44" w:rsidP="007050AD">
      <w:pPr>
        <w:suppressAutoHyphens w:val="0"/>
        <w:spacing w:before="0" w:line="252" w:lineRule="auto"/>
      </w:pPr>
      <w:r>
        <w:t xml:space="preserve">The </w:t>
      </w:r>
      <w:r w:rsidRPr="00330FF3">
        <w:rPr>
          <w:b/>
        </w:rPr>
        <w:t>UN joint program on Reproductive, Maternal, Newborn, Child and Adolescent Health</w:t>
      </w:r>
      <w:r>
        <w:t xml:space="preserve"> (RMNCAH) has strengthened </w:t>
      </w:r>
      <w:r w:rsidR="005A3DF2">
        <w:t xml:space="preserve">government-led </w:t>
      </w:r>
      <w:r>
        <w:t xml:space="preserve">cross-sectoral planning, budgeting and reporting, although there are ongoing challenges with service delivery. </w:t>
      </w:r>
      <w:r w:rsidR="005A3DF2" w:rsidRPr="003938FD">
        <w:t xml:space="preserve">The program experiences the persistent challenges of insufficient human resourcing capability, disconnects between UN and national health systems, and poor data collection and analysis. </w:t>
      </w:r>
      <w:r>
        <w:t>An evaluation in the second half of 2019 will assess the extent to which the program has achieved its outcomes.</w:t>
      </w:r>
    </w:p>
    <w:p w14:paraId="7FDDE6CC" w14:textId="2981D32F" w:rsidR="004C0F44" w:rsidRDefault="004C0F44" w:rsidP="007050AD">
      <w:pPr>
        <w:suppressAutoHyphens w:val="0"/>
        <w:spacing w:before="0" w:line="252" w:lineRule="auto"/>
        <w:rPr>
          <w:highlight w:val="yellow"/>
        </w:rPr>
      </w:pPr>
      <w:r>
        <w:t xml:space="preserve">While implementing partners have improved their collection of sex disaggregated data, greater efforts are required to ensure understanding of the differing needs of men and women and </w:t>
      </w:r>
      <w:r w:rsidR="006E7042">
        <w:t xml:space="preserve">to </w:t>
      </w:r>
      <w:r>
        <w:t xml:space="preserve">promote women’s participation and leadership in the workforce. A good example of gender equality mainstreaming is RACS’ analysis of women’s access to specialist training in anaesthesia and surgical specialties at the National Referral Hospital in Solomon Islands. </w:t>
      </w:r>
      <w:r w:rsidR="002615CE">
        <w:t xml:space="preserve">It was also found that a previous trainee of the program has now become the first female anaesthetic consultant in the Solomon Islands. </w:t>
      </w:r>
      <w:r w:rsidR="006E7042">
        <w:t xml:space="preserve">The results of RACS’ analysis will also influence future training plans. </w:t>
      </w:r>
      <w:r>
        <w:t>More active mainstreaming of disability inclusion is needed through the whole program.</w:t>
      </w:r>
    </w:p>
    <w:p w14:paraId="7EEC0A6E" w14:textId="55002744" w:rsidR="004C0F44" w:rsidRDefault="00750C80" w:rsidP="007050AD">
      <w:pPr>
        <w:spacing w:before="0"/>
      </w:pPr>
      <w:r>
        <w:t>Monitoring and evaluation (M&amp;E)</w:t>
      </w:r>
      <w:r w:rsidR="004C0F44">
        <w:t xml:space="preserve"> frameworks are in place for each activity</w:t>
      </w:r>
      <w:r>
        <w:t>. While partners confirm through established reporting structures that they are delivering effective programs</w:t>
      </w:r>
      <w:r w:rsidR="00D00094">
        <w:t>.</w:t>
      </w:r>
      <w:r>
        <w:t xml:space="preserve"> </w:t>
      </w:r>
      <w:r w:rsidR="00D00094">
        <w:t xml:space="preserve"> T</w:t>
      </w:r>
      <w:r w:rsidR="004C0F44">
        <w:t>he quality and utility of partners’ M&amp;E systems is</w:t>
      </w:r>
      <w:r w:rsidR="00D00094">
        <w:t>, however,</w:t>
      </w:r>
      <w:r w:rsidR="004C0F44">
        <w:t xml:space="preserve"> variable</w:t>
      </w:r>
      <w:r w:rsidR="00D00094">
        <w:t>. P</w:t>
      </w:r>
      <w:r>
        <w:t>artners are working to strengthen these systems</w:t>
      </w:r>
      <w:r w:rsidR="004C0F44">
        <w:t xml:space="preserve">. Partners could </w:t>
      </w:r>
      <w:r>
        <w:t xml:space="preserve">also </w:t>
      </w:r>
      <w:r w:rsidR="004C0F44">
        <w:t>strengthen their approaches by communicating challenges as well as achievements and we will continue to encourage them to do this.</w:t>
      </w:r>
    </w:p>
    <w:p w14:paraId="40591493" w14:textId="77777777" w:rsidR="0014648B" w:rsidRDefault="0014648B" w:rsidP="00CF62AE">
      <w:pPr>
        <w:pStyle w:val="Heading2"/>
        <w:spacing w:before="360" w:line="300" w:lineRule="exact"/>
        <w:rPr>
          <w:sz w:val="32"/>
          <w:szCs w:val="32"/>
        </w:rPr>
      </w:pPr>
      <w:r>
        <w:rPr>
          <w:sz w:val="32"/>
          <w:szCs w:val="32"/>
        </w:rPr>
        <w:t>Objective 4</w:t>
      </w:r>
      <w:r>
        <w:rPr>
          <w:caps w:val="0"/>
          <w:sz w:val="32"/>
          <w:szCs w:val="32"/>
        </w:rPr>
        <w:t xml:space="preserve"> - </w:t>
      </w:r>
      <w:r w:rsidRPr="0014648B">
        <w:rPr>
          <w:sz w:val="32"/>
          <w:szCs w:val="32"/>
        </w:rPr>
        <w:t>Empowering Women and Girls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9"/>
        <w:gridCol w:w="1911"/>
        <w:gridCol w:w="1911"/>
        <w:gridCol w:w="1891"/>
      </w:tblGrid>
      <w:tr w:rsidR="00234601" w14:paraId="3EE1497C" w14:textId="77777777" w:rsidTr="00AF4970">
        <w:tc>
          <w:tcPr>
            <w:tcW w:w="2016" w:type="dxa"/>
          </w:tcPr>
          <w:p w14:paraId="3477138F" w14:textId="77777777" w:rsidR="00234601" w:rsidRDefault="00234601" w:rsidP="00AF4970">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7DFE255E" wp14:editId="19EC8195">
                  <wp:extent cx="1137600" cy="720000"/>
                  <wp:effectExtent l="0" t="0" r="5715"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8">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09" w:type="dxa"/>
          </w:tcPr>
          <w:p w14:paraId="57362BB7" w14:textId="77777777" w:rsidR="00234601" w:rsidRDefault="00234601" w:rsidP="00AF4970">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134037A" wp14:editId="63762AB2">
                  <wp:extent cx="612000" cy="612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1" w:type="dxa"/>
          </w:tcPr>
          <w:p w14:paraId="5437F25B" w14:textId="77777777" w:rsidR="00234601" w:rsidRDefault="00234601" w:rsidP="00AF4970">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p>
        </w:tc>
        <w:tc>
          <w:tcPr>
            <w:tcW w:w="1911" w:type="dxa"/>
          </w:tcPr>
          <w:p w14:paraId="015975F6" w14:textId="77777777" w:rsidR="00234601" w:rsidRDefault="00234601" w:rsidP="00AF4970">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p>
        </w:tc>
        <w:tc>
          <w:tcPr>
            <w:tcW w:w="1891" w:type="dxa"/>
          </w:tcPr>
          <w:p w14:paraId="600F1D3B" w14:textId="77777777" w:rsidR="00234601" w:rsidRDefault="00234601" w:rsidP="00AF4970">
            <w:pPr>
              <w:pStyle w:val="ListBullet"/>
              <w:tabs>
                <w:tab w:val="clear" w:pos="284"/>
              </w:tabs>
              <w:spacing w:after="60" w:line="240" w:lineRule="auto"/>
              <w:jc w:val="center"/>
              <w:rPr>
                <w:rFonts w:asciiTheme="majorHAnsi" w:eastAsiaTheme="majorEastAsia" w:hAnsiTheme="majorHAnsi" w:cstheme="majorBidi"/>
                <w:caps/>
                <w:color w:val="495965" w:themeColor="text2"/>
                <w:sz w:val="38"/>
                <w:szCs w:val="26"/>
                <w:lang w:val="en-GB" w:eastAsia="en-US"/>
              </w:rPr>
            </w:pPr>
          </w:p>
        </w:tc>
      </w:tr>
    </w:tbl>
    <w:p w14:paraId="63CCF24F" w14:textId="01EF383E" w:rsidR="007050AD" w:rsidRPr="00307D0D" w:rsidRDefault="007050AD" w:rsidP="007050AD">
      <w:r w:rsidRPr="00307D0D">
        <w:t xml:space="preserve">The rating for </w:t>
      </w:r>
      <w:r w:rsidRPr="00307D0D">
        <w:rPr>
          <w:b/>
        </w:rPr>
        <w:t>empowering women and girls</w:t>
      </w:r>
      <w:r w:rsidRPr="00307D0D">
        <w:t xml:space="preserve"> remains green. </w:t>
      </w:r>
      <w:r w:rsidR="00C31BB8">
        <w:t>This is based on the continued strong performance of</w:t>
      </w:r>
      <w:r w:rsidR="00C31BB8" w:rsidRPr="00307D0D">
        <w:t xml:space="preserve"> </w:t>
      </w:r>
      <w:r w:rsidRPr="00307D0D">
        <w:t xml:space="preserve">DFAT’s flagship </w:t>
      </w:r>
      <w:r w:rsidR="00C31BB8">
        <w:t>investment targeting</w:t>
      </w:r>
      <w:r w:rsidRPr="00307D0D">
        <w:t xml:space="preserve"> gender equality, Pacific Women Shaping Pacific Development (</w:t>
      </w:r>
      <w:r w:rsidRPr="00307D0D">
        <w:rPr>
          <w:i/>
        </w:rPr>
        <w:t>Pacific Women</w:t>
      </w:r>
      <w:r w:rsidRPr="00307D0D">
        <w:t xml:space="preserve">, </w:t>
      </w:r>
      <w:r w:rsidR="003A23F3">
        <w:t>AUD</w:t>
      </w:r>
      <w:r w:rsidRPr="00307D0D">
        <w:t>320 million 2012-22)</w:t>
      </w:r>
      <w:r w:rsidR="00C31BB8">
        <w:t>, which</w:t>
      </w:r>
      <w:r w:rsidR="005E0D97">
        <w:t xml:space="preserve"> </w:t>
      </w:r>
      <w:r w:rsidRPr="00307D0D">
        <w:t>is demonstrating results as expected based on reporting and monitoring</w:t>
      </w:r>
      <w:r w:rsidR="00C31BB8">
        <w:t>. Achievements and opportunities for improvement will be assessed through</w:t>
      </w:r>
      <w:r w:rsidRPr="00307D0D">
        <w:t xml:space="preserve"> </w:t>
      </w:r>
      <w:r w:rsidR="00C31BB8">
        <w:t xml:space="preserve">a </w:t>
      </w:r>
      <w:r w:rsidRPr="00307D0D">
        <w:t xml:space="preserve">six-year evaluation of </w:t>
      </w:r>
      <w:r w:rsidRPr="00307D0D">
        <w:rPr>
          <w:i/>
        </w:rPr>
        <w:t>Pacific Women</w:t>
      </w:r>
      <w:r w:rsidR="00C31BB8">
        <w:rPr>
          <w:i/>
        </w:rPr>
        <w:t>,</w:t>
      </w:r>
      <w:r w:rsidRPr="00307D0D">
        <w:rPr>
          <w:i/>
        </w:rPr>
        <w:t xml:space="preserve"> </w:t>
      </w:r>
      <w:r w:rsidRPr="00307D0D">
        <w:t xml:space="preserve">scheduled for the second half of 2019. The 2018-19 benchmark called for 6,000 women to be supported to take on leadership roles at the community, provincial and national level. During the reporting period, an additional </w:t>
      </w:r>
      <w:r w:rsidR="00ED0B29">
        <w:t>1,552</w:t>
      </w:r>
      <w:r w:rsidR="00ED0B29" w:rsidRPr="00307D0D">
        <w:t xml:space="preserve"> </w:t>
      </w:r>
      <w:r w:rsidRPr="00307D0D">
        <w:t>women were supported to take on leadership, bringing the cumulative number of women support</w:t>
      </w:r>
      <w:r w:rsidR="00C31BB8">
        <w:t>ed</w:t>
      </w:r>
      <w:r w:rsidRPr="00307D0D">
        <w:t xml:space="preserve"> through </w:t>
      </w:r>
      <w:r w:rsidR="00C31BB8" w:rsidRPr="0063700C">
        <w:rPr>
          <w:i/>
        </w:rPr>
        <w:t>Pacific Women’s</w:t>
      </w:r>
      <w:r w:rsidR="00C31BB8">
        <w:t xml:space="preserve"> </w:t>
      </w:r>
      <w:r w:rsidRPr="00307D0D">
        <w:t xml:space="preserve">the regional </w:t>
      </w:r>
      <w:r w:rsidR="00C31BB8">
        <w:t xml:space="preserve">activities </w:t>
      </w:r>
      <w:r w:rsidRPr="00307D0D">
        <w:t xml:space="preserve">to </w:t>
      </w:r>
      <w:r w:rsidR="00ED0B29">
        <w:t>9,716</w:t>
      </w:r>
      <w:r w:rsidRPr="00307D0D">
        <w:t xml:space="preserve">.  </w:t>
      </w:r>
    </w:p>
    <w:p w14:paraId="4878BFDA" w14:textId="77777777" w:rsidR="006A3598" w:rsidRDefault="007050AD" w:rsidP="007050AD">
      <w:pPr>
        <w:rPr>
          <w:b/>
        </w:rPr>
      </w:pPr>
      <w:r w:rsidRPr="00307D0D">
        <w:t>In</w:t>
      </w:r>
      <w:r w:rsidR="005E0D97">
        <w:t xml:space="preserve"> </w:t>
      </w:r>
      <w:r w:rsidR="00C31BB8">
        <w:t xml:space="preserve">line with DFAT’s twin-track approach, </w:t>
      </w:r>
      <w:r w:rsidRPr="00307D0D">
        <w:t xml:space="preserve">gender equality </w:t>
      </w:r>
      <w:r w:rsidR="00C31BB8">
        <w:t xml:space="preserve">is mainstreamed through the other three AIP objectives as well as DFAT’s bilateral programs in the Pacific. Gender equality </w:t>
      </w:r>
      <w:r w:rsidRPr="00307D0D">
        <w:t xml:space="preserve">has </w:t>
      </w:r>
      <w:r w:rsidR="00C31BB8">
        <w:t xml:space="preserve">also </w:t>
      </w:r>
      <w:r w:rsidRPr="00307D0D">
        <w:t xml:space="preserve">been well integrated into the design and inception phases of key regional security, people-to-people and economic initiatives under Australia’s stepped up engagement in the region. </w:t>
      </w:r>
      <w:r w:rsidR="00C31BB8">
        <w:t>For example, both A</w:t>
      </w:r>
      <w:r w:rsidR="00D00094">
        <w:t xml:space="preserve">ustralian </w:t>
      </w:r>
      <w:r w:rsidR="00C31BB8">
        <w:t>I</w:t>
      </w:r>
      <w:r w:rsidR="00D00094">
        <w:t xml:space="preserve">nfrastructure </w:t>
      </w:r>
      <w:r w:rsidR="00C31BB8">
        <w:t>F</w:t>
      </w:r>
      <w:r w:rsidR="00D00094">
        <w:t xml:space="preserve">inancing </w:t>
      </w:r>
      <w:r w:rsidR="00C31BB8">
        <w:t>F</w:t>
      </w:r>
      <w:r w:rsidR="00D00094">
        <w:t xml:space="preserve">acility </w:t>
      </w:r>
      <w:r w:rsidR="00C31BB8">
        <w:t>P</w:t>
      </w:r>
      <w:r w:rsidR="00D00094">
        <w:t>acific</w:t>
      </w:r>
      <w:r w:rsidR="00C31BB8">
        <w:t xml:space="preserve"> and the Pacific Labour Scheme designs have integrated gender equality and social inclusion (GESI) considerations and are recruiting specialist technical resources. </w:t>
      </w:r>
      <w:r w:rsidRPr="00307D0D">
        <w:t xml:space="preserve">These initiatives will deliver results over the next reporting period. </w:t>
      </w:r>
    </w:p>
    <w:p w14:paraId="5B64F166" w14:textId="77777777" w:rsidR="007050AD" w:rsidRPr="009E158F" w:rsidRDefault="007050AD" w:rsidP="007050AD">
      <w:pPr>
        <w:rPr>
          <w:b/>
        </w:rPr>
      </w:pPr>
      <w:r w:rsidRPr="009E158F">
        <w:rPr>
          <w:b/>
        </w:rPr>
        <w:t>Pacific Women Shaping Pacific Development (</w:t>
      </w:r>
      <w:r w:rsidRPr="009E158F">
        <w:rPr>
          <w:b/>
          <w:i/>
        </w:rPr>
        <w:t>Pacific Women</w:t>
      </w:r>
      <w:r w:rsidRPr="009E158F">
        <w:rPr>
          <w:b/>
        </w:rPr>
        <w:t>)</w:t>
      </w:r>
    </w:p>
    <w:p w14:paraId="4A8DC2C6" w14:textId="77777777" w:rsidR="007050AD" w:rsidRPr="00307D0D" w:rsidRDefault="007050AD" w:rsidP="007050AD">
      <w:r w:rsidRPr="00307D0D">
        <w:t xml:space="preserve">In 2018-19, </w:t>
      </w:r>
      <w:r w:rsidRPr="00EC2B0C">
        <w:t>e</w:t>
      </w:r>
      <w:r w:rsidRPr="00307D0D">
        <w:t xml:space="preserve">ffectiveness of the program increased, with improved performance of the </w:t>
      </w:r>
      <w:r w:rsidRPr="00307D0D">
        <w:rPr>
          <w:i/>
        </w:rPr>
        <w:t xml:space="preserve">Pacific Women </w:t>
      </w:r>
      <w:r w:rsidRPr="00307D0D">
        <w:t>Support Unit on quality and strategic policy advice issues, and improvements to already strong monitoring and evaluation, including analysis of program data for reporting purposes.</w:t>
      </w:r>
    </w:p>
    <w:p w14:paraId="3B761546" w14:textId="77777777" w:rsidR="007050AD" w:rsidRPr="00307D0D" w:rsidRDefault="007050AD" w:rsidP="007050AD">
      <w:r w:rsidRPr="00307D0D">
        <w:t>In its first 6 years, the initiative has supported: 12,512 women to take on leadership roles at the community, provincial and national levels; 17,960 women to access financial literacy training and financial services; 64,262 women and children to access crisis support services, including counselling, health and justice service; and 6,613 men to undertake male advocacy training.</w:t>
      </w:r>
      <w:r>
        <w:t xml:space="preserve"> </w:t>
      </w:r>
      <w:r w:rsidR="00C31BB8">
        <w:t>This includes support for around 1,000 people with disabilities.</w:t>
      </w:r>
      <w:r>
        <w:t xml:space="preserve"> </w:t>
      </w:r>
    </w:p>
    <w:p w14:paraId="3C1AF51F" w14:textId="77777777" w:rsidR="007050AD" w:rsidRPr="00307D0D" w:rsidRDefault="007050AD" w:rsidP="007050AD">
      <w:r w:rsidRPr="00307D0D">
        <w:t xml:space="preserve">In 2018-19, </w:t>
      </w:r>
      <w:r w:rsidRPr="00307D0D">
        <w:rPr>
          <w:i/>
        </w:rPr>
        <w:t>Pacific Women</w:t>
      </w:r>
      <w:r w:rsidRPr="00307D0D">
        <w:t xml:space="preserve"> finalised two key program designs</w:t>
      </w:r>
      <w:r>
        <w:t xml:space="preserve">. </w:t>
      </w:r>
      <w:r w:rsidRPr="000B0E65">
        <w:rPr>
          <w:i/>
        </w:rPr>
        <w:t>Pacific Girl</w:t>
      </w:r>
      <w:r>
        <w:t xml:space="preserve"> </w:t>
      </w:r>
      <w:r w:rsidRPr="00307D0D">
        <w:t xml:space="preserve">provides support to </w:t>
      </w:r>
      <w:r>
        <w:t>Pacific</w:t>
      </w:r>
      <w:r w:rsidRPr="00307D0D">
        <w:t xml:space="preserve"> organisations working in a transformative way with adolescent girls</w:t>
      </w:r>
      <w:r>
        <w:t xml:space="preserve">. </w:t>
      </w:r>
      <w:r w:rsidRPr="004C2545">
        <w:rPr>
          <w:i/>
        </w:rPr>
        <w:t>Balance of Power</w:t>
      </w:r>
      <w:r w:rsidRPr="00307D0D">
        <w:t xml:space="preserve"> </w:t>
      </w:r>
      <w:r w:rsidR="00C31BB8">
        <w:t xml:space="preserve">will </w:t>
      </w:r>
      <w:r w:rsidRPr="00307D0D">
        <w:t xml:space="preserve">support change </w:t>
      </w:r>
      <w:r>
        <w:t xml:space="preserve">in </w:t>
      </w:r>
      <w:r w:rsidRPr="00307D0D">
        <w:t xml:space="preserve">deeply entrenched </w:t>
      </w:r>
      <w:r>
        <w:t xml:space="preserve">negative </w:t>
      </w:r>
      <w:r w:rsidRPr="00307D0D">
        <w:t>social norms</w:t>
      </w:r>
      <w:r>
        <w:t xml:space="preserve"> and </w:t>
      </w:r>
      <w:r w:rsidRPr="00307D0D">
        <w:t xml:space="preserve">attitudes </w:t>
      </w:r>
      <w:r>
        <w:t xml:space="preserve">on </w:t>
      </w:r>
      <w:r w:rsidRPr="00307D0D">
        <w:t xml:space="preserve">leadership that are a primary barrier to women’s participation and voice in political processes.  </w:t>
      </w:r>
    </w:p>
    <w:p w14:paraId="713A862B" w14:textId="77777777" w:rsidR="007050AD" w:rsidRPr="00307D0D" w:rsidRDefault="007050AD" w:rsidP="007050AD">
      <w:r w:rsidRPr="00307D0D">
        <w:t xml:space="preserve">Expanded women’s economic empowerment (WEE) programming in 2018-19 resulted in gains for women, their families and communities.  A mid-term evaluation of </w:t>
      </w:r>
      <w:r w:rsidRPr="000B0E65">
        <w:rPr>
          <w:i/>
        </w:rPr>
        <w:t>Markets for Change</w:t>
      </w:r>
      <w:r w:rsidRPr="00307D0D">
        <w:t xml:space="preserve"> showed that in Fiji, Solomon Islands and Vanuatu there were </w:t>
      </w:r>
      <w:r w:rsidRPr="00357820">
        <w:t>increased opportunities for women to save money</w:t>
      </w:r>
      <w:r w:rsidRPr="00307D0D">
        <w:t xml:space="preserve"> and expand their businesses. More women are participating in Market Vendor Associations and engaging with government, which in Fiji has led to many municipal councils increasingly employing female market staff (previously almost exclusively men). However, women’s control of their income requires further work and this will be more fully addressed in</w:t>
      </w:r>
      <w:r>
        <w:t xml:space="preserve"> the next phase of the program</w:t>
      </w:r>
      <w:r w:rsidRPr="00307D0D">
        <w:t>. Other programs (for example the CARE Coffee program and ACIAR’s Family Teams program in PNG) ha</w:t>
      </w:r>
      <w:r>
        <w:t>ve ha</w:t>
      </w:r>
      <w:r w:rsidRPr="00307D0D">
        <w:t xml:space="preserve">d success in changing underlying gender dynamics affecting women’s economic decision making, and changing family and community attitudes to women as money managers and decision makers. They have done this by engaging the whole family (including husbands and children) and by providing additional services to both women and men.  </w:t>
      </w:r>
    </w:p>
    <w:p w14:paraId="6D3A0CA4" w14:textId="77777777" w:rsidR="007050AD" w:rsidRPr="00EC2B0C" w:rsidRDefault="007050AD" w:rsidP="007050AD">
      <w:r w:rsidRPr="00307D0D">
        <w:t>T</w:t>
      </w:r>
      <w:r w:rsidRPr="00EC2B0C">
        <w:rPr>
          <w:iCs/>
        </w:rPr>
        <w:t>he</w:t>
      </w:r>
      <w:r w:rsidRPr="00307D0D">
        <w:rPr>
          <w:i/>
          <w:iCs/>
        </w:rPr>
        <w:t xml:space="preserve"> Pacific Women </w:t>
      </w:r>
      <w:r w:rsidRPr="00EC2B0C">
        <w:t>Support Unit organised a regional learning forum on WEE, which was successful in sharing approaches to the issues</w:t>
      </w:r>
      <w:r w:rsidRPr="00307D0D">
        <w:t xml:space="preserve"> outlined above</w:t>
      </w:r>
      <w:r w:rsidRPr="00EC2B0C">
        <w:t>.</w:t>
      </w:r>
      <w:r w:rsidRPr="00307D0D">
        <w:t xml:space="preserve"> </w:t>
      </w:r>
      <w:r w:rsidR="00C31BB8">
        <w:t xml:space="preserve">The forum provided over 240 participants the practical skills to </w:t>
      </w:r>
      <w:r w:rsidR="00C31BB8" w:rsidRPr="00EC2B0C">
        <w:t>underst</w:t>
      </w:r>
      <w:r w:rsidR="00C31BB8">
        <w:t>and and address</w:t>
      </w:r>
      <w:r w:rsidR="00C31BB8" w:rsidRPr="00EC2B0C">
        <w:t xml:space="preserve"> the links between women’s economic empowerment and discriminatory social and institutional norms.</w:t>
      </w:r>
    </w:p>
    <w:p w14:paraId="6703D481" w14:textId="77777777" w:rsidR="007050AD" w:rsidRDefault="007050AD" w:rsidP="007050AD">
      <w:r w:rsidRPr="00307D0D">
        <w:rPr>
          <w:i/>
        </w:rPr>
        <w:t xml:space="preserve">Pacific Women </w:t>
      </w:r>
      <w:r w:rsidRPr="00307D0D">
        <w:t xml:space="preserve">continued to deliver strong results </w:t>
      </w:r>
      <w:r>
        <w:t>to end</w:t>
      </w:r>
      <w:r w:rsidRPr="00307D0D">
        <w:t xml:space="preserve"> violence against women (EVAW)</w:t>
      </w:r>
      <w:r>
        <w:t xml:space="preserve"> by</w:t>
      </w:r>
      <w:r w:rsidRPr="00307D0D">
        <w:t xml:space="preserve"> improving the quality of services for survivors, as well as delivering new and expanded services in Marshall Islands and Cook Islands, respectively. Partners employed a number of strategies to change social norms, including community and faith-based prevention and male advocacy. These approaches are helping women and men to reconsider their gendered roles and practices and how these contribute to violence in families and communities. Partners are taking more joined-up action, and leveraging support from governments as well as the private sector. Lack of Pacific government resourcing for enforcement of domestic violence legislation remains a challenge. </w:t>
      </w:r>
    </w:p>
    <w:p w14:paraId="18FC4C7B" w14:textId="77777777" w:rsidR="001C7F1A" w:rsidRDefault="001C7F1A" w:rsidP="007050AD"/>
    <w:p w14:paraId="220EC894" w14:textId="77777777" w:rsidR="001C7F1A" w:rsidRPr="00307D0D" w:rsidRDefault="001C7F1A" w:rsidP="007050AD"/>
    <w:p w14:paraId="2C318A97" w14:textId="77777777" w:rsidR="007050AD" w:rsidRDefault="007050AD" w:rsidP="007050AD">
      <w:r>
        <w:rPr>
          <w:i/>
        </w:rPr>
        <w:t xml:space="preserve">Pacific Women </w:t>
      </w:r>
      <w:r>
        <w:t>and DFAT Posts are working with partner governments and regional organisations, such as the Pacific Islands Forum Secretariat (PIFS), to support improved gender equality policies and programs, and inclusion of marginalised populations.  In 2018-19:</w:t>
      </w:r>
    </w:p>
    <w:p w14:paraId="039E9EDF" w14:textId="77777777" w:rsidR="007050AD" w:rsidRPr="007050AD" w:rsidRDefault="007050AD" w:rsidP="007050AD">
      <w:pPr>
        <w:pStyle w:val="ListParagraph"/>
        <w:numPr>
          <w:ilvl w:val="0"/>
          <w:numId w:val="40"/>
        </w:numPr>
        <w:rPr>
          <w:rFonts w:cstheme="minorHAnsi"/>
          <w:color w:val="495965" w:themeColor="text2"/>
        </w:rPr>
      </w:pPr>
      <w:r w:rsidRPr="007050AD">
        <w:rPr>
          <w:rFonts w:asciiTheme="minorHAnsi" w:hAnsiTheme="minorHAnsi" w:cstheme="minorHAnsi"/>
          <w:color w:val="495965" w:themeColor="text2"/>
          <w:sz w:val="22"/>
          <w:szCs w:val="22"/>
        </w:rPr>
        <w:t xml:space="preserve">the </w:t>
      </w:r>
      <w:r w:rsidR="003E709B">
        <w:rPr>
          <w:rFonts w:asciiTheme="minorHAnsi" w:hAnsiTheme="minorHAnsi" w:cstheme="minorHAnsi"/>
          <w:color w:val="495965" w:themeColor="text2"/>
          <w:sz w:val="22"/>
          <w:szCs w:val="22"/>
        </w:rPr>
        <w:t>G</w:t>
      </w:r>
      <w:r w:rsidRPr="007050AD">
        <w:rPr>
          <w:rFonts w:asciiTheme="minorHAnsi" w:hAnsiTheme="minorHAnsi" w:cstheme="minorHAnsi"/>
          <w:color w:val="495965" w:themeColor="text2"/>
          <w:sz w:val="22"/>
          <w:szCs w:val="22"/>
        </w:rPr>
        <w:t xml:space="preserve">overnment </w:t>
      </w:r>
      <w:r w:rsidR="003E709B">
        <w:rPr>
          <w:rFonts w:asciiTheme="minorHAnsi" w:hAnsiTheme="minorHAnsi" w:cstheme="minorHAnsi"/>
          <w:color w:val="495965" w:themeColor="text2"/>
          <w:sz w:val="22"/>
          <w:szCs w:val="22"/>
        </w:rPr>
        <w:t xml:space="preserve">of Fiji </w:t>
      </w:r>
      <w:r w:rsidRPr="007050AD">
        <w:rPr>
          <w:rFonts w:asciiTheme="minorHAnsi" w:hAnsiTheme="minorHAnsi" w:cstheme="minorHAnsi"/>
          <w:color w:val="495965" w:themeColor="text2"/>
          <w:sz w:val="22"/>
          <w:szCs w:val="22"/>
        </w:rPr>
        <w:t xml:space="preserve">instituted a new task force on Women and Climate Change following advocacy by coalition partners involved in </w:t>
      </w:r>
      <w:r w:rsidRPr="007050AD">
        <w:rPr>
          <w:rFonts w:asciiTheme="minorHAnsi" w:hAnsiTheme="minorHAnsi" w:cstheme="minorHAnsi"/>
          <w:i/>
          <w:color w:val="495965" w:themeColor="text2"/>
          <w:sz w:val="22"/>
          <w:szCs w:val="22"/>
        </w:rPr>
        <w:t xml:space="preserve">Pacific Women’s </w:t>
      </w:r>
      <w:r w:rsidRPr="007050AD">
        <w:rPr>
          <w:rFonts w:asciiTheme="minorHAnsi" w:hAnsiTheme="minorHAnsi" w:cstheme="minorHAnsi"/>
          <w:color w:val="495965" w:themeColor="text2"/>
          <w:sz w:val="22"/>
          <w:szCs w:val="22"/>
        </w:rPr>
        <w:t xml:space="preserve">WeRise program.  </w:t>
      </w:r>
    </w:p>
    <w:p w14:paraId="77418695" w14:textId="77777777" w:rsidR="007050AD" w:rsidRPr="007050AD" w:rsidRDefault="007050AD" w:rsidP="007050AD">
      <w:pPr>
        <w:pStyle w:val="ListParagraph"/>
        <w:numPr>
          <w:ilvl w:val="0"/>
          <w:numId w:val="40"/>
        </w:numPr>
        <w:rPr>
          <w:rFonts w:cstheme="minorHAnsi"/>
          <w:color w:val="495965" w:themeColor="text2"/>
        </w:rPr>
      </w:pPr>
      <w:r w:rsidRPr="007050AD">
        <w:rPr>
          <w:rFonts w:asciiTheme="minorHAnsi" w:hAnsiTheme="minorHAnsi" w:cstheme="minorHAnsi"/>
          <w:color w:val="495965" w:themeColor="text2"/>
          <w:sz w:val="22"/>
          <w:szCs w:val="22"/>
        </w:rPr>
        <w:t xml:space="preserve">The </w:t>
      </w:r>
      <w:r w:rsidRPr="007050AD">
        <w:rPr>
          <w:rFonts w:asciiTheme="minorHAnsi" w:hAnsiTheme="minorHAnsi" w:cstheme="minorHAnsi"/>
          <w:i/>
          <w:color w:val="495965" w:themeColor="text2"/>
          <w:sz w:val="22"/>
          <w:szCs w:val="22"/>
        </w:rPr>
        <w:t>Pacific Women</w:t>
      </w:r>
      <w:r w:rsidRPr="007050AD">
        <w:rPr>
          <w:rFonts w:asciiTheme="minorHAnsi" w:hAnsiTheme="minorHAnsi" w:cstheme="minorHAnsi"/>
          <w:color w:val="495965" w:themeColor="text2"/>
          <w:sz w:val="22"/>
          <w:szCs w:val="22"/>
        </w:rPr>
        <w:t>-funded Gender and Social Advisor in PIFS has established support to country members to prepare for key gender equality engagements such as the Commission on the Status of Women, and established a governance mechanism to implement the Pacific Framework on Rights of Persons with Disabilities (2016).</w:t>
      </w:r>
    </w:p>
    <w:p w14:paraId="27D4FD76" w14:textId="77777777" w:rsidR="007050AD" w:rsidRPr="007050AD" w:rsidRDefault="00613C6C" w:rsidP="007050AD">
      <w:pPr>
        <w:pStyle w:val="ListParagraph"/>
        <w:numPr>
          <w:ilvl w:val="0"/>
          <w:numId w:val="40"/>
        </w:numPr>
        <w:rPr>
          <w:rFonts w:cstheme="minorHAnsi"/>
          <w:color w:val="495965" w:themeColor="text2"/>
        </w:rPr>
      </w:pPr>
      <w:r>
        <w:rPr>
          <w:rFonts w:asciiTheme="minorHAnsi" w:hAnsiTheme="minorHAnsi" w:cstheme="minorHAnsi"/>
          <w:color w:val="495965" w:themeColor="text2"/>
          <w:sz w:val="22"/>
          <w:szCs w:val="22"/>
        </w:rPr>
        <w:t>G</w:t>
      </w:r>
      <w:r w:rsidR="007050AD" w:rsidRPr="007050AD">
        <w:rPr>
          <w:rFonts w:asciiTheme="minorHAnsi" w:hAnsiTheme="minorHAnsi" w:cstheme="minorHAnsi"/>
          <w:color w:val="495965" w:themeColor="text2"/>
          <w:sz w:val="22"/>
          <w:szCs w:val="22"/>
        </w:rPr>
        <w:t xml:space="preserve">ender advisers in Federated States of Micronesia and Tuvalu encouraged disability inclusion in their legislation and policy support activities, and ending violence programs in Papua New Guinea were adapted to be inclusive of women with disability.  </w:t>
      </w:r>
    </w:p>
    <w:p w14:paraId="310C711C" w14:textId="77777777" w:rsidR="007050AD" w:rsidRPr="007050AD" w:rsidRDefault="007050AD" w:rsidP="007050AD">
      <w:pPr>
        <w:pStyle w:val="ListParagraph"/>
        <w:numPr>
          <w:ilvl w:val="0"/>
          <w:numId w:val="40"/>
        </w:numPr>
        <w:rPr>
          <w:rFonts w:cstheme="minorHAnsi"/>
          <w:color w:val="495965" w:themeColor="text2"/>
        </w:rPr>
      </w:pPr>
      <w:r w:rsidRPr="007050AD">
        <w:rPr>
          <w:rFonts w:asciiTheme="minorHAnsi" w:hAnsiTheme="minorHAnsi" w:cstheme="minorHAnsi"/>
          <w:color w:val="495965" w:themeColor="text2"/>
          <w:sz w:val="22"/>
          <w:szCs w:val="22"/>
        </w:rPr>
        <w:t xml:space="preserve">The 2018 evaluation of the We Rise coalition noted greater engagement and support for the leadership, voice and rights of women identifying as LGBTQI, but noted they still face significant institutional and societal barriers to inclusion.  </w:t>
      </w:r>
    </w:p>
    <w:p w14:paraId="455BFF76" w14:textId="77777777" w:rsidR="007050AD" w:rsidRPr="007050AD" w:rsidRDefault="007050AD" w:rsidP="007050AD">
      <w:r w:rsidRPr="007050AD">
        <w:t>The Attorney-General’s Department (AGD) and Australian Federal Police (AFP) worked with Pacific island countries to increase access to justice for women and children survivors of violence through improved police responses, implementation of domestic violence legislation and increasing women’s leadership. In 2018-19:</w:t>
      </w:r>
    </w:p>
    <w:p w14:paraId="756425DC" w14:textId="77777777" w:rsidR="00613C6C" w:rsidRPr="00613C6C" w:rsidRDefault="007050AD" w:rsidP="0063700C">
      <w:pPr>
        <w:pStyle w:val="ListParagraph"/>
        <w:numPr>
          <w:ilvl w:val="0"/>
          <w:numId w:val="40"/>
        </w:numPr>
        <w:rPr>
          <w:rFonts w:asciiTheme="minorHAnsi" w:hAnsiTheme="minorHAnsi" w:cstheme="minorHAnsi"/>
          <w:color w:val="495965" w:themeColor="text2"/>
          <w:sz w:val="22"/>
          <w:szCs w:val="22"/>
        </w:rPr>
      </w:pPr>
      <w:r w:rsidRPr="00613C6C">
        <w:rPr>
          <w:rFonts w:asciiTheme="minorHAnsi" w:hAnsiTheme="minorHAnsi" w:cstheme="minorHAnsi"/>
          <w:color w:val="495965" w:themeColor="text2"/>
          <w:sz w:val="22"/>
          <w:szCs w:val="22"/>
        </w:rPr>
        <w:t>AGD</w:t>
      </w:r>
      <w:r w:rsidRPr="0063700C">
        <w:rPr>
          <w:rFonts w:asciiTheme="minorHAnsi" w:hAnsiTheme="minorHAnsi" w:cstheme="minorHAnsi"/>
          <w:sz w:val="22"/>
          <w:szCs w:val="22"/>
        </w:rPr>
        <w:t xml:space="preserve"> </w:t>
      </w:r>
      <w:r w:rsidR="00613C6C" w:rsidRPr="00613C6C">
        <w:rPr>
          <w:rFonts w:asciiTheme="minorHAnsi" w:hAnsiTheme="minorHAnsi" w:cstheme="minorHAnsi"/>
          <w:color w:val="495965" w:themeColor="text2"/>
          <w:sz w:val="22"/>
          <w:szCs w:val="22"/>
        </w:rPr>
        <w:t>delivered</w:t>
      </w:r>
      <w:r w:rsidRPr="00613C6C">
        <w:rPr>
          <w:rFonts w:asciiTheme="minorHAnsi" w:hAnsiTheme="minorHAnsi" w:cstheme="minorHAnsi"/>
          <w:color w:val="495965" w:themeColor="text2"/>
          <w:sz w:val="22"/>
          <w:szCs w:val="22"/>
        </w:rPr>
        <w:t xml:space="preserve"> training and mentoring to build policy and law reform skills of 58 female Pacific law and justice officials through </w:t>
      </w:r>
      <w:r w:rsidR="00613C6C" w:rsidRPr="0005066C">
        <w:rPr>
          <w:rFonts w:asciiTheme="minorHAnsi" w:hAnsiTheme="minorHAnsi" w:cstheme="minorHAnsi"/>
          <w:color w:val="495965" w:themeColor="text2"/>
          <w:sz w:val="22"/>
          <w:szCs w:val="22"/>
        </w:rPr>
        <w:t xml:space="preserve">its </w:t>
      </w:r>
      <w:r w:rsidRPr="0005066C">
        <w:rPr>
          <w:rFonts w:asciiTheme="minorHAnsi" w:hAnsiTheme="minorHAnsi" w:cstheme="minorHAnsi"/>
          <w:color w:val="495965" w:themeColor="text2"/>
          <w:sz w:val="22"/>
          <w:szCs w:val="22"/>
        </w:rPr>
        <w:t>Pacific Policy Champions and Pacific Legal Policy Twinning programs.</w:t>
      </w:r>
    </w:p>
    <w:p w14:paraId="1E0D5A84" w14:textId="77777777" w:rsidR="007050AD" w:rsidRPr="0063700C" w:rsidRDefault="007050AD" w:rsidP="0063700C">
      <w:pPr>
        <w:pStyle w:val="ListParagraph"/>
        <w:numPr>
          <w:ilvl w:val="0"/>
          <w:numId w:val="40"/>
        </w:numPr>
        <w:rPr>
          <w:rFonts w:asciiTheme="minorHAnsi" w:hAnsiTheme="minorHAnsi" w:cstheme="minorHAnsi"/>
          <w:color w:val="495965" w:themeColor="text2"/>
          <w:sz w:val="22"/>
          <w:szCs w:val="22"/>
        </w:rPr>
      </w:pPr>
      <w:r w:rsidRPr="007050AD">
        <w:rPr>
          <w:rFonts w:asciiTheme="minorHAnsi" w:hAnsiTheme="minorHAnsi" w:cstheme="minorHAnsi"/>
          <w:color w:val="495965" w:themeColor="text2"/>
          <w:sz w:val="22"/>
          <w:szCs w:val="22"/>
        </w:rPr>
        <w:t>AFP strengthened police frontline response to family violence and increased community awareness of the impact of family violence.     </w:t>
      </w:r>
    </w:p>
    <w:p w14:paraId="01563B85" w14:textId="77777777" w:rsidR="007050AD" w:rsidRPr="007050AD" w:rsidRDefault="007050AD" w:rsidP="007050AD">
      <w:pPr>
        <w:pStyle w:val="ListParagraph"/>
        <w:numPr>
          <w:ilvl w:val="0"/>
          <w:numId w:val="40"/>
        </w:numPr>
        <w:rPr>
          <w:rFonts w:cstheme="minorHAnsi"/>
          <w:color w:val="495965" w:themeColor="text2"/>
        </w:rPr>
      </w:pPr>
      <w:r w:rsidRPr="007050AD">
        <w:rPr>
          <w:rFonts w:asciiTheme="minorHAnsi" w:hAnsiTheme="minorHAnsi" w:cstheme="minorHAnsi"/>
          <w:color w:val="495965" w:themeColor="text2"/>
          <w:sz w:val="22"/>
          <w:szCs w:val="22"/>
        </w:rPr>
        <w:t>AFP partnered with the Fiji Women’s Crisis Centre to deliver Gender Advocates Training (GAT) for Pacific police</w:t>
      </w:r>
      <w:r w:rsidR="00613C6C">
        <w:rPr>
          <w:rFonts w:asciiTheme="minorHAnsi" w:hAnsiTheme="minorHAnsi" w:cstheme="minorHAnsi"/>
          <w:color w:val="495965" w:themeColor="text2"/>
          <w:sz w:val="22"/>
          <w:szCs w:val="22"/>
        </w:rPr>
        <w:t>,</w:t>
      </w:r>
      <w:r w:rsidR="00613C6C" w:rsidRPr="009A7B96">
        <w:rPr>
          <w:rFonts w:asciiTheme="minorHAnsi" w:hAnsiTheme="minorHAnsi" w:cstheme="minorHAnsi"/>
          <w:color w:val="495965" w:themeColor="text2"/>
          <w:sz w:val="22"/>
          <w:szCs w:val="22"/>
        </w:rPr>
        <w:t xml:space="preserve"> </w:t>
      </w:r>
      <w:r w:rsidR="00613C6C">
        <w:rPr>
          <w:rFonts w:asciiTheme="minorHAnsi" w:hAnsiTheme="minorHAnsi" w:cstheme="minorHAnsi"/>
          <w:color w:val="495965" w:themeColor="text2"/>
          <w:sz w:val="22"/>
          <w:szCs w:val="22"/>
        </w:rPr>
        <w:t xml:space="preserve">through its </w:t>
      </w:r>
      <w:r w:rsidR="00613C6C" w:rsidRPr="00966EE8">
        <w:rPr>
          <w:rFonts w:asciiTheme="minorHAnsi" w:hAnsiTheme="minorHAnsi" w:cstheme="minorHAnsi"/>
          <w:color w:val="495965" w:themeColor="text2"/>
          <w:sz w:val="22"/>
          <w:szCs w:val="22"/>
        </w:rPr>
        <w:t>Pacific Police Development Program-Regional (PPDP-R)</w:t>
      </w:r>
      <w:r w:rsidRPr="007050AD">
        <w:rPr>
          <w:rFonts w:asciiTheme="minorHAnsi" w:hAnsiTheme="minorHAnsi" w:cstheme="minorHAnsi"/>
          <w:color w:val="495965" w:themeColor="text2"/>
          <w:sz w:val="22"/>
          <w:szCs w:val="22"/>
        </w:rPr>
        <w:t>.  </w:t>
      </w:r>
    </w:p>
    <w:p w14:paraId="64360E51" w14:textId="77777777" w:rsidR="007050AD" w:rsidRPr="007050AD" w:rsidRDefault="00613C6C" w:rsidP="004C2545">
      <w:pPr>
        <w:pStyle w:val="ListParagraph"/>
        <w:numPr>
          <w:ilvl w:val="1"/>
          <w:numId w:val="42"/>
        </w:numPr>
        <w:tabs>
          <w:tab w:val="left" w:pos="1134"/>
        </w:tabs>
        <w:rPr>
          <w:rFonts w:cstheme="minorHAnsi"/>
          <w:color w:val="495965" w:themeColor="text2"/>
        </w:rPr>
      </w:pPr>
      <w:r>
        <w:rPr>
          <w:rFonts w:asciiTheme="minorHAnsi" w:hAnsiTheme="minorHAnsi" w:cstheme="minorHAnsi"/>
          <w:color w:val="495965" w:themeColor="text2"/>
          <w:sz w:val="22"/>
          <w:szCs w:val="22"/>
        </w:rPr>
        <w:t>Some positive outcomes include</w:t>
      </w:r>
      <w:r w:rsidRPr="007D5383">
        <w:rPr>
          <w:rFonts w:asciiTheme="minorHAnsi" w:hAnsiTheme="minorHAnsi" w:cstheme="minorHAnsi"/>
          <w:color w:val="495965" w:themeColor="text2"/>
          <w:sz w:val="22"/>
          <w:szCs w:val="22"/>
        </w:rPr>
        <w:t xml:space="preserve"> </w:t>
      </w:r>
      <w:r w:rsidR="007050AD" w:rsidRPr="007050AD">
        <w:rPr>
          <w:rFonts w:asciiTheme="minorHAnsi" w:hAnsiTheme="minorHAnsi" w:cstheme="minorHAnsi"/>
          <w:color w:val="495965" w:themeColor="text2"/>
          <w:sz w:val="22"/>
          <w:szCs w:val="22"/>
        </w:rPr>
        <w:t xml:space="preserve">development of a code of conduct and increased recruitment of female members to the Crime Branch in Tuvalu, and drafting of a sexual harassment policy for Kiribati’s police service. </w:t>
      </w:r>
    </w:p>
    <w:p w14:paraId="08D031B1" w14:textId="77777777" w:rsidR="007050AD" w:rsidRPr="007050AD" w:rsidRDefault="007050AD" w:rsidP="007050AD">
      <w:pPr>
        <w:pStyle w:val="ListParagraph"/>
        <w:numPr>
          <w:ilvl w:val="0"/>
          <w:numId w:val="40"/>
        </w:numPr>
        <w:rPr>
          <w:rFonts w:cstheme="minorHAnsi"/>
          <w:color w:val="495965" w:themeColor="text2"/>
        </w:rPr>
      </w:pPr>
      <w:r w:rsidRPr="007050AD">
        <w:rPr>
          <w:rFonts w:asciiTheme="minorHAnsi" w:hAnsiTheme="minorHAnsi" w:cstheme="minorHAnsi"/>
          <w:color w:val="495965" w:themeColor="text2"/>
          <w:sz w:val="22"/>
          <w:szCs w:val="22"/>
        </w:rPr>
        <w:t>AFP’s Executive Women’s Leadership Forum continued to build the networking, leadership skills and qualifications of thirteen Pacific police women in senior and executive level positions across eleven Pacific police services.</w:t>
      </w:r>
    </w:p>
    <w:p w14:paraId="360F0055" w14:textId="77777777" w:rsidR="002A51CA" w:rsidRDefault="002A51CA" w:rsidP="00CF62AE">
      <w:pPr>
        <w:pStyle w:val="Heading2"/>
        <w:spacing w:before="360" w:line="300" w:lineRule="exact"/>
      </w:pPr>
      <w:r>
        <w:t>Mutual obligations</w:t>
      </w:r>
    </w:p>
    <w:p w14:paraId="788C9D15" w14:textId="514D6283" w:rsidR="000960C9" w:rsidRDefault="004040C8" w:rsidP="004040C8">
      <w:r>
        <w:t xml:space="preserve">The Pacific Regional Program promotes mutual accountability through joint commitments negotiated with major Pacific regional organisations, as set out in multi-year Partnership Agreements. Australia holds regular high-level consultations with relevant regional organisations to discuss and track performance and mutually agree future actions. In 2018-19, Australia continued to consolidate and strengthen these partnerships. DFAT provided flexible, specialist support to regional organisations to </w:t>
      </w:r>
      <w:r w:rsidR="00952436">
        <w:t xml:space="preserve">advance </w:t>
      </w:r>
      <w:r>
        <w:t xml:space="preserve">key issues including the development of results frameworks, monitoring and evaluation and reviews of regional meetings. </w:t>
      </w:r>
    </w:p>
    <w:p w14:paraId="45733786" w14:textId="20C91A14" w:rsidR="004040C8" w:rsidRDefault="004040C8" w:rsidP="004040C8">
      <w:r>
        <w:t xml:space="preserve">SPC and PIFS have continued to strengthen program delivery and financial management. In the reporting period, SPC has refocussed its programming on </w:t>
      </w:r>
      <w:r w:rsidR="00952436">
        <w:t>ten</w:t>
      </w:r>
      <w:r>
        <w:t xml:space="preserve"> priorities agreed by SPC members to improve program coherence and performance. The PIFS bedded down important corporate and financial reforms over the past year, which included regular meetings of the Audit and Risk Sub-Committee, introducing streamlined processes for financial management, and finalising a revised Strategic Framework 2017-2021. </w:t>
      </w:r>
    </w:p>
    <w:p w14:paraId="7025E41F" w14:textId="5DAC0E52" w:rsidR="00B05109" w:rsidRDefault="004040C8" w:rsidP="004040C8">
      <w:r>
        <w:t>Mutual obligations are also a core part of the effective delivery of the Pacific Labour Scheme. In 2018-19, Australia negotiated joint commitments with participating governments for the Scheme that relate to strengthening the enabling environment for sending skilled workers from the Pacific and generating demand from quality employers in Australia. These mutual obligations were set out in Memoranda of Understanding and signed with seven partner g</w:t>
      </w:r>
      <w:r w:rsidR="005E0D97">
        <w:t xml:space="preserve">overnments </w:t>
      </w:r>
      <w:r w:rsidR="00B86089">
        <w:t>in the reporting year</w:t>
      </w:r>
      <w:r w:rsidR="004C2545">
        <w:t>,</w:t>
      </w:r>
      <w:r w:rsidR="00B86089">
        <w:t xml:space="preserve"> with the previous three participants signing in 2017-18. </w:t>
      </w:r>
      <w:r w:rsidR="00952436">
        <w:t xml:space="preserve">The reporting period represents the first 12 months of the Scheme, a period of mixed </w:t>
      </w:r>
      <w:r>
        <w:t xml:space="preserve">progress, with </w:t>
      </w:r>
      <w:r w:rsidR="009551F7">
        <w:t xml:space="preserve">more work needed to address </w:t>
      </w:r>
      <w:r>
        <w:t xml:space="preserve">capacity constraints in some </w:t>
      </w:r>
      <w:r w:rsidR="009551F7">
        <w:t xml:space="preserve">of our partner </w:t>
      </w:r>
      <w:r>
        <w:t xml:space="preserve">countries </w:t>
      </w:r>
      <w:r w:rsidR="009551F7">
        <w:t xml:space="preserve">to </w:t>
      </w:r>
      <w:r>
        <w:t>identify and mobilis</w:t>
      </w:r>
      <w:r w:rsidR="009551F7">
        <w:t>e</w:t>
      </w:r>
      <w:r>
        <w:t xml:space="preserve"> skilled workers to come to Australia. </w:t>
      </w:r>
    </w:p>
    <w:p w14:paraId="78AD6E4C" w14:textId="77777777" w:rsidR="00B8695D" w:rsidRPr="0063700C" w:rsidRDefault="00B8695D" w:rsidP="004040C8">
      <w:pPr>
        <w:rPr>
          <w:rFonts w:ascii="Calibri" w:hAnsi="Calibri" w:cs="Calibri"/>
          <w:color w:val="auto"/>
          <w:sz w:val="24"/>
          <w:szCs w:val="24"/>
          <w:lang w:val="en-AU"/>
        </w:rPr>
      </w:pPr>
      <w:r w:rsidRPr="000C435E">
        <w:t>Australia also adopted a strong partnership approach to its significant investment in the Coral Sea Cable System, including mutual obligations on all parties. A trilateral MoU, signed in July 2018, between Australia, PNG and Solomon Islands, committed PNG and Solomon Islands to jointly fund one-third of the project costs, with Australia funding the remaining two thirds. Australia is encouraging fair and non-discriminatory access to the telecommunications cable through project agreements with part</w:t>
      </w:r>
      <w:r>
        <w:t>ners in PNG and Solomon Islands</w:t>
      </w:r>
      <w:r>
        <w:rPr>
          <w:lang w:val="en-AU"/>
        </w:rPr>
        <w:t xml:space="preserve">. </w:t>
      </w:r>
    </w:p>
    <w:p w14:paraId="306D4F53" w14:textId="77777777" w:rsidR="002A51CA" w:rsidRPr="002A51CA" w:rsidRDefault="002A51CA" w:rsidP="00CF62AE">
      <w:pPr>
        <w:pStyle w:val="Heading2"/>
        <w:spacing w:before="360" w:line="300" w:lineRule="exact"/>
      </w:pPr>
      <w:r w:rsidRPr="002A51CA">
        <w:t xml:space="preserve">Program Quality and Partner Performance </w:t>
      </w:r>
    </w:p>
    <w:p w14:paraId="6C88E46A" w14:textId="77777777" w:rsidR="002A51CA" w:rsidRPr="00CF62AE" w:rsidRDefault="002A51CA" w:rsidP="002A51CA">
      <w:pPr>
        <w:rPr>
          <w:sz w:val="32"/>
          <w:szCs w:val="32"/>
          <w:lang w:eastAsia="zh-CN"/>
        </w:rPr>
      </w:pPr>
      <w:r w:rsidRPr="00CF62AE">
        <w:rPr>
          <w:sz w:val="32"/>
          <w:szCs w:val="32"/>
          <w:lang w:eastAsia="zh-CN"/>
        </w:rPr>
        <w:t>Overview</w:t>
      </w:r>
      <w:r w:rsidRPr="00CF62AE">
        <w:rPr>
          <w:sz w:val="32"/>
          <w:szCs w:val="32"/>
          <w:lang w:eastAsia="zh-CN"/>
        </w:rPr>
        <w:tab/>
      </w:r>
      <w:r w:rsidRPr="00CF62AE">
        <w:rPr>
          <w:sz w:val="32"/>
          <w:szCs w:val="32"/>
          <w:lang w:eastAsia="zh-CN"/>
        </w:rPr>
        <w:tab/>
      </w:r>
    </w:p>
    <w:p w14:paraId="5AAF985D" w14:textId="34BA3215" w:rsidR="00D91A0D" w:rsidRPr="007050AD" w:rsidRDefault="00941BAA" w:rsidP="00BE6C6D">
      <w:r w:rsidRPr="007050AD">
        <w:t>A</w:t>
      </w:r>
      <w:r w:rsidR="00D91A0D" w:rsidRPr="007050AD">
        <w:t xml:space="preserve"> Performance Assessment Framework </w:t>
      </w:r>
      <w:r w:rsidRPr="007050AD">
        <w:t xml:space="preserve">(PAF) </w:t>
      </w:r>
      <w:r w:rsidR="00D91A0D" w:rsidRPr="007050AD">
        <w:t>was</w:t>
      </w:r>
      <w:r w:rsidRPr="007050AD">
        <w:t xml:space="preserve"> not developed for the Pacific Regional Program as a whole, creating some challenges with assessing overarching progress on performance. However, many individual investments have PAFs in place which are reported on during the Aid Quality Check process. The program as a whole would benefit from strengthening capacity and focus on generating </w:t>
      </w:r>
      <w:r w:rsidR="00B400C1" w:rsidRPr="007050AD">
        <w:t>effective performance information and strengthening data quality.</w:t>
      </w:r>
      <w:r w:rsidRPr="007050AD">
        <w:t xml:space="preserve"> </w:t>
      </w:r>
      <w:r w:rsidR="00B400C1" w:rsidRPr="007050AD">
        <w:t xml:space="preserve">The proliferation of activities could impact overall performance </w:t>
      </w:r>
      <w:r w:rsidR="002F02D7">
        <w:t>in the future</w:t>
      </w:r>
      <w:r w:rsidR="00B400C1" w:rsidRPr="007050AD">
        <w:t xml:space="preserve">. These challenges will be addressed in the next AIP, particularly through the development of a </w:t>
      </w:r>
      <w:r w:rsidRPr="007050AD">
        <w:t>whole of program PAF.</w:t>
      </w:r>
    </w:p>
    <w:p w14:paraId="1D750A51" w14:textId="77777777" w:rsidR="00E645AF" w:rsidRPr="007050AD" w:rsidRDefault="005A66C8" w:rsidP="00BE6C6D">
      <w:r w:rsidRPr="007050AD">
        <w:t>To support effective and efficient program management, six program evaluations were undertaken in 2018</w:t>
      </w:r>
      <w:r w:rsidRPr="007050AD">
        <w:noBreakHyphen/>
        <w:t>19 (Annex C) and a further six are scheduled for 2019-20.</w:t>
      </w:r>
    </w:p>
    <w:p w14:paraId="2E1999CC" w14:textId="77777777" w:rsidR="00600479" w:rsidRPr="007050AD" w:rsidRDefault="00600479" w:rsidP="00BE6C6D">
      <w:pPr>
        <w:rPr>
          <w:sz w:val="32"/>
          <w:szCs w:val="32"/>
          <w:lang w:eastAsia="zh-CN"/>
        </w:rPr>
      </w:pPr>
      <w:r w:rsidRPr="007050AD">
        <w:rPr>
          <w:sz w:val="32"/>
          <w:szCs w:val="32"/>
          <w:lang w:eastAsia="zh-CN"/>
        </w:rPr>
        <w:t>Aid Quality Checks (AQCs)</w:t>
      </w:r>
    </w:p>
    <w:p w14:paraId="272DEED1" w14:textId="77777777" w:rsidR="00AD08DC" w:rsidRPr="007050AD" w:rsidRDefault="005A66C8" w:rsidP="00AD08DC">
      <w:r w:rsidRPr="007050AD">
        <w:t xml:space="preserve">In </w:t>
      </w:r>
      <w:r w:rsidR="00AD08DC" w:rsidRPr="007050AD">
        <w:t xml:space="preserve">2018-19, </w:t>
      </w:r>
      <w:r w:rsidRPr="007050AD">
        <w:t xml:space="preserve">the </w:t>
      </w:r>
      <w:r w:rsidR="00AD08DC" w:rsidRPr="007050AD">
        <w:t xml:space="preserve">Aid Quality Check (AQC) process has been revised to focus on fewer quality criteria (effectiveness, efficiency, gender equality), while no changes have been made to the FAQC criteria.  </w:t>
      </w:r>
    </w:p>
    <w:p w14:paraId="282F9B3F" w14:textId="77777777" w:rsidR="00AD08DC" w:rsidRPr="007050AD" w:rsidRDefault="00AD08DC" w:rsidP="00AD08DC">
      <w:r w:rsidRPr="007050AD">
        <w:t xml:space="preserve">The Pacific Regional Program conducted </w:t>
      </w:r>
      <w:r w:rsidR="005A66C8" w:rsidRPr="007050AD">
        <w:t xml:space="preserve">28 performance assessments in </w:t>
      </w:r>
      <w:r w:rsidRPr="007050AD">
        <w:t xml:space="preserve">2018-19, covering </w:t>
      </w:r>
      <w:r w:rsidR="00431563" w:rsidRPr="007050AD">
        <w:t>82 per cent</w:t>
      </w:r>
      <w:r w:rsidRPr="007050AD">
        <w:t xml:space="preserve"> of program expenditure. The Pacific Regional Program has exceeded the strategic target for value for money (85 per cent of investments demonstrate satisfactory effectiveness and efficiency ratings). </w:t>
      </w:r>
      <w:r w:rsidR="005A66C8" w:rsidRPr="007050AD">
        <w:t>Of the 28 investments, 96 </w:t>
      </w:r>
      <w:r w:rsidRPr="007050AD">
        <w:t>per cent (27 of 28</w:t>
      </w:r>
      <w:r w:rsidR="005A66C8" w:rsidRPr="007050AD">
        <w:t xml:space="preserve"> investments</w:t>
      </w:r>
      <w:r w:rsidRPr="007050AD">
        <w:t>) achieved satisfactory ratings for effectiveness and 92 per cent of investments (26 of 28) achieved satisfactory ratings for efficiency</w:t>
      </w:r>
      <w:r w:rsidR="005A66C8" w:rsidRPr="007050AD">
        <w:t>. This</w:t>
      </w:r>
      <w:r w:rsidRPr="007050AD">
        <w:t xml:space="preserve"> represents a slight decrease </w:t>
      </w:r>
      <w:r w:rsidR="008943E8" w:rsidRPr="007050AD">
        <w:t>from 100 </w:t>
      </w:r>
      <w:r w:rsidRPr="007050AD">
        <w:t>per cent in 2017-19, which is largely attributed to the Asia-Pacific Data for De</w:t>
      </w:r>
      <w:r w:rsidR="008943E8" w:rsidRPr="007050AD">
        <w:t>velopment Initiative. This initiative</w:t>
      </w:r>
      <w:r w:rsidRPr="007050AD">
        <w:t xml:space="preserve"> achieved unsatisfactory performance against all criteria. </w:t>
      </w:r>
      <w:r w:rsidR="009B7785" w:rsidRPr="007050AD">
        <w:t>In response, the project was re-scoped with targeted deliverable</w:t>
      </w:r>
      <w:r w:rsidR="001C1361">
        <w:t>s</w:t>
      </w:r>
      <w:r w:rsidR="009B7785" w:rsidRPr="007050AD">
        <w:t xml:space="preserve"> in 2019-20</w:t>
      </w:r>
      <w:r w:rsidR="00431563" w:rsidRPr="007050AD">
        <w:t xml:space="preserve"> and addressed through revised institutional and governance processes</w:t>
      </w:r>
      <w:r w:rsidR="009B7785" w:rsidRPr="007050AD">
        <w:t>.</w:t>
      </w:r>
    </w:p>
    <w:p w14:paraId="45639920" w14:textId="77777777" w:rsidR="00AD08DC" w:rsidRPr="007050AD" w:rsidRDefault="00AD08DC" w:rsidP="00AD08DC">
      <w:r w:rsidRPr="007050AD">
        <w:t xml:space="preserve">Gender </w:t>
      </w:r>
      <w:r w:rsidR="00613C6C">
        <w:t xml:space="preserve">equality </w:t>
      </w:r>
      <w:r w:rsidRPr="007050AD">
        <w:t xml:space="preserve">ratings have </w:t>
      </w:r>
      <w:r w:rsidR="008943E8" w:rsidRPr="007050AD">
        <w:t xml:space="preserve">increased from 65 per cent in </w:t>
      </w:r>
      <w:r w:rsidRPr="007050AD">
        <w:t xml:space="preserve">2017-18 to 70 per cent in 2018-19. </w:t>
      </w:r>
      <w:r w:rsidR="00613C6C">
        <w:t xml:space="preserve">This is due in part through a number of new investments that have adequately integrated gender equality considerations, as well as improved performance by PIFS. </w:t>
      </w:r>
      <w:r w:rsidR="008943E8" w:rsidRPr="007050AD">
        <w:t>However, t</w:t>
      </w:r>
      <w:r w:rsidRPr="007050AD">
        <w:t xml:space="preserve">he satisfactory ratings remain below the ‘empowering women and girls’ strategic target of 80 per cent. Ongoing attention </w:t>
      </w:r>
      <w:r w:rsidR="008943E8" w:rsidRPr="007050AD">
        <w:t>to strengthen</w:t>
      </w:r>
      <w:r w:rsidRPr="007050AD">
        <w:t xml:space="preserve"> the effective mainstreaming </w:t>
      </w:r>
      <w:r w:rsidR="008943E8" w:rsidRPr="007050AD">
        <w:t xml:space="preserve">of </w:t>
      </w:r>
      <w:r w:rsidRPr="007050AD">
        <w:t>gender</w:t>
      </w:r>
      <w:r w:rsidR="00613C6C">
        <w:t xml:space="preserve"> equality</w:t>
      </w:r>
      <w:r w:rsidRPr="007050AD">
        <w:t xml:space="preserve"> and social inclusion across Pacific regional investments will be re</w:t>
      </w:r>
      <w:r w:rsidR="008943E8" w:rsidRPr="007050AD">
        <w:t>quired to sustain improvements.</w:t>
      </w:r>
    </w:p>
    <w:p w14:paraId="18F64748" w14:textId="66201576" w:rsidR="00FA4BEF" w:rsidRDefault="00AD08DC" w:rsidP="00AD08DC">
      <w:r w:rsidRPr="007050AD">
        <w:t xml:space="preserve">Investments such as PACER Plus and the Pacific Islands Forum partnership have demonstrated improved gender </w:t>
      </w:r>
      <w:r w:rsidR="00613C6C">
        <w:t xml:space="preserve">equality </w:t>
      </w:r>
      <w:r w:rsidRPr="007050AD">
        <w:t>ratings, moving from unsatisfactory in 2017-18 to satisfactory in this reporting period. While five ongoing investments were rated as good or very good for gender (23%), six</w:t>
      </w:r>
      <w:r w:rsidR="008943E8" w:rsidRPr="007050AD">
        <w:t xml:space="preserve"> were rated as unsatisfactory. </w:t>
      </w:r>
      <w:r w:rsidR="00613C6C">
        <w:t xml:space="preserve">There are a range of factors for unsatisfactory performance on gender equality, including limited consideration in design, commitment and resourcing from partners, and collection and use of sex-disaggregated data. </w:t>
      </w:r>
    </w:p>
    <w:p w14:paraId="3C1E326B" w14:textId="77777777" w:rsidR="00DC445E" w:rsidRPr="007050AD" w:rsidRDefault="00DC445E" w:rsidP="00AD08DC"/>
    <w:p w14:paraId="3B1942CA" w14:textId="77777777" w:rsidR="00600479" w:rsidRPr="007050AD" w:rsidRDefault="00600479" w:rsidP="00600479">
      <w:pPr>
        <w:rPr>
          <w:sz w:val="32"/>
          <w:szCs w:val="32"/>
          <w:lang w:eastAsia="zh-CN"/>
        </w:rPr>
      </w:pPr>
      <w:r w:rsidRPr="007050AD">
        <w:rPr>
          <w:sz w:val="32"/>
          <w:szCs w:val="32"/>
          <w:lang w:eastAsia="zh-CN"/>
        </w:rPr>
        <w:t>Performance of key delivery partners</w:t>
      </w:r>
    </w:p>
    <w:p w14:paraId="53240A9C" w14:textId="528424F4" w:rsidR="00D64FF0" w:rsidRPr="007050AD" w:rsidRDefault="00C553C6" w:rsidP="008943E8">
      <w:pPr>
        <w:rPr>
          <w:rFonts w:asciiTheme="majorHAnsi" w:eastAsiaTheme="majorEastAsia" w:hAnsiTheme="majorHAnsi" w:cstheme="majorBidi"/>
          <w:caps/>
          <w:sz w:val="38"/>
          <w:szCs w:val="26"/>
        </w:rPr>
      </w:pPr>
      <w:r w:rsidRPr="007050AD">
        <w:t xml:space="preserve">The Pacific Regional Program conducted 18 Partner Performance Assessments (PPAs) in 2018-19, which assessed the performance of partners under agreements that spent </w:t>
      </w:r>
      <w:r w:rsidR="003A23F3">
        <w:t>AUD</w:t>
      </w:r>
      <w:r w:rsidR="00431563" w:rsidRPr="007050AD">
        <w:t>34.6</w:t>
      </w:r>
      <w:r w:rsidRPr="007050AD">
        <w:t xml:space="preserve"> million (covering some </w:t>
      </w:r>
      <w:r w:rsidR="00431563" w:rsidRPr="007050AD">
        <w:t xml:space="preserve">16 </w:t>
      </w:r>
      <w:r w:rsidRPr="007050AD">
        <w:t xml:space="preserve">per cent of expenditure under the Pacific Regional Program). The performance of partners in the Pacific Regional Program was strong. In 2019, every partner was rated as satisfactory against all five dimensions of performance. This is consistent with the previous year. In particular, our partners are demonstrating strong performance on Collaboration, Communication and Responsiveness (average of 4.8 out of 6); Effective Partner Personnel (average of 4.8); and Policy alignment, risk management and innovation (4.7). This is similar to last year, but represents a slight decline of 0.1 in all three fields. Of our partners, </w:t>
      </w:r>
      <w:r w:rsidR="002F02D7">
        <w:t>six</w:t>
      </w:r>
      <w:r w:rsidRPr="007050AD">
        <w:t xml:space="preserve"> were multilateral organisations, including UNDP, UNICEF, IMF, IFC and UN Women, and </w:t>
      </w:r>
      <w:r w:rsidR="002F02D7">
        <w:t>eight</w:t>
      </w:r>
      <w:r w:rsidRPr="007050AD">
        <w:t xml:space="preserve"> were commercial contractors. </w:t>
      </w:r>
    </w:p>
    <w:p w14:paraId="28B7EA99" w14:textId="77777777" w:rsidR="0005066C" w:rsidRDefault="0005066C">
      <w:pPr>
        <w:suppressAutoHyphens w:val="0"/>
        <w:spacing w:before="0" w:after="120" w:line="440" w:lineRule="atLeast"/>
        <w:rPr>
          <w:rFonts w:asciiTheme="majorHAnsi" w:eastAsiaTheme="majorEastAsia" w:hAnsiTheme="majorHAnsi" w:cstheme="majorBidi"/>
          <w:caps/>
          <w:sz w:val="38"/>
          <w:szCs w:val="26"/>
        </w:rPr>
      </w:pPr>
      <w:r>
        <w:br w:type="page"/>
      </w:r>
    </w:p>
    <w:p w14:paraId="32AFC6F3" w14:textId="77777777" w:rsidR="002A51CA" w:rsidRPr="002A51CA" w:rsidRDefault="002A51CA" w:rsidP="00CF62AE">
      <w:pPr>
        <w:pStyle w:val="Heading2"/>
        <w:spacing w:before="360" w:line="300" w:lineRule="exact"/>
      </w:pPr>
      <w:r w:rsidRPr="002A51CA">
        <w:t>Risks</w:t>
      </w:r>
    </w:p>
    <w:p w14:paraId="1C702A2D" w14:textId="77777777" w:rsidR="002A51CA" w:rsidRPr="008C2F58" w:rsidRDefault="002A51CA" w:rsidP="002A51CA">
      <w:pPr>
        <w:rPr>
          <w:b/>
          <w:sz w:val="24"/>
        </w:rPr>
      </w:pPr>
      <w:r w:rsidRPr="008C2F58">
        <w:rPr>
          <w:b/>
          <w:sz w:val="24"/>
        </w:rPr>
        <w:t>Table 3</w:t>
      </w:r>
      <w:r w:rsidR="00332EC9">
        <w:rPr>
          <w:b/>
          <w:sz w:val="24"/>
        </w:rPr>
        <w:t>:</w:t>
      </w:r>
      <w:r w:rsidRPr="008C2F58">
        <w:rPr>
          <w:b/>
          <w:sz w:val="24"/>
        </w:rPr>
        <w:t xml:space="preserve"> Management of Key Risks to Achieving Objectives</w:t>
      </w:r>
    </w:p>
    <w:tbl>
      <w:tblPr>
        <w:tblStyle w:val="AP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3"/>
        <w:gridCol w:w="2115"/>
        <w:gridCol w:w="2537"/>
        <w:gridCol w:w="1298"/>
        <w:gridCol w:w="1267"/>
      </w:tblGrid>
      <w:tr w:rsidR="002A6AC8" w:rsidRPr="00C61187" w14:paraId="167EBCCE" w14:textId="77777777" w:rsidTr="00FF6848">
        <w:tc>
          <w:tcPr>
            <w:tcW w:w="2221" w:type="dxa"/>
            <w:hideMark/>
          </w:tcPr>
          <w:p w14:paraId="160EC848" w14:textId="77777777" w:rsidR="002A6AC8" w:rsidRPr="00BE6C6D" w:rsidRDefault="002A6AC8" w:rsidP="00BE6C6D">
            <w:pPr>
              <w:rPr>
                <w:rFonts w:asciiTheme="minorHAnsi" w:hAnsiTheme="minorHAnsi"/>
                <w:b/>
              </w:rPr>
            </w:pPr>
            <w:r w:rsidRPr="00BE6C6D">
              <w:rPr>
                <w:rFonts w:asciiTheme="minorHAnsi" w:hAnsiTheme="minorHAnsi"/>
                <w:b/>
              </w:rPr>
              <w:t>Key risks</w:t>
            </w:r>
            <w:r w:rsidR="004F7208">
              <w:rPr>
                <w:rFonts w:asciiTheme="minorHAnsi" w:hAnsiTheme="minorHAnsi"/>
                <w:b/>
              </w:rPr>
              <w:t xml:space="preserve"> (emerging and ongoing)</w:t>
            </w:r>
          </w:p>
        </w:tc>
        <w:tc>
          <w:tcPr>
            <w:tcW w:w="2087" w:type="dxa"/>
          </w:tcPr>
          <w:p w14:paraId="50263404" w14:textId="77777777" w:rsidR="002A6AC8" w:rsidRPr="00BE6C6D" w:rsidRDefault="002A6AC8" w:rsidP="00BE6C6D">
            <w:pPr>
              <w:rPr>
                <w:rFonts w:asciiTheme="minorHAnsi" w:hAnsiTheme="minorHAnsi"/>
                <w:b/>
              </w:rPr>
            </w:pPr>
            <w:r w:rsidRPr="00BE6C6D">
              <w:rPr>
                <w:rFonts w:asciiTheme="minorHAnsi" w:hAnsiTheme="minorHAnsi"/>
                <w:b/>
              </w:rPr>
              <w:t>What actions were taken to manage the risks over the past year?</w:t>
            </w:r>
          </w:p>
        </w:tc>
        <w:tc>
          <w:tcPr>
            <w:tcW w:w="2509" w:type="dxa"/>
          </w:tcPr>
          <w:p w14:paraId="64A670B1" w14:textId="77777777" w:rsidR="002A6AC8" w:rsidRPr="00BE6C6D" w:rsidRDefault="002A6AC8" w:rsidP="00BE6C6D">
            <w:pPr>
              <w:rPr>
                <w:rFonts w:asciiTheme="minorHAnsi" w:hAnsiTheme="minorHAnsi"/>
                <w:b/>
              </w:rPr>
            </w:pPr>
            <w:r w:rsidRPr="00BE6C6D">
              <w:rPr>
                <w:rFonts w:asciiTheme="minorHAnsi" w:hAnsiTheme="minorHAnsi"/>
                <w:b/>
              </w:rPr>
              <w:t>What further actions will be taken to manage the risks in the coming year?</w:t>
            </w:r>
          </w:p>
        </w:tc>
        <w:tc>
          <w:tcPr>
            <w:tcW w:w="1270" w:type="dxa"/>
          </w:tcPr>
          <w:p w14:paraId="603E1E13" w14:textId="77777777" w:rsidR="002A6AC8" w:rsidRPr="00BE6C6D" w:rsidRDefault="004F7208" w:rsidP="004F7208">
            <w:pPr>
              <w:rPr>
                <w:rFonts w:asciiTheme="minorHAnsi" w:hAnsiTheme="minorHAnsi"/>
                <w:b/>
              </w:rPr>
            </w:pPr>
            <w:r>
              <w:rPr>
                <w:rFonts w:asciiTheme="minorHAnsi" w:hAnsiTheme="minorHAnsi"/>
                <w:b/>
              </w:rPr>
              <w:t>P</w:t>
            </w:r>
            <w:r w:rsidR="002A6AC8" w:rsidRPr="00BE6C6D">
              <w:rPr>
                <w:rFonts w:asciiTheme="minorHAnsi" w:hAnsiTheme="minorHAnsi"/>
                <w:b/>
              </w:rPr>
              <w:t>rovide a Risk Rating (low, medium, high, very high)</w:t>
            </w:r>
          </w:p>
        </w:tc>
        <w:tc>
          <w:tcPr>
            <w:tcW w:w="1225" w:type="dxa"/>
          </w:tcPr>
          <w:p w14:paraId="4A14AEB2" w14:textId="77777777" w:rsidR="002A6AC8" w:rsidRPr="00BE6C6D" w:rsidRDefault="0043564E" w:rsidP="0043564E">
            <w:pPr>
              <w:rPr>
                <w:b/>
              </w:rPr>
            </w:pPr>
            <w:r>
              <w:rPr>
                <w:b/>
              </w:rPr>
              <w:t xml:space="preserve">Are </w:t>
            </w:r>
            <w:r w:rsidR="002A6AC8">
              <w:rPr>
                <w:b/>
              </w:rPr>
              <w:t xml:space="preserve">these same risks </w:t>
            </w:r>
            <w:r>
              <w:rPr>
                <w:b/>
              </w:rPr>
              <w:t xml:space="preserve">in in </w:t>
            </w:r>
            <w:r w:rsidR="002A6AC8">
              <w:rPr>
                <w:b/>
              </w:rPr>
              <w:t>Post’s Risk Register (Yes/No)*</w:t>
            </w:r>
          </w:p>
        </w:tc>
      </w:tr>
      <w:tr w:rsidR="002A6AC8" w:rsidRPr="00C61187" w14:paraId="0F125E68" w14:textId="77777777" w:rsidTr="00FF6848">
        <w:tc>
          <w:tcPr>
            <w:tcW w:w="2221" w:type="dxa"/>
            <w:hideMark/>
          </w:tcPr>
          <w:p w14:paraId="171DF205" w14:textId="77777777" w:rsidR="002A6AC8" w:rsidRPr="005E07E0" w:rsidRDefault="00EE743A" w:rsidP="003E709B">
            <w:pPr>
              <w:rPr>
                <w:rFonts w:asciiTheme="minorHAnsi" w:hAnsiTheme="minorHAnsi"/>
              </w:rPr>
            </w:pPr>
            <w:r w:rsidRPr="00B86089">
              <w:rPr>
                <w:rFonts w:asciiTheme="minorHAnsi" w:hAnsiTheme="minorHAnsi"/>
              </w:rPr>
              <w:t>The Pacific Regional Program</w:t>
            </w:r>
            <w:r w:rsidR="008F76D5">
              <w:rPr>
                <w:rFonts w:asciiTheme="minorHAnsi" w:hAnsiTheme="minorHAnsi"/>
              </w:rPr>
              <w:t>’s</w:t>
            </w:r>
            <w:r w:rsidRPr="00B86089">
              <w:rPr>
                <w:rFonts w:asciiTheme="minorHAnsi" w:hAnsiTheme="minorHAnsi"/>
              </w:rPr>
              <w:t xml:space="preserve"> </w:t>
            </w:r>
            <w:r w:rsidR="005E0D97" w:rsidRPr="00B86089">
              <w:rPr>
                <w:rFonts w:asciiTheme="minorHAnsi" w:hAnsiTheme="minorHAnsi"/>
              </w:rPr>
              <w:t xml:space="preserve">effectiveness drops </w:t>
            </w:r>
            <w:r w:rsidRPr="00B86089">
              <w:rPr>
                <w:rFonts w:asciiTheme="minorHAnsi" w:hAnsiTheme="minorHAnsi"/>
              </w:rPr>
              <w:t xml:space="preserve">due to additional </w:t>
            </w:r>
            <w:r w:rsidR="005E0D97" w:rsidRPr="00B86089">
              <w:rPr>
                <w:rFonts w:asciiTheme="minorHAnsi" w:hAnsiTheme="minorHAnsi"/>
              </w:rPr>
              <w:t xml:space="preserve">management pressures of mobilising </w:t>
            </w:r>
            <w:r w:rsidRPr="00B86089">
              <w:rPr>
                <w:rFonts w:asciiTheme="minorHAnsi" w:hAnsiTheme="minorHAnsi"/>
              </w:rPr>
              <w:t>Step</w:t>
            </w:r>
            <w:r w:rsidR="003E709B">
              <w:rPr>
                <w:rFonts w:asciiTheme="minorHAnsi" w:hAnsiTheme="minorHAnsi"/>
              </w:rPr>
              <w:t>-</w:t>
            </w:r>
            <w:r w:rsidRPr="00B86089">
              <w:rPr>
                <w:rFonts w:asciiTheme="minorHAnsi" w:hAnsiTheme="minorHAnsi"/>
              </w:rPr>
              <w:t>Up activities.</w:t>
            </w:r>
          </w:p>
        </w:tc>
        <w:tc>
          <w:tcPr>
            <w:tcW w:w="2087" w:type="dxa"/>
          </w:tcPr>
          <w:p w14:paraId="72DA72B8" w14:textId="77777777" w:rsidR="002A6AC8" w:rsidRDefault="00826E63" w:rsidP="00826E63">
            <w:pPr>
              <w:rPr>
                <w:rFonts w:asciiTheme="minorHAnsi" w:hAnsiTheme="minorHAnsi"/>
              </w:rPr>
            </w:pPr>
            <w:r>
              <w:rPr>
                <w:rFonts w:asciiTheme="minorHAnsi" w:hAnsiTheme="minorHAnsi"/>
              </w:rPr>
              <w:t>Office of the Pacific</w:t>
            </w:r>
            <w:r w:rsidR="00A3747B">
              <w:rPr>
                <w:rFonts w:asciiTheme="minorHAnsi" w:hAnsiTheme="minorHAnsi"/>
              </w:rPr>
              <w:t xml:space="preserve"> (OTP)</w:t>
            </w:r>
            <w:r>
              <w:rPr>
                <w:rFonts w:asciiTheme="minorHAnsi" w:hAnsiTheme="minorHAnsi"/>
              </w:rPr>
              <w:t xml:space="preserve"> established </w:t>
            </w:r>
            <w:r w:rsidR="002F02D7">
              <w:rPr>
                <w:rFonts w:asciiTheme="minorHAnsi" w:hAnsiTheme="minorHAnsi"/>
              </w:rPr>
              <w:t xml:space="preserve">with increased staffing </w:t>
            </w:r>
            <w:r>
              <w:rPr>
                <w:rFonts w:asciiTheme="minorHAnsi" w:hAnsiTheme="minorHAnsi"/>
              </w:rPr>
              <w:t>to deliver on Pacific Step-Up while also maintaining focus on base program.</w:t>
            </w:r>
          </w:p>
          <w:p w14:paraId="416FF2EE" w14:textId="77777777" w:rsidR="00A3747B" w:rsidRDefault="00A3747B" w:rsidP="00826E63">
            <w:pPr>
              <w:rPr>
                <w:rFonts w:asciiTheme="minorHAnsi" w:hAnsiTheme="minorHAnsi"/>
              </w:rPr>
            </w:pPr>
            <w:r>
              <w:rPr>
                <w:rFonts w:asciiTheme="minorHAnsi" w:hAnsiTheme="minorHAnsi"/>
              </w:rPr>
              <w:t xml:space="preserve">Incremental approach to implementing initiatives. </w:t>
            </w:r>
          </w:p>
          <w:p w14:paraId="7EC7787D" w14:textId="77777777" w:rsidR="00A3747B" w:rsidRPr="00BE6C6D" w:rsidRDefault="00FF6848" w:rsidP="00826E63">
            <w:pPr>
              <w:rPr>
                <w:rFonts w:asciiTheme="minorHAnsi" w:hAnsiTheme="minorHAnsi"/>
              </w:rPr>
            </w:pPr>
            <w:r>
              <w:rPr>
                <w:rFonts w:asciiTheme="minorHAnsi" w:hAnsiTheme="minorHAnsi"/>
              </w:rPr>
              <w:t>Regular stakeholder consultation to improve performance.</w:t>
            </w:r>
          </w:p>
        </w:tc>
        <w:tc>
          <w:tcPr>
            <w:tcW w:w="2509" w:type="dxa"/>
          </w:tcPr>
          <w:p w14:paraId="4566400E" w14:textId="77777777" w:rsidR="002A6AC8" w:rsidRDefault="00826E63" w:rsidP="00BE6C6D">
            <w:pPr>
              <w:rPr>
                <w:rFonts w:asciiTheme="minorHAnsi" w:hAnsiTheme="minorHAnsi"/>
              </w:rPr>
            </w:pPr>
            <w:r>
              <w:rPr>
                <w:rFonts w:asciiTheme="minorHAnsi" w:hAnsiTheme="minorHAnsi"/>
              </w:rPr>
              <w:t xml:space="preserve">Finalise Pacific Regional Aid Investment Plan </w:t>
            </w:r>
            <w:r w:rsidR="00A3747B">
              <w:rPr>
                <w:rFonts w:asciiTheme="minorHAnsi" w:hAnsiTheme="minorHAnsi"/>
              </w:rPr>
              <w:t xml:space="preserve">(AIP) </w:t>
            </w:r>
            <w:r>
              <w:rPr>
                <w:rFonts w:asciiTheme="minorHAnsi" w:hAnsiTheme="minorHAnsi"/>
              </w:rPr>
              <w:t>and Performance Assessment Framework.</w:t>
            </w:r>
          </w:p>
          <w:p w14:paraId="7EB4419B" w14:textId="77777777" w:rsidR="00A3747B" w:rsidRDefault="00A3747B" w:rsidP="00A3747B">
            <w:pPr>
              <w:rPr>
                <w:rFonts w:asciiTheme="minorHAnsi" w:hAnsiTheme="minorHAnsi"/>
              </w:rPr>
            </w:pPr>
            <w:r>
              <w:rPr>
                <w:rFonts w:asciiTheme="minorHAnsi" w:hAnsiTheme="minorHAnsi"/>
              </w:rPr>
              <w:t xml:space="preserve">Incremental approach to implementing initiatives. </w:t>
            </w:r>
          </w:p>
          <w:p w14:paraId="6445E66B" w14:textId="77777777" w:rsidR="00A3747B" w:rsidRDefault="00A3747B" w:rsidP="00BE6C6D">
            <w:pPr>
              <w:rPr>
                <w:rFonts w:asciiTheme="minorHAnsi" w:hAnsiTheme="minorHAnsi"/>
              </w:rPr>
            </w:pPr>
            <w:r>
              <w:rPr>
                <w:rFonts w:asciiTheme="minorHAnsi" w:hAnsiTheme="minorHAnsi"/>
              </w:rPr>
              <w:t>Coordinate closely across DFAT and with other agencies.</w:t>
            </w:r>
          </w:p>
          <w:p w14:paraId="334589B7" w14:textId="77777777" w:rsidR="00A3747B" w:rsidRPr="00BE6C6D" w:rsidRDefault="00FF6848" w:rsidP="00BE6C6D">
            <w:pPr>
              <w:rPr>
                <w:rFonts w:asciiTheme="minorHAnsi" w:hAnsiTheme="minorHAnsi"/>
              </w:rPr>
            </w:pPr>
            <w:r>
              <w:rPr>
                <w:rFonts w:asciiTheme="minorHAnsi" w:hAnsiTheme="minorHAnsi"/>
              </w:rPr>
              <w:t>Regular stakeholder consultation to improve performance.</w:t>
            </w:r>
          </w:p>
        </w:tc>
        <w:tc>
          <w:tcPr>
            <w:tcW w:w="1270" w:type="dxa"/>
          </w:tcPr>
          <w:p w14:paraId="0DC0F54B" w14:textId="77777777" w:rsidR="002A6AC8" w:rsidRPr="00BE6C6D" w:rsidRDefault="00826E63" w:rsidP="00BE6C6D">
            <w:pPr>
              <w:rPr>
                <w:rFonts w:asciiTheme="minorHAnsi" w:hAnsiTheme="minorHAnsi"/>
              </w:rPr>
            </w:pPr>
            <w:r>
              <w:rPr>
                <w:rFonts w:asciiTheme="minorHAnsi" w:hAnsiTheme="minorHAnsi"/>
              </w:rPr>
              <w:t>High</w:t>
            </w:r>
          </w:p>
        </w:tc>
        <w:tc>
          <w:tcPr>
            <w:tcW w:w="1225" w:type="dxa"/>
          </w:tcPr>
          <w:p w14:paraId="3E8F007C" w14:textId="77777777" w:rsidR="002A6AC8" w:rsidRPr="00BE6C6D" w:rsidRDefault="00FF6848" w:rsidP="00BE6C6D">
            <w:r w:rsidRPr="00B86089">
              <w:rPr>
                <w:rFonts w:asciiTheme="minorHAnsi" w:hAnsiTheme="minorHAnsi"/>
              </w:rPr>
              <w:t>Yes – Divisional Risk Register</w:t>
            </w:r>
          </w:p>
        </w:tc>
      </w:tr>
      <w:tr w:rsidR="002A6AC8" w:rsidRPr="00C61187" w14:paraId="241288ED" w14:textId="77777777" w:rsidTr="00FF6848">
        <w:tc>
          <w:tcPr>
            <w:tcW w:w="2221" w:type="dxa"/>
            <w:hideMark/>
          </w:tcPr>
          <w:p w14:paraId="4EBC6896" w14:textId="77777777" w:rsidR="002A6AC8" w:rsidRPr="005E07E0" w:rsidRDefault="00EE743A" w:rsidP="00B86089">
            <w:pPr>
              <w:rPr>
                <w:rFonts w:eastAsia="Times New Roman"/>
                <w:iCs/>
                <w:szCs w:val="17"/>
                <w:lang w:eastAsia="en-US"/>
              </w:rPr>
            </w:pPr>
            <w:r w:rsidRPr="00B86089">
              <w:rPr>
                <w:rFonts w:asciiTheme="minorHAnsi" w:hAnsiTheme="minorHAnsi"/>
              </w:rPr>
              <w:t>Proliferation of small value activities, which decreases program efficiency</w:t>
            </w:r>
            <w:r w:rsidR="008F76D5">
              <w:rPr>
                <w:rFonts w:asciiTheme="minorHAnsi" w:hAnsiTheme="minorHAnsi"/>
              </w:rPr>
              <w:t>.</w:t>
            </w:r>
            <w:r w:rsidRPr="005E07E0">
              <w:rPr>
                <w:rFonts w:asciiTheme="minorHAnsi" w:hAnsiTheme="minorHAnsi"/>
              </w:rPr>
              <w:t xml:space="preserve"> </w:t>
            </w:r>
          </w:p>
        </w:tc>
        <w:tc>
          <w:tcPr>
            <w:tcW w:w="2087" w:type="dxa"/>
          </w:tcPr>
          <w:p w14:paraId="2D053429" w14:textId="77777777" w:rsidR="002A6AC8" w:rsidRPr="00FF6848" w:rsidRDefault="00FF6848" w:rsidP="00A12608">
            <w:pPr>
              <w:rPr>
                <w:rFonts w:asciiTheme="minorHAnsi" w:hAnsiTheme="minorHAnsi"/>
              </w:rPr>
            </w:pPr>
            <w:r>
              <w:rPr>
                <w:rFonts w:asciiTheme="minorHAnsi" w:hAnsiTheme="minorHAnsi"/>
              </w:rPr>
              <w:t>OTP established to deliver on Pacific Step-Up while also maintaining focus on base program.</w:t>
            </w:r>
          </w:p>
        </w:tc>
        <w:tc>
          <w:tcPr>
            <w:tcW w:w="2509" w:type="dxa"/>
          </w:tcPr>
          <w:p w14:paraId="3BAED16D" w14:textId="77777777" w:rsidR="00B86089" w:rsidRDefault="00A3747B" w:rsidP="00D15A00">
            <w:pPr>
              <w:keepLines/>
              <w:spacing w:before="40" w:after="40" w:line="200" w:lineRule="atLeast"/>
              <w:rPr>
                <w:rFonts w:asciiTheme="minorHAnsi" w:hAnsiTheme="minorHAnsi"/>
              </w:rPr>
            </w:pPr>
            <w:r w:rsidRPr="00FF6848">
              <w:rPr>
                <w:rFonts w:asciiTheme="minorHAnsi" w:hAnsiTheme="minorHAnsi"/>
              </w:rPr>
              <w:t>Regional AIP and OTP budget processes will drive decisions of effectiveness and efficiency</w:t>
            </w:r>
            <w:r w:rsidR="00FF6848">
              <w:rPr>
                <w:rFonts w:asciiTheme="minorHAnsi" w:hAnsiTheme="minorHAnsi"/>
              </w:rPr>
              <w:t>.</w:t>
            </w:r>
          </w:p>
          <w:p w14:paraId="3CA515D8" w14:textId="77777777" w:rsidR="00B86089" w:rsidRDefault="00B86089" w:rsidP="00B86089">
            <w:pPr>
              <w:rPr>
                <w:rFonts w:asciiTheme="minorHAnsi" w:hAnsiTheme="minorHAnsi"/>
              </w:rPr>
            </w:pPr>
            <w:r>
              <w:rPr>
                <w:rFonts w:asciiTheme="minorHAnsi" w:hAnsiTheme="minorHAnsi"/>
              </w:rPr>
              <w:t xml:space="preserve">Efforts to incorporate new activities under existing investments. </w:t>
            </w:r>
          </w:p>
          <w:p w14:paraId="58D22A6F" w14:textId="77777777" w:rsidR="00D819AE" w:rsidRPr="00FF6848" w:rsidRDefault="00D819AE" w:rsidP="00B86089">
            <w:pPr>
              <w:rPr>
                <w:rFonts w:asciiTheme="minorHAnsi" w:hAnsiTheme="minorHAnsi"/>
              </w:rPr>
            </w:pPr>
            <w:r w:rsidRPr="00B86089">
              <w:rPr>
                <w:rFonts w:asciiTheme="minorHAnsi" w:hAnsiTheme="minorHAnsi"/>
              </w:rPr>
              <w:t xml:space="preserve">Incorporate </w:t>
            </w:r>
            <w:r w:rsidR="00B86089">
              <w:rPr>
                <w:rFonts w:asciiTheme="minorHAnsi" w:hAnsiTheme="minorHAnsi"/>
              </w:rPr>
              <w:t>in 2019-</w:t>
            </w:r>
            <w:r w:rsidRPr="00B86089">
              <w:rPr>
                <w:rFonts w:asciiTheme="minorHAnsi" w:hAnsiTheme="minorHAnsi"/>
              </w:rPr>
              <w:t>20 Divisional Risk Register.</w:t>
            </w:r>
          </w:p>
        </w:tc>
        <w:tc>
          <w:tcPr>
            <w:tcW w:w="1270" w:type="dxa"/>
          </w:tcPr>
          <w:p w14:paraId="11B2B7F3" w14:textId="77777777" w:rsidR="002A6AC8" w:rsidRPr="00C61187" w:rsidRDefault="00FF6848" w:rsidP="004C2545">
            <w:pPr>
              <w:rPr>
                <w:rFonts w:eastAsia="Times New Roman"/>
                <w:iCs/>
                <w:szCs w:val="17"/>
                <w:lang w:eastAsia="en-US"/>
              </w:rPr>
            </w:pPr>
            <w:r w:rsidRPr="000B0E65">
              <w:rPr>
                <w:rFonts w:asciiTheme="minorHAnsi" w:hAnsiTheme="minorHAnsi"/>
              </w:rPr>
              <w:t>Medium</w:t>
            </w:r>
          </w:p>
        </w:tc>
        <w:tc>
          <w:tcPr>
            <w:tcW w:w="1225" w:type="dxa"/>
          </w:tcPr>
          <w:p w14:paraId="10478DAB" w14:textId="77777777" w:rsidR="002A6AC8" w:rsidRPr="00C61187" w:rsidRDefault="00FF6848" w:rsidP="00B86089">
            <w:pPr>
              <w:rPr>
                <w:rFonts w:eastAsia="Times New Roman"/>
                <w:iCs/>
                <w:szCs w:val="17"/>
              </w:rPr>
            </w:pPr>
            <w:r w:rsidRPr="00B86089">
              <w:rPr>
                <w:rFonts w:asciiTheme="minorHAnsi" w:hAnsiTheme="minorHAnsi"/>
              </w:rPr>
              <w:t>No</w:t>
            </w:r>
            <w:r w:rsidR="00C46D33" w:rsidRPr="00B86089">
              <w:rPr>
                <w:rFonts w:asciiTheme="minorHAnsi" w:hAnsiTheme="minorHAnsi"/>
              </w:rPr>
              <w:t>t in 2018-19 Divisional Risk Register</w:t>
            </w:r>
          </w:p>
        </w:tc>
      </w:tr>
      <w:tr w:rsidR="004E6382" w:rsidRPr="00C61187" w14:paraId="24FB9A73" w14:textId="77777777" w:rsidTr="00FF6848">
        <w:trPr>
          <w:trHeight w:val="56"/>
        </w:trPr>
        <w:tc>
          <w:tcPr>
            <w:tcW w:w="2221" w:type="dxa"/>
          </w:tcPr>
          <w:p w14:paraId="761BC196" w14:textId="77777777" w:rsidR="004E6382" w:rsidRPr="005E07E0" w:rsidRDefault="004E6382" w:rsidP="008F76D5">
            <w:pPr>
              <w:rPr>
                <w:rFonts w:eastAsia="Times New Roman"/>
                <w:iCs/>
                <w:szCs w:val="17"/>
              </w:rPr>
            </w:pPr>
            <w:r w:rsidRPr="00B86089">
              <w:rPr>
                <w:rFonts w:asciiTheme="minorHAnsi" w:hAnsiTheme="minorHAnsi"/>
              </w:rPr>
              <w:t>Lack of coherence between bilateral and regional programs undermines program quality</w:t>
            </w:r>
            <w:r w:rsidR="008F76D5">
              <w:rPr>
                <w:rFonts w:asciiTheme="minorHAnsi" w:hAnsiTheme="minorHAnsi"/>
              </w:rPr>
              <w:t>.</w:t>
            </w:r>
          </w:p>
        </w:tc>
        <w:tc>
          <w:tcPr>
            <w:tcW w:w="2087" w:type="dxa"/>
          </w:tcPr>
          <w:p w14:paraId="21DEA15D" w14:textId="77777777" w:rsidR="00B86089" w:rsidRDefault="00B86089" w:rsidP="00B86089">
            <w:pPr>
              <w:rPr>
                <w:rFonts w:asciiTheme="minorHAnsi" w:hAnsiTheme="minorHAnsi"/>
              </w:rPr>
            </w:pPr>
            <w:r>
              <w:rPr>
                <w:rFonts w:asciiTheme="minorHAnsi" w:hAnsiTheme="minorHAnsi"/>
              </w:rPr>
              <w:t>OTP established to deliver on Pacific Step-Up while also maintaining focus on base program.</w:t>
            </w:r>
          </w:p>
          <w:p w14:paraId="74E128A6" w14:textId="77777777" w:rsidR="004E6382" w:rsidRDefault="004E6382" w:rsidP="00B86089">
            <w:pPr>
              <w:rPr>
                <w:rFonts w:asciiTheme="minorHAnsi" w:hAnsiTheme="minorHAnsi"/>
              </w:rPr>
            </w:pPr>
            <w:r w:rsidRPr="00B86089">
              <w:rPr>
                <w:rFonts w:asciiTheme="minorHAnsi" w:hAnsiTheme="minorHAnsi"/>
              </w:rPr>
              <w:t>High profile regional investments worked with bilateral programs eg labour mobility.</w:t>
            </w:r>
          </w:p>
          <w:p w14:paraId="7CE16D86" w14:textId="77777777" w:rsidR="002F02D7" w:rsidRDefault="002F02D7" w:rsidP="00B86089">
            <w:pPr>
              <w:rPr>
                <w:rFonts w:asciiTheme="minorHAnsi" w:hAnsiTheme="minorHAnsi"/>
              </w:rPr>
            </w:pPr>
            <w:r>
              <w:rPr>
                <w:rFonts w:asciiTheme="minorHAnsi" w:hAnsiTheme="minorHAnsi"/>
              </w:rPr>
              <w:t>Strong collaboration with bilateral areas and Pacific posts on the regional program.</w:t>
            </w:r>
          </w:p>
          <w:p w14:paraId="6F33AC62" w14:textId="5F47F084" w:rsidR="002F02D7" w:rsidRPr="00C61187" w:rsidRDefault="002F02D7" w:rsidP="00B86089">
            <w:pPr>
              <w:rPr>
                <w:rFonts w:eastAsia="Times New Roman"/>
                <w:iCs/>
                <w:szCs w:val="17"/>
              </w:rPr>
            </w:pPr>
          </w:p>
        </w:tc>
        <w:tc>
          <w:tcPr>
            <w:tcW w:w="2509" w:type="dxa"/>
          </w:tcPr>
          <w:p w14:paraId="2C690B70" w14:textId="77777777" w:rsidR="00B86089" w:rsidRDefault="004E6382" w:rsidP="00B86089">
            <w:pPr>
              <w:rPr>
                <w:rFonts w:asciiTheme="minorHAnsi" w:hAnsiTheme="minorHAnsi"/>
              </w:rPr>
            </w:pPr>
            <w:r w:rsidRPr="00FF6848">
              <w:rPr>
                <w:rFonts w:asciiTheme="minorHAnsi" w:hAnsiTheme="minorHAnsi"/>
              </w:rPr>
              <w:t>Regional AIP and OTP budget processes will drive decisions of effectiveness and efficiency</w:t>
            </w:r>
            <w:r w:rsidR="00B86089">
              <w:rPr>
                <w:rFonts w:asciiTheme="minorHAnsi" w:hAnsiTheme="minorHAnsi"/>
              </w:rPr>
              <w:t xml:space="preserve">. Development of the AIP includes consultation with posts </w:t>
            </w:r>
            <w:r w:rsidR="008F76D5">
              <w:rPr>
                <w:rFonts w:asciiTheme="minorHAnsi" w:hAnsiTheme="minorHAnsi"/>
              </w:rPr>
              <w:t xml:space="preserve">and bilateral governments/regional organisations </w:t>
            </w:r>
            <w:r w:rsidR="00B86089">
              <w:rPr>
                <w:rFonts w:asciiTheme="minorHAnsi" w:hAnsiTheme="minorHAnsi"/>
              </w:rPr>
              <w:t xml:space="preserve">to support strengthened coherence. </w:t>
            </w:r>
          </w:p>
          <w:p w14:paraId="54E88773" w14:textId="65E2F2AF" w:rsidR="00B86089" w:rsidRDefault="002F02D7" w:rsidP="00B86089">
            <w:pPr>
              <w:rPr>
                <w:rFonts w:asciiTheme="minorHAnsi" w:hAnsiTheme="minorHAnsi"/>
              </w:rPr>
            </w:pPr>
            <w:r>
              <w:rPr>
                <w:rFonts w:asciiTheme="minorHAnsi" w:hAnsiTheme="minorHAnsi"/>
              </w:rPr>
              <w:t>C</w:t>
            </w:r>
            <w:r w:rsidR="00B86089">
              <w:rPr>
                <w:rFonts w:asciiTheme="minorHAnsi" w:hAnsiTheme="minorHAnsi"/>
              </w:rPr>
              <w:t xml:space="preserve">oordination between Canberra and posts on program design and delivery across regional and bilateral investments. </w:t>
            </w:r>
          </w:p>
          <w:p w14:paraId="77A136B8" w14:textId="77777777" w:rsidR="004E6382" w:rsidRPr="00C61187" w:rsidRDefault="004E6382" w:rsidP="00B86089">
            <w:pPr>
              <w:rPr>
                <w:rFonts w:eastAsia="Times New Roman"/>
                <w:iCs/>
                <w:szCs w:val="17"/>
              </w:rPr>
            </w:pPr>
            <w:r w:rsidRPr="00B86089">
              <w:rPr>
                <w:rFonts w:asciiTheme="minorHAnsi" w:hAnsiTheme="minorHAnsi"/>
              </w:rPr>
              <w:t>Incorporate program coherence in 2019 20 Divisional Risk Register.</w:t>
            </w:r>
          </w:p>
        </w:tc>
        <w:tc>
          <w:tcPr>
            <w:tcW w:w="1270" w:type="dxa"/>
          </w:tcPr>
          <w:p w14:paraId="7EBD18EA" w14:textId="77777777" w:rsidR="004E6382" w:rsidRPr="004C2545" w:rsidRDefault="004E6382" w:rsidP="004C2545">
            <w:pPr>
              <w:rPr>
                <w:rFonts w:asciiTheme="minorHAnsi" w:hAnsiTheme="minorHAnsi"/>
              </w:rPr>
            </w:pPr>
            <w:r w:rsidRPr="004C2545">
              <w:t>High</w:t>
            </w:r>
          </w:p>
        </w:tc>
        <w:tc>
          <w:tcPr>
            <w:tcW w:w="1225" w:type="dxa"/>
          </w:tcPr>
          <w:p w14:paraId="3771D4C0" w14:textId="77777777" w:rsidR="004E6382" w:rsidRPr="00C61187" w:rsidRDefault="004E6382" w:rsidP="00B86089">
            <w:pPr>
              <w:rPr>
                <w:rFonts w:eastAsia="Times New Roman"/>
                <w:iCs/>
                <w:szCs w:val="17"/>
              </w:rPr>
            </w:pPr>
            <w:r w:rsidRPr="00B86089">
              <w:rPr>
                <w:rFonts w:asciiTheme="minorHAnsi" w:hAnsiTheme="minorHAnsi"/>
              </w:rPr>
              <w:t>Not in 2018-19 Divisional Risk Register</w:t>
            </w:r>
          </w:p>
        </w:tc>
      </w:tr>
    </w:tbl>
    <w:p w14:paraId="6360F94E" w14:textId="77777777" w:rsidR="002A51CA" w:rsidRDefault="002A51CA" w:rsidP="002A51CA">
      <w:pPr>
        <w:spacing w:before="20" w:after="20" w:line="180" w:lineRule="atLeast"/>
        <w:jc w:val="both"/>
        <w:rPr>
          <w:rFonts w:ascii="Franklin Gothic Book" w:eastAsia="Times New Roman" w:hAnsi="Franklin Gothic Book"/>
          <w:b/>
          <w:sz w:val="14"/>
          <w:szCs w:val="14"/>
        </w:rPr>
      </w:pPr>
    </w:p>
    <w:p w14:paraId="1A4902C6" w14:textId="77777777" w:rsidR="002A6AC8" w:rsidRDefault="002A6AC8" w:rsidP="002A51CA">
      <w:pPr>
        <w:spacing w:before="20" w:after="20" w:line="180" w:lineRule="atLeast"/>
        <w:jc w:val="both"/>
        <w:rPr>
          <w:rFonts w:ascii="Franklin Gothic Book" w:eastAsia="Times New Roman" w:hAnsi="Franklin Gothic Book"/>
          <w:sz w:val="18"/>
          <w:szCs w:val="18"/>
        </w:rPr>
      </w:pPr>
    </w:p>
    <w:p w14:paraId="7DFC2CCF" w14:textId="4E8511A5" w:rsidR="002A6AC8" w:rsidRPr="005E07E0" w:rsidRDefault="00EE743A" w:rsidP="002A51CA">
      <w:pPr>
        <w:spacing w:before="20" w:after="20" w:line="180" w:lineRule="atLeast"/>
        <w:jc w:val="both"/>
        <w:rPr>
          <w:rFonts w:ascii="Franklin Gothic Book" w:eastAsia="Times New Roman" w:hAnsi="Franklin Gothic Book"/>
          <w:sz w:val="18"/>
          <w:szCs w:val="18"/>
        </w:rPr>
      </w:pPr>
      <w:r w:rsidRPr="005E07E0">
        <w:t>The overall risk profile of the portfolio has changed. With many of the Step</w:t>
      </w:r>
      <w:r w:rsidR="00A12608">
        <w:t>-</w:t>
      </w:r>
      <w:r w:rsidRPr="005E07E0">
        <w:t>Up activities coming online in 2018</w:t>
      </w:r>
      <w:r w:rsidR="00AB45D6">
        <w:noBreakHyphen/>
      </w:r>
      <w:r w:rsidRPr="005E07E0">
        <w:t xml:space="preserve">19 or in the final stages of design, the additional resourcing requirements for delivery and oversight </w:t>
      </w:r>
      <w:r w:rsidR="00B86089">
        <w:t>has increased</w:t>
      </w:r>
      <w:r w:rsidRPr="005E07E0">
        <w:t>.</w:t>
      </w:r>
    </w:p>
    <w:p w14:paraId="4E4FFAF5" w14:textId="77777777" w:rsidR="006C0495" w:rsidRDefault="006C0495">
      <w:pPr>
        <w:suppressAutoHyphens w:val="0"/>
        <w:spacing w:before="0" w:after="120" w:line="440" w:lineRule="atLeast"/>
        <w:rPr>
          <w:rFonts w:asciiTheme="majorHAnsi" w:eastAsiaTheme="majorEastAsia" w:hAnsiTheme="majorHAnsi" w:cstheme="majorBidi"/>
          <w:caps/>
          <w:sz w:val="38"/>
          <w:szCs w:val="26"/>
        </w:rPr>
      </w:pPr>
      <w:r>
        <w:br w:type="page"/>
      </w:r>
    </w:p>
    <w:p w14:paraId="6D5B6949" w14:textId="77777777" w:rsidR="002A51CA" w:rsidRPr="002A51CA" w:rsidRDefault="002A51CA" w:rsidP="00047FFB">
      <w:pPr>
        <w:pStyle w:val="Heading2"/>
        <w:spacing w:before="360" w:line="300" w:lineRule="exact"/>
      </w:pPr>
      <w:r w:rsidRPr="002A51CA">
        <w:t xml:space="preserve">Management </w:t>
      </w:r>
      <w:r w:rsidR="00AC302F">
        <w:t>actions</w:t>
      </w:r>
      <w:r w:rsidRPr="002A51CA">
        <w:tab/>
      </w:r>
      <w:r w:rsidRPr="002A51CA">
        <w:tab/>
      </w:r>
    </w:p>
    <w:p w14:paraId="66E2FF04" w14:textId="77777777" w:rsidR="004E6382" w:rsidRPr="004E6382" w:rsidRDefault="004E6382" w:rsidP="002A51CA">
      <w:pPr>
        <w:rPr>
          <w:b/>
        </w:rPr>
      </w:pPr>
      <w:r w:rsidRPr="004E6382">
        <w:rPr>
          <w:b/>
        </w:rPr>
        <w:t>Progress to address management actions in 2017-18 APPR</w:t>
      </w:r>
    </w:p>
    <w:p w14:paraId="2D5E3311" w14:textId="77777777" w:rsidR="00D15A00" w:rsidRDefault="00C256E1" w:rsidP="002A51CA">
      <w:r>
        <w:t>The four management actions from the 2017-18 APPR were either not achieved or partly achieved</w:t>
      </w:r>
      <w:r w:rsidR="00170671">
        <w:t xml:space="preserve"> (refer Annex A)</w:t>
      </w:r>
      <w:r>
        <w:t xml:space="preserve">. </w:t>
      </w:r>
      <w:r w:rsidR="004E6382">
        <w:t>P</w:t>
      </w:r>
      <w:r>
        <w:t xml:space="preserve">reparatory work for the regional </w:t>
      </w:r>
      <w:r w:rsidR="004E6382">
        <w:t xml:space="preserve">AIP </w:t>
      </w:r>
      <w:r>
        <w:t xml:space="preserve">was undertaken </w:t>
      </w:r>
      <w:r w:rsidR="005C61ED">
        <w:t xml:space="preserve">but </w:t>
      </w:r>
      <w:r>
        <w:t xml:space="preserve">not finalised by early 2019. </w:t>
      </w:r>
      <w:r w:rsidR="004E6382">
        <w:t>The draft AIP is being prepared for consultation with Pacific island countries governments in the last quarter of 2019</w:t>
      </w:r>
      <w:r>
        <w:t xml:space="preserve">. </w:t>
      </w:r>
    </w:p>
    <w:p w14:paraId="11D9DB43" w14:textId="77777777" w:rsidR="005C61ED" w:rsidRDefault="00C256E1" w:rsidP="002A51CA">
      <w:r>
        <w:t>Coordination between regional and bilateral program</w:t>
      </w:r>
      <w:r w:rsidR="005C61ED">
        <w:t>s</w:t>
      </w:r>
      <w:r>
        <w:t xml:space="preserve"> improved through </w:t>
      </w:r>
      <w:r w:rsidR="00D801AC">
        <w:t>strengthened communication (for example regular meetings) and work towards a joint performance assessment framework for all Pacific aid investment</w:t>
      </w:r>
      <w:r w:rsidR="005C61ED">
        <w:t>s. There is still more work to d</w:t>
      </w:r>
      <w:r w:rsidR="00D801AC">
        <w:t>o</w:t>
      </w:r>
      <w:r w:rsidR="005C61ED">
        <w:t xml:space="preserve"> to improve coordination and alignment and this activity will remain a management action for this APPR. </w:t>
      </w:r>
      <w:r w:rsidR="00D801AC">
        <w:t xml:space="preserve"> </w:t>
      </w:r>
    </w:p>
    <w:p w14:paraId="6DBD42C6" w14:textId="3C7AF8E1" w:rsidR="005C61ED" w:rsidRDefault="005C61ED" w:rsidP="002A51CA">
      <w:r>
        <w:t>While important strides to improve Pacific women’s participation in the workforce have been made in the reporting period, including improving the participation of women in the Seasonal Worker Program</w:t>
      </w:r>
      <w:r w:rsidR="00DB7B5F">
        <w:t>me</w:t>
      </w:r>
      <w:r>
        <w:t xml:space="preserve"> and achieving </w:t>
      </w:r>
      <w:r w:rsidR="004E6382">
        <w:t>39</w:t>
      </w:r>
      <w:r>
        <w:t xml:space="preserve"> per cent women’s participation in the new </w:t>
      </w:r>
      <w:r w:rsidR="00A12608">
        <w:t>PLS</w:t>
      </w:r>
      <w:r>
        <w:t xml:space="preserve">, this management action was only partly achieved. </w:t>
      </w:r>
      <w:r w:rsidR="00402800">
        <w:t>T</w:t>
      </w:r>
      <w:r w:rsidR="0005066C" w:rsidRPr="00B86089">
        <w:t xml:space="preserve">he management focus in future years will be lifting the performance on gender equality of </w:t>
      </w:r>
      <w:r w:rsidR="00402800">
        <w:t xml:space="preserve">all </w:t>
      </w:r>
      <w:r w:rsidR="0005066C" w:rsidRPr="00B86089">
        <w:t>DFAT regional programs.</w:t>
      </w:r>
    </w:p>
    <w:p w14:paraId="10B790EE" w14:textId="77777777" w:rsidR="008A0B66" w:rsidRDefault="004E6382" w:rsidP="002A51CA">
      <w:r>
        <w:rPr>
          <w:b/>
        </w:rPr>
        <w:t>M</w:t>
      </w:r>
      <w:r w:rsidRPr="004E6382">
        <w:rPr>
          <w:b/>
        </w:rPr>
        <w:t xml:space="preserve">anagement </w:t>
      </w:r>
      <w:r>
        <w:rPr>
          <w:b/>
        </w:rPr>
        <w:t>A</w:t>
      </w:r>
      <w:r w:rsidRPr="004E6382">
        <w:rPr>
          <w:b/>
        </w:rPr>
        <w:t xml:space="preserve">ctions </w:t>
      </w:r>
      <w:r>
        <w:rPr>
          <w:b/>
        </w:rPr>
        <w:t xml:space="preserve">for </w:t>
      </w:r>
      <w:r w:rsidR="00D819AE">
        <w:rPr>
          <w:b/>
        </w:rPr>
        <w:t>2019-20</w:t>
      </w:r>
      <w:r w:rsidRPr="004E6382">
        <w:rPr>
          <w:b/>
        </w:rPr>
        <w:t xml:space="preserve"> </w:t>
      </w:r>
    </w:p>
    <w:p w14:paraId="6D3FBC9F" w14:textId="77777777" w:rsidR="003851B6" w:rsidRDefault="003851B6" w:rsidP="003851B6">
      <w:pPr>
        <w:pStyle w:val="CommentText"/>
        <w:spacing w:before="0"/>
        <w:rPr>
          <w:sz w:val="22"/>
          <w:szCs w:val="22"/>
        </w:rPr>
      </w:pPr>
      <w:r>
        <w:rPr>
          <w:sz w:val="22"/>
          <w:szCs w:val="22"/>
        </w:rPr>
        <w:t>Management actions identified for the coming year are:</w:t>
      </w:r>
    </w:p>
    <w:p w14:paraId="41340883" w14:textId="77777777" w:rsidR="00D819AE" w:rsidRDefault="00D819AE" w:rsidP="00D819AE">
      <w:pPr>
        <w:pStyle w:val="CommentText"/>
        <w:numPr>
          <w:ilvl w:val="0"/>
          <w:numId w:val="41"/>
        </w:numPr>
        <w:spacing w:before="0"/>
        <w:rPr>
          <w:sz w:val="22"/>
          <w:szCs w:val="22"/>
        </w:rPr>
      </w:pPr>
      <w:r>
        <w:rPr>
          <w:sz w:val="22"/>
          <w:szCs w:val="22"/>
        </w:rPr>
        <w:t>D</w:t>
      </w:r>
      <w:r w:rsidRPr="0027538B">
        <w:rPr>
          <w:sz w:val="22"/>
          <w:szCs w:val="22"/>
        </w:rPr>
        <w:t xml:space="preserve">evelop a new Aid Investment Plan </w:t>
      </w:r>
      <w:r>
        <w:rPr>
          <w:sz w:val="22"/>
          <w:szCs w:val="22"/>
        </w:rPr>
        <w:t xml:space="preserve">and undertake consultations </w:t>
      </w:r>
      <w:r w:rsidRPr="0027538B">
        <w:rPr>
          <w:sz w:val="22"/>
          <w:szCs w:val="22"/>
        </w:rPr>
        <w:t xml:space="preserve">in the </w:t>
      </w:r>
      <w:r>
        <w:rPr>
          <w:sz w:val="22"/>
          <w:szCs w:val="22"/>
        </w:rPr>
        <w:t>final quarter of 2019, linked to budget strategy which will set out clear objectives.</w:t>
      </w:r>
    </w:p>
    <w:p w14:paraId="04376109" w14:textId="77777777" w:rsidR="00EE743A" w:rsidRDefault="0003741B" w:rsidP="00EE743A">
      <w:pPr>
        <w:pStyle w:val="CommentText"/>
        <w:numPr>
          <w:ilvl w:val="0"/>
          <w:numId w:val="41"/>
        </w:numPr>
        <w:spacing w:before="0"/>
        <w:rPr>
          <w:sz w:val="22"/>
          <w:szCs w:val="22"/>
        </w:rPr>
      </w:pPr>
      <w:r>
        <w:rPr>
          <w:sz w:val="22"/>
          <w:szCs w:val="22"/>
        </w:rPr>
        <w:t>C</w:t>
      </w:r>
      <w:r w:rsidR="00EE743A">
        <w:rPr>
          <w:sz w:val="22"/>
          <w:szCs w:val="22"/>
        </w:rPr>
        <w:t xml:space="preserve">ontinue to </w:t>
      </w:r>
      <w:r w:rsidR="00EE743A" w:rsidRPr="00F64E74">
        <w:rPr>
          <w:sz w:val="22"/>
          <w:szCs w:val="22"/>
        </w:rPr>
        <w:t xml:space="preserve">strengthen </w:t>
      </w:r>
      <w:r w:rsidR="00C33A5F">
        <w:rPr>
          <w:sz w:val="22"/>
          <w:szCs w:val="22"/>
        </w:rPr>
        <w:t xml:space="preserve">DFAT’s </w:t>
      </w:r>
      <w:r w:rsidR="00EE743A" w:rsidRPr="00F64E74">
        <w:rPr>
          <w:sz w:val="22"/>
          <w:szCs w:val="22"/>
        </w:rPr>
        <w:t>bilateral and regional aid program coordination, alignment and synergies</w:t>
      </w:r>
      <w:r w:rsidR="00D819AE">
        <w:rPr>
          <w:sz w:val="22"/>
          <w:szCs w:val="22"/>
        </w:rPr>
        <w:t xml:space="preserve">, including through </w:t>
      </w:r>
      <w:r w:rsidR="00DB7B5F">
        <w:rPr>
          <w:sz w:val="22"/>
          <w:szCs w:val="22"/>
        </w:rPr>
        <w:t xml:space="preserve">the new </w:t>
      </w:r>
      <w:r w:rsidR="00D819AE">
        <w:rPr>
          <w:sz w:val="22"/>
          <w:szCs w:val="22"/>
        </w:rPr>
        <w:t>AIP to outline how we focus efforts on coherence</w:t>
      </w:r>
      <w:r w:rsidR="00EE743A" w:rsidRPr="00F64E74">
        <w:rPr>
          <w:sz w:val="22"/>
          <w:szCs w:val="22"/>
        </w:rPr>
        <w:t>.</w:t>
      </w:r>
    </w:p>
    <w:p w14:paraId="5B9248C5" w14:textId="77777777" w:rsidR="00B34BD9" w:rsidRDefault="00B34BD9" w:rsidP="00EE743A">
      <w:pPr>
        <w:pStyle w:val="CommentText"/>
        <w:numPr>
          <w:ilvl w:val="0"/>
          <w:numId w:val="41"/>
        </w:numPr>
        <w:spacing w:before="0"/>
        <w:rPr>
          <w:sz w:val="22"/>
          <w:szCs w:val="22"/>
        </w:rPr>
      </w:pPr>
      <w:r>
        <w:rPr>
          <w:sz w:val="22"/>
          <w:szCs w:val="22"/>
        </w:rPr>
        <w:t>Continue to intensify Australia’s whole of government collaboration with Pacific governments, regional organisations and institutions with a focus on economic growth, human development and enhanced regionalism</w:t>
      </w:r>
      <w:r w:rsidR="00DB7B5F">
        <w:rPr>
          <w:sz w:val="22"/>
          <w:szCs w:val="22"/>
        </w:rPr>
        <w:t>, including through strengthening alignment with Pacific processes</w:t>
      </w:r>
      <w:r w:rsidR="00C33A5F">
        <w:rPr>
          <w:sz w:val="22"/>
          <w:szCs w:val="22"/>
        </w:rPr>
        <w:t xml:space="preserve"> and plans</w:t>
      </w:r>
      <w:r>
        <w:rPr>
          <w:sz w:val="22"/>
          <w:szCs w:val="22"/>
        </w:rPr>
        <w:t>.</w:t>
      </w:r>
    </w:p>
    <w:p w14:paraId="15FE97BE" w14:textId="77777777" w:rsidR="00B34BD9" w:rsidRDefault="00613C6C" w:rsidP="00DB7B5F">
      <w:pPr>
        <w:pStyle w:val="CommentText"/>
        <w:numPr>
          <w:ilvl w:val="0"/>
          <w:numId w:val="41"/>
        </w:numPr>
        <w:spacing w:before="0"/>
        <w:rPr>
          <w:sz w:val="22"/>
          <w:szCs w:val="22"/>
        </w:rPr>
      </w:pPr>
      <w:r w:rsidRPr="00B34BD9">
        <w:rPr>
          <w:sz w:val="22"/>
          <w:szCs w:val="22"/>
        </w:rPr>
        <w:t xml:space="preserve">Work with regional programs to </w:t>
      </w:r>
      <w:r w:rsidRPr="00DB7B5F">
        <w:rPr>
          <w:sz w:val="22"/>
          <w:szCs w:val="22"/>
        </w:rPr>
        <w:t xml:space="preserve">improve performance on gender equality, with a focus on larger investments. </w:t>
      </w:r>
    </w:p>
    <w:p w14:paraId="63101642" w14:textId="77777777" w:rsidR="00DB7B5F" w:rsidRDefault="00DB7B5F" w:rsidP="0063700C">
      <w:pPr>
        <w:pStyle w:val="CommentText"/>
        <w:spacing w:before="0"/>
        <w:ind w:left="720"/>
        <w:rPr>
          <w:sz w:val="22"/>
          <w:szCs w:val="22"/>
        </w:rPr>
      </w:pPr>
    </w:p>
    <w:p w14:paraId="7B32D1B1" w14:textId="77777777" w:rsidR="00B34BD9" w:rsidRDefault="00B34BD9" w:rsidP="0063700C">
      <w:pPr>
        <w:pStyle w:val="CommentText"/>
        <w:spacing w:before="0"/>
        <w:ind w:left="720"/>
        <w:rPr>
          <w:sz w:val="22"/>
          <w:szCs w:val="22"/>
        </w:rPr>
      </w:pPr>
    </w:p>
    <w:p w14:paraId="67A36CD5" w14:textId="77777777" w:rsidR="00B34BD9" w:rsidRDefault="00B34BD9" w:rsidP="0063700C">
      <w:pPr>
        <w:pStyle w:val="CommentText"/>
        <w:spacing w:before="0"/>
        <w:rPr>
          <w:sz w:val="22"/>
          <w:szCs w:val="22"/>
        </w:rPr>
      </w:pPr>
    </w:p>
    <w:p w14:paraId="03931933" w14:textId="77777777" w:rsidR="00B34BD9" w:rsidRDefault="00B34BD9" w:rsidP="00B34BD9">
      <w:pPr>
        <w:pStyle w:val="CommentText"/>
        <w:spacing w:before="0"/>
        <w:ind w:left="360"/>
        <w:rPr>
          <w:sz w:val="22"/>
          <w:szCs w:val="22"/>
        </w:rPr>
        <w:sectPr w:rsidR="00B34BD9" w:rsidSect="00CD52A4">
          <w:pgSz w:w="11906" w:h="16838" w:code="9"/>
          <w:pgMar w:top="1527" w:right="1134" w:bottom="1276" w:left="1134" w:header="1418" w:footer="567" w:gutter="0"/>
          <w:cols w:space="397"/>
          <w:docGrid w:linePitch="360"/>
        </w:sectPr>
      </w:pPr>
    </w:p>
    <w:p w14:paraId="3D3A69A2" w14:textId="77777777" w:rsidR="00B34BD9" w:rsidRPr="004256A1" w:rsidRDefault="00B34BD9" w:rsidP="00B34BD9">
      <w:pPr>
        <w:rPr>
          <w:b/>
        </w:rPr>
      </w:pPr>
      <w:r w:rsidRPr="004256A1">
        <w:rPr>
          <w:b/>
        </w:rPr>
        <w:t xml:space="preserve">Operational Management Actions </w:t>
      </w:r>
      <w:r>
        <w:t>identified for the coming year are:</w:t>
      </w:r>
    </w:p>
    <w:tbl>
      <w:tblPr>
        <w:tblStyle w:val="TableGrid"/>
        <w:tblW w:w="14170" w:type="dxa"/>
        <w:tblLook w:val="04A0" w:firstRow="1" w:lastRow="0" w:firstColumn="1" w:lastColumn="0" w:noHBand="0" w:noVBand="1"/>
      </w:tblPr>
      <w:tblGrid>
        <w:gridCol w:w="1838"/>
        <w:gridCol w:w="1559"/>
        <w:gridCol w:w="10773"/>
      </w:tblGrid>
      <w:tr w:rsidR="00B34BD9" w14:paraId="2D3CD7E9" w14:textId="77777777" w:rsidTr="00824AB9">
        <w:tc>
          <w:tcPr>
            <w:tcW w:w="1838" w:type="dxa"/>
          </w:tcPr>
          <w:p w14:paraId="04F336DC" w14:textId="77777777" w:rsidR="00B34BD9" w:rsidRPr="00824AB9" w:rsidRDefault="00B34BD9" w:rsidP="005E0D97">
            <w:pPr>
              <w:rPr>
                <w:b/>
              </w:rPr>
            </w:pPr>
            <w:r w:rsidRPr="00824AB9">
              <w:rPr>
                <w:b/>
              </w:rPr>
              <w:t>Objective</w:t>
            </w:r>
          </w:p>
        </w:tc>
        <w:tc>
          <w:tcPr>
            <w:tcW w:w="1559" w:type="dxa"/>
          </w:tcPr>
          <w:p w14:paraId="018C4295" w14:textId="77777777" w:rsidR="00B34BD9" w:rsidRPr="00824AB9" w:rsidRDefault="00B34BD9" w:rsidP="005E0D97">
            <w:pPr>
              <w:rPr>
                <w:b/>
              </w:rPr>
            </w:pPr>
            <w:r w:rsidRPr="00824AB9">
              <w:rPr>
                <w:b/>
              </w:rPr>
              <w:t>Program</w:t>
            </w:r>
          </w:p>
        </w:tc>
        <w:tc>
          <w:tcPr>
            <w:tcW w:w="10773" w:type="dxa"/>
          </w:tcPr>
          <w:p w14:paraId="7CE30B7E" w14:textId="77777777" w:rsidR="00B34BD9" w:rsidRPr="00824AB9" w:rsidRDefault="00B34BD9" w:rsidP="005E0D97">
            <w:pPr>
              <w:rPr>
                <w:b/>
              </w:rPr>
            </w:pPr>
            <w:r w:rsidRPr="00824AB9">
              <w:rPr>
                <w:b/>
              </w:rPr>
              <w:t>Management Action</w:t>
            </w:r>
          </w:p>
        </w:tc>
      </w:tr>
      <w:tr w:rsidR="00B34BD9" w14:paraId="663771CA" w14:textId="77777777" w:rsidTr="00824AB9">
        <w:tc>
          <w:tcPr>
            <w:tcW w:w="1838" w:type="dxa"/>
          </w:tcPr>
          <w:p w14:paraId="1233E3AF" w14:textId="77777777" w:rsidR="00B34BD9" w:rsidRPr="00501F47" w:rsidRDefault="00B34BD9" w:rsidP="005E0D97">
            <w:pPr>
              <w:pStyle w:val="TableTextEntries"/>
              <w:rPr>
                <w:rFonts w:asciiTheme="minorHAnsi" w:eastAsiaTheme="minorHAnsi" w:hAnsiTheme="minorHAnsi" w:cstheme="minorBidi"/>
                <w:iCs w:val="0"/>
                <w:color w:val="495965" w:themeColor="text2"/>
                <w:sz w:val="22"/>
                <w:szCs w:val="22"/>
                <w:lang w:val="en-GB"/>
              </w:rPr>
            </w:pPr>
            <w:r w:rsidRPr="00501F47">
              <w:rPr>
                <w:rFonts w:asciiTheme="minorHAnsi" w:eastAsiaTheme="minorHAnsi" w:hAnsiTheme="minorHAnsi" w:cstheme="minorBidi"/>
                <w:iCs w:val="0"/>
                <w:color w:val="495965" w:themeColor="text2"/>
                <w:sz w:val="22"/>
                <w:szCs w:val="22"/>
                <w:lang w:val="en-GB"/>
              </w:rPr>
              <w:t>Objective 1 – Economic Growth</w:t>
            </w:r>
          </w:p>
        </w:tc>
        <w:tc>
          <w:tcPr>
            <w:tcW w:w="1559" w:type="dxa"/>
          </w:tcPr>
          <w:p w14:paraId="6BB26279" w14:textId="77777777" w:rsidR="00B34BD9" w:rsidRPr="001B5CAD" w:rsidRDefault="00B34BD9" w:rsidP="005E0D97">
            <w:r w:rsidRPr="001B5CAD">
              <w:t>Infrastructure</w:t>
            </w:r>
          </w:p>
        </w:tc>
        <w:tc>
          <w:tcPr>
            <w:tcW w:w="10773" w:type="dxa"/>
          </w:tcPr>
          <w:p w14:paraId="3578BB1C" w14:textId="2E950E57" w:rsidR="00C33A5F" w:rsidRPr="0063700C" w:rsidRDefault="00F11FE0" w:rsidP="00824AB9">
            <w:pPr>
              <w:pStyle w:val="CommentText"/>
              <w:numPr>
                <w:ilvl w:val="0"/>
                <w:numId w:val="38"/>
              </w:numPr>
              <w:spacing w:before="0"/>
              <w:ind w:left="318" w:hanging="290"/>
            </w:pPr>
            <w:r>
              <w:rPr>
                <w:sz w:val="22"/>
                <w:szCs w:val="22"/>
              </w:rPr>
              <w:t>Promote</w:t>
            </w:r>
            <w:r w:rsidR="00C33A5F" w:rsidRPr="0063700C">
              <w:rPr>
                <w:sz w:val="22"/>
                <w:szCs w:val="22"/>
              </w:rPr>
              <w:t xml:space="preserve"> alignment between AIFFP project pipeline priorit</w:t>
            </w:r>
            <w:r w:rsidR="00B86089">
              <w:rPr>
                <w:sz w:val="22"/>
                <w:szCs w:val="22"/>
              </w:rPr>
              <w:t xml:space="preserve">ies and </w:t>
            </w:r>
            <w:r w:rsidR="00402800">
              <w:rPr>
                <w:sz w:val="22"/>
                <w:szCs w:val="22"/>
              </w:rPr>
              <w:t xml:space="preserve">bilateral </w:t>
            </w:r>
            <w:r w:rsidR="00B86089">
              <w:rPr>
                <w:sz w:val="22"/>
                <w:szCs w:val="22"/>
              </w:rPr>
              <w:t>AIPs.</w:t>
            </w:r>
          </w:p>
          <w:p w14:paraId="73AF0473" w14:textId="2753F181" w:rsidR="00C33A5F" w:rsidRPr="0063700C" w:rsidRDefault="00F11FE0" w:rsidP="00824AB9">
            <w:pPr>
              <w:pStyle w:val="CommentText"/>
              <w:numPr>
                <w:ilvl w:val="0"/>
                <w:numId w:val="38"/>
              </w:numPr>
              <w:spacing w:before="0"/>
              <w:ind w:left="318" w:hanging="290"/>
            </w:pPr>
            <w:r>
              <w:rPr>
                <w:sz w:val="22"/>
                <w:szCs w:val="22"/>
              </w:rPr>
              <w:t>Maintain</w:t>
            </w:r>
            <w:r w:rsidRPr="0063700C">
              <w:rPr>
                <w:sz w:val="22"/>
                <w:szCs w:val="22"/>
              </w:rPr>
              <w:t xml:space="preserve"> </w:t>
            </w:r>
            <w:r w:rsidR="00C33A5F" w:rsidRPr="0063700C">
              <w:rPr>
                <w:sz w:val="22"/>
                <w:szCs w:val="22"/>
              </w:rPr>
              <w:t>strong risk systems for managing AIFFP project selection and implementation</w:t>
            </w:r>
            <w:r w:rsidR="00402800">
              <w:rPr>
                <w:sz w:val="22"/>
                <w:szCs w:val="22"/>
              </w:rPr>
              <w:t>.</w:t>
            </w:r>
          </w:p>
          <w:p w14:paraId="1C4AA378" w14:textId="77777777" w:rsidR="00C33A5F" w:rsidRPr="0063700C" w:rsidRDefault="00C33A5F" w:rsidP="00824AB9">
            <w:pPr>
              <w:pStyle w:val="CommentText"/>
              <w:numPr>
                <w:ilvl w:val="0"/>
                <w:numId w:val="38"/>
              </w:numPr>
              <w:spacing w:before="0"/>
              <w:ind w:left="318" w:hanging="290"/>
            </w:pPr>
            <w:r w:rsidRPr="0063700C">
              <w:rPr>
                <w:sz w:val="22"/>
                <w:szCs w:val="22"/>
              </w:rPr>
              <w:t xml:space="preserve">Increase utilisation of Pacific Region Infrastructure Facility (PRIF) sectoral working groups to boost coordination with other likeminded actors in the Pacific. </w:t>
            </w:r>
          </w:p>
          <w:p w14:paraId="766DF773" w14:textId="77777777" w:rsidR="00C33A5F" w:rsidRPr="0063700C" w:rsidRDefault="00C33A5F" w:rsidP="00824AB9">
            <w:pPr>
              <w:pStyle w:val="CommentText"/>
              <w:numPr>
                <w:ilvl w:val="0"/>
                <w:numId w:val="38"/>
              </w:numPr>
              <w:spacing w:before="0"/>
              <w:ind w:left="318" w:hanging="290"/>
            </w:pPr>
            <w:r w:rsidRPr="0063700C">
              <w:rPr>
                <w:sz w:val="22"/>
                <w:szCs w:val="22"/>
              </w:rPr>
              <w:t xml:space="preserve">Gender and social inclusion explicitly considered in the design and implementation of AIFFP projects, drawing on lessons learned from the Coral Sea Cable telecommunications project and other infrastructure investments undertaken by DFAT and other development partners. </w:t>
            </w:r>
          </w:p>
          <w:p w14:paraId="73BAF434" w14:textId="5A64A9CB" w:rsidR="00B34BD9" w:rsidRPr="0063700C" w:rsidRDefault="00C33A5F" w:rsidP="00402800">
            <w:pPr>
              <w:pStyle w:val="CommentText"/>
              <w:numPr>
                <w:ilvl w:val="0"/>
                <w:numId w:val="38"/>
              </w:numPr>
              <w:spacing w:before="0"/>
              <w:ind w:left="318" w:hanging="290"/>
              <w:rPr>
                <w:sz w:val="22"/>
                <w:szCs w:val="22"/>
              </w:rPr>
            </w:pPr>
            <w:r w:rsidRPr="0063700C">
              <w:rPr>
                <w:sz w:val="22"/>
                <w:szCs w:val="22"/>
              </w:rPr>
              <w:t xml:space="preserve">Consider opportunities to maximise the development impact of the cable through the PNG and Solomon Islands </w:t>
            </w:r>
            <w:r w:rsidR="00402800">
              <w:rPr>
                <w:sz w:val="22"/>
                <w:szCs w:val="22"/>
              </w:rPr>
              <w:t xml:space="preserve">AIPs </w:t>
            </w:r>
            <w:r w:rsidRPr="0063700C">
              <w:rPr>
                <w:sz w:val="22"/>
                <w:szCs w:val="22"/>
              </w:rPr>
              <w:t>currently being developed, and major aid program designs.</w:t>
            </w:r>
          </w:p>
        </w:tc>
      </w:tr>
      <w:tr w:rsidR="00B34BD9" w14:paraId="26E24A77" w14:textId="77777777" w:rsidTr="00824AB9">
        <w:tc>
          <w:tcPr>
            <w:tcW w:w="1838" w:type="dxa"/>
          </w:tcPr>
          <w:p w14:paraId="781538CF" w14:textId="77777777" w:rsidR="00B34BD9" w:rsidRPr="00812509" w:rsidRDefault="00B34BD9" w:rsidP="005E0D97">
            <w:pPr>
              <w:pStyle w:val="TableTextEntries"/>
              <w:rPr>
                <w:rFonts w:asciiTheme="minorHAnsi" w:hAnsiTheme="minorHAnsi"/>
              </w:rPr>
            </w:pPr>
          </w:p>
        </w:tc>
        <w:tc>
          <w:tcPr>
            <w:tcW w:w="1559" w:type="dxa"/>
          </w:tcPr>
          <w:p w14:paraId="613142A7" w14:textId="77777777" w:rsidR="00B34BD9" w:rsidRPr="001B5CAD" w:rsidRDefault="00B34BD9" w:rsidP="005E0D97">
            <w:r w:rsidRPr="001B5CAD">
              <w:t>Pacific Labour Mobility</w:t>
            </w:r>
          </w:p>
        </w:tc>
        <w:tc>
          <w:tcPr>
            <w:tcW w:w="10773" w:type="dxa"/>
          </w:tcPr>
          <w:p w14:paraId="39D6D869" w14:textId="77777777" w:rsidR="00B34BD9" w:rsidRPr="00152335" w:rsidRDefault="00B34BD9" w:rsidP="00824AB9">
            <w:pPr>
              <w:pStyle w:val="CommentText"/>
              <w:numPr>
                <w:ilvl w:val="0"/>
                <w:numId w:val="38"/>
              </w:numPr>
              <w:spacing w:before="0"/>
              <w:ind w:left="318" w:hanging="290"/>
              <w:rPr>
                <w:sz w:val="22"/>
                <w:szCs w:val="22"/>
              </w:rPr>
            </w:pPr>
            <w:r>
              <w:rPr>
                <w:sz w:val="22"/>
                <w:szCs w:val="22"/>
              </w:rPr>
              <w:t>C</w:t>
            </w:r>
            <w:r w:rsidRPr="00152335">
              <w:rPr>
                <w:sz w:val="22"/>
                <w:szCs w:val="22"/>
              </w:rPr>
              <w:t xml:space="preserve">ontinue to balance </w:t>
            </w:r>
            <w:r>
              <w:rPr>
                <w:sz w:val="22"/>
                <w:szCs w:val="22"/>
              </w:rPr>
              <w:t xml:space="preserve">Pacific Labour </w:t>
            </w:r>
            <w:r w:rsidRPr="00152335">
              <w:rPr>
                <w:sz w:val="22"/>
                <w:szCs w:val="22"/>
              </w:rPr>
              <w:t xml:space="preserve">Scheme </w:t>
            </w:r>
            <w:r>
              <w:rPr>
                <w:sz w:val="22"/>
                <w:szCs w:val="22"/>
              </w:rPr>
              <w:t xml:space="preserve">(PLS) </w:t>
            </w:r>
            <w:r w:rsidRPr="00152335">
              <w:rPr>
                <w:sz w:val="22"/>
                <w:szCs w:val="22"/>
              </w:rPr>
              <w:t>growth with effective risk management.</w:t>
            </w:r>
          </w:p>
          <w:p w14:paraId="02390286" w14:textId="77777777" w:rsidR="00B34BD9" w:rsidRPr="00152335" w:rsidRDefault="00B34BD9" w:rsidP="00824AB9">
            <w:pPr>
              <w:pStyle w:val="CommentText"/>
              <w:numPr>
                <w:ilvl w:val="0"/>
                <w:numId w:val="38"/>
              </w:numPr>
              <w:spacing w:before="0"/>
              <w:ind w:left="318" w:hanging="290"/>
              <w:rPr>
                <w:sz w:val="22"/>
                <w:szCs w:val="22"/>
              </w:rPr>
            </w:pPr>
            <w:r w:rsidRPr="00152335">
              <w:rPr>
                <w:sz w:val="22"/>
                <w:szCs w:val="22"/>
              </w:rPr>
              <w:t>Continue to strengthen links between skills programs and PLS</w:t>
            </w:r>
            <w:r>
              <w:rPr>
                <w:sz w:val="22"/>
                <w:szCs w:val="22"/>
              </w:rPr>
              <w:t>.</w:t>
            </w:r>
          </w:p>
          <w:p w14:paraId="60228201" w14:textId="62D2B8F8" w:rsidR="00B34BD9" w:rsidRPr="008E2103" w:rsidRDefault="00F11FE0" w:rsidP="00824AB9">
            <w:pPr>
              <w:pStyle w:val="CommentText"/>
              <w:numPr>
                <w:ilvl w:val="0"/>
                <w:numId w:val="38"/>
              </w:numPr>
              <w:spacing w:before="0"/>
              <w:ind w:left="318" w:hanging="290"/>
              <w:rPr>
                <w:sz w:val="22"/>
                <w:szCs w:val="22"/>
              </w:rPr>
            </w:pPr>
            <w:r>
              <w:rPr>
                <w:sz w:val="22"/>
                <w:szCs w:val="22"/>
              </w:rPr>
              <w:t>Continue</w:t>
            </w:r>
            <w:r w:rsidR="00B34BD9" w:rsidRPr="00152335">
              <w:rPr>
                <w:sz w:val="22"/>
                <w:szCs w:val="22"/>
              </w:rPr>
              <w:t xml:space="preserve"> research agenda to inform worker welfare</w:t>
            </w:r>
            <w:r w:rsidR="00B34BD9">
              <w:rPr>
                <w:sz w:val="22"/>
                <w:szCs w:val="22"/>
              </w:rPr>
              <w:t>.</w:t>
            </w:r>
          </w:p>
        </w:tc>
      </w:tr>
      <w:tr w:rsidR="00B34BD9" w14:paraId="02A10368" w14:textId="77777777" w:rsidTr="00824AB9">
        <w:tc>
          <w:tcPr>
            <w:tcW w:w="1838" w:type="dxa"/>
          </w:tcPr>
          <w:p w14:paraId="524F8980" w14:textId="77777777" w:rsidR="00B34BD9" w:rsidRPr="00812509" w:rsidRDefault="00B34BD9" w:rsidP="005E0D97">
            <w:pPr>
              <w:pStyle w:val="TableTextEntries"/>
              <w:rPr>
                <w:rFonts w:asciiTheme="minorHAnsi" w:hAnsiTheme="minorHAnsi"/>
              </w:rPr>
            </w:pPr>
          </w:p>
        </w:tc>
        <w:tc>
          <w:tcPr>
            <w:tcW w:w="1559" w:type="dxa"/>
          </w:tcPr>
          <w:p w14:paraId="505ADE46" w14:textId="77777777" w:rsidR="00B34BD9" w:rsidRPr="001B5CAD" w:rsidRDefault="00B34BD9" w:rsidP="005E0D97">
            <w:r w:rsidRPr="001B5CAD">
              <w:t>Trade and Private Sector</w:t>
            </w:r>
          </w:p>
        </w:tc>
        <w:tc>
          <w:tcPr>
            <w:tcW w:w="10773" w:type="dxa"/>
          </w:tcPr>
          <w:p w14:paraId="490DF70D" w14:textId="5DE6A5A7" w:rsidR="00C33A5F" w:rsidRDefault="00C33A5F" w:rsidP="00824AB9">
            <w:pPr>
              <w:pStyle w:val="CommentText"/>
              <w:numPr>
                <w:ilvl w:val="0"/>
                <w:numId w:val="38"/>
              </w:numPr>
              <w:suppressAutoHyphens w:val="0"/>
              <w:spacing w:before="0"/>
              <w:ind w:left="318" w:hanging="290"/>
              <w:rPr>
                <w:color w:val="44546A"/>
                <w:sz w:val="22"/>
                <w:szCs w:val="22"/>
              </w:rPr>
            </w:pPr>
            <w:r>
              <w:rPr>
                <w:sz w:val="22"/>
                <w:szCs w:val="22"/>
              </w:rPr>
              <w:t xml:space="preserve">Continued focus on Pacific </w:t>
            </w:r>
            <w:r w:rsidR="00402800">
              <w:rPr>
                <w:sz w:val="22"/>
                <w:szCs w:val="22"/>
              </w:rPr>
              <w:t>i</w:t>
            </w:r>
            <w:r>
              <w:rPr>
                <w:sz w:val="22"/>
                <w:szCs w:val="22"/>
              </w:rPr>
              <w:t xml:space="preserve">sland </w:t>
            </w:r>
            <w:r w:rsidR="00402800">
              <w:rPr>
                <w:sz w:val="22"/>
                <w:szCs w:val="22"/>
              </w:rPr>
              <w:t>c</w:t>
            </w:r>
            <w:r>
              <w:rPr>
                <w:sz w:val="22"/>
                <w:szCs w:val="22"/>
              </w:rPr>
              <w:t>ountry needs in terms of ratification of PACER Plus; Ensure strong ownership by PICs in the design of the PACER Plus implementation unit and assistance package</w:t>
            </w:r>
            <w:r w:rsidR="00B86089">
              <w:rPr>
                <w:sz w:val="22"/>
                <w:szCs w:val="22"/>
              </w:rPr>
              <w:t>.</w:t>
            </w:r>
          </w:p>
          <w:p w14:paraId="37CB7C79" w14:textId="77777777" w:rsidR="00C33A5F" w:rsidRDefault="00C33A5F" w:rsidP="00824AB9">
            <w:pPr>
              <w:pStyle w:val="CommentText"/>
              <w:numPr>
                <w:ilvl w:val="0"/>
                <w:numId w:val="38"/>
              </w:numPr>
              <w:suppressAutoHyphens w:val="0"/>
              <w:spacing w:before="0"/>
              <w:ind w:left="318" w:hanging="290"/>
              <w:rPr>
                <w:sz w:val="22"/>
                <w:szCs w:val="22"/>
              </w:rPr>
            </w:pPr>
            <w:r>
              <w:rPr>
                <w:sz w:val="22"/>
                <w:szCs w:val="22"/>
              </w:rPr>
              <w:t>Continue to work with Multilateral Development Banks to maximise PIC access to concessional</w:t>
            </w:r>
            <w:r w:rsidR="00B86089">
              <w:rPr>
                <w:sz w:val="22"/>
                <w:szCs w:val="22"/>
              </w:rPr>
              <w:t xml:space="preserve"> development finance and grants.</w:t>
            </w:r>
          </w:p>
          <w:p w14:paraId="14730421" w14:textId="77777777" w:rsidR="00C33A5F" w:rsidRDefault="00C33A5F" w:rsidP="00824AB9">
            <w:pPr>
              <w:pStyle w:val="CommentText"/>
              <w:numPr>
                <w:ilvl w:val="0"/>
                <w:numId w:val="38"/>
              </w:numPr>
              <w:suppressAutoHyphens w:val="0"/>
              <w:spacing w:before="0"/>
              <w:ind w:left="318" w:hanging="290"/>
              <w:rPr>
                <w:sz w:val="22"/>
                <w:szCs w:val="22"/>
              </w:rPr>
            </w:pPr>
            <w:r>
              <w:rPr>
                <w:sz w:val="22"/>
                <w:szCs w:val="22"/>
              </w:rPr>
              <w:t>Work with the IFC to undertake a broad review of the second IFC Pacific Partnership. The review will also consider how the Pacific Partnership relates to the bilateral partnership with Fiji and Papua New Guinea.</w:t>
            </w:r>
          </w:p>
          <w:p w14:paraId="1B72151F" w14:textId="77777777" w:rsidR="00B34BD9" w:rsidRPr="004256A1" w:rsidRDefault="00C33A5F" w:rsidP="00824AB9">
            <w:pPr>
              <w:pStyle w:val="CommentText"/>
              <w:numPr>
                <w:ilvl w:val="0"/>
                <w:numId w:val="38"/>
              </w:numPr>
              <w:spacing w:before="0"/>
              <w:ind w:left="318" w:hanging="290"/>
              <w:rPr>
                <w:sz w:val="22"/>
                <w:szCs w:val="22"/>
              </w:rPr>
            </w:pPr>
            <w:r w:rsidRPr="007310B2">
              <w:rPr>
                <w:sz w:val="22"/>
                <w:szCs w:val="22"/>
              </w:rPr>
              <w:t>Work closely with ANU to continue to improve performance of the Asia-Pacific Data for Development Initiative</w:t>
            </w:r>
            <w:r w:rsidR="00B86089" w:rsidRPr="007310B2">
              <w:rPr>
                <w:sz w:val="22"/>
                <w:szCs w:val="22"/>
              </w:rPr>
              <w:t>.</w:t>
            </w:r>
          </w:p>
        </w:tc>
      </w:tr>
      <w:tr w:rsidR="00B34BD9" w14:paraId="3DFD93D3" w14:textId="77777777" w:rsidTr="00824AB9">
        <w:tc>
          <w:tcPr>
            <w:tcW w:w="1838" w:type="dxa"/>
          </w:tcPr>
          <w:p w14:paraId="760C68A5" w14:textId="77777777" w:rsidR="00B34BD9" w:rsidRPr="00812509" w:rsidRDefault="00B34BD9" w:rsidP="005E0D97">
            <w:pPr>
              <w:pStyle w:val="TableTextEntries"/>
              <w:rPr>
                <w:rFonts w:asciiTheme="minorHAnsi" w:hAnsiTheme="minorHAnsi"/>
              </w:rPr>
            </w:pPr>
          </w:p>
        </w:tc>
        <w:tc>
          <w:tcPr>
            <w:tcW w:w="1559" w:type="dxa"/>
          </w:tcPr>
          <w:p w14:paraId="5517872A" w14:textId="77777777" w:rsidR="00B34BD9" w:rsidRPr="001B5CAD" w:rsidRDefault="00B34BD9" w:rsidP="005E0D97">
            <w:r w:rsidRPr="001B5CAD">
              <w:t>Education and Skills</w:t>
            </w:r>
          </w:p>
        </w:tc>
        <w:tc>
          <w:tcPr>
            <w:tcW w:w="10773" w:type="dxa"/>
          </w:tcPr>
          <w:p w14:paraId="02A94588" w14:textId="77777777" w:rsidR="0063700C" w:rsidRPr="00B86089" w:rsidRDefault="0063700C" w:rsidP="00824AB9">
            <w:pPr>
              <w:pStyle w:val="CommentText"/>
              <w:numPr>
                <w:ilvl w:val="0"/>
                <w:numId w:val="38"/>
              </w:numPr>
              <w:spacing w:before="0"/>
              <w:ind w:left="318" w:hanging="290"/>
              <w:rPr>
                <w:sz w:val="22"/>
                <w:szCs w:val="22"/>
              </w:rPr>
            </w:pPr>
            <w:r w:rsidRPr="00B86089">
              <w:rPr>
                <w:sz w:val="22"/>
                <w:szCs w:val="22"/>
              </w:rPr>
              <w:t>Support Pacific partners to respond to the recent PILNA literacy and numeracy data with a view to improving education pathways between primary and secondary levels for Pacific students</w:t>
            </w:r>
            <w:r w:rsidR="00B86089">
              <w:rPr>
                <w:sz w:val="22"/>
                <w:szCs w:val="22"/>
              </w:rPr>
              <w:t>.</w:t>
            </w:r>
          </w:p>
          <w:p w14:paraId="32DD1BC5" w14:textId="77777777" w:rsidR="0063700C" w:rsidRPr="00B86089" w:rsidRDefault="0063700C" w:rsidP="00824AB9">
            <w:pPr>
              <w:pStyle w:val="CommentText"/>
              <w:numPr>
                <w:ilvl w:val="0"/>
                <w:numId w:val="38"/>
              </w:numPr>
              <w:spacing w:before="0"/>
              <w:ind w:left="318" w:hanging="290"/>
              <w:rPr>
                <w:sz w:val="22"/>
                <w:szCs w:val="22"/>
              </w:rPr>
            </w:pPr>
            <w:r w:rsidRPr="00B86089">
              <w:rPr>
                <w:sz w:val="22"/>
                <w:szCs w:val="22"/>
              </w:rPr>
              <w:t>Leveraging the PLF and APTC3 to enhance Pacific engagement in Australia’s labour market</w:t>
            </w:r>
          </w:p>
          <w:p w14:paraId="677F123C" w14:textId="77777777" w:rsidR="00DB7B5F" w:rsidRPr="00B86089" w:rsidRDefault="00DB7B5F" w:rsidP="00824AB9">
            <w:pPr>
              <w:pStyle w:val="CommentText"/>
              <w:numPr>
                <w:ilvl w:val="0"/>
                <w:numId w:val="38"/>
              </w:numPr>
              <w:spacing w:before="0"/>
              <w:ind w:left="318" w:hanging="290"/>
              <w:rPr>
                <w:sz w:val="22"/>
                <w:szCs w:val="22"/>
              </w:rPr>
            </w:pPr>
            <w:r w:rsidRPr="00B86089">
              <w:rPr>
                <w:sz w:val="22"/>
                <w:szCs w:val="22"/>
              </w:rPr>
              <w:t>Work towards greater alignment of DFAT’s regional and bilateral education and skills investments in line with the Pacific Regional Education Framework and APTC 3 objectives.</w:t>
            </w:r>
          </w:p>
          <w:p w14:paraId="10EB6516" w14:textId="77777777" w:rsidR="00DB7B5F" w:rsidRPr="00B86089" w:rsidRDefault="00DB7B5F" w:rsidP="00824AB9">
            <w:pPr>
              <w:pStyle w:val="CommentText"/>
              <w:numPr>
                <w:ilvl w:val="0"/>
                <w:numId w:val="38"/>
              </w:numPr>
              <w:spacing w:before="0"/>
              <w:ind w:left="318" w:hanging="290"/>
              <w:rPr>
                <w:sz w:val="22"/>
                <w:szCs w:val="22"/>
              </w:rPr>
            </w:pPr>
            <w:r w:rsidRPr="00B86089">
              <w:rPr>
                <w:sz w:val="22"/>
                <w:szCs w:val="22"/>
              </w:rPr>
              <w:t>Support the University of the South Pacific to implement findings of its review of the school of education</w:t>
            </w:r>
            <w:r w:rsidR="00B86089">
              <w:rPr>
                <w:sz w:val="22"/>
                <w:szCs w:val="22"/>
              </w:rPr>
              <w:t>.</w:t>
            </w:r>
            <w:r w:rsidRPr="00B86089">
              <w:rPr>
                <w:sz w:val="22"/>
                <w:szCs w:val="22"/>
              </w:rPr>
              <w:t xml:space="preserve"> </w:t>
            </w:r>
          </w:p>
          <w:p w14:paraId="3191B5F0" w14:textId="77777777" w:rsidR="00B34BD9" w:rsidRPr="00B86089" w:rsidRDefault="00DB7B5F" w:rsidP="00824AB9">
            <w:pPr>
              <w:pStyle w:val="CommentText"/>
              <w:numPr>
                <w:ilvl w:val="0"/>
                <w:numId w:val="38"/>
              </w:numPr>
              <w:spacing w:before="0"/>
              <w:ind w:left="318" w:hanging="290"/>
              <w:rPr>
                <w:sz w:val="22"/>
                <w:szCs w:val="22"/>
              </w:rPr>
            </w:pPr>
            <w:r w:rsidRPr="00B86089">
              <w:rPr>
                <w:sz w:val="22"/>
                <w:szCs w:val="22"/>
              </w:rPr>
              <w:t>Explore opportunities for greater collaboration between APTC3 and PLF on employment pathways for graduates</w:t>
            </w:r>
            <w:r w:rsidR="00B86089">
              <w:rPr>
                <w:sz w:val="22"/>
                <w:szCs w:val="22"/>
              </w:rPr>
              <w:t>.</w:t>
            </w:r>
          </w:p>
        </w:tc>
      </w:tr>
      <w:tr w:rsidR="00B34BD9" w14:paraId="5BC58722" w14:textId="77777777" w:rsidTr="00824AB9">
        <w:tc>
          <w:tcPr>
            <w:tcW w:w="1838" w:type="dxa"/>
          </w:tcPr>
          <w:p w14:paraId="441CE51C" w14:textId="77777777" w:rsidR="00B34BD9" w:rsidRPr="00812509" w:rsidRDefault="00B34BD9" w:rsidP="005E0D97">
            <w:pPr>
              <w:pStyle w:val="TableTextEntries"/>
              <w:rPr>
                <w:rFonts w:asciiTheme="minorHAnsi" w:hAnsiTheme="minorHAnsi"/>
              </w:rPr>
            </w:pPr>
            <w:r w:rsidRPr="005A3F43">
              <w:rPr>
                <w:rFonts w:asciiTheme="minorHAnsi" w:eastAsiaTheme="minorHAnsi" w:hAnsiTheme="minorHAnsi" w:cstheme="minorBidi"/>
                <w:iCs w:val="0"/>
                <w:color w:val="495965" w:themeColor="text2"/>
                <w:sz w:val="22"/>
                <w:szCs w:val="22"/>
                <w:lang w:val="en-GB"/>
              </w:rPr>
              <w:t>Objective 2 - Effective Regional Institutions</w:t>
            </w:r>
          </w:p>
        </w:tc>
        <w:tc>
          <w:tcPr>
            <w:tcW w:w="1559" w:type="dxa"/>
          </w:tcPr>
          <w:p w14:paraId="238E4CBF" w14:textId="77777777" w:rsidR="00B34BD9" w:rsidRPr="001B5CAD" w:rsidRDefault="00B34BD9" w:rsidP="005E0D97"/>
        </w:tc>
        <w:tc>
          <w:tcPr>
            <w:tcW w:w="10773" w:type="dxa"/>
          </w:tcPr>
          <w:p w14:paraId="2523129B" w14:textId="77777777" w:rsidR="00824AB9" w:rsidRPr="00824AB9" w:rsidRDefault="00824AB9" w:rsidP="00824AB9">
            <w:pPr>
              <w:pStyle w:val="ListParagraph"/>
              <w:numPr>
                <w:ilvl w:val="0"/>
                <w:numId w:val="38"/>
              </w:numPr>
              <w:ind w:left="318" w:hanging="290"/>
              <w:rPr>
                <w:rFonts w:asciiTheme="minorHAnsi" w:eastAsiaTheme="minorHAnsi" w:hAnsiTheme="minorHAnsi" w:cstheme="minorBidi"/>
                <w:color w:val="495965" w:themeColor="text2"/>
                <w:sz w:val="22"/>
                <w:szCs w:val="22"/>
              </w:rPr>
            </w:pPr>
            <w:r w:rsidRPr="00824AB9">
              <w:rPr>
                <w:rFonts w:asciiTheme="minorHAnsi" w:eastAsiaTheme="minorHAnsi" w:hAnsiTheme="minorHAnsi" w:cstheme="minorBidi"/>
                <w:color w:val="495965" w:themeColor="text2"/>
                <w:sz w:val="22"/>
                <w:szCs w:val="22"/>
              </w:rPr>
              <w:t>Work with other PIF members and the Secretariat to strengthen arrangements for the PIF leaders’ meeting and associated events.</w:t>
            </w:r>
          </w:p>
          <w:p w14:paraId="4D8D8845" w14:textId="77777777" w:rsidR="00B34BD9" w:rsidRPr="001B5CAD" w:rsidRDefault="00B34BD9" w:rsidP="00824AB9">
            <w:pPr>
              <w:pStyle w:val="CommentText"/>
              <w:numPr>
                <w:ilvl w:val="0"/>
                <w:numId w:val="38"/>
              </w:numPr>
              <w:spacing w:before="0"/>
              <w:ind w:left="318" w:hanging="290"/>
              <w:rPr>
                <w:sz w:val="22"/>
                <w:szCs w:val="22"/>
                <w:lang w:val="en-AU"/>
              </w:rPr>
            </w:pPr>
            <w:r w:rsidRPr="001B5CAD">
              <w:rPr>
                <w:sz w:val="22"/>
                <w:szCs w:val="22"/>
                <w:lang w:val="en-AU"/>
              </w:rPr>
              <w:t>Continue to work with SPC to strengthen gender and social inclusion</w:t>
            </w:r>
            <w:r w:rsidR="00B86089">
              <w:rPr>
                <w:sz w:val="22"/>
                <w:szCs w:val="22"/>
                <w:lang w:val="en-AU"/>
              </w:rPr>
              <w:t>.</w:t>
            </w:r>
          </w:p>
          <w:p w14:paraId="49B18F3D" w14:textId="77777777" w:rsidR="00B34BD9" w:rsidRDefault="007310B2" w:rsidP="00824AB9">
            <w:pPr>
              <w:pStyle w:val="CommentText"/>
              <w:numPr>
                <w:ilvl w:val="0"/>
                <w:numId w:val="38"/>
              </w:numPr>
              <w:spacing w:before="0"/>
              <w:ind w:left="318" w:hanging="290"/>
              <w:rPr>
                <w:sz w:val="22"/>
                <w:szCs w:val="22"/>
                <w:lang w:val="en-AU"/>
              </w:rPr>
            </w:pPr>
            <w:r>
              <w:rPr>
                <w:sz w:val="22"/>
                <w:szCs w:val="22"/>
                <w:lang w:val="en-AU"/>
              </w:rPr>
              <w:t>W</w:t>
            </w:r>
            <w:r w:rsidR="00B34BD9" w:rsidRPr="001B5CAD">
              <w:rPr>
                <w:sz w:val="22"/>
                <w:szCs w:val="22"/>
                <w:lang w:val="en-AU"/>
              </w:rPr>
              <w:t xml:space="preserve">ork with SPC and its members to strengthen regional coastal fisheries governance, including through the annual Heads of Fisheries meetings and technical meetings. </w:t>
            </w:r>
            <w:r>
              <w:rPr>
                <w:sz w:val="22"/>
                <w:szCs w:val="22"/>
                <w:lang w:val="en-AU"/>
              </w:rPr>
              <w:t>U</w:t>
            </w:r>
            <w:r w:rsidR="00B34BD9" w:rsidRPr="001B5CAD">
              <w:rPr>
                <w:sz w:val="22"/>
                <w:szCs w:val="22"/>
                <w:lang w:val="en-AU"/>
              </w:rPr>
              <w:t>ndertake an independent mid-term review of the Community Based Fisheries Management Program Phase 2 to inform the program and future regional support</w:t>
            </w:r>
            <w:r w:rsidR="00B86089">
              <w:rPr>
                <w:sz w:val="22"/>
                <w:szCs w:val="22"/>
                <w:lang w:val="en-AU"/>
              </w:rPr>
              <w:t>.</w:t>
            </w:r>
          </w:p>
          <w:p w14:paraId="3BD0FEA3" w14:textId="15954639" w:rsidR="00B34BD9" w:rsidRPr="001B5CAD" w:rsidRDefault="00816DBF" w:rsidP="000B0E65">
            <w:pPr>
              <w:pStyle w:val="CommentText"/>
              <w:numPr>
                <w:ilvl w:val="0"/>
                <w:numId w:val="38"/>
              </w:numPr>
              <w:spacing w:before="0"/>
              <w:ind w:left="318" w:hanging="290"/>
              <w:rPr>
                <w:sz w:val="22"/>
                <w:szCs w:val="22"/>
                <w:lang w:val="en-AU"/>
              </w:rPr>
            </w:pPr>
            <w:r>
              <w:rPr>
                <w:sz w:val="22"/>
                <w:szCs w:val="22"/>
                <w:lang w:val="en-AU"/>
              </w:rPr>
              <w:t>Continue to</w:t>
            </w:r>
            <w:r w:rsidR="00B34BD9" w:rsidRPr="00F52E41">
              <w:rPr>
                <w:sz w:val="22"/>
                <w:szCs w:val="22"/>
                <w:lang w:val="en-AU"/>
              </w:rPr>
              <w:t xml:space="preserve"> engage with FFA and its members to support the implementation of the FFA</w:t>
            </w:r>
            <w:r w:rsidR="00B34BD9">
              <w:rPr>
                <w:sz w:val="22"/>
                <w:szCs w:val="22"/>
                <w:lang w:val="en-AU"/>
              </w:rPr>
              <w:t>’s new</w:t>
            </w:r>
            <w:r w:rsidR="00B34BD9" w:rsidRPr="00F52E41">
              <w:rPr>
                <w:sz w:val="22"/>
                <w:szCs w:val="22"/>
                <w:lang w:val="en-AU"/>
              </w:rPr>
              <w:t xml:space="preserve"> Strategic Plan and Longline Strategy</w:t>
            </w:r>
            <w:r w:rsidR="00B34BD9">
              <w:rPr>
                <w:sz w:val="22"/>
                <w:szCs w:val="22"/>
                <w:lang w:val="en-AU"/>
              </w:rPr>
              <w:t xml:space="preserve"> and continued implementation of the Regional MCS Strategy. </w:t>
            </w:r>
            <w:r>
              <w:rPr>
                <w:sz w:val="22"/>
                <w:szCs w:val="22"/>
                <w:lang w:val="en-AU"/>
              </w:rPr>
              <w:t>W</w:t>
            </w:r>
            <w:r w:rsidR="00B34BD9" w:rsidRPr="00D92138">
              <w:rPr>
                <w:sz w:val="22"/>
                <w:szCs w:val="22"/>
                <w:lang w:val="en-AU"/>
              </w:rPr>
              <w:t>ork with FFA countries to i</w:t>
            </w:r>
            <w:r w:rsidR="00B34BD9" w:rsidRPr="00F52E41">
              <w:rPr>
                <w:sz w:val="22"/>
                <w:szCs w:val="22"/>
                <w:lang w:val="en-AU"/>
              </w:rPr>
              <w:t>dentify blockages to ratifying and implementing the NTSA</w:t>
            </w:r>
            <w:r w:rsidR="00B34BD9" w:rsidRPr="00D92138">
              <w:rPr>
                <w:sz w:val="22"/>
                <w:szCs w:val="22"/>
                <w:lang w:val="en-AU"/>
              </w:rPr>
              <w:t xml:space="preserve"> and identify priorities to strengthen information exchange under the NTSA.</w:t>
            </w:r>
          </w:p>
        </w:tc>
      </w:tr>
      <w:tr w:rsidR="00B34BD9" w14:paraId="72D89492" w14:textId="77777777" w:rsidTr="00824AB9">
        <w:tc>
          <w:tcPr>
            <w:tcW w:w="1838" w:type="dxa"/>
          </w:tcPr>
          <w:p w14:paraId="43DE0DFA" w14:textId="77777777" w:rsidR="00B34BD9" w:rsidRPr="00812509" w:rsidRDefault="00B34BD9" w:rsidP="005E0D97">
            <w:pPr>
              <w:pStyle w:val="TableTextEntries"/>
              <w:rPr>
                <w:rFonts w:asciiTheme="minorHAnsi" w:hAnsiTheme="minorHAnsi"/>
              </w:rPr>
            </w:pPr>
            <w:r w:rsidRPr="005A3F43">
              <w:rPr>
                <w:rFonts w:asciiTheme="minorHAnsi" w:eastAsiaTheme="minorHAnsi" w:hAnsiTheme="minorHAnsi" w:cstheme="minorBidi"/>
                <w:iCs w:val="0"/>
                <w:color w:val="495965" w:themeColor="text2"/>
                <w:sz w:val="22"/>
                <w:szCs w:val="22"/>
                <w:lang w:val="en-GB"/>
              </w:rPr>
              <w:t>Objective 3 - Healthy and Resilient Communities</w:t>
            </w:r>
          </w:p>
        </w:tc>
        <w:tc>
          <w:tcPr>
            <w:tcW w:w="1559" w:type="dxa"/>
          </w:tcPr>
          <w:p w14:paraId="38CAF581" w14:textId="77777777" w:rsidR="00B34BD9" w:rsidRPr="001B5CAD" w:rsidRDefault="00B34BD9" w:rsidP="005E0D97">
            <w:r w:rsidRPr="001B5CAD">
              <w:t>Health</w:t>
            </w:r>
          </w:p>
        </w:tc>
        <w:tc>
          <w:tcPr>
            <w:tcW w:w="10773" w:type="dxa"/>
          </w:tcPr>
          <w:p w14:paraId="5D392CDB" w14:textId="77777777" w:rsidR="00B34BD9" w:rsidRPr="006C0495" w:rsidRDefault="00B34BD9" w:rsidP="00824AB9">
            <w:pPr>
              <w:pStyle w:val="CommentText"/>
              <w:numPr>
                <w:ilvl w:val="0"/>
                <w:numId w:val="38"/>
              </w:numPr>
              <w:spacing w:before="0"/>
              <w:ind w:left="318" w:hanging="290"/>
              <w:rPr>
                <w:sz w:val="22"/>
                <w:szCs w:val="22"/>
              </w:rPr>
            </w:pPr>
            <w:r>
              <w:rPr>
                <w:sz w:val="22"/>
                <w:szCs w:val="22"/>
              </w:rPr>
              <w:t>Undertake</w:t>
            </w:r>
            <w:r w:rsidRPr="006C0495">
              <w:rPr>
                <w:sz w:val="22"/>
                <w:szCs w:val="22"/>
              </w:rPr>
              <w:t xml:space="preserve"> </w:t>
            </w:r>
            <w:r>
              <w:rPr>
                <w:sz w:val="22"/>
                <w:szCs w:val="22"/>
              </w:rPr>
              <w:t>t</w:t>
            </w:r>
            <w:r w:rsidRPr="006C0495">
              <w:rPr>
                <w:sz w:val="22"/>
                <w:szCs w:val="22"/>
              </w:rPr>
              <w:t xml:space="preserve">wo </w:t>
            </w:r>
            <w:r>
              <w:rPr>
                <w:sz w:val="22"/>
                <w:szCs w:val="22"/>
              </w:rPr>
              <w:t xml:space="preserve">health program </w:t>
            </w:r>
            <w:r w:rsidRPr="006C0495">
              <w:rPr>
                <w:sz w:val="22"/>
                <w:szCs w:val="22"/>
              </w:rPr>
              <w:t xml:space="preserve">evaluations, resulting in practical recommendations for sustainability, gender equality, disability inclusion and improved monitoring. </w:t>
            </w:r>
          </w:p>
          <w:p w14:paraId="757AA2F9" w14:textId="77777777" w:rsidR="00B34BD9" w:rsidRPr="006C0495" w:rsidRDefault="00824AB9" w:rsidP="00824AB9">
            <w:pPr>
              <w:pStyle w:val="CommentText"/>
              <w:numPr>
                <w:ilvl w:val="0"/>
                <w:numId w:val="38"/>
              </w:numPr>
              <w:spacing w:before="0"/>
              <w:ind w:left="318" w:hanging="290"/>
              <w:rPr>
                <w:sz w:val="22"/>
                <w:szCs w:val="22"/>
              </w:rPr>
            </w:pPr>
            <w:r>
              <w:rPr>
                <w:sz w:val="22"/>
                <w:szCs w:val="22"/>
              </w:rPr>
              <w:t>E</w:t>
            </w:r>
            <w:r w:rsidR="00B34BD9" w:rsidRPr="006C0495">
              <w:rPr>
                <w:sz w:val="22"/>
                <w:szCs w:val="22"/>
              </w:rPr>
              <w:t xml:space="preserve">ngage with partners </w:t>
            </w:r>
            <w:r w:rsidR="00B34BD9">
              <w:rPr>
                <w:sz w:val="22"/>
                <w:szCs w:val="22"/>
              </w:rPr>
              <w:t xml:space="preserve">to strengthen </w:t>
            </w:r>
            <w:r w:rsidR="00B34BD9" w:rsidRPr="006C0495">
              <w:rPr>
                <w:sz w:val="22"/>
                <w:szCs w:val="22"/>
              </w:rPr>
              <w:t xml:space="preserve">mainstreaming of gender equality </w:t>
            </w:r>
            <w:r w:rsidR="00B34BD9">
              <w:rPr>
                <w:sz w:val="22"/>
                <w:szCs w:val="22"/>
              </w:rPr>
              <w:t xml:space="preserve">and disability inclusion </w:t>
            </w:r>
            <w:r w:rsidR="00B34BD9" w:rsidRPr="006C0495">
              <w:rPr>
                <w:sz w:val="22"/>
                <w:szCs w:val="22"/>
              </w:rPr>
              <w:t xml:space="preserve">in programs. </w:t>
            </w:r>
          </w:p>
          <w:p w14:paraId="1997E27D" w14:textId="61CBB4C7" w:rsidR="00B34BD9" w:rsidRPr="005A3DF2" w:rsidRDefault="00B34BD9" w:rsidP="00C9150B">
            <w:pPr>
              <w:pStyle w:val="CommentText"/>
              <w:numPr>
                <w:ilvl w:val="0"/>
                <w:numId w:val="38"/>
              </w:numPr>
              <w:spacing w:before="0"/>
              <w:ind w:left="318" w:hanging="290"/>
              <w:rPr>
                <w:sz w:val="22"/>
                <w:szCs w:val="22"/>
              </w:rPr>
            </w:pPr>
            <w:r w:rsidRPr="006C0495">
              <w:rPr>
                <w:sz w:val="22"/>
                <w:szCs w:val="22"/>
              </w:rPr>
              <w:t>For disability inclusion, DFAT in Suva will engage with key actors e.g. DPOs, aiming to identify challenges in accessing health services and developing concrete actions.</w:t>
            </w:r>
          </w:p>
        </w:tc>
      </w:tr>
      <w:tr w:rsidR="00B34BD9" w14:paraId="74D332DB" w14:textId="77777777" w:rsidTr="00824AB9">
        <w:tc>
          <w:tcPr>
            <w:tcW w:w="1838" w:type="dxa"/>
          </w:tcPr>
          <w:p w14:paraId="79C8A9F5" w14:textId="77777777" w:rsidR="00B34BD9" w:rsidRPr="005A3F43" w:rsidRDefault="00B34BD9" w:rsidP="005E0D97">
            <w:pPr>
              <w:pStyle w:val="TableTextEntries"/>
              <w:rPr>
                <w:rFonts w:asciiTheme="minorHAnsi" w:eastAsiaTheme="minorHAnsi" w:hAnsiTheme="minorHAnsi" w:cstheme="minorBidi"/>
                <w:iCs w:val="0"/>
                <w:color w:val="495965" w:themeColor="text2"/>
                <w:sz w:val="22"/>
                <w:szCs w:val="22"/>
                <w:lang w:val="en-GB"/>
              </w:rPr>
            </w:pPr>
          </w:p>
        </w:tc>
        <w:tc>
          <w:tcPr>
            <w:tcW w:w="1559" w:type="dxa"/>
          </w:tcPr>
          <w:p w14:paraId="222D2533" w14:textId="77777777" w:rsidR="00B34BD9" w:rsidRPr="001B5CAD" w:rsidRDefault="00B34BD9" w:rsidP="005E0D97">
            <w:r>
              <w:t>Climate change</w:t>
            </w:r>
          </w:p>
        </w:tc>
        <w:tc>
          <w:tcPr>
            <w:tcW w:w="10773" w:type="dxa"/>
          </w:tcPr>
          <w:p w14:paraId="38F8DF7B" w14:textId="77777777" w:rsidR="00C33A5F" w:rsidRPr="00C33A5F" w:rsidRDefault="00C33A5F" w:rsidP="00824AB9">
            <w:pPr>
              <w:pStyle w:val="CommentText"/>
              <w:numPr>
                <w:ilvl w:val="0"/>
                <w:numId w:val="38"/>
              </w:numPr>
              <w:spacing w:before="0"/>
              <w:ind w:left="318" w:hanging="290"/>
              <w:rPr>
                <w:sz w:val="22"/>
                <w:szCs w:val="22"/>
              </w:rPr>
            </w:pPr>
            <w:r w:rsidRPr="00C33A5F">
              <w:rPr>
                <w:sz w:val="22"/>
                <w:szCs w:val="22"/>
              </w:rPr>
              <w:t xml:space="preserve">Continue to work with Pacific Regional programs to strengthen consideration of climate change in program design and implementation, as reflected by level of expenditure on resilience, consultation on program designs, </w:t>
            </w:r>
            <w:r w:rsidR="007310B2">
              <w:rPr>
                <w:sz w:val="22"/>
                <w:szCs w:val="22"/>
              </w:rPr>
              <w:t xml:space="preserve">and </w:t>
            </w:r>
            <w:r w:rsidRPr="00C33A5F">
              <w:rPr>
                <w:sz w:val="22"/>
                <w:szCs w:val="22"/>
              </w:rPr>
              <w:t xml:space="preserve">reflection of resilience in monitoring and evaluation. </w:t>
            </w:r>
          </w:p>
          <w:p w14:paraId="3EA2563D" w14:textId="77777777" w:rsidR="00B34BD9" w:rsidRDefault="00C33A5F" w:rsidP="00824AB9">
            <w:pPr>
              <w:pStyle w:val="CommentText"/>
              <w:numPr>
                <w:ilvl w:val="0"/>
                <w:numId w:val="38"/>
              </w:numPr>
              <w:spacing w:before="0"/>
              <w:ind w:left="318" w:hanging="290"/>
              <w:rPr>
                <w:sz w:val="22"/>
                <w:szCs w:val="22"/>
              </w:rPr>
            </w:pPr>
            <w:r w:rsidRPr="00C33A5F">
              <w:rPr>
                <w:sz w:val="22"/>
                <w:szCs w:val="22"/>
              </w:rPr>
              <w:t xml:space="preserve">Apply evidence from resilience analysis and scientific data and show case examples of successful resilience integration, share lessons across the region.  </w:t>
            </w:r>
          </w:p>
        </w:tc>
      </w:tr>
      <w:tr w:rsidR="00B34BD9" w14:paraId="39505167" w14:textId="77777777" w:rsidTr="00824AB9">
        <w:tc>
          <w:tcPr>
            <w:tcW w:w="1838" w:type="dxa"/>
          </w:tcPr>
          <w:p w14:paraId="6552ED73" w14:textId="77777777" w:rsidR="00B34BD9" w:rsidRPr="00812509" w:rsidRDefault="00B34BD9" w:rsidP="005E0D97">
            <w:pPr>
              <w:pStyle w:val="TableTextEntries"/>
              <w:rPr>
                <w:rFonts w:asciiTheme="minorHAnsi" w:hAnsiTheme="minorHAnsi"/>
              </w:rPr>
            </w:pPr>
            <w:r w:rsidRPr="005A3F43">
              <w:rPr>
                <w:rFonts w:asciiTheme="minorHAnsi" w:eastAsiaTheme="minorHAnsi" w:hAnsiTheme="minorHAnsi" w:cstheme="minorBidi"/>
                <w:iCs w:val="0"/>
                <w:color w:val="495965" w:themeColor="text2"/>
                <w:sz w:val="22"/>
                <w:szCs w:val="22"/>
                <w:lang w:val="en-GB"/>
              </w:rPr>
              <w:t>Objective 4 - Empowering Women and Girls</w:t>
            </w:r>
          </w:p>
        </w:tc>
        <w:tc>
          <w:tcPr>
            <w:tcW w:w="1559" w:type="dxa"/>
          </w:tcPr>
          <w:p w14:paraId="396C3237" w14:textId="77777777" w:rsidR="00B34BD9" w:rsidRDefault="00B34BD9" w:rsidP="005E0D97">
            <w:r w:rsidRPr="001A00C8">
              <w:t>Gender Equality</w:t>
            </w:r>
          </w:p>
        </w:tc>
        <w:tc>
          <w:tcPr>
            <w:tcW w:w="10773" w:type="dxa"/>
          </w:tcPr>
          <w:p w14:paraId="06CF2EDE" w14:textId="5EE32FE6" w:rsidR="00B34BD9" w:rsidRDefault="00B34BD9" w:rsidP="00824AB9">
            <w:pPr>
              <w:pStyle w:val="CommentText"/>
              <w:numPr>
                <w:ilvl w:val="0"/>
                <w:numId w:val="38"/>
              </w:numPr>
              <w:spacing w:before="0"/>
              <w:ind w:left="318" w:hanging="290"/>
              <w:rPr>
                <w:sz w:val="22"/>
                <w:szCs w:val="22"/>
              </w:rPr>
            </w:pPr>
            <w:r>
              <w:rPr>
                <w:sz w:val="22"/>
                <w:szCs w:val="22"/>
              </w:rPr>
              <w:t xml:space="preserve">Improve evidence </w:t>
            </w:r>
            <w:r w:rsidRPr="009372DF">
              <w:rPr>
                <w:sz w:val="22"/>
                <w:szCs w:val="22"/>
              </w:rPr>
              <w:t xml:space="preserve">base to help guide remaining </w:t>
            </w:r>
            <w:r w:rsidR="00816DBF">
              <w:rPr>
                <w:sz w:val="22"/>
                <w:szCs w:val="22"/>
              </w:rPr>
              <w:t>three</w:t>
            </w:r>
            <w:r w:rsidR="00816DBF" w:rsidRPr="009372DF">
              <w:rPr>
                <w:sz w:val="22"/>
                <w:szCs w:val="22"/>
              </w:rPr>
              <w:t xml:space="preserve"> </w:t>
            </w:r>
            <w:r w:rsidRPr="009372DF">
              <w:rPr>
                <w:sz w:val="22"/>
                <w:szCs w:val="22"/>
              </w:rPr>
              <w:t xml:space="preserve">years of </w:t>
            </w:r>
            <w:r>
              <w:rPr>
                <w:sz w:val="22"/>
                <w:szCs w:val="22"/>
              </w:rPr>
              <w:t xml:space="preserve">the </w:t>
            </w:r>
            <w:r w:rsidRPr="009372DF">
              <w:rPr>
                <w:sz w:val="22"/>
                <w:szCs w:val="22"/>
              </w:rPr>
              <w:t>program by undertaking a</w:t>
            </w:r>
            <w:r>
              <w:rPr>
                <w:color w:val="FF0000"/>
              </w:rPr>
              <w:t xml:space="preserve"> </w:t>
            </w:r>
            <w:r>
              <w:rPr>
                <w:sz w:val="22"/>
                <w:szCs w:val="22"/>
              </w:rPr>
              <w:t xml:space="preserve">6 year evaluation of </w:t>
            </w:r>
            <w:r>
              <w:rPr>
                <w:i/>
                <w:sz w:val="22"/>
                <w:szCs w:val="22"/>
              </w:rPr>
              <w:t>Pacific Women</w:t>
            </w:r>
            <w:r>
              <w:rPr>
                <w:sz w:val="22"/>
                <w:szCs w:val="22"/>
              </w:rPr>
              <w:t>, including an assessment of the effectiveness of activities aimed at progressing social norm change.</w:t>
            </w:r>
          </w:p>
          <w:p w14:paraId="5545A7AE" w14:textId="6FA1F23C" w:rsidR="00B34BD9" w:rsidRDefault="00816DBF" w:rsidP="00824AB9">
            <w:pPr>
              <w:pStyle w:val="CommentText"/>
              <w:numPr>
                <w:ilvl w:val="0"/>
                <w:numId w:val="38"/>
              </w:numPr>
              <w:spacing w:before="0"/>
              <w:ind w:left="318" w:hanging="290"/>
              <w:rPr>
                <w:sz w:val="22"/>
                <w:szCs w:val="22"/>
              </w:rPr>
            </w:pPr>
            <w:r>
              <w:rPr>
                <w:sz w:val="22"/>
                <w:szCs w:val="22"/>
              </w:rPr>
              <w:t xml:space="preserve">Finalise and implement guidance to improve </w:t>
            </w:r>
            <w:r w:rsidR="00B34BD9">
              <w:rPr>
                <w:sz w:val="22"/>
                <w:szCs w:val="22"/>
              </w:rPr>
              <w:t xml:space="preserve">mainstreaming of disability </w:t>
            </w:r>
            <w:r>
              <w:rPr>
                <w:sz w:val="22"/>
                <w:szCs w:val="22"/>
              </w:rPr>
              <w:t xml:space="preserve">in </w:t>
            </w:r>
            <w:r>
              <w:rPr>
                <w:i/>
                <w:sz w:val="22"/>
                <w:szCs w:val="22"/>
              </w:rPr>
              <w:t>Pacific Women</w:t>
            </w:r>
            <w:r w:rsidR="00B34BD9">
              <w:rPr>
                <w:sz w:val="22"/>
                <w:szCs w:val="22"/>
              </w:rPr>
              <w:t>.</w:t>
            </w:r>
          </w:p>
          <w:p w14:paraId="6C3E9E6B" w14:textId="77777777" w:rsidR="00B34BD9" w:rsidRPr="004256A1" w:rsidRDefault="00B34BD9" w:rsidP="00824AB9">
            <w:pPr>
              <w:pStyle w:val="CommentText"/>
              <w:numPr>
                <w:ilvl w:val="0"/>
                <w:numId w:val="38"/>
              </w:numPr>
              <w:spacing w:before="0"/>
              <w:ind w:left="318" w:hanging="290"/>
              <w:rPr>
                <w:sz w:val="22"/>
                <w:szCs w:val="22"/>
              </w:rPr>
            </w:pPr>
            <w:r>
              <w:rPr>
                <w:sz w:val="22"/>
                <w:szCs w:val="22"/>
              </w:rPr>
              <w:t>Provide</w:t>
            </w:r>
            <w:r w:rsidRPr="007D5383">
              <w:rPr>
                <w:sz w:val="22"/>
                <w:szCs w:val="22"/>
              </w:rPr>
              <w:t xml:space="preserve"> technical support to </w:t>
            </w:r>
            <w:r>
              <w:rPr>
                <w:sz w:val="22"/>
                <w:szCs w:val="22"/>
              </w:rPr>
              <w:t xml:space="preserve">regional </w:t>
            </w:r>
            <w:r w:rsidRPr="007D5383">
              <w:rPr>
                <w:sz w:val="22"/>
                <w:szCs w:val="22"/>
              </w:rPr>
              <w:t>programs to improve integration of gender equality considerations (analysis, strategy, monitoring and evaluation)</w:t>
            </w:r>
            <w:r>
              <w:rPr>
                <w:sz w:val="22"/>
                <w:szCs w:val="22"/>
              </w:rPr>
              <w:t>.</w:t>
            </w:r>
          </w:p>
        </w:tc>
      </w:tr>
    </w:tbl>
    <w:p w14:paraId="594FB0DC" w14:textId="77777777" w:rsidR="00B34BD9" w:rsidRDefault="00B34BD9" w:rsidP="0063700C">
      <w:pPr>
        <w:pStyle w:val="CommentText"/>
        <w:spacing w:before="0"/>
        <w:ind w:left="360"/>
        <w:rPr>
          <w:sz w:val="22"/>
          <w:szCs w:val="22"/>
        </w:rPr>
      </w:pPr>
    </w:p>
    <w:p w14:paraId="6140DCF5" w14:textId="77777777" w:rsidR="00B34BD9" w:rsidRDefault="00B34BD9" w:rsidP="00B34BD9">
      <w:pPr>
        <w:pStyle w:val="CommentText"/>
        <w:spacing w:before="0"/>
        <w:ind w:left="720"/>
        <w:rPr>
          <w:sz w:val="22"/>
          <w:szCs w:val="22"/>
        </w:rPr>
      </w:pPr>
    </w:p>
    <w:p w14:paraId="10699892" w14:textId="77777777" w:rsidR="00B34BD9" w:rsidRDefault="00B34BD9" w:rsidP="00B34BD9">
      <w:pPr>
        <w:pStyle w:val="CommentText"/>
        <w:spacing w:before="0"/>
        <w:rPr>
          <w:sz w:val="22"/>
          <w:szCs w:val="22"/>
        </w:rPr>
        <w:sectPr w:rsidR="00B34BD9" w:rsidSect="0063700C">
          <w:pgSz w:w="16838" w:h="11906" w:orient="landscape" w:code="9"/>
          <w:pgMar w:top="1134" w:right="1527" w:bottom="1134" w:left="1276" w:header="1418" w:footer="567" w:gutter="0"/>
          <w:cols w:space="397"/>
          <w:docGrid w:linePitch="360"/>
        </w:sectPr>
      </w:pPr>
    </w:p>
    <w:p w14:paraId="3E0ECC4A" w14:textId="77777777" w:rsidR="008821C2" w:rsidRPr="003953AA" w:rsidRDefault="00400B0F" w:rsidP="003953AA">
      <w:pPr>
        <w:pStyle w:val="Subtitle"/>
        <w:numPr>
          <w:ilvl w:val="0"/>
          <w:numId w:val="0"/>
        </w:numPr>
        <w:spacing w:before="360" w:after="120" w:line="300" w:lineRule="exact"/>
        <w:rPr>
          <w:rFonts w:asciiTheme="majorHAnsi" w:hAnsiTheme="majorHAnsi" w:cstheme="majorHAnsi"/>
        </w:rPr>
      </w:pPr>
      <w:r w:rsidRPr="008821C2">
        <w:rPr>
          <w:rFonts w:asciiTheme="majorHAnsi" w:hAnsiTheme="majorHAnsi" w:cstheme="majorHAnsi"/>
        </w:rPr>
        <w:t xml:space="preserve">Annex A - Progress in Addressing Management </w:t>
      </w:r>
      <w:r w:rsidR="00AC302F" w:rsidRPr="008821C2">
        <w:rPr>
          <w:rFonts w:asciiTheme="majorHAnsi" w:hAnsiTheme="majorHAnsi" w:cstheme="majorHAnsi"/>
        </w:rPr>
        <w:t>actions</w:t>
      </w:r>
    </w:p>
    <w:tbl>
      <w:tblPr>
        <w:tblStyle w:val="APPR"/>
        <w:tblpPr w:leftFromText="180" w:rightFromText="180" w:vertAnchor="text" w:tblpY="1"/>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134"/>
        <w:gridCol w:w="10267"/>
      </w:tblGrid>
      <w:tr w:rsidR="008821C2" w:rsidRPr="00812509" w14:paraId="5D4FDC5B" w14:textId="77777777" w:rsidTr="004224CD">
        <w:trPr>
          <w:cnfStyle w:val="000000010000" w:firstRow="0" w:lastRow="0" w:firstColumn="0" w:lastColumn="0" w:oddVBand="0" w:evenVBand="0" w:oddHBand="0" w:evenHBand="1" w:firstRowFirstColumn="0" w:firstRowLastColumn="0" w:lastRowFirstColumn="0" w:lastRowLastColumn="0"/>
        </w:trPr>
        <w:tc>
          <w:tcPr>
            <w:tcW w:w="29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C01603" w14:textId="77777777" w:rsidR="008821C2" w:rsidRPr="00812509" w:rsidRDefault="008821C2" w:rsidP="0017161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w:t>
            </w:r>
            <w:r>
              <w:rPr>
                <w:rFonts w:asciiTheme="minorHAnsi" w:eastAsia="Times New Roman" w:hAnsiTheme="minorHAnsi"/>
                <w:b/>
                <w:iCs/>
                <w:szCs w:val="17"/>
                <w:lang w:eastAsia="en-US"/>
              </w:rPr>
              <w:t>17-18</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0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C1956D7" w14:textId="77777777" w:rsidR="008821C2" w:rsidRPr="00812509" w:rsidRDefault="008821C2" w:rsidP="00171615">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102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256992" w14:textId="77777777" w:rsidR="008821C2" w:rsidRPr="00812509" w:rsidRDefault="008821C2" w:rsidP="00171615">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Pr>
                <w:rFonts w:asciiTheme="minorHAnsi" w:eastAsia="Times New Roman" w:hAnsiTheme="minorHAnsi"/>
                <w:b/>
                <w:iCs/>
                <w:szCs w:val="17"/>
                <w:lang w:eastAsia="en-US"/>
              </w:rPr>
              <w:t>8-19</w:t>
            </w:r>
          </w:p>
        </w:tc>
      </w:tr>
      <w:tr w:rsidR="008821C2" w:rsidRPr="00812509" w14:paraId="1D57386F" w14:textId="77777777" w:rsidTr="004224CD">
        <w:trPr>
          <w:cnfStyle w:val="000000010000" w:firstRow="0" w:lastRow="0" w:firstColumn="0" w:lastColumn="0" w:oddVBand="0" w:evenVBand="0" w:oddHBand="0" w:evenHBand="1" w:firstRowFirstColumn="0" w:firstRowLastColumn="0" w:lastRowFirstColumn="0" w:lastRowLastColumn="0"/>
        </w:trPr>
        <w:tc>
          <w:tcPr>
            <w:tcW w:w="29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C5727D" w14:textId="77777777" w:rsidR="008821C2" w:rsidRPr="00812509" w:rsidRDefault="00EE5111" w:rsidP="00EE511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DFAT will </w:t>
            </w:r>
            <w:r w:rsidRPr="00EE5111">
              <w:rPr>
                <w:rFonts w:asciiTheme="minorHAnsi" w:eastAsia="Times New Roman" w:hAnsiTheme="minorHAnsi"/>
                <w:iCs/>
                <w:szCs w:val="17"/>
                <w:lang w:eastAsia="en-US"/>
              </w:rPr>
              <w:t>continue to prioritise activities that empower more women to enter the Pacific workforce</w:t>
            </w:r>
            <w:r>
              <w:rPr>
                <w:rFonts w:asciiTheme="minorHAnsi" w:eastAsia="Times New Roman" w:hAnsiTheme="minorHAnsi"/>
                <w:iCs/>
                <w:szCs w:val="17"/>
                <w:lang w:eastAsia="en-US"/>
              </w:rPr>
              <w:t>.</w:t>
            </w:r>
          </w:p>
        </w:tc>
        <w:tc>
          <w:tcPr>
            <w:tcW w:w="11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0C600AC" w14:textId="77777777" w:rsidR="008821C2" w:rsidRPr="00812509" w:rsidRDefault="00F80F98" w:rsidP="00171615">
            <w:pPr>
              <w:keepLines/>
              <w:spacing w:before="40" w:after="40" w:line="200" w:lineRule="atLeast"/>
              <w:jc w:val="center"/>
              <w:rPr>
                <w:rFonts w:asciiTheme="minorHAnsi" w:eastAsia="Times New Roman" w:hAnsiTheme="minorHAnsi"/>
                <w:iCs/>
                <w:color w:val="FFFFFF" w:themeColor="background1"/>
                <w:szCs w:val="17"/>
                <w:lang w:eastAsia="en-US"/>
              </w:rPr>
            </w:pPr>
            <w:r w:rsidRPr="000A29B4">
              <w:rPr>
                <w:rFonts w:eastAsia="Times New Roman"/>
                <w:iCs/>
                <w:color w:val="FFC000"/>
                <w:szCs w:val="17"/>
              </w:rPr>
              <w:t>Partly achieved</w:t>
            </w:r>
          </w:p>
        </w:tc>
        <w:tc>
          <w:tcPr>
            <w:tcW w:w="102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14A978" w14:textId="77777777" w:rsidR="00F80F98" w:rsidRPr="00462D07" w:rsidRDefault="00F80F98" w:rsidP="00F80F98">
            <w:pPr>
              <w:keepLines/>
              <w:spacing w:before="40" w:after="40" w:line="200" w:lineRule="atLeast"/>
              <w:rPr>
                <w:rFonts w:asciiTheme="minorHAnsi" w:eastAsia="Times New Roman" w:hAnsiTheme="minorHAnsi"/>
                <w:iCs/>
                <w:szCs w:val="17"/>
                <w:lang w:eastAsia="en-US"/>
              </w:rPr>
            </w:pPr>
            <w:r w:rsidRPr="00462D07">
              <w:rPr>
                <w:rFonts w:asciiTheme="minorHAnsi" w:eastAsia="Times New Roman" w:hAnsiTheme="minorHAnsi"/>
                <w:iCs/>
                <w:szCs w:val="17"/>
                <w:lang w:eastAsia="en-US"/>
              </w:rPr>
              <w:t xml:space="preserve">DFAT regional programs included targeted activities that supported women to enter the Pacific workforce through improved skills, knowledge, voice and decision-making, improved access to services and employment opportunities, and improvements to the broader enabling environment. </w:t>
            </w:r>
          </w:p>
          <w:p w14:paraId="3EB6120C" w14:textId="77777777" w:rsidR="00F80F98" w:rsidRPr="00462D07" w:rsidRDefault="00F80F98" w:rsidP="00F80F98">
            <w:pPr>
              <w:keepLines/>
              <w:spacing w:before="40" w:after="40" w:line="200" w:lineRule="atLeast"/>
              <w:rPr>
                <w:rFonts w:asciiTheme="minorHAnsi" w:eastAsia="Times New Roman" w:hAnsiTheme="minorHAnsi"/>
                <w:iCs/>
                <w:szCs w:val="17"/>
                <w:lang w:eastAsia="en-US"/>
              </w:rPr>
            </w:pPr>
            <w:r w:rsidRPr="00462D07">
              <w:rPr>
                <w:rFonts w:asciiTheme="minorHAnsi" w:eastAsia="Times New Roman" w:hAnsiTheme="minorHAnsi"/>
                <w:b/>
                <w:iCs/>
                <w:szCs w:val="17"/>
                <w:lang w:eastAsia="en-US"/>
              </w:rPr>
              <w:t>Pacific Women</w:t>
            </w:r>
            <w:r w:rsidRPr="00462D07">
              <w:rPr>
                <w:rFonts w:asciiTheme="minorHAnsi" w:eastAsia="Times New Roman" w:hAnsiTheme="minorHAnsi"/>
                <w:iCs/>
                <w:szCs w:val="17"/>
                <w:lang w:eastAsia="en-US"/>
              </w:rPr>
              <w:t xml:space="preserve"> has made some progress in increasing the knowledge, skills and confidence for women to successfully undertake or expand economic activities, primarily through UN Women’s regional Markets for Change project.  This includes market vendor association engagement with government, which in Fiji has led to many municipal councils incr</w:t>
            </w:r>
            <w:r w:rsidR="00462D07">
              <w:rPr>
                <w:rFonts w:asciiTheme="minorHAnsi" w:eastAsia="Times New Roman" w:hAnsiTheme="minorHAnsi"/>
                <w:iCs/>
                <w:szCs w:val="17"/>
                <w:lang w:eastAsia="en-US"/>
              </w:rPr>
              <w:t xml:space="preserve">easingly employing market staff. </w:t>
            </w:r>
            <w:r w:rsidRPr="00462D07">
              <w:rPr>
                <w:rFonts w:asciiTheme="minorHAnsi" w:eastAsia="Times New Roman" w:hAnsiTheme="minorHAnsi"/>
                <w:iCs/>
                <w:szCs w:val="17"/>
                <w:lang w:eastAsia="en-US"/>
              </w:rPr>
              <w:t xml:space="preserve">While Pacific Women provides training, capacity building and support for women to obtain formal qualifications bilaterally, there is inadequate evidence to link this to </w:t>
            </w:r>
            <w:r w:rsidR="00462D07">
              <w:rPr>
                <w:rFonts w:asciiTheme="minorHAnsi" w:eastAsia="Times New Roman" w:hAnsiTheme="minorHAnsi"/>
                <w:iCs/>
                <w:szCs w:val="17"/>
                <w:lang w:eastAsia="en-US"/>
              </w:rPr>
              <w:t xml:space="preserve">a </w:t>
            </w:r>
            <w:r w:rsidRPr="00462D07">
              <w:rPr>
                <w:rFonts w:asciiTheme="minorHAnsi" w:eastAsia="Times New Roman" w:hAnsiTheme="minorHAnsi"/>
                <w:iCs/>
                <w:szCs w:val="17"/>
                <w:lang w:eastAsia="en-US"/>
              </w:rPr>
              <w:t>significant number of women accessing employment opportunities.</w:t>
            </w:r>
          </w:p>
          <w:p w14:paraId="69DF2BB3" w14:textId="77777777" w:rsidR="00F80F98" w:rsidRPr="00462D07" w:rsidRDefault="00F80F98" w:rsidP="00F80F98">
            <w:pPr>
              <w:keepLines/>
              <w:spacing w:before="40" w:after="40" w:line="200" w:lineRule="atLeast"/>
              <w:rPr>
                <w:rFonts w:asciiTheme="minorHAnsi" w:eastAsia="Times New Roman" w:hAnsiTheme="minorHAnsi"/>
                <w:iCs/>
                <w:szCs w:val="17"/>
                <w:lang w:eastAsia="en-US"/>
              </w:rPr>
            </w:pPr>
            <w:r w:rsidRPr="00462D07">
              <w:rPr>
                <w:rFonts w:asciiTheme="minorHAnsi" w:eastAsia="Times New Roman" w:hAnsiTheme="minorHAnsi"/>
                <w:iCs/>
                <w:szCs w:val="17"/>
                <w:lang w:eastAsia="en-US"/>
              </w:rPr>
              <w:t xml:space="preserve">Under the </w:t>
            </w:r>
            <w:r w:rsidRPr="00462D07">
              <w:rPr>
                <w:rFonts w:asciiTheme="minorHAnsi" w:eastAsia="Times New Roman" w:hAnsiTheme="minorHAnsi"/>
                <w:b/>
                <w:iCs/>
                <w:szCs w:val="17"/>
                <w:lang w:eastAsia="en-US"/>
              </w:rPr>
              <w:t>Seasonal Worker Programme</w:t>
            </w:r>
            <w:r w:rsidRPr="00462D07">
              <w:rPr>
                <w:rFonts w:asciiTheme="minorHAnsi" w:eastAsia="Times New Roman" w:hAnsiTheme="minorHAnsi"/>
                <w:iCs/>
                <w:szCs w:val="17"/>
                <w:lang w:eastAsia="en-US"/>
              </w:rPr>
              <w:t xml:space="preserve"> women’s participation increased to 18% in 2018-19 (from 15% in previous 5 years). The </w:t>
            </w:r>
            <w:r w:rsidRPr="00462D07">
              <w:rPr>
                <w:rFonts w:asciiTheme="minorHAnsi" w:eastAsia="Times New Roman" w:hAnsiTheme="minorHAnsi"/>
                <w:b/>
                <w:iCs/>
                <w:szCs w:val="17"/>
                <w:lang w:eastAsia="en-US"/>
              </w:rPr>
              <w:t>Pacific Labour Scheme</w:t>
            </w:r>
            <w:r w:rsidRPr="00462D07">
              <w:rPr>
                <w:rFonts w:asciiTheme="minorHAnsi" w:eastAsia="Times New Roman" w:hAnsiTheme="minorHAnsi"/>
                <w:iCs/>
                <w:szCs w:val="17"/>
                <w:lang w:eastAsia="en-US"/>
              </w:rPr>
              <w:t xml:space="preserve"> has increased the percentage of female workers in Pacific labour mobility by including sectors such as hospitality and aged care, as well as through targeted strategies to increase women’s participation</w:t>
            </w:r>
            <w:r w:rsidR="00462D07">
              <w:rPr>
                <w:rFonts w:asciiTheme="minorHAnsi" w:eastAsia="Times New Roman" w:hAnsiTheme="minorHAnsi"/>
                <w:iCs/>
                <w:szCs w:val="17"/>
                <w:lang w:eastAsia="en-US"/>
              </w:rPr>
              <w:t xml:space="preserve"> in,</w:t>
            </w:r>
            <w:r w:rsidRPr="00462D07">
              <w:rPr>
                <w:rFonts w:asciiTheme="minorHAnsi" w:eastAsia="Times New Roman" w:hAnsiTheme="minorHAnsi"/>
                <w:iCs/>
                <w:szCs w:val="17"/>
                <w:lang w:eastAsia="en-US"/>
              </w:rPr>
              <w:t xml:space="preserve"> and benefit from</w:t>
            </w:r>
            <w:r w:rsidR="00462D07">
              <w:rPr>
                <w:rFonts w:asciiTheme="minorHAnsi" w:eastAsia="Times New Roman" w:hAnsiTheme="minorHAnsi"/>
                <w:iCs/>
                <w:szCs w:val="17"/>
                <w:lang w:eastAsia="en-US"/>
              </w:rPr>
              <w:t>,</w:t>
            </w:r>
            <w:r w:rsidRPr="00462D07">
              <w:rPr>
                <w:rFonts w:asciiTheme="minorHAnsi" w:eastAsia="Times New Roman" w:hAnsiTheme="minorHAnsi"/>
                <w:iCs/>
                <w:szCs w:val="17"/>
                <w:lang w:eastAsia="en-US"/>
              </w:rPr>
              <w:t xml:space="preserve"> labour mobility. </w:t>
            </w:r>
          </w:p>
          <w:p w14:paraId="319C6DF6" w14:textId="77777777" w:rsidR="008821C2" w:rsidRDefault="007E2A04" w:rsidP="00462D07">
            <w:pPr>
              <w:keepLines/>
              <w:spacing w:before="40" w:after="40" w:line="200" w:lineRule="atLeast"/>
              <w:rPr>
                <w:rFonts w:asciiTheme="minorHAnsi" w:eastAsia="Times New Roman" w:hAnsiTheme="minorHAnsi"/>
                <w:iCs/>
                <w:szCs w:val="17"/>
                <w:lang w:eastAsia="en-US"/>
              </w:rPr>
            </w:pPr>
            <w:r w:rsidRPr="00462D07">
              <w:rPr>
                <w:rFonts w:asciiTheme="minorHAnsi" w:eastAsia="Times New Roman" w:hAnsiTheme="minorHAnsi"/>
                <w:iCs/>
                <w:szCs w:val="17"/>
                <w:lang w:eastAsia="en-US"/>
              </w:rPr>
              <w:t xml:space="preserve">The </w:t>
            </w:r>
            <w:r w:rsidRPr="00462D07">
              <w:rPr>
                <w:rFonts w:asciiTheme="minorHAnsi" w:eastAsia="Times New Roman" w:hAnsiTheme="minorHAnsi"/>
                <w:b/>
                <w:iCs/>
                <w:szCs w:val="17"/>
                <w:lang w:eastAsia="en-US"/>
              </w:rPr>
              <w:t>Pacific Private Sector Development Initiative</w:t>
            </w:r>
            <w:r w:rsidRPr="00462D07">
              <w:rPr>
                <w:rFonts w:asciiTheme="minorHAnsi" w:eastAsia="Times New Roman" w:hAnsiTheme="minorHAnsi"/>
                <w:iCs/>
                <w:szCs w:val="17"/>
                <w:lang w:eastAsia="en-US"/>
              </w:rPr>
              <w:t xml:space="preserve"> (PSDI) continued to empower women to participate in the private sector.  </w:t>
            </w:r>
            <w:r w:rsidR="00462D07">
              <w:rPr>
                <w:rFonts w:asciiTheme="minorHAnsi" w:eastAsia="Times New Roman" w:hAnsiTheme="minorHAnsi"/>
                <w:iCs/>
                <w:szCs w:val="17"/>
                <w:lang w:eastAsia="en-US"/>
              </w:rPr>
              <w:t xml:space="preserve">The </w:t>
            </w:r>
            <w:r w:rsidRPr="00462D07">
              <w:rPr>
                <w:rFonts w:asciiTheme="minorHAnsi" w:eastAsia="Times New Roman" w:hAnsiTheme="minorHAnsi"/>
                <w:iCs/>
                <w:szCs w:val="17"/>
                <w:lang w:eastAsia="en-US"/>
              </w:rPr>
              <w:t xml:space="preserve">PSDI produced a regional study of the context in which Pacific women engage in the private sector. </w:t>
            </w:r>
            <w:r w:rsidR="00462D07">
              <w:rPr>
                <w:rFonts w:asciiTheme="minorHAnsi" w:eastAsia="Times New Roman" w:hAnsiTheme="minorHAnsi"/>
                <w:iCs/>
                <w:szCs w:val="17"/>
                <w:lang w:eastAsia="en-US"/>
              </w:rPr>
              <w:t xml:space="preserve">The book </w:t>
            </w:r>
            <w:r w:rsidRPr="00462D07">
              <w:rPr>
                <w:rFonts w:asciiTheme="minorHAnsi" w:eastAsia="Times New Roman" w:hAnsiTheme="minorHAnsi"/>
                <w:i/>
                <w:iCs/>
                <w:szCs w:val="17"/>
                <w:lang w:eastAsia="en-US"/>
              </w:rPr>
              <w:t>Women and Business in the Pacific</w:t>
            </w:r>
            <w:r w:rsidR="00462D07">
              <w:rPr>
                <w:rFonts w:asciiTheme="minorHAnsi" w:eastAsia="Times New Roman" w:hAnsiTheme="minorHAnsi"/>
                <w:i/>
                <w:iCs/>
                <w:szCs w:val="17"/>
                <w:lang w:eastAsia="en-US"/>
              </w:rPr>
              <w:t xml:space="preserve"> </w:t>
            </w:r>
            <w:r w:rsidRPr="00462D07">
              <w:rPr>
                <w:rFonts w:asciiTheme="minorHAnsi" w:eastAsia="Times New Roman" w:hAnsiTheme="minorHAnsi"/>
                <w:iCs/>
                <w:szCs w:val="17"/>
                <w:lang w:eastAsia="en-US"/>
              </w:rPr>
              <w:t>analyses the circumstances and challenges of business-women a</w:t>
            </w:r>
            <w:r w:rsidR="00462D07">
              <w:rPr>
                <w:rFonts w:asciiTheme="minorHAnsi" w:eastAsia="Times New Roman" w:hAnsiTheme="minorHAnsi"/>
                <w:iCs/>
                <w:szCs w:val="17"/>
                <w:lang w:eastAsia="en-US"/>
              </w:rPr>
              <w:t xml:space="preserve">cross seven Pacific countries. </w:t>
            </w:r>
            <w:r w:rsidRPr="00462D07">
              <w:rPr>
                <w:rFonts w:asciiTheme="minorHAnsi" w:eastAsia="Times New Roman" w:hAnsiTheme="minorHAnsi"/>
                <w:iCs/>
                <w:szCs w:val="17"/>
                <w:lang w:eastAsia="en-US"/>
              </w:rPr>
              <w:t xml:space="preserve">The book advocates for legal and policy frameworks that support women’s increased participation in the private sector, and presents detailed strategies to address challenges specific to each country analysed.  The </w:t>
            </w:r>
            <w:r w:rsidR="00462D07">
              <w:rPr>
                <w:rFonts w:asciiTheme="minorHAnsi" w:eastAsia="Times New Roman" w:hAnsiTheme="minorHAnsi"/>
                <w:iCs/>
                <w:szCs w:val="17"/>
                <w:lang w:eastAsia="en-US"/>
              </w:rPr>
              <w:t>PSDI</w:t>
            </w:r>
            <w:r w:rsidRPr="00462D07">
              <w:rPr>
                <w:rFonts w:asciiTheme="minorHAnsi" w:eastAsia="Times New Roman" w:hAnsiTheme="minorHAnsi"/>
                <w:iCs/>
                <w:szCs w:val="17"/>
                <w:lang w:eastAsia="en-US"/>
              </w:rPr>
              <w:t xml:space="preserve"> continued to embed gender considerations across its main areas of work</w:t>
            </w:r>
            <w:r w:rsidR="00462D07">
              <w:rPr>
                <w:rFonts w:asciiTheme="minorHAnsi" w:eastAsia="Times New Roman" w:hAnsiTheme="minorHAnsi"/>
                <w:iCs/>
                <w:szCs w:val="17"/>
                <w:lang w:eastAsia="en-US"/>
              </w:rPr>
              <w:t>, eg</w:t>
            </w:r>
            <w:r w:rsidRPr="00462D07">
              <w:rPr>
                <w:rFonts w:asciiTheme="minorHAnsi" w:eastAsia="Times New Roman" w:hAnsiTheme="minorHAnsi"/>
                <w:iCs/>
                <w:szCs w:val="17"/>
                <w:lang w:eastAsia="en-US"/>
              </w:rPr>
              <w:t xml:space="preserve">. in PNG </w:t>
            </w:r>
            <w:r w:rsidR="00462D07">
              <w:rPr>
                <w:rFonts w:asciiTheme="minorHAnsi" w:eastAsia="Times New Roman" w:hAnsiTheme="minorHAnsi"/>
                <w:iCs/>
                <w:szCs w:val="17"/>
                <w:lang w:eastAsia="en-US"/>
              </w:rPr>
              <w:t xml:space="preserve">it </w:t>
            </w:r>
            <w:r w:rsidRPr="00462D07">
              <w:rPr>
                <w:rFonts w:asciiTheme="minorHAnsi" w:eastAsia="Times New Roman" w:hAnsiTheme="minorHAnsi"/>
                <w:iCs/>
                <w:szCs w:val="17"/>
                <w:lang w:eastAsia="en-US"/>
              </w:rPr>
              <w:t>is supporting the reforms of associations and cooperatives that is better aligned to women’s social and community norms.</w:t>
            </w:r>
          </w:p>
          <w:p w14:paraId="59333A7A" w14:textId="77777777" w:rsidR="004224CD" w:rsidRPr="00462D07" w:rsidRDefault="004224CD" w:rsidP="004224CD">
            <w:pPr>
              <w:keepLines/>
              <w:spacing w:before="40" w:after="40" w:line="200" w:lineRule="atLeast"/>
              <w:rPr>
                <w:rFonts w:asciiTheme="minorHAnsi" w:eastAsia="Times New Roman" w:hAnsiTheme="minorHAnsi"/>
                <w:iCs/>
                <w:szCs w:val="17"/>
                <w:lang w:eastAsia="en-US"/>
              </w:rPr>
            </w:pPr>
            <w:r w:rsidRPr="004224CD">
              <w:rPr>
                <w:rFonts w:asciiTheme="minorHAnsi" w:eastAsia="Times New Roman" w:hAnsiTheme="minorHAnsi"/>
                <w:b/>
                <w:iCs/>
                <w:szCs w:val="17"/>
                <w:lang w:eastAsia="en-US"/>
              </w:rPr>
              <w:t>PACER Plus</w:t>
            </w:r>
            <w:r w:rsidRPr="004224CD">
              <w:rPr>
                <w:rFonts w:asciiTheme="minorHAnsi" w:eastAsia="Times New Roman" w:hAnsiTheme="minorHAnsi"/>
                <w:iCs/>
                <w:szCs w:val="17"/>
                <w:lang w:eastAsia="en-US"/>
              </w:rPr>
              <w:t xml:space="preserve"> is helping women traders to more easil</w:t>
            </w:r>
            <w:r>
              <w:rPr>
                <w:rFonts w:asciiTheme="minorHAnsi" w:eastAsia="Times New Roman" w:hAnsiTheme="minorHAnsi"/>
                <w:iCs/>
                <w:szCs w:val="17"/>
                <w:lang w:eastAsia="en-US"/>
              </w:rPr>
              <w:t>y participate in regional trade.</w:t>
            </w:r>
            <w:r w:rsidRPr="004224CD">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As part of</w:t>
            </w:r>
            <w:r w:rsidRPr="004224CD">
              <w:rPr>
                <w:rFonts w:asciiTheme="minorHAnsi" w:eastAsia="Times New Roman" w:hAnsiTheme="minorHAnsi"/>
                <w:iCs/>
                <w:szCs w:val="17"/>
                <w:lang w:eastAsia="en-US"/>
              </w:rPr>
              <w:t xml:space="preserve"> PACER Plus Readiness Package, UNCTAD produced a major study on gender and trade transparency; country fact sheets on gender and trade; and an export manual for women traders. This work is informing UNCTAD’s approach to establishing trade portals in signatory countries, which will provide traders (including women traders) with up to date and accessible information of trade procedures and processes. It also fills information gaps around key constraints to women participating in regional trade and provides recommendations for how PACER Plus can incorporate gender to maximise development benefits.</w:t>
            </w:r>
          </w:p>
        </w:tc>
      </w:tr>
      <w:tr w:rsidR="008821C2" w:rsidRPr="00812509" w14:paraId="0D0840A2" w14:textId="77777777" w:rsidTr="004224CD">
        <w:trPr>
          <w:cnfStyle w:val="000000010000" w:firstRow="0" w:lastRow="0" w:firstColumn="0" w:lastColumn="0" w:oddVBand="0" w:evenVBand="0" w:oddHBand="0" w:evenHBand="1" w:firstRowFirstColumn="0" w:firstRowLastColumn="0" w:lastRowFirstColumn="0" w:lastRowLastColumn="0"/>
        </w:trPr>
        <w:tc>
          <w:tcPr>
            <w:tcW w:w="29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1CB332" w14:textId="77777777" w:rsidR="008821C2" w:rsidRPr="00812509" w:rsidRDefault="00EE5111" w:rsidP="0017161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w:t>
            </w:r>
            <w:r w:rsidRPr="00EE5111">
              <w:rPr>
                <w:rFonts w:asciiTheme="minorHAnsi" w:eastAsia="Times New Roman" w:hAnsiTheme="minorHAnsi"/>
                <w:iCs/>
                <w:szCs w:val="17"/>
                <w:lang w:eastAsia="en-US"/>
              </w:rPr>
              <w:t>trengthen donor coordination across our health investments, and increase our support for NCD prevention</w:t>
            </w:r>
            <w:r>
              <w:rPr>
                <w:rFonts w:asciiTheme="minorHAnsi" w:eastAsia="Times New Roman" w:hAnsiTheme="minorHAnsi"/>
                <w:iCs/>
                <w:szCs w:val="17"/>
                <w:lang w:eastAsia="en-US"/>
              </w:rPr>
              <w:t>.</w:t>
            </w:r>
          </w:p>
        </w:tc>
        <w:tc>
          <w:tcPr>
            <w:tcW w:w="11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61359D6" w14:textId="77777777" w:rsidR="008821C2" w:rsidRPr="00812509" w:rsidRDefault="00462D07" w:rsidP="00171615">
            <w:pPr>
              <w:keepLines/>
              <w:spacing w:before="40" w:after="40" w:line="200" w:lineRule="atLeast"/>
              <w:jc w:val="center"/>
              <w:rPr>
                <w:rFonts w:asciiTheme="minorHAnsi" w:eastAsia="Times New Roman" w:hAnsiTheme="minorHAnsi"/>
                <w:iCs/>
                <w:color w:val="FFFFFF" w:themeColor="background1"/>
                <w:szCs w:val="17"/>
                <w:lang w:eastAsia="en-US"/>
              </w:rPr>
            </w:pPr>
            <w:r>
              <w:rPr>
                <w:rFonts w:eastAsia="Times New Roman"/>
                <w:iCs/>
                <w:color w:val="FFC000"/>
                <w:szCs w:val="17"/>
              </w:rPr>
              <w:t>Part</w:t>
            </w:r>
            <w:r w:rsidRPr="0060359B">
              <w:rPr>
                <w:rFonts w:eastAsia="Times New Roman"/>
                <w:iCs/>
                <w:color w:val="FFC000"/>
                <w:szCs w:val="17"/>
              </w:rPr>
              <w:t>ly achieved</w:t>
            </w:r>
          </w:p>
        </w:tc>
        <w:tc>
          <w:tcPr>
            <w:tcW w:w="102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6A23F6" w14:textId="77777777" w:rsidR="008821C2" w:rsidRPr="00462D07" w:rsidRDefault="00462D07" w:rsidP="00171615">
            <w:pPr>
              <w:keepLines/>
              <w:spacing w:before="40" w:after="40" w:line="200" w:lineRule="atLeast"/>
              <w:rPr>
                <w:rFonts w:asciiTheme="minorHAnsi" w:eastAsia="Times New Roman" w:hAnsiTheme="minorHAnsi"/>
                <w:iCs/>
                <w:szCs w:val="17"/>
                <w:lang w:eastAsia="en-US"/>
              </w:rPr>
            </w:pPr>
            <w:r w:rsidRPr="00462D07">
              <w:rPr>
                <w:rFonts w:asciiTheme="minorHAnsi" w:eastAsia="Times New Roman" w:hAnsiTheme="minorHAnsi"/>
                <w:b/>
                <w:iCs/>
                <w:szCs w:val="17"/>
                <w:lang w:eastAsia="en-US"/>
              </w:rPr>
              <w:t>Donor Coordination</w:t>
            </w:r>
            <w:r w:rsidRPr="00462D07">
              <w:rPr>
                <w:rFonts w:asciiTheme="minorHAnsi" w:eastAsia="Times New Roman" w:hAnsiTheme="minorHAnsi"/>
                <w:iCs/>
                <w:szCs w:val="17"/>
                <w:lang w:eastAsia="en-US"/>
              </w:rPr>
              <w:t xml:space="preserve"> - </w:t>
            </w:r>
            <w:r w:rsidR="00973040" w:rsidRPr="00462D07">
              <w:rPr>
                <w:rFonts w:asciiTheme="minorHAnsi" w:eastAsia="Times New Roman" w:hAnsiTheme="minorHAnsi"/>
                <w:iCs/>
                <w:szCs w:val="17"/>
                <w:lang w:eastAsia="en-US"/>
              </w:rPr>
              <w:t>DFAT continued to work with the QUINTS+ formal donor coordination mechanism (originally established by DFAT). QUINTS+ brings together SPC PHD, WHO WPRO, World Bank, ADB, MFAT and DFAT for joint problem solving around long-term and emerging Pacific health and coordination issues. DFAT continues to drive the mechanism to ensure shared understanding of priorities, roles, responsibilities and stakeholders’ comparative advantages.</w:t>
            </w:r>
          </w:p>
          <w:p w14:paraId="15F25735" w14:textId="77E5ACE2" w:rsidR="00973040" w:rsidRPr="00462D07" w:rsidRDefault="00462D07" w:rsidP="00462D07">
            <w:pPr>
              <w:keepLines/>
              <w:spacing w:before="40" w:after="40" w:line="200" w:lineRule="atLeast"/>
              <w:rPr>
                <w:rFonts w:asciiTheme="minorHAnsi" w:eastAsia="Times New Roman" w:hAnsiTheme="minorHAnsi"/>
                <w:iCs/>
                <w:szCs w:val="17"/>
                <w:lang w:eastAsia="en-US"/>
              </w:rPr>
            </w:pPr>
            <w:r w:rsidRPr="00462D07">
              <w:rPr>
                <w:rFonts w:asciiTheme="minorHAnsi" w:eastAsia="Times New Roman" w:hAnsiTheme="minorHAnsi"/>
                <w:b/>
                <w:iCs/>
                <w:szCs w:val="17"/>
                <w:lang w:eastAsia="en-US"/>
              </w:rPr>
              <w:t>NCDs</w:t>
            </w:r>
            <w:r w:rsidRPr="00462D07">
              <w:rPr>
                <w:rFonts w:asciiTheme="minorHAnsi" w:eastAsia="Times New Roman" w:hAnsiTheme="minorHAnsi"/>
                <w:iCs/>
                <w:szCs w:val="17"/>
                <w:lang w:eastAsia="en-US"/>
              </w:rPr>
              <w:t xml:space="preserve"> – We </w:t>
            </w:r>
            <w:r w:rsidR="00973040" w:rsidRPr="00462D07">
              <w:rPr>
                <w:rFonts w:asciiTheme="minorHAnsi" w:eastAsia="Times New Roman" w:hAnsiTheme="minorHAnsi"/>
                <w:iCs/>
                <w:szCs w:val="17"/>
                <w:lang w:eastAsia="en-US"/>
              </w:rPr>
              <w:t xml:space="preserve">committed an additional </w:t>
            </w:r>
            <w:r w:rsidR="003A23F3">
              <w:rPr>
                <w:rFonts w:asciiTheme="minorHAnsi" w:eastAsia="Times New Roman" w:hAnsiTheme="minorHAnsi"/>
                <w:iCs/>
                <w:szCs w:val="17"/>
                <w:lang w:eastAsia="en-US"/>
              </w:rPr>
              <w:t>AUD</w:t>
            </w:r>
            <w:r w:rsidR="00973040" w:rsidRPr="00462D07">
              <w:rPr>
                <w:rFonts w:asciiTheme="minorHAnsi" w:eastAsia="Times New Roman" w:hAnsiTheme="minorHAnsi"/>
                <w:iCs/>
                <w:szCs w:val="17"/>
                <w:lang w:eastAsia="en-US"/>
              </w:rPr>
              <w:t>1 million to enable SPC PHD to accelerate efforts to address childhood obesity. This enabled SPC PHD to expand its work with countries to ensure action on childhood obesity occurs in a coordinated way across all relevant sectors.</w:t>
            </w:r>
          </w:p>
        </w:tc>
      </w:tr>
      <w:tr w:rsidR="008821C2" w:rsidRPr="00812509" w14:paraId="421EABCB" w14:textId="77777777" w:rsidTr="004224CD">
        <w:trPr>
          <w:cnfStyle w:val="000000010000" w:firstRow="0" w:lastRow="0" w:firstColumn="0" w:lastColumn="0" w:oddVBand="0" w:evenVBand="0" w:oddHBand="0" w:evenHBand="1" w:firstRowFirstColumn="0" w:firstRowLastColumn="0" w:lastRowFirstColumn="0" w:lastRowLastColumn="0"/>
        </w:trPr>
        <w:tc>
          <w:tcPr>
            <w:tcW w:w="29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0A4390F" w14:textId="77777777" w:rsidR="008821C2" w:rsidRPr="00812509" w:rsidRDefault="00EE5111" w:rsidP="0017161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w:t>
            </w:r>
            <w:r w:rsidRPr="00EE5111">
              <w:rPr>
                <w:rFonts w:asciiTheme="minorHAnsi" w:eastAsia="Times New Roman" w:hAnsiTheme="minorHAnsi"/>
                <w:iCs/>
                <w:szCs w:val="17"/>
                <w:lang w:eastAsia="en-US"/>
              </w:rPr>
              <w:t>evelop a new Aid Investment Plan in the first quarter of 2019</w:t>
            </w:r>
            <w:r>
              <w:rPr>
                <w:rFonts w:asciiTheme="minorHAnsi" w:eastAsia="Times New Roman" w:hAnsiTheme="minorHAnsi"/>
                <w:iCs/>
                <w:szCs w:val="17"/>
                <w:lang w:eastAsia="en-US"/>
              </w:rPr>
              <w:t>.</w:t>
            </w:r>
          </w:p>
        </w:tc>
        <w:tc>
          <w:tcPr>
            <w:tcW w:w="11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72D9C64" w14:textId="77777777" w:rsidR="008821C2" w:rsidRPr="00812509" w:rsidRDefault="00D55C9D" w:rsidP="00B31F15">
            <w:pPr>
              <w:keepLines/>
              <w:spacing w:before="40" w:after="40" w:line="200" w:lineRule="atLeast"/>
              <w:jc w:val="center"/>
              <w:rPr>
                <w:rFonts w:asciiTheme="minorHAnsi" w:eastAsia="Times New Roman" w:hAnsiTheme="minorHAnsi"/>
                <w:iCs/>
                <w:color w:val="FFFFFF" w:themeColor="background1"/>
                <w:szCs w:val="17"/>
                <w:lang w:eastAsia="en-US"/>
              </w:rPr>
            </w:pPr>
            <w:r w:rsidRPr="000A29B4">
              <w:rPr>
                <w:rFonts w:eastAsia="Times New Roman"/>
                <w:iCs/>
                <w:color w:val="FF0000"/>
                <w:szCs w:val="17"/>
              </w:rPr>
              <w:t xml:space="preserve">Not </w:t>
            </w:r>
            <w:r w:rsidR="000814A8" w:rsidRPr="000A29B4">
              <w:rPr>
                <w:rFonts w:eastAsia="Times New Roman"/>
                <w:iCs/>
                <w:color w:val="FF0000"/>
                <w:szCs w:val="17"/>
              </w:rPr>
              <w:t>achieved</w:t>
            </w:r>
          </w:p>
        </w:tc>
        <w:tc>
          <w:tcPr>
            <w:tcW w:w="102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BD554AF" w14:textId="77777777" w:rsidR="008821C2" w:rsidRPr="00462D07" w:rsidRDefault="00293023" w:rsidP="0017161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O</w:t>
            </w:r>
            <w:r w:rsidR="00C256E1" w:rsidRPr="00462D07">
              <w:rPr>
                <w:rFonts w:asciiTheme="minorHAnsi" w:eastAsia="Times New Roman" w:hAnsiTheme="minorHAnsi"/>
                <w:iCs/>
                <w:szCs w:val="17"/>
                <w:lang w:eastAsia="en-US"/>
              </w:rPr>
              <w:t>nly s</w:t>
            </w:r>
            <w:r w:rsidR="00D55C9D" w:rsidRPr="00462D07">
              <w:rPr>
                <w:rFonts w:asciiTheme="minorHAnsi" w:eastAsia="Times New Roman" w:hAnsiTheme="minorHAnsi"/>
                <w:iCs/>
                <w:szCs w:val="17"/>
                <w:lang w:eastAsia="en-US"/>
              </w:rPr>
              <w:t>ome preparatory work was undertaken in 2018-19</w:t>
            </w:r>
            <w:r w:rsidR="00005A6E" w:rsidRPr="00462D07">
              <w:rPr>
                <w:rFonts w:asciiTheme="minorHAnsi" w:eastAsia="Times New Roman" w:hAnsiTheme="minorHAnsi"/>
                <w:iCs/>
                <w:szCs w:val="17"/>
                <w:lang w:eastAsia="en-US"/>
              </w:rPr>
              <w:t xml:space="preserve"> to develop a new Aid Investment Plan. The AIP will be prioritised to be finialised by the end of 2019.</w:t>
            </w:r>
            <w:r w:rsidR="00D55C9D" w:rsidRPr="00462D07">
              <w:rPr>
                <w:rFonts w:asciiTheme="minorHAnsi" w:eastAsia="Times New Roman" w:hAnsiTheme="minorHAnsi"/>
                <w:iCs/>
                <w:szCs w:val="17"/>
                <w:lang w:eastAsia="en-US"/>
              </w:rPr>
              <w:t xml:space="preserve"> </w:t>
            </w:r>
          </w:p>
        </w:tc>
      </w:tr>
      <w:tr w:rsidR="008821C2" w:rsidRPr="00812509" w14:paraId="0AAAB6CF" w14:textId="77777777" w:rsidTr="004224CD">
        <w:trPr>
          <w:cnfStyle w:val="000000010000" w:firstRow="0" w:lastRow="0" w:firstColumn="0" w:lastColumn="0" w:oddVBand="0" w:evenVBand="0" w:oddHBand="0" w:evenHBand="1" w:firstRowFirstColumn="0" w:firstRowLastColumn="0" w:lastRowFirstColumn="0" w:lastRowLastColumn="0"/>
        </w:trPr>
        <w:tc>
          <w:tcPr>
            <w:tcW w:w="29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DB16C14" w14:textId="77777777" w:rsidR="008821C2" w:rsidRPr="00812509" w:rsidRDefault="00EE5111" w:rsidP="0017161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DFAT will </w:t>
            </w:r>
            <w:r w:rsidRPr="00EE5111">
              <w:rPr>
                <w:rFonts w:asciiTheme="minorHAnsi" w:eastAsia="Times New Roman" w:hAnsiTheme="minorHAnsi"/>
                <w:iCs/>
                <w:szCs w:val="17"/>
                <w:lang w:eastAsia="en-US"/>
              </w:rPr>
              <w:t>continue to strengthen bilateral and regional aid program coordination, alignment and synergies</w:t>
            </w:r>
            <w:r>
              <w:rPr>
                <w:rFonts w:asciiTheme="minorHAnsi" w:eastAsia="Times New Roman" w:hAnsiTheme="minorHAnsi"/>
                <w:iCs/>
                <w:szCs w:val="17"/>
                <w:lang w:eastAsia="en-US"/>
              </w:rPr>
              <w:t>.</w:t>
            </w:r>
          </w:p>
        </w:tc>
        <w:tc>
          <w:tcPr>
            <w:tcW w:w="11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A8C133C" w14:textId="77777777" w:rsidR="008821C2" w:rsidRPr="00812509" w:rsidRDefault="00AA4AAC" w:rsidP="00171615">
            <w:pPr>
              <w:keepLines/>
              <w:spacing w:before="40" w:after="40" w:line="200" w:lineRule="atLeast"/>
              <w:jc w:val="center"/>
              <w:rPr>
                <w:rFonts w:asciiTheme="minorHAnsi" w:eastAsia="Times New Roman" w:hAnsiTheme="minorHAnsi"/>
                <w:iCs/>
                <w:color w:val="FFFFFF" w:themeColor="background1"/>
                <w:szCs w:val="17"/>
                <w:lang w:eastAsia="en-US"/>
              </w:rPr>
            </w:pPr>
            <w:r>
              <w:rPr>
                <w:rFonts w:eastAsia="Times New Roman"/>
                <w:iCs/>
                <w:color w:val="FFC000"/>
                <w:szCs w:val="17"/>
              </w:rPr>
              <w:t>Part</w:t>
            </w:r>
            <w:r w:rsidRPr="0060359B">
              <w:rPr>
                <w:rFonts w:eastAsia="Times New Roman"/>
                <w:iCs/>
                <w:color w:val="FFC000"/>
                <w:szCs w:val="17"/>
              </w:rPr>
              <w:t>ly achieved</w:t>
            </w:r>
            <w:r>
              <w:rPr>
                <w:rFonts w:asciiTheme="minorHAnsi" w:eastAsia="Times New Roman" w:hAnsiTheme="minorHAnsi"/>
                <w:iCs/>
                <w:color w:val="FFFFFF" w:themeColor="background1"/>
                <w:szCs w:val="17"/>
                <w:lang w:eastAsia="en-US"/>
              </w:rPr>
              <w:t xml:space="preserve"> </w:t>
            </w:r>
          </w:p>
        </w:tc>
        <w:tc>
          <w:tcPr>
            <w:tcW w:w="1022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CAA1B7" w14:textId="77777777" w:rsidR="008821C2" w:rsidRPr="00462D07" w:rsidRDefault="00AA4AAC" w:rsidP="00293023">
            <w:pPr>
              <w:keepLines/>
              <w:spacing w:before="40" w:after="40" w:line="200" w:lineRule="atLeast"/>
              <w:rPr>
                <w:rFonts w:asciiTheme="minorHAnsi" w:eastAsia="Times New Roman" w:hAnsiTheme="minorHAnsi"/>
                <w:iCs/>
                <w:szCs w:val="17"/>
                <w:lang w:eastAsia="en-US"/>
              </w:rPr>
            </w:pPr>
            <w:r w:rsidRPr="00462D07">
              <w:rPr>
                <w:rFonts w:asciiTheme="minorHAnsi" w:eastAsia="Times New Roman" w:hAnsiTheme="minorHAnsi"/>
                <w:iCs/>
                <w:szCs w:val="17"/>
                <w:lang w:eastAsia="en-US"/>
              </w:rPr>
              <w:t xml:space="preserve">DFAT has commenced development of a joint performance assessment framework (PAF) that includes all Pacific investment (bilateral and region). </w:t>
            </w:r>
            <w:r w:rsidR="00293023">
              <w:rPr>
                <w:rFonts w:asciiTheme="minorHAnsi" w:eastAsia="Times New Roman" w:hAnsiTheme="minorHAnsi"/>
                <w:iCs/>
                <w:szCs w:val="17"/>
                <w:lang w:eastAsia="en-US"/>
              </w:rPr>
              <w:t xml:space="preserve">One </w:t>
            </w:r>
            <w:r w:rsidRPr="00462D07">
              <w:rPr>
                <w:rFonts w:asciiTheme="minorHAnsi" w:eastAsia="Times New Roman" w:hAnsiTheme="minorHAnsi"/>
                <w:iCs/>
                <w:szCs w:val="17"/>
                <w:lang w:eastAsia="en-US"/>
              </w:rPr>
              <w:t xml:space="preserve">aim of the PAF is to improve Pacific program coherence and coordination. More regular Office of the Pacific operations meetings have assisted in building better understanding between bilateral and regional programs. </w:t>
            </w:r>
          </w:p>
        </w:tc>
      </w:tr>
    </w:tbl>
    <w:p w14:paraId="5233E80F" w14:textId="77777777" w:rsidR="008821C2" w:rsidRPr="00812509" w:rsidRDefault="008821C2" w:rsidP="008821C2">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2C5A5E84" w14:textId="77777777"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14:paraId="21E8CA58" w14:textId="77777777"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7AA74405" w14:textId="77777777" w:rsidR="008821C2" w:rsidRPr="00812509" w:rsidRDefault="008821C2" w:rsidP="008821C2">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7DE95A8A" w14:textId="77777777" w:rsidR="00033AB7" w:rsidRPr="008821C2" w:rsidRDefault="002A51CA" w:rsidP="0060359B">
      <w:pPr>
        <w:pStyle w:val="Subtitle"/>
        <w:numPr>
          <w:ilvl w:val="0"/>
          <w:numId w:val="0"/>
        </w:numPr>
        <w:tabs>
          <w:tab w:val="left" w:pos="4820"/>
        </w:tabs>
        <w:spacing w:before="360" w:after="120" w:line="300" w:lineRule="exact"/>
        <w:rPr>
          <w:rFonts w:asciiTheme="majorHAnsi" w:hAnsiTheme="majorHAnsi" w:cstheme="majorHAnsi"/>
        </w:rPr>
      </w:pPr>
      <w:r w:rsidRPr="008821C2">
        <w:rPr>
          <w:rFonts w:asciiTheme="majorHAnsi" w:eastAsia="Times New Roman" w:hAnsiTheme="majorHAnsi" w:cstheme="majorHAnsi"/>
          <w:sz w:val="21"/>
        </w:rPr>
        <w:t xml:space="preserve"> </w:t>
      </w:r>
      <w:r w:rsidR="00400B0F" w:rsidRPr="008821C2">
        <w:rPr>
          <w:rFonts w:asciiTheme="majorHAnsi" w:hAnsiTheme="majorHAnsi" w:cstheme="majorHAnsi"/>
        </w:rPr>
        <w:t xml:space="preserve">Annex B </w:t>
      </w:r>
      <w:r w:rsidR="00033AB7" w:rsidRPr="008821C2">
        <w:rPr>
          <w:rFonts w:asciiTheme="majorHAnsi" w:hAnsiTheme="majorHAnsi" w:cstheme="majorHAnsi"/>
        </w:rPr>
        <w:t>–</w:t>
      </w:r>
      <w:r w:rsidR="00400B0F" w:rsidRPr="008821C2">
        <w:rPr>
          <w:rFonts w:asciiTheme="majorHAnsi" w:hAnsiTheme="majorHAnsi" w:cstheme="majorHAnsi"/>
        </w:rPr>
        <w:t xml:space="preserve"> </w:t>
      </w:r>
      <w:r w:rsidR="00033AB7" w:rsidRPr="008821C2">
        <w:rPr>
          <w:rFonts w:asciiTheme="majorHAnsi" w:hAnsiTheme="majorHAnsi" w:cstheme="majorHAnsi"/>
        </w:rPr>
        <w:t>PERFORMANCE BENCHMARKS</w:t>
      </w:r>
    </w:p>
    <w:p w14:paraId="7C436188" w14:textId="77777777" w:rsidR="008821C2" w:rsidRPr="00F8189A" w:rsidRDefault="008821C2" w:rsidP="008821C2">
      <w:pPr>
        <w:rPr>
          <w:rFonts w:eastAsia="Times New Roman" w:cstheme="minorHAnsi"/>
          <w:sz w:val="32"/>
          <w:szCs w:val="32"/>
        </w:rPr>
      </w:pPr>
      <w:r w:rsidRPr="00F8189A">
        <w:rPr>
          <w:rFonts w:eastAsia="Times New Roman" w:cstheme="minorHAnsi"/>
          <w:sz w:val="32"/>
          <w:szCs w:val="32"/>
        </w:rPr>
        <w:t>Progress towards Performance Benchmarks in 2018-19</w:t>
      </w:r>
    </w:p>
    <w:p w14:paraId="400192EC" w14:textId="77777777" w:rsidR="008821C2" w:rsidRPr="008F4509" w:rsidRDefault="008F4509" w:rsidP="008821C2">
      <w:pPr>
        <w:spacing w:after="120"/>
        <w:rPr>
          <w:color w:val="auto"/>
        </w:rPr>
      </w:pPr>
      <w:r>
        <w:rPr>
          <w:color w:val="auto"/>
        </w:rPr>
        <w:t>Most p</w:t>
      </w:r>
      <w:r w:rsidR="0060359B" w:rsidRPr="008F4509">
        <w:rPr>
          <w:color w:val="auto"/>
        </w:rPr>
        <w:t xml:space="preserve">erformance benchmarks in 2018-19 were achieved or partly achieved (six of 10 </w:t>
      </w:r>
      <w:r w:rsidRPr="008F4509">
        <w:rPr>
          <w:color w:val="auto"/>
        </w:rPr>
        <w:t>achieved</w:t>
      </w:r>
      <w:r w:rsidR="0060359B" w:rsidRPr="008F4509">
        <w:rPr>
          <w:color w:val="auto"/>
        </w:rPr>
        <w:t>, 3 of 10 partly achieved and 1 benchmark no longer relevant)</w:t>
      </w:r>
      <w:r w:rsidRPr="008F4509">
        <w:rPr>
          <w:color w:val="auto"/>
        </w:rPr>
        <w:t>.</w:t>
      </w:r>
      <w:r w:rsidR="0060359B" w:rsidRPr="008F4509">
        <w:rPr>
          <w:color w:val="auto"/>
        </w:rPr>
        <w:t xml:space="preserve"> </w:t>
      </w:r>
    </w:p>
    <w:p w14:paraId="176E2C99" w14:textId="77777777" w:rsidR="00E70D77" w:rsidRPr="00880004" w:rsidRDefault="00E70D77" w:rsidP="00E70D77">
      <w:pPr>
        <w:spacing w:before="20" w:after="20" w:line="180" w:lineRule="atLeast"/>
        <w:jc w:val="both"/>
        <w:rPr>
          <w:rFonts w:eastAsia="Times New Roman"/>
          <w:b/>
          <w:sz w:val="16"/>
          <w:szCs w:val="14"/>
        </w:rPr>
      </w:pPr>
      <w:r w:rsidRPr="00880004">
        <w:rPr>
          <w:rFonts w:eastAsia="Times New Roman"/>
          <w:b/>
          <w:sz w:val="16"/>
          <w:szCs w:val="14"/>
        </w:rPr>
        <w:t>Note</w:t>
      </w:r>
      <w:r>
        <w:rPr>
          <w:rFonts w:eastAsia="Times New Roman"/>
          <w:b/>
          <w:sz w:val="16"/>
          <w:szCs w:val="14"/>
        </w:rPr>
        <w:t xml:space="preserve"> Ratings categories</w:t>
      </w:r>
      <w:r w:rsidRPr="00880004">
        <w:rPr>
          <w:rFonts w:eastAsia="Times New Roman"/>
          <w:b/>
          <w:sz w:val="16"/>
          <w:szCs w:val="14"/>
        </w:rPr>
        <w:t xml:space="preserve">: </w:t>
      </w:r>
    </w:p>
    <w:p w14:paraId="78B19A48" w14:textId="77777777" w:rsidR="00E70D77" w:rsidRPr="00880004" w:rsidRDefault="00E70D77" w:rsidP="00E70D77">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5078BEE8" w14:textId="77777777" w:rsidR="00E70D77" w:rsidRPr="00880004" w:rsidRDefault="00E70D77" w:rsidP="00E70D77">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4340A2C6" w14:textId="77777777" w:rsidR="00171615" w:rsidRPr="00976BB4" w:rsidRDefault="00E70D77" w:rsidP="00976BB4">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tbl>
      <w:tblPr>
        <w:tblStyle w:val="DFATTable"/>
        <w:tblW w:w="5000" w:type="pct"/>
        <w:tblLook w:val="04A0" w:firstRow="1" w:lastRow="0" w:firstColumn="1" w:lastColumn="0" w:noHBand="0" w:noVBand="1"/>
      </w:tblPr>
      <w:tblGrid>
        <w:gridCol w:w="2211"/>
        <w:gridCol w:w="2211"/>
        <w:gridCol w:w="1332"/>
        <w:gridCol w:w="8419"/>
      </w:tblGrid>
      <w:tr w:rsidR="008821C2" w:rsidRPr="00C61187" w14:paraId="6D9BF563" w14:textId="77777777" w:rsidTr="00171615">
        <w:trPr>
          <w:tblHeader/>
        </w:trPr>
        <w:tc>
          <w:tcPr>
            <w:tcW w:w="780" w:type="pct"/>
            <w:tcMar>
              <w:top w:w="57" w:type="dxa"/>
              <w:bottom w:w="57" w:type="dxa"/>
            </w:tcMar>
          </w:tcPr>
          <w:p w14:paraId="21B14D43" w14:textId="77777777" w:rsidR="008821C2" w:rsidRPr="00880004" w:rsidRDefault="008821C2" w:rsidP="00171615">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780" w:type="pct"/>
          </w:tcPr>
          <w:p w14:paraId="29EDDA2F" w14:textId="77777777" w:rsidR="008821C2" w:rsidRPr="00880004" w:rsidRDefault="008821C2" w:rsidP="00171615">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70" w:type="pct"/>
          </w:tcPr>
          <w:p w14:paraId="24D8048F" w14:textId="77777777" w:rsidR="008821C2" w:rsidRPr="00880004" w:rsidRDefault="008821C2" w:rsidP="00171615">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Pr>
          <w:p w14:paraId="0E33A05E" w14:textId="77777777" w:rsidR="008821C2" w:rsidRPr="00880004" w:rsidRDefault="008821C2" w:rsidP="003E2BE7">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sidR="003E2BE7">
              <w:rPr>
                <w:rFonts w:asciiTheme="minorHAnsi" w:eastAsia="Times New Roman" w:hAnsiTheme="minorHAnsi"/>
                <w:b/>
                <w:iCs/>
                <w:szCs w:val="17"/>
                <w:lang w:eastAsia="en-US"/>
              </w:rPr>
              <w:t>8-19</w:t>
            </w:r>
          </w:p>
        </w:tc>
      </w:tr>
      <w:tr w:rsidR="00171615" w:rsidRPr="00C61187" w14:paraId="2B0816A5" w14:textId="77777777" w:rsidTr="00171615">
        <w:tc>
          <w:tcPr>
            <w:tcW w:w="780" w:type="pct"/>
            <w:tcMar>
              <w:top w:w="57" w:type="dxa"/>
              <w:bottom w:w="57" w:type="dxa"/>
            </w:tcMar>
          </w:tcPr>
          <w:p w14:paraId="1321BC7F" w14:textId="77777777" w:rsidR="00171615" w:rsidRPr="00DC6840" w:rsidRDefault="00171615" w:rsidP="00171615">
            <w:pPr>
              <w:keepLines/>
              <w:spacing w:before="40" w:after="40" w:line="200" w:lineRule="atLeast"/>
              <w:rPr>
                <w:rFonts w:eastAsia="Times New Roman"/>
                <w:b/>
                <w:iCs/>
                <w:szCs w:val="17"/>
              </w:rPr>
            </w:pPr>
            <w:r w:rsidRPr="003D4BB7">
              <w:rPr>
                <w:rFonts w:eastAsia="Times New Roman"/>
                <w:b/>
                <w:iCs/>
                <w:szCs w:val="17"/>
              </w:rPr>
              <w:t>Objective 1: Economic Growth</w:t>
            </w:r>
          </w:p>
        </w:tc>
        <w:tc>
          <w:tcPr>
            <w:tcW w:w="780" w:type="pct"/>
          </w:tcPr>
          <w:p w14:paraId="10490C69" w14:textId="77777777" w:rsidR="00171615" w:rsidRPr="004C3EF9" w:rsidRDefault="00171615" w:rsidP="00171615">
            <w:pPr>
              <w:keepLines/>
              <w:spacing w:before="40" w:after="40" w:line="200" w:lineRule="atLeast"/>
              <w:rPr>
                <w:rFonts w:asciiTheme="minorHAnsi" w:eastAsia="Times New Roman" w:hAnsiTheme="minorHAnsi"/>
                <w:iCs/>
                <w:color w:val="auto"/>
                <w:szCs w:val="17"/>
                <w:lang w:eastAsia="en-US"/>
              </w:rPr>
            </w:pPr>
          </w:p>
        </w:tc>
        <w:tc>
          <w:tcPr>
            <w:tcW w:w="470" w:type="pct"/>
            <w:shd w:val="clear" w:color="auto" w:fill="auto"/>
          </w:tcPr>
          <w:p w14:paraId="5D6DDB6E" w14:textId="77777777" w:rsidR="00171615" w:rsidRPr="004C3EF9" w:rsidRDefault="00171615" w:rsidP="00171615">
            <w:pPr>
              <w:keepLines/>
              <w:spacing w:before="40" w:after="40" w:line="200" w:lineRule="atLeast"/>
              <w:jc w:val="center"/>
              <w:rPr>
                <w:rFonts w:asciiTheme="minorHAnsi" w:eastAsia="Times New Roman" w:hAnsiTheme="minorHAnsi"/>
                <w:iCs/>
                <w:color w:val="auto"/>
                <w:szCs w:val="17"/>
                <w:lang w:eastAsia="en-US"/>
              </w:rPr>
            </w:pPr>
          </w:p>
        </w:tc>
        <w:tc>
          <w:tcPr>
            <w:tcW w:w="2970" w:type="pct"/>
          </w:tcPr>
          <w:p w14:paraId="5A87E925" w14:textId="77777777" w:rsidR="00171615" w:rsidRPr="004C3EF9" w:rsidRDefault="00171615" w:rsidP="00171615">
            <w:pPr>
              <w:pStyle w:val="TableTextEntries"/>
              <w:keepNext/>
              <w:rPr>
                <w:rFonts w:asciiTheme="minorHAnsi" w:hAnsiTheme="minorHAnsi"/>
                <w:iCs w:val="0"/>
                <w:lang w:eastAsia="en-US"/>
              </w:rPr>
            </w:pPr>
          </w:p>
        </w:tc>
      </w:tr>
      <w:tr w:rsidR="00171615" w:rsidRPr="00C61187" w14:paraId="7A5CC2FB" w14:textId="77777777" w:rsidTr="00171615">
        <w:tc>
          <w:tcPr>
            <w:tcW w:w="780" w:type="pct"/>
            <w:tcMar>
              <w:top w:w="57" w:type="dxa"/>
              <w:bottom w:w="57" w:type="dxa"/>
            </w:tcMar>
          </w:tcPr>
          <w:p w14:paraId="7059887D" w14:textId="77777777" w:rsidR="00171615" w:rsidRPr="00085E5F" w:rsidRDefault="00171615" w:rsidP="00171615">
            <w:pPr>
              <w:keepLines/>
              <w:spacing w:before="40" w:after="40" w:line="200" w:lineRule="atLeast"/>
              <w:rPr>
                <w:rFonts w:asciiTheme="minorHAnsi" w:eastAsia="Times New Roman" w:hAnsiTheme="minorHAnsi"/>
                <w:iCs/>
                <w:color w:val="FF0000"/>
                <w:szCs w:val="17"/>
                <w:lang w:eastAsia="en-US"/>
              </w:rPr>
            </w:pPr>
            <w:r w:rsidRPr="003D4BB7">
              <w:rPr>
                <w:i/>
                <w:iCs/>
                <w:szCs w:val="17"/>
              </w:rPr>
              <w:t>Collective action managing regional resources delivers economic benefits to Pacific governments</w:t>
            </w:r>
          </w:p>
        </w:tc>
        <w:tc>
          <w:tcPr>
            <w:tcW w:w="780" w:type="pct"/>
          </w:tcPr>
          <w:p w14:paraId="35D6075E" w14:textId="41265CED" w:rsidR="00171615" w:rsidRPr="004F6156" w:rsidRDefault="004C3EF9" w:rsidP="00171615">
            <w:pPr>
              <w:keepLines/>
              <w:spacing w:before="40" w:after="40" w:line="200" w:lineRule="atLeast"/>
              <w:rPr>
                <w:rFonts w:eastAsia="Times New Roman"/>
                <w:i/>
                <w:iCs/>
                <w:szCs w:val="17"/>
              </w:rPr>
            </w:pPr>
            <w:r w:rsidRPr="004F6156">
              <w:rPr>
                <w:rFonts w:eastAsia="Times New Roman"/>
                <w:i/>
                <w:iCs/>
                <w:szCs w:val="17"/>
              </w:rPr>
              <w:t xml:space="preserve">5% annual increase in revenue flowing to Forum Fisheries Agency Pacific island member governments from offshore tuna fisheries (draft Roadmap aim </w:t>
            </w:r>
            <w:r w:rsidR="003A23F3">
              <w:rPr>
                <w:rFonts w:eastAsia="Times New Roman"/>
                <w:i/>
                <w:iCs/>
                <w:szCs w:val="17"/>
              </w:rPr>
              <w:t>AUD</w:t>
            </w:r>
            <w:r w:rsidRPr="004F6156">
              <w:rPr>
                <w:rFonts w:eastAsia="Times New Roman"/>
                <w:i/>
                <w:iCs/>
                <w:szCs w:val="17"/>
              </w:rPr>
              <w:t>475 million by 2020-21)</w:t>
            </w:r>
          </w:p>
        </w:tc>
        <w:tc>
          <w:tcPr>
            <w:tcW w:w="470" w:type="pct"/>
            <w:shd w:val="clear" w:color="auto" w:fill="auto"/>
          </w:tcPr>
          <w:p w14:paraId="6EE5609C" w14:textId="77777777" w:rsidR="00171615" w:rsidRPr="004F6156" w:rsidRDefault="00E9335A" w:rsidP="004F6156">
            <w:pPr>
              <w:keepLines/>
              <w:spacing w:before="40" w:after="40" w:line="200" w:lineRule="atLeast"/>
              <w:rPr>
                <w:rFonts w:eastAsia="Times New Roman"/>
                <w:iCs/>
                <w:szCs w:val="17"/>
              </w:rPr>
            </w:pPr>
            <w:r w:rsidRPr="004F6156">
              <w:rPr>
                <w:rFonts w:eastAsia="Times New Roman"/>
                <w:iCs/>
                <w:szCs w:val="17"/>
              </w:rPr>
              <w:t>Achieved</w:t>
            </w:r>
          </w:p>
        </w:tc>
        <w:tc>
          <w:tcPr>
            <w:tcW w:w="2970" w:type="pct"/>
          </w:tcPr>
          <w:p w14:paraId="70B83B1A" w14:textId="77777777" w:rsidR="00481AFD" w:rsidRPr="004F6156" w:rsidRDefault="00481AFD" w:rsidP="00481AFD">
            <w:pPr>
              <w:keepLines/>
              <w:spacing w:before="40" w:after="40" w:line="200" w:lineRule="atLeast"/>
              <w:rPr>
                <w:rFonts w:eastAsia="Times New Roman"/>
                <w:iCs/>
                <w:szCs w:val="17"/>
              </w:rPr>
            </w:pPr>
            <w:r w:rsidRPr="004F6156">
              <w:rPr>
                <w:rFonts w:eastAsia="Times New Roman"/>
                <w:iCs/>
                <w:szCs w:val="17"/>
              </w:rPr>
              <w:t>The region achieved this performance benchmark. The value of access fees paid by foreign vessels to FFA members has increased 8 per cent to approximately USD535 million in 2017 (the most recently available figure). The increase has come from fees associated with the number of days vessels are given licences to fish in the region through the Vessel Day Scheme (VDS) instituted by 8 tuna rich countries. The Pacific Regional Program is aware of the challenges in attribution of increasing fisheries revenue to its investments in core funding to the FFA. Despite this, our core funding directly supports FFA members to establish the enabling environment to effectively manage and monitor the VDS. It is therefore of strategic relevance to the Aid Program Objectives outlined in the Aid Investment Plan.</w:t>
            </w:r>
          </w:p>
          <w:p w14:paraId="66C04D27" w14:textId="77777777" w:rsidR="00E70D77" w:rsidRPr="004F6156" w:rsidRDefault="00E70D77" w:rsidP="00171615">
            <w:pPr>
              <w:keepLines/>
              <w:spacing w:before="40" w:after="40" w:line="200" w:lineRule="atLeast"/>
              <w:rPr>
                <w:rFonts w:eastAsia="Times New Roman"/>
                <w:iCs/>
                <w:szCs w:val="17"/>
              </w:rPr>
            </w:pPr>
          </w:p>
        </w:tc>
      </w:tr>
      <w:tr w:rsidR="00171615" w:rsidRPr="00C61187" w14:paraId="76840052" w14:textId="77777777" w:rsidTr="00171615">
        <w:tc>
          <w:tcPr>
            <w:tcW w:w="780" w:type="pct"/>
            <w:tcMar>
              <w:top w:w="57" w:type="dxa"/>
              <w:bottom w:w="57" w:type="dxa"/>
            </w:tcMar>
          </w:tcPr>
          <w:p w14:paraId="53B11403" w14:textId="77777777" w:rsidR="00171615" w:rsidRPr="00085E5F" w:rsidRDefault="00171615" w:rsidP="00171615">
            <w:pPr>
              <w:keepLines/>
              <w:spacing w:before="40" w:after="40" w:line="200" w:lineRule="atLeast"/>
              <w:rPr>
                <w:rFonts w:asciiTheme="minorHAnsi" w:eastAsia="Times New Roman" w:hAnsiTheme="minorHAnsi"/>
                <w:iCs/>
                <w:color w:val="FF0000"/>
                <w:szCs w:val="17"/>
                <w:lang w:eastAsia="en-US"/>
              </w:rPr>
            </w:pPr>
            <w:r w:rsidRPr="003D4BB7">
              <w:rPr>
                <w:i/>
                <w:iCs/>
                <w:szCs w:val="17"/>
              </w:rPr>
              <w:t xml:space="preserve">Australia Pacific Technical College (APTC) provides more Pacific </w:t>
            </w:r>
            <w:r>
              <w:rPr>
                <w:i/>
                <w:iCs/>
                <w:szCs w:val="17"/>
              </w:rPr>
              <w:t>i</w:t>
            </w:r>
            <w:r w:rsidRPr="003D4BB7">
              <w:rPr>
                <w:i/>
                <w:iCs/>
                <w:szCs w:val="17"/>
              </w:rPr>
              <w:t>slanders with internationally recognised qualifications in areas of demonstrated labour market demand.</w:t>
            </w:r>
          </w:p>
        </w:tc>
        <w:tc>
          <w:tcPr>
            <w:tcW w:w="780" w:type="pct"/>
          </w:tcPr>
          <w:p w14:paraId="4B59A89B" w14:textId="77777777" w:rsidR="00171615" w:rsidRPr="004F6156" w:rsidRDefault="004C3EF9" w:rsidP="00171615">
            <w:pPr>
              <w:keepLines/>
              <w:spacing w:before="40" w:after="40" w:line="200" w:lineRule="atLeast"/>
              <w:rPr>
                <w:rFonts w:eastAsia="Times New Roman"/>
                <w:i/>
                <w:iCs/>
                <w:szCs w:val="17"/>
              </w:rPr>
            </w:pPr>
            <w:r w:rsidRPr="004F6156">
              <w:rPr>
                <w:rFonts w:eastAsia="Times New Roman"/>
                <w:i/>
                <w:iCs/>
                <w:szCs w:val="17"/>
              </w:rPr>
              <w:t>Additional 1000 Pacific islander graduates per year with internationally recognised qualifications.</w:t>
            </w:r>
          </w:p>
        </w:tc>
        <w:tc>
          <w:tcPr>
            <w:tcW w:w="470" w:type="pct"/>
            <w:shd w:val="clear" w:color="auto" w:fill="auto"/>
          </w:tcPr>
          <w:p w14:paraId="49A62344" w14:textId="77777777" w:rsidR="00171615" w:rsidRPr="004F6156" w:rsidRDefault="006C041D" w:rsidP="004F6156">
            <w:pPr>
              <w:keepLines/>
              <w:spacing w:before="40" w:after="40" w:line="200" w:lineRule="atLeast"/>
              <w:rPr>
                <w:rFonts w:eastAsia="Times New Roman"/>
                <w:iCs/>
                <w:szCs w:val="17"/>
              </w:rPr>
            </w:pPr>
            <w:r w:rsidRPr="004F6156">
              <w:rPr>
                <w:rFonts w:eastAsia="Times New Roman"/>
                <w:iCs/>
                <w:szCs w:val="17"/>
              </w:rPr>
              <w:t>Achieved</w:t>
            </w:r>
          </w:p>
        </w:tc>
        <w:tc>
          <w:tcPr>
            <w:tcW w:w="2970" w:type="pct"/>
          </w:tcPr>
          <w:p w14:paraId="05A3C332" w14:textId="77777777" w:rsidR="00171615" w:rsidRPr="004F6156" w:rsidRDefault="006C041D" w:rsidP="00481AFD">
            <w:pPr>
              <w:keepLines/>
              <w:spacing w:before="40" w:after="40" w:line="200" w:lineRule="atLeast"/>
              <w:rPr>
                <w:rFonts w:eastAsia="Times New Roman"/>
                <w:iCs/>
                <w:szCs w:val="17"/>
              </w:rPr>
            </w:pPr>
            <w:r w:rsidRPr="004F6156">
              <w:rPr>
                <w:rFonts w:eastAsia="Times New Roman"/>
                <w:iCs/>
                <w:szCs w:val="17"/>
              </w:rPr>
              <w:t>In 2018-19 more than 2,000 Pacific Islanders graduated with internationally recognised qu</w:t>
            </w:r>
            <w:r w:rsidR="00A272BF" w:rsidRPr="004F6156">
              <w:rPr>
                <w:rFonts w:eastAsia="Times New Roman"/>
                <w:iCs/>
                <w:szCs w:val="17"/>
              </w:rPr>
              <w:t>alifications, over 34 </w:t>
            </w:r>
            <w:r w:rsidRPr="004F6156">
              <w:rPr>
                <w:rFonts w:eastAsia="Times New Roman"/>
                <w:iCs/>
                <w:szCs w:val="17"/>
              </w:rPr>
              <w:t xml:space="preserve">percent </w:t>
            </w:r>
            <w:r w:rsidR="00A272BF" w:rsidRPr="004F6156">
              <w:rPr>
                <w:rFonts w:eastAsia="Times New Roman"/>
                <w:iCs/>
                <w:szCs w:val="17"/>
              </w:rPr>
              <w:t xml:space="preserve">were </w:t>
            </w:r>
            <w:r w:rsidRPr="004F6156">
              <w:rPr>
                <w:rFonts w:eastAsia="Times New Roman"/>
                <w:iCs/>
                <w:szCs w:val="17"/>
              </w:rPr>
              <w:t>female</w:t>
            </w:r>
            <w:r w:rsidR="00A272BF" w:rsidRPr="004F6156">
              <w:rPr>
                <w:rFonts w:eastAsia="Times New Roman"/>
                <w:iCs/>
                <w:szCs w:val="17"/>
              </w:rPr>
              <w:t xml:space="preserve"> graduates</w:t>
            </w:r>
            <w:r w:rsidRPr="004F6156">
              <w:rPr>
                <w:rFonts w:eastAsia="Times New Roman"/>
                <w:iCs/>
                <w:szCs w:val="17"/>
              </w:rPr>
              <w:t xml:space="preserve">. The new phase of APTC commenced </w:t>
            </w:r>
            <w:r w:rsidR="00A272BF" w:rsidRPr="004F6156">
              <w:rPr>
                <w:rFonts w:eastAsia="Times New Roman"/>
                <w:iCs/>
                <w:szCs w:val="17"/>
              </w:rPr>
              <w:t xml:space="preserve">in 2018 </w:t>
            </w:r>
            <w:r w:rsidRPr="004F6156">
              <w:rPr>
                <w:rFonts w:eastAsia="Times New Roman"/>
                <w:iCs/>
                <w:szCs w:val="17"/>
              </w:rPr>
              <w:t xml:space="preserve">and will increasingly focus on key outcomes that support labour mobility outcomes, co-investment and </w:t>
            </w:r>
            <w:r w:rsidR="00A272BF" w:rsidRPr="004F6156">
              <w:rPr>
                <w:rFonts w:eastAsia="Times New Roman"/>
                <w:iCs/>
                <w:szCs w:val="17"/>
              </w:rPr>
              <w:t xml:space="preserve">improving the quality of </w:t>
            </w:r>
            <w:r w:rsidRPr="004F6156">
              <w:rPr>
                <w:rFonts w:eastAsia="Times New Roman"/>
                <w:iCs/>
                <w:szCs w:val="17"/>
              </w:rPr>
              <w:t xml:space="preserve">national systems and training. APTC has established a close partnership with the </w:t>
            </w:r>
            <w:r w:rsidR="00A272BF" w:rsidRPr="004F6156">
              <w:rPr>
                <w:rFonts w:eastAsia="Times New Roman"/>
                <w:iCs/>
                <w:szCs w:val="17"/>
              </w:rPr>
              <w:t xml:space="preserve">new </w:t>
            </w:r>
            <w:r w:rsidRPr="004F6156">
              <w:rPr>
                <w:rFonts w:eastAsia="Times New Roman"/>
                <w:iCs/>
                <w:szCs w:val="17"/>
              </w:rPr>
              <w:t>Pacific Labour Facility to deliver on labour mobility pathways into Australia.</w:t>
            </w:r>
          </w:p>
        </w:tc>
      </w:tr>
      <w:tr w:rsidR="00171615" w:rsidRPr="00C61187" w14:paraId="74723FE1" w14:textId="77777777" w:rsidTr="00171615">
        <w:tc>
          <w:tcPr>
            <w:tcW w:w="780" w:type="pct"/>
            <w:tcMar>
              <w:top w:w="57" w:type="dxa"/>
              <w:bottom w:w="57" w:type="dxa"/>
            </w:tcMar>
          </w:tcPr>
          <w:p w14:paraId="410D3B9B" w14:textId="77777777" w:rsidR="00171615" w:rsidRDefault="00171615" w:rsidP="00171615">
            <w:pPr>
              <w:keepLines/>
              <w:rPr>
                <w:i/>
                <w:iCs/>
                <w:szCs w:val="17"/>
              </w:rPr>
            </w:pPr>
            <w:r w:rsidRPr="003D4BB7">
              <w:rPr>
                <w:i/>
                <w:iCs/>
                <w:szCs w:val="17"/>
              </w:rPr>
              <w:t>Aid program attracts new private sector investment that contributes to Pacific development outcomes.</w:t>
            </w:r>
          </w:p>
          <w:p w14:paraId="33B47FDA" w14:textId="77777777" w:rsidR="004C3EF9" w:rsidRPr="003D4BB7" w:rsidRDefault="004C3EF9" w:rsidP="00171615">
            <w:pPr>
              <w:keepLines/>
              <w:spacing w:before="40" w:after="40" w:line="200" w:lineRule="atLeast"/>
              <w:rPr>
                <w:i/>
                <w:iCs/>
                <w:szCs w:val="17"/>
              </w:rPr>
            </w:pPr>
          </w:p>
        </w:tc>
        <w:tc>
          <w:tcPr>
            <w:tcW w:w="780" w:type="pct"/>
          </w:tcPr>
          <w:p w14:paraId="2E99A02B" w14:textId="77777777" w:rsidR="00B30F07" w:rsidRPr="004F6156" w:rsidRDefault="00B30F07" w:rsidP="004C3EF9">
            <w:pPr>
              <w:keepLines/>
              <w:spacing w:before="40" w:after="40" w:line="200" w:lineRule="atLeast"/>
              <w:rPr>
                <w:rFonts w:eastAsia="Times New Roman"/>
                <w:i/>
                <w:iCs/>
                <w:szCs w:val="17"/>
              </w:rPr>
            </w:pPr>
          </w:p>
          <w:p w14:paraId="56A26085" w14:textId="47754408" w:rsidR="00171615" w:rsidRPr="004F6156" w:rsidRDefault="004C3EF9" w:rsidP="008A44B9">
            <w:pPr>
              <w:keepLines/>
              <w:spacing w:before="40" w:after="40" w:line="200" w:lineRule="atLeast"/>
              <w:rPr>
                <w:rFonts w:eastAsia="Times New Roman"/>
                <w:i/>
                <w:iCs/>
                <w:szCs w:val="17"/>
              </w:rPr>
            </w:pPr>
            <w:r w:rsidRPr="004F6156">
              <w:rPr>
                <w:rFonts w:eastAsia="Times New Roman"/>
                <w:i/>
                <w:iCs/>
                <w:szCs w:val="17"/>
              </w:rPr>
              <w:t>Private sector investment leveraged. (aim US</w:t>
            </w:r>
            <w:r w:rsidR="003A23F3">
              <w:rPr>
                <w:rFonts w:eastAsia="Times New Roman"/>
                <w:i/>
                <w:iCs/>
                <w:szCs w:val="17"/>
              </w:rPr>
              <w:t>D</w:t>
            </w:r>
            <w:r w:rsidRPr="004F6156">
              <w:rPr>
                <w:rFonts w:eastAsia="Times New Roman"/>
                <w:i/>
                <w:iCs/>
                <w:szCs w:val="17"/>
              </w:rPr>
              <w:t>500 million /</w:t>
            </w:r>
            <w:r w:rsidR="003A23F3">
              <w:rPr>
                <w:rFonts w:eastAsia="Times New Roman"/>
                <w:i/>
                <w:iCs/>
                <w:szCs w:val="17"/>
              </w:rPr>
              <w:t>AUD</w:t>
            </w:r>
            <w:r w:rsidRPr="004F6156">
              <w:rPr>
                <w:rFonts w:eastAsia="Times New Roman"/>
                <w:i/>
                <w:iCs/>
                <w:szCs w:val="17"/>
              </w:rPr>
              <w:t>660 million)</w:t>
            </w:r>
          </w:p>
        </w:tc>
        <w:tc>
          <w:tcPr>
            <w:tcW w:w="470" w:type="pct"/>
            <w:shd w:val="clear" w:color="auto" w:fill="auto"/>
          </w:tcPr>
          <w:p w14:paraId="2E5DB26C" w14:textId="77777777" w:rsidR="00B30F07" w:rsidRPr="004F6156" w:rsidRDefault="00B30F07" w:rsidP="00171615">
            <w:pPr>
              <w:keepLines/>
              <w:spacing w:before="40" w:after="40" w:line="200" w:lineRule="atLeast"/>
              <w:rPr>
                <w:rFonts w:eastAsia="Times New Roman"/>
                <w:iCs/>
                <w:szCs w:val="17"/>
              </w:rPr>
            </w:pPr>
          </w:p>
          <w:p w14:paraId="5B92A67C" w14:textId="77777777" w:rsidR="00171615" w:rsidRPr="004F6156" w:rsidRDefault="009A512D" w:rsidP="00E9335A">
            <w:pPr>
              <w:keepLines/>
              <w:spacing w:before="40" w:after="40" w:line="200" w:lineRule="atLeast"/>
              <w:jc w:val="center"/>
              <w:rPr>
                <w:rFonts w:eastAsia="Times New Roman"/>
                <w:iCs/>
                <w:szCs w:val="17"/>
              </w:rPr>
            </w:pPr>
            <w:r w:rsidRPr="004F6156">
              <w:rPr>
                <w:rFonts w:eastAsia="Times New Roman"/>
                <w:iCs/>
                <w:szCs w:val="17"/>
              </w:rPr>
              <w:t>Achieved</w:t>
            </w:r>
          </w:p>
        </w:tc>
        <w:tc>
          <w:tcPr>
            <w:tcW w:w="2970" w:type="pct"/>
          </w:tcPr>
          <w:p w14:paraId="2409C74E" w14:textId="77777777" w:rsidR="00B30F07" w:rsidRPr="004F6156" w:rsidRDefault="00B30F07" w:rsidP="00171615">
            <w:pPr>
              <w:pStyle w:val="TableTextEntries"/>
              <w:keepNext/>
              <w:rPr>
                <w:rFonts w:ascii="Helvetica" w:hAnsi="Helvetica" w:cstheme="minorBidi"/>
                <w:color w:val="495965" w:themeColor="text2"/>
                <w:lang w:val="en-GB"/>
              </w:rPr>
            </w:pPr>
          </w:p>
          <w:p w14:paraId="262FB02A" w14:textId="2FB8654E" w:rsidR="00171615" w:rsidRPr="004F6156" w:rsidRDefault="009A512D" w:rsidP="00171615">
            <w:pPr>
              <w:pStyle w:val="TableTextEntries"/>
              <w:keepNext/>
              <w:rPr>
                <w:rFonts w:ascii="Helvetica" w:hAnsi="Helvetica" w:cstheme="minorBidi"/>
                <w:color w:val="495965" w:themeColor="text2"/>
                <w:lang w:val="en-GB"/>
              </w:rPr>
            </w:pPr>
            <w:r w:rsidRPr="004F6156">
              <w:rPr>
                <w:rFonts w:ascii="Helvetica" w:hAnsi="Helvetica" w:cstheme="minorBidi"/>
                <w:color w:val="495965" w:themeColor="text2"/>
                <w:lang w:val="en-GB"/>
              </w:rPr>
              <w:t xml:space="preserve">The Pacific Regional Program has to date supported investments that have leveraged approximately </w:t>
            </w:r>
            <w:r w:rsidR="003A23F3">
              <w:rPr>
                <w:rFonts w:ascii="Helvetica" w:hAnsi="Helvetica" w:cstheme="minorBidi"/>
                <w:color w:val="495965" w:themeColor="text2"/>
                <w:lang w:val="en-GB"/>
              </w:rPr>
              <w:t>AUD</w:t>
            </w:r>
            <w:r w:rsidRPr="004F6156">
              <w:rPr>
                <w:rFonts w:ascii="Helvetica" w:hAnsi="Helvetica" w:cstheme="minorBidi"/>
                <w:color w:val="495965" w:themeColor="text2"/>
                <w:lang w:val="en-GB"/>
              </w:rPr>
              <w:t>764 million in private sector investment. While the 2018-19 target was exceeded, leveraged finance was less in 2018-19 than in previous years. Over 2018-19, funds leveraged were approximately: the IFC Pacific Partnership (</w:t>
            </w:r>
            <w:r w:rsidR="003A23F3">
              <w:rPr>
                <w:rFonts w:ascii="Helvetica" w:hAnsi="Helvetica" w:cstheme="minorBidi"/>
                <w:color w:val="495965" w:themeColor="text2"/>
                <w:lang w:val="en-GB"/>
              </w:rPr>
              <w:t>AUD</w:t>
            </w:r>
            <w:r w:rsidRPr="004F6156">
              <w:rPr>
                <w:rFonts w:ascii="Helvetica" w:hAnsi="Helvetica" w:cstheme="minorBidi"/>
                <w:color w:val="495965" w:themeColor="text2"/>
                <w:lang w:val="en-GB"/>
              </w:rPr>
              <w:t>13.65 million); the Sydney office of Pacific Trade and Invest (</w:t>
            </w:r>
            <w:r w:rsidR="003A23F3">
              <w:rPr>
                <w:rFonts w:ascii="Helvetica" w:hAnsi="Helvetica" w:cstheme="minorBidi"/>
                <w:color w:val="495965" w:themeColor="text2"/>
                <w:lang w:val="en-GB"/>
              </w:rPr>
              <w:t>AUD</w:t>
            </w:r>
            <w:r w:rsidRPr="004F6156">
              <w:rPr>
                <w:rFonts w:ascii="Helvetica" w:hAnsi="Helvetica" w:cstheme="minorBidi"/>
                <w:color w:val="495965" w:themeColor="text2"/>
                <w:lang w:val="en-GB"/>
              </w:rPr>
              <w:t>2.29 million) and Pacific Readiness for Investment and Social Enterprises, PacRISE (</w:t>
            </w:r>
            <w:r w:rsidR="003A23F3">
              <w:rPr>
                <w:rFonts w:ascii="Helvetica" w:hAnsi="Helvetica" w:cstheme="minorBidi"/>
                <w:color w:val="495965" w:themeColor="text2"/>
                <w:lang w:val="en-GB"/>
              </w:rPr>
              <w:t>AUD</w:t>
            </w:r>
            <w:r w:rsidRPr="004F6156">
              <w:rPr>
                <w:rFonts w:ascii="Helvetica" w:hAnsi="Helvetica" w:cstheme="minorBidi"/>
                <w:color w:val="495965" w:themeColor="text2"/>
                <w:lang w:val="en-GB"/>
              </w:rPr>
              <w:t>640,000).</w:t>
            </w:r>
          </w:p>
          <w:p w14:paraId="0E85F0E9" w14:textId="77777777" w:rsidR="008F4509" w:rsidRPr="004F6156" w:rsidRDefault="008F4509" w:rsidP="00171615">
            <w:pPr>
              <w:pStyle w:val="TableTextEntries"/>
              <w:keepNext/>
              <w:rPr>
                <w:rFonts w:ascii="Helvetica" w:hAnsi="Helvetica" w:cstheme="minorBidi"/>
                <w:color w:val="495965" w:themeColor="text2"/>
                <w:lang w:val="en-GB"/>
              </w:rPr>
            </w:pPr>
          </w:p>
          <w:p w14:paraId="4377D038" w14:textId="77777777" w:rsidR="008F4509" w:rsidRPr="004F6156" w:rsidRDefault="008F4509" w:rsidP="00171615">
            <w:pPr>
              <w:pStyle w:val="TableTextEntries"/>
              <w:keepNext/>
              <w:rPr>
                <w:rFonts w:ascii="Helvetica" w:hAnsi="Helvetica" w:cstheme="minorBidi"/>
                <w:color w:val="495965" w:themeColor="text2"/>
                <w:lang w:val="en-GB"/>
              </w:rPr>
            </w:pPr>
          </w:p>
          <w:p w14:paraId="667BC94F" w14:textId="77777777" w:rsidR="008F4509" w:rsidRPr="004F6156" w:rsidRDefault="008F4509" w:rsidP="00171615">
            <w:pPr>
              <w:pStyle w:val="TableTextEntries"/>
              <w:keepNext/>
              <w:rPr>
                <w:rFonts w:ascii="Helvetica" w:hAnsi="Helvetica" w:cstheme="minorBidi"/>
                <w:color w:val="495965" w:themeColor="text2"/>
                <w:lang w:val="en-GB"/>
              </w:rPr>
            </w:pPr>
          </w:p>
          <w:p w14:paraId="35E6DB27" w14:textId="77777777" w:rsidR="008F4509" w:rsidRPr="004F6156" w:rsidRDefault="008F4509" w:rsidP="00171615">
            <w:pPr>
              <w:pStyle w:val="TableTextEntries"/>
              <w:keepNext/>
              <w:rPr>
                <w:rFonts w:ascii="Helvetica" w:hAnsi="Helvetica" w:cstheme="minorBidi"/>
                <w:color w:val="495965" w:themeColor="text2"/>
                <w:lang w:val="en-GB"/>
              </w:rPr>
            </w:pPr>
          </w:p>
        </w:tc>
      </w:tr>
      <w:tr w:rsidR="00171615" w:rsidRPr="00C61187" w14:paraId="098A0077" w14:textId="77777777" w:rsidTr="00171615">
        <w:tc>
          <w:tcPr>
            <w:tcW w:w="780" w:type="pct"/>
            <w:tcMar>
              <w:top w:w="57" w:type="dxa"/>
              <w:bottom w:w="57" w:type="dxa"/>
            </w:tcMar>
          </w:tcPr>
          <w:p w14:paraId="5E099D56" w14:textId="77777777" w:rsidR="00171615" w:rsidRPr="00976BB4" w:rsidRDefault="00171615" w:rsidP="00171615">
            <w:pPr>
              <w:keepLines/>
              <w:spacing w:before="40" w:after="40" w:line="200" w:lineRule="atLeast"/>
              <w:rPr>
                <w:rFonts w:eastAsia="Times New Roman"/>
                <w:b/>
                <w:iCs/>
                <w:szCs w:val="17"/>
              </w:rPr>
            </w:pPr>
            <w:r w:rsidRPr="003D4BB7">
              <w:rPr>
                <w:rFonts w:eastAsia="Times New Roman"/>
                <w:b/>
                <w:iCs/>
                <w:szCs w:val="17"/>
              </w:rPr>
              <w:t xml:space="preserve">Objective2: Effective regional institutions </w:t>
            </w:r>
          </w:p>
        </w:tc>
        <w:tc>
          <w:tcPr>
            <w:tcW w:w="780" w:type="pct"/>
          </w:tcPr>
          <w:p w14:paraId="31E5DD29" w14:textId="77777777" w:rsidR="00171615" w:rsidRPr="004C3EF9" w:rsidRDefault="00171615" w:rsidP="00171615">
            <w:pPr>
              <w:keepLines/>
              <w:spacing w:before="40" w:after="40" w:line="200" w:lineRule="atLeast"/>
              <w:rPr>
                <w:rFonts w:eastAsia="Times New Roman"/>
                <w:iCs/>
                <w:color w:val="auto"/>
                <w:szCs w:val="17"/>
              </w:rPr>
            </w:pPr>
          </w:p>
        </w:tc>
        <w:tc>
          <w:tcPr>
            <w:tcW w:w="470" w:type="pct"/>
            <w:shd w:val="clear" w:color="auto" w:fill="auto"/>
          </w:tcPr>
          <w:p w14:paraId="5A623D78" w14:textId="77777777" w:rsidR="00171615" w:rsidRPr="004C3EF9" w:rsidRDefault="00171615" w:rsidP="00171615">
            <w:pPr>
              <w:keepLines/>
              <w:spacing w:before="40" w:after="40" w:line="200" w:lineRule="atLeast"/>
              <w:rPr>
                <w:rFonts w:eastAsia="Times New Roman"/>
                <w:iCs/>
                <w:color w:val="auto"/>
                <w:szCs w:val="17"/>
              </w:rPr>
            </w:pPr>
          </w:p>
        </w:tc>
        <w:tc>
          <w:tcPr>
            <w:tcW w:w="2970" w:type="pct"/>
          </w:tcPr>
          <w:p w14:paraId="05DCFAB1" w14:textId="77777777" w:rsidR="00171615" w:rsidRPr="004C3EF9" w:rsidRDefault="00171615" w:rsidP="00171615">
            <w:pPr>
              <w:pStyle w:val="TableTextEntries"/>
              <w:keepNext/>
              <w:rPr>
                <w:rFonts w:asciiTheme="minorHAnsi" w:hAnsiTheme="minorHAnsi" w:cstheme="minorBidi"/>
                <w:lang w:val="en-GB"/>
              </w:rPr>
            </w:pPr>
          </w:p>
        </w:tc>
      </w:tr>
      <w:tr w:rsidR="005E227D" w:rsidRPr="00C61187" w14:paraId="38268E58" w14:textId="77777777" w:rsidTr="00171615">
        <w:tc>
          <w:tcPr>
            <w:tcW w:w="780" w:type="pct"/>
            <w:tcMar>
              <w:top w:w="57" w:type="dxa"/>
              <w:bottom w:w="57" w:type="dxa"/>
            </w:tcMar>
          </w:tcPr>
          <w:p w14:paraId="0E40967F" w14:textId="77777777" w:rsidR="005E227D" w:rsidRDefault="005E227D" w:rsidP="005E227D">
            <w:pPr>
              <w:keepLines/>
              <w:rPr>
                <w:i/>
                <w:iCs/>
                <w:szCs w:val="17"/>
              </w:rPr>
            </w:pPr>
            <w:r w:rsidRPr="003D4BB7">
              <w:rPr>
                <w:i/>
                <w:iCs/>
                <w:szCs w:val="17"/>
              </w:rPr>
              <w:t>Collective ownership of regional organisations by Pacific island country members.</w:t>
            </w:r>
          </w:p>
          <w:p w14:paraId="5EDA41A1" w14:textId="77777777" w:rsidR="005E227D" w:rsidRDefault="005E227D" w:rsidP="005E227D">
            <w:pPr>
              <w:keepLines/>
              <w:spacing w:before="40" w:after="40" w:line="200" w:lineRule="atLeast"/>
              <w:rPr>
                <w:i/>
                <w:iCs/>
                <w:szCs w:val="17"/>
              </w:rPr>
            </w:pPr>
          </w:p>
          <w:p w14:paraId="76149FDE" w14:textId="77777777" w:rsidR="005E227D" w:rsidRPr="003D4BB7" w:rsidRDefault="005E227D" w:rsidP="005E227D">
            <w:pPr>
              <w:keepLines/>
              <w:spacing w:before="40" w:after="40" w:line="200" w:lineRule="atLeast"/>
              <w:rPr>
                <w:i/>
                <w:iCs/>
                <w:szCs w:val="17"/>
              </w:rPr>
            </w:pPr>
          </w:p>
        </w:tc>
        <w:tc>
          <w:tcPr>
            <w:tcW w:w="780" w:type="pct"/>
          </w:tcPr>
          <w:p w14:paraId="1045F473" w14:textId="77777777" w:rsidR="005E227D" w:rsidRPr="005E07E0" w:rsidRDefault="005E227D" w:rsidP="005E227D">
            <w:pPr>
              <w:keepLines/>
              <w:spacing w:before="40" w:after="40" w:line="200" w:lineRule="atLeast"/>
              <w:rPr>
                <w:rFonts w:eastAsia="Times New Roman"/>
                <w:i/>
                <w:iCs/>
                <w:szCs w:val="17"/>
              </w:rPr>
            </w:pPr>
            <w:r w:rsidRPr="005E07E0">
              <w:rPr>
                <w:rFonts w:eastAsia="Times New Roman"/>
                <w:i/>
                <w:iCs/>
                <w:szCs w:val="17"/>
              </w:rPr>
              <w:t>Pacific island country members engaged in decision-making at Pacific regional organisation governing body meetings (aim 60%)</w:t>
            </w:r>
          </w:p>
        </w:tc>
        <w:tc>
          <w:tcPr>
            <w:tcW w:w="470" w:type="pct"/>
            <w:shd w:val="clear" w:color="auto" w:fill="auto"/>
          </w:tcPr>
          <w:p w14:paraId="66BF895C" w14:textId="77777777" w:rsidR="005E227D" w:rsidRPr="005E07E0" w:rsidRDefault="005E227D" w:rsidP="005E227D">
            <w:pPr>
              <w:keepLines/>
              <w:spacing w:before="40" w:after="40" w:line="200" w:lineRule="atLeast"/>
              <w:rPr>
                <w:rFonts w:eastAsia="Times New Roman"/>
                <w:iCs/>
                <w:szCs w:val="17"/>
              </w:rPr>
            </w:pPr>
            <w:r w:rsidRPr="005E07E0">
              <w:rPr>
                <w:rFonts w:eastAsia="Times New Roman"/>
                <w:iCs/>
                <w:szCs w:val="17"/>
              </w:rPr>
              <w:t>Achieved</w:t>
            </w:r>
          </w:p>
        </w:tc>
        <w:tc>
          <w:tcPr>
            <w:tcW w:w="2970" w:type="pct"/>
          </w:tcPr>
          <w:p w14:paraId="5D05875B" w14:textId="77777777" w:rsidR="005E227D" w:rsidRPr="005E07E0" w:rsidRDefault="005E227D" w:rsidP="005E227D">
            <w:pPr>
              <w:pStyle w:val="TableTextEntries"/>
              <w:keepNext/>
              <w:rPr>
                <w:rFonts w:ascii="Helvetica" w:hAnsi="Helvetica" w:cstheme="minorBidi"/>
                <w:color w:val="495965" w:themeColor="text2"/>
                <w:lang w:val="en-GB"/>
              </w:rPr>
            </w:pPr>
            <w:r w:rsidRPr="005E07E0">
              <w:rPr>
                <w:rFonts w:ascii="Helvetica" w:hAnsi="Helvetica" w:cstheme="minorBidi"/>
                <w:color w:val="495965" w:themeColor="text2"/>
                <w:lang w:val="en-GB"/>
              </w:rPr>
              <w:t>Pacific island country members’ engagement at major regional meetings was over 80 percent. Over 90% of members were represented at leader level at the 2018 Pacific Islands Forum in Nauru, with similar levels for the Forum Foreign Ministers’ Meeting. The Forum Economic Minister’s Meeting was around 70% attendance by the relevant minister. Pacific island countries were well represented at the SPC Conference in June 2019, including at ministerial level for Cook Islands, New Caledonia, Palau, Samoa, Solomon Islands, and Vanuatu. The SPREP Executive Board met in 2018 and the entire SPREP membership will meet in September 2019, including at Ministerial level.</w:t>
            </w:r>
          </w:p>
        </w:tc>
      </w:tr>
      <w:tr w:rsidR="005E227D" w:rsidRPr="00C61187" w14:paraId="7F348CD1" w14:textId="77777777" w:rsidTr="00171615">
        <w:tc>
          <w:tcPr>
            <w:tcW w:w="780" w:type="pct"/>
            <w:tcMar>
              <w:top w:w="57" w:type="dxa"/>
              <w:bottom w:w="57" w:type="dxa"/>
            </w:tcMar>
          </w:tcPr>
          <w:p w14:paraId="3A2F891B" w14:textId="77777777" w:rsidR="005E227D" w:rsidRPr="003D4BB7" w:rsidRDefault="005E227D" w:rsidP="005E227D">
            <w:pPr>
              <w:keepLines/>
              <w:rPr>
                <w:i/>
                <w:iCs/>
                <w:szCs w:val="17"/>
              </w:rPr>
            </w:pPr>
            <w:r w:rsidRPr="003D4BB7">
              <w:rPr>
                <w:i/>
                <w:iCs/>
                <w:szCs w:val="17"/>
              </w:rPr>
              <w:t xml:space="preserve">Regional organisations have prioritised and consolidated programs focused on their comparative advantages </w:t>
            </w:r>
          </w:p>
          <w:p w14:paraId="4CABA10E" w14:textId="77777777" w:rsidR="005E227D" w:rsidRPr="003D4BB7" w:rsidRDefault="005E227D" w:rsidP="005E227D">
            <w:pPr>
              <w:keepLines/>
              <w:spacing w:before="40" w:after="40" w:line="200" w:lineRule="atLeast"/>
              <w:rPr>
                <w:i/>
                <w:iCs/>
                <w:szCs w:val="17"/>
              </w:rPr>
            </w:pPr>
          </w:p>
        </w:tc>
        <w:tc>
          <w:tcPr>
            <w:tcW w:w="780" w:type="pct"/>
          </w:tcPr>
          <w:p w14:paraId="6F4E8487" w14:textId="77777777" w:rsidR="005E227D" w:rsidRPr="005E07E0" w:rsidRDefault="005E227D" w:rsidP="005E227D">
            <w:pPr>
              <w:keepLines/>
              <w:spacing w:before="40" w:after="40" w:line="200" w:lineRule="atLeast"/>
              <w:rPr>
                <w:rFonts w:eastAsia="Times New Roman"/>
                <w:i/>
                <w:iCs/>
                <w:szCs w:val="17"/>
              </w:rPr>
            </w:pPr>
            <w:r w:rsidRPr="005E07E0">
              <w:rPr>
                <w:rFonts w:eastAsia="Times New Roman"/>
                <w:i/>
                <w:iCs/>
                <w:szCs w:val="17"/>
              </w:rPr>
              <w:t xml:space="preserve">Regional organisations have defined clear, sensible priorities for the organisation </w:t>
            </w:r>
          </w:p>
          <w:p w14:paraId="323F2535" w14:textId="77777777" w:rsidR="005E227D" w:rsidRPr="005E07E0" w:rsidRDefault="005E227D" w:rsidP="005E227D">
            <w:pPr>
              <w:keepLines/>
              <w:spacing w:before="40" w:after="40" w:line="200" w:lineRule="atLeast"/>
              <w:rPr>
                <w:rFonts w:eastAsia="Times New Roman"/>
                <w:i/>
                <w:iCs/>
                <w:szCs w:val="17"/>
              </w:rPr>
            </w:pPr>
          </w:p>
          <w:p w14:paraId="3B8326F7" w14:textId="77777777" w:rsidR="005E227D" w:rsidRPr="005E07E0" w:rsidRDefault="005E227D" w:rsidP="005E227D">
            <w:pPr>
              <w:keepLines/>
              <w:spacing w:before="40" w:after="40" w:line="200" w:lineRule="atLeast"/>
              <w:rPr>
                <w:rFonts w:eastAsia="Times New Roman"/>
                <w:i/>
                <w:iCs/>
                <w:szCs w:val="17"/>
              </w:rPr>
            </w:pPr>
            <w:r w:rsidRPr="005E07E0">
              <w:rPr>
                <w:rFonts w:eastAsia="Times New Roman"/>
                <w:i/>
                <w:iCs/>
                <w:szCs w:val="17"/>
              </w:rPr>
              <w:t>The predicted budgets of regional organisations compare well to expected expenditure</w:t>
            </w:r>
          </w:p>
          <w:p w14:paraId="317A9ADD" w14:textId="77777777" w:rsidR="005E227D" w:rsidRPr="005E07E0" w:rsidRDefault="005E227D" w:rsidP="005E227D">
            <w:pPr>
              <w:keepLines/>
              <w:spacing w:before="40" w:after="40" w:line="200" w:lineRule="atLeast"/>
              <w:rPr>
                <w:rFonts w:eastAsia="Times New Roman"/>
                <w:iCs/>
                <w:szCs w:val="17"/>
              </w:rPr>
            </w:pPr>
          </w:p>
        </w:tc>
        <w:tc>
          <w:tcPr>
            <w:tcW w:w="470" w:type="pct"/>
            <w:shd w:val="clear" w:color="auto" w:fill="auto"/>
          </w:tcPr>
          <w:p w14:paraId="4793CE8D" w14:textId="77777777" w:rsidR="005E227D" w:rsidRPr="005E07E0" w:rsidRDefault="005E227D" w:rsidP="005E227D">
            <w:pPr>
              <w:keepLines/>
              <w:spacing w:before="40" w:after="40" w:line="200" w:lineRule="atLeast"/>
              <w:rPr>
                <w:rFonts w:eastAsia="Times New Roman"/>
                <w:iCs/>
                <w:szCs w:val="17"/>
              </w:rPr>
            </w:pPr>
            <w:r w:rsidRPr="005E07E0">
              <w:rPr>
                <w:rFonts w:eastAsia="Times New Roman"/>
                <w:iCs/>
                <w:szCs w:val="17"/>
              </w:rPr>
              <w:t>Partly achieved</w:t>
            </w:r>
          </w:p>
          <w:p w14:paraId="0C67CEE4" w14:textId="77777777" w:rsidR="005E227D" w:rsidRPr="005E07E0" w:rsidRDefault="005E227D" w:rsidP="005E227D">
            <w:pPr>
              <w:keepLines/>
              <w:spacing w:before="40" w:after="40" w:line="200" w:lineRule="atLeast"/>
              <w:rPr>
                <w:rFonts w:eastAsia="Times New Roman"/>
                <w:iCs/>
                <w:szCs w:val="17"/>
              </w:rPr>
            </w:pPr>
          </w:p>
          <w:p w14:paraId="0578C83D" w14:textId="77777777" w:rsidR="005E227D" w:rsidRPr="005E07E0" w:rsidRDefault="005E227D" w:rsidP="005E227D">
            <w:pPr>
              <w:keepLines/>
              <w:spacing w:before="40" w:after="40" w:line="200" w:lineRule="atLeast"/>
              <w:rPr>
                <w:rFonts w:eastAsia="Times New Roman"/>
                <w:iCs/>
                <w:szCs w:val="17"/>
              </w:rPr>
            </w:pPr>
          </w:p>
          <w:p w14:paraId="05A6839C" w14:textId="77777777" w:rsidR="005E227D" w:rsidRPr="005E07E0" w:rsidRDefault="005E227D" w:rsidP="005E227D">
            <w:pPr>
              <w:keepLines/>
              <w:spacing w:before="40" w:after="40" w:line="200" w:lineRule="atLeast"/>
              <w:rPr>
                <w:rFonts w:eastAsia="Times New Roman"/>
                <w:iCs/>
                <w:szCs w:val="17"/>
              </w:rPr>
            </w:pPr>
          </w:p>
          <w:p w14:paraId="6013BB08" w14:textId="77777777" w:rsidR="005E227D" w:rsidRPr="005E07E0" w:rsidRDefault="005E227D" w:rsidP="005E227D">
            <w:pPr>
              <w:keepLines/>
              <w:spacing w:before="40" w:after="40" w:line="200" w:lineRule="atLeast"/>
              <w:rPr>
                <w:rFonts w:eastAsia="Times New Roman"/>
                <w:iCs/>
                <w:szCs w:val="17"/>
              </w:rPr>
            </w:pPr>
            <w:r w:rsidRPr="005E07E0">
              <w:rPr>
                <w:rFonts w:eastAsia="Times New Roman"/>
                <w:iCs/>
                <w:szCs w:val="17"/>
              </w:rPr>
              <w:t>Partly Achieved</w:t>
            </w:r>
          </w:p>
        </w:tc>
        <w:tc>
          <w:tcPr>
            <w:tcW w:w="2970" w:type="pct"/>
          </w:tcPr>
          <w:p w14:paraId="6FFB070F" w14:textId="77777777" w:rsidR="005E227D" w:rsidRPr="005E07E0" w:rsidRDefault="005E227D" w:rsidP="005E227D">
            <w:pPr>
              <w:pStyle w:val="TableTextEntries"/>
              <w:keepNext/>
              <w:rPr>
                <w:rFonts w:ascii="Helvetica" w:hAnsi="Helvetica" w:cstheme="minorBidi"/>
                <w:color w:val="495965" w:themeColor="text2"/>
                <w:lang w:val="en-GB"/>
              </w:rPr>
            </w:pPr>
            <w:r w:rsidRPr="005E07E0">
              <w:rPr>
                <w:rFonts w:ascii="Helvetica" w:hAnsi="Helvetica" w:cstheme="minorBidi"/>
                <w:color w:val="495965" w:themeColor="text2"/>
                <w:lang w:val="en-GB"/>
              </w:rPr>
              <w:t>The Pacific Islands Forum (PIF) Secretariat and Pacific Community (SPC) continued to focus their work, including through a new Statement of Intent for t</w:t>
            </w:r>
            <w:r w:rsidR="000960C9" w:rsidRPr="005E07E0">
              <w:rPr>
                <w:rFonts w:ascii="Helvetica" w:hAnsi="Helvetica" w:cstheme="minorBidi"/>
                <w:color w:val="495965" w:themeColor="text2"/>
                <w:lang w:val="en-GB"/>
              </w:rPr>
              <w:t>he PIF Secretariat, and refine</w:t>
            </w:r>
            <w:r w:rsidRPr="005E07E0">
              <w:rPr>
                <w:rFonts w:ascii="Helvetica" w:hAnsi="Helvetica" w:cstheme="minorBidi"/>
                <w:color w:val="495965" w:themeColor="text2"/>
                <w:lang w:val="en-GB"/>
              </w:rPr>
              <w:t xml:space="preserve"> the SPC’s strategic plan. SPREP continues to implement and refine, including through developing two-year plans known as Performance Implementation Plans (PIPs), its 10-year Strategic Plan (2017-2026). The Strategic Plan, two-year PIPs and 10-year results framework are designed to reorient SPREP from its previous approach of reporting on activities to now reporting against outcomes; while the current model is not perfect, it is an improvement on previous reporting.</w:t>
            </w:r>
          </w:p>
          <w:p w14:paraId="0C4AAC89" w14:textId="77777777" w:rsidR="000960C9" w:rsidRPr="005E07E0" w:rsidRDefault="000960C9" w:rsidP="000960C9">
            <w:pPr>
              <w:pStyle w:val="TableTextEntries"/>
              <w:keepNext/>
              <w:rPr>
                <w:rFonts w:ascii="Helvetica" w:hAnsi="Helvetica" w:cstheme="minorBidi"/>
                <w:color w:val="495965" w:themeColor="text2"/>
                <w:lang w:val="en-GB"/>
              </w:rPr>
            </w:pPr>
            <w:r w:rsidRPr="005E07E0">
              <w:rPr>
                <w:rFonts w:ascii="Helvetica" w:hAnsi="Helvetica" w:cstheme="minorBidi"/>
                <w:color w:val="495965" w:themeColor="text2"/>
                <w:lang w:val="en-GB"/>
              </w:rPr>
              <w:t>The University of the South Pacific has drafted a new Strategic Plan and is currently reviewing its School of Education. The USP Council is leading the University’s response to an investigation into financial and management issues.</w:t>
            </w:r>
          </w:p>
          <w:p w14:paraId="27C9AE68" w14:textId="63C98627" w:rsidR="005E227D" w:rsidRPr="005E07E0" w:rsidRDefault="005E227D" w:rsidP="008A44B9">
            <w:pPr>
              <w:pStyle w:val="TableTextEntries"/>
              <w:keepNext/>
              <w:rPr>
                <w:rFonts w:ascii="Helvetica" w:hAnsi="Helvetica" w:cstheme="minorBidi"/>
                <w:color w:val="495965" w:themeColor="text2"/>
                <w:lang w:val="en-GB"/>
              </w:rPr>
            </w:pPr>
            <w:r w:rsidRPr="005E07E0">
              <w:rPr>
                <w:rFonts w:ascii="Helvetica" w:hAnsi="Helvetica" w:cstheme="minorBidi"/>
                <w:color w:val="495965" w:themeColor="text2"/>
                <w:lang w:val="en-GB"/>
              </w:rPr>
              <w:t xml:space="preserve">With Australian funding, the SPC revised its financial and management systems, leading to over 90% rates of project execution. SPREP’s budget management has improved in recent years; while it was carrying a net deficit of </w:t>
            </w:r>
            <w:r w:rsidR="003A23F3">
              <w:rPr>
                <w:rFonts w:ascii="Helvetica" w:hAnsi="Helvetica" w:cstheme="minorBidi"/>
                <w:color w:val="495965" w:themeColor="text2"/>
                <w:lang w:val="en-GB"/>
              </w:rPr>
              <w:t>USD</w:t>
            </w:r>
            <w:r w:rsidRPr="005E07E0">
              <w:rPr>
                <w:rFonts w:ascii="Helvetica" w:hAnsi="Helvetica" w:cstheme="minorBidi"/>
                <w:color w:val="495965" w:themeColor="text2"/>
                <w:lang w:val="en-GB"/>
              </w:rPr>
              <w:t xml:space="preserve">778,000 in 2015, by 2018 it achieved a surplus of </w:t>
            </w:r>
            <w:r w:rsidR="003A23F3">
              <w:rPr>
                <w:rFonts w:ascii="Helvetica" w:hAnsi="Helvetica" w:cstheme="minorBidi"/>
                <w:color w:val="495965" w:themeColor="text2"/>
                <w:lang w:val="en-GB"/>
              </w:rPr>
              <w:t>USD</w:t>
            </w:r>
            <w:r w:rsidRPr="005E07E0">
              <w:rPr>
                <w:rFonts w:ascii="Helvetica" w:hAnsi="Helvetica" w:cstheme="minorBidi"/>
                <w:color w:val="495965" w:themeColor="text2"/>
                <w:lang w:val="en-GB"/>
              </w:rPr>
              <w:t xml:space="preserve">154,000 and a total reserve fund of </w:t>
            </w:r>
            <w:r w:rsidR="003A23F3">
              <w:rPr>
                <w:rFonts w:ascii="Helvetica" w:hAnsi="Helvetica" w:cstheme="minorBidi"/>
                <w:color w:val="495965" w:themeColor="text2"/>
                <w:lang w:val="en-GB"/>
              </w:rPr>
              <w:t>USD</w:t>
            </w:r>
            <w:r w:rsidRPr="005E07E0">
              <w:rPr>
                <w:rFonts w:ascii="Helvetica" w:hAnsi="Helvetica" w:cstheme="minorBidi"/>
                <w:color w:val="495965" w:themeColor="text2"/>
                <w:lang w:val="en-GB"/>
              </w:rPr>
              <w:t>139,740.</w:t>
            </w:r>
          </w:p>
        </w:tc>
      </w:tr>
      <w:tr w:rsidR="005E227D" w:rsidRPr="00C61187" w14:paraId="22DFDB60" w14:textId="77777777" w:rsidTr="00171615">
        <w:tc>
          <w:tcPr>
            <w:tcW w:w="780" w:type="pct"/>
            <w:tcMar>
              <w:top w:w="57" w:type="dxa"/>
              <w:bottom w:w="57" w:type="dxa"/>
            </w:tcMar>
          </w:tcPr>
          <w:p w14:paraId="1E0B213E" w14:textId="77777777" w:rsidR="005E227D" w:rsidRPr="003D4BB7" w:rsidRDefault="005E227D" w:rsidP="005E227D">
            <w:pPr>
              <w:keepLines/>
              <w:spacing w:before="40" w:after="40" w:line="200" w:lineRule="atLeast"/>
              <w:rPr>
                <w:i/>
                <w:iCs/>
                <w:szCs w:val="17"/>
              </w:rPr>
            </w:pPr>
            <w:r w:rsidRPr="003D4BB7">
              <w:rPr>
                <w:rFonts w:eastAsia="Times New Roman"/>
                <w:b/>
                <w:iCs/>
                <w:szCs w:val="17"/>
              </w:rPr>
              <w:t>Objective 3: Health and resilient communities</w:t>
            </w:r>
          </w:p>
        </w:tc>
        <w:tc>
          <w:tcPr>
            <w:tcW w:w="780" w:type="pct"/>
          </w:tcPr>
          <w:p w14:paraId="2C070FFB" w14:textId="77777777" w:rsidR="005E227D" w:rsidRPr="005E07E0" w:rsidRDefault="005E227D" w:rsidP="005E227D">
            <w:pPr>
              <w:keepLines/>
              <w:spacing w:before="40" w:after="40" w:line="200" w:lineRule="atLeast"/>
              <w:rPr>
                <w:rFonts w:eastAsia="Times New Roman"/>
                <w:iCs/>
                <w:szCs w:val="17"/>
              </w:rPr>
            </w:pPr>
          </w:p>
        </w:tc>
        <w:tc>
          <w:tcPr>
            <w:tcW w:w="470" w:type="pct"/>
            <w:shd w:val="clear" w:color="auto" w:fill="auto"/>
          </w:tcPr>
          <w:p w14:paraId="25FCDC76" w14:textId="77777777" w:rsidR="005E227D" w:rsidRPr="005E07E0" w:rsidRDefault="005E227D" w:rsidP="005E227D">
            <w:pPr>
              <w:keepLines/>
              <w:spacing w:before="40" w:after="40" w:line="200" w:lineRule="atLeast"/>
              <w:rPr>
                <w:rFonts w:eastAsia="Times New Roman"/>
                <w:iCs/>
                <w:szCs w:val="17"/>
              </w:rPr>
            </w:pPr>
          </w:p>
        </w:tc>
        <w:tc>
          <w:tcPr>
            <w:tcW w:w="2970" w:type="pct"/>
          </w:tcPr>
          <w:p w14:paraId="70A27142" w14:textId="77777777" w:rsidR="005E227D" w:rsidRPr="005E07E0" w:rsidRDefault="005E227D" w:rsidP="005E227D">
            <w:pPr>
              <w:pStyle w:val="TableTextEntries"/>
              <w:keepNext/>
              <w:rPr>
                <w:rFonts w:asciiTheme="minorHAnsi" w:hAnsiTheme="minorHAnsi" w:cstheme="minorBidi"/>
                <w:color w:val="495965" w:themeColor="text2"/>
                <w:lang w:val="en-GB"/>
              </w:rPr>
            </w:pPr>
          </w:p>
        </w:tc>
      </w:tr>
      <w:tr w:rsidR="005E227D" w:rsidRPr="00C61187" w14:paraId="05E55AD4" w14:textId="77777777" w:rsidTr="00171615">
        <w:tc>
          <w:tcPr>
            <w:tcW w:w="780" w:type="pct"/>
            <w:tcMar>
              <w:top w:w="57" w:type="dxa"/>
              <w:bottom w:w="57" w:type="dxa"/>
            </w:tcMar>
          </w:tcPr>
          <w:p w14:paraId="00EFC905" w14:textId="77777777" w:rsidR="005E227D" w:rsidRPr="003D4BB7" w:rsidRDefault="005E227D" w:rsidP="005E227D">
            <w:pPr>
              <w:keepLines/>
              <w:spacing w:before="40" w:after="40" w:line="200" w:lineRule="atLeast"/>
              <w:rPr>
                <w:rFonts w:eastAsia="Times New Roman"/>
                <w:b/>
                <w:iCs/>
                <w:szCs w:val="17"/>
              </w:rPr>
            </w:pPr>
            <w:r w:rsidRPr="003D4BB7">
              <w:rPr>
                <w:i/>
                <w:iCs/>
                <w:szCs w:val="17"/>
              </w:rPr>
              <w:t>Pacific island countries effectively manage global sources of climate finance</w:t>
            </w:r>
          </w:p>
        </w:tc>
        <w:tc>
          <w:tcPr>
            <w:tcW w:w="780" w:type="pct"/>
          </w:tcPr>
          <w:p w14:paraId="09FF81D0" w14:textId="77777777" w:rsidR="005E227D" w:rsidRPr="005E07E0" w:rsidRDefault="005E227D" w:rsidP="005E227D">
            <w:pPr>
              <w:keepLines/>
              <w:spacing w:before="40" w:after="40" w:line="200" w:lineRule="atLeast"/>
              <w:rPr>
                <w:rFonts w:eastAsia="Times New Roman"/>
                <w:i/>
                <w:iCs/>
                <w:szCs w:val="17"/>
              </w:rPr>
            </w:pPr>
            <w:r w:rsidRPr="005E07E0">
              <w:rPr>
                <w:rFonts w:eastAsia="Times New Roman"/>
                <w:i/>
                <w:iCs/>
                <w:szCs w:val="17"/>
              </w:rPr>
              <w:t>Pacific governments are able to access and use information on climate change impacts in national planning</w:t>
            </w:r>
          </w:p>
          <w:p w14:paraId="2A23B67F" w14:textId="77777777" w:rsidR="005E227D" w:rsidRPr="005E07E0" w:rsidRDefault="005E227D" w:rsidP="005E227D">
            <w:pPr>
              <w:keepLines/>
              <w:spacing w:before="40" w:after="40" w:line="200" w:lineRule="atLeast"/>
              <w:rPr>
                <w:rFonts w:eastAsia="Times New Roman"/>
                <w:iCs/>
                <w:szCs w:val="17"/>
              </w:rPr>
            </w:pPr>
            <w:r w:rsidRPr="005E07E0">
              <w:rPr>
                <w:rFonts w:eastAsia="Times New Roman"/>
                <w:i/>
                <w:iCs/>
                <w:szCs w:val="17"/>
              </w:rPr>
              <w:t>(Nine Pacific island country programs have commenced implementation of integration plans, as evidenced by the number of new investments addressing climate and other disaster risks and resilience)</w:t>
            </w:r>
          </w:p>
        </w:tc>
        <w:tc>
          <w:tcPr>
            <w:tcW w:w="470" w:type="pct"/>
            <w:shd w:val="clear" w:color="auto" w:fill="auto"/>
          </w:tcPr>
          <w:p w14:paraId="371CF261" w14:textId="77777777" w:rsidR="005E227D" w:rsidRPr="005E07E0" w:rsidRDefault="005E227D" w:rsidP="005E227D">
            <w:pPr>
              <w:keepLines/>
              <w:spacing w:before="40" w:after="40" w:line="200" w:lineRule="atLeast"/>
              <w:rPr>
                <w:rFonts w:eastAsia="Times New Roman"/>
                <w:iCs/>
                <w:szCs w:val="17"/>
              </w:rPr>
            </w:pPr>
            <w:r w:rsidRPr="005E07E0">
              <w:rPr>
                <w:rFonts w:eastAsia="Times New Roman"/>
                <w:iCs/>
                <w:szCs w:val="17"/>
              </w:rPr>
              <w:t>Achieved</w:t>
            </w:r>
          </w:p>
        </w:tc>
        <w:tc>
          <w:tcPr>
            <w:tcW w:w="2970" w:type="pct"/>
          </w:tcPr>
          <w:p w14:paraId="6C8B32F6" w14:textId="452C76C9" w:rsidR="0005066C" w:rsidRDefault="0005066C" w:rsidP="0005066C">
            <w:pPr>
              <w:keepLines/>
              <w:spacing w:before="40" w:after="40" w:line="200" w:lineRule="atLeast"/>
              <w:rPr>
                <w:rFonts w:eastAsia="Times New Roman"/>
                <w:iCs/>
                <w:szCs w:val="17"/>
              </w:rPr>
            </w:pPr>
            <w:r w:rsidRPr="005E07E0">
              <w:rPr>
                <w:rFonts w:eastAsia="Times New Roman"/>
                <w:iCs/>
                <w:szCs w:val="17"/>
              </w:rPr>
              <w:t xml:space="preserve">Climate change and disaster resilience have been integrated into </w:t>
            </w:r>
            <w:r>
              <w:rPr>
                <w:rFonts w:eastAsia="Times New Roman"/>
                <w:iCs/>
                <w:szCs w:val="17"/>
              </w:rPr>
              <w:t xml:space="preserve">aid investments in </w:t>
            </w:r>
            <w:r w:rsidRPr="005E07E0">
              <w:rPr>
                <w:rFonts w:eastAsia="Times New Roman"/>
                <w:iCs/>
                <w:szCs w:val="17"/>
              </w:rPr>
              <w:t>nine (9) bilateral programs. A total of 1</w:t>
            </w:r>
            <w:r>
              <w:rPr>
                <w:rFonts w:eastAsia="Times New Roman"/>
                <w:iCs/>
                <w:szCs w:val="17"/>
              </w:rPr>
              <w:t>1</w:t>
            </w:r>
            <w:r w:rsidRPr="005E07E0">
              <w:rPr>
                <w:rFonts w:eastAsia="Times New Roman"/>
                <w:iCs/>
                <w:szCs w:val="17"/>
              </w:rPr>
              <w:t xml:space="preserve"> </w:t>
            </w:r>
            <w:r>
              <w:rPr>
                <w:rFonts w:eastAsia="Times New Roman"/>
                <w:iCs/>
                <w:szCs w:val="17"/>
              </w:rPr>
              <w:t xml:space="preserve">new </w:t>
            </w:r>
            <w:r w:rsidRPr="005E07E0">
              <w:rPr>
                <w:rFonts w:eastAsia="Times New Roman"/>
                <w:iCs/>
                <w:szCs w:val="17"/>
              </w:rPr>
              <w:t xml:space="preserve">bilateral </w:t>
            </w:r>
            <w:r>
              <w:rPr>
                <w:rFonts w:eastAsia="Times New Roman"/>
                <w:iCs/>
                <w:szCs w:val="17"/>
              </w:rPr>
              <w:t xml:space="preserve">and </w:t>
            </w:r>
            <w:r w:rsidRPr="00C5183E">
              <w:t>3</w:t>
            </w:r>
            <w:r>
              <w:rPr>
                <w:rFonts w:eastAsia="Times New Roman"/>
                <w:iCs/>
                <w:szCs w:val="17"/>
              </w:rPr>
              <w:t xml:space="preserve"> new regional and global investments</w:t>
            </w:r>
            <w:r w:rsidRPr="005E07E0">
              <w:rPr>
                <w:rFonts w:eastAsia="Times New Roman"/>
                <w:iCs/>
                <w:szCs w:val="17"/>
              </w:rPr>
              <w:t xml:space="preserve"> </w:t>
            </w:r>
            <w:r>
              <w:rPr>
                <w:rFonts w:eastAsia="Times New Roman"/>
                <w:iCs/>
                <w:szCs w:val="17"/>
              </w:rPr>
              <w:t xml:space="preserve">integrated </w:t>
            </w:r>
            <w:r w:rsidRPr="005E07E0">
              <w:rPr>
                <w:rFonts w:eastAsia="Times New Roman"/>
                <w:iCs/>
                <w:szCs w:val="17"/>
              </w:rPr>
              <w:t xml:space="preserve">climate </w:t>
            </w:r>
            <w:r>
              <w:rPr>
                <w:rFonts w:eastAsia="Times New Roman"/>
                <w:iCs/>
                <w:szCs w:val="17"/>
              </w:rPr>
              <w:t xml:space="preserve">change </w:t>
            </w:r>
            <w:r w:rsidRPr="005E07E0">
              <w:rPr>
                <w:rFonts w:eastAsia="Times New Roman"/>
                <w:iCs/>
                <w:szCs w:val="17"/>
              </w:rPr>
              <w:t>and disaster resilien</w:t>
            </w:r>
            <w:r>
              <w:rPr>
                <w:rFonts w:eastAsia="Times New Roman"/>
                <w:iCs/>
                <w:szCs w:val="17"/>
              </w:rPr>
              <w:t xml:space="preserve">ce. These, along with 5 new dedicated regional climate change and disaster resilience investments, contributed an additional </w:t>
            </w:r>
            <w:r w:rsidR="003A23F3">
              <w:rPr>
                <w:rFonts w:eastAsia="Times New Roman"/>
                <w:iCs/>
                <w:szCs w:val="17"/>
              </w:rPr>
              <w:t>AUD</w:t>
            </w:r>
            <w:r>
              <w:rPr>
                <w:rFonts w:eastAsia="Times New Roman"/>
                <w:iCs/>
                <w:szCs w:val="17"/>
              </w:rPr>
              <w:t>31.9 million</w:t>
            </w:r>
            <w:r w:rsidRPr="005E07E0">
              <w:rPr>
                <w:rFonts w:eastAsia="Times New Roman"/>
                <w:iCs/>
                <w:szCs w:val="17"/>
              </w:rPr>
              <w:t xml:space="preserve"> in climate and disaster</w:t>
            </w:r>
            <w:r>
              <w:rPr>
                <w:rFonts w:eastAsia="Times New Roman"/>
                <w:iCs/>
                <w:szCs w:val="17"/>
              </w:rPr>
              <w:t>-</w:t>
            </w:r>
            <w:r w:rsidRPr="005E07E0">
              <w:rPr>
                <w:rFonts w:eastAsia="Times New Roman"/>
                <w:iCs/>
                <w:szCs w:val="17"/>
              </w:rPr>
              <w:t>related investment</w:t>
            </w:r>
            <w:r>
              <w:rPr>
                <w:rFonts w:eastAsia="Times New Roman"/>
                <w:iCs/>
                <w:szCs w:val="17"/>
              </w:rPr>
              <w:t xml:space="preserve"> to the region in 2018-19</w:t>
            </w:r>
            <w:r w:rsidRPr="005E07E0">
              <w:rPr>
                <w:rFonts w:eastAsia="Times New Roman"/>
                <w:iCs/>
                <w:szCs w:val="17"/>
              </w:rPr>
              <w:t>.</w:t>
            </w:r>
            <w:r>
              <w:rPr>
                <w:rFonts w:eastAsia="Times New Roman"/>
                <w:iCs/>
                <w:szCs w:val="17"/>
              </w:rPr>
              <w:t xml:space="preserve"> Examples of relevant support include:</w:t>
            </w:r>
          </w:p>
          <w:p w14:paraId="332F070C" w14:textId="77777777" w:rsidR="0005066C" w:rsidRPr="0063700C" w:rsidRDefault="0005066C" w:rsidP="0005066C">
            <w:pPr>
              <w:pStyle w:val="ListParagraph"/>
              <w:keepLines/>
              <w:numPr>
                <w:ilvl w:val="0"/>
                <w:numId w:val="43"/>
              </w:numPr>
              <w:spacing w:before="40" w:after="40" w:line="200" w:lineRule="atLeast"/>
              <w:rPr>
                <w:rFonts w:ascii="Helvetica" w:hAnsi="Helvetica"/>
                <w:iCs/>
                <w:color w:val="495965" w:themeColor="text2"/>
                <w:sz w:val="17"/>
                <w:szCs w:val="17"/>
              </w:rPr>
            </w:pPr>
            <w:r w:rsidRPr="0063700C">
              <w:rPr>
                <w:rFonts w:ascii="Helvetica" w:hAnsi="Helvetica"/>
                <w:iCs/>
                <w:color w:val="495965" w:themeColor="text2"/>
                <w:sz w:val="17"/>
                <w:szCs w:val="17"/>
              </w:rPr>
              <w:t>The Climate and Oceans Support Program in the Pacific Phase 2 is supporting 14 Pacific meteorological services to monitor, analyse and communicate information about climate and oceans, including seasonal forecasts and sea level rise.</w:t>
            </w:r>
          </w:p>
          <w:p w14:paraId="2E2E1E9E" w14:textId="07A92736" w:rsidR="0005066C" w:rsidRPr="0063700C" w:rsidRDefault="0005066C" w:rsidP="0005066C">
            <w:pPr>
              <w:pStyle w:val="ListParagraph"/>
              <w:keepLines/>
              <w:numPr>
                <w:ilvl w:val="0"/>
                <w:numId w:val="43"/>
              </w:numPr>
              <w:spacing w:before="40" w:after="40" w:line="200" w:lineRule="atLeast"/>
              <w:rPr>
                <w:rFonts w:ascii="Helvetica" w:hAnsi="Helvetica"/>
                <w:iCs/>
                <w:color w:val="495965" w:themeColor="text2"/>
                <w:sz w:val="17"/>
                <w:szCs w:val="17"/>
              </w:rPr>
            </w:pPr>
            <w:r w:rsidRPr="0063700C">
              <w:rPr>
                <w:rFonts w:ascii="Helvetica" w:hAnsi="Helvetica"/>
                <w:iCs/>
                <w:color w:val="495965" w:themeColor="text2"/>
                <w:sz w:val="17"/>
                <w:szCs w:val="17"/>
              </w:rPr>
              <w:t xml:space="preserve">In Kiribati, Australia is supporting the Director of Climate Finance in the Ministry of Finance. </w:t>
            </w:r>
            <w:r w:rsidRPr="0063700C">
              <w:rPr>
                <w:rFonts w:ascii="Helvetica" w:hAnsi="Helvetica"/>
                <w:iCs/>
                <w:color w:val="495965" w:themeColor="text2"/>
                <w:sz w:val="17"/>
                <w:szCs w:val="17"/>
                <w:lang w:val="en-GB"/>
              </w:rPr>
              <w:t xml:space="preserve">Since recruiting the position, Kiribati has secured over </w:t>
            </w:r>
            <w:r w:rsidR="003A23F3">
              <w:rPr>
                <w:rFonts w:ascii="Helvetica" w:hAnsi="Helvetica"/>
                <w:iCs/>
                <w:color w:val="495965" w:themeColor="text2"/>
                <w:sz w:val="17"/>
                <w:szCs w:val="17"/>
                <w:lang w:val="en-GB"/>
              </w:rPr>
              <w:t>USD</w:t>
            </w:r>
            <w:r w:rsidRPr="0063700C">
              <w:rPr>
                <w:rFonts w:ascii="Helvetica" w:hAnsi="Helvetica"/>
                <w:iCs/>
                <w:color w:val="495965" w:themeColor="text2"/>
                <w:sz w:val="17"/>
                <w:szCs w:val="17"/>
                <w:lang w:val="en-GB"/>
              </w:rPr>
              <w:t>150 million in support for priority climate change projects from international climate finance sources.</w:t>
            </w:r>
          </w:p>
          <w:p w14:paraId="3A596346" w14:textId="77777777" w:rsidR="0005066C" w:rsidRPr="0063700C" w:rsidRDefault="0005066C" w:rsidP="0005066C">
            <w:pPr>
              <w:pStyle w:val="ListParagraph"/>
              <w:keepLines/>
              <w:numPr>
                <w:ilvl w:val="0"/>
                <w:numId w:val="43"/>
              </w:numPr>
              <w:spacing w:before="40" w:after="40" w:line="200" w:lineRule="atLeast"/>
              <w:rPr>
                <w:rFonts w:ascii="Helvetica" w:hAnsi="Helvetica"/>
                <w:iCs/>
                <w:color w:val="495965" w:themeColor="text2"/>
                <w:sz w:val="17"/>
                <w:szCs w:val="17"/>
              </w:rPr>
            </w:pPr>
            <w:r w:rsidRPr="0063700C">
              <w:rPr>
                <w:rFonts w:ascii="Helvetica" w:hAnsi="Helvetica"/>
                <w:iCs/>
                <w:color w:val="495965" w:themeColor="text2"/>
                <w:sz w:val="17"/>
                <w:szCs w:val="17"/>
              </w:rPr>
              <w:t xml:space="preserve">Through the Climate Finance Readiness for the Pacific program, Australia is supporting GIZ to work with five </w:t>
            </w:r>
            <w:r w:rsidRPr="0005066C">
              <w:rPr>
                <w:rFonts w:ascii="Helvetica" w:hAnsi="Helvetica"/>
                <w:iCs/>
                <w:color w:val="495965" w:themeColor="text2"/>
                <w:sz w:val="17"/>
                <w:szCs w:val="17"/>
              </w:rPr>
              <w:t>Pacific Island</w:t>
            </w:r>
            <w:r w:rsidRPr="0063700C">
              <w:rPr>
                <w:rFonts w:ascii="Helvetica" w:hAnsi="Helvetica"/>
                <w:iCs/>
                <w:color w:val="495965" w:themeColor="text2"/>
                <w:sz w:val="17"/>
                <w:szCs w:val="17"/>
              </w:rPr>
              <w:t xml:space="preserve"> countries to build their capacity to apply for climate finance.</w:t>
            </w:r>
          </w:p>
          <w:p w14:paraId="12424009" w14:textId="77777777" w:rsidR="005E227D" w:rsidRPr="005E07E0" w:rsidRDefault="005E227D" w:rsidP="005E227D">
            <w:pPr>
              <w:keepLines/>
              <w:spacing w:before="40" w:after="40" w:line="200" w:lineRule="atLeast"/>
              <w:rPr>
                <w:rFonts w:eastAsia="Times New Roman"/>
                <w:iCs/>
                <w:szCs w:val="17"/>
              </w:rPr>
            </w:pPr>
          </w:p>
          <w:p w14:paraId="129F5750" w14:textId="77777777" w:rsidR="005E227D" w:rsidRPr="005E07E0" w:rsidRDefault="005E227D" w:rsidP="005E227D">
            <w:pPr>
              <w:keepLines/>
              <w:spacing w:before="40" w:after="40" w:line="200" w:lineRule="atLeast"/>
              <w:rPr>
                <w:rFonts w:eastAsia="Times New Roman"/>
                <w:iCs/>
                <w:szCs w:val="17"/>
              </w:rPr>
            </w:pPr>
          </w:p>
        </w:tc>
      </w:tr>
      <w:tr w:rsidR="005E227D" w:rsidRPr="00C61187" w14:paraId="0149252D" w14:textId="77777777" w:rsidTr="00171615">
        <w:tc>
          <w:tcPr>
            <w:tcW w:w="780" w:type="pct"/>
            <w:tcMar>
              <w:top w:w="57" w:type="dxa"/>
              <w:bottom w:w="57" w:type="dxa"/>
            </w:tcMar>
          </w:tcPr>
          <w:p w14:paraId="4ADA246C" w14:textId="77777777" w:rsidR="005E227D" w:rsidRDefault="005E227D" w:rsidP="005E227D">
            <w:pPr>
              <w:keepLines/>
              <w:rPr>
                <w:i/>
                <w:iCs/>
                <w:szCs w:val="17"/>
              </w:rPr>
            </w:pPr>
            <w:r w:rsidRPr="003D4BB7">
              <w:rPr>
                <w:i/>
                <w:iCs/>
                <w:szCs w:val="17"/>
              </w:rPr>
              <w:t>Collective action managing regional fisheries resources delivers economic benefits to Pacific countries</w:t>
            </w:r>
          </w:p>
          <w:p w14:paraId="2DB41FEC" w14:textId="77777777" w:rsidR="005E227D" w:rsidRPr="003D4BB7" w:rsidRDefault="005E227D" w:rsidP="005E227D">
            <w:pPr>
              <w:keepLines/>
              <w:spacing w:before="40" w:after="40" w:line="200" w:lineRule="atLeast"/>
              <w:rPr>
                <w:i/>
                <w:iCs/>
                <w:szCs w:val="17"/>
              </w:rPr>
            </w:pPr>
          </w:p>
        </w:tc>
        <w:tc>
          <w:tcPr>
            <w:tcW w:w="780" w:type="pct"/>
          </w:tcPr>
          <w:p w14:paraId="72396EA8" w14:textId="77777777" w:rsidR="005E227D" w:rsidRPr="005E07E0" w:rsidRDefault="005E227D" w:rsidP="005E227D">
            <w:pPr>
              <w:keepLines/>
              <w:spacing w:before="40" w:after="40" w:line="200" w:lineRule="atLeast"/>
              <w:rPr>
                <w:rFonts w:eastAsia="Times New Roman"/>
                <w:i/>
                <w:iCs/>
                <w:szCs w:val="17"/>
              </w:rPr>
            </w:pPr>
            <w:r w:rsidRPr="005E07E0">
              <w:rPr>
                <w:rFonts w:eastAsia="Times New Roman"/>
                <w:i/>
                <w:iCs/>
                <w:szCs w:val="17"/>
              </w:rPr>
              <w:t>Pacific governments provide more resources (financial and human) to holistic community-based fisheries management approaches.</w:t>
            </w:r>
          </w:p>
          <w:p w14:paraId="20571FA4" w14:textId="77777777" w:rsidR="005E227D" w:rsidRPr="005E07E0" w:rsidRDefault="005E227D" w:rsidP="005E227D">
            <w:pPr>
              <w:keepLines/>
              <w:spacing w:before="40" w:after="40" w:line="200" w:lineRule="atLeast"/>
              <w:rPr>
                <w:rFonts w:eastAsia="Times New Roman"/>
                <w:i/>
                <w:iCs/>
                <w:szCs w:val="17"/>
              </w:rPr>
            </w:pPr>
            <w:r w:rsidRPr="005E07E0">
              <w:rPr>
                <w:rFonts w:eastAsia="Times New Roman"/>
                <w:i/>
                <w:iCs/>
                <w:szCs w:val="17"/>
              </w:rPr>
              <w:t>(ACIAR provides evidence of holistic community-based fisheries management approach in at least 3 countries.)</w:t>
            </w:r>
          </w:p>
        </w:tc>
        <w:tc>
          <w:tcPr>
            <w:tcW w:w="470" w:type="pct"/>
            <w:shd w:val="clear" w:color="auto" w:fill="auto"/>
          </w:tcPr>
          <w:p w14:paraId="49658CC0" w14:textId="77777777" w:rsidR="005E227D" w:rsidRPr="005E07E0" w:rsidRDefault="005E227D" w:rsidP="005E227D">
            <w:pPr>
              <w:keepLines/>
              <w:spacing w:before="40" w:after="40" w:line="200" w:lineRule="atLeast"/>
              <w:rPr>
                <w:rFonts w:eastAsia="Times New Roman"/>
                <w:iCs/>
                <w:szCs w:val="17"/>
              </w:rPr>
            </w:pPr>
            <w:r w:rsidRPr="005E07E0">
              <w:rPr>
                <w:rFonts w:eastAsia="Times New Roman"/>
                <w:iCs/>
                <w:szCs w:val="17"/>
              </w:rPr>
              <w:t>Partially achieved</w:t>
            </w:r>
          </w:p>
        </w:tc>
        <w:tc>
          <w:tcPr>
            <w:tcW w:w="2970" w:type="pct"/>
          </w:tcPr>
          <w:p w14:paraId="57D5881A" w14:textId="77777777" w:rsidR="005E227D" w:rsidRPr="005E07E0" w:rsidRDefault="005E227D" w:rsidP="005E227D">
            <w:pPr>
              <w:keepLines/>
              <w:spacing w:before="40" w:after="40" w:line="200" w:lineRule="atLeast"/>
              <w:rPr>
                <w:rFonts w:eastAsia="Times New Roman"/>
                <w:iCs/>
                <w:szCs w:val="17"/>
              </w:rPr>
            </w:pPr>
            <w:r w:rsidRPr="005E07E0">
              <w:rPr>
                <w:rFonts w:eastAsia="Times New Roman"/>
                <w:iCs/>
                <w:szCs w:val="17"/>
              </w:rPr>
              <w:t xml:space="preserve">The project is nearing its midpoint and is on track to achieve or exceed its output and outcome targets. </w:t>
            </w:r>
            <w:r w:rsidR="00F27FFE" w:rsidRPr="005E07E0">
              <w:rPr>
                <w:rFonts w:eastAsia="Times New Roman"/>
                <w:iCs/>
                <w:szCs w:val="17"/>
              </w:rPr>
              <w:t>there is evidence submitted by ACIAR that the project approach to community based fisheries management has gained traction and momentum in the three target countries.</w:t>
            </w:r>
            <w:r w:rsidR="00A91A29" w:rsidRPr="005E07E0">
              <w:rPr>
                <w:rFonts w:eastAsia="Times New Roman"/>
                <w:iCs/>
                <w:szCs w:val="17"/>
              </w:rPr>
              <w:t xml:space="preserve"> </w:t>
            </w:r>
            <w:r w:rsidRPr="005E07E0">
              <w:rPr>
                <w:rFonts w:eastAsia="Times New Roman"/>
                <w:iCs/>
                <w:szCs w:val="17"/>
              </w:rPr>
              <w:t>To date, the project has directly engaged with 101 communities across Kiribati (31), Solomon Islands (37) and Vanuatu (33) through intensive and 'lite-touch' approaches and 18 new management plans have been developed. The project continues to respond to the complex operating environment of coastal fisheries by increasing investments in national fisheries agencies to refocus efforts and support to coastal fisheries. This includes new national staff and operating budgets, as well as training and support in the development of national coastal fisheries strategies (in Kiribati and Vanuatu, the first of their kind in both countries) and regulations. Overall, 75% of project activities to date were conducted in collaboration with one or more national, sub-national, or civil society agencies, promoting increased recognition and support for sustainable national and subnational CBFM programs.</w:t>
            </w:r>
          </w:p>
          <w:p w14:paraId="35D32BEE" w14:textId="77777777" w:rsidR="005E227D" w:rsidRPr="005E07E0" w:rsidRDefault="005E227D" w:rsidP="005E227D">
            <w:pPr>
              <w:keepLines/>
              <w:spacing w:before="40" w:after="40" w:line="200" w:lineRule="atLeast"/>
              <w:rPr>
                <w:rFonts w:eastAsia="Times New Roman"/>
                <w:iCs/>
                <w:szCs w:val="17"/>
              </w:rPr>
            </w:pPr>
          </w:p>
        </w:tc>
      </w:tr>
      <w:tr w:rsidR="005E227D" w:rsidRPr="00C61187" w14:paraId="32321BDA" w14:textId="77777777" w:rsidTr="00171615">
        <w:tc>
          <w:tcPr>
            <w:tcW w:w="780" w:type="pct"/>
            <w:tcMar>
              <w:top w:w="57" w:type="dxa"/>
              <w:bottom w:w="57" w:type="dxa"/>
            </w:tcMar>
          </w:tcPr>
          <w:p w14:paraId="6E23EF69" w14:textId="77777777" w:rsidR="005E227D" w:rsidRPr="003D4BB7" w:rsidRDefault="005E227D" w:rsidP="005E227D">
            <w:pPr>
              <w:keepLines/>
              <w:rPr>
                <w:i/>
                <w:iCs/>
                <w:szCs w:val="17"/>
              </w:rPr>
            </w:pPr>
            <w:r w:rsidRPr="003D4BB7">
              <w:rPr>
                <w:i/>
                <w:iCs/>
                <w:szCs w:val="17"/>
              </w:rPr>
              <w:t>Pacific island government national surveillance systems effectively monitor outbreaks of infectious diseases</w:t>
            </w:r>
          </w:p>
          <w:p w14:paraId="73A47499" w14:textId="77777777" w:rsidR="005E227D" w:rsidRPr="003D4BB7" w:rsidRDefault="005E227D" w:rsidP="005E227D">
            <w:pPr>
              <w:keepLines/>
              <w:rPr>
                <w:i/>
                <w:iCs/>
                <w:szCs w:val="17"/>
              </w:rPr>
            </w:pPr>
          </w:p>
        </w:tc>
        <w:tc>
          <w:tcPr>
            <w:tcW w:w="780" w:type="pct"/>
          </w:tcPr>
          <w:p w14:paraId="0719F4B7" w14:textId="77777777" w:rsidR="005E227D" w:rsidRPr="005E07E0" w:rsidRDefault="005E227D" w:rsidP="005E227D">
            <w:pPr>
              <w:keepLines/>
              <w:spacing w:before="40" w:after="40" w:line="200" w:lineRule="atLeast"/>
              <w:rPr>
                <w:rFonts w:eastAsia="Times New Roman"/>
                <w:i/>
                <w:iCs/>
                <w:szCs w:val="17"/>
              </w:rPr>
            </w:pPr>
            <w:r w:rsidRPr="005E07E0">
              <w:rPr>
                <w:rFonts w:eastAsia="Times New Roman"/>
                <w:i/>
                <w:iCs/>
                <w:szCs w:val="17"/>
              </w:rPr>
              <w:t>Number of Pacific island countries meeting all seven International Health Regulation core capacities.</w:t>
            </w:r>
            <w:r w:rsidRPr="005E07E0">
              <w:rPr>
                <w:rFonts w:eastAsia="Times New Roman"/>
                <w:iCs/>
                <w:szCs w:val="17"/>
              </w:rPr>
              <w:footnoteReference w:id="13"/>
            </w:r>
            <w:r w:rsidRPr="005E07E0">
              <w:rPr>
                <w:rFonts w:eastAsia="Times New Roman"/>
                <w:i/>
                <w:iCs/>
                <w:szCs w:val="17"/>
              </w:rPr>
              <w:t xml:space="preserve"> (Currently 9 out of 14). Our aim is to maintain or increase this number each year.</w:t>
            </w:r>
          </w:p>
        </w:tc>
        <w:tc>
          <w:tcPr>
            <w:tcW w:w="470" w:type="pct"/>
            <w:shd w:val="clear" w:color="auto" w:fill="auto"/>
          </w:tcPr>
          <w:p w14:paraId="09CDCFF3" w14:textId="77777777" w:rsidR="005E227D" w:rsidRPr="005E07E0" w:rsidRDefault="005E227D" w:rsidP="005E227D">
            <w:pPr>
              <w:keepLines/>
              <w:spacing w:before="40" w:after="40" w:line="200" w:lineRule="atLeast"/>
              <w:rPr>
                <w:rFonts w:eastAsia="Times New Roman"/>
                <w:iCs/>
                <w:szCs w:val="17"/>
              </w:rPr>
            </w:pPr>
          </w:p>
          <w:p w14:paraId="37AF4AFC" w14:textId="77777777" w:rsidR="005E227D" w:rsidRPr="005E07E0" w:rsidRDefault="005E227D" w:rsidP="005E227D">
            <w:pPr>
              <w:keepLines/>
              <w:spacing w:before="40" w:after="40" w:line="200" w:lineRule="atLeast"/>
              <w:rPr>
                <w:rFonts w:eastAsia="Times New Roman"/>
                <w:iCs/>
                <w:szCs w:val="17"/>
              </w:rPr>
            </w:pPr>
            <w:r w:rsidRPr="005E07E0">
              <w:rPr>
                <w:rFonts w:eastAsia="Times New Roman"/>
                <w:iCs/>
                <w:szCs w:val="17"/>
              </w:rPr>
              <w:t>No longer relevant or measurable</w:t>
            </w:r>
          </w:p>
        </w:tc>
        <w:tc>
          <w:tcPr>
            <w:tcW w:w="2970" w:type="pct"/>
          </w:tcPr>
          <w:p w14:paraId="5ADC77BE" w14:textId="77777777" w:rsidR="0071314C" w:rsidRPr="005E07E0" w:rsidRDefault="0071314C" w:rsidP="0071314C">
            <w:pPr>
              <w:keepLines/>
              <w:spacing w:before="40" w:after="40" w:line="200" w:lineRule="atLeast"/>
              <w:rPr>
                <w:rFonts w:eastAsia="Times New Roman"/>
                <w:iCs/>
                <w:szCs w:val="17"/>
              </w:rPr>
            </w:pPr>
            <w:r w:rsidRPr="005E07E0">
              <w:rPr>
                <w:rFonts w:eastAsia="Times New Roman"/>
                <w:iCs/>
                <w:szCs w:val="17"/>
              </w:rPr>
              <w:t>During 2018-19, the reporting context for Pacific countries changed in relation to IHR core capacities. WHO did not collect data against Pacific countries’ self-reporting on core capacities during the year. It is therefore not possible to obtain data to report against this benchmark.</w:t>
            </w:r>
          </w:p>
          <w:p w14:paraId="56EA97D4" w14:textId="77777777" w:rsidR="0071314C" w:rsidRPr="005E07E0" w:rsidRDefault="0071314C" w:rsidP="0071314C">
            <w:pPr>
              <w:keepLines/>
              <w:spacing w:before="40" w:after="40" w:line="200" w:lineRule="atLeast"/>
              <w:rPr>
                <w:rFonts w:eastAsia="Times New Roman"/>
                <w:iCs/>
                <w:szCs w:val="17"/>
              </w:rPr>
            </w:pPr>
            <w:r w:rsidRPr="005E07E0">
              <w:rPr>
                <w:rFonts w:eastAsia="Times New Roman"/>
                <w:iCs/>
                <w:szCs w:val="17"/>
              </w:rPr>
              <w:t>A new reporting system has replaced the former system. It involves more objective States Parties reporting; and is accepted as a better fit-for-purpose for Pacific countries which are often not in a position to acquire all the IHR core capacities at country-level due to a range of limitations. Instead some of these capacities need to be provided through other means e.g. regionally.</w:t>
            </w:r>
          </w:p>
          <w:p w14:paraId="00CF77C3" w14:textId="77777777" w:rsidR="005E227D" w:rsidRPr="005E07E0" w:rsidRDefault="0071314C" w:rsidP="00506679">
            <w:pPr>
              <w:spacing w:before="40" w:after="40" w:line="200" w:lineRule="atLeast"/>
              <w:rPr>
                <w:rFonts w:eastAsia="Times New Roman"/>
                <w:iCs/>
                <w:szCs w:val="17"/>
              </w:rPr>
            </w:pPr>
            <w:r w:rsidRPr="005E07E0">
              <w:rPr>
                <w:rFonts w:eastAsia="Times New Roman"/>
                <w:iCs/>
                <w:szCs w:val="17"/>
              </w:rPr>
              <w:t xml:space="preserve">For 2019-20 the replacement benchmark will be the aggregate IHR capacity (per cent) for the Pacific region as reported in States Parties Self-Assessment and Annual Reporting (SPAR). The baseline measurement is 52 per cent. </w:t>
            </w:r>
          </w:p>
        </w:tc>
      </w:tr>
      <w:tr w:rsidR="005E227D" w:rsidRPr="00C61187" w14:paraId="32B8BC7D" w14:textId="77777777" w:rsidTr="00171615">
        <w:tc>
          <w:tcPr>
            <w:tcW w:w="780" w:type="pct"/>
            <w:tcMar>
              <w:top w:w="57" w:type="dxa"/>
              <w:bottom w:w="57" w:type="dxa"/>
            </w:tcMar>
          </w:tcPr>
          <w:p w14:paraId="476353E3" w14:textId="77777777" w:rsidR="005E227D" w:rsidRPr="003D4BB7" w:rsidRDefault="005E227D" w:rsidP="005E227D">
            <w:pPr>
              <w:keepLines/>
              <w:rPr>
                <w:i/>
                <w:iCs/>
                <w:szCs w:val="17"/>
              </w:rPr>
            </w:pPr>
            <w:r w:rsidRPr="00467A50">
              <w:rPr>
                <w:rFonts w:eastAsia="Times New Roman"/>
                <w:b/>
                <w:iCs/>
                <w:szCs w:val="17"/>
              </w:rPr>
              <w:t>Objective 4: Empowering women and girls</w:t>
            </w:r>
          </w:p>
        </w:tc>
        <w:tc>
          <w:tcPr>
            <w:tcW w:w="780" w:type="pct"/>
          </w:tcPr>
          <w:p w14:paraId="4895FAB4" w14:textId="77777777" w:rsidR="005E227D" w:rsidRPr="00171615" w:rsidRDefault="005E227D" w:rsidP="005E227D">
            <w:pPr>
              <w:keepLines/>
              <w:spacing w:before="40" w:after="40" w:line="200" w:lineRule="atLeast"/>
              <w:rPr>
                <w:rFonts w:eastAsia="Times New Roman"/>
                <w:iCs/>
                <w:color w:val="auto"/>
                <w:szCs w:val="17"/>
              </w:rPr>
            </w:pPr>
          </w:p>
        </w:tc>
        <w:tc>
          <w:tcPr>
            <w:tcW w:w="470" w:type="pct"/>
            <w:shd w:val="clear" w:color="auto" w:fill="auto"/>
          </w:tcPr>
          <w:p w14:paraId="3CBF9545" w14:textId="77777777" w:rsidR="005E227D" w:rsidRPr="005E07E0" w:rsidRDefault="005E227D" w:rsidP="005E227D">
            <w:pPr>
              <w:keepLines/>
              <w:spacing w:before="40" w:after="40" w:line="200" w:lineRule="atLeast"/>
              <w:rPr>
                <w:rFonts w:eastAsia="Times New Roman"/>
                <w:iCs/>
                <w:szCs w:val="17"/>
              </w:rPr>
            </w:pPr>
          </w:p>
        </w:tc>
        <w:tc>
          <w:tcPr>
            <w:tcW w:w="2970" w:type="pct"/>
          </w:tcPr>
          <w:p w14:paraId="1CCE55A8" w14:textId="77777777" w:rsidR="005E227D" w:rsidRPr="005E07E0" w:rsidRDefault="005E227D" w:rsidP="005E227D">
            <w:pPr>
              <w:pStyle w:val="TableTextEntries"/>
              <w:keepNext/>
              <w:rPr>
                <w:rFonts w:asciiTheme="minorHAnsi" w:hAnsiTheme="minorHAnsi" w:cstheme="minorBidi"/>
                <w:color w:val="495965" w:themeColor="text2"/>
                <w:lang w:val="en-GB"/>
              </w:rPr>
            </w:pPr>
          </w:p>
        </w:tc>
      </w:tr>
      <w:tr w:rsidR="005E227D" w:rsidRPr="00C61187" w14:paraId="72A7E367" w14:textId="77777777" w:rsidTr="00171615">
        <w:tc>
          <w:tcPr>
            <w:tcW w:w="780" w:type="pct"/>
            <w:tcMar>
              <w:top w:w="57" w:type="dxa"/>
              <w:bottom w:w="57" w:type="dxa"/>
            </w:tcMar>
          </w:tcPr>
          <w:p w14:paraId="7423D28F" w14:textId="77777777" w:rsidR="005E227D" w:rsidRPr="003D4BB7" w:rsidRDefault="005E227D" w:rsidP="005E227D">
            <w:pPr>
              <w:keepLines/>
              <w:rPr>
                <w:i/>
                <w:iCs/>
                <w:szCs w:val="17"/>
              </w:rPr>
            </w:pPr>
            <w:r w:rsidRPr="003D4BB7">
              <w:rPr>
                <w:i/>
                <w:iCs/>
                <w:szCs w:val="17"/>
              </w:rPr>
              <w:t xml:space="preserve">Improved </w:t>
            </w:r>
            <w:r>
              <w:rPr>
                <w:i/>
                <w:iCs/>
                <w:szCs w:val="17"/>
              </w:rPr>
              <w:t>leadership</w:t>
            </w:r>
            <w:r w:rsidRPr="003D4BB7">
              <w:rPr>
                <w:i/>
                <w:iCs/>
                <w:szCs w:val="17"/>
              </w:rPr>
              <w:t xml:space="preserve"> opportunities for women in the Pacific.</w:t>
            </w:r>
          </w:p>
        </w:tc>
        <w:tc>
          <w:tcPr>
            <w:tcW w:w="780" w:type="pct"/>
          </w:tcPr>
          <w:p w14:paraId="1D51BF46" w14:textId="77777777" w:rsidR="005E227D" w:rsidRPr="00171615" w:rsidRDefault="005E227D" w:rsidP="005E227D">
            <w:pPr>
              <w:keepLines/>
              <w:spacing w:before="40" w:after="40" w:line="200" w:lineRule="atLeast"/>
              <w:rPr>
                <w:rFonts w:eastAsia="Times New Roman"/>
                <w:iCs/>
                <w:color w:val="auto"/>
                <w:szCs w:val="17"/>
              </w:rPr>
            </w:pPr>
            <w:r w:rsidRPr="005E07E0">
              <w:rPr>
                <w:rFonts w:eastAsia="Times New Roman"/>
                <w:i/>
                <w:iCs/>
                <w:szCs w:val="17"/>
              </w:rPr>
              <w:t>Number of women supported to take on leadership roles at the community, provincial and national level. (target 6,000</w:t>
            </w:r>
            <w:r>
              <w:rPr>
                <w:i/>
                <w:color w:val="808080" w:themeColor="background1" w:themeShade="80"/>
                <w:sz w:val="16"/>
                <w:szCs w:val="16"/>
              </w:rPr>
              <w:t>)</w:t>
            </w:r>
          </w:p>
        </w:tc>
        <w:tc>
          <w:tcPr>
            <w:tcW w:w="470" w:type="pct"/>
            <w:shd w:val="clear" w:color="auto" w:fill="auto"/>
          </w:tcPr>
          <w:p w14:paraId="642395B4" w14:textId="77777777" w:rsidR="005E227D" w:rsidRPr="005E07E0" w:rsidRDefault="005E227D" w:rsidP="005E227D">
            <w:pPr>
              <w:keepLines/>
              <w:spacing w:before="40" w:after="40" w:line="200" w:lineRule="atLeast"/>
              <w:rPr>
                <w:rFonts w:eastAsia="Times New Roman"/>
                <w:iCs/>
                <w:szCs w:val="17"/>
              </w:rPr>
            </w:pPr>
            <w:r w:rsidRPr="005E07E0">
              <w:rPr>
                <w:rFonts w:eastAsia="Times New Roman"/>
                <w:iCs/>
                <w:szCs w:val="17"/>
              </w:rPr>
              <w:t>Achieved</w:t>
            </w:r>
          </w:p>
        </w:tc>
        <w:tc>
          <w:tcPr>
            <w:tcW w:w="2970" w:type="pct"/>
          </w:tcPr>
          <w:p w14:paraId="4432F9D9" w14:textId="77777777" w:rsidR="005E227D" w:rsidRPr="005E07E0" w:rsidRDefault="009C40E8" w:rsidP="00ED0B29">
            <w:pPr>
              <w:keepLines/>
              <w:spacing w:before="40" w:after="40" w:line="200" w:lineRule="atLeast"/>
              <w:rPr>
                <w:rFonts w:asciiTheme="minorHAnsi" w:hAnsiTheme="minorHAnsi"/>
              </w:rPr>
            </w:pPr>
            <w:r w:rsidRPr="005E07E0">
              <w:rPr>
                <w:rFonts w:eastAsia="Times New Roman"/>
                <w:iCs/>
                <w:szCs w:val="17"/>
              </w:rPr>
              <w:t xml:space="preserve">In 2018-19, an additional </w:t>
            </w:r>
            <w:r>
              <w:rPr>
                <w:rFonts w:eastAsia="Times New Roman"/>
                <w:iCs/>
                <w:szCs w:val="17"/>
              </w:rPr>
              <w:t>1,552</w:t>
            </w:r>
            <w:r w:rsidRPr="005E07E0">
              <w:rPr>
                <w:rFonts w:eastAsia="Times New Roman"/>
                <w:iCs/>
                <w:szCs w:val="17"/>
              </w:rPr>
              <w:t xml:space="preserve"> women were supported to take on leadership through </w:t>
            </w:r>
            <w:r w:rsidRPr="005E07E0">
              <w:rPr>
                <w:rFonts w:eastAsia="Times New Roman"/>
                <w:i/>
                <w:iCs/>
                <w:szCs w:val="17"/>
              </w:rPr>
              <w:t>Pacific Women</w:t>
            </w:r>
            <w:r w:rsidRPr="005E07E0">
              <w:rPr>
                <w:rFonts w:eastAsia="Times New Roman"/>
                <w:iCs/>
                <w:szCs w:val="17"/>
              </w:rPr>
              <w:t xml:space="preserve"> regional initiatives</w:t>
            </w:r>
            <w:r>
              <w:rPr>
                <w:rFonts w:eastAsia="Times New Roman"/>
                <w:iCs/>
                <w:szCs w:val="17"/>
              </w:rPr>
              <w:t xml:space="preserve">, bringing the total number of </w:t>
            </w:r>
            <w:r w:rsidRPr="005E07E0">
              <w:rPr>
                <w:rFonts w:eastAsia="Times New Roman"/>
                <w:iCs/>
                <w:szCs w:val="17"/>
              </w:rPr>
              <w:t xml:space="preserve">women </w:t>
            </w:r>
            <w:r>
              <w:rPr>
                <w:rFonts w:eastAsia="Times New Roman"/>
                <w:iCs/>
                <w:szCs w:val="17"/>
              </w:rPr>
              <w:t>to 9,716</w:t>
            </w:r>
            <w:r w:rsidRPr="005E07E0">
              <w:rPr>
                <w:rFonts w:eastAsia="Times New Roman"/>
                <w:iCs/>
                <w:szCs w:val="17"/>
              </w:rPr>
              <w:t>.  The latter figure surpasses the (cumulative) target of 6,000</w:t>
            </w:r>
            <w:r w:rsidRPr="005E07E0">
              <w:rPr>
                <w:rFonts w:eastAsia="Times New Roman"/>
                <w:i/>
                <w:iCs/>
                <w:szCs w:val="17"/>
              </w:rPr>
              <w:t>.</w:t>
            </w:r>
          </w:p>
        </w:tc>
      </w:tr>
    </w:tbl>
    <w:p w14:paraId="2DCBE400" w14:textId="77777777" w:rsidR="008821C2" w:rsidRPr="00880004" w:rsidRDefault="008821C2" w:rsidP="008821C2">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01F697F7" w14:textId="77777777" w:rsidR="008821C2" w:rsidRPr="00880004" w:rsidRDefault="008821C2" w:rsidP="008821C2">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6C30888A" w14:textId="77777777" w:rsidR="008821C2" w:rsidRPr="00880004" w:rsidRDefault="008821C2" w:rsidP="008821C2">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1CF2FD9D" w14:textId="77777777" w:rsidR="008821C2" w:rsidRPr="00880004" w:rsidRDefault="008821C2" w:rsidP="008821C2">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30F83499" w14:textId="77777777" w:rsidR="00400B0F" w:rsidRPr="008821C2" w:rsidRDefault="00400B0F" w:rsidP="008821C2">
      <w:pPr>
        <w:suppressAutoHyphens w:val="0"/>
        <w:spacing w:before="360" w:after="120" w:line="300" w:lineRule="exact"/>
        <w:rPr>
          <w:rFonts w:asciiTheme="majorHAnsi" w:hAnsiTheme="majorHAnsi" w:cstheme="majorHAnsi"/>
          <w:sz w:val="38"/>
          <w:szCs w:val="38"/>
        </w:rPr>
      </w:pPr>
      <w:r>
        <w:rPr>
          <w:rFonts w:ascii="Franklin Gothic Book" w:eastAsia="Times New Roman" w:hAnsi="Franklin Gothic Book"/>
          <w:sz w:val="21"/>
        </w:rPr>
        <w:br w:type="page"/>
      </w:r>
      <w:r w:rsidRPr="008821C2">
        <w:rPr>
          <w:rFonts w:asciiTheme="majorHAnsi" w:hAnsiTheme="majorHAnsi" w:cstheme="majorHAnsi"/>
          <w:sz w:val="38"/>
          <w:szCs w:val="38"/>
        </w:rPr>
        <w:t>Annex C - Evaluation Planning</w:t>
      </w:r>
    </w:p>
    <w:p w14:paraId="3D068CC7" w14:textId="77777777" w:rsidR="008821C2" w:rsidRPr="00EF26B5" w:rsidRDefault="008821C2" w:rsidP="008821C2">
      <w:pPr>
        <w:spacing w:before="360"/>
        <w:rPr>
          <w:rFonts w:eastAsiaTheme="majorEastAsia" w:cstheme="minorHAnsi"/>
          <w:caps/>
          <w:sz w:val="36"/>
          <w:szCs w:val="36"/>
        </w:rPr>
      </w:pPr>
      <w:r w:rsidRPr="00EF26B5">
        <w:rPr>
          <w:rFonts w:eastAsiaTheme="majorEastAsia" w:cstheme="minorHAnsi"/>
          <w:caps/>
          <w:sz w:val="36"/>
          <w:szCs w:val="36"/>
        </w:rPr>
        <w:t xml:space="preserve">1 List of evaluations completed in the reporting period </w:t>
      </w:r>
      <w:r w:rsidR="00521B56">
        <w:rPr>
          <w:rFonts w:eastAsiaTheme="majorEastAsia" w:cstheme="minorHAnsi"/>
          <w:caps/>
          <w:sz w:val="36"/>
          <w:szCs w:val="36"/>
        </w:rPr>
        <w:t xml:space="preserve">- </w:t>
      </w:r>
      <w:r w:rsidR="00892FC2">
        <w:rPr>
          <w:b/>
          <w:sz w:val="24"/>
        </w:rPr>
        <w:t>(financial year 2018-19</w:t>
      </w:r>
      <w:r w:rsidR="00521B56">
        <w:rPr>
          <w:b/>
          <w:sz w:val="24"/>
        </w:rPr>
        <w:t>)</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8821C2" w:rsidRPr="00C61187" w14:paraId="36A16767" w14:textId="77777777" w:rsidTr="00171615">
        <w:trPr>
          <w:cnfStyle w:val="100000000000" w:firstRow="1" w:lastRow="0" w:firstColumn="0" w:lastColumn="0" w:oddVBand="0" w:evenVBand="0" w:oddHBand="0" w:evenHBand="0" w:firstRowFirstColumn="0" w:firstRowLastColumn="0" w:lastRowFirstColumn="0" w:lastRowLastColumn="0"/>
        </w:trPr>
        <w:tc>
          <w:tcPr>
            <w:tcW w:w="3064" w:type="dxa"/>
          </w:tcPr>
          <w:p w14:paraId="3F5374CD" w14:textId="77777777" w:rsidR="008821C2" w:rsidRPr="00812509" w:rsidRDefault="008821C2" w:rsidP="00171615">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7FB4B363" w14:textId="77777777" w:rsidR="008821C2" w:rsidRPr="00812509" w:rsidRDefault="008821C2" w:rsidP="00171615">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Pr>
          <w:p w14:paraId="5252D1C7" w14:textId="77777777" w:rsidR="008821C2" w:rsidRPr="00812509" w:rsidRDefault="008821C2" w:rsidP="00171615">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14:paraId="4E46A006" w14:textId="77777777" w:rsidR="008821C2" w:rsidRPr="00812509" w:rsidRDefault="008821C2" w:rsidP="00171615">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14:paraId="0675F321" w14:textId="77777777" w:rsidR="008821C2" w:rsidRPr="00812509" w:rsidRDefault="008821C2" w:rsidP="00171615">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14:paraId="75FCF082" w14:textId="77777777" w:rsidR="008821C2" w:rsidRPr="00812509" w:rsidRDefault="008821C2" w:rsidP="00171615">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14:paraId="03A39BEC" w14:textId="77777777" w:rsidR="008821C2" w:rsidRPr="00812509" w:rsidRDefault="008821C2" w:rsidP="00171615">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285B61" w:rsidRPr="003B5EE5" w14:paraId="08BE9475" w14:textId="77777777" w:rsidTr="00171615">
        <w:trPr>
          <w:cnfStyle w:val="100000000000" w:firstRow="1" w:lastRow="0" w:firstColumn="0" w:lastColumn="0" w:oddVBand="0" w:evenVBand="0" w:oddHBand="0" w:evenHBand="0" w:firstRowFirstColumn="0" w:firstRowLastColumn="0" w:lastRowFirstColumn="0" w:lastRowLastColumn="0"/>
        </w:trPr>
        <w:tc>
          <w:tcPr>
            <w:tcW w:w="3064" w:type="dxa"/>
          </w:tcPr>
          <w:p w14:paraId="6908BCDF" w14:textId="77777777" w:rsidR="00285B61" w:rsidRPr="00285B61" w:rsidRDefault="007050AD" w:rsidP="007050AD">
            <w:pPr>
              <w:keepLines/>
              <w:spacing w:before="40" w:after="40" w:line="200" w:lineRule="atLeast"/>
              <w:rPr>
                <w:rFonts w:asciiTheme="minorHAnsi" w:eastAsia="Times New Roman" w:hAnsiTheme="minorHAnsi"/>
                <w:b w:val="0"/>
                <w:iCs/>
                <w:szCs w:val="17"/>
                <w:lang w:eastAsia="en-US"/>
              </w:rPr>
            </w:pPr>
            <w:r w:rsidRPr="007050AD">
              <w:rPr>
                <w:rFonts w:asciiTheme="minorHAnsi" w:eastAsia="Times New Roman" w:hAnsiTheme="minorHAnsi"/>
                <w:b w:val="0"/>
                <w:iCs/>
                <w:szCs w:val="17"/>
                <w:lang w:eastAsia="en-US"/>
              </w:rPr>
              <w:t xml:space="preserve">INK496 </w:t>
            </w:r>
            <w:r>
              <w:rPr>
                <w:rFonts w:asciiTheme="minorHAnsi" w:eastAsia="Times New Roman" w:hAnsiTheme="minorHAnsi"/>
                <w:b w:val="0"/>
                <w:iCs/>
                <w:szCs w:val="17"/>
                <w:lang w:eastAsia="en-US"/>
              </w:rPr>
              <w:t xml:space="preserve">- </w:t>
            </w:r>
            <w:r w:rsidRPr="007050AD">
              <w:rPr>
                <w:rFonts w:asciiTheme="minorHAnsi" w:eastAsia="Times New Roman" w:hAnsiTheme="minorHAnsi"/>
                <w:b w:val="0"/>
                <w:iCs/>
                <w:szCs w:val="17"/>
                <w:lang w:eastAsia="en-US"/>
              </w:rPr>
              <w:t>Pacific Women Shaping Pacific Development</w:t>
            </w:r>
          </w:p>
        </w:tc>
        <w:tc>
          <w:tcPr>
            <w:tcW w:w="3665" w:type="dxa"/>
          </w:tcPr>
          <w:p w14:paraId="0F42AAC7" w14:textId="77777777" w:rsidR="00285B61" w:rsidRPr="00285B61" w:rsidRDefault="00285B61" w:rsidP="00171615">
            <w:pPr>
              <w:keepLines/>
              <w:spacing w:before="40" w:after="40" w:line="200" w:lineRule="atLeast"/>
              <w:rPr>
                <w:rFonts w:asciiTheme="minorHAnsi" w:eastAsia="Times New Roman" w:hAnsiTheme="minorHAnsi"/>
                <w:b w:val="0"/>
                <w:iCs/>
                <w:szCs w:val="17"/>
                <w:lang w:eastAsia="en-US"/>
              </w:rPr>
            </w:pPr>
            <w:r w:rsidRPr="00285B61">
              <w:rPr>
                <w:rFonts w:asciiTheme="minorHAnsi" w:eastAsia="Times New Roman" w:hAnsiTheme="minorHAnsi"/>
                <w:b w:val="0"/>
                <w:iCs/>
                <w:szCs w:val="17"/>
                <w:lang w:eastAsia="en-US"/>
              </w:rPr>
              <w:t>Markets for Change independent mid-term review 2018</w:t>
            </w:r>
          </w:p>
        </w:tc>
        <w:tc>
          <w:tcPr>
            <w:tcW w:w="1397" w:type="dxa"/>
          </w:tcPr>
          <w:p w14:paraId="0B9E6020" w14:textId="77777777" w:rsidR="00285B61" w:rsidRPr="00285B61" w:rsidRDefault="00285B61" w:rsidP="00171615">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23 July 2018</w:t>
            </w:r>
          </w:p>
        </w:tc>
        <w:tc>
          <w:tcPr>
            <w:tcW w:w="1953" w:type="dxa"/>
          </w:tcPr>
          <w:p w14:paraId="55DA5835" w14:textId="77777777" w:rsidR="00285B61" w:rsidRPr="00285B61" w:rsidRDefault="007050AD" w:rsidP="00171615">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24 April 2019</w:t>
            </w:r>
          </w:p>
        </w:tc>
        <w:tc>
          <w:tcPr>
            <w:tcW w:w="1671" w:type="dxa"/>
          </w:tcPr>
          <w:p w14:paraId="3476C604" w14:textId="77777777" w:rsidR="00285B61" w:rsidRPr="00285B61" w:rsidRDefault="007050AD" w:rsidP="00171615">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24 April 2019</w:t>
            </w:r>
          </w:p>
        </w:tc>
        <w:tc>
          <w:tcPr>
            <w:tcW w:w="2365" w:type="dxa"/>
          </w:tcPr>
          <w:p w14:paraId="4B975C59" w14:textId="77777777" w:rsidR="00285B61" w:rsidRPr="00285B61" w:rsidRDefault="00285B61" w:rsidP="00171615">
            <w:pPr>
              <w:keepLines/>
              <w:spacing w:before="40" w:after="40" w:line="200" w:lineRule="atLeast"/>
              <w:rPr>
                <w:rFonts w:asciiTheme="minorHAnsi" w:eastAsia="Times New Roman" w:hAnsiTheme="minorHAnsi"/>
                <w:b w:val="0"/>
                <w:iCs/>
                <w:szCs w:val="17"/>
                <w:lang w:eastAsia="en-US"/>
              </w:rPr>
            </w:pPr>
            <w:r w:rsidRPr="00285B61">
              <w:rPr>
                <w:rFonts w:asciiTheme="minorHAnsi" w:eastAsia="Times New Roman" w:hAnsiTheme="minorHAnsi"/>
                <w:b w:val="0"/>
                <w:iCs/>
                <w:szCs w:val="17"/>
                <w:lang w:eastAsia="en-US"/>
              </w:rPr>
              <w:t>Yes</w:t>
            </w:r>
          </w:p>
        </w:tc>
      </w:tr>
      <w:tr w:rsidR="008821B3" w:rsidRPr="003B5EE5" w14:paraId="55C24E23" w14:textId="77777777" w:rsidTr="00171615">
        <w:trPr>
          <w:cnfStyle w:val="100000000000" w:firstRow="1" w:lastRow="0" w:firstColumn="0" w:lastColumn="0" w:oddVBand="0" w:evenVBand="0" w:oddHBand="0" w:evenHBand="0" w:firstRowFirstColumn="0" w:firstRowLastColumn="0" w:lastRowFirstColumn="0" w:lastRowLastColumn="0"/>
        </w:trPr>
        <w:tc>
          <w:tcPr>
            <w:tcW w:w="3064" w:type="dxa"/>
          </w:tcPr>
          <w:p w14:paraId="125202FB" w14:textId="77777777" w:rsidR="008821B3" w:rsidRPr="000A29B4" w:rsidRDefault="008821B3" w:rsidP="000A29B4">
            <w:pPr>
              <w:keepLines/>
              <w:spacing w:line="200" w:lineRule="atLeast"/>
              <w:rPr>
                <w:rFonts w:asciiTheme="minorHAnsi" w:eastAsia="Times New Roman" w:hAnsiTheme="minorHAnsi"/>
                <w:b w:val="0"/>
                <w:iCs/>
                <w:szCs w:val="17"/>
                <w:lang w:eastAsia="en-US"/>
              </w:rPr>
            </w:pPr>
            <w:r w:rsidRPr="000A29B4">
              <w:rPr>
                <w:rFonts w:asciiTheme="minorHAnsi" w:eastAsia="Times New Roman" w:hAnsiTheme="minorHAnsi"/>
                <w:b w:val="0"/>
                <w:iCs/>
                <w:szCs w:val="17"/>
                <w:lang w:eastAsia="en-US"/>
              </w:rPr>
              <w:t>INL779 Innovations in Financing</w:t>
            </w:r>
          </w:p>
        </w:tc>
        <w:tc>
          <w:tcPr>
            <w:tcW w:w="3665" w:type="dxa"/>
          </w:tcPr>
          <w:p w14:paraId="6F490CAE" w14:textId="77777777" w:rsidR="008821B3" w:rsidRPr="000A29B4" w:rsidRDefault="008821B3" w:rsidP="000A29B4">
            <w:pPr>
              <w:keepLines/>
              <w:spacing w:line="200" w:lineRule="atLeast"/>
              <w:rPr>
                <w:rFonts w:asciiTheme="minorHAnsi" w:eastAsia="Times New Roman" w:hAnsiTheme="minorHAnsi"/>
                <w:b w:val="0"/>
                <w:iCs/>
                <w:szCs w:val="17"/>
                <w:lang w:eastAsia="en-US"/>
              </w:rPr>
            </w:pPr>
            <w:r w:rsidRPr="000A29B4">
              <w:rPr>
                <w:rFonts w:asciiTheme="minorHAnsi" w:eastAsia="Times New Roman" w:hAnsiTheme="minorHAnsi"/>
                <w:b w:val="0"/>
                <w:iCs/>
                <w:szCs w:val="17"/>
                <w:lang w:eastAsia="en-US"/>
              </w:rPr>
              <w:t>Pacific Readiness for Investment in Social Enterprise Facility (Pacific RISE)</w:t>
            </w:r>
          </w:p>
        </w:tc>
        <w:tc>
          <w:tcPr>
            <w:tcW w:w="1397" w:type="dxa"/>
          </w:tcPr>
          <w:p w14:paraId="60786393" w14:textId="77777777" w:rsidR="008821B3" w:rsidRPr="000A29B4" w:rsidRDefault="008821B3" w:rsidP="000A29B4">
            <w:pPr>
              <w:keepLines/>
              <w:spacing w:line="200" w:lineRule="atLeast"/>
              <w:rPr>
                <w:rFonts w:asciiTheme="minorHAnsi" w:eastAsia="Times New Roman" w:hAnsiTheme="minorHAnsi"/>
                <w:b w:val="0"/>
                <w:iCs/>
                <w:szCs w:val="17"/>
                <w:lang w:eastAsia="en-US"/>
              </w:rPr>
            </w:pPr>
            <w:r w:rsidRPr="000A29B4">
              <w:rPr>
                <w:rFonts w:asciiTheme="minorHAnsi" w:eastAsia="Times New Roman" w:hAnsiTheme="minorHAnsi"/>
                <w:b w:val="0"/>
                <w:iCs/>
                <w:szCs w:val="17"/>
                <w:lang w:eastAsia="en-US"/>
              </w:rPr>
              <w:t>September 2018</w:t>
            </w:r>
          </w:p>
        </w:tc>
        <w:tc>
          <w:tcPr>
            <w:tcW w:w="1953" w:type="dxa"/>
          </w:tcPr>
          <w:p w14:paraId="0590DBB1" w14:textId="77777777" w:rsidR="008821B3" w:rsidRPr="000A29B4" w:rsidRDefault="00CA0961" w:rsidP="000A29B4">
            <w:pPr>
              <w:keepLines/>
              <w:spacing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28 August 2019</w:t>
            </w:r>
          </w:p>
        </w:tc>
        <w:tc>
          <w:tcPr>
            <w:tcW w:w="1671" w:type="dxa"/>
          </w:tcPr>
          <w:p w14:paraId="2148CE40" w14:textId="77777777" w:rsidR="008821B3" w:rsidRPr="000A29B4" w:rsidRDefault="008821B3" w:rsidP="000A29B4">
            <w:pPr>
              <w:keepLines/>
              <w:spacing w:line="200" w:lineRule="atLeast"/>
              <w:rPr>
                <w:rFonts w:asciiTheme="minorHAnsi" w:eastAsia="Times New Roman" w:hAnsiTheme="minorHAnsi"/>
                <w:b w:val="0"/>
                <w:iCs/>
                <w:szCs w:val="17"/>
                <w:lang w:eastAsia="en-US"/>
              </w:rPr>
            </w:pPr>
            <w:r w:rsidRPr="000A29B4">
              <w:rPr>
                <w:rFonts w:asciiTheme="minorHAnsi" w:eastAsia="Times New Roman" w:hAnsiTheme="minorHAnsi"/>
                <w:b w:val="0"/>
                <w:iCs/>
                <w:szCs w:val="17"/>
                <w:lang w:eastAsia="en-US"/>
              </w:rPr>
              <w:t xml:space="preserve">Not applicable, but management response received </w:t>
            </w:r>
            <w:r w:rsidRPr="000A29B4">
              <w:rPr>
                <w:rFonts w:asciiTheme="minorHAnsi" w:eastAsia="Times New Roman" w:hAnsiTheme="minorHAnsi"/>
                <w:b w:val="0"/>
                <w:iCs/>
                <w:szCs w:val="17"/>
                <w:lang w:eastAsia="en-US"/>
              </w:rPr>
              <w:br/>
              <w:t>21 February 2019</w:t>
            </w:r>
          </w:p>
        </w:tc>
        <w:tc>
          <w:tcPr>
            <w:tcW w:w="2365" w:type="dxa"/>
          </w:tcPr>
          <w:p w14:paraId="011D2287" w14:textId="77777777" w:rsidR="008821B3" w:rsidRPr="000A29B4" w:rsidRDefault="008821B3" w:rsidP="000A29B4">
            <w:pPr>
              <w:keepLines/>
              <w:spacing w:line="200" w:lineRule="atLeast"/>
              <w:rPr>
                <w:rFonts w:asciiTheme="minorHAnsi" w:eastAsia="Times New Roman" w:hAnsiTheme="minorHAnsi"/>
                <w:b w:val="0"/>
                <w:iCs/>
                <w:szCs w:val="17"/>
                <w:lang w:eastAsia="en-US"/>
              </w:rPr>
            </w:pPr>
            <w:r w:rsidRPr="000A29B4">
              <w:rPr>
                <w:rFonts w:asciiTheme="minorHAnsi" w:eastAsia="Times New Roman" w:hAnsiTheme="minorHAnsi"/>
                <w:b w:val="0"/>
                <w:iCs/>
                <w:szCs w:val="17"/>
                <w:lang w:eastAsia="en-US"/>
              </w:rPr>
              <w:t>No</w:t>
            </w:r>
          </w:p>
        </w:tc>
      </w:tr>
      <w:tr w:rsidR="008821B3" w:rsidRPr="003B5EE5" w14:paraId="297C90FA" w14:textId="77777777" w:rsidTr="00171615">
        <w:trPr>
          <w:cnfStyle w:val="100000000000" w:firstRow="1" w:lastRow="0" w:firstColumn="0" w:lastColumn="0" w:oddVBand="0" w:evenVBand="0" w:oddHBand="0" w:evenHBand="0" w:firstRowFirstColumn="0" w:firstRowLastColumn="0" w:lastRowFirstColumn="0" w:lastRowLastColumn="0"/>
        </w:trPr>
        <w:tc>
          <w:tcPr>
            <w:tcW w:w="3064" w:type="dxa"/>
          </w:tcPr>
          <w:p w14:paraId="1A3C7E4B" w14:textId="77777777" w:rsidR="008821B3" w:rsidRPr="000A29B4" w:rsidRDefault="008821B3" w:rsidP="000A29B4">
            <w:pPr>
              <w:keepLines/>
              <w:spacing w:line="200" w:lineRule="atLeast"/>
              <w:rPr>
                <w:rFonts w:asciiTheme="minorHAnsi" w:eastAsia="Times New Roman" w:hAnsiTheme="minorHAnsi"/>
                <w:b w:val="0"/>
                <w:iCs/>
                <w:szCs w:val="17"/>
                <w:lang w:eastAsia="en-US"/>
              </w:rPr>
            </w:pPr>
            <w:r w:rsidRPr="000A29B4">
              <w:rPr>
                <w:rFonts w:asciiTheme="minorHAnsi" w:eastAsia="Times New Roman" w:hAnsiTheme="minorHAnsi"/>
                <w:b w:val="0"/>
                <w:iCs/>
                <w:szCs w:val="17"/>
                <w:lang w:eastAsia="en-US"/>
              </w:rPr>
              <w:t>INL387 GoA-PIFS Partnership 2014-2023</w:t>
            </w:r>
          </w:p>
        </w:tc>
        <w:tc>
          <w:tcPr>
            <w:tcW w:w="3665" w:type="dxa"/>
          </w:tcPr>
          <w:p w14:paraId="1DC5BF91" w14:textId="77777777" w:rsidR="008821B3" w:rsidRPr="000A29B4" w:rsidRDefault="008821B3" w:rsidP="000A29B4">
            <w:pPr>
              <w:keepLines/>
              <w:spacing w:line="200" w:lineRule="atLeast"/>
              <w:rPr>
                <w:rFonts w:asciiTheme="minorHAnsi" w:eastAsia="Times New Roman" w:hAnsiTheme="minorHAnsi"/>
                <w:b w:val="0"/>
                <w:iCs/>
                <w:szCs w:val="17"/>
                <w:lang w:eastAsia="en-US"/>
              </w:rPr>
            </w:pPr>
            <w:r w:rsidRPr="000A29B4">
              <w:rPr>
                <w:rFonts w:asciiTheme="minorHAnsi" w:eastAsia="Times New Roman" w:hAnsiTheme="minorHAnsi"/>
                <w:b w:val="0"/>
                <w:iCs/>
                <w:szCs w:val="17"/>
                <w:lang w:eastAsia="en-US"/>
              </w:rPr>
              <w:t>Pacific Trade Invest (Australia) Performance Review</w:t>
            </w:r>
          </w:p>
        </w:tc>
        <w:tc>
          <w:tcPr>
            <w:tcW w:w="1397" w:type="dxa"/>
          </w:tcPr>
          <w:p w14:paraId="4652D99E" w14:textId="77777777" w:rsidR="008821B3" w:rsidRPr="000A29B4" w:rsidRDefault="008821B3" w:rsidP="000A29B4">
            <w:pPr>
              <w:keepLines/>
              <w:spacing w:line="200" w:lineRule="atLeast"/>
              <w:rPr>
                <w:rFonts w:asciiTheme="minorHAnsi" w:eastAsia="Times New Roman" w:hAnsiTheme="minorHAnsi"/>
                <w:b w:val="0"/>
                <w:iCs/>
                <w:szCs w:val="17"/>
                <w:lang w:eastAsia="en-US"/>
              </w:rPr>
            </w:pPr>
            <w:r w:rsidRPr="000A29B4">
              <w:rPr>
                <w:rFonts w:asciiTheme="minorHAnsi" w:eastAsia="Times New Roman" w:hAnsiTheme="minorHAnsi"/>
                <w:b w:val="0"/>
                <w:iCs/>
                <w:szCs w:val="17"/>
                <w:lang w:eastAsia="en-US"/>
              </w:rPr>
              <w:t>December 2018</w:t>
            </w:r>
          </w:p>
        </w:tc>
        <w:tc>
          <w:tcPr>
            <w:tcW w:w="1953" w:type="dxa"/>
          </w:tcPr>
          <w:p w14:paraId="73736839" w14:textId="77777777" w:rsidR="008821B3" w:rsidRPr="000A29B4" w:rsidRDefault="00CA0961" w:rsidP="000A29B4">
            <w:pPr>
              <w:keepLines/>
              <w:spacing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28 August 2019</w:t>
            </w:r>
          </w:p>
        </w:tc>
        <w:tc>
          <w:tcPr>
            <w:tcW w:w="1671" w:type="dxa"/>
          </w:tcPr>
          <w:p w14:paraId="2D724D24" w14:textId="77777777" w:rsidR="008821B3" w:rsidRPr="000A29B4" w:rsidRDefault="008821B3" w:rsidP="000A29B4">
            <w:pPr>
              <w:keepLines/>
              <w:spacing w:line="200" w:lineRule="atLeast"/>
              <w:rPr>
                <w:rFonts w:asciiTheme="minorHAnsi" w:eastAsia="Times New Roman" w:hAnsiTheme="minorHAnsi"/>
                <w:b w:val="0"/>
                <w:iCs/>
                <w:szCs w:val="17"/>
                <w:lang w:eastAsia="en-US"/>
              </w:rPr>
            </w:pPr>
            <w:r w:rsidRPr="000A29B4">
              <w:rPr>
                <w:rFonts w:asciiTheme="minorHAnsi" w:eastAsia="Times New Roman" w:hAnsiTheme="minorHAnsi"/>
                <w:b w:val="0"/>
                <w:iCs/>
                <w:szCs w:val="17"/>
                <w:lang w:eastAsia="en-US"/>
              </w:rPr>
              <w:t>Not applicable</w:t>
            </w:r>
          </w:p>
        </w:tc>
        <w:tc>
          <w:tcPr>
            <w:tcW w:w="2365" w:type="dxa"/>
          </w:tcPr>
          <w:p w14:paraId="1506306D" w14:textId="77777777" w:rsidR="008821B3" w:rsidRPr="000A29B4" w:rsidRDefault="008821B3" w:rsidP="000A29B4">
            <w:pPr>
              <w:keepLines/>
              <w:spacing w:line="200" w:lineRule="atLeast"/>
              <w:rPr>
                <w:rFonts w:asciiTheme="minorHAnsi" w:eastAsia="Times New Roman" w:hAnsiTheme="minorHAnsi"/>
                <w:b w:val="0"/>
                <w:iCs/>
                <w:szCs w:val="17"/>
                <w:lang w:eastAsia="en-US"/>
              </w:rPr>
            </w:pPr>
            <w:r w:rsidRPr="000A29B4">
              <w:rPr>
                <w:rFonts w:asciiTheme="minorHAnsi" w:eastAsia="Times New Roman" w:hAnsiTheme="minorHAnsi"/>
                <w:b w:val="0"/>
                <w:iCs/>
                <w:szCs w:val="17"/>
                <w:lang w:eastAsia="en-US"/>
              </w:rPr>
              <w:t>No</w:t>
            </w:r>
          </w:p>
        </w:tc>
      </w:tr>
      <w:tr w:rsidR="008821B3" w:rsidRPr="003B5EE5" w14:paraId="4AD7C3A3" w14:textId="77777777" w:rsidTr="00171615">
        <w:trPr>
          <w:cnfStyle w:val="100000000000" w:firstRow="1" w:lastRow="0" w:firstColumn="0" w:lastColumn="0" w:oddVBand="0" w:evenVBand="0" w:oddHBand="0" w:evenHBand="0" w:firstRowFirstColumn="0" w:firstRowLastColumn="0" w:lastRowFirstColumn="0" w:lastRowLastColumn="0"/>
        </w:trPr>
        <w:tc>
          <w:tcPr>
            <w:tcW w:w="3064" w:type="dxa"/>
          </w:tcPr>
          <w:p w14:paraId="2AD29652" w14:textId="77777777" w:rsidR="008821B3" w:rsidRPr="000A29B4" w:rsidRDefault="008821B3" w:rsidP="000A29B4">
            <w:pPr>
              <w:keepLines/>
              <w:spacing w:line="200" w:lineRule="atLeast"/>
              <w:rPr>
                <w:rFonts w:asciiTheme="minorHAnsi" w:eastAsia="Times New Roman" w:hAnsiTheme="minorHAnsi"/>
                <w:b w:val="0"/>
                <w:iCs/>
                <w:szCs w:val="17"/>
                <w:lang w:eastAsia="en-US"/>
              </w:rPr>
            </w:pPr>
            <w:r w:rsidRPr="000A29B4">
              <w:rPr>
                <w:rFonts w:asciiTheme="minorHAnsi" w:eastAsia="Times New Roman" w:hAnsiTheme="minorHAnsi"/>
                <w:b w:val="0"/>
                <w:iCs/>
                <w:szCs w:val="17"/>
                <w:lang w:eastAsia="en-US"/>
              </w:rPr>
              <w:t>INM456 Reducing the cost of remittances to the Pacific</w:t>
            </w:r>
          </w:p>
        </w:tc>
        <w:tc>
          <w:tcPr>
            <w:tcW w:w="3665" w:type="dxa"/>
          </w:tcPr>
          <w:p w14:paraId="6BDD96E9" w14:textId="77777777" w:rsidR="008821B3" w:rsidRPr="000A29B4" w:rsidRDefault="008821B3" w:rsidP="000A29B4">
            <w:pPr>
              <w:keepLines/>
              <w:spacing w:line="200" w:lineRule="atLeast"/>
              <w:rPr>
                <w:rFonts w:asciiTheme="minorHAnsi" w:eastAsia="Times New Roman" w:hAnsiTheme="minorHAnsi"/>
                <w:b w:val="0"/>
                <w:iCs/>
                <w:szCs w:val="17"/>
                <w:lang w:eastAsia="en-US"/>
              </w:rPr>
            </w:pPr>
            <w:r w:rsidRPr="000A29B4">
              <w:rPr>
                <w:rFonts w:asciiTheme="minorHAnsi" w:eastAsia="Times New Roman" w:hAnsiTheme="minorHAnsi"/>
                <w:b w:val="0"/>
                <w:iCs/>
                <w:szCs w:val="17"/>
                <w:lang w:eastAsia="en-US"/>
              </w:rPr>
              <w:t>Send Money Pacific website</w:t>
            </w:r>
            <w:r w:rsidR="002B4F48">
              <w:rPr>
                <w:rFonts w:asciiTheme="minorHAnsi" w:eastAsia="Times New Roman" w:hAnsiTheme="minorHAnsi"/>
                <w:b w:val="0"/>
                <w:iCs/>
                <w:szCs w:val="17"/>
                <w:lang w:eastAsia="en-US"/>
              </w:rPr>
              <w:t xml:space="preserve"> Review</w:t>
            </w:r>
          </w:p>
        </w:tc>
        <w:tc>
          <w:tcPr>
            <w:tcW w:w="1397" w:type="dxa"/>
          </w:tcPr>
          <w:p w14:paraId="2EF361A8" w14:textId="77777777" w:rsidR="008821B3" w:rsidRPr="000A29B4" w:rsidRDefault="008821B3" w:rsidP="000A29B4">
            <w:pPr>
              <w:keepLines/>
              <w:spacing w:line="200" w:lineRule="atLeast"/>
              <w:rPr>
                <w:rFonts w:asciiTheme="minorHAnsi" w:eastAsia="Times New Roman" w:hAnsiTheme="minorHAnsi"/>
                <w:b w:val="0"/>
                <w:iCs/>
                <w:szCs w:val="17"/>
                <w:lang w:eastAsia="en-US"/>
              </w:rPr>
            </w:pPr>
            <w:r w:rsidRPr="000A29B4">
              <w:rPr>
                <w:rFonts w:asciiTheme="minorHAnsi" w:eastAsia="Times New Roman" w:hAnsiTheme="minorHAnsi"/>
                <w:b w:val="0"/>
                <w:iCs/>
                <w:szCs w:val="17"/>
                <w:lang w:eastAsia="en-US"/>
              </w:rPr>
              <w:t>December 2018</w:t>
            </w:r>
          </w:p>
        </w:tc>
        <w:tc>
          <w:tcPr>
            <w:tcW w:w="1953" w:type="dxa"/>
          </w:tcPr>
          <w:p w14:paraId="49F62AFE" w14:textId="77777777" w:rsidR="008821B3" w:rsidRPr="000A29B4" w:rsidRDefault="00CA0961" w:rsidP="000A29B4">
            <w:pPr>
              <w:keepLines/>
              <w:spacing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28 August 2019</w:t>
            </w:r>
          </w:p>
        </w:tc>
        <w:tc>
          <w:tcPr>
            <w:tcW w:w="1671" w:type="dxa"/>
          </w:tcPr>
          <w:p w14:paraId="03DC3EA0" w14:textId="77777777" w:rsidR="008821B3" w:rsidRPr="000A29B4" w:rsidRDefault="008821B3" w:rsidP="000A29B4">
            <w:pPr>
              <w:keepLines/>
              <w:spacing w:line="200" w:lineRule="atLeast"/>
              <w:rPr>
                <w:rFonts w:asciiTheme="minorHAnsi" w:eastAsia="Times New Roman" w:hAnsiTheme="minorHAnsi"/>
                <w:b w:val="0"/>
                <w:iCs/>
                <w:szCs w:val="17"/>
                <w:lang w:eastAsia="en-US"/>
              </w:rPr>
            </w:pPr>
            <w:r w:rsidRPr="000A29B4">
              <w:rPr>
                <w:rFonts w:asciiTheme="minorHAnsi" w:eastAsia="Times New Roman" w:hAnsiTheme="minorHAnsi"/>
                <w:b w:val="0"/>
                <w:iCs/>
                <w:szCs w:val="17"/>
                <w:lang w:eastAsia="en-US"/>
              </w:rPr>
              <w:t>Not applicable</w:t>
            </w:r>
          </w:p>
        </w:tc>
        <w:tc>
          <w:tcPr>
            <w:tcW w:w="2365" w:type="dxa"/>
          </w:tcPr>
          <w:p w14:paraId="335B2644" w14:textId="77777777" w:rsidR="008821B3" w:rsidRPr="000A29B4" w:rsidRDefault="008821B3" w:rsidP="000A29B4">
            <w:pPr>
              <w:keepLines/>
              <w:spacing w:line="200" w:lineRule="atLeast"/>
              <w:rPr>
                <w:rFonts w:asciiTheme="minorHAnsi" w:eastAsia="Times New Roman" w:hAnsiTheme="minorHAnsi"/>
                <w:b w:val="0"/>
                <w:iCs/>
                <w:szCs w:val="17"/>
                <w:lang w:eastAsia="en-US"/>
              </w:rPr>
            </w:pPr>
            <w:r w:rsidRPr="000A29B4">
              <w:rPr>
                <w:rFonts w:asciiTheme="minorHAnsi" w:eastAsia="Times New Roman" w:hAnsiTheme="minorHAnsi"/>
                <w:b w:val="0"/>
                <w:iCs/>
                <w:szCs w:val="17"/>
                <w:lang w:eastAsia="en-US"/>
              </w:rPr>
              <w:t>No</w:t>
            </w:r>
          </w:p>
        </w:tc>
      </w:tr>
      <w:tr w:rsidR="00910B6B" w:rsidRPr="00910B6B" w14:paraId="53E26043" w14:textId="77777777" w:rsidTr="00171615">
        <w:trPr>
          <w:cnfStyle w:val="100000000000" w:firstRow="1" w:lastRow="0" w:firstColumn="0" w:lastColumn="0" w:oddVBand="0" w:evenVBand="0" w:oddHBand="0" w:evenHBand="0" w:firstRowFirstColumn="0" w:firstRowLastColumn="0" w:lastRowFirstColumn="0" w:lastRowLastColumn="0"/>
        </w:trPr>
        <w:tc>
          <w:tcPr>
            <w:tcW w:w="3064" w:type="dxa"/>
          </w:tcPr>
          <w:p w14:paraId="52792240" w14:textId="77777777" w:rsidR="00910B6B" w:rsidRPr="00910B6B" w:rsidRDefault="00910B6B" w:rsidP="000A29B4">
            <w:pPr>
              <w:keepLines/>
              <w:spacing w:line="200" w:lineRule="atLeast"/>
              <w:rPr>
                <w:rFonts w:asciiTheme="minorHAnsi" w:eastAsia="Times New Roman" w:hAnsiTheme="minorHAnsi"/>
                <w:b w:val="0"/>
                <w:iCs/>
                <w:szCs w:val="17"/>
                <w:lang w:eastAsia="en-US"/>
              </w:rPr>
            </w:pPr>
            <w:r w:rsidRPr="00910B6B">
              <w:rPr>
                <w:rFonts w:asciiTheme="minorHAnsi" w:eastAsia="Times New Roman" w:hAnsiTheme="minorHAnsi"/>
                <w:b w:val="0"/>
                <w:iCs/>
                <w:szCs w:val="17"/>
                <w:lang w:eastAsia="en-US"/>
              </w:rPr>
              <w:t>INK783</w:t>
            </w:r>
            <w:r>
              <w:rPr>
                <w:rFonts w:asciiTheme="minorHAnsi" w:eastAsia="Times New Roman" w:hAnsiTheme="minorHAnsi"/>
                <w:b w:val="0"/>
                <w:iCs/>
                <w:szCs w:val="17"/>
                <w:lang w:eastAsia="en-US"/>
              </w:rPr>
              <w:t xml:space="preserve"> - </w:t>
            </w:r>
            <w:r w:rsidRPr="00910B6B">
              <w:rPr>
                <w:rFonts w:asciiTheme="minorHAnsi" w:eastAsia="Times New Roman" w:hAnsiTheme="minorHAnsi"/>
                <w:b w:val="0"/>
                <w:iCs/>
                <w:szCs w:val="17"/>
                <w:lang w:eastAsia="en-US"/>
              </w:rPr>
              <w:t xml:space="preserve">Pacific Public Administration Governance </w:t>
            </w:r>
            <w:r w:rsidR="00E0631D" w:rsidRPr="00910B6B">
              <w:rPr>
                <w:rFonts w:asciiTheme="minorHAnsi" w:eastAsia="Times New Roman" w:hAnsiTheme="minorHAnsi"/>
                <w:b w:val="0"/>
                <w:iCs/>
                <w:szCs w:val="17"/>
                <w:lang w:eastAsia="en-US"/>
              </w:rPr>
              <w:t>Initiative</w:t>
            </w:r>
          </w:p>
        </w:tc>
        <w:tc>
          <w:tcPr>
            <w:tcW w:w="3665" w:type="dxa"/>
          </w:tcPr>
          <w:p w14:paraId="0C23C985" w14:textId="7F51E947" w:rsidR="00910B6B" w:rsidRPr="00910B6B" w:rsidRDefault="00F45299" w:rsidP="001C7F1A">
            <w:pPr>
              <w:keepLines/>
              <w:spacing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Mid-term r</w:t>
            </w:r>
            <w:r w:rsidR="00910B6B" w:rsidRPr="00910B6B">
              <w:rPr>
                <w:rFonts w:asciiTheme="minorHAnsi" w:eastAsia="Times New Roman" w:hAnsiTheme="minorHAnsi"/>
                <w:b w:val="0"/>
                <w:iCs/>
                <w:szCs w:val="17"/>
                <w:lang w:eastAsia="en-US"/>
              </w:rPr>
              <w:t>eview of support to Pacific Association of Supreme Audit Institution</w:t>
            </w:r>
          </w:p>
        </w:tc>
        <w:tc>
          <w:tcPr>
            <w:tcW w:w="1397" w:type="dxa"/>
          </w:tcPr>
          <w:p w14:paraId="53F6A5BE" w14:textId="77777777" w:rsidR="00910B6B" w:rsidRPr="00910B6B" w:rsidRDefault="00910B6B" w:rsidP="000A29B4">
            <w:pPr>
              <w:keepLines/>
              <w:spacing w:line="200" w:lineRule="atLeast"/>
              <w:rPr>
                <w:rFonts w:asciiTheme="minorHAnsi" w:eastAsia="Times New Roman" w:hAnsiTheme="minorHAnsi"/>
                <w:b w:val="0"/>
                <w:iCs/>
                <w:szCs w:val="17"/>
                <w:lang w:eastAsia="en-US"/>
              </w:rPr>
            </w:pPr>
            <w:r w:rsidRPr="00910B6B">
              <w:rPr>
                <w:rFonts w:asciiTheme="minorHAnsi" w:eastAsia="Times New Roman" w:hAnsiTheme="minorHAnsi"/>
                <w:b w:val="0"/>
                <w:iCs/>
                <w:szCs w:val="17"/>
                <w:lang w:eastAsia="en-US"/>
              </w:rPr>
              <w:t>April 2019</w:t>
            </w:r>
          </w:p>
        </w:tc>
        <w:tc>
          <w:tcPr>
            <w:tcW w:w="1953" w:type="dxa"/>
          </w:tcPr>
          <w:p w14:paraId="38414D3B" w14:textId="77777777" w:rsidR="00910B6B" w:rsidRPr="00910B6B" w:rsidRDefault="00F45299" w:rsidP="000A29B4">
            <w:pPr>
              <w:keepLines/>
              <w:spacing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9 April 2019</w:t>
            </w:r>
          </w:p>
        </w:tc>
        <w:tc>
          <w:tcPr>
            <w:tcW w:w="1671" w:type="dxa"/>
          </w:tcPr>
          <w:p w14:paraId="3C3C96CB" w14:textId="77777777" w:rsidR="00910B6B" w:rsidRPr="00910B6B" w:rsidRDefault="00F45299" w:rsidP="000A29B4">
            <w:pPr>
              <w:keepLines/>
              <w:spacing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9 April 2019</w:t>
            </w:r>
          </w:p>
        </w:tc>
        <w:tc>
          <w:tcPr>
            <w:tcW w:w="2365" w:type="dxa"/>
          </w:tcPr>
          <w:p w14:paraId="7B71B2B9" w14:textId="77777777" w:rsidR="00910B6B" w:rsidRPr="00910B6B" w:rsidRDefault="00910B6B" w:rsidP="000A29B4">
            <w:pPr>
              <w:keepLines/>
              <w:spacing w:line="200" w:lineRule="atLeast"/>
              <w:rPr>
                <w:rFonts w:asciiTheme="minorHAnsi" w:eastAsia="Times New Roman" w:hAnsiTheme="minorHAnsi"/>
                <w:b w:val="0"/>
                <w:iCs/>
                <w:szCs w:val="17"/>
                <w:lang w:eastAsia="en-US"/>
              </w:rPr>
            </w:pPr>
            <w:r w:rsidRPr="00910B6B">
              <w:rPr>
                <w:rFonts w:asciiTheme="minorHAnsi" w:eastAsia="Times New Roman" w:hAnsiTheme="minorHAnsi"/>
                <w:b w:val="0"/>
                <w:iCs/>
                <w:szCs w:val="17"/>
                <w:lang w:eastAsia="en-US"/>
              </w:rPr>
              <w:t>Yes</w:t>
            </w:r>
          </w:p>
        </w:tc>
      </w:tr>
    </w:tbl>
    <w:p w14:paraId="2E93CA53" w14:textId="77777777" w:rsidR="00C43893" w:rsidRDefault="00C43893" w:rsidP="008821C2">
      <w:pPr>
        <w:spacing w:before="360"/>
        <w:rPr>
          <w:rFonts w:eastAsiaTheme="majorEastAsia" w:cstheme="minorHAnsi"/>
          <w:caps/>
          <w:sz w:val="36"/>
          <w:szCs w:val="36"/>
        </w:rPr>
      </w:pPr>
    </w:p>
    <w:p w14:paraId="76C59FC6" w14:textId="77777777" w:rsidR="00C43893" w:rsidRDefault="00C43893">
      <w:pPr>
        <w:suppressAutoHyphens w:val="0"/>
        <w:spacing w:before="0" w:after="120" w:line="440" w:lineRule="atLeast"/>
        <w:rPr>
          <w:rFonts w:eastAsiaTheme="majorEastAsia" w:cstheme="minorHAnsi"/>
          <w:caps/>
          <w:sz w:val="36"/>
          <w:szCs w:val="36"/>
        </w:rPr>
      </w:pPr>
      <w:r>
        <w:rPr>
          <w:rFonts w:eastAsiaTheme="majorEastAsia" w:cstheme="minorHAnsi"/>
          <w:caps/>
          <w:sz w:val="36"/>
          <w:szCs w:val="36"/>
        </w:rPr>
        <w:br w:type="page"/>
      </w:r>
    </w:p>
    <w:p w14:paraId="168F7607" w14:textId="77777777" w:rsidR="008821C2" w:rsidRPr="00EF26B5" w:rsidRDefault="008821C2" w:rsidP="008821C2">
      <w:pPr>
        <w:spacing w:before="360"/>
        <w:rPr>
          <w:rFonts w:eastAsiaTheme="majorEastAsia" w:cstheme="minorHAnsi"/>
          <w:caps/>
          <w:sz w:val="36"/>
          <w:szCs w:val="36"/>
        </w:rPr>
      </w:pPr>
      <w:r w:rsidRPr="00EF26B5">
        <w:rPr>
          <w:rFonts w:eastAsiaTheme="majorEastAsia" w:cstheme="minorHAnsi"/>
          <w:caps/>
          <w:sz w:val="36"/>
          <w:szCs w:val="36"/>
        </w:rPr>
        <w:t xml:space="preserve">2 List of program prioritised evaluations planned for the next 12 months </w:t>
      </w:r>
    </w:p>
    <w:tbl>
      <w:tblPr>
        <w:tblStyle w:val="APPR"/>
        <w:tblW w:w="13978" w:type="dxa"/>
        <w:tblLook w:val="0600" w:firstRow="0" w:lastRow="0" w:firstColumn="0" w:lastColumn="0" w:noHBand="1" w:noVBand="1"/>
      </w:tblPr>
      <w:tblGrid>
        <w:gridCol w:w="2484"/>
        <w:gridCol w:w="2382"/>
        <w:gridCol w:w="1804"/>
        <w:gridCol w:w="1977"/>
        <w:gridCol w:w="2552"/>
        <w:gridCol w:w="2779"/>
      </w:tblGrid>
      <w:tr w:rsidR="008821C2" w:rsidRPr="00C61187" w14:paraId="6EB6AE46" w14:textId="77777777" w:rsidTr="00646F02">
        <w:tc>
          <w:tcPr>
            <w:tcW w:w="2442" w:type="dxa"/>
          </w:tcPr>
          <w:p w14:paraId="18AFB134" w14:textId="77777777" w:rsidR="008821C2" w:rsidRPr="00812509" w:rsidRDefault="008821C2" w:rsidP="0017161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4" w:type="dxa"/>
          </w:tcPr>
          <w:p w14:paraId="272DD662" w14:textId="77777777" w:rsidR="008821C2" w:rsidRPr="00812509" w:rsidRDefault="008821C2" w:rsidP="0017161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1776" w:type="dxa"/>
          </w:tcPr>
          <w:p w14:paraId="248633D0" w14:textId="77777777" w:rsidR="008821C2" w:rsidRPr="00812509" w:rsidRDefault="008821C2" w:rsidP="00646F02">
            <w:pPr>
              <w:keepLines/>
              <w:spacing w:before="80" w:after="80" w:line="200" w:lineRule="atLeast"/>
              <w:ind w:right="437"/>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1949" w:type="dxa"/>
          </w:tcPr>
          <w:p w14:paraId="4B7E6D9B" w14:textId="77777777" w:rsidR="008821C2" w:rsidRPr="00812509" w:rsidRDefault="008821C2" w:rsidP="0017161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524" w:type="dxa"/>
          </w:tcPr>
          <w:p w14:paraId="4C3FB23E" w14:textId="77777777" w:rsidR="008821C2" w:rsidRPr="00812509" w:rsidRDefault="008821C2" w:rsidP="0017161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37" w:type="dxa"/>
          </w:tcPr>
          <w:p w14:paraId="42A5D3AF" w14:textId="77777777" w:rsidR="008821C2" w:rsidRPr="00812509" w:rsidRDefault="008821C2" w:rsidP="00171615">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F80F98" w:rsidRPr="00307D0D" w14:paraId="2A09B83E" w14:textId="77777777" w:rsidTr="00646F02">
        <w:tc>
          <w:tcPr>
            <w:tcW w:w="2442" w:type="dxa"/>
          </w:tcPr>
          <w:p w14:paraId="71489B21" w14:textId="77777777" w:rsidR="00F80F98" w:rsidRPr="00F80F98" w:rsidRDefault="00F80F98" w:rsidP="00152335">
            <w:pPr>
              <w:keepLines/>
              <w:spacing w:before="40" w:after="40" w:line="200" w:lineRule="atLeast"/>
              <w:rPr>
                <w:rFonts w:eastAsia="Times New Roman"/>
                <w:iCs/>
                <w:color w:val="auto"/>
                <w:szCs w:val="17"/>
              </w:rPr>
            </w:pPr>
            <w:r w:rsidRPr="00F80F98">
              <w:rPr>
                <w:rFonts w:eastAsia="Times New Roman"/>
                <w:iCs/>
                <w:color w:val="auto"/>
                <w:szCs w:val="17"/>
              </w:rPr>
              <w:t>6 year evaluation of Pacific Women Shaping Pacific Development</w:t>
            </w:r>
          </w:p>
        </w:tc>
        <w:tc>
          <w:tcPr>
            <w:tcW w:w="2354" w:type="dxa"/>
          </w:tcPr>
          <w:p w14:paraId="097429D1" w14:textId="77777777" w:rsidR="00F80F98" w:rsidRPr="00F80F98" w:rsidRDefault="00F80F98" w:rsidP="00152335">
            <w:pPr>
              <w:keepLines/>
              <w:spacing w:before="40" w:after="40" w:line="200" w:lineRule="atLeast"/>
              <w:rPr>
                <w:rFonts w:eastAsia="Times New Roman"/>
                <w:iCs/>
                <w:color w:val="auto"/>
                <w:szCs w:val="17"/>
              </w:rPr>
            </w:pPr>
            <w:r w:rsidRPr="00F80F98">
              <w:rPr>
                <w:rFonts w:eastAsia="Times New Roman"/>
                <w:iCs/>
                <w:color w:val="auto"/>
                <w:szCs w:val="17"/>
              </w:rPr>
              <w:t>INK496</w:t>
            </w:r>
          </w:p>
        </w:tc>
        <w:tc>
          <w:tcPr>
            <w:tcW w:w="1776" w:type="dxa"/>
          </w:tcPr>
          <w:p w14:paraId="4874EEE6" w14:textId="77777777" w:rsidR="00F80F98" w:rsidRPr="00F80F98" w:rsidRDefault="00F80F98" w:rsidP="00646F02">
            <w:pPr>
              <w:keepLines/>
              <w:spacing w:before="40" w:after="40" w:line="200" w:lineRule="atLeast"/>
              <w:ind w:right="437"/>
              <w:rPr>
                <w:rFonts w:eastAsia="Times New Roman"/>
                <w:iCs/>
                <w:color w:val="auto"/>
                <w:szCs w:val="17"/>
              </w:rPr>
            </w:pPr>
            <w:r w:rsidRPr="00F80F98">
              <w:rPr>
                <w:rFonts w:eastAsia="Times New Roman"/>
                <w:iCs/>
                <w:color w:val="auto"/>
                <w:szCs w:val="17"/>
              </w:rPr>
              <w:t>July 2019</w:t>
            </w:r>
          </w:p>
        </w:tc>
        <w:tc>
          <w:tcPr>
            <w:tcW w:w="1949" w:type="dxa"/>
          </w:tcPr>
          <w:p w14:paraId="48FDBB54" w14:textId="77777777" w:rsidR="00F80F98" w:rsidRPr="00F80F98" w:rsidRDefault="00F80F98" w:rsidP="00152335">
            <w:pPr>
              <w:keepLines/>
              <w:spacing w:before="40" w:after="40" w:line="200" w:lineRule="atLeast"/>
              <w:rPr>
                <w:rFonts w:eastAsia="Times New Roman"/>
                <w:iCs/>
                <w:color w:val="auto"/>
                <w:szCs w:val="17"/>
              </w:rPr>
            </w:pPr>
            <w:r w:rsidRPr="00F80F98">
              <w:rPr>
                <w:rFonts w:eastAsia="Times New Roman"/>
                <w:iCs/>
                <w:color w:val="auto"/>
                <w:szCs w:val="17"/>
              </w:rPr>
              <w:t>December 2019</w:t>
            </w:r>
          </w:p>
        </w:tc>
        <w:tc>
          <w:tcPr>
            <w:tcW w:w="2524" w:type="dxa"/>
          </w:tcPr>
          <w:p w14:paraId="4908742F" w14:textId="77777777" w:rsidR="00F80F98" w:rsidRPr="00F80F98" w:rsidRDefault="00F80F98" w:rsidP="00152335">
            <w:pPr>
              <w:keepLines/>
              <w:spacing w:before="40" w:after="40" w:line="200" w:lineRule="atLeast"/>
              <w:rPr>
                <w:rFonts w:asciiTheme="minorHAnsi" w:eastAsia="Times New Roman" w:hAnsiTheme="minorHAnsi"/>
                <w:iCs/>
                <w:color w:val="auto"/>
                <w:szCs w:val="17"/>
                <w:lang w:eastAsia="en-US"/>
              </w:rPr>
            </w:pPr>
            <w:r w:rsidRPr="00F80F98">
              <w:rPr>
                <w:rFonts w:eastAsia="Times New Roman"/>
                <w:iCs/>
                <w:color w:val="auto"/>
                <w:szCs w:val="17"/>
              </w:rPr>
              <w:t xml:space="preserve">Assess the relevance, effectiveness, efficiency, sustainability, M&amp;E and impact of the program </w:t>
            </w:r>
          </w:p>
          <w:p w14:paraId="645E13C7" w14:textId="77777777" w:rsidR="00F80F98" w:rsidRPr="00F80F98" w:rsidRDefault="00F80F98" w:rsidP="00152335">
            <w:pPr>
              <w:keepLines/>
              <w:spacing w:before="40" w:after="40" w:line="200" w:lineRule="atLeast"/>
              <w:rPr>
                <w:rFonts w:asciiTheme="minorHAnsi" w:eastAsia="Times New Roman" w:hAnsiTheme="minorHAnsi"/>
                <w:iCs/>
                <w:color w:val="auto"/>
                <w:szCs w:val="17"/>
                <w:lang w:eastAsia="en-US"/>
              </w:rPr>
            </w:pPr>
            <w:r w:rsidRPr="00F80F98">
              <w:rPr>
                <w:rFonts w:eastAsia="Times New Roman"/>
                <w:iCs/>
                <w:color w:val="auto"/>
                <w:szCs w:val="17"/>
              </w:rPr>
              <w:t>Parallel review of changing gender equality context across the Pacific</w:t>
            </w:r>
          </w:p>
          <w:p w14:paraId="082997EE" w14:textId="77777777" w:rsidR="00F80F98" w:rsidRPr="00F80F98" w:rsidRDefault="00F80F98" w:rsidP="00152335">
            <w:pPr>
              <w:keepLines/>
              <w:spacing w:before="40" w:after="40" w:line="200" w:lineRule="atLeast"/>
              <w:rPr>
                <w:rFonts w:eastAsia="Times New Roman"/>
                <w:iCs/>
                <w:color w:val="auto"/>
                <w:szCs w:val="17"/>
              </w:rPr>
            </w:pPr>
            <w:r w:rsidRPr="00F80F98">
              <w:rPr>
                <w:rFonts w:eastAsia="Times New Roman"/>
                <w:iCs/>
                <w:color w:val="auto"/>
                <w:szCs w:val="17"/>
              </w:rPr>
              <w:t>Improve existing investment and inform further phase</w:t>
            </w:r>
          </w:p>
        </w:tc>
        <w:tc>
          <w:tcPr>
            <w:tcW w:w="2737" w:type="dxa"/>
          </w:tcPr>
          <w:p w14:paraId="3EB648BF" w14:textId="77777777" w:rsidR="00F80F98" w:rsidRPr="00F80F98" w:rsidRDefault="00F80F98" w:rsidP="00152335">
            <w:pPr>
              <w:keepLines/>
              <w:spacing w:before="40" w:after="40" w:line="200" w:lineRule="atLeast"/>
              <w:rPr>
                <w:rFonts w:eastAsia="Times New Roman"/>
                <w:iCs/>
                <w:color w:val="auto"/>
                <w:szCs w:val="17"/>
              </w:rPr>
            </w:pPr>
            <w:r w:rsidRPr="00F80F98">
              <w:rPr>
                <w:rFonts w:eastAsia="Times New Roman"/>
                <w:iCs/>
                <w:color w:val="auto"/>
                <w:szCs w:val="17"/>
              </w:rPr>
              <w:t>DFAT led</w:t>
            </w:r>
          </w:p>
          <w:p w14:paraId="7211A592" w14:textId="77777777" w:rsidR="00F80F98" w:rsidRPr="00F80F98" w:rsidRDefault="00F80F98" w:rsidP="00152335">
            <w:pPr>
              <w:keepLines/>
              <w:spacing w:before="40" w:after="40" w:line="200" w:lineRule="atLeast"/>
              <w:rPr>
                <w:rFonts w:eastAsia="Times New Roman"/>
                <w:iCs/>
                <w:color w:val="auto"/>
                <w:szCs w:val="17"/>
              </w:rPr>
            </w:pPr>
          </w:p>
        </w:tc>
      </w:tr>
      <w:tr w:rsidR="00973040" w:rsidRPr="00307D0D" w14:paraId="23602A2E" w14:textId="77777777" w:rsidTr="00646F02">
        <w:tc>
          <w:tcPr>
            <w:tcW w:w="2442" w:type="dxa"/>
          </w:tcPr>
          <w:p w14:paraId="51EDF312" w14:textId="77777777" w:rsidR="00973040" w:rsidRPr="00F80F98" w:rsidRDefault="00973040" w:rsidP="00973040">
            <w:pPr>
              <w:keepLines/>
              <w:spacing w:before="40" w:after="40" w:line="200" w:lineRule="atLeast"/>
              <w:rPr>
                <w:rFonts w:eastAsia="Times New Roman"/>
                <w:iCs/>
                <w:color w:val="auto"/>
                <w:szCs w:val="17"/>
              </w:rPr>
            </w:pPr>
            <w:r w:rsidRPr="00973040">
              <w:rPr>
                <w:rFonts w:eastAsia="Times New Roman"/>
                <w:iCs/>
                <w:color w:val="auto"/>
                <w:szCs w:val="17"/>
              </w:rPr>
              <w:t xml:space="preserve">End of Program Review of the UN joint program on reproductive, maternal, newborn, child and adolescent health (RMNCAH)  </w:t>
            </w:r>
          </w:p>
        </w:tc>
        <w:tc>
          <w:tcPr>
            <w:tcW w:w="2354" w:type="dxa"/>
          </w:tcPr>
          <w:p w14:paraId="3092DD7F" w14:textId="77777777" w:rsidR="00973040" w:rsidRPr="00F80F98" w:rsidRDefault="00973040" w:rsidP="00973040">
            <w:pPr>
              <w:keepLines/>
              <w:spacing w:before="40" w:after="40" w:line="200" w:lineRule="atLeast"/>
              <w:rPr>
                <w:rFonts w:eastAsia="Times New Roman"/>
                <w:iCs/>
                <w:color w:val="auto"/>
                <w:szCs w:val="17"/>
              </w:rPr>
            </w:pPr>
            <w:r w:rsidRPr="00973040">
              <w:rPr>
                <w:rFonts w:eastAsia="Times New Roman"/>
                <w:iCs/>
                <w:color w:val="auto"/>
                <w:szCs w:val="17"/>
              </w:rPr>
              <w:t>INK933</w:t>
            </w:r>
          </w:p>
        </w:tc>
        <w:tc>
          <w:tcPr>
            <w:tcW w:w="1776" w:type="dxa"/>
          </w:tcPr>
          <w:p w14:paraId="0D481074" w14:textId="77777777" w:rsidR="00973040" w:rsidRPr="00F80F98" w:rsidRDefault="00973040" w:rsidP="00973040">
            <w:pPr>
              <w:keepLines/>
              <w:spacing w:before="40" w:after="40" w:line="200" w:lineRule="atLeast"/>
              <w:ind w:right="437"/>
              <w:rPr>
                <w:rFonts w:eastAsia="Times New Roman"/>
                <w:iCs/>
                <w:color w:val="auto"/>
                <w:szCs w:val="17"/>
              </w:rPr>
            </w:pPr>
            <w:r w:rsidRPr="00973040">
              <w:rPr>
                <w:rFonts w:eastAsia="Times New Roman"/>
                <w:iCs/>
                <w:color w:val="auto"/>
                <w:szCs w:val="17"/>
              </w:rPr>
              <w:t>2019</w:t>
            </w:r>
          </w:p>
        </w:tc>
        <w:tc>
          <w:tcPr>
            <w:tcW w:w="1949" w:type="dxa"/>
          </w:tcPr>
          <w:p w14:paraId="20ABF847" w14:textId="77777777" w:rsidR="00973040" w:rsidRPr="00F80F98" w:rsidRDefault="00973040" w:rsidP="00973040">
            <w:pPr>
              <w:keepLines/>
              <w:spacing w:before="40" w:after="40" w:line="200" w:lineRule="atLeast"/>
              <w:rPr>
                <w:rFonts w:eastAsia="Times New Roman"/>
                <w:iCs/>
                <w:color w:val="auto"/>
                <w:szCs w:val="17"/>
              </w:rPr>
            </w:pPr>
            <w:r w:rsidRPr="00973040">
              <w:rPr>
                <w:rFonts w:eastAsia="Times New Roman"/>
                <w:iCs/>
                <w:color w:val="auto"/>
                <w:szCs w:val="17"/>
              </w:rPr>
              <w:t>2019</w:t>
            </w:r>
          </w:p>
        </w:tc>
        <w:tc>
          <w:tcPr>
            <w:tcW w:w="2524" w:type="dxa"/>
          </w:tcPr>
          <w:p w14:paraId="00606FDF" w14:textId="77777777" w:rsidR="00973040" w:rsidRPr="00F80F98" w:rsidRDefault="00973040" w:rsidP="00973040">
            <w:pPr>
              <w:keepLines/>
              <w:spacing w:before="40" w:after="40" w:line="200" w:lineRule="atLeast"/>
              <w:rPr>
                <w:rFonts w:eastAsia="Times New Roman"/>
                <w:iCs/>
                <w:color w:val="auto"/>
                <w:szCs w:val="17"/>
              </w:rPr>
            </w:pPr>
            <w:r w:rsidRPr="00973040">
              <w:rPr>
                <w:rFonts w:eastAsia="Times New Roman"/>
                <w:iCs/>
                <w:color w:val="auto"/>
                <w:szCs w:val="17"/>
              </w:rPr>
              <w:t>Assess the appropriateness, effectiveness, efficiency of the program and whether elements of the model are replicable in other programs</w:t>
            </w:r>
          </w:p>
        </w:tc>
        <w:tc>
          <w:tcPr>
            <w:tcW w:w="2737" w:type="dxa"/>
          </w:tcPr>
          <w:p w14:paraId="0EB07AB5" w14:textId="77777777" w:rsidR="00973040" w:rsidRPr="00F80F98" w:rsidRDefault="00973040" w:rsidP="00973040">
            <w:pPr>
              <w:keepLines/>
              <w:spacing w:before="40" w:after="40" w:line="200" w:lineRule="atLeast"/>
              <w:rPr>
                <w:rFonts w:eastAsia="Times New Roman"/>
                <w:iCs/>
                <w:color w:val="auto"/>
                <w:szCs w:val="17"/>
              </w:rPr>
            </w:pPr>
            <w:r w:rsidRPr="00973040">
              <w:rPr>
                <w:rFonts w:eastAsia="Times New Roman"/>
                <w:iCs/>
                <w:color w:val="auto"/>
                <w:szCs w:val="17"/>
              </w:rPr>
              <w:t>DFAT led</w:t>
            </w:r>
          </w:p>
        </w:tc>
      </w:tr>
      <w:tr w:rsidR="00973040" w:rsidRPr="00C61187" w14:paraId="29C6029A" w14:textId="77777777" w:rsidTr="00646F02">
        <w:tc>
          <w:tcPr>
            <w:tcW w:w="2442" w:type="dxa"/>
          </w:tcPr>
          <w:p w14:paraId="3B3EDFF0" w14:textId="77777777" w:rsidR="00973040" w:rsidRPr="00F80F98" w:rsidRDefault="00973040" w:rsidP="00973040">
            <w:pPr>
              <w:keepLines/>
              <w:spacing w:before="40" w:after="40" w:line="200" w:lineRule="atLeast"/>
              <w:rPr>
                <w:rFonts w:eastAsia="Times New Roman"/>
                <w:iCs/>
                <w:color w:val="auto"/>
                <w:szCs w:val="17"/>
              </w:rPr>
            </w:pPr>
            <w:r w:rsidRPr="00973040">
              <w:rPr>
                <w:rFonts w:eastAsia="Times New Roman"/>
                <w:iCs/>
                <w:color w:val="auto"/>
                <w:szCs w:val="17"/>
              </w:rPr>
              <w:t>Mid Term Review of the Pacific regional Clinical Services and Health Workforce Improvement Program (CSHWP)</w:t>
            </w:r>
          </w:p>
        </w:tc>
        <w:tc>
          <w:tcPr>
            <w:tcW w:w="2354" w:type="dxa"/>
          </w:tcPr>
          <w:p w14:paraId="7621D333" w14:textId="77777777" w:rsidR="00973040" w:rsidRPr="00F80F98" w:rsidRDefault="00973040" w:rsidP="00973040">
            <w:pPr>
              <w:keepLines/>
              <w:spacing w:before="40" w:after="40" w:line="200" w:lineRule="atLeast"/>
              <w:rPr>
                <w:rFonts w:eastAsia="Times New Roman"/>
                <w:iCs/>
                <w:color w:val="auto"/>
                <w:szCs w:val="17"/>
              </w:rPr>
            </w:pPr>
            <w:r w:rsidRPr="00973040">
              <w:rPr>
                <w:rFonts w:eastAsia="Times New Roman"/>
                <w:iCs/>
                <w:color w:val="auto"/>
                <w:szCs w:val="17"/>
              </w:rPr>
              <w:t>INK933</w:t>
            </w:r>
          </w:p>
        </w:tc>
        <w:tc>
          <w:tcPr>
            <w:tcW w:w="1776" w:type="dxa"/>
          </w:tcPr>
          <w:p w14:paraId="0AB043A4" w14:textId="77777777" w:rsidR="00973040" w:rsidRPr="00F80F98" w:rsidRDefault="00973040" w:rsidP="00973040">
            <w:pPr>
              <w:keepLines/>
              <w:spacing w:before="40" w:after="40" w:line="200" w:lineRule="atLeast"/>
              <w:ind w:right="437"/>
              <w:rPr>
                <w:rFonts w:eastAsia="Times New Roman"/>
                <w:iCs/>
                <w:color w:val="auto"/>
                <w:szCs w:val="17"/>
              </w:rPr>
            </w:pPr>
            <w:r w:rsidRPr="00973040">
              <w:rPr>
                <w:rFonts w:eastAsia="Times New Roman"/>
                <w:iCs/>
                <w:color w:val="auto"/>
                <w:szCs w:val="17"/>
              </w:rPr>
              <w:t>October 2019</w:t>
            </w:r>
          </w:p>
        </w:tc>
        <w:tc>
          <w:tcPr>
            <w:tcW w:w="1949" w:type="dxa"/>
          </w:tcPr>
          <w:p w14:paraId="271FA4A6" w14:textId="77777777" w:rsidR="00973040" w:rsidRPr="00F80F98" w:rsidRDefault="00973040" w:rsidP="00973040">
            <w:pPr>
              <w:keepLines/>
              <w:spacing w:before="40" w:after="40" w:line="200" w:lineRule="atLeast"/>
              <w:rPr>
                <w:rFonts w:eastAsia="Times New Roman"/>
                <w:iCs/>
                <w:color w:val="auto"/>
                <w:szCs w:val="17"/>
              </w:rPr>
            </w:pPr>
            <w:r w:rsidRPr="00973040">
              <w:rPr>
                <w:rFonts w:eastAsia="Times New Roman"/>
                <w:iCs/>
                <w:color w:val="auto"/>
                <w:szCs w:val="17"/>
              </w:rPr>
              <w:t>March 2020</w:t>
            </w:r>
          </w:p>
        </w:tc>
        <w:tc>
          <w:tcPr>
            <w:tcW w:w="2524" w:type="dxa"/>
          </w:tcPr>
          <w:p w14:paraId="03FC4562" w14:textId="77777777" w:rsidR="00973040" w:rsidRPr="00973040" w:rsidRDefault="00973040" w:rsidP="00973040">
            <w:pPr>
              <w:spacing w:before="40" w:after="40" w:line="200" w:lineRule="atLeast"/>
              <w:rPr>
                <w:rFonts w:eastAsia="Times New Roman"/>
                <w:iCs/>
                <w:color w:val="auto"/>
                <w:szCs w:val="17"/>
              </w:rPr>
            </w:pPr>
            <w:r w:rsidRPr="00973040">
              <w:rPr>
                <w:rFonts w:eastAsia="Times New Roman"/>
                <w:iCs/>
                <w:color w:val="auto"/>
                <w:szCs w:val="17"/>
              </w:rPr>
              <w:t xml:space="preserve">Assess the relevance, effectiveness, efficiency, sustainability, and M&amp;E of the program </w:t>
            </w:r>
          </w:p>
          <w:p w14:paraId="7FFE623E" w14:textId="77777777" w:rsidR="00973040" w:rsidRPr="00F80F98" w:rsidRDefault="00973040" w:rsidP="00973040">
            <w:pPr>
              <w:keepLines/>
              <w:spacing w:before="40" w:after="40" w:line="200" w:lineRule="atLeast"/>
              <w:rPr>
                <w:rFonts w:eastAsia="Times New Roman"/>
                <w:iCs/>
                <w:color w:val="auto"/>
                <w:szCs w:val="17"/>
              </w:rPr>
            </w:pPr>
            <w:r w:rsidRPr="00973040">
              <w:rPr>
                <w:rFonts w:eastAsia="Times New Roman"/>
                <w:iCs/>
                <w:color w:val="auto"/>
                <w:szCs w:val="17"/>
              </w:rPr>
              <w:t>Improve existing investment and inform further phase</w:t>
            </w:r>
          </w:p>
        </w:tc>
        <w:tc>
          <w:tcPr>
            <w:tcW w:w="2737" w:type="dxa"/>
          </w:tcPr>
          <w:p w14:paraId="5D0BD3B7" w14:textId="77777777" w:rsidR="00973040" w:rsidRPr="00F80F98" w:rsidRDefault="00973040" w:rsidP="00973040">
            <w:pPr>
              <w:keepLines/>
              <w:spacing w:before="40" w:after="40" w:line="200" w:lineRule="atLeast"/>
              <w:rPr>
                <w:rFonts w:eastAsia="Times New Roman"/>
                <w:iCs/>
                <w:color w:val="auto"/>
                <w:szCs w:val="17"/>
              </w:rPr>
            </w:pPr>
            <w:r w:rsidRPr="00973040">
              <w:rPr>
                <w:rFonts w:eastAsia="Times New Roman"/>
                <w:iCs/>
                <w:color w:val="auto"/>
                <w:szCs w:val="17"/>
              </w:rPr>
              <w:t>DFAT led</w:t>
            </w:r>
          </w:p>
        </w:tc>
      </w:tr>
      <w:tr w:rsidR="008038B6" w:rsidRPr="00C61187" w14:paraId="6BCCC94B" w14:textId="77777777" w:rsidTr="00646F02">
        <w:tc>
          <w:tcPr>
            <w:tcW w:w="2442" w:type="dxa"/>
          </w:tcPr>
          <w:p w14:paraId="2C5E8FBC" w14:textId="77777777" w:rsidR="008038B6" w:rsidRPr="00F80F98" w:rsidRDefault="008038B6" w:rsidP="008038B6">
            <w:pPr>
              <w:keepLines/>
              <w:spacing w:before="40" w:after="40" w:line="200" w:lineRule="atLeast"/>
              <w:rPr>
                <w:rFonts w:eastAsia="Times New Roman"/>
                <w:iCs/>
                <w:color w:val="auto"/>
                <w:szCs w:val="17"/>
              </w:rPr>
            </w:pPr>
            <w:r w:rsidRPr="000A29B4">
              <w:rPr>
                <w:rFonts w:eastAsia="Times New Roman"/>
                <w:iCs/>
                <w:color w:val="auto"/>
                <w:szCs w:val="17"/>
              </w:rPr>
              <w:t>Independent Review of Pacific Financial Inclusion Program</w:t>
            </w:r>
          </w:p>
        </w:tc>
        <w:tc>
          <w:tcPr>
            <w:tcW w:w="2354" w:type="dxa"/>
          </w:tcPr>
          <w:p w14:paraId="42BCE535" w14:textId="77777777" w:rsidR="008038B6" w:rsidRPr="00F80F98" w:rsidRDefault="008038B6" w:rsidP="008038B6">
            <w:pPr>
              <w:keepLines/>
              <w:spacing w:before="40" w:after="40" w:line="200" w:lineRule="atLeast"/>
              <w:rPr>
                <w:rFonts w:eastAsia="Times New Roman"/>
                <w:iCs/>
                <w:color w:val="auto"/>
                <w:szCs w:val="17"/>
              </w:rPr>
            </w:pPr>
            <w:r w:rsidRPr="000A29B4">
              <w:rPr>
                <w:rFonts w:eastAsia="Times New Roman"/>
                <w:iCs/>
                <w:color w:val="auto"/>
                <w:szCs w:val="17"/>
              </w:rPr>
              <w:t>INI898</w:t>
            </w:r>
            <w:r>
              <w:rPr>
                <w:rFonts w:eastAsia="Times New Roman"/>
                <w:iCs/>
                <w:color w:val="auto"/>
                <w:szCs w:val="17"/>
              </w:rPr>
              <w:t xml:space="preserve"> </w:t>
            </w:r>
            <w:r w:rsidRPr="0041404A">
              <w:rPr>
                <w:rFonts w:eastAsia="Times New Roman"/>
                <w:iCs/>
                <w:color w:val="auto"/>
                <w:szCs w:val="17"/>
              </w:rPr>
              <w:t>Pacific Financial Inclusion Program</w:t>
            </w:r>
            <w:r>
              <w:rPr>
                <w:rFonts w:eastAsia="Times New Roman"/>
                <w:iCs/>
                <w:color w:val="auto"/>
                <w:szCs w:val="17"/>
              </w:rPr>
              <w:t xml:space="preserve"> (PFIP)</w:t>
            </w:r>
          </w:p>
        </w:tc>
        <w:tc>
          <w:tcPr>
            <w:tcW w:w="1776" w:type="dxa"/>
          </w:tcPr>
          <w:p w14:paraId="63B1E7C9" w14:textId="77777777" w:rsidR="008038B6" w:rsidRPr="00F80F98" w:rsidRDefault="008038B6" w:rsidP="00646F02">
            <w:pPr>
              <w:keepLines/>
              <w:spacing w:before="40" w:after="40" w:line="200" w:lineRule="atLeast"/>
              <w:ind w:right="437"/>
              <w:rPr>
                <w:rFonts w:eastAsia="Times New Roman"/>
                <w:iCs/>
                <w:color w:val="auto"/>
                <w:szCs w:val="17"/>
              </w:rPr>
            </w:pPr>
            <w:r w:rsidRPr="000A29B4">
              <w:rPr>
                <w:rFonts w:eastAsia="Times New Roman"/>
                <w:iCs/>
                <w:color w:val="auto"/>
                <w:szCs w:val="17"/>
              </w:rPr>
              <w:t>July/2019</w:t>
            </w:r>
          </w:p>
        </w:tc>
        <w:tc>
          <w:tcPr>
            <w:tcW w:w="1949" w:type="dxa"/>
          </w:tcPr>
          <w:p w14:paraId="3B15F970" w14:textId="77777777" w:rsidR="008038B6" w:rsidRPr="00F80F98" w:rsidRDefault="008038B6" w:rsidP="008038B6">
            <w:pPr>
              <w:keepLines/>
              <w:spacing w:before="40" w:after="40" w:line="200" w:lineRule="atLeast"/>
              <w:rPr>
                <w:rFonts w:eastAsia="Times New Roman"/>
                <w:iCs/>
                <w:color w:val="auto"/>
                <w:szCs w:val="17"/>
              </w:rPr>
            </w:pPr>
            <w:r w:rsidRPr="000A29B4">
              <w:rPr>
                <w:rFonts w:eastAsia="Times New Roman"/>
                <w:iCs/>
                <w:color w:val="auto"/>
                <w:szCs w:val="17"/>
              </w:rPr>
              <w:t>December / 2019</w:t>
            </w:r>
          </w:p>
        </w:tc>
        <w:tc>
          <w:tcPr>
            <w:tcW w:w="2524" w:type="dxa"/>
          </w:tcPr>
          <w:p w14:paraId="550F1B59" w14:textId="77777777" w:rsidR="008038B6" w:rsidRPr="00F80F98" w:rsidRDefault="008038B6" w:rsidP="008038B6">
            <w:pPr>
              <w:keepLines/>
              <w:spacing w:before="40" w:after="40" w:line="200" w:lineRule="atLeast"/>
              <w:rPr>
                <w:rFonts w:eastAsia="Times New Roman"/>
                <w:iCs/>
                <w:color w:val="auto"/>
                <w:szCs w:val="17"/>
              </w:rPr>
            </w:pPr>
            <w:r w:rsidRPr="00CA0961">
              <w:rPr>
                <w:rFonts w:eastAsia="Times New Roman"/>
                <w:iCs/>
                <w:color w:val="auto"/>
                <w:szCs w:val="17"/>
              </w:rPr>
              <w:t xml:space="preserve">Program </w:t>
            </w:r>
            <w:r>
              <w:rPr>
                <w:rFonts w:eastAsia="Times New Roman"/>
                <w:iCs/>
                <w:color w:val="auto"/>
                <w:szCs w:val="17"/>
              </w:rPr>
              <w:t xml:space="preserve">evaluation </w:t>
            </w:r>
            <w:r w:rsidRPr="00CA0961">
              <w:rPr>
                <w:rFonts w:eastAsia="Times New Roman"/>
                <w:iCs/>
                <w:color w:val="auto"/>
                <w:szCs w:val="17"/>
              </w:rPr>
              <w:t>to assess the relevance, effectiveness, efficiencies, the likely impact, and the sustainability of the program in the different countries in which it is active.</w:t>
            </w:r>
          </w:p>
        </w:tc>
        <w:tc>
          <w:tcPr>
            <w:tcW w:w="2737" w:type="dxa"/>
          </w:tcPr>
          <w:p w14:paraId="3F99011F" w14:textId="77777777" w:rsidR="008038B6" w:rsidRPr="00F80F98" w:rsidRDefault="008038B6" w:rsidP="008038B6">
            <w:pPr>
              <w:keepLines/>
              <w:spacing w:before="40" w:after="40" w:line="200" w:lineRule="atLeast"/>
              <w:rPr>
                <w:rFonts w:eastAsia="Times New Roman"/>
                <w:iCs/>
                <w:color w:val="auto"/>
                <w:szCs w:val="17"/>
              </w:rPr>
            </w:pPr>
            <w:r w:rsidRPr="000A29B4">
              <w:rPr>
                <w:rFonts w:eastAsia="Times New Roman"/>
                <w:iCs/>
                <w:color w:val="auto"/>
                <w:szCs w:val="17"/>
              </w:rPr>
              <w:t>Independent Evaluation</w:t>
            </w:r>
          </w:p>
        </w:tc>
      </w:tr>
      <w:tr w:rsidR="008038B6" w:rsidRPr="00C61187" w14:paraId="50B1F8BF" w14:textId="77777777" w:rsidTr="00646F02">
        <w:tc>
          <w:tcPr>
            <w:tcW w:w="2442" w:type="dxa"/>
          </w:tcPr>
          <w:p w14:paraId="2A532394" w14:textId="77777777" w:rsidR="008038B6" w:rsidRPr="00F80F98" w:rsidRDefault="008038B6" w:rsidP="008038B6">
            <w:pPr>
              <w:keepLines/>
              <w:spacing w:before="40" w:after="40" w:line="200" w:lineRule="atLeast"/>
              <w:rPr>
                <w:rFonts w:eastAsia="Times New Roman"/>
                <w:iCs/>
                <w:color w:val="auto"/>
                <w:szCs w:val="17"/>
              </w:rPr>
            </w:pPr>
            <w:r w:rsidRPr="000A29B4">
              <w:rPr>
                <w:rFonts w:eastAsia="Times New Roman"/>
                <w:iCs/>
                <w:color w:val="auto"/>
                <w:szCs w:val="17"/>
              </w:rPr>
              <w:t>Review of PIFS WTO Geneva Office</w:t>
            </w:r>
          </w:p>
        </w:tc>
        <w:tc>
          <w:tcPr>
            <w:tcW w:w="2354" w:type="dxa"/>
          </w:tcPr>
          <w:p w14:paraId="5288BCCE" w14:textId="77777777" w:rsidR="008038B6" w:rsidRPr="00F80F98" w:rsidRDefault="008038B6" w:rsidP="008038B6">
            <w:pPr>
              <w:keepLines/>
              <w:spacing w:before="40" w:after="40" w:line="200" w:lineRule="atLeast"/>
              <w:rPr>
                <w:rFonts w:eastAsia="Times New Roman"/>
                <w:iCs/>
                <w:color w:val="auto"/>
                <w:szCs w:val="17"/>
              </w:rPr>
            </w:pPr>
            <w:r w:rsidRPr="000A29B4">
              <w:rPr>
                <w:rFonts w:eastAsia="Times New Roman"/>
                <w:iCs/>
                <w:color w:val="auto"/>
                <w:szCs w:val="17"/>
              </w:rPr>
              <w:t>INL387 GoA-PIFS Partnership 2014-2023</w:t>
            </w:r>
          </w:p>
        </w:tc>
        <w:tc>
          <w:tcPr>
            <w:tcW w:w="1776" w:type="dxa"/>
          </w:tcPr>
          <w:p w14:paraId="62C01515" w14:textId="77777777" w:rsidR="008038B6" w:rsidRPr="00F80F98" w:rsidRDefault="008038B6" w:rsidP="00646F02">
            <w:pPr>
              <w:keepLines/>
              <w:spacing w:before="40" w:after="40" w:line="200" w:lineRule="atLeast"/>
              <w:ind w:right="437"/>
              <w:rPr>
                <w:rFonts w:eastAsia="Times New Roman"/>
                <w:iCs/>
                <w:color w:val="auto"/>
                <w:szCs w:val="17"/>
              </w:rPr>
            </w:pPr>
            <w:r w:rsidRPr="000A29B4">
              <w:rPr>
                <w:rFonts w:eastAsia="Times New Roman"/>
                <w:iCs/>
                <w:color w:val="auto"/>
                <w:szCs w:val="17"/>
              </w:rPr>
              <w:t>October / 2019</w:t>
            </w:r>
          </w:p>
        </w:tc>
        <w:tc>
          <w:tcPr>
            <w:tcW w:w="1949" w:type="dxa"/>
          </w:tcPr>
          <w:p w14:paraId="7DF5B632" w14:textId="77777777" w:rsidR="008038B6" w:rsidRPr="00F80F98" w:rsidRDefault="008038B6" w:rsidP="008038B6">
            <w:pPr>
              <w:keepLines/>
              <w:spacing w:before="40" w:after="40" w:line="200" w:lineRule="atLeast"/>
              <w:rPr>
                <w:rFonts w:eastAsia="Times New Roman"/>
                <w:iCs/>
                <w:color w:val="auto"/>
                <w:szCs w:val="17"/>
              </w:rPr>
            </w:pPr>
            <w:r w:rsidRPr="000A29B4">
              <w:rPr>
                <w:rFonts w:eastAsia="Times New Roman"/>
                <w:iCs/>
                <w:color w:val="auto"/>
                <w:szCs w:val="17"/>
              </w:rPr>
              <w:t>December / 2019</w:t>
            </w:r>
          </w:p>
        </w:tc>
        <w:tc>
          <w:tcPr>
            <w:tcW w:w="2524" w:type="dxa"/>
          </w:tcPr>
          <w:p w14:paraId="565B87C3" w14:textId="77777777" w:rsidR="008038B6" w:rsidRPr="00F80F98" w:rsidRDefault="008038B6" w:rsidP="008038B6">
            <w:pPr>
              <w:keepLines/>
              <w:spacing w:before="40" w:after="40" w:line="200" w:lineRule="atLeast"/>
              <w:rPr>
                <w:rFonts w:eastAsia="Times New Roman"/>
                <w:iCs/>
                <w:color w:val="auto"/>
                <w:szCs w:val="17"/>
              </w:rPr>
            </w:pPr>
            <w:r w:rsidRPr="00CA0961">
              <w:rPr>
                <w:rFonts w:eastAsia="Times New Roman"/>
                <w:iCs/>
                <w:color w:val="auto"/>
                <w:szCs w:val="17"/>
              </w:rPr>
              <w:t>Rapid appraisal to inform DFAT decisions beyond the current funding agreement to guide the strategic intent, performance framework</w:t>
            </w:r>
            <w:r>
              <w:rPr>
                <w:rFonts w:eastAsia="Times New Roman"/>
                <w:iCs/>
                <w:color w:val="auto"/>
                <w:szCs w:val="17"/>
              </w:rPr>
              <w:t>,</w:t>
            </w:r>
            <w:r w:rsidRPr="00CA0961">
              <w:rPr>
                <w:rFonts w:eastAsia="Times New Roman"/>
                <w:iCs/>
                <w:color w:val="auto"/>
                <w:szCs w:val="17"/>
              </w:rPr>
              <w:t xml:space="preserve"> risk management, and </w:t>
            </w:r>
            <w:r>
              <w:rPr>
                <w:rFonts w:eastAsia="Times New Roman"/>
                <w:iCs/>
                <w:color w:val="auto"/>
                <w:szCs w:val="17"/>
              </w:rPr>
              <w:t>resourcing</w:t>
            </w:r>
            <w:r w:rsidRPr="00CA0961">
              <w:rPr>
                <w:rFonts w:eastAsia="Times New Roman"/>
                <w:iCs/>
                <w:color w:val="auto"/>
                <w:szCs w:val="17"/>
              </w:rPr>
              <w:t>.</w:t>
            </w:r>
          </w:p>
        </w:tc>
        <w:tc>
          <w:tcPr>
            <w:tcW w:w="2737" w:type="dxa"/>
          </w:tcPr>
          <w:p w14:paraId="10741763" w14:textId="77777777" w:rsidR="008038B6" w:rsidRPr="00F80F98" w:rsidRDefault="008038B6" w:rsidP="008038B6">
            <w:pPr>
              <w:keepLines/>
              <w:spacing w:before="40" w:after="40" w:line="200" w:lineRule="atLeast"/>
              <w:rPr>
                <w:rFonts w:eastAsia="Times New Roman"/>
                <w:iCs/>
                <w:color w:val="auto"/>
                <w:szCs w:val="17"/>
              </w:rPr>
            </w:pPr>
            <w:r w:rsidRPr="000A29B4">
              <w:rPr>
                <w:rFonts w:eastAsia="Times New Roman"/>
                <w:iCs/>
                <w:color w:val="auto"/>
                <w:szCs w:val="17"/>
              </w:rPr>
              <w:t xml:space="preserve">Independent </w:t>
            </w:r>
            <w:r w:rsidRPr="00CA0961">
              <w:rPr>
                <w:rFonts w:eastAsia="Times New Roman"/>
                <w:iCs/>
                <w:color w:val="auto"/>
                <w:szCs w:val="17"/>
              </w:rPr>
              <w:t>Appraisal</w:t>
            </w:r>
          </w:p>
        </w:tc>
      </w:tr>
      <w:tr w:rsidR="008038B6" w:rsidRPr="00C61187" w14:paraId="01AE8B7E" w14:textId="77777777" w:rsidTr="00646F02">
        <w:tc>
          <w:tcPr>
            <w:tcW w:w="2442" w:type="dxa"/>
          </w:tcPr>
          <w:p w14:paraId="56A091AD" w14:textId="77777777" w:rsidR="008038B6" w:rsidRPr="00CA0961" w:rsidRDefault="008038B6" w:rsidP="008038B6">
            <w:pPr>
              <w:keepLines/>
              <w:spacing w:before="40" w:after="40" w:line="200" w:lineRule="atLeast"/>
              <w:rPr>
                <w:rFonts w:eastAsia="Times New Roman"/>
                <w:iCs/>
                <w:color w:val="auto"/>
                <w:szCs w:val="17"/>
              </w:rPr>
            </w:pPr>
            <w:r w:rsidRPr="00CA0961">
              <w:rPr>
                <w:rFonts w:eastAsia="Times New Roman"/>
                <w:iCs/>
                <w:color w:val="auto"/>
                <w:szCs w:val="17"/>
              </w:rPr>
              <w:t>Review of the Pacific Islands Private Sector Organisation</w:t>
            </w:r>
          </w:p>
        </w:tc>
        <w:tc>
          <w:tcPr>
            <w:tcW w:w="2354" w:type="dxa"/>
          </w:tcPr>
          <w:p w14:paraId="69016EF7" w14:textId="77777777" w:rsidR="008038B6" w:rsidRPr="00CA0961" w:rsidRDefault="008038B6" w:rsidP="008038B6">
            <w:pPr>
              <w:keepLines/>
              <w:spacing w:before="40" w:after="40" w:line="200" w:lineRule="atLeast"/>
              <w:rPr>
                <w:rFonts w:eastAsia="Times New Roman"/>
                <w:iCs/>
                <w:color w:val="auto"/>
                <w:szCs w:val="17"/>
              </w:rPr>
            </w:pPr>
            <w:r w:rsidRPr="00CA0961">
              <w:rPr>
                <w:rFonts w:eastAsia="Times New Roman"/>
                <w:iCs/>
                <w:color w:val="auto"/>
                <w:szCs w:val="17"/>
              </w:rPr>
              <w:t>INL387 GoA-PIFS Partnership 2014-2023</w:t>
            </w:r>
          </w:p>
        </w:tc>
        <w:tc>
          <w:tcPr>
            <w:tcW w:w="1776" w:type="dxa"/>
          </w:tcPr>
          <w:p w14:paraId="770AE0C1" w14:textId="77777777" w:rsidR="008038B6" w:rsidRPr="00CA0961" w:rsidRDefault="008038B6" w:rsidP="00646F02">
            <w:pPr>
              <w:keepLines/>
              <w:spacing w:before="40" w:after="40" w:line="200" w:lineRule="atLeast"/>
              <w:ind w:right="437"/>
              <w:rPr>
                <w:rFonts w:eastAsia="Times New Roman"/>
                <w:iCs/>
                <w:color w:val="auto"/>
                <w:szCs w:val="17"/>
              </w:rPr>
            </w:pPr>
            <w:r w:rsidRPr="00CA0961">
              <w:rPr>
                <w:rFonts w:eastAsia="Times New Roman"/>
                <w:iCs/>
                <w:color w:val="auto"/>
                <w:szCs w:val="17"/>
              </w:rPr>
              <w:t>July 2019</w:t>
            </w:r>
          </w:p>
        </w:tc>
        <w:tc>
          <w:tcPr>
            <w:tcW w:w="1949" w:type="dxa"/>
          </w:tcPr>
          <w:p w14:paraId="775D42F2" w14:textId="77777777" w:rsidR="008038B6" w:rsidRPr="00CA0961" w:rsidRDefault="008038B6" w:rsidP="008038B6">
            <w:pPr>
              <w:keepLines/>
              <w:spacing w:before="40" w:after="40" w:line="200" w:lineRule="atLeast"/>
              <w:rPr>
                <w:rFonts w:eastAsia="Times New Roman"/>
                <w:iCs/>
                <w:color w:val="auto"/>
                <w:szCs w:val="17"/>
              </w:rPr>
            </w:pPr>
            <w:r w:rsidRPr="00CA0961">
              <w:rPr>
                <w:rFonts w:eastAsia="Times New Roman"/>
                <w:iCs/>
                <w:color w:val="auto"/>
                <w:szCs w:val="17"/>
              </w:rPr>
              <w:t>December / 2019</w:t>
            </w:r>
          </w:p>
        </w:tc>
        <w:tc>
          <w:tcPr>
            <w:tcW w:w="2524" w:type="dxa"/>
          </w:tcPr>
          <w:p w14:paraId="4FDE416A" w14:textId="77777777" w:rsidR="008038B6" w:rsidRPr="00CA0961" w:rsidRDefault="008038B6" w:rsidP="008038B6">
            <w:pPr>
              <w:keepLines/>
              <w:spacing w:before="40" w:after="40" w:line="200" w:lineRule="atLeast"/>
              <w:rPr>
                <w:rFonts w:eastAsia="Times New Roman"/>
                <w:iCs/>
                <w:color w:val="auto"/>
                <w:szCs w:val="17"/>
              </w:rPr>
            </w:pPr>
            <w:r w:rsidRPr="00CA0961">
              <w:rPr>
                <w:rFonts w:eastAsia="Times New Roman"/>
                <w:iCs/>
                <w:color w:val="auto"/>
                <w:szCs w:val="17"/>
              </w:rPr>
              <w:t xml:space="preserve">Comprehensive review of PIPSO on its Governance structures and Strategic focus moving forward. </w:t>
            </w:r>
          </w:p>
        </w:tc>
        <w:tc>
          <w:tcPr>
            <w:tcW w:w="2737" w:type="dxa"/>
          </w:tcPr>
          <w:p w14:paraId="1C8050F5" w14:textId="77777777" w:rsidR="008038B6" w:rsidRPr="00CA0961" w:rsidRDefault="008038B6" w:rsidP="008038B6">
            <w:pPr>
              <w:keepLines/>
              <w:spacing w:before="40" w:after="40" w:line="200" w:lineRule="atLeast"/>
              <w:rPr>
                <w:rFonts w:eastAsia="Times New Roman"/>
                <w:iCs/>
                <w:color w:val="auto"/>
                <w:szCs w:val="17"/>
              </w:rPr>
            </w:pPr>
            <w:r w:rsidRPr="00CA0961">
              <w:rPr>
                <w:rFonts w:eastAsia="Times New Roman"/>
                <w:iCs/>
                <w:color w:val="auto"/>
                <w:szCs w:val="17"/>
              </w:rPr>
              <w:t>Independent Review</w:t>
            </w:r>
          </w:p>
        </w:tc>
      </w:tr>
    </w:tbl>
    <w:p w14:paraId="202A1500" w14:textId="77777777" w:rsidR="00400B0F" w:rsidRPr="00C61187" w:rsidRDefault="00400B0F" w:rsidP="00400B0F">
      <w:pPr>
        <w:rPr>
          <w:b/>
        </w:rPr>
        <w:sectPr w:rsidR="00400B0F" w:rsidRPr="00C61187" w:rsidSect="008C2F58">
          <w:headerReference w:type="even" r:id="rId32"/>
          <w:headerReference w:type="default" r:id="rId33"/>
          <w:headerReference w:type="first" r:id="rId34"/>
          <w:footerReference w:type="first" r:id="rId35"/>
          <w:footnotePr>
            <w:numRestart w:val="eachPage"/>
          </w:footnotePr>
          <w:type w:val="continuous"/>
          <w:pgSz w:w="16838" w:h="11906" w:orient="landscape" w:code="9"/>
          <w:pgMar w:top="1272" w:right="1814" w:bottom="851" w:left="851" w:header="709" w:footer="230" w:gutter="0"/>
          <w:cols w:space="708"/>
          <w:titlePg/>
          <w:docGrid w:linePitch="360"/>
        </w:sectPr>
      </w:pPr>
    </w:p>
    <w:p w14:paraId="09746BA2" w14:textId="77777777" w:rsidR="00400B0F" w:rsidRPr="00901B73" w:rsidRDefault="00400B0F" w:rsidP="00901B73">
      <w:pPr>
        <w:keepNext/>
        <w:tabs>
          <w:tab w:val="left" w:pos="1560"/>
        </w:tabs>
        <w:spacing w:before="360" w:after="120" w:line="300" w:lineRule="exact"/>
        <w:outlineLvl w:val="1"/>
        <w:rPr>
          <w:rFonts w:asciiTheme="majorHAnsi" w:eastAsiaTheme="majorEastAsia" w:hAnsiTheme="majorHAnsi" w:cstheme="majorHAnsi"/>
          <w:bCs/>
          <w:iCs/>
          <w:caps/>
          <w:spacing w:val="-10"/>
          <w:kern w:val="28"/>
          <w:sz w:val="38"/>
          <w:szCs w:val="24"/>
        </w:rPr>
      </w:pPr>
      <w:r w:rsidRPr="00901B73">
        <w:rPr>
          <w:rFonts w:asciiTheme="majorHAnsi" w:eastAsiaTheme="majorEastAsia" w:hAnsiTheme="majorHAnsi" w:cstheme="majorHAnsi"/>
          <w:bCs/>
          <w:iCs/>
          <w:caps/>
          <w:spacing w:val="-10"/>
          <w:kern w:val="28"/>
          <w:sz w:val="38"/>
          <w:szCs w:val="24"/>
        </w:rPr>
        <w:t>Annex D - Aid Quality Check ratings</w:t>
      </w:r>
    </w:p>
    <w:tbl>
      <w:tblPr>
        <w:tblStyle w:val="APPR"/>
        <w:tblW w:w="4573" w:type="pct"/>
        <w:tblLook w:val="0000" w:firstRow="0" w:lastRow="0" w:firstColumn="0" w:lastColumn="0" w:noHBand="0" w:noVBand="0"/>
      </w:tblPr>
      <w:tblGrid>
        <w:gridCol w:w="1771"/>
        <w:gridCol w:w="1284"/>
        <w:gridCol w:w="820"/>
        <w:gridCol w:w="823"/>
        <w:gridCol w:w="820"/>
        <w:gridCol w:w="825"/>
        <w:gridCol w:w="820"/>
        <w:gridCol w:w="825"/>
        <w:gridCol w:w="827"/>
      </w:tblGrid>
      <w:tr w:rsidR="00587C3F" w:rsidRPr="00A427C6" w14:paraId="21F0A6A2" w14:textId="77777777" w:rsidTr="00154ED6">
        <w:trPr>
          <w:cnfStyle w:val="000000010000" w:firstRow="0" w:lastRow="0" w:firstColumn="0" w:lastColumn="0" w:oddVBand="0" w:evenVBand="0" w:oddHBand="0" w:evenHBand="1" w:firstRowFirstColumn="0" w:firstRowLastColumn="0" w:lastRowFirstColumn="0" w:lastRowLastColumn="0"/>
          <w:trHeight w:val="1413"/>
        </w:trPr>
        <w:tc>
          <w:tcPr>
            <w:tcW w:w="981" w:type="pct"/>
          </w:tcPr>
          <w:p w14:paraId="5251ED08"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sidRPr="00A427C6">
              <w:rPr>
                <w:rFonts w:eastAsia="Times New Roman"/>
                <w:b/>
                <w:iCs/>
                <w:noProof/>
                <w:szCs w:val="17"/>
                <w:lang w:val="en-AU"/>
              </w:rPr>
              <w:drawing>
                <wp:anchor distT="0" distB="0" distL="114300" distR="114300" simplePos="0" relativeHeight="251683840" behindDoc="0" locked="0" layoutInCell="1" allowOverlap="1" wp14:anchorId="4750E487" wp14:editId="055BDE2C">
                  <wp:simplePos x="0" y="0"/>
                  <wp:positionH relativeFrom="column">
                    <wp:posOffset>0</wp:posOffset>
                  </wp:positionH>
                  <wp:positionV relativeFrom="paragraph">
                    <wp:posOffset>0</wp:posOffset>
                  </wp:positionV>
                  <wp:extent cx="1857375" cy="228600"/>
                  <wp:effectExtent l="0" t="0" r="9525" b="0"/>
                  <wp:wrapNone/>
                  <wp:docPr id="1" name="Picture 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7C6">
              <w:rPr>
                <w:rFonts w:asciiTheme="minorHAnsi" w:eastAsia="Times New Roman" w:hAnsiTheme="minorHAnsi"/>
                <w:b/>
                <w:iCs/>
                <w:szCs w:val="17"/>
                <w:lang w:eastAsia="en-US"/>
              </w:rPr>
              <w:t>Investment name</w:t>
            </w:r>
          </w:p>
        </w:tc>
        <w:tc>
          <w:tcPr>
            <w:tcW w:w="712" w:type="pct"/>
            <w:textDirection w:val="btLr"/>
          </w:tcPr>
          <w:p w14:paraId="2BFF3B2D"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Approved budget and duration</w:t>
            </w:r>
          </w:p>
        </w:tc>
        <w:tc>
          <w:tcPr>
            <w:tcW w:w="449" w:type="pct"/>
            <w:textDirection w:val="btLr"/>
          </w:tcPr>
          <w:p w14:paraId="798DFD11"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year</w:t>
            </w:r>
          </w:p>
        </w:tc>
        <w:tc>
          <w:tcPr>
            <w:tcW w:w="451" w:type="pct"/>
            <w:textDirection w:val="btLr"/>
          </w:tcPr>
          <w:p w14:paraId="57327F91"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Effectiveness</w:t>
            </w:r>
          </w:p>
        </w:tc>
        <w:tc>
          <w:tcPr>
            <w:tcW w:w="449" w:type="pct"/>
            <w:textDirection w:val="btLr"/>
          </w:tcPr>
          <w:p w14:paraId="4754CA66"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Efficiency</w:t>
            </w:r>
          </w:p>
        </w:tc>
        <w:tc>
          <w:tcPr>
            <w:tcW w:w="452" w:type="pct"/>
            <w:textDirection w:val="btLr"/>
          </w:tcPr>
          <w:p w14:paraId="1AE5740A"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Relevance</w:t>
            </w:r>
          </w:p>
        </w:tc>
        <w:tc>
          <w:tcPr>
            <w:tcW w:w="449" w:type="pct"/>
            <w:textDirection w:val="btLr"/>
          </w:tcPr>
          <w:p w14:paraId="6FA153F5"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Gender equality</w:t>
            </w:r>
          </w:p>
        </w:tc>
        <w:tc>
          <w:tcPr>
            <w:tcW w:w="452" w:type="pct"/>
            <w:textDirection w:val="btLr"/>
          </w:tcPr>
          <w:p w14:paraId="1B1EE447"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Monitoring and Evaluation</w:t>
            </w:r>
          </w:p>
        </w:tc>
        <w:tc>
          <w:tcPr>
            <w:tcW w:w="445" w:type="pct"/>
            <w:textDirection w:val="btLr"/>
          </w:tcPr>
          <w:p w14:paraId="0B283E74"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 xml:space="preserve">Sustainability </w:t>
            </w:r>
          </w:p>
        </w:tc>
      </w:tr>
      <w:tr w:rsidR="00587C3F" w:rsidRPr="00090E05" w14:paraId="342AB3D4"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val="restart"/>
            <w:tcBorders>
              <w:top w:val="single" w:sz="4" w:space="0" w:color="auto"/>
            </w:tcBorders>
          </w:tcPr>
          <w:p w14:paraId="28355B10" w14:textId="77777777" w:rsidR="00587C3F" w:rsidRPr="00114103" w:rsidRDefault="00587C3F" w:rsidP="00154ED6">
            <w:pPr>
              <w:rPr>
                <w:rFonts w:ascii="Arial" w:hAnsi="Arial" w:cs="Arial"/>
                <w:color w:val="595959" w:themeColor="text1" w:themeTint="A6"/>
                <w:sz w:val="16"/>
                <w:szCs w:val="16"/>
              </w:rPr>
            </w:pPr>
            <w:r w:rsidRPr="008F192B">
              <w:rPr>
                <w:rFonts w:ascii="Arial" w:hAnsi="Arial" w:cs="Arial"/>
                <w:color w:val="595959" w:themeColor="text1" w:themeTint="A6"/>
                <w:sz w:val="16"/>
                <w:szCs w:val="16"/>
              </w:rPr>
              <w:t>Regional Rights Resource Team (RRRT)</w:t>
            </w:r>
          </w:p>
        </w:tc>
        <w:tc>
          <w:tcPr>
            <w:tcW w:w="712" w:type="pct"/>
            <w:vMerge w:val="restart"/>
            <w:tcBorders>
              <w:top w:val="single" w:sz="4" w:space="0" w:color="auto"/>
            </w:tcBorders>
          </w:tcPr>
          <w:p w14:paraId="21F32FDC" w14:textId="77777777" w:rsidR="00587C3F"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w:t>
            </w:r>
            <w:r w:rsidRPr="00B91E1E">
              <w:rPr>
                <w:rFonts w:asciiTheme="minorHAnsi" w:eastAsia="Times New Roman" w:hAnsiTheme="minorHAnsi"/>
                <w:iCs/>
                <w:color w:val="595959" w:themeColor="text1" w:themeTint="A6"/>
                <w:szCs w:val="17"/>
                <w:lang w:eastAsia="en-US"/>
              </w:rPr>
              <w:t>18</w:t>
            </w:r>
            <w:r>
              <w:rPr>
                <w:rFonts w:asciiTheme="minorHAnsi" w:eastAsia="Times New Roman" w:hAnsiTheme="minorHAnsi"/>
                <w:iCs/>
                <w:color w:val="595959" w:themeColor="text1" w:themeTint="A6"/>
                <w:szCs w:val="17"/>
                <w:lang w:eastAsia="en-US"/>
              </w:rPr>
              <w:t>m</w:t>
            </w:r>
          </w:p>
          <w:p w14:paraId="097FC37F" w14:textId="77777777" w:rsidR="00587C3F" w:rsidRPr="00B91E1E"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2006-2020</w:t>
            </w:r>
          </w:p>
        </w:tc>
        <w:tc>
          <w:tcPr>
            <w:tcW w:w="449" w:type="pct"/>
            <w:tcBorders>
              <w:top w:val="single" w:sz="4" w:space="0" w:color="auto"/>
            </w:tcBorders>
          </w:tcPr>
          <w:p w14:paraId="057B97F0"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2019 AQC</w:t>
            </w:r>
          </w:p>
        </w:tc>
        <w:tc>
          <w:tcPr>
            <w:tcW w:w="451" w:type="pct"/>
            <w:tcBorders>
              <w:top w:val="single" w:sz="4" w:space="0" w:color="auto"/>
            </w:tcBorders>
            <w:shd w:val="clear" w:color="auto" w:fill="FFFF00"/>
            <w:noWrap/>
          </w:tcPr>
          <w:p w14:paraId="71807986" w14:textId="77777777" w:rsidR="00587C3F" w:rsidRPr="00090E05" w:rsidRDefault="00587C3F" w:rsidP="00154ED6">
            <w:pPr>
              <w:jc w:val="center"/>
            </w:pPr>
            <w:r w:rsidRPr="00194926">
              <w:t>4</w:t>
            </w:r>
          </w:p>
        </w:tc>
        <w:tc>
          <w:tcPr>
            <w:tcW w:w="449" w:type="pct"/>
            <w:tcBorders>
              <w:top w:val="single" w:sz="4" w:space="0" w:color="auto"/>
            </w:tcBorders>
            <w:shd w:val="clear" w:color="auto" w:fill="92D050"/>
            <w:noWrap/>
          </w:tcPr>
          <w:p w14:paraId="68C2F161" w14:textId="77777777" w:rsidR="00587C3F" w:rsidRPr="00090E05" w:rsidRDefault="00587C3F" w:rsidP="00154ED6">
            <w:pPr>
              <w:jc w:val="center"/>
            </w:pPr>
            <w:r w:rsidRPr="00194926">
              <w:t>5</w:t>
            </w:r>
          </w:p>
        </w:tc>
        <w:tc>
          <w:tcPr>
            <w:tcW w:w="452" w:type="pct"/>
            <w:tcBorders>
              <w:top w:val="single" w:sz="4" w:space="0" w:color="auto"/>
            </w:tcBorders>
            <w:shd w:val="clear" w:color="auto" w:fill="auto"/>
            <w:noWrap/>
          </w:tcPr>
          <w:p w14:paraId="19B2FF11" w14:textId="77777777" w:rsidR="00587C3F" w:rsidRPr="00090E05" w:rsidRDefault="00587C3F" w:rsidP="00154ED6">
            <w:pPr>
              <w:jc w:val="center"/>
            </w:pPr>
            <w:r w:rsidRPr="00194926">
              <w:t> </w:t>
            </w:r>
          </w:p>
        </w:tc>
        <w:tc>
          <w:tcPr>
            <w:tcW w:w="449" w:type="pct"/>
            <w:tcBorders>
              <w:top w:val="single" w:sz="4" w:space="0" w:color="auto"/>
            </w:tcBorders>
            <w:shd w:val="clear" w:color="auto" w:fill="FFFF00"/>
            <w:noWrap/>
          </w:tcPr>
          <w:p w14:paraId="02EFE714" w14:textId="77777777" w:rsidR="00587C3F" w:rsidRPr="00090E05" w:rsidRDefault="00587C3F" w:rsidP="00154ED6">
            <w:pPr>
              <w:jc w:val="center"/>
            </w:pPr>
            <w:r w:rsidRPr="00194926">
              <w:t>4</w:t>
            </w:r>
          </w:p>
        </w:tc>
        <w:tc>
          <w:tcPr>
            <w:tcW w:w="452" w:type="pct"/>
            <w:tcBorders>
              <w:top w:val="single" w:sz="4" w:space="0" w:color="auto"/>
            </w:tcBorders>
            <w:shd w:val="clear" w:color="auto" w:fill="auto"/>
            <w:noWrap/>
          </w:tcPr>
          <w:p w14:paraId="48808AB6" w14:textId="77777777" w:rsidR="00587C3F" w:rsidRPr="00090E05" w:rsidRDefault="00587C3F" w:rsidP="00154ED6">
            <w:pPr>
              <w:jc w:val="center"/>
            </w:pPr>
          </w:p>
        </w:tc>
        <w:tc>
          <w:tcPr>
            <w:tcW w:w="445" w:type="pct"/>
            <w:tcBorders>
              <w:top w:val="single" w:sz="4" w:space="0" w:color="auto"/>
            </w:tcBorders>
            <w:shd w:val="clear" w:color="auto" w:fill="auto"/>
            <w:noWrap/>
          </w:tcPr>
          <w:p w14:paraId="0656348D" w14:textId="77777777" w:rsidR="00587C3F" w:rsidRPr="00090E05" w:rsidRDefault="00587C3F" w:rsidP="00154ED6">
            <w:pPr>
              <w:jc w:val="center"/>
            </w:pPr>
          </w:p>
        </w:tc>
      </w:tr>
      <w:tr w:rsidR="00587C3F" w14:paraId="015A333A"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tcBorders>
              <w:bottom w:val="single" w:sz="4" w:space="0" w:color="auto"/>
            </w:tcBorders>
          </w:tcPr>
          <w:p w14:paraId="6541A51A" w14:textId="77777777" w:rsidR="00587C3F" w:rsidRPr="00114103"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712" w:type="pct"/>
            <w:vMerge/>
            <w:tcBorders>
              <w:bottom w:val="single" w:sz="4" w:space="0" w:color="auto"/>
            </w:tcBorders>
          </w:tcPr>
          <w:p w14:paraId="2267D587"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449" w:type="pct"/>
            <w:tcBorders>
              <w:bottom w:val="single" w:sz="4" w:space="0" w:color="auto"/>
            </w:tcBorders>
          </w:tcPr>
          <w:p w14:paraId="047751EC"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tcBorders>
              <w:bottom w:val="single" w:sz="4" w:space="0" w:color="auto"/>
            </w:tcBorders>
            <w:shd w:val="clear" w:color="auto" w:fill="92D050"/>
            <w:noWrap/>
          </w:tcPr>
          <w:p w14:paraId="708E6ED9" w14:textId="77777777" w:rsidR="00587C3F" w:rsidRPr="00090E05" w:rsidRDefault="00587C3F" w:rsidP="00154ED6">
            <w:pPr>
              <w:jc w:val="center"/>
            </w:pPr>
            <w:r w:rsidRPr="00090E05">
              <w:t>5</w:t>
            </w:r>
          </w:p>
        </w:tc>
        <w:tc>
          <w:tcPr>
            <w:tcW w:w="449" w:type="pct"/>
            <w:tcBorders>
              <w:bottom w:val="single" w:sz="4" w:space="0" w:color="auto"/>
            </w:tcBorders>
            <w:shd w:val="clear" w:color="auto" w:fill="FFFF00"/>
            <w:noWrap/>
          </w:tcPr>
          <w:p w14:paraId="233F69CE" w14:textId="77777777" w:rsidR="00587C3F" w:rsidRPr="00090E05" w:rsidRDefault="00587C3F" w:rsidP="00154ED6">
            <w:pPr>
              <w:jc w:val="center"/>
            </w:pPr>
            <w:r w:rsidRPr="00090E05">
              <w:t>4</w:t>
            </w:r>
          </w:p>
        </w:tc>
        <w:tc>
          <w:tcPr>
            <w:tcW w:w="452" w:type="pct"/>
            <w:tcBorders>
              <w:bottom w:val="single" w:sz="4" w:space="0" w:color="auto"/>
            </w:tcBorders>
            <w:shd w:val="clear" w:color="auto" w:fill="92D050"/>
            <w:noWrap/>
          </w:tcPr>
          <w:p w14:paraId="52CAB7C3" w14:textId="77777777" w:rsidR="00587C3F" w:rsidRPr="00090E05" w:rsidRDefault="00587C3F" w:rsidP="00154ED6">
            <w:pPr>
              <w:jc w:val="center"/>
            </w:pPr>
            <w:r w:rsidRPr="00090E05">
              <w:t>6</w:t>
            </w:r>
          </w:p>
        </w:tc>
        <w:tc>
          <w:tcPr>
            <w:tcW w:w="449" w:type="pct"/>
            <w:tcBorders>
              <w:bottom w:val="single" w:sz="4" w:space="0" w:color="auto"/>
            </w:tcBorders>
            <w:shd w:val="clear" w:color="auto" w:fill="92D050"/>
            <w:noWrap/>
          </w:tcPr>
          <w:p w14:paraId="45F888F5" w14:textId="77777777" w:rsidR="00587C3F" w:rsidRPr="00090E05" w:rsidRDefault="00587C3F" w:rsidP="00154ED6">
            <w:pPr>
              <w:jc w:val="center"/>
            </w:pPr>
            <w:r w:rsidRPr="00090E05">
              <w:t>5</w:t>
            </w:r>
          </w:p>
        </w:tc>
        <w:tc>
          <w:tcPr>
            <w:tcW w:w="452" w:type="pct"/>
            <w:tcBorders>
              <w:bottom w:val="single" w:sz="4" w:space="0" w:color="auto"/>
            </w:tcBorders>
            <w:shd w:val="clear" w:color="auto" w:fill="FFFF00"/>
            <w:noWrap/>
          </w:tcPr>
          <w:p w14:paraId="6AAB0607" w14:textId="77777777" w:rsidR="00587C3F" w:rsidRPr="00090E05" w:rsidRDefault="00587C3F" w:rsidP="00154ED6">
            <w:pPr>
              <w:jc w:val="center"/>
            </w:pPr>
            <w:r w:rsidRPr="00090E05">
              <w:t>4</w:t>
            </w:r>
          </w:p>
        </w:tc>
        <w:tc>
          <w:tcPr>
            <w:tcW w:w="445" w:type="pct"/>
            <w:tcBorders>
              <w:bottom w:val="single" w:sz="4" w:space="0" w:color="auto"/>
            </w:tcBorders>
            <w:shd w:val="clear" w:color="auto" w:fill="FFFF00"/>
            <w:noWrap/>
          </w:tcPr>
          <w:p w14:paraId="3E133161" w14:textId="77777777" w:rsidR="00587C3F" w:rsidRDefault="00587C3F" w:rsidP="00154ED6">
            <w:pPr>
              <w:jc w:val="center"/>
            </w:pPr>
            <w:r w:rsidRPr="00090E05">
              <w:t>4</w:t>
            </w:r>
          </w:p>
        </w:tc>
      </w:tr>
      <w:tr w:rsidR="00587C3F" w14:paraId="2294FC3B"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val="restart"/>
          </w:tcPr>
          <w:p w14:paraId="7C6BFB81" w14:textId="77777777" w:rsidR="00587C3F" w:rsidRPr="00114103" w:rsidRDefault="00587C3F" w:rsidP="00154ED6">
            <w:pPr>
              <w:keepLines/>
              <w:spacing w:before="40" w:after="40" w:line="200" w:lineRule="atLeast"/>
              <w:rPr>
                <w:rFonts w:eastAsia="Times New Roman"/>
                <w:iCs/>
                <w:color w:val="595959" w:themeColor="text1" w:themeTint="A6"/>
                <w:szCs w:val="17"/>
              </w:rPr>
            </w:pPr>
            <w:r w:rsidRPr="008F192B">
              <w:rPr>
                <w:rFonts w:ascii="Arial" w:hAnsi="Arial" w:cs="Arial"/>
                <w:color w:val="595959" w:themeColor="text1" w:themeTint="A6"/>
                <w:sz w:val="16"/>
                <w:szCs w:val="16"/>
              </w:rPr>
              <w:t>PACER Plus Support</w:t>
            </w:r>
          </w:p>
        </w:tc>
        <w:tc>
          <w:tcPr>
            <w:tcW w:w="712" w:type="pct"/>
          </w:tcPr>
          <w:p w14:paraId="559C6FFC" w14:textId="77777777" w:rsidR="00587C3F"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$29m</w:t>
            </w:r>
          </w:p>
          <w:p w14:paraId="6D81001E" w14:textId="77777777" w:rsidR="00587C3F" w:rsidRPr="00FD46B5"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2007-2022</w:t>
            </w:r>
          </w:p>
        </w:tc>
        <w:tc>
          <w:tcPr>
            <w:tcW w:w="449" w:type="pct"/>
          </w:tcPr>
          <w:p w14:paraId="08EE7C7B"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2019 AQC</w:t>
            </w:r>
          </w:p>
        </w:tc>
        <w:tc>
          <w:tcPr>
            <w:tcW w:w="451" w:type="pct"/>
            <w:shd w:val="clear" w:color="auto" w:fill="FFFF00"/>
            <w:noWrap/>
          </w:tcPr>
          <w:p w14:paraId="402A3EA5" w14:textId="77777777" w:rsidR="00587C3F" w:rsidRPr="00090E05" w:rsidRDefault="00587C3F" w:rsidP="00154ED6">
            <w:pPr>
              <w:jc w:val="center"/>
            </w:pPr>
            <w:r>
              <w:t>4</w:t>
            </w:r>
          </w:p>
        </w:tc>
        <w:tc>
          <w:tcPr>
            <w:tcW w:w="449" w:type="pct"/>
            <w:shd w:val="clear" w:color="auto" w:fill="FFFF00"/>
            <w:noWrap/>
          </w:tcPr>
          <w:p w14:paraId="2FB2101E" w14:textId="77777777" w:rsidR="00587C3F" w:rsidRPr="00090E05" w:rsidRDefault="00587C3F" w:rsidP="00154ED6">
            <w:pPr>
              <w:jc w:val="center"/>
            </w:pPr>
            <w:r>
              <w:t>4</w:t>
            </w:r>
          </w:p>
        </w:tc>
        <w:tc>
          <w:tcPr>
            <w:tcW w:w="452" w:type="pct"/>
            <w:shd w:val="clear" w:color="auto" w:fill="auto"/>
            <w:noWrap/>
          </w:tcPr>
          <w:p w14:paraId="5D211002" w14:textId="77777777" w:rsidR="00587C3F" w:rsidRPr="00090E05" w:rsidRDefault="00587C3F" w:rsidP="00154ED6">
            <w:pPr>
              <w:jc w:val="center"/>
            </w:pPr>
          </w:p>
        </w:tc>
        <w:tc>
          <w:tcPr>
            <w:tcW w:w="449" w:type="pct"/>
            <w:shd w:val="clear" w:color="auto" w:fill="FFFF00"/>
            <w:noWrap/>
          </w:tcPr>
          <w:p w14:paraId="58701702" w14:textId="77777777" w:rsidR="00587C3F" w:rsidRPr="00090E05" w:rsidRDefault="00587C3F" w:rsidP="00154ED6">
            <w:pPr>
              <w:jc w:val="center"/>
            </w:pPr>
            <w:r>
              <w:t>4</w:t>
            </w:r>
          </w:p>
        </w:tc>
        <w:tc>
          <w:tcPr>
            <w:tcW w:w="452" w:type="pct"/>
            <w:shd w:val="clear" w:color="auto" w:fill="auto"/>
            <w:noWrap/>
          </w:tcPr>
          <w:p w14:paraId="5F2F9259" w14:textId="77777777" w:rsidR="00587C3F" w:rsidRPr="00090E05" w:rsidRDefault="00587C3F" w:rsidP="00154ED6">
            <w:pPr>
              <w:jc w:val="center"/>
            </w:pPr>
          </w:p>
        </w:tc>
        <w:tc>
          <w:tcPr>
            <w:tcW w:w="445" w:type="pct"/>
            <w:shd w:val="clear" w:color="auto" w:fill="auto"/>
            <w:noWrap/>
          </w:tcPr>
          <w:p w14:paraId="3F0E4C61" w14:textId="77777777" w:rsidR="00587C3F" w:rsidRPr="00090E05" w:rsidRDefault="00587C3F" w:rsidP="00154ED6">
            <w:pPr>
              <w:jc w:val="center"/>
            </w:pPr>
          </w:p>
        </w:tc>
      </w:tr>
      <w:tr w:rsidR="00587C3F" w14:paraId="5035F914" w14:textId="77777777" w:rsidTr="000672A5">
        <w:trPr>
          <w:cnfStyle w:val="000000010000" w:firstRow="0" w:lastRow="0" w:firstColumn="0" w:lastColumn="0" w:oddVBand="0" w:evenVBand="0" w:oddHBand="0" w:evenHBand="1" w:firstRowFirstColumn="0" w:firstRowLastColumn="0" w:lastRowFirstColumn="0" w:lastRowLastColumn="0"/>
          <w:trHeight w:val="284"/>
        </w:trPr>
        <w:tc>
          <w:tcPr>
            <w:tcW w:w="981" w:type="pct"/>
            <w:vMerge/>
            <w:tcBorders>
              <w:bottom w:val="single" w:sz="4" w:space="0" w:color="auto"/>
            </w:tcBorders>
          </w:tcPr>
          <w:p w14:paraId="489D38DA" w14:textId="77777777" w:rsidR="00587C3F" w:rsidRPr="00114103" w:rsidRDefault="00587C3F" w:rsidP="00154ED6">
            <w:pPr>
              <w:keepLines/>
              <w:spacing w:before="40" w:after="40" w:line="200" w:lineRule="atLeast"/>
              <w:rPr>
                <w:rFonts w:eastAsia="Times New Roman"/>
                <w:iCs/>
                <w:color w:val="595959" w:themeColor="text1" w:themeTint="A6"/>
                <w:szCs w:val="17"/>
              </w:rPr>
            </w:pPr>
          </w:p>
        </w:tc>
        <w:tc>
          <w:tcPr>
            <w:tcW w:w="712" w:type="pct"/>
            <w:tcBorders>
              <w:bottom w:val="single" w:sz="4" w:space="0" w:color="auto"/>
            </w:tcBorders>
          </w:tcPr>
          <w:p w14:paraId="529ADFBB" w14:textId="77777777" w:rsidR="00587C3F" w:rsidRPr="00FD46B5" w:rsidRDefault="00587C3F" w:rsidP="00154ED6">
            <w:pPr>
              <w:keepLines/>
              <w:spacing w:before="40" w:after="40" w:line="200" w:lineRule="atLeast"/>
              <w:rPr>
                <w:rFonts w:eastAsia="Times New Roman"/>
                <w:iCs/>
                <w:color w:val="595959" w:themeColor="text1" w:themeTint="A6"/>
                <w:szCs w:val="17"/>
              </w:rPr>
            </w:pPr>
          </w:p>
        </w:tc>
        <w:tc>
          <w:tcPr>
            <w:tcW w:w="449" w:type="pct"/>
            <w:tcBorders>
              <w:bottom w:val="single" w:sz="4" w:space="0" w:color="auto"/>
            </w:tcBorders>
          </w:tcPr>
          <w:p w14:paraId="1A85EF4A"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tcBorders>
              <w:bottom w:val="single" w:sz="4" w:space="0" w:color="auto"/>
            </w:tcBorders>
            <w:shd w:val="clear" w:color="auto" w:fill="92D050"/>
            <w:noWrap/>
          </w:tcPr>
          <w:p w14:paraId="1F39A202" w14:textId="77777777" w:rsidR="00587C3F" w:rsidRPr="00090E05" w:rsidRDefault="00587C3F" w:rsidP="00154ED6">
            <w:pPr>
              <w:jc w:val="center"/>
            </w:pPr>
            <w:r w:rsidRPr="00A25158">
              <w:t>4</w:t>
            </w:r>
          </w:p>
        </w:tc>
        <w:tc>
          <w:tcPr>
            <w:tcW w:w="449" w:type="pct"/>
            <w:tcBorders>
              <w:bottom w:val="single" w:sz="4" w:space="0" w:color="auto"/>
            </w:tcBorders>
            <w:shd w:val="clear" w:color="auto" w:fill="FFFF00"/>
            <w:noWrap/>
          </w:tcPr>
          <w:p w14:paraId="0108DC14" w14:textId="77777777" w:rsidR="00587C3F" w:rsidRPr="00090E05" w:rsidRDefault="00587C3F" w:rsidP="00154ED6">
            <w:pPr>
              <w:jc w:val="center"/>
            </w:pPr>
            <w:r w:rsidRPr="00A25158">
              <w:t>4</w:t>
            </w:r>
          </w:p>
        </w:tc>
        <w:tc>
          <w:tcPr>
            <w:tcW w:w="452" w:type="pct"/>
            <w:tcBorders>
              <w:bottom w:val="single" w:sz="4" w:space="0" w:color="auto"/>
            </w:tcBorders>
            <w:shd w:val="clear" w:color="auto" w:fill="92D050"/>
            <w:noWrap/>
          </w:tcPr>
          <w:p w14:paraId="4BEFAB54" w14:textId="77777777" w:rsidR="00587C3F" w:rsidRPr="00090E05" w:rsidRDefault="00587C3F" w:rsidP="00154ED6">
            <w:pPr>
              <w:jc w:val="center"/>
            </w:pPr>
            <w:r w:rsidRPr="00A25158">
              <w:t>5</w:t>
            </w:r>
          </w:p>
        </w:tc>
        <w:tc>
          <w:tcPr>
            <w:tcW w:w="449" w:type="pct"/>
            <w:tcBorders>
              <w:bottom w:val="single" w:sz="4" w:space="0" w:color="auto"/>
            </w:tcBorders>
            <w:shd w:val="clear" w:color="auto" w:fill="FFC000"/>
            <w:noWrap/>
          </w:tcPr>
          <w:p w14:paraId="448C9AF8" w14:textId="77777777" w:rsidR="00587C3F" w:rsidRPr="00090E05" w:rsidRDefault="00587C3F" w:rsidP="00154ED6">
            <w:pPr>
              <w:jc w:val="center"/>
            </w:pPr>
            <w:r w:rsidRPr="00A25158">
              <w:t>3</w:t>
            </w:r>
          </w:p>
        </w:tc>
        <w:tc>
          <w:tcPr>
            <w:tcW w:w="452" w:type="pct"/>
            <w:tcBorders>
              <w:bottom w:val="single" w:sz="4" w:space="0" w:color="auto"/>
            </w:tcBorders>
            <w:shd w:val="clear" w:color="auto" w:fill="FFC000"/>
            <w:noWrap/>
          </w:tcPr>
          <w:p w14:paraId="6121FF26" w14:textId="77777777" w:rsidR="00587C3F" w:rsidRPr="00090E05" w:rsidRDefault="00587C3F" w:rsidP="00154ED6">
            <w:pPr>
              <w:jc w:val="center"/>
            </w:pPr>
            <w:r w:rsidRPr="00A25158">
              <w:t>3</w:t>
            </w:r>
          </w:p>
        </w:tc>
        <w:tc>
          <w:tcPr>
            <w:tcW w:w="445" w:type="pct"/>
            <w:tcBorders>
              <w:bottom w:val="single" w:sz="4" w:space="0" w:color="auto"/>
            </w:tcBorders>
            <w:shd w:val="clear" w:color="auto" w:fill="FFFF00"/>
            <w:noWrap/>
          </w:tcPr>
          <w:p w14:paraId="70463396" w14:textId="77777777" w:rsidR="00587C3F" w:rsidRPr="00090E05" w:rsidRDefault="00587C3F" w:rsidP="00154ED6">
            <w:pPr>
              <w:jc w:val="center"/>
            </w:pPr>
            <w:r w:rsidRPr="00A25158">
              <w:t>4</w:t>
            </w:r>
          </w:p>
        </w:tc>
      </w:tr>
      <w:tr w:rsidR="00587C3F" w:rsidRPr="00A12654" w14:paraId="1B89E098"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val="restart"/>
          </w:tcPr>
          <w:p w14:paraId="41A14A35" w14:textId="77777777" w:rsidR="00587C3F" w:rsidRPr="00114103" w:rsidRDefault="00587C3F" w:rsidP="00154ED6">
            <w:pPr>
              <w:rPr>
                <w:rFonts w:ascii="Arial" w:hAnsi="Arial" w:cs="Arial"/>
                <w:color w:val="595959" w:themeColor="text1" w:themeTint="A6"/>
                <w:sz w:val="16"/>
                <w:szCs w:val="16"/>
              </w:rPr>
            </w:pPr>
            <w:r w:rsidRPr="000D61D6">
              <w:rPr>
                <w:rFonts w:ascii="Arial" w:hAnsi="Arial" w:cs="Arial"/>
                <w:color w:val="595959" w:themeColor="text1" w:themeTint="A6"/>
                <w:sz w:val="16"/>
                <w:szCs w:val="16"/>
              </w:rPr>
              <w:t>UNDP Pacific Financial Inclusion Programme</w:t>
            </w:r>
          </w:p>
        </w:tc>
        <w:tc>
          <w:tcPr>
            <w:tcW w:w="712" w:type="pct"/>
            <w:vMerge w:val="restart"/>
          </w:tcPr>
          <w:p w14:paraId="63A8BA34" w14:textId="77777777" w:rsidR="00587C3F"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$29m</w:t>
            </w:r>
          </w:p>
          <w:p w14:paraId="5AFC4CC2" w14:textId="77777777" w:rsidR="00587C3F" w:rsidRPr="00B91E1E"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2009-2020</w:t>
            </w:r>
          </w:p>
        </w:tc>
        <w:tc>
          <w:tcPr>
            <w:tcW w:w="449" w:type="pct"/>
          </w:tcPr>
          <w:p w14:paraId="1C198F96"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2019 AQC</w:t>
            </w:r>
          </w:p>
        </w:tc>
        <w:tc>
          <w:tcPr>
            <w:tcW w:w="451" w:type="pct"/>
            <w:shd w:val="clear" w:color="auto" w:fill="92D050"/>
            <w:noWrap/>
          </w:tcPr>
          <w:p w14:paraId="1BA6308E" w14:textId="77777777" w:rsidR="00587C3F" w:rsidRPr="00A12654" w:rsidRDefault="00587C3F" w:rsidP="00154ED6">
            <w:pPr>
              <w:jc w:val="center"/>
            </w:pPr>
            <w:r w:rsidRPr="00194926">
              <w:t>5</w:t>
            </w:r>
          </w:p>
        </w:tc>
        <w:tc>
          <w:tcPr>
            <w:tcW w:w="449" w:type="pct"/>
            <w:shd w:val="clear" w:color="auto" w:fill="FFFF00"/>
            <w:noWrap/>
          </w:tcPr>
          <w:p w14:paraId="51A180DD" w14:textId="77777777" w:rsidR="00587C3F" w:rsidRPr="00A12654" w:rsidRDefault="00587C3F" w:rsidP="00154ED6">
            <w:pPr>
              <w:jc w:val="center"/>
            </w:pPr>
            <w:r w:rsidRPr="00194926">
              <w:t>4</w:t>
            </w:r>
          </w:p>
        </w:tc>
        <w:tc>
          <w:tcPr>
            <w:tcW w:w="452" w:type="pct"/>
            <w:shd w:val="clear" w:color="auto" w:fill="auto"/>
            <w:noWrap/>
          </w:tcPr>
          <w:p w14:paraId="3BD990DA" w14:textId="77777777" w:rsidR="00587C3F" w:rsidRPr="00A12654" w:rsidRDefault="00587C3F" w:rsidP="00154ED6">
            <w:pPr>
              <w:jc w:val="center"/>
            </w:pPr>
            <w:r w:rsidRPr="00194926">
              <w:t> </w:t>
            </w:r>
          </w:p>
        </w:tc>
        <w:tc>
          <w:tcPr>
            <w:tcW w:w="449" w:type="pct"/>
            <w:shd w:val="clear" w:color="auto" w:fill="FFFF00"/>
            <w:noWrap/>
          </w:tcPr>
          <w:p w14:paraId="2496CA9F" w14:textId="77777777" w:rsidR="00587C3F" w:rsidRPr="00A12654" w:rsidRDefault="00587C3F" w:rsidP="00154ED6">
            <w:pPr>
              <w:jc w:val="center"/>
            </w:pPr>
            <w:r w:rsidRPr="00194926">
              <w:t>4</w:t>
            </w:r>
          </w:p>
        </w:tc>
        <w:tc>
          <w:tcPr>
            <w:tcW w:w="452" w:type="pct"/>
            <w:shd w:val="clear" w:color="auto" w:fill="auto"/>
            <w:noWrap/>
          </w:tcPr>
          <w:p w14:paraId="47E7FDEB" w14:textId="77777777" w:rsidR="00587C3F" w:rsidRPr="00A12654" w:rsidRDefault="00587C3F" w:rsidP="00154ED6">
            <w:pPr>
              <w:jc w:val="center"/>
            </w:pPr>
          </w:p>
        </w:tc>
        <w:tc>
          <w:tcPr>
            <w:tcW w:w="445" w:type="pct"/>
            <w:shd w:val="clear" w:color="auto" w:fill="auto"/>
            <w:noWrap/>
          </w:tcPr>
          <w:p w14:paraId="2A04F724" w14:textId="77777777" w:rsidR="00587C3F" w:rsidRPr="00A12654" w:rsidRDefault="00587C3F" w:rsidP="00154ED6">
            <w:pPr>
              <w:jc w:val="center"/>
            </w:pPr>
          </w:p>
        </w:tc>
      </w:tr>
      <w:tr w:rsidR="00587C3F" w14:paraId="3F315926"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tcBorders>
              <w:bottom w:val="single" w:sz="4" w:space="0" w:color="auto"/>
            </w:tcBorders>
          </w:tcPr>
          <w:p w14:paraId="1379E9C2" w14:textId="77777777" w:rsidR="00587C3F" w:rsidRPr="00114103"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712" w:type="pct"/>
            <w:vMerge/>
            <w:tcBorders>
              <w:bottom w:val="single" w:sz="4" w:space="0" w:color="auto"/>
            </w:tcBorders>
          </w:tcPr>
          <w:p w14:paraId="47097657"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449" w:type="pct"/>
            <w:tcBorders>
              <w:bottom w:val="single" w:sz="4" w:space="0" w:color="auto"/>
            </w:tcBorders>
          </w:tcPr>
          <w:p w14:paraId="510DD0A7"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tcBorders>
              <w:bottom w:val="single" w:sz="4" w:space="0" w:color="auto"/>
            </w:tcBorders>
            <w:shd w:val="clear" w:color="auto" w:fill="92D050"/>
            <w:noWrap/>
          </w:tcPr>
          <w:p w14:paraId="1A0A89D6" w14:textId="77777777" w:rsidR="00587C3F" w:rsidRPr="00A12654" w:rsidRDefault="00587C3F" w:rsidP="00154ED6">
            <w:pPr>
              <w:jc w:val="center"/>
            </w:pPr>
            <w:r w:rsidRPr="00A12654">
              <w:t>5</w:t>
            </w:r>
          </w:p>
        </w:tc>
        <w:tc>
          <w:tcPr>
            <w:tcW w:w="449" w:type="pct"/>
            <w:tcBorders>
              <w:bottom w:val="single" w:sz="4" w:space="0" w:color="auto"/>
            </w:tcBorders>
            <w:shd w:val="clear" w:color="auto" w:fill="FFFF00"/>
            <w:noWrap/>
          </w:tcPr>
          <w:p w14:paraId="21569130" w14:textId="77777777" w:rsidR="00587C3F" w:rsidRPr="00A12654" w:rsidRDefault="00587C3F" w:rsidP="00154ED6">
            <w:pPr>
              <w:jc w:val="center"/>
            </w:pPr>
            <w:r w:rsidRPr="00A12654">
              <w:t>4</w:t>
            </w:r>
          </w:p>
        </w:tc>
        <w:tc>
          <w:tcPr>
            <w:tcW w:w="452" w:type="pct"/>
            <w:tcBorders>
              <w:bottom w:val="single" w:sz="4" w:space="0" w:color="auto"/>
            </w:tcBorders>
            <w:shd w:val="clear" w:color="auto" w:fill="92D050"/>
            <w:noWrap/>
          </w:tcPr>
          <w:p w14:paraId="110CABFE" w14:textId="77777777" w:rsidR="00587C3F" w:rsidRPr="00A12654" w:rsidRDefault="00587C3F" w:rsidP="00154ED6">
            <w:pPr>
              <w:jc w:val="center"/>
            </w:pPr>
            <w:r w:rsidRPr="00A12654">
              <w:t>5</w:t>
            </w:r>
          </w:p>
        </w:tc>
        <w:tc>
          <w:tcPr>
            <w:tcW w:w="449" w:type="pct"/>
            <w:tcBorders>
              <w:bottom w:val="single" w:sz="4" w:space="0" w:color="auto"/>
            </w:tcBorders>
            <w:shd w:val="clear" w:color="auto" w:fill="FFFF00"/>
            <w:noWrap/>
          </w:tcPr>
          <w:p w14:paraId="2E2EE2AD" w14:textId="77777777" w:rsidR="00587C3F" w:rsidRPr="00A12654" w:rsidRDefault="00587C3F" w:rsidP="00154ED6">
            <w:pPr>
              <w:jc w:val="center"/>
            </w:pPr>
            <w:r w:rsidRPr="00A12654">
              <w:t>4</w:t>
            </w:r>
          </w:p>
        </w:tc>
        <w:tc>
          <w:tcPr>
            <w:tcW w:w="452" w:type="pct"/>
            <w:tcBorders>
              <w:bottom w:val="single" w:sz="4" w:space="0" w:color="auto"/>
            </w:tcBorders>
            <w:shd w:val="clear" w:color="auto" w:fill="FFFF00"/>
            <w:noWrap/>
          </w:tcPr>
          <w:p w14:paraId="57BAD18D" w14:textId="77777777" w:rsidR="00587C3F" w:rsidRPr="00A12654" w:rsidRDefault="00587C3F" w:rsidP="00154ED6">
            <w:pPr>
              <w:jc w:val="center"/>
            </w:pPr>
            <w:r w:rsidRPr="00A12654">
              <w:t>4</w:t>
            </w:r>
          </w:p>
        </w:tc>
        <w:tc>
          <w:tcPr>
            <w:tcW w:w="445" w:type="pct"/>
            <w:tcBorders>
              <w:bottom w:val="single" w:sz="4" w:space="0" w:color="auto"/>
            </w:tcBorders>
            <w:shd w:val="clear" w:color="auto" w:fill="FFFF00"/>
            <w:noWrap/>
          </w:tcPr>
          <w:p w14:paraId="3505EBBC" w14:textId="77777777" w:rsidR="00587C3F" w:rsidRDefault="00587C3F" w:rsidP="00154ED6">
            <w:pPr>
              <w:jc w:val="center"/>
            </w:pPr>
            <w:r w:rsidRPr="00A12654">
              <w:t>4</w:t>
            </w:r>
          </w:p>
        </w:tc>
      </w:tr>
      <w:tr w:rsidR="00587C3F" w:rsidRPr="00E52F21" w14:paraId="070E2DF2"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val="restart"/>
          </w:tcPr>
          <w:p w14:paraId="6335D614" w14:textId="77777777" w:rsidR="00587C3F" w:rsidRPr="00114103" w:rsidRDefault="00587C3F" w:rsidP="00154ED6">
            <w:pPr>
              <w:rPr>
                <w:rFonts w:ascii="Arial" w:hAnsi="Arial" w:cs="Arial"/>
                <w:color w:val="595959" w:themeColor="text1" w:themeTint="A6"/>
                <w:sz w:val="16"/>
                <w:szCs w:val="16"/>
              </w:rPr>
            </w:pPr>
            <w:r w:rsidRPr="000D61D6">
              <w:rPr>
                <w:rFonts w:ascii="Arial" w:hAnsi="Arial" w:cs="Arial"/>
                <w:color w:val="595959" w:themeColor="text1" w:themeTint="A6"/>
                <w:sz w:val="16"/>
                <w:szCs w:val="16"/>
              </w:rPr>
              <w:t>University of the South Pacific Partnership</w:t>
            </w:r>
          </w:p>
        </w:tc>
        <w:tc>
          <w:tcPr>
            <w:tcW w:w="712" w:type="pct"/>
            <w:vMerge w:val="restart"/>
          </w:tcPr>
          <w:p w14:paraId="23629DDA" w14:textId="77777777" w:rsidR="00587C3F" w:rsidRDefault="00171B90"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$84</w:t>
            </w:r>
            <w:r w:rsidR="00587C3F" w:rsidRPr="00F738F8">
              <w:rPr>
                <w:rFonts w:asciiTheme="minorHAnsi" w:eastAsia="Times New Roman" w:hAnsiTheme="minorHAnsi"/>
                <w:iCs/>
                <w:color w:val="595959" w:themeColor="text1" w:themeTint="A6"/>
                <w:szCs w:val="17"/>
                <w:lang w:eastAsia="en-US"/>
              </w:rPr>
              <w:t>m</w:t>
            </w:r>
          </w:p>
          <w:p w14:paraId="194E6CD8" w14:textId="77777777" w:rsidR="00587C3F" w:rsidRPr="00B91E1E" w:rsidRDefault="00171B90"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2019</w:t>
            </w:r>
            <w:r w:rsidR="00587C3F">
              <w:rPr>
                <w:rFonts w:asciiTheme="minorHAnsi" w:eastAsia="Times New Roman" w:hAnsiTheme="minorHAnsi"/>
                <w:iCs/>
                <w:color w:val="595959" w:themeColor="text1" w:themeTint="A6"/>
                <w:szCs w:val="17"/>
                <w:lang w:eastAsia="en-US"/>
              </w:rPr>
              <w:t>-2025</w:t>
            </w:r>
          </w:p>
        </w:tc>
        <w:tc>
          <w:tcPr>
            <w:tcW w:w="449" w:type="pct"/>
          </w:tcPr>
          <w:p w14:paraId="70B25A3B"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2019 AQC</w:t>
            </w:r>
          </w:p>
        </w:tc>
        <w:tc>
          <w:tcPr>
            <w:tcW w:w="451" w:type="pct"/>
            <w:shd w:val="clear" w:color="auto" w:fill="92D050"/>
            <w:noWrap/>
          </w:tcPr>
          <w:p w14:paraId="053C7961" w14:textId="77777777" w:rsidR="00587C3F" w:rsidRPr="00E52F21" w:rsidRDefault="00587C3F" w:rsidP="00154ED6">
            <w:pPr>
              <w:jc w:val="center"/>
            </w:pPr>
            <w:r w:rsidRPr="00194926">
              <w:t>5</w:t>
            </w:r>
          </w:p>
        </w:tc>
        <w:tc>
          <w:tcPr>
            <w:tcW w:w="449" w:type="pct"/>
            <w:shd w:val="clear" w:color="auto" w:fill="FFFF00"/>
            <w:noWrap/>
          </w:tcPr>
          <w:p w14:paraId="7C094019" w14:textId="77777777" w:rsidR="00587C3F" w:rsidRPr="00E52F21" w:rsidRDefault="00587C3F" w:rsidP="00154ED6">
            <w:pPr>
              <w:jc w:val="center"/>
            </w:pPr>
            <w:r w:rsidRPr="00194926">
              <w:t>4</w:t>
            </w:r>
          </w:p>
        </w:tc>
        <w:tc>
          <w:tcPr>
            <w:tcW w:w="452" w:type="pct"/>
            <w:shd w:val="clear" w:color="auto" w:fill="auto"/>
            <w:noWrap/>
          </w:tcPr>
          <w:p w14:paraId="09ECF253" w14:textId="77777777" w:rsidR="00587C3F" w:rsidRPr="00E52F21" w:rsidRDefault="00587C3F" w:rsidP="00154ED6">
            <w:pPr>
              <w:jc w:val="center"/>
            </w:pPr>
            <w:r w:rsidRPr="00194926">
              <w:t> </w:t>
            </w:r>
          </w:p>
        </w:tc>
        <w:tc>
          <w:tcPr>
            <w:tcW w:w="449" w:type="pct"/>
            <w:shd w:val="clear" w:color="auto" w:fill="FFFF00"/>
            <w:noWrap/>
          </w:tcPr>
          <w:p w14:paraId="62191BB6" w14:textId="77777777" w:rsidR="00587C3F" w:rsidRPr="00E52F21" w:rsidRDefault="00587C3F" w:rsidP="00154ED6">
            <w:pPr>
              <w:jc w:val="center"/>
            </w:pPr>
            <w:r w:rsidRPr="00194926">
              <w:t>4</w:t>
            </w:r>
          </w:p>
        </w:tc>
        <w:tc>
          <w:tcPr>
            <w:tcW w:w="452" w:type="pct"/>
            <w:shd w:val="clear" w:color="auto" w:fill="auto"/>
            <w:noWrap/>
          </w:tcPr>
          <w:p w14:paraId="784912D8" w14:textId="77777777" w:rsidR="00587C3F" w:rsidRPr="00E52F21" w:rsidRDefault="00587C3F" w:rsidP="00154ED6">
            <w:pPr>
              <w:jc w:val="center"/>
            </w:pPr>
          </w:p>
        </w:tc>
        <w:tc>
          <w:tcPr>
            <w:tcW w:w="445" w:type="pct"/>
            <w:shd w:val="clear" w:color="auto" w:fill="auto"/>
            <w:noWrap/>
          </w:tcPr>
          <w:p w14:paraId="2664E0BB" w14:textId="77777777" w:rsidR="00587C3F" w:rsidRPr="00E52F21" w:rsidRDefault="00587C3F" w:rsidP="00154ED6">
            <w:pPr>
              <w:jc w:val="center"/>
            </w:pPr>
          </w:p>
        </w:tc>
      </w:tr>
      <w:tr w:rsidR="00587C3F" w14:paraId="1A64795F"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tcBorders>
              <w:bottom w:val="single" w:sz="4" w:space="0" w:color="auto"/>
            </w:tcBorders>
          </w:tcPr>
          <w:p w14:paraId="46053F62" w14:textId="77777777" w:rsidR="00587C3F" w:rsidRPr="00114103"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712" w:type="pct"/>
            <w:vMerge/>
            <w:tcBorders>
              <w:bottom w:val="single" w:sz="4" w:space="0" w:color="auto"/>
            </w:tcBorders>
          </w:tcPr>
          <w:p w14:paraId="525D5B5B"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449" w:type="pct"/>
            <w:tcBorders>
              <w:bottom w:val="single" w:sz="4" w:space="0" w:color="auto"/>
            </w:tcBorders>
          </w:tcPr>
          <w:p w14:paraId="62869A35"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tcBorders>
              <w:bottom w:val="single" w:sz="4" w:space="0" w:color="auto"/>
            </w:tcBorders>
            <w:shd w:val="clear" w:color="auto" w:fill="92D050"/>
            <w:noWrap/>
          </w:tcPr>
          <w:p w14:paraId="60D6CF86" w14:textId="77777777" w:rsidR="00587C3F" w:rsidRPr="00E52F21" w:rsidRDefault="00587C3F" w:rsidP="00154ED6">
            <w:pPr>
              <w:jc w:val="center"/>
            </w:pPr>
            <w:r w:rsidRPr="00E52F21">
              <w:t>5</w:t>
            </w:r>
          </w:p>
        </w:tc>
        <w:tc>
          <w:tcPr>
            <w:tcW w:w="449" w:type="pct"/>
            <w:tcBorders>
              <w:bottom w:val="single" w:sz="4" w:space="0" w:color="auto"/>
            </w:tcBorders>
            <w:shd w:val="clear" w:color="auto" w:fill="92D050"/>
            <w:noWrap/>
          </w:tcPr>
          <w:p w14:paraId="2BE43394" w14:textId="77777777" w:rsidR="00587C3F" w:rsidRPr="00E52F21" w:rsidRDefault="00587C3F" w:rsidP="00154ED6">
            <w:pPr>
              <w:jc w:val="center"/>
            </w:pPr>
            <w:r w:rsidRPr="00E52F21">
              <w:t>5</w:t>
            </w:r>
          </w:p>
        </w:tc>
        <w:tc>
          <w:tcPr>
            <w:tcW w:w="452" w:type="pct"/>
            <w:tcBorders>
              <w:bottom w:val="single" w:sz="4" w:space="0" w:color="auto"/>
            </w:tcBorders>
            <w:shd w:val="clear" w:color="auto" w:fill="92D050"/>
            <w:noWrap/>
          </w:tcPr>
          <w:p w14:paraId="6C9B7DD1" w14:textId="77777777" w:rsidR="00587C3F" w:rsidRPr="00E52F21" w:rsidRDefault="00587C3F" w:rsidP="00154ED6">
            <w:pPr>
              <w:jc w:val="center"/>
            </w:pPr>
            <w:r w:rsidRPr="00E52F21">
              <w:t>5</w:t>
            </w:r>
          </w:p>
        </w:tc>
        <w:tc>
          <w:tcPr>
            <w:tcW w:w="449" w:type="pct"/>
            <w:tcBorders>
              <w:bottom w:val="single" w:sz="4" w:space="0" w:color="auto"/>
            </w:tcBorders>
            <w:shd w:val="clear" w:color="auto" w:fill="FFFF00"/>
            <w:noWrap/>
          </w:tcPr>
          <w:p w14:paraId="2436BEF4" w14:textId="77777777" w:rsidR="00587C3F" w:rsidRPr="00E52F21" w:rsidRDefault="00587C3F" w:rsidP="00154ED6">
            <w:pPr>
              <w:jc w:val="center"/>
            </w:pPr>
            <w:r w:rsidRPr="00E52F21">
              <w:t>4</w:t>
            </w:r>
          </w:p>
        </w:tc>
        <w:tc>
          <w:tcPr>
            <w:tcW w:w="452" w:type="pct"/>
            <w:tcBorders>
              <w:bottom w:val="single" w:sz="4" w:space="0" w:color="auto"/>
            </w:tcBorders>
            <w:shd w:val="clear" w:color="auto" w:fill="FFC000"/>
            <w:noWrap/>
          </w:tcPr>
          <w:p w14:paraId="63484C36" w14:textId="77777777" w:rsidR="00587C3F" w:rsidRPr="00E52F21" w:rsidRDefault="00587C3F" w:rsidP="00154ED6">
            <w:pPr>
              <w:jc w:val="center"/>
            </w:pPr>
            <w:r w:rsidRPr="00E52F21">
              <w:t>3</w:t>
            </w:r>
          </w:p>
        </w:tc>
        <w:tc>
          <w:tcPr>
            <w:tcW w:w="445" w:type="pct"/>
            <w:tcBorders>
              <w:bottom w:val="single" w:sz="4" w:space="0" w:color="auto"/>
            </w:tcBorders>
            <w:shd w:val="clear" w:color="auto" w:fill="92D050"/>
            <w:noWrap/>
          </w:tcPr>
          <w:p w14:paraId="67A0AEF2" w14:textId="77777777" w:rsidR="00587C3F" w:rsidRDefault="00587C3F" w:rsidP="00154ED6">
            <w:pPr>
              <w:jc w:val="center"/>
            </w:pPr>
            <w:r w:rsidRPr="00E52F21">
              <w:t>5</w:t>
            </w:r>
          </w:p>
        </w:tc>
      </w:tr>
      <w:tr w:rsidR="00587C3F" w14:paraId="2E8510AF"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val="restart"/>
          </w:tcPr>
          <w:p w14:paraId="1B90E3DE" w14:textId="77777777" w:rsidR="00587C3F" w:rsidRPr="00114103" w:rsidRDefault="00587C3F" w:rsidP="00154ED6">
            <w:pPr>
              <w:keepLines/>
              <w:spacing w:before="40" w:after="40" w:line="200" w:lineRule="atLeast"/>
              <w:rPr>
                <w:rFonts w:eastAsia="Times New Roman"/>
                <w:iCs/>
                <w:color w:val="595959" w:themeColor="text1" w:themeTint="A6"/>
                <w:szCs w:val="17"/>
              </w:rPr>
            </w:pPr>
            <w:r>
              <w:rPr>
                <w:rFonts w:eastAsia="Times New Roman"/>
                <w:iCs/>
                <w:color w:val="595959" w:themeColor="text1" w:themeTint="A6"/>
                <w:szCs w:val="17"/>
              </w:rPr>
              <w:t>DFAT-EQAP Partnership</w:t>
            </w:r>
          </w:p>
        </w:tc>
        <w:tc>
          <w:tcPr>
            <w:tcW w:w="712" w:type="pct"/>
          </w:tcPr>
          <w:p w14:paraId="20827186" w14:textId="77777777" w:rsidR="00587C3F" w:rsidRPr="0016615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sidRPr="00166155">
              <w:rPr>
                <w:rFonts w:asciiTheme="minorHAnsi" w:eastAsia="Times New Roman" w:hAnsiTheme="minorHAnsi"/>
                <w:iCs/>
                <w:color w:val="595959" w:themeColor="text1" w:themeTint="A6"/>
                <w:szCs w:val="17"/>
                <w:lang w:eastAsia="en-US"/>
              </w:rPr>
              <w:t>$15m</w:t>
            </w:r>
          </w:p>
          <w:p w14:paraId="4749EC29" w14:textId="77777777" w:rsidR="00587C3F" w:rsidRPr="00FD46B5" w:rsidRDefault="00587C3F" w:rsidP="00154ED6">
            <w:pPr>
              <w:keepLines/>
              <w:spacing w:before="40" w:after="40" w:line="200" w:lineRule="atLeast"/>
              <w:rPr>
                <w:rFonts w:eastAsia="Times New Roman"/>
                <w:iCs/>
                <w:color w:val="595959" w:themeColor="text1" w:themeTint="A6"/>
                <w:szCs w:val="17"/>
              </w:rPr>
            </w:pPr>
            <w:r w:rsidRPr="00166155">
              <w:rPr>
                <w:rFonts w:asciiTheme="minorHAnsi" w:eastAsia="Times New Roman" w:hAnsiTheme="minorHAnsi"/>
                <w:iCs/>
                <w:color w:val="595959" w:themeColor="text1" w:themeTint="A6"/>
                <w:szCs w:val="17"/>
                <w:lang w:eastAsia="en-US"/>
              </w:rPr>
              <w:t>2018-2023</w:t>
            </w:r>
          </w:p>
        </w:tc>
        <w:tc>
          <w:tcPr>
            <w:tcW w:w="449" w:type="pct"/>
          </w:tcPr>
          <w:p w14:paraId="79F5A97F"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2019 AQC</w:t>
            </w:r>
          </w:p>
        </w:tc>
        <w:tc>
          <w:tcPr>
            <w:tcW w:w="451" w:type="pct"/>
            <w:shd w:val="clear" w:color="auto" w:fill="92D050"/>
            <w:noWrap/>
          </w:tcPr>
          <w:p w14:paraId="60746DB6" w14:textId="77777777" w:rsidR="00587C3F" w:rsidRPr="00E52F21" w:rsidRDefault="00587C3F" w:rsidP="00154ED6">
            <w:pPr>
              <w:jc w:val="center"/>
            </w:pPr>
            <w:r>
              <w:t>5</w:t>
            </w:r>
          </w:p>
        </w:tc>
        <w:tc>
          <w:tcPr>
            <w:tcW w:w="449" w:type="pct"/>
            <w:shd w:val="clear" w:color="auto" w:fill="92D050"/>
            <w:noWrap/>
          </w:tcPr>
          <w:p w14:paraId="6DA1D3A1" w14:textId="77777777" w:rsidR="00587C3F" w:rsidRPr="00E52F21" w:rsidRDefault="00587C3F" w:rsidP="00154ED6">
            <w:pPr>
              <w:jc w:val="center"/>
            </w:pPr>
            <w:r>
              <w:t>5</w:t>
            </w:r>
          </w:p>
        </w:tc>
        <w:tc>
          <w:tcPr>
            <w:tcW w:w="452" w:type="pct"/>
            <w:shd w:val="clear" w:color="auto" w:fill="auto"/>
            <w:noWrap/>
          </w:tcPr>
          <w:p w14:paraId="7440B2A2" w14:textId="77777777" w:rsidR="00587C3F" w:rsidRPr="00E52F21" w:rsidRDefault="00587C3F" w:rsidP="00154ED6">
            <w:pPr>
              <w:jc w:val="center"/>
            </w:pPr>
          </w:p>
        </w:tc>
        <w:tc>
          <w:tcPr>
            <w:tcW w:w="449" w:type="pct"/>
            <w:shd w:val="clear" w:color="auto" w:fill="FFFF00"/>
            <w:noWrap/>
          </w:tcPr>
          <w:p w14:paraId="7111E776" w14:textId="77777777" w:rsidR="00587C3F" w:rsidRPr="00E52F21" w:rsidRDefault="00587C3F" w:rsidP="00154ED6">
            <w:pPr>
              <w:jc w:val="center"/>
            </w:pPr>
            <w:r>
              <w:t>4</w:t>
            </w:r>
          </w:p>
        </w:tc>
        <w:tc>
          <w:tcPr>
            <w:tcW w:w="452" w:type="pct"/>
            <w:shd w:val="clear" w:color="auto" w:fill="auto"/>
            <w:noWrap/>
          </w:tcPr>
          <w:p w14:paraId="56E98863" w14:textId="77777777" w:rsidR="00587C3F" w:rsidRPr="00E52F21" w:rsidRDefault="00587C3F" w:rsidP="00154ED6">
            <w:pPr>
              <w:jc w:val="center"/>
            </w:pPr>
          </w:p>
        </w:tc>
        <w:tc>
          <w:tcPr>
            <w:tcW w:w="445" w:type="pct"/>
            <w:shd w:val="clear" w:color="auto" w:fill="auto"/>
            <w:noWrap/>
          </w:tcPr>
          <w:p w14:paraId="582214CE" w14:textId="77777777" w:rsidR="00587C3F" w:rsidRPr="00E52F21" w:rsidRDefault="00587C3F" w:rsidP="00154ED6">
            <w:pPr>
              <w:jc w:val="center"/>
            </w:pPr>
          </w:p>
        </w:tc>
      </w:tr>
      <w:tr w:rsidR="00587C3F" w14:paraId="04C7FC80"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tcBorders>
              <w:bottom w:val="single" w:sz="4" w:space="0" w:color="auto"/>
            </w:tcBorders>
          </w:tcPr>
          <w:p w14:paraId="41DDC7FD" w14:textId="77777777" w:rsidR="00587C3F" w:rsidRPr="00114103" w:rsidRDefault="00587C3F" w:rsidP="00154ED6">
            <w:pPr>
              <w:keepLines/>
              <w:spacing w:before="40" w:after="40" w:line="200" w:lineRule="atLeast"/>
              <w:rPr>
                <w:rFonts w:eastAsia="Times New Roman"/>
                <w:iCs/>
                <w:color w:val="595959" w:themeColor="text1" w:themeTint="A6"/>
                <w:szCs w:val="17"/>
              </w:rPr>
            </w:pPr>
          </w:p>
        </w:tc>
        <w:tc>
          <w:tcPr>
            <w:tcW w:w="712" w:type="pct"/>
            <w:tcBorders>
              <w:bottom w:val="single" w:sz="4" w:space="0" w:color="auto"/>
            </w:tcBorders>
          </w:tcPr>
          <w:p w14:paraId="744E1A83" w14:textId="77777777" w:rsidR="00587C3F" w:rsidRPr="00FD46B5" w:rsidRDefault="00587C3F" w:rsidP="00154ED6">
            <w:pPr>
              <w:keepLines/>
              <w:spacing w:before="40" w:after="40" w:line="200" w:lineRule="atLeast"/>
              <w:rPr>
                <w:rFonts w:eastAsia="Times New Roman"/>
                <w:iCs/>
                <w:color w:val="595959" w:themeColor="text1" w:themeTint="A6"/>
                <w:szCs w:val="17"/>
              </w:rPr>
            </w:pPr>
          </w:p>
        </w:tc>
        <w:tc>
          <w:tcPr>
            <w:tcW w:w="449" w:type="pct"/>
            <w:tcBorders>
              <w:bottom w:val="single" w:sz="4" w:space="0" w:color="auto"/>
            </w:tcBorders>
          </w:tcPr>
          <w:p w14:paraId="735BF91D"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tcBorders>
              <w:bottom w:val="single" w:sz="4" w:space="0" w:color="auto"/>
            </w:tcBorders>
            <w:shd w:val="clear" w:color="auto" w:fill="auto"/>
            <w:noWrap/>
          </w:tcPr>
          <w:p w14:paraId="2A70D289" w14:textId="77777777" w:rsidR="00587C3F" w:rsidRPr="00E52F21" w:rsidRDefault="00587C3F" w:rsidP="00154ED6">
            <w:pPr>
              <w:jc w:val="center"/>
            </w:pPr>
            <w:r>
              <w:rPr>
                <w:rFonts w:asciiTheme="minorHAnsi" w:eastAsia="Times New Roman" w:hAnsiTheme="minorHAnsi"/>
                <w:iCs/>
                <w:color w:val="595959" w:themeColor="text1" w:themeTint="A6"/>
                <w:szCs w:val="17"/>
                <w:lang w:eastAsia="en-US"/>
              </w:rPr>
              <w:t>N/A</w:t>
            </w:r>
          </w:p>
        </w:tc>
        <w:tc>
          <w:tcPr>
            <w:tcW w:w="449" w:type="pct"/>
            <w:tcBorders>
              <w:bottom w:val="single" w:sz="4" w:space="0" w:color="auto"/>
            </w:tcBorders>
            <w:shd w:val="clear" w:color="auto" w:fill="auto"/>
            <w:noWrap/>
          </w:tcPr>
          <w:p w14:paraId="45499521" w14:textId="77777777" w:rsidR="00587C3F" w:rsidRPr="00E52F21" w:rsidRDefault="00587C3F" w:rsidP="00154ED6">
            <w:pPr>
              <w:jc w:val="center"/>
            </w:pPr>
            <w:r>
              <w:t>N/A</w:t>
            </w:r>
          </w:p>
        </w:tc>
        <w:tc>
          <w:tcPr>
            <w:tcW w:w="452" w:type="pct"/>
            <w:tcBorders>
              <w:bottom w:val="single" w:sz="4" w:space="0" w:color="auto"/>
            </w:tcBorders>
            <w:shd w:val="clear" w:color="auto" w:fill="auto"/>
            <w:noWrap/>
          </w:tcPr>
          <w:p w14:paraId="32EAF825" w14:textId="77777777" w:rsidR="00587C3F" w:rsidRPr="00E52F21" w:rsidRDefault="00587C3F" w:rsidP="00154ED6">
            <w:pPr>
              <w:jc w:val="center"/>
            </w:pPr>
            <w:r>
              <w:t>N/A</w:t>
            </w:r>
          </w:p>
        </w:tc>
        <w:tc>
          <w:tcPr>
            <w:tcW w:w="449" w:type="pct"/>
            <w:tcBorders>
              <w:bottom w:val="single" w:sz="4" w:space="0" w:color="auto"/>
            </w:tcBorders>
            <w:shd w:val="clear" w:color="auto" w:fill="auto"/>
            <w:noWrap/>
          </w:tcPr>
          <w:p w14:paraId="7B3E5F28" w14:textId="77777777" w:rsidR="00587C3F" w:rsidRPr="00E52F21" w:rsidRDefault="00587C3F" w:rsidP="00154ED6">
            <w:pPr>
              <w:jc w:val="center"/>
            </w:pPr>
            <w:r>
              <w:t>N/A</w:t>
            </w:r>
          </w:p>
        </w:tc>
        <w:tc>
          <w:tcPr>
            <w:tcW w:w="452" w:type="pct"/>
            <w:tcBorders>
              <w:bottom w:val="single" w:sz="4" w:space="0" w:color="auto"/>
            </w:tcBorders>
            <w:shd w:val="clear" w:color="auto" w:fill="auto"/>
            <w:noWrap/>
          </w:tcPr>
          <w:p w14:paraId="22D578D2" w14:textId="77777777" w:rsidR="00587C3F" w:rsidRPr="00E52F21" w:rsidRDefault="00587C3F" w:rsidP="00154ED6">
            <w:pPr>
              <w:jc w:val="center"/>
            </w:pPr>
            <w:r>
              <w:t>N/A</w:t>
            </w:r>
          </w:p>
        </w:tc>
        <w:tc>
          <w:tcPr>
            <w:tcW w:w="445" w:type="pct"/>
            <w:tcBorders>
              <w:bottom w:val="single" w:sz="4" w:space="0" w:color="auto"/>
            </w:tcBorders>
            <w:shd w:val="clear" w:color="auto" w:fill="auto"/>
            <w:noWrap/>
          </w:tcPr>
          <w:p w14:paraId="7288CA5B" w14:textId="77777777" w:rsidR="00587C3F" w:rsidRPr="00E52F21" w:rsidRDefault="00587C3F" w:rsidP="00154ED6">
            <w:pPr>
              <w:jc w:val="center"/>
            </w:pPr>
            <w:r>
              <w:t>N/A</w:t>
            </w:r>
          </w:p>
        </w:tc>
      </w:tr>
      <w:tr w:rsidR="00587C3F" w:rsidRPr="00820974" w14:paraId="402CA6ED"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val="restart"/>
          </w:tcPr>
          <w:p w14:paraId="072E5C4C" w14:textId="77777777" w:rsidR="00587C3F" w:rsidRPr="00114103" w:rsidRDefault="00587C3F" w:rsidP="00154ED6">
            <w:pPr>
              <w:rPr>
                <w:rFonts w:ascii="Arial" w:hAnsi="Arial" w:cs="Arial"/>
                <w:color w:val="595959" w:themeColor="text1" w:themeTint="A6"/>
                <w:sz w:val="16"/>
                <w:szCs w:val="16"/>
              </w:rPr>
            </w:pPr>
            <w:r w:rsidRPr="00661B68">
              <w:rPr>
                <w:rFonts w:ascii="Arial" w:hAnsi="Arial" w:cs="Arial"/>
                <w:color w:val="595959" w:themeColor="text1" w:themeTint="A6"/>
                <w:sz w:val="16"/>
                <w:szCs w:val="16"/>
              </w:rPr>
              <w:t>Fisheries Development Assistance in the Pacific</w:t>
            </w:r>
          </w:p>
        </w:tc>
        <w:tc>
          <w:tcPr>
            <w:tcW w:w="712" w:type="pct"/>
            <w:vMerge w:val="restart"/>
          </w:tcPr>
          <w:p w14:paraId="18978004" w14:textId="77777777" w:rsidR="00587C3F"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w:t>
            </w:r>
            <w:r w:rsidRPr="00B91E1E">
              <w:rPr>
                <w:rFonts w:asciiTheme="minorHAnsi" w:eastAsia="Times New Roman" w:hAnsiTheme="minorHAnsi"/>
                <w:iCs/>
                <w:color w:val="595959" w:themeColor="text1" w:themeTint="A6"/>
                <w:szCs w:val="17"/>
                <w:lang w:eastAsia="en-US"/>
              </w:rPr>
              <w:t>75</w:t>
            </w:r>
            <w:r>
              <w:rPr>
                <w:rFonts w:asciiTheme="minorHAnsi" w:eastAsia="Times New Roman" w:hAnsiTheme="minorHAnsi"/>
                <w:iCs/>
                <w:color w:val="595959" w:themeColor="text1" w:themeTint="A6"/>
                <w:szCs w:val="17"/>
                <w:lang w:eastAsia="en-US"/>
              </w:rPr>
              <w:t>m</w:t>
            </w:r>
          </w:p>
          <w:p w14:paraId="0716D9F8" w14:textId="77777777" w:rsidR="00587C3F" w:rsidRPr="00B91E1E"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2010-2022</w:t>
            </w:r>
          </w:p>
        </w:tc>
        <w:tc>
          <w:tcPr>
            <w:tcW w:w="449" w:type="pct"/>
          </w:tcPr>
          <w:p w14:paraId="12B4C1A2"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2019 AQC</w:t>
            </w:r>
          </w:p>
        </w:tc>
        <w:tc>
          <w:tcPr>
            <w:tcW w:w="451" w:type="pct"/>
            <w:shd w:val="clear" w:color="auto" w:fill="92D050"/>
            <w:noWrap/>
          </w:tcPr>
          <w:p w14:paraId="3B7522B8" w14:textId="77777777" w:rsidR="00587C3F" w:rsidRPr="00820974" w:rsidRDefault="00587C3F" w:rsidP="00154ED6">
            <w:pPr>
              <w:jc w:val="center"/>
            </w:pPr>
            <w:r w:rsidRPr="00194926">
              <w:t>5</w:t>
            </w:r>
          </w:p>
        </w:tc>
        <w:tc>
          <w:tcPr>
            <w:tcW w:w="449" w:type="pct"/>
            <w:shd w:val="clear" w:color="auto" w:fill="92D050"/>
            <w:noWrap/>
          </w:tcPr>
          <w:p w14:paraId="17C1AF88" w14:textId="77777777" w:rsidR="00587C3F" w:rsidRPr="00820974" w:rsidRDefault="00587C3F" w:rsidP="00154ED6">
            <w:pPr>
              <w:jc w:val="center"/>
            </w:pPr>
            <w:r w:rsidRPr="00194926">
              <w:t>5</w:t>
            </w:r>
          </w:p>
        </w:tc>
        <w:tc>
          <w:tcPr>
            <w:tcW w:w="452" w:type="pct"/>
            <w:shd w:val="clear" w:color="auto" w:fill="auto"/>
            <w:noWrap/>
          </w:tcPr>
          <w:p w14:paraId="7C77C134" w14:textId="77777777" w:rsidR="00587C3F" w:rsidRPr="00820974" w:rsidRDefault="00587C3F" w:rsidP="00154ED6">
            <w:pPr>
              <w:jc w:val="center"/>
            </w:pPr>
            <w:r w:rsidRPr="00194926">
              <w:t> </w:t>
            </w:r>
          </w:p>
        </w:tc>
        <w:tc>
          <w:tcPr>
            <w:tcW w:w="449" w:type="pct"/>
            <w:shd w:val="clear" w:color="auto" w:fill="FFFF00"/>
            <w:noWrap/>
          </w:tcPr>
          <w:p w14:paraId="193BEF10" w14:textId="77777777" w:rsidR="00587C3F" w:rsidRPr="00820974" w:rsidRDefault="00587C3F" w:rsidP="00154ED6">
            <w:pPr>
              <w:jc w:val="center"/>
            </w:pPr>
            <w:r w:rsidRPr="00194926">
              <w:t>4</w:t>
            </w:r>
          </w:p>
        </w:tc>
        <w:tc>
          <w:tcPr>
            <w:tcW w:w="452" w:type="pct"/>
            <w:shd w:val="clear" w:color="auto" w:fill="auto"/>
            <w:noWrap/>
          </w:tcPr>
          <w:p w14:paraId="2B4F065D" w14:textId="77777777" w:rsidR="00587C3F" w:rsidRPr="00820974" w:rsidRDefault="00587C3F" w:rsidP="00154ED6">
            <w:pPr>
              <w:jc w:val="center"/>
            </w:pPr>
          </w:p>
        </w:tc>
        <w:tc>
          <w:tcPr>
            <w:tcW w:w="445" w:type="pct"/>
            <w:shd w:val="clear" w:color="auto" w:fill="auto"/>
            <w:noWrap/>
          </w:tcPr>
          <w:p w14:paraId="11B3F78D" w14:textId="77777777" w:rsidR="00587C3F" w:rsidRPr="00820974" w:rsidRDefault="00587C3F" w:rsidP="00154ED6">
            <w:pPr>
              <w:jc w:val="center"/>
            </w:pPr>
          </w:p>
        </w:tc>
      </w:tr>
      <w:tr w:rsidR="00587C3F" w14:paraId="1753BFF1"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tcBorders>
              <w:bottom w:val="single" w:sz="4" w:space="0" w:color="auto"/>
            </w:tcBorders>
          </w:tcPr>
          <w:p w14:paraId="0C0CAF9D" w14:textId="77777777" w:rsidR="00587C3F" w:rsidRPr="00114103"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712" w:type="pct"/>
            <w:vMerge/>
            <w:tcBorders>
              <w:bottom w:val="single" w:sz="4" w:space="0" w:color="auto"/>
            </w:tcBorders>
          </w:tcPr>
          <w:p w14:paraId="5DB9C185"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449" w:type="pct"/>
            <w:tcBorders>
              <w:bottom w:val="single" w:sz="4" w:space="0" w:color="auto"/>
            </w:tcBorders>
          </w:tcPr>
          <w:p w14:paraId="3A4200F4"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tcBorders>
              <w:bottom w:val="single" w:sz="4" w:space="0" w:color="auto"/>
            </w:tcBorders>
            <w:shd w:val="clear" w:color="auto" w:fill="92D050"/>
            <w:noWrap/>
          </w:tcPr>
          <w:p w14:paraId="112B713A" w14:textId="77777777" w:rsidR="00587C3F" w:rsidRPr="00820974" w:rsidRDefault="00587C3F" w:rsidP="00154ED6">
            <w:pPr>
              <w:jc w:val="center"/>
            </w:pPr>
            <w:r w:rsidRPr="00820974">
              <w:t>5</w:t>
            </w:r>
          </w:p>
        </w:tc>
        <w:tc>
          <w:tcPr>
            <w:tcW w:w="449" w:type="pct"/>
            <w:tcBorders>
              <w:bottom w:val="single" w:sz="4" w:space="0" w:color="auto"/>
            </w:tcBorders>
            <w:shd w:val="clear" w:color="auto" w:fill="92D050"/>
            <w:noWrap/>
          </w:tcPr>
          <w:p w14:paraId="4AA376B7" w14:textId="77777777" w:rsidR="00587C3F" w:rsidRPr="00820974" w:rsidRDefault="00587C3F" w:rsidP="00154ED6">
            <w:pPr>
              <w:jc w:val="center"/>
            </w:pPr>
            <w:r w:rsidRPr="00820974">
              <w:t>5</w:t>
            </w:r>
          </w:p>
        </w:tc>
        <w:tc>
          <w:tcPr>
            <w:tcW w:w="452" w:type="pct"/>
            <w:tcBorders>
              <w:bottom w:val="single" w:sz="4" w:space="0" w:color="auto"/>
            </w:tcBorders>
            <w:shd w:val="clear" w:color="auto" w:fill="92D050"/>
            <w:noWrap/>
          </w:tcPr>
          <w:p w14:paraId="7C0E309B" w14:textId="77777777" w:rsidR="00587C3F" w:rsidRPr="00820974" w:rsidRDefault="00587C3F" w:rsidP="00154ED6">
            <w:pPr>
              <w:jc w:val="center"/>
            </w:pPr>
            <w:r w:rsidRPr="00820974">
              <w:t>6</w:t>
            </w:r>
          </w:p>
        </w:tc>
        <w:tc>
          <w:tcPr>
            <w:tcW w:w="449" w:type="pct"/>
            <w:tcBorders>
              <w:bottom w:val="single" w:sz="4" w:space="0" w:color="auto"/>
            </w:tcBorders>
            <w:shd w:val="clear" w:color="auto" w:fill="FFFF00"/>
            <w:noWrap/>
          </w:tcPr>
          <w:p w14:paraId="476B9A40" w14:textId="77777777" w:rsidR="00587C3F" w:rsidRPr="00820974" w:rsidRDefault="00587C3F" w:rsidP="00154ED6">
            <w:pPr>
              <w:jc w:val="center"/>
            </w:pPr>
            <w:r w:rsidRPr="00820974">
              <w:t>4</w:t>
            </w:r>
          </w:p>
        </w:tc>
        <w:tc>
          <w:tcPr>
            <w:tcW w:w="452" w:type="pct"/>
            <w:tcBorders>
              <w:bottom w:val="single" w:sz="4" w:space="0" w:color="auto"/>
            </w:tcBorders>
            <w:shd w:val="clear" w:color="auto" w:fill="FFFF00"/>
            <w:noWrap/>
          </w:tcPr>
          <w:p w14:paraId="0609717B" w14:textId="77777777" w:rsidR="00587C3F" w:rsidRPr="00820974" w:rsidRDefault="00587C3F" w:rsidP="00154ED6">
            <w:pPr>
              <w:jc w:val="center"/>
            </w:pPr>
            <w:r w:rsidRPr="00820974">
              <w:t>4</w:t>
            </w:r>
          </w:p>
        </w:tc>
        <w:tc>
          <w:tcPr>
            <w:tcW w:w="445" w:type="pct"/>
            <w:tcBorders>
              <w:bottom w:val="single" w:sz="4" w:space="0" w:color="auto"/>
            </w:tcBorders>
            <w:shd w:val="clear" w:color="auto" w:fill="92D050"/>
            <w:noWrap/>
          </w:tcPr>
          <w:p w14:paraId="33532233" w14:textId="77777777" w:rsidR="00587C3F" w:rsidRDefault="00587C3F" w:rsidP="00154ED6">
            <w:pPr>
              <w:jc w:val="center"/>
            </w:pPr>
            <w:r w:rsidRPr="00820974">
              <w:t>5</w:t>
            </w:r>
          </w:p>
        </w:tc>
      </w:tr>
      <w:tr w:rsidR="00587C3F" w:rsidRPr="005E51B5" w14:paraId="7405CB2E" w14:textId="77777777" w:rsidTr="00CF4450">
        <w:trPr>
          <w:cnfStyle w:val="000000010000" w:firstRow="0" w:lastRow="0" w:firstColumn="0" w:lastColumn="0" w:oddVBand="0" w:evenVBand="0" w:oddHBand="0" w:evenHBand="1" w:firstRowFirstColumn="0" w:firstRowLastColumn="0" w:lastRowFirstColumn="0" w:lastRowLastColumn="0"/>
          <w:trHeight w:val="284"/>
        </w:trPr>
        <w:tc>
          <w:tcPr>
            <w:tcW w:w="981" w:type="pct"/>
            <w:vMerge w:val="restart"/>
          </w:tcPr>
          <w:p w14:paraId="02F749FC" w14:textId="77777777" w:rsidR="00587C3F" w:rsidRPr="00114103" w:rsidRDefault="00587C3F" w:rsidP="00154ED6">
            <w:pPr>
              <w:rPr>
                <w:rFonts w:ascii="Arial" w:hAnsi="Arial" w:cs="Arial"/>
                <w:color w:val="595959" w:themeColor="text1" w:themeTint="A6"/>
                <w:sz w:val="16"/>
                <w:szCs w:val="16"/>
              </w:rPr>
            </w:pPr>
            <w:r w:rsidRPr="00661B68">
              <w:rPr>
                <w:rFonts w:ascii="Arial" w:hAnsi="Arial" w:cs="Arial"/>
                <w:color w:val="595959" w:themeColor="text1" w:themeTint="A6"/>
                <w:sz w:val="16"/>
                <w:szCs w:val="16"/>
              </w:rPr>
              <w:t>SPREP</w:t>
            </w:r>
            <w:r>
              <w:rPr>
                <w:rFonts w:ascii="Arial" w:hAnsi="Arial" w:cs="Arial"/>
                <w:color w:val="595959" w:themeColor="text1" w:themeTint="A6"/>
                <w:sz w:val="16"/>
                <w:szCs w:val="16"/>
              </w:rPr>
              <w:t xml:space="preserve"> Partnership Agreement 2011-2018</w:t>
            </w:r>
          </w:p>
        </w:tc>
        <w:tc>
          <w:tcPr>
            <w:tcW w:w="712" w:type="pct"/>
            <w:vMerge w:val="restart"/>
            <w:shd w:val="clear" w:color="auto" w:fill="auto"/>
          </w:tcPr>
          <w:p w14:paraId="63DDFC52" w14:textId="77777777" w:rsidR="00587C3F" w:rsidRPr="00481D53"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sidRPr="00481D53">
              <w:rPr>
                <w:rFonts w:asciiTheme="minorHAnsi" w:eastAsia="Times New Roman" w:hAnsiTheme="minorHAnsi"/>
                <w:iCs/>
                <w:color w:val="595959" w:themeColor="text1" w:themeTint="A6"/>
                <w:szCs w:val="17"/>
                <w:lang w:eastAsia="en-US"/>
              </w:rPr>
              <w:t>$37m</w:t>
            </w:r>
          </w:p>
          <w:p w14:paraId="5625C356" w14:textId="77777777" w:rsidR="00587C3F" w:rsidRPr="00B91E1E"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sidRPr="00481D53">
              <w:rPr>
                <w:rFonts w:asciiTheme="minorHAnsi" w:eastAsia="Times New Roman" w:hAnsiTheme="minorHAnsi"/>
                <w:iCs/>
                <w:color w:val="595959" w:themeColor="text1" w:themeTint="A6"/>
                <w:szCs w:val="17"/>
                <w:lang w:eastAsia="en-US"/>
              </w:rPr>
              <w:t>2011-2021</w:t>
            </w:r>
          </w:p>
        </w:tc>
        <w:tc>
          <w:tcPr>
            <w:tcW w:w="449" w:type="pct"/>
          </w:tcPr>
          <w:p w14:paraId="01C39A28"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2019 AQC</w:t>
            </w:r>
          </w:p>
        </w:tc>
        <w:tc>
          <w:tcPr>
            <w:tcW w:w="451" w:type="pct"/>
            <w:shd w:val="clear" w:color="auto" w:fill="FFFF00"/>
            <w:noWrap/>
          </w:tcPr>
          <w:p w14:paraId="47FD90D3" w14:textId="77777777" w:rsidR="00587C3F" w:rsidRPr="005E51B5" w:rsidRDefault="00CF4450" w:rsidP="00154ED6">
            <w:pPr>
              <w:jc w:val="center"/>
            </w:pPr>
            <w:r>
              <w:t>4</w:t>
            </w:r>
          </w:p>
        </w:tc>
        <w:tc>
          <w:tcPr>
            <w:tcW w:w="449" w:type="pct"/>
            <w:shd w:val="clear" w:color="auto" w:fill="FFFF00"/>
            <w:noWrap/>
          </w:tcPr>
          <w:p w14:paraId="65A9D382" w14:textId="77777777" w:rsidR="00587C3F" w:rsidRPr="005E51B5" w:rsidRDefault="00587C3F" w:rsidP="00154ED6">
            <w:pPr>
              <w:jc w:val="center"/>
            </w:pPr>
            <w:r w:rsidRPr="00194926">
              <w:t>4</w:t>
            </w:r>
          </w:p>
        </w:tc>
        <w:tc>
          <w:tcPr>
            <w:tcW w:w="452" w:type="pct"/>
            <w:shd w:val="clear" w:color="auto" w:fill="auto"/>
            <w:noWrap/>
          </w:tcPr>
          <w:p w14:paraId="3F23FF70" w14:textId="77777777" w:rsidR="00587C3F" w:rsidRPr="005E51B5" w:rsidRDefault="00587C3F" w:rsidP="00154ED6">
            <w:pPr>
              <w:jc w:val="center"/>
            </w:pPr>
            <w:r w:rsidRPr="00194926">
              <w:t> </w:t>
            </w:r>
          </w:p>
        </w:tc>
        <w:tc>
          <w:tcPr>
            <w:tcW w:w="449" w:type="pct"/>
            <w:shd w:val="clear" w:color="auto" w:fill="FFC000"/>
            <w:noWrap/>
          </w:tcPr>
          <w:p w14:paraId="630B4407" w14:textId="77777777" w:rsidR="00587C3F" w:rsidRPr="005E51B5" w:rsidRDefault="00CF4450" w:rsidP="00154ED6">
            <w:pPr>
              <w:jc w:val="center"/>
            </w:pPr>
            <w:r>
              <w:t>3</w:t>
            </w:r>
          </w:p>
        </w:tc>
        <w:tc>
          <w:tcPr>
            <w:tcW w:w="452" w:type="pct"/>
            <w:shd w:val="clear" w:color="auto" w:fill="auto"/>
            <w:noWrap/>
          </w:tcPr>
          <w:p w14:paraId="423DA04D" w14:textId="77777777" w:rsidR="00587C3F" w:rsidRPr="005E51B5" w:rsidRDefault="00587C3F" w:rsidP="00154ED6">
            <w:pPr>
              <w:jc w:val="center"/>
            </w:pPr>
          </w:p>
        </w:tc>
        <w:tc>
          <w:tcPr>
            <w:tcW w:w="445" w:type="pct"/>
            <w:shd w:val="clear" w:color="auto" w:fill="auto"/>
            <w:noWrap/>
          </w:tcPr>
          <w:p w14:paraId="513B890E" w14:textId="77777777" w:rsidR="00587C3F" w:rsidRPr="005E51B5" w:rsidRDefault="00587C3F" w:rsidP="00154ED6">
            <w:pPr>
              <w:jc w:val="center"/>
            </w:pPr>
          </w:p>
        </w:tc>
      </w:tr>
      <w:tr w:rsidR="00587C3F" w14:paraId="7332F26B"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tcBorders>
              <w:bottom w:val="single" w:sz="4" w:space="0" w:color="auto"/>
            </w:tcBorders>
          </w:tcPr>
          <w:p w14:paraId="1D508F89" w14:textId="77777777" w:rsidR="00587C3F" w:rsidRPr="00114103"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712" w:type="pct"/>
            <w:vMerge/>
            <w:tcBorders>
              <w:bottom w:val="single" w:sz="4" w:space="0" w:color="auto"/>
            </w:tcBorders>
            <w:shd w:val="clear" w:color="auto" w:fill="auto"/>
          </w:tcPr>
          <w:p w14:paraId="369F3CEF"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449" w:type="pct"/>
            <w:tcBorders>
              <w:bottom w:val="single" w:sz="4" w:space="0" w:color="auto"/>
            </w:tcBorders>
          </w:tcPr>
          <w:p w14:paraId="15F15F37"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tcBorders>
              <w:bottom w:val="single" w:sz="4" w:space="0" w:color="auto"/>
            </w:tcBorders>
            <w:shd w:val="clear" w:color="auto" w:fill="FFFF00"/>
            <w:noWrap/>
          </w:tcPr>
          <w:p w14:paraId="67DE71E8" w14:textId="77777777" w:rsidR="00587C3F" w:rsidRPr="005E51B5" w:rsidRDefault="00587C3F" w:rsidP="00154ED6">
            <w:pPr>
              <w:jc w:val="center"/>
            </w:pPr>
            <w:r w:rsidRPr="005E51B5">
              <w:t>4</w:t>
            </w:r>
          </w:p>
        </w:tc>
        <w:tc>
          <w:tcPr>
            <w:tcW w:w="449" w:type="pct"/>
            <w:tcBorders>
              <w:bottom w:val="single" w:sz="4" w:space="0" w:color="auto"/>
            </w:tcBorders>
            <w:shd w:val="clear" w:color="auto" w:fill="FFFF00"/>
            <w:noWrap/>
          </w:tcPr>
          <w:p w14:paraId="5BC4C292" w14:textId="77777777" w:rsidR="00587C3F" w:rsidRPr="005E51B5" w:rsidRDefault="00587C3F" w:rsidP="00154ED6">
            <w:pPr>
              <w:jc w:val="center"/>
            </w:pPr>
            <w:r w:rsidRPr="005E51B5">
              <w:t>4</w:t>
            </w:r>
          </w:p>
        </w:tc>
        <w:tc>
          <w:tcPr>
            <w:tcW w:w="452" w:type="pct"/>
            <w:tcBorders>
              <w:bottom w:val="single" w:sz="4" w:space="0" w:color="auto"/>
            </w:tcBorders>
            <w:shd w:val="clear" w:color="auto" w:fill="92D050"/>
            <w:noWrap/>
          </w:tcPr>
          <w:p w14:paraId="26694D75" w14:textId="77777777" w:rsidR="00587C3F" w:rsidRPr="005E51B5" w:rsidRDefault="00587C3F" w:rsidP="00154ED6">
            <w:pPr>
              <w:jc w:val="center"/>
            </w:pPr>
            <w:r w:rsidRPr="005E51B5">
              <w:t>6</w:t>
            </w:r>
          </w:p>
        </w:tc>
        <w:tc>
          <w:tcPr>
            <w:tcW w:w="449" w:type="pct"/>
            <w:tcBorders>
              <w:bottom w:val="single" w:sz="4" w:space="0" w:color="auto"/>
            </w:tcBorders>
            <w:shd w:val="clear" w:color="auto" w:fill="FFC000"/>
            <w:noWrap/>
          </w:tcPr>
          <w:p w14:paraId="30CD42FE" w14:textId="77777777" w:rsidR="00587C3F" w:rsidRPr="005E51B5" w:rsidRDefault="00587C3F" w:rsidP="00154ED6">
            <w:pPr>
              <w:jc w:val="center"/>
            </w:pPr>
            <w:r w:rsidRPr="005E51B5">
              <w:t>3</w:t>
            </w:r>
          </w:p>
        </w:tc>
        <w:tc>
          <w:tcPr>
            <w:tcW w:w="452" w:type="pct"/>
            <w:tcBorders>
              <w:bottom w:val="single" w:sz="4" w:space="0" w:color="auto"/>
            </w:tcBorders>
            <w:shd w:val="clear" w:color="auto" w:fill="FFFF00"/>
            <w:noWrap/>
          </w:tcPr>
          <w:p w14:paraId="4D8FDAAC" w14:textId="77777777" w:rsidR="00587C3F" w:rsidRPr="005E51B5" w:rsidRDefault="00587C3F" w:rsidP="00154ED6">
            <w:pPr>
              <w:jc w:val="center"/>
            </w:pPr>
            <w:r w:rsidRPr="005E51B5">
              <w:t>4</w:t>
            </w:r>
          </w:p>
        </w:tc>
        <w:tc>
          <w:tcPr>
            <w:tcW w:w="445" w:type="pct"/>
            <w:tcBorders>
              <w:bottom w:val="single" w:sz="4" w:space="0" w:color="auto"/>
            </w:tcBorders>
            <w:shd w:val="clear" w:color="auto" w:fill="92D050"/>
            <w:noWrap/>
          </w:tcPr>
          <w:p w14:paraId="22C4CE81" w14:textId="77777777" w:rsidR="00587C3F" w:rsidRDefault="00587C3F" w:rsidP="00154ED6">
            <w:pPr>
              <w:jc w:val="center"/>
            </w:pPr>
            <w:r w:rsidRPr="005E51B5">
              <w:t>5</w:t>
            </w:r>
          </w:p>
        </w:tc>
      </w:tr>
      <w:tr w:rsidR="00587C3F" w14:paraId="07325563"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val="restart"/>
          </w:tcPr>
          <w:p w14:paraId="048ADE9F" w14:textId="77777777" w:rsidR="00587C3F" w:rsidRPr="00114103" w:rsidRDefault="00587C3F" w:rsidP="00154ED6">
            <w:pPr>
              <w:rPr>
                <w:rFonts w:eastAsia="Times New Roman"/>
                <w:iCs/>
                <w:color w:val="595959" w:themeColor="text1" w:themeTint="A6"/>
                <w:szCs w:val="17"/>
              </w:rPr>
            </w:pPr>
            <w:r w:rsidRPr="007F10C1">
              <w:rPr>
                <w:rFonts w:ascii="Arial" w:hAnsi="Arial" w:cs="Arial"/>
                <w:color w:val="595959" w:themeColor="text1" w:themeTint="A6"/>
                <w:sz w:val="16"/>
                <w:szCs w:val="16"/>
              </w:rPr>
              <w:t>Australia Pacific Climate Change Action Program</w:t>
            </w:r>
          </w:p>
        </w:tc>
        <w:tc>
          <w:tcPr>
            <w:tcW w:w="712" w:type="pct"/>
          </w:tcPr>
          <w:p w14:paraId="5E8B3507" w14:textId="77777777" w:rsidR="00587C3F" w:rsidRPr="007F10C1"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sidRPr="007F10C1">
              <w:rPr>
                <w:rFonts w:asciiTheme="minorHAnsi" w:eastAsia="Times New Roman" w:hAnsiTheme="minorHAnsi"/>
                <w:iCs/>
                <w:color w:val="595959" w:themeColor="text1" w:themeTint="A6"/>
                <w:szCs w:val="17"/>
                <w:lang w:eastAsia="en-US"/>
              </w:rPr>
              <w:t>$82m</w:t>
            </w:r>
          </w:p>
          <w:p w14:paraId="1D7E4162" w14:textId="77777777" w:rsidR="00587C3F" w:rsidRPr="00FD46B5" w:rsidRDefault="00587C3F" w:rsidP="00154ED6">
            <w:pPr>
              <w:keepLines/>
              <w:spacing w:before="40" w:after="40" w:line="200" w:lineRule="atLeast"/>
              <w:rPr>
                <w:rFonts w:eastAsia="Times New Roman"/>
                <w:iCs/>
                <w:color w:val="595959" w:themeColor="text1" w:themeTint="A6"/>
                <w:szCs w:val="17"/>
              </w:rPr>
            </w:pPr>
            <w:r w:rsidRPr="007F10C1">
              <w:rPr>
                <w:rFonts w:asciiTheme="minorHAnsi" w:eastAsia="Times New Roman" w:hAnsiTheme="minorHAnsi"/>
                <w:iCs/>
                <w:color w:val="595959" w:themeColor="text1" w:themeTint="A6"/>
                <w:szCs w:val="17"/>
                <w:lang w:eastAsia="en-US"/>
              </w:rPr>
              <w:t>2018-24</w:t>
            </w:r>
          </w:p>
        </w:tc>
        <w:tc>
          <w:tcPr>
            <w:tcW w:w="449" w:type="pct"/>
          </w:tcPr>
          <w:p w14:paraId="0F9F1F67"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2019 AQC</w:t>
            </w:r>
          </w:p>
        </w:tc>
        <w:tc>
          <w:tcPr>
            <w:tcW w:w="451" w:type="pct"/>
            <w:shd w:val="clear" w:color="auto" w:fill="92D050"/>
            <w:noWrap/>
          </w:tcPr>
          <w:p w14:paraId="66845AE1" w14:textId="77777777" w:rsidR="00587C3F" w:rsidRPr="005E51B5" w:rsidRDefault="00587C3F" w:rsidP="00154ED6">
            <w:pPr>
              <w:jc w:val="center"/>
            </w:pPr>
            <w:r w:rsidRPr="00E575CD">
              <w:t>5</w:t>
            </w:r>
          </w:p>
        </w:tc>
        <w:tc>
          <w:tcPr>
            <w:tcW w:w="449" w:type="pct"/>
            <w:shd w:val="clear" w:color="auto" w:fill="FFFF00"/>
            <w:noWrap/>
          </w:tcPr>
          <w:p w14:paraId="7E9F46DF" w14:textId="77777777" w:rsidR="00587C3F" w:rsidRPr="005E51B5" w:rsidRDefault="00587C3F" w:rsidP="00154ED6">
            <w:pPr>
              <w:jc w:val="center"/>
            </w:pPr>
            <w:r w:rsidRPr="00E575CD">
              <w:t>4</w:t>
            </w:r>
          </w:p>
        </w:tc>
        <w:tc>
          <w:tcPr>
            <w:tcW w:w="452" w:type="pct"/>
            <w:shd w:val="clear" w:color="auto" w:fill="auto"/>
            <w:noWrap/>
          </w:tcPr>
          <w:p w14:paraId="3F6ED0BF" w14:textId="77777777" w:rsidR="00587C3F" w:rsidRPr="005E51B5" w:rsidRDefault="00587C3F" w:rsidP="00154ED6">
            <w:pPr>
              <w:jc w:val="center"/>
            </w:pPr>
          </w:p>
        </w:tc>
        <w:tc>
          <w:tcPr>
            <w:tcW w:w="449" w:type="pct"/>
            <w:shd w:val="clear" w:color="auto" w:fill="92D050"/>
            <w:noWrap/>
          </w:tcPr>
          <w:p w14:paraId="194B136B" w14:textId="77777777" w:rsidR="00587C3F" w:rsidRPr="005E51B5" w:rsidRDefault="00587C3F" w:rsidP="00154ED6">
            <w:pPr>
              <w:jc w:val="center"/>
            </w:pPr>
            <w:r w:rsidRPr="00E575CD">
              <w:t>5</w:t>
            </w:r>
          </w:p>
        </w:tc>
        <w:tc>
          <w:tcPr>
            <w:tcW w:w="452" w:type="pct"/>
            <w:shd w:val="clear" w:color="auto" w:fill="auto"/>
            <w:noWrap/>
          </w:tcPr>
          <w:p w14:paraId="7034B627" w14:textId="77777777" w:rsidR="00587C3F" w:rsidRPr="005E51B5" w:rsidRDefault="00587C3F" w:rsidP="00154ED6">
            <w:pPr>
              <w:jc w:val="center"/>
            </w:pPr>
          </w:p>
        </w:tc>
        <w:tc>
          <w:tcPr>
            <w:tcW w:w="445" w:type="pct"/>
            <w:shd w:val="clear" w:color="auto" w:fill="auto"/>
            <w:noWrap/>
          </w:tcPr>
          <w:p w14:paraId="313CDE8B" w14:textId="77777777" w:rsidR="00587C3F" w:rsidRPr="005E51B5" w:rsidRDefault="00587C3F" w:rsidP="00154ED6">
            <w:pPr>
              <w:jc w:val="center"/>
            </w:pPr>
          </w:p>
        </w:tc>
      </w:tr>
      <w:tr w:rsidR="00587C3F" w14:paraId="48346232"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tcBorders>
              <w:bottom w:val="single" w:sz="4" w:space="0" w:color="auto"/>
            </w:tcBorders>
          </w:tcPr>
          <w:p w14:paraId="3102771B" w14:textId="77777777" w:rsidR="00587C3F" w:rsidRPr="00114103" w:rsidRDefault="00587C3F" w:rsidP="00154ED6">
            <w:pPr>
              <w:keepLines/>
              <w:spacing w:before="40" w:after="40" w:line="200" w:lineRule="atLeast"/>
              <w:rPr>
                <w:rFonts w:eastAsia="Times New Roman"/>
                <w:iCs/>
                <w:color w:val="595959" w:themeColor="text1" w:themeTint="A6"/>
                <w:szCs w:val="17"/>
              </w:rPr>
            </w:pPr>
          </w:p>
        </w:tc>
        <w:tc>
          <w:tcPr>
            <w:tcW w:w="712" w:type="pct"/>
            <w:tcBorders>
              <w:bottom w:val="single" w:sz="4" w:space="0" w:color="auto"/>
            </w:tcBorders>
          </w:tcPr>
          <w:p w14:paraId="46A00CDE" w14:textId="77777777" w:rsidR="00587C3F" w:rsidRPr="00FD46B5" w:rsidRDefault="00587C3F" w:rsidP="00154ED6">
            <w:pPr>
              <w:keepLines/>
              <w:spacing w:before="40" w:after="40" w:line="200" w:lineRule="atLeast"/>
              <w:rPr>
                <w:rFonts w:eastAsia="Times New Roman"/>
                <w:iCs/>
                <w:color w:val="595959" w:themeColor="text1" w:themeTint="A6"/>
                <w:szCs w:val="17"/>
              </w:rPr>
            </w:pPr>
          </w:p>
        </w:tc>
        <w:tc>
          <w:tcPr>
            <w:tcW w:w="449" w:type="pct"/>
            <w:tcBorders>
              <w:bottom w:val="single" w:sz="4" w:space="0" w:color="auto"/>
            </w:tcBorders>
          </w:tcPr>
          <w:p w14:paraId="051A741F"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tcBorders>
              <w:bottom w:val="single" w:sz="4" w:space="0" w:color="auto"/>
            </w:tcBorders>
            <w:shd w:val="clear" w:color="auto" w:fill="auto"/>
            <w:noWrap/>
          </w:tcPr>
          <w:p w14:paraId="62E58A13" w14:textId="77777777" w:rsidR="00587C3F" w:rsidRPr="005E51B5" w:rsidRDefault="00587C3F" w:rsidP="00154ED6">
            <w:pPr>
              <w:jc w:val="center"/>
            </w:pPr>
            <w:r>
              <w:t>N/A</w:t>
            </w:r>
          </w:p>
        </w:tc>
        <w:tc>
          <w:tcPr>
            <w:tcW w:w="449" w:type="pct"/>
            <w:tcBorders>
              <w:bottom w:val="single" w:sz="4" w:space="0" w:color="auto"/>
            </w:tcBorders>
            <w:shd w:val="clear" w:color="auto" w:fill="auto"/>
            <w:noWrap/>
          </w:tcPr>
          <w:p w14:paraId="1AEED951" w14:textId="77777777" w:rsidR="00587C3F" w:rsidRPr="005E51B5" w:rsidRDefault="00587C3F" w:rsidP="00154ED6">
            <w:pPr>
              <w:jc w:val="center"/>
            </w:pPr>
            <w:r>
              <w:t>N/A</w:t>
            </w:r>
          </w:p>
        </w:tc>
        <w:tc>
          <w:tcPr>
            <w:tcW w:w="452" w:type="pct"/>
            <w:tcBorders>
              <w:bottom w:val="single" w:sz="4" w:space="0" w:color="auto"/>
            </w:tcBorders>
            <w:shd w:val="clear" w:color="auto" w:fill="auto"/>
            <w:noWrap/>
          </w:tcPr>
          <w:p w14:paraId="5813A6CE" w14:textId="77777777" w:rsidR="00587C3F" w:rsidRPr="005E51B5" w:rsidRDefault="00587C3F" w:rsidP="00154ED6">
            <w:pPr>
              <w:jc w:val="center"/>
            </w:pPr>
            <w:r>
              <w:t>N/A</w:t>
            </w:r>
          </w:p>
        </w:tc>
        <w:tc>
          <w:tcPr>
            <w:tcW w:w="449" w:type="pct"/>
            <w:tcBorders>
              <w:bottom w:val="single" w:sz="4" w:space="0" w:color="auto"/>
            </w:tcBorders>
            <w:shd w:val="clear" w:color="auto" w:fill="auto"/>
            <w:noWrap/>
          </w:tcPr>
          <w:p w14:paraId="04F31763" w14:textId="77777777" w:rsidR="00587C3F" w:rsidRPr="005E51B5" w:rsidRDefault="00587C3F" w:rsidP="00154ED6">
            <w:pPr>
              <w:jc w:val="center"/>
            </w:pPr>
            <w:r>
              <w:t>N/A</w:t>
            </w:r>
          </w:p>
        </w:tc>
        <w:tc>
          <w:tcPr>
            <w:tcW w:w="452" w:type="pct"/>
            <w:tcBorders>
              <w:bottom w:val="single" w:sz="4" w:space="0" w:color="auto"/>
            </w:tcBorders>
            <w:shd w:val="clear" w:color="auto" w:fill="auto"/>
            <w:noWrap/>
          </w:tcPr>
          <w:p w14:paraId="7CD4EFAD" w14:textId="77777777" w:rsidR="00587C3F" w:rsidRPr="005E51B5" w:rsidRDefault="00587C3F" w:rsidP="00154ED6">
            <w:pPr>
              <w:jc w:val="center"/>
            </w:pPr>
            <w:r>
              <w:t>N/A</w:t>
            </w:r>
          </w:p>
        </w:tc>
        <w:tc>
          <w:tcPr>
            <w:tcW w:w="445" w:type="pct"/>
            <w:tcBorders>
              <w:bottom w:val="single" w:sz="4" w:space="0" w:color="auto"/>
            </w:tcBorders>
            <w:shd w:val="clear" w:color="auto" w:fill="auto"/>
            <w:noWrap/>
          </w:tcPr>
          <w:p w14:paraId="0FFBC154" w14:textId="77777777" w:rsidR="00587C3F" w:rsidRPr="005E51B5" w:rsidRDefault="00587C3F" w:rsidP="00154ED6">
            <w:pPr>
              <w:jc w:val="center"/>
            </w:pPr>
            <w:r>
              <w:t>N/A</w:t>
            </w:r>
          </w:p>
        </w:tc>
      </w:tr>
      <w:tr w:rsidR="00587C3F" w:rsidRPr="00C2668D" w14:paraId="257A5BC2"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val="restart"/>
          </w:tcPr>
          <w:p w14:paraId="1CA7F83A" w14:textId="77777777" w:rsidR="00587C3F" w:rsidRPr="00114103" w:rsidRDefault="00587C3F" w:rsidP="00154ED6">
            <w:pPr>
              <w:rPr>
                <w:rFonts w:ascii="Arial" w:hAnsi="Arial" w:cs="Arial"/>
                <w:color w:val="595959" w:themeColor="text1" w:themeTint="A6"/>
                <w:sz w:val="16"/>
                <w:szCs w:val="16"/>
              </w:rPr>
            </w:pPr>
            <w:r w:rsidRPr="00A03ADF">
              <w:rPr>
                <w:rFonts w:ascii="Arial" w:hAnsi="Arial" w:cs="Arial"/>
                <w:color w:val="595959" w:themeColor="text1" w:themeTint="A6"/>
                <w:sz w:val="16"/>
                <w:szCs w:val="16"/>
              </w:rPr>
              <w:t xml:space="preserve">Australia-Pacific Technical </w:t>
            </w:r>
            <w:r>
              <w:rPr>
                <w:rFonts w:ascii="Arial" w:hAnsi="Arial" w:cs="Arial"/>
                <w:color w:val="595959" w:themeColor="text1" w:themeTint="A6"/>
                <w:sz w:val="16"/>
                <w:szCs w:val="16"/>
              </w:rPr>
              <w:t>Coalition Stage 3</w:t>
            </w:r>
          </w:p>
        </w:tc>
        <w:tc>
          <w:tcPr>
            <w:tcW w:w="712" w:type="pct"/>
            <w:vMerge w:val="restart"/>
            <w:shd w:val="clear" w:color="auto" w:fill="auto"/>
          </w:tcPr>
          <w:p w14:paraId="72EA774C" w14:textId="77777777" w:rsidR="00587C3F"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sidRPr="00166155">
              <w:rPr>
                <w:rFonts w:asciiTheme="minorHAnsi" w:eastAsia="Times New Roman" w:hAnsiTheme="minorHAnsi"/>
                <w:iCs/>
                <w:color w:val="595959" w:themeColor="text1" w:themeTint="A6"/>
                <w:szCs w:val="17"/>
                <w:lang w:eastAsia="en-US"/>
              </w:rPr>
              <w:t>$128m</w:t>
            </w:r>
          </w:p>
          <w:p w14:paraId="27EFA196"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2018-2024</w:t>
            </w:r>
          </w:p>
        </w:tc>
        <w:tc>
          <w:tcPr>
            <w:tcW w:w="449" w:type="pct"/>
          </w:tcPr>
          <w:p w14:paraId="2F16BE73"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2019 AQC</w:t>
            </w:r>
          </w:p>
        </w:tc>
        <w:tc>
          <w:tcPr>
            <w:tcW w:w="451" w:type="pct"/>
            <w:shd w:val="clear" w:color="auto" w:fill="92D050"/>
            <w:noWrap/>
          </w:tcPr>
          <w:p w14:paraId="16951C25" w14:textId="77777777" w:rsidR="00587C3F" w:rsidRPr="00C2668D" w:rsidRDefault="00587C3F" w:rsidP="00154ED6">
            <w:pPr>
              <w:jc w:val="center"/>
            </w:pPr>
            <w:r w:rsidRPr="00194926">
              <w:t>5</w:t>
            </w:r>
          </w:p>
        </w:tc>
        <w:tc>
          <w:tcPr>
            <w:tcW w:w="449" w:type="pct"/>
            <w:shd w:val="clear" w:color="auto" w:fill="92D050"/>
            <w:noWrap/>
          </w:tcPr>
          <w:p w14:paraId="71656D2A" w14:textId="77777777" w:rsidR="00587C3F" w:rsidRPr="00C2668D" w:rsidRDefault="00587C3F" w:rsidP="00154ED6">
            <w:pPr>
              <w:jc w:val="center"/>
            </w:pPr>
            <w:r w:rsidRPr="00194926">
              <w:t>5</w:t>
            </w:r>
          </w:p>
        </w:tc>
        <w:tc>
          <w:tcPr>
            <w:tcW w:w="452" w:type="pct"/>
            <w:shd w:val="clear" w:color="auto" w:fill="auto"/>
            <w:noWrap/>
          </w:tcPr>
          <w:p w14:paraId="5B19C729" w14:textId="77777777" w:rsidR="00587C3F" w:rsidRPr="00C2668D" w:rsidRDefault="00587C3F" w:rsidP="00154ED6">
            <w:pPr>
              <w:jc w:val="center"/>
            </w:pPr>
            <w:r w:rsidRPr="00194926">
              <w:t> </w:t>
            </w:r>
          </w:p>
        </w:tc>
        <w:tc>
          <w:tcPr>
            <w:tcW w:w="449" w:type="pct"/>
            <w:shd w:val="clear" w:color="auto" w:fill="FFFF00"/>
            <w:noWrap/>
          </w:tcPr>
          <w:p w14:paraId="06FA671C" w14:textId="77777777" w:rsidR="00587C3F" w:rsidRPr="00C2668D" w:rsidRDefault="00587C3F" w:rsidP="00154ED6">
            <w:pPr>
              <w:jc w:val="center"/>
            </w:pPr>
            <w:r w:rsidRPr="00194926">
              <w:t>4</w:t>
            </w:r>
          </w:p>
        </w:tc>
        <w:tc>
          <w:tcPr>
            <w:tcW w:w="452" w:type="pct"/>
            <w:shd w:val="clear" w:color="auto" w:fill="auto"/>
            <w:noWrap/>
          </w:tcPr>
          <w:p w14:paraId="4F525046" w14:textId="77777777" w:rsidR="00587C3F" w:rsidRPr="00C2668D" w:rsidRDefault="00587C3F" w:rsidP="00154ED6">
            <w:pPr>
              <w:jc w:val="center"/>
            </w:pPr>
          </w:p>
        </w:tc>
        <w:tc>
          <w:tcPr>
            <w:tcW w:w="445" w:type="pct"/>
            <w:shd w:val="clear" w:color="auto" w:fill="auto"/>
            <w:noWrap/>
          </w:tcPr>
          <w:p w14:paraId="23DE62A0" w14:textId="77777777" w:rsidR="00587C3F" w:rsidRPr="00C2668D" w:rsidRDefault="00587C3F" w:rsidP="00154ED6">
            <w:pPr>
              <w:jc w:val="center"/>
            </w:pPr>
          </w:p>
        </w:tc>
      </w:tr>
      <w:tr w:rsidR="00587C3F" w14:paraId="066FA76B"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tcBorders>
              <w:bottom w:val="single" w:sz="4" w:space="0" w:color="auto"/>
            </w:tcBorders>
          </w:tcPr>
          <w:p w14:paraId="621EEDD4" w14:textId="77777777" w:rsidR="00587C3F" w:rsidRPr="00114103"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712" w:type="pct"/>
            <w:vMerge/>
            <w:tcBorders>
              <w:bottom w:val="single" w:sz="4" w:space="0" w:color="auto"/>
            </w:tcBorders>
            <w:shd w:val="clear" w:color="auto" w:fill="auto"/>
          </w:tcPr>
          <w:p w14:paraId="5796BB60"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449" w:type="pct"/>
            <w:tcBorders>
              <w:bottom w:val="single" w:sz="4" w:space="0" w:color="auto"/>
            </w:tcBorders>
          </w:tcPr>
          <w:p w14:paraId="4C9F3827"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tcBorders>
              <w:bottom w:val="single" w:sz="4" w:space="0" w:color="auto"/>
            </w:tcBorders>
            <w:shd w:val="clear" w:color="auto" w:fill="auto"/>
            <w:noWrap/>
          </w:tcPr>
          <w:p w14:paraId="133A07B0" w14:textId="77777777" w:rsidR="00587C3F" w:rsidRPr="00C2668D" w:rsidRDefault="00587C3F" w:rsidP="00154ED6">
            <w:pPr>
              <w:jc w:val="center"/>
            </w:pPr>
            <w:r>
              <w:t>N/A</w:t>
            </w:r>
          </w:p>
        </w:tc>
        <w:tc>
          <w:tcPr>
            <w:tcW w:w="449" w:type="pct"/>
            <w:tcBorders>
              <w:bottom w:val="single" w:sz="4" w:space="0" w:color="auto"/>
            </w:tcBorders>
            <w:shd w:val="clear" w:color="auto" w:fill="auto"/>
            <w:noWrap/>
          </w:tcPr>
          <w:p w14:paraId="3445A469" w14:textId="77777777" w:rsidR="00587C3F" w:rsidRPr="00C2668D" w:rsidRDefault="00587C3F" w:rsidP="00154ED6">
            <w:pPr>
              <w:jc w:val="center"/>
            </w:pPr>
            <w:r>
              <w:t>N/A</w:t>
            </w:r>
          </w:p>
        </w:tc>
        <w:tc>
          <w:tcPr>
            <w:tcW w:w="452" w:type="pct"/>
            <w:tcBorders>
              <w:bottom w:val="single" w:sz="4" w:space="0" w:color="auto"/>
            </w:tcBorders>
            <w:shd w:val="clear" w:color="auto" w:fill="auto"/>
            <w:noWrap/>
          </w:tcPr>
          <w:p w14:paraId="6EC10FD5" w14:textId="77777777" w:rsidR="00587C3F" w:rsidRPr="00C2668D" w:rsidRDefault="00587C3F" w:rsidP="00154ED6">
            <w:pPr>
              <w:jc w:val="center"/>
            </w:pPr>
            <w:r>
              <w:t>N/A</w:t>
            </w:r>
          </w:p>
        </w:tc>
        <w:tc>
          <w:tcPr>
            <w:tcW w:w="449" w:type="pct"/>
            <w:tcBorders>
              <w:bottom w:val="single" w:sz="4" w:space="0" w:color="auto"/>
            </w:tcBorders>
            <w:shd w:val="clear" w:color="auto" w:fill="auto"/>
            <w:noWrap/>
          </w:tcPr>
          <w:p w14:paraId="7F89475A" w14:textId="77777777" w:rsidR="00587C3F" w:rsidRPr="00C2668D" w:rsidRDefault="00587C3F" w:rsidP="00154ED6">
            <w:pPr>
              <w:jc w:val="center"/>
            </w:pPr>
            <w:r>
              <w:t>N/A</w:t>
            </w:r>
          </w:p>
        </w:tc>
        <w:tc>
          <w:tcPr>
            <w:tcW w:w="452" w:type="pct"/>
            <w:tcBorders>
              <w:bottom w:val="single" w:sz="4" w:space="0" w:color="auto"/>
            </w:tcBorders>
            <w:shd w:val="clear" w:color="auto" w:fill="auto"/>
            <w:noWrap/>
          </w:tcPr>
          <w:p w14:paraId="508333F7" w14:textId="77777777" w:rsidR="00587C3F" w:rsidRPr="00C2668D" w:rsidRDefault="00587C3F" w:rsidP="00154ED6">
            <w:pPr>
              <w:jc w:val="center"/>
            </w:pPr>
            <w:r>
              <w:t>N/A</w:t>
            </w:r>
          </w:p>
        </w:tc>
        <w:tc>
          <w:tcPr>
            <w:tcW w:w="445" w:type="pct"/>
            <w:tcBorders>
              <w:bottom w:val="single" w:sz="4" w:space="0" w:color="auto"/>
            </w:tcBorders>
            <w:shd w:val="clear" w:color="auto" w:fill="auto"/>
            <w:noWrap/>
          </w:tcPr>
          <w:p w14:paraId="546D76B4" w14:textId="77777777" w:rsidR="00587C3F" w:rsidRDefault="00587C3F" w:rsidP="00154ED6">
            <w:pPr>
              <w:jc w:val="center"/>
            </w:pPr>
            <w:r>
              <w:t>N/A</w:t>
            </w:r>
          </w:p>
        </w:tc>
      </w:tr>
      <w:tr w:rsidR="00587C3F" w:rsidRPr="00555A4F" w14:paraId="767F398B"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val="restart"/>
          </w:tcPr>
          <w:p w14:paraId="0476670D" w14:textId="77777777" w:rsidR="00587C3F" w:rsidRPr="00114103" w:rsidRDefault="00587C3F" w:rsidP="00154ED6">
            <w:pPr>
              <w:rPr>
                <w:rFonts w:ascii="Arial" w:hAnsi="Arial" w:cs="Arial"/>
                <w:color w:val="595959" w:themeColor="text1" w:themeTint="A6"/>
                <w:sz w:val="16"/>
                <w:szCs w:val="16"/>
              </w:rPr>
            </w:pPr>
            <w:r w:rsidRPr="00116C3A">
              <w:rPr>
                <w:rFonts w:ascii="Arial" w:hAnsi="Arial" w:cs="Arial"/>
                <w:color w:val="595959" w:themeColor="text1" w:themeTint="A6"/>
                <w:sz w:val="16"/>
                <w:szCs w:val="16"/>
              </w:rPr>
              <w:t>Pacific Women Shaping Pacific Development</w:t>
            </w:r>
          </w:p>
        </w:tc>
        <w:tc>
          <w:tcPr>
            <w:tcW w:w="712" w:type="pct"/>
            <w:vMerge w:val="restart"/>
          </w:tcPr>
          <w:p w14:paraId="4D5C1385" w14:textId="77777777" w:rsidR="00587C3F"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$171m</w:t>
            </w:r>
          </w:p>
          <w:p w14:paraId="6065BF30"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2012-2022</w:t>
            </w:r>
          </w:p>
        </w:tc>
        <w:tc>
          <w:tcPr>
            <w:tcW w:w="449" w:type="pct"/>
          </w:tcPr>
          <w:p w14:paraId="3A648787"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2019 AQC</w:t>
            </w:r>
          </w:p>
        </w:tc>
        <w:tc>
          <w:tcPr>
            <w:tcW w:w="451" w:type="pct"/>
            <w:shd w:val="clear" w:color="auto" w:fill="92D050"/>
            <w:noWrap/>
          </w:tcPr>
          <w:p w14:paraId="3DB01FE2" w14:textId="77777777" w:rsidR="00587C3F" w:rsidRPr="00555A4F" w:rsidRDefault="00587C3F" w:rsidP="00154ED6">
            <w:pPr>
              <w:jc w:val="center"/>
            </w:pPr>
            <w:r w:rsidRPr="00D92EE6">
              <w:t>5</w:t>
            </w:r>
          </w:p>
        </w:tc>
        <w:tc>
          <w:tcPr>
            <w:tcW w:w="449" w:type="pct"/>
            <w:shd w:val="clear" w:color="auto" w:fill="92D050"/>
            <w:noWrap/>
          </w:tcPr>
          <w:p w14:paraId="28C3F2C6" w14:textId="77777777" w:rsidR="00587C3F" w:rsidRPr="00555A4F" w:rsidRDefault="00587C3F" w:rsidP="00154ED6">
            <w:pPr>
              <w:jc w:val="center"/>
            </w:pPr>
            <w:r w:rsidRPr="00D92EE6">
              <w:t>5</w:t>
            </w:r>
          </w:p>
        </w:tc>
        <w:tc>
          <w:tcPr>
            <w:tcW w:w="452" w:type="pct"/>
            <w:shd w:val="clear" w:color="auto" w:fill="auto"/>
            <w:noWrap/>
          </w:tcPr>
          <w:p w14:paraId="00456F53" w14:textId="77777777" w:rsidR="00587C3F" w:rsidRPr="00555A4F" w:rsidRDefault="00587C3F" w:rsidP="00154ED6">
            <w:pPr>
              <w:jc w:val="center"/>
            </w:pPr>
            <w:r w:rsidRPr="00D92EE6">
              <w:t> </w:t>
            </w:r>
          </w:p>
        </w:tc>
        <w:tc>
          <w:tcPr>
            <w:tcW w:w="449" w:type="pct"/>
            <w:shd w:val="clear" w:color="auto" w:fill="92D050"/>
            <w:noWrap/>
          </w:tcPr>
          <w:p w14:paraId="02CC6B05" w14:textId="77777777" w:rsidR="00587C3F" w:rsidRPr="00555A4F" w:rsidRDefault="00587C3F" w:rsidP="00154ED6">
            <w:pPr>
              <w:jc w:val="center"/>
            </w:pPr>
            <w:r w:rsidRPr="00D92EE6">
              <w:t>5</w:t>
            </w:r>
          </w:p>
        </w:tc>
        <w:tc>
          <w:tcPr>
            <w:tcW w:w="452" w:type="pct"/>
            <w:shd w:val="clear" w:color="auto" w:fill="auto"/>
            <w:noWrap/>
          </w:tcPr>
          <w:p w14:paraId="77324434" w14:textId="77777777" w:rsidR="00587C3F" w:rsidRPr="00555A4F" w:rsidRDefault="00587C3F" w:rsidP="00154ED6">
            <w:pPr>
              <w:jc w:val="center"/>
            </w:pPr>
          </w:p>
        </w:tc>
        <w:tc>
          <w:tcPr>
            <w:tcW w:w="445" w:type="pct"/>
            <w:shd w:val="clear" w:color="auto" w:fill="auto"/>
            <w:noWrap/>
          </w:tcPr>
          <w:p w14:paraId="5E6F7F9B" w14:textId="77777777" w:rsidR="00587C3F" w:rsidRPr="00555A4F" w:rsidRDefault="00587C3F" w:rsidP="00154ED6">
            <w:pPr>
              <w:jc w:val="center"/>
            </w:pPr>
          </w:p>
        </w:tc>
      </w:tr>
      <w:tr w:rsidR="00587C3F" w14:paraId="2E0B4765"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tcBorders>
              <w:bottom w:val="single" w:sz="4" w:space="0" w:color="auto"/>
            </w:tcBorders>
          </w:tcPr>
          <w:p w14:paraId="09CF7A57" w14:textId="77777777" w:rsidR="00587C3F" w:rsidRPr="00114103"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712" w:type="pct"/>
            <w:vMerge/>
            <w:tcBorders>
              <w:bottom w:val="single" w:sz="4" w:space="0" w:color="auto"/>
            </w:tcBorders>
          </w:tcPr>
          <w:p w14:paraId="7795245C"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449" w:type="pct"/>
            <w:tcBorders>
              <w:bottom w:val="single" w:sz="4" w:space="0" w:color="auto"/>
            </w:tcBorders>
          </w:tcPr>
          <w:p w14:paraId="2FA0C593"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tcBorders>
              <w:bottom w:val="single" w:sz="4" w:space="0" w:color="auto"/>
            </w:tcBorders>
            <w:shd w:val="clear" w:color="auto" w:fill="FFFF00"/>
            <w:noWrap/>
          </w:tcPr>
          <w:p w14:paraId="45C85E76" w14:textId="77777777" w:rsidR="00587C3F" w:rsidRPr="00555A4F" w:rsidRDefault="00587C3F" w:rsidP="00154ED6">
            <w:pPr>
              <w:jc w:val="center"/>
            </w:pPr>
            <w:r w:rsidRPr="00555A4F">
              <w:t>4</w:t>
            </w:r>
          </w:p>
        </w:tc>
        <w:tc>
          <w:tcPr>
            <w:tcW w:w="449" w:type="pct"/>
            <w:tcBorders>
              <w:bottom w:val="single" w:sz="4" w:space="0" w:color="auto"/>
            </w:tcBorders>
            <w:shd w:val="clear" w:color="auto" w:fill="FFFF00"/>
            <w:noWrap/>
          </w:tcPr>
          <w:p w14:paraId="32DCA857" w14:textId="77777777" w:rsidR="00587C3F" w:rsidRPr="00555A4F" w:rsidRDefault="00587C3F" w:rsidP="00154ED6">
            <w:pPr>
              <w:jc w:val="center"/>
            </w:pPr>
            <w:r w:rsidRPr="00555A4F">
              <w:t>4</w:t>
            </w:r>
          </w:p>
        </w:tc>
        <w:tc>
          <w:tcPr>
            <w:tcW w:w="452" w:type="pct"/>
            <w:tcBorders>
              <w:bottom w:val="single" w:sz="4" w:space="0" w:color="auto"/>
            </w:tcBorders>
            <w:shd w:val="clear" w:color="auto" w:fill="92D050"/>
            <w:noWrap/>
          </w:tcPr>
          <w:p w14:paraId="5632D26B" w14:textId="77777777" w:rsidR="00587C3F" w:rsidRPr="00555A4F" w:rsidRDefault="00587C3F" w:rsidP="00154ED6">
            <w:pPr>
              <w:jc w:val="center"/>
            </w:pPr>
            <w:r w:rsidRPr="00555A4F">
              <w:t>5</w:t>
            </w:r>
          </w:p>
        </w:tc>
        <w:tc>
          <w:tcPr>
            <w:tcW w:w="449" w:type="pct"/>
            <w:tcBorders>
              <w:bottom w:val="single" w:sz="4" w:space="0" w:color="auto"/>
            </w:tcBorders>
            <w:shd w:val="clear" w:color="auto" w:fill="92D050"/>
            <w:noWrap/>
          </w:tcPr>
          <w:p w14:paraId="76BF3147" w14:textId="77777777" w:rsidR="00587C3F" w:rsidRPr="00555A4F" w:rsidRDefault="00587C3F" w:rsidP="00154ED6">
            <w:pPr>
              <w:jc w:val="center"/>
            </w:pPr>
            <w:r w:rsidRPr="00555A4F">
              <w:t>5</w:t>
            </w:r>
          </w:p>
        </w:tc>
        <w:tc>
          <w:tcPr>
            <w:tcW w:w="452" w:type="pct"/>
            <w:tcBorders>
              <w:bottom w:val="single" w:sz="4" w:space="0" w:color="auto"/>
            </w:tcBorders>
            <w:shd w:val="clear" w:color="auto" w:fill="FFFF00"/>
            <w:noWrap/>
          </w:tcPr>
          <w:p w14:paraId="1FD26BE7" w14:textId="77777777" w:rsidR="00587C3F" w:rsidRPr="00555A4F" w:rsidRDefault="00587C3F" w:rsidP="00154ED6">
            <w:pPr>
              <w:jc w:val="center"/>
            </w:pPr>
            <w:r w:rsidRPr="00555A4F">
              <w:t>4</w:t>
            </w:r>
          </w:p>
        </w:tc>
        <w:tc>
          <w:tcPr>
            <w:tcW w:w="445" w:type="pct"/>
            <w:shd w:val="clear" w:color="auto" w:fill="92D050"/>
            <w:noWrap/>
          </w:tcPr>
          <w:p w14:paraId="6682412D" w14:textId="77777777" w:rsidR="00587C3F" w:rsidRDefault="00587C3F" w:rsidP="00154ED6">
            <w:pPr>
              <w:jc w:val="center"/>
            </w:pPr>
            <w:r w:rsidRPr="00555A4F">
              <w:t>5</w:t>
            </w:r>
          </w:p>
        </w:tc>
      </w:tr>
      <w:tr w:rsidR="00587C3F" w:rsidRPr="00774F76" w14:paraId="0E3662C8"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val="restart"/>
          </w:tcPr>
          <w:p w14:paraId="01BEC4B0" w14:textId="77777777" w:rsidR="00587C3F" w:rsidRPr="00114103" w:rsidRDefault="00587C3F" w:rsidP="00154ED6">
            <w:pPr>
              <w:rPr>
                <w:rFonts w:ascii="Arial" w:hAnsi="Arial" w:cs="Arial"/>
                <w:color w:val="595959" w:themeColor="text1" w:themeTint="A6"/>
                <w:sz w:val="16"/>
                <w:szCs w:val="16"/>
              </w:rPr>
            </w:pPr>
            <w:r w:rsidRPr="00116C3A">
              <w:rPr>
                <w:rFonts w:ascii="Arial" w:hAnsi="Arial" w:cs="Arial"/>
                <w:color w:val="595959" w:themeColor="text1" w:themeTint="A6"/>
                <w:sz w:val="16"/>
                <w:szCs w:val="16"/>
              </w:rPr>
              <w:t>Pacific Public Administration Governance Init</w:t>
            </w:r>
            <w:r>
              <w:rPr>
                <w:rFonts w:ascii="Arial" w:hAnsi="Arial" w:cs="Arial"/>
                <w:color w:val="595959" w:themeColor="text1" w:themeTint="A6"/>
                <w:sz w:val="16"/>
                <w:szCs w:val="16"/>
              </w:rPr>
              <w:t>i</w:t>
            </w:r>
            <w:r w:rsidRPr="00116C3A">
              <w:rPr>
                <w:rFonts w:ascii="Arial" w:hAnsi="Arial" w:cs="Arial"/>
                <w:color w:val="595959" w:themeColor="text1" w:themeTint="A6"/>
                <w:sz w:val="16"/>
                <w:szCs w:val="16"/>
              </w:rPr>
              <w:t>ative</w:t>
            </w:r>
          </w:p>
        </w:tc>
        <w:tc>
          <w:tcPr>
            <w:tcW w:w="712" w:type="pct"/>
            <w:vMerge w:val="restart"/>
          </w:tcPr>
          <w:p w14:paraId="0E8C42FF" w14:textId="77777777" w:rsidR="00587C3F"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$17m</w:t>
            </w:r>
          </w:p>
          <w:p w14:paraId="35F2E6D0"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2014-2022</w:t>
            </w:r>
          </w:p>
        </w:tc>
        <w:tc>
          <w:tcPr>
            <w:tcW w:w="449" w:type="pct"/>
          </w:tcPr>
          <w:p w14:paraId="428D908E"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2019 AQC</w:t>
            </w:r>
          </w:p>
        </w:tc>
        <w:tc>
          <w:tcPr>
            <w:tcW w:w="451" w:type="pct"/>
            <w:shd w:val="clear" w:color="auto" w:fill="FFFF00"/>
            <w:noWrap/>
          </w:tcPr>
          <w:p w14:paraId="4BEF6D01" w14:textId="77777777" w:rsidR="00587C3F" w:rsidRPr="00774F76" w:rsidRDefault="00587C3F" w:rsidP="00154ED6">
            <w:pPr>
              <w:jc w:val="center"/>
            </w:pPr>
            <w:r w:rsidRPr="00D92EE6">
              <w:t>4</w:t>
            </w:r>
          </w:p>
        </w:tc>
        <w:tc>
          <w:tcPr>
            <w:tcW w:w="449" w:type="pct"/>
            <w:shd w:val="clear" w:color="auto" w:fill="92D050"/>
            <w:noWrap/>
          </w:tcPr>
          <w:p w14:paraId="3B359BE6" w14:textId="77777777" w:rsidR="00587C3F" w:rsidRPr="00774F76" w:rsidRDefault="00587C3F" w:rsidP="00154ED6">
            <w:pPr>
              <w:jc w:val="center"/>
            </w:pPr>
            <w:r w:rsidRPr="00D92EE6">
              <w:t>5</w:t>
            </w:r>
          </w:p>
        </w:tc>
        <w:tc>
          <w:tcPr>
            <w:tcW w:w="452" w:type="pct"/>
            <w:shd w:val="clear" w:color="auto" w:fill="auto"/>
            <w:noWrap/>
          </w:tcPr>
          <w:p w14:paraId="12AAACE9" w14:textId="77777777" w:rsidR="00587C3F" w:rsidRPr="00774F76" w:rsidRDefault="00587C3F" w:rsidP="00154ED6">
            <w:pPr>
              <w:jc w:val="center"/>
            </w:pPr>
            <w:r w:rsidRPr="00D92EE6">
              <w:t> </w:t>
            </w:r>
          </w:p>
        </w:tc>
        <w:tc>
          <w:tcPr>
            <w:tcW w:w="449" w:type="pct"/>
            <w:shd w:val="clear" w:color="auto" w:fill="FFC000"/>
            <w:noWrap/>
          </w:tcPr>
          <w:p w14:paraId="38B81EC4" w14:textId="77777777" w:rsidR="00587C3F" w:rsidRPr="00774F76" w:rsidRDefault="00587C3F" w:rsidP="00154ED6">
            <w:pPr>
              <w:jc w:val="center"/>
            </w:pPr>
            <w:r w:rsidRPr="00D92EE6">
              <w:t>3</w:t>
            </w:r>
          </w:p>
        </w:tc>
        <w:tc>
          <w:tcPr>
            <w:tcW w:w="452" w:type="pct"/>
            <w:shd w:val="clear" w:color="auto" w:fill="auto"/>
            <w:noWrap/>
          </w:tcPr>
          <w:p w14:paraId="0A8120EB" w14:textId="77777777" w:rsidR="00587C3F" w:rsidRPr="00774F76" w:rsidRDefault="00587C3F" w:rsidP="00154ED6">
            <w:pPr>
              <w:jc w:val="center"/>
            </w:pPr>
          </w:p>
        </w:tc>
        <w:tc>
          <w:tcPr>
            <w:tcW w:w="445" w:type="pct"/>
            <w:shd w:val="clear" w:color="auto" w:fill="auto"/>
            <w:noWrap/>
          </w:tcPr>
          <w:p w14:paraId="16D89770" w14:textId="77777777" w:rsidR="00587C3F" w:rsidRPr="00774F76" w:rsidRDefault="00587C3F" w:rsidP="00154ED6">
            <w:pPr>
              <w:jc w:val="center"/>
            </w:pPr>
          </w:p>
        </w:tc>
      </w:tr>
      <w:tr w:rsidR="00587C3F" w14:paraId="36F736E8"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tcBorders>
              <w:bottom w:val="single" w:sz="4" w:space="0" w:color="auto"/>
            </w:tcBorders>
          </w:tcPr>
          <w:p w14:paraId="577843E2" w14:textId="77777777" w:rsidR="00587C3F" w:rsidRPr="00114103"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712" w:type="pct"/>
            <w:vMerge/>
            <w:tcBorders>
              <w:bottom w:val="single" w:sz="4" w:space="0" w:color="auto"/>
            </w:tcBorders>
          </w:tcPr>
          <w:p w14:paraId="3BD11BE7"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449" w:type="pct"/>
            <w:tcBorders>
              <w:bottom w:val="single" w:sz="4" w:space="0" w:color="auto"/>
            </w:tcBorders>
          </w:tcPr>
          <w:p w14:paraId="60284ED9"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tcBorders>
              <w:bottom w:val="single" w:sz="4" w:space="0" w:color="auto"/>
            </w:tcBorders>
            <w:shd w:val="clear" w:color="auto" w:fill="FFFF00"/>
            <w:noWrap/>
          </w:tcPr>
          <w:p w14:paraId="0565C42F" w14:textId="77777777" w:rsidR="00587C3F" w:rsidRPr="00774F76" w:rsidRDefault="00587C3F" w:rsidP="00154ED6">
            <w:pPr>
              <w:jc w:val="center"/>
            </w:pPr>
            <w:r w:rsidRPr="00774F76">
              <w:t>4</w:t>
            </w:r>
          </w:p>
        </w:tc>
        <w:tc>
          <w:tcPr>
            <w:tcW w:w="449" w:type="pct"/>
            <w:tcBorders>
              <w:bottom w:val="single" w:sz="4" w:space="0" w:color="auto"/>
            </w:tcBorders>
            <w:shd w:val="clear" w:color="auto" w:fill="FFFF00"/>
            <w:noWrap/>
          </w:tcPr>
          <w:p w14:paraId="2C240163" w14:textId="77777777" w:rsidR="00587C3F" w:rsidRPr="00774F76" w:rsidRDefault="00587C3F" w:rsidP="00154ED6">
            <w:pPr>
              <w:jc w:val="center"/>
            </w:pPr>
            <w:r w:rsidRPr="00774F76">
              <w:t>4</w:t>
            </w:r>
          </w:p>
        </w:tc>
        <w:tc>
          <w:tcPr>
            <w:tcW w:w="452" w:type="pct"/>
            <w:tcBorders>
              <w:bottom w:val="single" w:sz="4" w:space="0" w:color="auto"/>
            </w:tcBorders>
            <w:shd w:val="clear" w:color="auto" w:fill="92D050"/>
            <w:noWrap/>
          </w:tcPr>
          <w:p w14:paraId="7C560349" w14:textId="77777777" w:rsidR="00587C3F" w:rsidRPr="00774F76" w:rsidRDefault="00587C3F" w:rsidP="00154ED6">
            <w:pPr>
              <w:jc w:val="center"/>
            </w:pPr>
            <w:r w:rsidRPr="00774F76">
              <w:t>6</w:t>
            </w:r>
          </w:p>
        </w:tc>
        <w:tc>
          <w:tcPr>
            <w:tcW w:w="449" w:type="pct"/>
            <w:tcBorders>
              <w:bottom w:val="single" w:sz="4" w:space="0" w:color="auto"/>
            </w:tcBorders>
            <w:shd w:val="clear" w:color="auto" w:fill="FFC000"/>
            <w:noWrap/>
          </w:tcPr>
          <w:p w14:paraId="0AC8FCF0" w14:textId="77777777" w:rsidR="00587C3F" w:rsidRPr="00774F76" w:rsidRDefault="00587C3F" w:rsidP="00154ED6">
            <w:pPr>
              <w:jc w:val="center"/>
            </w:pPr>
            <w:r w:rsidRPr="00774F76">
              <w:t>3</w:t>
            </w:r>
          </w:p>
        </w:tc>
        <w:tc>
          <w:tcPr>
            <w:tcW w:w="452" w:type="pct"/>
            <w:tcBorders>
              <w:bottom w:val="single" w:sz="4" w:space="0" w:color="auto"/>
            </w:tcBorders>
            <w:shd w:val="clear" w:color="auto" w:fill="FFC000"/>
            <w:noWrap/>
          </w:tcPr>
          <w:p w14:paraId="5B9C2893" w14:textId="77777777" w:rsidR="00587C3F" w:rsidRPr="00774F76" w:rsidRDefault="00587C3F" w:rsidP="00154ED6">
            <w:pPr>
              <w:jc w:val="center"/>
            </w:pPr>
            <w:r w:rsidRPr="00774F76">
              <w:t>3</w:t>
            </w:r>
          </w:p>
        </w:tc>
        <w:tc>
          <w:tcPr>
            <w:tcW w:w="445" w:type="pct"/>
            <w:tcBorders>
              <w:bottom w:val="single" w:sz="4" w:space="0" w:color="auto"/>
            </w:tcBorders>
            <w:shd w:val="clear" w:color="auto" w:fill="FFFF00"/>
            <w:noWrap/>
          </w:tcPr>
          <w:p w14:paraId="10CD81BF" w14:textId="77777777" w:rsidR="00587C3F" w:rsidRDefault="00587C3F" w:rsidP="00154ED6">
            <w:pPr>
              <w:jc w:val="center"/>
            </w:pPr>
            <w:r w:rsidRPr="00774F76">
              <w:t>4</w:t>
            </w:r>
          </w:p>
        </w:tc>
      </w:tr>
    </w:tbl>
    <w:p w14:paraId="450236CD" w14:textId="77777777" w:rsidR="00587C3F" w:rsidRDefault="00587C3F" w:rsidP="00587C3F"/>
    <w:tbl>
      <w:tblPr>
        <w:tblStyle w:val="APPR"/>
        <w:tblW w:w="4573" w:type="pct"/>
        <w:tblLook w:val="0000" w:firstRow="0" w:lastRow="0" w:firstColumn="0" w:lastColumn="0" w:noHBand="0" w:noVBand="0"/>
      </w:tblPr>
      <w:tblGrid>
        <w:gridCol w:w="1771"/>
        <w:gridCol w:w="1284"/>
        <w:gridCol w:w="820"/>
        <w:gridCol w:w="823"/>
        <w:gridCol w:w="820"/>
        <w:gridCol w:w="825"/>
        <w:gridCol w:w="820"/>
        <w:gridCol w:w="825"/>
        <w:gridCol w:w="827"/>
      </w:tblGrid>
      <w:tr w:rsidR="00587C3F" w:rsidRPr="00B93AAF" w14:paraId="073F1714" w14:textId="77777777" w:rsidTr="00154ED6">
        <w:trPr>
          <w:cnfStyle w:val="000000010000" w:firstRow="0" w:lastRow="0" w:firstColumn="0" w:lastColumn="0" w:oddVBand="0" w:evenVBand="0" w:oddHBand="0" w:evenHBand="1" w:firstRowFirstColumn="0" w:firstRowLastColumn="0" w:lastRowFirstColumn="0" w:lastRowLastColumn="0"/>
          <w:trHeight w:val="1110"/>
        </w:trPr>
        <w:tc>
          <w:tcPr>
            <w:tcW w:w="981" w:type="pct"/>
            <w:shd w:val="clear" w:color="auto" w:fill="auto"/>
          </w:tcPr>
          <w:p w14:paraId="00FD2C1F" w14:textId="77777777" w:rsidR="00587C3F" w:rsidRPr="008E51DE" w:rsidRDefault="00587C3F" w:rsidP="00154ED6">
            <w:pPr>
              <w:rPr>
                <w:rFonts w:ascii="Arial" w:hAnsi="Arial" w:cs="Arial"/>
                <w:color w:val="595959" w:themeColor="text1" w:themeTint="A6"/>
                <w:sz w:val="16"/>
                <w:szCs w:val="16"/>
              </w:rPr>
            </w:pPr>
            <w:r w:rsidRPr="00A427C6">
              <w:rPr>
                <w:rFonts w:eastAsia="Times New Roman"/>
                <w:b/>
                <w:iCs/>
                <w:noProof/>
                <w:szCs w:val="17"/>
                <w:lang w:val="en-AU"/>
              </w:rPr>
              <w:drawing>
                <wp:anchor distT="0" distB="0" distL="114300" distR="114300" simplePos="0" relativeHeight="251685888" behindDoc="0" locked="0" layoutInCell="1" allowOverlap="1" wp14:anchorId="3066EA45" wp14:editId="773619F4">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7C6">
              <w:rPr>
                <w:rFonts w:asciiTheme="minorHAnsi" w:eastAsia="Times New Roman" w:hAnsiTheme="minorHAnsi"/>
                <w:b/>
                <w:iCs/>
                <w:szCs w:val="17"/>
                <w:lang w:eastAsia="en-US"/>
              </w:rPr>
              <w:t>Investment name</w:t>
            </w:r>
          </w:p>
        </w:tc>
        <w:tc>
          <w:tcPr>
            <w:tcW w:w="712" w:type="pct"/>
            <w:shd w:val="clear" w:color="auto" w:fill="auto"/>
            <w:textDirection w:val="btLr"/>
          </w:tcPr>
          <w:p w14:paraId="0B9245FB" w14:textId="77777777" w:rsidR="00587C3F" w:rsidRDefault="00587C3F" w:rsidP="00154ED6">
            <w:pPr>
              <w:keepLines/>
              <w:spacing w:before="40" w:after="40" w:line="200" w:lineRule="atLeast"/>
              <w:rPr>
                <w:rFonts w:eastAsia="Times New Roman"/>
                <w:iCs/>
                <w:color w:val="595959" w:themeColor="text1" w:themeTint="A6"/>
                <w:szCs w:val="17"/>
              </w:rPr>
            </w:pPr>
            <w:r w:rsidRPr="00A427C6">
              <w:rPr>
                <w:rFonts w:asciiTheme="minorHAnsi" w:eastAsia="Times New Roman" w:hAnsiTheme="minorHAnsi"/>
                <w:b/>
                <w:iCs/>
                <w:szCs w:val="17"/>
                <w:lang w:eastAsia="en-US"/>
              </w:rPr>
              <w:t>Approved budget and duration</w:t>
            </w:r>
          </w:p>
        </w:tc>
        <w:tc>
          <w:tcPr>
            <w:tcW w:w="449" w:type="pct"/>
            <w:shd w:val="clear" w:color="auto" w:fill="auto"/>
            <w:textDirection w:val="btLr"/>
          </w:tcPr>
          <w:p w14:paraId="059361D0" w14:textId="77777777" w:rsidR="00587C3F" w:rsidRDefault="00587C3F" w:rsidP="00154ED6">
            <w:pPr>
              <w:keepLines/>
              <w:spacing w:before="40" w:after="40" w:line="200" w:lineRule="atLeast"/>
              <w:rPr>
                <w:rFonts w:eastAsia="Times New Roman"/>
                <w:iCs/>
                <w:color w:val="595959" w:themeColor="text1" w:themeTint="A6"/>
                <w:szCs w:val="17"/>
              </w:rPr>
            </w:pPr>
            <w:r w:rsidRPr="00A427C6">
              <w:rPr>
                <w:rFonts w:asciiTheme="minorHAnsi" w:eastAsia="Times New Roman" w:hAnsiTheme="minorHAnsi"/>
                <w:b/>
                <w:iCs/>
                <w:szCs w:val="17"/>
                <w:lang w:eastAsia="en-US"/>
              </w:rPr>
              <w:t>year</w:t>
            </w:r>
          </w:p>
        </w:tc>
        <w:tc>
          <w:tcPr>
            <w:tcW w:w="451" w:type="pct"/>
            <w:shd w:val="clear" w:color="auto" w:fill="auto"/>
            <w:noWrap/>
            <w:textDirection w:val="btLr"/>
          </w:tcPr>
          <w:p w14:paraId="021C2D50" w14:textId="77777777" w:rsidR="00587C3F" w:rsidRPr="00B93AAF" w:rsidRDefault="00587C3F" w:rsidP="00154ED6">
            <w:r>
              <w:rPr>
                <w:rFonts w:asciiTheme="minorHAnsi" w:eastAsia="Times New Roman" w:hAnsiTheme="minorHAnsi"/>
                <w:b/>
                <w:iCs/>
                <w:szCs w:val="17"/>
                <w:lang w:eastAsia="en-US"/>
              </w:rPr>
              <w:t>Effectiveness</w:t>
            </w:r>
          </w:p>
        </w:tc>
        <w:tc>
          <w:tcPr>
            <w:tcW w:w="449" w:type="pct"/>
            <w:shd w:val="clear" w:color="auto" w:fill="auto"/>
            <w:noWrap/>
            <w:textDirection w:val="btLr"/>
          </w:tcPr>
          <w:p w14:paraId="0E030F80" w14:textId="77777777" w:rsidR="00587C3F" w:rsidRPr="00B93AAF" w:rsidRDefault="00587C3F" w:rsidP="00154ED6">
            <w:r w:rsidRPr="00A427C6">
              <w:rPr>
                <w:rFonts w:asciiTheme="minorHAnsi" w:eastAsia="Times New Roman" w:hAnsiTheme="minorHAnsi"/>
                <w:b/>
                <w:iCs/>
                <w:szCs w:val="17"/>
                <w:lang w:eastAsia="en-US"/>
              </w:rPr>
              <w:t>Efficiency</w:t>
            </w:r>
          </w:p>
        </w:tc>
        <w:tc>
          <w:tcPr>
            <w:tcW w:w="452" w:type="pct"/>
            <w:shd w:val="clear" w:color="auto" w:fill="auto"/>
            <w:noWrap/>
            <w:textDirection w:val="btLr"/>
          </w:tcPr>
          <w:p w14:paraId="26764A87" w14:textId="77777777" w:rsidR="00587C3F" w:rsidRPr="00B93AAF" w:rsidRDefault="00587C3F" w:rsidP="00154ED6">
            <w:r>
              <w:rPr>
                <w:rFonts w:asciiTheme="minorHAnsi" w:eastAsia="Times New Roman" w:hAnsiTheme="minorHAnsi"/>
                <w:b/>
                <w:iCs/>
                <w:szCs w:val="17"/>
                <w:lang w:eastAsia="en-US"/>
              </w:rPr>
              <w:t>Relevance</w:t>
            </w:r>
          </w:p>
        </w:tc>
        <w:tc>
          <w:tcPr>
            <w:tcW w:w="449" w:type="pct"/>
            <w:shd w:val="clear" w:color="auto" w:fill="auto"/>
            <w:noWrap/>
            <w:textDirection w:val="btLr"/>
          </w:tcPr>
          <w:p w14:paraId="2315E58A" w14:textId="77777777" w:rsidR="00587C3F" w:rsidRPr="00B93AAF" w:rsidRDefault="00587C3F" w:rsidP="00154ED6">
            <w:r>
              <w:rPr>
                <w:rFonts w:asciiTheme="minorHAnsi" w:eastAsia="Times New Roman" w:hAnsiTheme="minorHAnsi"/>
                <w:b/>
                <w:iCs/>
                <w:szCs w:val="17"/>
                <w:lang w:eastAsia="en-US"/>
              </w:rPr>
              <w:t>Gender equality</w:t>
            </w:r>
          </w:p>
        </w:tc>
        <w:tc>
          <w:tcPr>
            <w:tcW w:w="452" w:type="pct"/>
            <w:shd w:val="clear" w:color="auto" w:fill="auto"/>
            <w:noWrap/>
            <w:textDirection w:val="btLr"/>
          </w:tcPr>
          <w:p w14:paraId="1A139BB7" w14:textId="77777777" w:rsidR="00587C3F" w:rsidRPr="00B93AAF" w:rsidRDefault="00587C3F" w:rsidP="00154ED6">
            <w:r w:rsidRPr="00A427C6">
              <w:rPr>
                <w:rFonts w:asciiTheme="minorHAnsi" w:eastAsia="Times New Roman" w:hAnsiTheme="minorHAnsi"/>
                <w:b/>
                <w:iCs/>
                <w:szCs w:val="17"/>
                <w:lang w:eastAsia="en-US"/>
              </w:rPr>
              <w:t>Monitoring and Evaluation</w:t>
            </w:r>
          </w:p>
        </w:tc>
        <w:tc>
          <w:tcPr>
            <w:tcW w:w="445" w:type="pct"/>
            <w:shd w:val="clear" w:color="auto" w:fill="auto"/>
            <w:noWrap/>
            <w:textDirection w:val="btLr"/>
          </w:tcPr>
          <w:p w14:paraId="7D497CA1" w14:textId="77777777" w:rsidR="00587C3F" w:rsidRPr="00B93AAF" w:rsidRDefault="00587C3F" w:rsidP="00154ED6">
            <w:r w:rsidRPr="00A427C6">
              <w:rPr>
                <w:rFonts w:asciiTheme="minorHAnsi" w:eastAsia="Times New Roman" w:hAnsiTheme="minorHAnsi"/>
                <w:b/>
                <w:iCs/>
                <w:szCs w:val="17"/>
                <w:lang w:eastAsia="en-US"/>
              </w:rPr>
              <w:t xml:space="preserve">Sustainability </w:t>
            </w:r>
          </w:p>
        </w:tc>
      </w:tr>
      <w:tr w:rsidR="00587C3F" w:rsidRPr="00B93AAF" w14:paraId="3551FD48"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val="restart"/>
          </w:tcPr>
          <w:p w14:paraId="1A650966" w14:textId="77777777" w:rsidR="00587C3F" w:rsidRPr="00114103" w:rsidRDefault="00587C3F" w:rsidP="00154ED6">
            <w:pPr>
              <w:rPr>
                <w:rFonts w:ascii="Arial" w:hAnsi="Arial" w:cs="Arial"/>
                <w:color w:val="595959" w:themeColor="text1" w:themeTint="A6"/>
                <w:sz w:val="16"/>
                <w:szCs w:val="16"/>
              </w:rPr>
            </w:pPr>
            <w:r w:rsidRPr="008E51DE">
              <w:rPr>
                <w:rFonts w:ascii="Arial" w:hAnsi="Arial" w:cs="Arial"/>
                <w:color w:val="595959" w:themeColor="text1" w:themeTint="A6"/>
                <w:sz w:val="16"/>
                <w:szCs w:val="16"/>
              </w:rPr>
              <w:t>Pacific Regional Health Strategy</w:t>
            </w:r>
          </w:p>
        </w:tc>
        <w:tc>
          <w:tcPr>
            <w:tcW w:w="712" w:type="pct"/>
            <w:vMerge w:val="restart"/>
          </w:tcPr>
          <w:p w14:paraId="31264B33" w14:textId="77777777" w:rsidR="00587C3F"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$39m</w:t>
            </w:r>
          </w:p>
          <w:p w14:paraId="251F9F66"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2013-2021</w:t>
            </w:r>
          </w:p>
        </w:tc>
        <w:tc>
          <w:tcPr>
            <w:tcW w:w="449" w:type="pct"/>
          </w:tcPr>
          <w:p w14:paraId="4932C48D"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2019 AQC</w:t>
            </w:r>
          </w:p>
        </w:tc>
        <w:tc>
          <w:tcPr>
            <w:tcW w:w="451" w:type="pct"/>
            <w:shd w:val="clear" w:color="auto" w:fill="FFFF00"/>
            <w:noWrap/>
          </w:tcPr>
          <w:p w14:paraId="3BAB2D6A" w14:textId="77777777" w:rsidR="00587C3F" w:rsidRPr="00B93AAF" w:rsidRDefault="00587C3F" w:rsidP="00154ED6">
            <w:pPr>
              <w:jc w:val="center"/>
            </w:pPr>
            <w:r w:rsidRPr="00D92EE6">
              <w:t>4</w:t>
            </w:r>
          </w:p>
        </w:tc>
        <w:tc>
          <w:tcPr>
            <w:tcW w:w="449" w:type="pct"/>
            <w:shd w:val="clear" w:color="auto" w:fill="FFFF00"/>
            <w:noWrap/>
          </w:tcPr>
          <w:p w14:paraId="30FA0D55" w14:textId="77777777" w:rsidR="00587C3F" w:rsidRPr="00B93AAF" w:rsidRDefault="00587C3F" w:rsidP="00154ED6">
            <w:pPr>
              <w:jc w:val="center"/>
            </w:pPr>
            <w:r w:rsidRPr="00D92EE6">
              <w:t>4</w:t>
            </w:r>
          </w:p>
        </w:tc>
        <w:tc>
          <w:tcPr>
            <w:tcW w:w="452" w:type="pct"/>
            <w:shd w:val="clear" w:color="auto" w:fill="auto"/>
            <w:noWrap/>
          </w:tcPr>
          <w:p w14:paraId="03DE36D9" w14:textId="77777777" w:rsidR="00587C3F" w:rsidRPr="00B93AAF" w:rsidRDefault="00587C3F" w:rsidP="00154ED6">
            <w:pPr>
              <w:jc w:val="center"/>
            </w:pPr>
            <w:r w:rsidRPr="00D92EE6">
              <w:t> </w:t>
            </w:r>
          </w:p>
        </w:tc>
        <w:tc>
          <w:tcPr>
            <w:tcW w:w="449" w:type="pct"/>
            <w:shd w:val="clear" w:color="auto" w:fill="FFC000"/>
            <w:noWrap/>
          </w:tcPr>
          <w:p w14:paraId="7EEAC273" w14:textId="77777777" w:rsidR="00587C3F" w:rsidRPr="00B93AAF" w:rsidRDefault="00587C3F" w:rsidP="00154ED6">
            <w:pPr>
              <w:jc w:val="center"/>
            </w:pPr>
            <w:r w:rsidRPr="00D92EE6">
              <w:t>3</w:t>
            </w:r>
          </w:p>
        </w:tc>
        <w:tc>
          <w:tcPr>
            <w:tcW w:w="452" w:type="pct"/>
            <w:shd w:val="clear" w:color="auto" w:fill="auto"/>
            <w:noWrap/>
          </w:tcPr>
          <w:p w14:paraId="0F32A8A5" w14:textId="77777777" w:rsidR="00587C3F" w:rsidRPr="00B93AAF" w:rsidRDefault="00587C3F" w:rsidP="00154ED6">
            <w:pPr>
              <w:jc w:val="center"/>
            </w:pPr>
          </w:p>
        </w:tc>
        <w:tc>
          <w:tcPr>
            <w:tcW w:w="445" w:type="pct"/>
            <w:shd w:val="clear" w:color="auto" w:fill="auto"/>
            <w:noWrap/>
          </w:tcPr>
          <w:p w14:paraId="257C86F4" w14:textId="77777777" w:rsidR="00587C3F" w:rsidRPr="00B93AAF" w:rsidRDefault="00587C3F" w:rsidP="00154ED6">
            <w:pPr>
              <w:jc w:val="center"/>
            </w:pPr>
          </w:p>
        </w:tc>
      </w:tr>
      <w:tr w:rsidR="00587C3F" w14:paraId="08C4E10F" w14:textId="77777777" w:rsidTr="00154ED6">
        <w:trPr>
          <w:cnfStyle w:val="000000010000" w:firstRow="0" w:lastRow="0" w:firstColumn="0" w:lastColumn="0" w:oddVBand="0" w:evenVBand="0" w:oddHBand="0" w:evenHBand="1" w:firstRowFirstColumn="0" w:firstRowLastColumn="0" w:lastRowFirstColumn="0" w:lastRowLastColumn="0"/>
          <w:trHeight w:val="547"/>
        </w:trPr>
        <w:tc>
          <w:tcPr>
            <w:tcW w:w="981" w:type="pct"/>
            <w:vMerge/>
            <w:tcBorders>
              <w:bottom w:val="single" w:sz="4" w:space="0" w:color="auto"/>
            </w:tcBorders>
          </w:tcPr>
          <w:p w14:paraId="256E874D" w14:textId="77777777" w:rsidR="00587C3F" w:rsidRPr="00F738F8" w:rsidRDefault="00587C3F" w:rsidP="00154ED6">
            <w:pPr>
              <w:rPr>
                <w:rFonts w:ascii="Arial" w:hAnsi="Arial" w:cs="Arial"/>
                <w:color w:val="595959" w:themeColor="text1" w:themeTint="A6"/>
                <w:sz w:val="16"/>
                <w:szCs w:val="16"/>
              </w:rPr>
            </w:pPr>
          </w:p>
        </w:tc>
        <w:tc>
          <w:tcPr>
            <w:tcW w:w="712" w:type="pct"/>
            <w:vMerge/>
            <w:tcBorders>
              <w:bottom w:val="single" w:sz="4" w:space="0" w:color="auto"/>
            </w:tcBorders>
          </w:tcPr>
          <w:p w14:paraId="1C496E24"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449" w:type="pct"/>
            <w:tcBorders>
              <w:bottom w:val="single" w:sz="4" w:space="0" w:color="auto"/>
            </w:tcBorders>
          </w:tcPr>
          <w:p w14:paraId="48131466"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 xml:space="preserve">2018 </w:t>
            </w:r>
            <w:r w:rsidRPr="00FD46B5">
              <w:rPr>
                <w:rFonts w:asciiTheme="minorHAnsi" w:eastAsia="Times New Roman" w:hAnsiTheme="minorHAnsi"/>
                <w:iCs/>
                <w:color w:val="595959" w:themeColor="text1" w:themeTint="A6"/>
                <w:szCs w:val="17"/>
                <w:lang w:eastAsia="en-US"/>
              </w:rPr>
              <w:t>AQC</w:t>
            </w:r>
          </w:p>
        </w:tc>
        <w:tc>
          <w:tcPr>
            <w:tcW w:w="451" w:type="pct"/>
            <w:tcBorders>
              <w:bottom w:val="single" w:sz="4" w:space="0" w:color="auto"/>
            </w:tcBorders>
            <w:shd w:val="clear" w:color="auto" w:fill="92D050"/>
            <w:noWrap/>
          </w:tcPr>
          <w:p w14:paraId="1F02652C" w14:textId="77777777" w:rsidR="00587C3F" w:rsidRPr="00B93AAF" w:rsidRDefault="00587C3F" w:rsidP="00154ED6">
            <w:pPr>
              <w:jc w:val="center"/>
            </w:pPr>
            <w:r w:rsidRPr="00B93AAF">
              <w:t>5</w:t>
            </w:r>
          </w:p>
        </w:tc>
        <w:tc>
          <w:tcPr>
            <w:tcW w:w="449" w:type="pct"/>
            <w:tcBorders>
              <w:bottom w:val="single" w:sz="4" w:space="0" w:color="auto"/>
            </w:tcBorders>
            <w:shd w:val="clear" w:color="auto" w:fill="92D050"/>
            <w:noWrap/>
          </w:tcPr>
          <w:p w14:paraId="39F013D7" w14:textId="77777777" w:rsidR="00587C3F" w:rsidRPr="00B93AAF" w:rsidRDefault="00587C3F" w:rsidP="00154ED6">
            <w:pPr>
              <w:jc w:val="center"/>
            </w:pPr>
            <w:r w:rsidRPr="00B93AAF">
              <w:t>5</w:t>
            </w:r>
          </w:p>
        </w:tc>
        <w:tc>
          <w:tcPr>
            <w:tcW w:w="452" w:type="pct"/>
            <w:tcBorders>
              <w:bottom w:val="single" w:sz="4" w:space="0" w:color="auto"/>
            </w:tcBorders>
            <w:shd w:val="clear" w:color="auto" w:fill="92D050"/>
            <w:noWrap/>
          </w:tcPr>
          <w:p w14:paraId="4A35E430" w14:textId="77777777" w:rsidR="00587C3F" w:rsidRPr="00B93AAF" w:rsidRDefault="00587C3F" w:rsidP="00154ED6">
            <w:pPr>
              <w:jc w:val="center"/>
            </w:pPr>
            <w:r w:rsidRPr="00B93AAF">
              <w:t>5</w:t>
            </w:r>
          </w:p>
        </w:tc>
        <w:tc>
          <w:tcPr>
            <w:tcW w:w="449" w:type="pct"/>
            <w:tcBorders>
              <w:bottom w:val="single" w:sz="4" w:space="0" w:color="auto"/>
            </w:tcBorders>
            <w:shd w:val="clear" w:color="auto" w:fill="FFFF00"/>
            <w:noWrap/>
          </w:tcPr>
          <w:p w14:paraId="107FF16A" w14:textId="77777777" w:rsidR="00587C3F" w:rsidRPr="00B93AAF" w:rsidRDefault="00587C3F" w:rsidP="00154ED6">
            <w:pPr>
              <w:jc w:val="center"/>
            </w:pPr>
            <w:r w:rsidRPr="00B93AAF">
              <w:t>4</w:t>
            </w:r>
          </w:p>
        </w:tc>
        <w:tc>
          <w:tcPr>
            <w:tcW w:w="452" w:type="pct"/>
            <w:tcBorders>
              <w:bottom w:val="single" w:sz="4" w:space="0" w:color="auto"/>
            </w:tcBorders>
            <w:shd w:val="clear" w:color="auto" w:fill="FFFF00"/>
            <w:noWrap/>
          </w:tcPr>
          <w:p w14:paraId="175D192C" w14:textId="77777777" w:rsidR="00587C3F" w:rsidRPr="00B93AAF" w:rsidRDefault="00587C3F" w:rsidP="00154ED6">
            <w:pPr>
              <w:jc w:val="center"/>
            </w:pPr>
            <w:r w:rsidRPr="00B93AAF">
              <w:t>4</w:t>
            </w:r>
          </w:p>
        </w:tc>
        <w:tc>
          <w:tcPr>
            <w:tcW w:w="445" w:type="pct"/>
            <w:tcBorders>
              <w:bottom w:val="single" w:sz="4" w:space="0" w:color="auto"/>
            </w:tcBorders>
            <w:shd w:val="clear" w:color="auto" w:fill="FFFF00"/>
            <w:noWrap/>
          </w:tcPr>
          <w:p w14:paraId="699B6028" w14:textId="77777777" w:rsidR="00587C3F" w:rsidRDefault="00587C3F" w:rsidP="00154ED6">
            <w:pPr>
              <w:jc w:val="center"/>
            </w:pPr>
            <w:r w:rsidRPr="00B93AAF">
              <w:t>4</w:t>
            </w:r>
          </w:p>
        </w:tc>
      </w:tr>
      <w:tr w:rsidR="00587C3F" w14:paraId="1B642190" w14:textId="77777777" w:rsidTr="00154ED6">
        <w:trPr>
          <w:cnfStyle w:val="000000010000" w:firstRow="0" w:lastRow="0" w:firstColumn="0" w:lastColumn="0" w:oddVBand="0" w:evenVBand="0" w:oddHBand="0" w:evenHBand="1" w:firstRowFirstColumn="0" w:firstRowLastColumn="0" w:lastRowFirstColumn="0" w:lastRowLastColumn="0"/>
          <w:trHeight w:val="547"/>
        </w:trPr>
        <w:tc>
          <w:tcPr>
            <w:tcW w:w="981" w:type="pct"/>
            <w:vMerge w:val="restart"/>
          </w:tcPr>
          <w:p w14:paraId="03FABFF7" w14:textId="77777777" w:rsidR="00587C3F" w:rsidRPr="00F738F8" w:rsidRDefault="00587C3F" w:rsidP="00154ED6">
            <w:pPr>
              <w:rPr>
                <w:rFonts w:ascii="Arial" w:hAnsi="Arial" w:cs="Arial"/>
                <w:color w:val="595959" w:themeColor="text1" w:themeTint="A6"/>
                <w:sz w:val="16"/>
                <w:szCs w:val="16"/>
              </w:rPr>
            </w:pPr>
            <w:r w:rsidRPr="007F669B">
              <w:rPr>
                <w:rFonts w:ascii="Arial" w:hAnsi="Arial" w:cs="Arial"/>
                <w:color w:val="595959" w:themeColor="text1" w:themeTint="A6"/>
                <w:sz w:val="16"/>
                <w:szCs w:val="16"/>
              </w:rPr>
              <w:t>World Bank Pacific Facility 4</w:t>
            </w:r>
          </w:p>
        </w:tc>
        <w:tc>
          <w:tcPr>
            <w:tcW w:w="712" w:type="pct"/>
          </w:tcPr>
          <w:p w14:paraId="45A30D18" w14:textId="77777777" w:rsidR="00587C3F"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$67m</w:t>
            </w:r>
          </w:p>
          <w:p w14:paraId="1B3A2B8F" w14:textId="77777777" w:rsidR="00587C3F" w:rsidRPr="00FD46B5"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2013-2022</w:t>
            </w:r>
          </w:p>
        </w:tc>
        <w:tc>
          <w:tcPr>
            <w:tcW w:w="449" w:type="pct"/>
          </w:tcPr>
          <w:p w14:paraId="21A5DEA0"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2019 AQC</w:t>
            </w:r>
          </w:p>
        </w:tc>
        <w:tc>
          <w:tcPr>
            <w:tcW w:w="451" w:type="pct"/>
            <w:shd w:val="clear" w:color="auto" w:fill="FFFF00"/>
            <w:noWrap/>
          </w:tcPr>
          <w:p w14:paraId="735A5326" w14:textId="77777777" w:rsidR="00587C3F" w:rsidRPr="00B93AAF" w:rsidRDefault="00587C3F" w:rsidP="00154ED6">
            <w:pPr>
              <w:jc w:val="center"/>
            </w:pPr>
            <w:r>
              <w:t>4</w:t>
            </w:r>
          </w:p>
        </w:tc>
        <w:tc>
          <w:tcPr>
            <w:tcW w:w="449" w:type="pct"/>
            <w:shd w:val="clear" w:color="auto" w:fill="92D050"/>
            <w:noWrap/>
          </w:tcPr>
          <w:p w14:paraId="6B34CD64" w14:textId="77777777" w:rsidR="00587C3F" w:rsidRPr="00B93AAF" w:rsidRDefault="00587C3F" w:rsidP="00154ED6">
            <w:pPr>
              <w:jc w:val="center"/>
            </w:pPr>
            <w:r>
              <w:t>5</w:t>
            </w:r>
          </w:p>
        </w:tc>
        <w:tc>
          <w:tcPr>
            <w:tcW w:w="452" w:type="pct"/>
            <w:shd w:val="clear" w:color="auto" w:fill="auto"/>
            <w:noWrap/>
          </w:tcPr>
          <w:p w14:paraId="63B86771" w14:textId="77777777" w:rsidR="00587C3F" w:rsidRPr="00B93AAF" w:rsidRDefault="00587C3F" w:rsidP="00154ED6">
            <w:pPr>
              <w:jc w:val="center"/>
            </w:pPr>
          </w:p>
        </w:tc>
        <w:tc>
          <w:tcPr>
            <w:tcW w:w="449" w:type="pct"/>
            <w:shd w:val="clear" w:color="auto" w:fill="FFFF00"/>
            <w:noWrap/>
          </w:tcPr>
          <w:p w14:paraId="34654C78" w14:textId="77777777" w:rsidR="00587C3F" w:rsidRPr="00B93AAF" w:rsidRDefault="00587C3F" w:rsidP="00154ED6">
            <w:pPr>
              <w:jc w:val="center"/>
            </w:pPr>
            <w:r>
              <w:t>4</w:t>
            </w:r>
          </w:p>
        </w:tc>
        <w:tc>
          <w:tcPr>
            <w:tcW w:w="452" w:type="pct"/>
            <w:shd w:val="clear" w:color="auto" w:fill="auto"/>
            <w:noWrap/>
          </w:tcPr>
          <w:p w14:paraId="2D335915" w14:textId="77777777" w:rsidR="00587C3F" w:rsidRPr="00B93AAF" w:rsidRDefault="00587C3F" w:rsidP="00154ED6">
            <w:pPr>
              <w:jc w:val="center"/>
            </w:pPr>
          </w:p>
        </w:tc>
        <w:tc>
          <w:tcPr>
            <w:tcW w:w="445" w:type="pct"/>
            <w:shd w:val="clear" w:color="auto" w:fill="auto"/>
            <w:noWrap/>
          </w:tcPr>
          <w:p w14:paraId="25ED4B07" w14:textId="77777777" w:rsidR="00587C3F" w:rsidRPr="00B93AAF" w:rsidRDefault="00587C3F" w:rsidP="00154ED6">
            <w:pPr>
              <w:jc w:val="center"/>
            </w:pPr>
          </w:p>
        </w:tc>
      </w:tr>
      <w:tr w:rsidR="00587C3F" w14:paraId="2F4D044F" w14:textId="77777777" w:rsidTr="00154ED6">
        <w:trPr>
          <w:cnfStyle w:val="000000010000" w:firstRow="0" w:lastRow="0" w:firstColumn="0" w:lastColumn="0" w:oddVBand="0" w:evenVBand="0" w:oddHBand="0" w:evenHBand="1" w:firstRowFirstColumn="0" w:firstRowLastColumn="0" w:lastRowFirstColumn="0" w:lastRowLastColumn="0"/>
          <w:trHeight w:val="547"/>
        </w:trPr>
        <w:tc>
          <w:tcPr>
            <w:tcW w:w="981" w:type="pct"/>
            <w:vMerge/>
            <w:tcBorders>
              <w:bottom w:val="single" w:sz="4" w:space="0" w:color="auto"/>
            </w:tcBorders>
          </w:tcPr>
          <w:p w14:paraId="6B6858DE" w14:textId="77777777" w:rsidR="00587C3F" w:rsidRPr="00F738F8" w:rsidRDefault="00587C3F" w:rsidP="00154ED6">
            <w:pPr>
              <w:rPr>
                <w:rFonts w:ascii="Arial" w:hAnsi="Arial" w:cs="Arial"/>
                <w:color w:val="595959" w:themeColor="text1" w:themeTint="A6"/>
                <w:sz w:val="16"/>
                <w:szCs w:val="16"/>
              </w:rPr>
            </w:pPr>
          </w:p>
        </w:tc>
        <w:tc>
          <w:tcPr>
            <w:tcW w:w="712" w:type="pct"/>
            <w:tcBorders>
              <w:bottom w:val="single" w:sz="4" w:space="0" w:color="auto"/>
            </w:tcBorders>
          </w:tcPr>
          <w:p w14:paraId="1D262866" w14:textId="77777777" w:rsidR="00587C3F" w:rsidRPr="00FD46B5" w:rsidRDefault="00587C3F" w:rsidP="00154ED6">
            <w:pPr>
              <w:keepLines/>
              <w:spacing w:before="40" w:after="40" w:line="200" w:lineRule="atLeast"/>
              <w:rPr>
                <w:rFonts w:eastAsia="Times New Roman"/>
                <w:iCs/>
                <w:color w:val="595959" w:themeColor="text1" w:themeTint="A6"/>
                <w:szCs w:val="17"/>
              </w:rPr>
            </w:pPr>
          </w:p>
        </w:tc>
        <w:tc>
          <w:tcPr>
            <w:tcW w:w="449" w:type="pct"/>
            <w:tcBorders>
              <w:bottom w:val="single" w:sz="4" w:space="0" w:color="auto"/>
            </w:tcBorders>
          </w:tcPr>
          <w:p w14:paraId="5BE88C52"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tcBorders>
              <w:bottom w:val="single" w:sz="4" w:space="0" w:color="auto"/>
            </w:tcBorders>
            <w:shd w:val="clear" w:color="auto" w:fill="92D050"/>
            <w:noWrap/>
          </w:tcPr>
          <w:p w14:paraId="035C19A2" w14:textId="77777777" w:rsidR="00587C3F" w:rsidRPr="00B93AAF" w:rsidRDefault="00587C3F" w:rsidP="00154ED6">
            <w:pPr>
              <w:jc w:val="center"/>
            </w:pPr>
            <w:r w:rsidRPr="00D03E23">
              <w:t>5</w:t>
            </w:r>
          </w:p>
        </w:tc>
        <w:tc>
          <w:tcPr>
            <w:tcW w:w="449" w:type="pct"/>
            <w:tcBorders>
              <w:bottom w:val="single" w:sz="4" w:space="0" w:color="auto"/>
            </w:tcBorders>
            <w:shd w:val="clear" w:color="auto" w:fill="92D050"/>
            <w:noWrap/>
          </w:tcPr>
          <w:p w14:paraId="7F500848" w14:textId="77777777" w:rsidR="00587C3F" w:rsidRPr="00B93AAF" w:rsidRDefault="00587C3F" w:rsidP="00154ED6">
            <w:pPr>
              <w:jc w:val="center"/>
            </w:pPr>
            <w:r w:rsidRPr="00D03E23">
              <w:t>5</w:t>
            </w:r>
          </w:p>
        </w:tc>
        <w:tc>
          <w:tcPr>
            <w:tcW w:w="452" w:type="pct"/>
            <w:tcBorders>
              <w:bottom w:val="single" w:sz="4" w:space="0" w:color="auto"/>
            </w:tcBorders>
            <w:shd w:val="clear" w:color="auto" w:fill="92D050"/>
            <w:noWrap/>
          </w:tcPr>
          <w:p w14:paraId="3C5AA758" w14:textId="77777777" w:rsidR="00587C3F" w:rsidRPr="00B93AAF" w:rsidRDefault="00587C3F" w:rsidP="00154ED6">
            <w:pPr>
              <w:jc w:val="center"/>
            </w:pPr>
            <w:r w:rsidRPr="00D03E23">
              <w:t>6</w:t>
            </w:r>
          </w:p>
        </w:tc>
        <w:tc>
          <w:tcPr>
            <w:tcW w:w="449" w:type="pct"/>
            <w:tcBorders>
              <w:bottom w:val="single" w:sz="4" w:space="0" w:color="auto"/>
            </w:tcBorders>
            <w:shd w:val="clear" w:color="auto" w:fill="FFFF00"/>
            <w:noWrap/>
          </w:tcPr>
          <w:p w14:paraId="7CD2B81A" w14:textId="77777777" w:rsidR="00587C3F" w:rsidRPr="00B93AAF" w:rsidRDefault="00587C3F" w:rsidP="00154ED6">
            <w:pPr>
              <w:jc w:val="center"/>
            </w:pPr>
            <w:r w:rsidRPr="00D03E23">
              <w:t>4</w:t>
            </w:r>
          </w:p>
        </w:tc>
        <w:tc>
          <w:tcPr>
            <w:tcW w:w="452" w:type="pct"/>
            <w:tcBorders>
              <w:bottom w:val="single" w:sz="4" w:space="0" w:color="auto"/>
            </w:tcBorders>
            <w:shd w:val="clear" w:color="auto" w:fill="FFFF00"/>
            <w:noWrap/>
          </w:tcPr>
          <w:p w14:paraId="3AEDB52E" w14:textId="77777777" w:rsidR="00587C3F" w:rsidRPr="00B93AAF" w:rsidRDefault="00587C3F" w:rsidP="00154ED6">
            <w:pPr>
              <w:jc w:val="center"/>
            </w:pPr>
            <w:r w:rsidRPr="00D03E23">
              <w:t>4</w:t>
            </w:r>
          </w:p>
        </w:tc>
        <w:tc>
          <w:tcPr>
            <w:tcW w:w="445" w:type="pct"/>
            <w:tcBorders>
              <w:bottom w:val="single" w:sz="4" w:space="0" w:color="auto"/>
            </w:tcBorders>
            <w:shd w:val="clear" w:color="auto" w:fill="92D050"/>
            <w:noWrap/>
          </w:tcPr>
          <w:p w14:paraId="4C4C89BD" w14:textId="77777777" w:rsidR="00587C3F" w:rsidRPr="00B93AAF" w:rsidRDefault="00587C3F" w:rsidP="00154ED6">
            <w:pPr>
              <w:jc w:val="center"/>
            </w:pPr>
            <w:r w:rsidRPr="00D03E23">
              <w:t>5</w:t>
            </w:r>
          </w:p>
        </w:tc>
      </w:tr>
      <w:tr w:rsidR="00587C3F" w:rsidRPr="00280369" w14:paraId="37FDC56E"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val="restart"/>
          </w:tcPr>
          <w:p w14:paraId="38AB0CB6" w14:textId="77777777" w:rsidR="00587C3F" w:rsidRPr="00FD46B5" w:rsidRDefault="00587C3F" w:rsidP="00154ED6">
            <w:pPr>
              <w:rPr>
                <w:rFonts w:ascii="Arial" w:hAnsi="Arial" w:cs="Arial"/>
                <w:color w:val="595959" w:themeColor="text1" w:themeTint="A6"/>
                <w:sz w:val="16"/>
                <w:szCs w:val="16"/>
              </w:rPr>
            </w:pPr>
            <w:r w:rsidRPr="0031083C">
              <w:rPr>
                <w:rFonts w:ascii="Arial" w:hAnsi="Arial" w:cs="Arial"/>
                <w:color w:val="595959" w:themeColor="text1" w:themeTint="A6"/>
                <w:sz w:val="16"/>
                <w:szCs w:val="16"/>
              </w:rPr>
              <w:t>SPC - GOA Partnership for Pacific Regionalism</w:t>
            </w:r>
          </w:p>
        </w:tc>
        <w:tc>
          <w:tcPr>
            <w:tcW w:w="712" w:type="pct"/>
            <w:vMerge w:val="restart"/>
          </w:tcPr>
          <w:p w14:paraId="15137CEF" w14:textId="77777777" w:rsidR="00587C3F"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$109m</w:t>
            </w:r>
          </w:p>
          <w:p w14:paraId="27AC95FF"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2014-2020</w:t>
            </w:r>
          </w:p>
        </w:tc>
        <w:tc>
          <w:tcPr>
            <w:tcW w:w="449" w:type="pct"/>
          </w:tcPr>
          <w:p w14:paraId="230321D1"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2019 AQC</w:t>
            </w:r>
          </w:p>
        </w:tc>
        <w:tc>
          <w:tcPr>
            <w:tcW w:w="451" w:type="pct"/>
            <w:shd w:val="clear" w:color="auto" w:fill="92D050"/>
            <w:noWrap/>
          </w:tcPr>
          <w:p w14:paraId="4A352205" w14:textId="77777777" w:rsidR="00587C3F" w:rsidRPr="00280369" w:rsidRDefault="00587C3F" w:rsidP="00154ED6">
            <w:pPr>
              <w:jc w:val="center"/>
            </w:pPr>
            <w:r w:rsidRPr="00D92EE6">
              <w:t>5</w:t>
            </w:r>
          </w:p>
        </w:tc>
        <w:tc>
          <w:tcPr>
            <w:tcW w:w="449" w:type="pct"/>
            <w:shd w:val="clear" w:color="auto" w:fill="FFFF00"/>
            <w:noWrap/>
          </w:tcPr>
          <w:p w14:paraId="73670483" w14:textId="77777777" w:rsidR="00587C3F" w:rsidRPr="00280369" w:rsidRDefault="00587C3F" w:rsidP="00154ED6">
            <w:pPr>
              <w:jc w:val="center"/>
            </w:pPr>
            <w:r w:rsidRPr="00D92EE6">
              <w:t>4</w:t>
            </w:r>
          </w:p>
        </w:tc>
        <w:tc>
          <w:tcPr>
            <w:tcW w:w="452" w:type="pct"/>
            <w:shd w:val="clear" w:color="auto" w:fill="auto"/>
            <w:noWrap/>
          </w:tcPr>
          <w:p w14:paraId="5225089B" w14:textId="77777777" w:rsidR="00587C3F" w:rsidRPr="00280369" w:rsidRDefault="00587C3F" w:rsidP="00154ED6">
            <w:pPr>
              <w:jc w:val="center"/>
            </w:pPr>
            <w:r w:rsidRPr="00D92EE6">
              <w:t> </w:t>
            </w:r>
          </w:p>
        </w:tc>
        <w:tc>
          <w:tcPr>
            <w:tcW w:w="449" w:type="pct"/>
            <w:shd w:val="clear" w:color="auto" w:fill="FFC000"/>
            <w:noWrap/>
          </w:tcPr>
          <w:p w14:paraId="71C7F540" w14:textId="77777777" w:rsidR="00587C3F" w:rsidRPr="00280369" w:rsidRDefault="00587C3F" w:rsidP="00154ED6">
            <w:pPr>
              <w:jc w:val="center"/>
            </w:pPr>
            <w:r w:rsidRPr="00D92EE6">
              <w:t>3</w:t>
            </w:r>
          </w:p>
        </w:tc>
        <w:tc>
          <w:tcPr>
            <w:tcW w:w="452" w:type="pct"/>
            <w:shd w:val="clear" w:color="auto" w:fill="auto"/>
            <w:noWrap/>
          </w:tcPr>
          <w:p w14:paraId="1F189B60" w14:textId="77777777" w:rsidR="00587C3F" w:rsidRPr="00280369" w:rsidRDefault="00587C3F" w:rsidP="00154ED6">
            <w:pPr>
              <w:jc w:val="center"/>
            </w:pPr>
          </w:p>
        </w:tc>
        <w:tc>
          <w:tcPr>
            <w:tcW w:w="445" w:type="pct"/>
            <w:shd w:val="clear" w:color="auto" w:fill="auto"/>
            <w:noWrap/>
          </w:tcPr>
          <w:p w14:paraId="0E0D86EC" w14:textId="77777777" w:rsidR="00587C3F" w:rsidRPr="00280369" w:rsidRDefault="00587C3F" w:rsidP="00154ED6">
            <w:pPr>
              <w:jc w:val="center"/>
            </w:pPr>
          </w:p>
        </w:tc>
      </w:tr>
      <w:tr w:rsidR="00587C3F" w14:paraId="07ECD580"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tcPr>
          <w:p w14:paraId="1D8BE18F" w14:textId="77777777" w:rsidR="00587C3F" w:rsidRPr="00F738F8" w:rsidRDefault="00587C3F" w:rsidP="00154ED6">
            <w:pPr>
              <w:rPr>
                <w:rFonts w:ascii="Arial" w:hAnsi="Arial" w:cs="Arial"/>
                <w:color w:val="595959" w:themeColor="text1" w:themeTint="A6"/>
                <w:sz w:val="16"/>
                <w:szCs w:val="16"/>
              </w:rPr>
            </w:pPr>
          </w:p>
        </w:tc>
        <w:tc>
          <w:tcPr>
            <w:tcW w:w="712" w:type="pct"/>
            <w:vMerge/>
          </w:tcPr>
          <w:p w14:paraId="1A58E133"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449" w:type="pct"/>
          </w:tcPr>
          <w:p w14:paraId="5EC4287C"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shd w:val="clear" w:color="auto" w:fill="FFFF00"/>
            <w:noWrap/>
          </w:tcPr>
          <w:p w14:paraId="2651F76A" w14:textId="77777777" w:rsidR="00587C3F" w:rsidRPr="00280369" w:rsidRDefault="00587C3F" w:rsidP="00154ED6">
            <w:pPr>
              <w:jc w:val="center"/>
            </w:pPr>
            <w:r w:rsidRPr="00280369">
              <w:t>4</w:t>
            </w:r>
          </w:p>
        </w:tc>
        <w:tc>
          <w:tcPr>
            <w:tcW w:w="449" w:type="pct"/>
            <w:shd w:val="clear" w:color="auto" w:fill="FFFF00"/>
            <w:noWrap/>
          </w:tcPr>
          <w:p w14:paraId="318D533C" w14:textId="77777777" w:rsidR="00587C3F" w:rsidRPr="00280369" w:rsidRDefault="00587C3F" w:rsidP="00154ED6">
            <w:pPr>
              <w:jc w:val="center"/>
            </w:pPr>
            <w:r w:rsidRPr="00280369">
              <w:t>4</w:t>
            </w:r>
          </w:p>
        </w:tc>
        <w:tc>
          <w:tcPr>
            <w:tcW w:w="452" w:type="pct"/>
            <w:shd w:val="clear" w:color="auto" w:fill="92D050"/>
            <w:noWrap/>
          </w:tcPr>
          <w:p w14:paraId="15BEE158" w14:textId="77777777" w:rsidR="00587C3F" w:rsidRPr="00280369" w:rsidRDefault="00587C3F" w:rsidP="00154ED6">
            <w:pPr>
              <w:jc w:val="center"/>
            </w:pPr>
            <w:r w:rsidRPr="00280369">
              <w:t>5</w:t>
            </w:r>
          </w:p>
        </w:tc>
        <w:tc>
          <w:tcPr>
            <w:tcW w:w="449" w:type="pct"/>
            <w:shd w:val="clear" w:color="auto" w:fill="FFC000"/>
            <w:noWrap/>
          </w:tcPr>
          <w:p w14:paraId="56D79774" w14:textId="77777777" w:rsidR="00587C3F" w:rsidRPr="00280369" w:rsidRDefault="00587C3F" w:rsidP="00154ED6">
            <w:pPr>
              <w:jc w:val="center"/>
            </w:pPr>
            <w:r w:rsidRPr="00280369">
              <w:t>3</w:t>
            </w:r>
          </w:p>
        </w:tc>
        <w:tc>
          <w:tcPr>
            <w:tcW w:w="452" w:type="pct"/>
            <w:shd w:val="clear" w:color="auto" w:fill="92D050"/>
            <w:noWrap/>
          </w:tcPr>
          <w:p w14:paraId="27DA169B" w14:textId="77777777" w:rsidR="00587C3F" w:rsidRPr="00280369" w:rsidRDefault="00587C3F" w:rsidP="00154ED6">
            <w:pPr>
              <w:jc w:val="center"/>
            </w:pPr>
            <w:r w:rsidRPr="00280369">
              <w:t>5</w:t>
            </w:r>
          </w:p>
        </w:tc>
        <w:tc>
          <w:tcPr>
            <w:tcW w:w="445" w:type="pct"/>
            <w:shd w:val="clear" w:color="auto" w:fill="FFFF00"/>
            <w:noWrap/>
          </w:tcPr>
          <w:p w14:paraId="74A20D80" w14:textId="77777777" w:rsidR="00587C3F" w:rsidRDefault="00587C3F" w:rsidP="00154ED6">
            <w:pPr>
              <w:jc w:val="center"/>
            </w:pPr>
            <w:r w:rsidRPr="00280369">
              <w:t>4</w:t>
            </w:r>
          </w:p>
        </w:tc>
      </w:tr>
      <w:tr w:rsidR="00587C3F" w14:paraId="18467C6C"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val="restart"/>
            <w:tcBorders>
              <w:top w:val="single" w:sz="4" w:space="0" w:color="auto"/>
            </w:tcBorders>
          </w:tcPr>
          <w:p w14:paraId="23C7357E" w14:textId="77777777" w:rsidR="00587C3F" w:rsidRPr="00F738F8" w:rsidRDefault="00587C3F" w:rsidP="00154ED6">
            <w:pPr>
              <w:rPr>
                <w:rFonts w:ascii="Arial" w:hAnsi="Arial" w:cs="Arial"/>
                <w:color w:val="595959" w:themeColor="text1" w:themeTint="A6"/>
                <w:sz w:val="16"/>
                <w:szCs w:val="16"/>
              </w:rPr>
            </w:pPr>
            <w:r w:rsidRPr="0031083C">
              <w:rPr>
                <w:rFonts w:ascii="Arial" w:hAnsi="Arial" w:cs="Arial"/>
                <w:color w:val="595959" w:themeColor="text1" w:themeTint="A6"/>
                <w:sz w:val="16"/>
                <w:szCs w:val="16"/>
              </w:rPr>
              <w:t xml:space="preserve">GoA-PIFS </w:t>
            </w:r>
            <w:r>
              <w:rPr>
                <w:rFonts w:ascii="Arial" w:hAnsi="Arial" w:cs="Arial"/>
                <w:color w:val="595959" w:themeColor="text1" w:themeTint="A6"/>
                <w:sz w:val="16"/>
                <w:szCs w:val="16"/>
              </w:rPr>
              <w:t>Partnership 2014-2023</w:t>
            </w:r>
          </w:p>
        </w:tc>
        <w:tc>
          <w:tcPr>
            <w:tcW w:w="712" w:type="pct"/>
            <w:tcBorders>
              <w:top w:val="single" w:sz="4" w:space="0" w:color="auto"/>
            </w:tcBorders>
          </w:tcPr>
          <w:p w14:paraId="2C5BD9C6" w14:textId="77777777" w:rsidR="00587C3F"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$58m</w:t>
            </w:r>
          </w:p>
          <w:p w14:paraId="5ABE40D8" w14:textId="77777777" w:rsidR="00587C3F" w:rsidRPr="00FD46B5"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2014-2023</w:t>
            </w:r>
          </w:p>
        </w:tc>
        <w:tc>
          <w:tcPr>
            <w:tcW w:w="449" w:type="pct"/>
            <w:tcBorders>
              <w:top w:val="single" w:sz="4" w:space="0" w:color="auto"/>
            </w:tcBorders>
          </w:tcPr>
          <w:p w14:paraId="4FCA75FC"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2019 AQC</w:t>
            </w:r>
          </w:p>
        </w:tc>
        <w:tc>
          <w:tcPr>
            <w:tcW w:w="451" w:type="pct"/>
            <w:tcBorders>
              <w:top w:val="single" w:sz="4" w:space="0" w:color="auto"/>
            </w:tcBorders>
            <w:shd w:val="clear" w:color="auto" w:fill="FFFF00"/>
            <w:noWrap/>
          </w:tcPr>
          <w:p w14:paraId="251D2462" w14:textId="77777777" w:rsidR="00587C3F" w:rsidRPr="00280369" w:rsidRDefault="00587C3F" w:rsidP="00154ED6">
            <w:pPr>
              <w:jc w:val="center"/>
            </w:pPr>
            <w:r>
              <w:t>4</w:t>
            </w:r>
          </w:p>
        </w:tc>
        <w:tc>
          <w:tcPr>
            <w:tcW w:w="449" w:type="pct"/>
            <w:tcBorders>
              <w:top w:val="single" w:sz="4" w:space="0" w:color="auto"/>
            </w:tcBorders>
            <w:shd w:val="clear" w:color="auto" w:fill="FFFF00"/>
            <w:noWrap/>
          </w:tcPr>
          <w:p w14:paraId="6A09834A" w14:textId="77777777" w:rsidR="00587C3F" w:rsidRPr="00280369" w:rsidRDefault="00587C3F" w:rsidP="00154ED6">
            <w:pPr>
              <w:jc w:val="center"/>
            </w:pPr>
            <w:r>
              <w:t>4</w:t>
            </w:r>
          </w:p>
        </w:tc>
        <w:tc>
          <w:tcPr>
            <w:tcW w:w="452" w:type="pct"/>
            <w:tcBorders>
              <w:top w:val="single" w:sz="4" w:space="0" w:color="auto"/>
            </w:tcBorders>
            <w:shd w:val="clear" w:color="auto" w:fill="auto"/>
            <w:noWrap/>
          </w:tcPr>
          <w:p w14:paraId="09FE96DC" w14:textId="77777777" w:rsidR="00587C3F" w:rsidRPr="00280369" w:rsidRDefault="00587C3F" w:rsidP="00154ED6">
            <w:pPr>
              <w:jc w:val="center"/>
            </w:pPr>
          </w:p>
        </w:tc>
        <w:tc>
          <w:tcPr>
            <w:tcW w:w="449" w:type="pct"/>
            <w:tcBorders>
              <w:top w:val="single" w:sz="4" w:space="0" w:color="auto"/>
            </w:tcBorders>
            <w:shd w:val="clear" w:color="auto" w:fill="FFFF00"/>
            <w:noWrap/>
          </w:tcPr>
          <w:p w14:paraId="06EE3BC2" w14:textId="77777777" w:rsidR="00587C3F" w:rsidRPr="00280369" w:rsidRDefault="00587C3F" w:rsidP="00154ED6">
            <w:pPr>
              <w:jc w:val="center"/>
            </w:pPr>
            <w:r>
              <w:t>4</w:t>
            </w:r>
          </w:p>
        </w:tc>
        <w:tc>
          <w:tcPr>
            <w:tcW w:w="452" w:type="pct"/>
            <w:tcBorders>
              <w:top w:val="single" w:sz="4" w:space="0" w:color="auto"/>
            </w:tcBorders>
            <w:shd w:val="clear" w:color="auto" w:fill="auto"/>
            <w:noWrap/>
          </w:tcPr>
          <w:p w14:paraId="7C77400A" w14:textId="77777777" w:rsidR="00587C3F" w:rsidRPr="00280369" w:rsidRDefault="00587C3F" w:rsidP="00154ED6">
            <w:pPr>
              <w:jc w:val="center"/>
            </w:pPr>
          </w:p>
        </w:tc>
        <w:tc>
          <w:tcPr>
            <w:tcW w:w="445" w:type="pct"/>
            <w:tcBorders>
              <w:top w:val="single" w:sz="4" w:space="0" w:color="auto"/>
            </w:tcBorders>
            <w:shd w:val="clear" w:color="auto" w:fill="auto"/>
            <w:noWrap/>
          </w:tcPr>
          <w:p w14:paraId="05E0B32D" w14:textId="77777777" w:rsidR="00587C3F" w:rsidRPr="00280369" w:rsidRDefault="00587C3F" w:rsidP="00154ED6">
            <w:pPr>
              <w:jc w:val="center"/>
            </w:pPr>
          </w:p>
        </w:tc>
      </w:tr>
      <w:tr w:rsidR="00587C3F" w14:paraId="6A8A1594"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tcPr>
          <w:p w14:paraId="6320021D" w14:textId="77777777" w:rsidR="00587C3F" w:rsidRPr="00F738F8" w:rsidRDefault="00587C3F" w:rsidP="00154ED6">
            <w:pPr>
              <w:rPr>
                <w:rFonts w:ascii="Arial" w:hAnsi="Arial" w:cs="Arial"/>
                <w:color w:val="595959" w:themeColor="text1" w:themeTint="A6"/>
                <w:sz w:val="16"/>
                <w:szCs w:val="16"/>
              </w:rPr>
            </w:pPr>
          </w:p>
        </w:tc>
        <w:tc>
          <w:tcPr>
            <w:tcW w:w="712" w:type="pct"/>
          </w:tcPr>
          <w:p w14:paraId="5DFE0C4B" w14:textId="77777777" w:rsidR="00587C3F" w:rsidRPr="00FD46B5" w:rsidRDefault="00587C3F" w:rsidP="00154ED6">
            <w:pPr>
              <w:keepLines/>
              <w:spacing w:before="40" w:after="40" w:line="200" w:lineRule="atLeast"/>
              <w:rPr>
                <w:rFonts w:eastAsia="Times New Roman"/>
                <w:iCs/>
                <w:color w:val="595959" w:themeColor="text1" w:themeTint="A6"/>
                <w:szCs w:val="17"/>
              </w:rPr>
            </w:pPr>
          </w:p>
        </w:tc>
        <w:tc>
          <w:tcPr>
            <w:tcW w:w="449" w:type="pct"/>
          </w:tcPr>
          <w:p w14:paraId="762A7973"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shd w:val="clear" w:color="auto" w:fill="FFFF00"/>
            <w:noWrap/>
          </w:tcPr>
          <w:p w14:paraId="568239AC" w14:textId="77777777" w:rsidR="00587C3F" w:rsidRPr="00280369" w:rsidRDefault="00587C3F" w:rsidP="00154ED6">
            <w:pPr>
              <w:jc w:val="center"/>
            </w:pPr>
            <w:r w:rsidRPr="00236E2F">
              <w:t>4</w:t>
            </w:r>
          </w:p>
        </w:tc>
        <w:tc>
          <w:tcPr>
            <w:tcW w:w="449" w:type="pct"/>
            <w:shd w:val="clear" w:color="auto" w:fill="FFFF00"/>
            <w:noWrap/>
          </w:tcPr>
          <w:p w14:paraId="5CEB4FED" w14:textId="77777777" w:rsidR="00587C3F" w:rsidRPr="00280369" w:rsidRDefault="00587C3F" w:rsidP="00154ED6">
            <w:pPr>
              <w:jc w:val="center"/>
            </w:pPr>
            <w:r w:rsidRPr="00236E2F">
              <w:t>4</w:t>
            </w:r>
          </w:p>
        </w:tc>
        <w:tc>
          <w:tcPr>
            <w:tcW w:w="452" w:type="pct"/>
            <w:shd w:val="clear" w:color="auto" w:fill="92D050"/>
            <w:noWrap/>
          </w:tcPr>
          <w:p w14:paraId="4A662C23" w14:textId="77777777" w:rsidR="00587C3F" w:rsidRPr="00280369" w:rsidRDefault="00587C3F" w:rsidP="00154ED6">
            <w:pPr>
              <w:jc w:val="center"/>
            </w:pPr>
            <w:r w:rsidRPr="00236E2F">
              <w:t>6</w:t>
            </w:r>
          </w:p>
        </w:tc>
        <w:tc>
          <w:tcPr>
            <w:tcW w:w="449" w:type="pct"/>
            <w:shd w:val="clear" w:color="auto" w:fill="FFC000"/>
            <w:noWrap/>
          </w:tcPr>
          <w:p w14:paraId="4CB809EA" w14:textId="77777777" w:rsidR="00587C3F" w:rsidRPr="00280369" w:rsidRDefault="00587C3F" w:rsidP="00154ED6">
            <w:pPr>
              <w:jc w:val="center"/>
            </w:pPr>
            <w:r w:rsidRPr="00236E2F">
              <w:t>2</w:t>
            </w:r>
          </w:p>
        </w:tc>
        <w:tc>
          <w:tcPr>
            <w:tcW w:w="452" w:type="pct"/>
            <w:shd w:val="clear" w:color="auto" w:fill="92D050"/>
            <w:noWrap/>
          </w:tcPr>
          <w:p w14:paraId="4B612F9F" w14:textId="77777777" w:rsidR="00587C3F" w:rsidRPr="00280369" w:rsidRDefault="00587C3F" w:rsidP="00154ED6">
            <w:pPr>
              <w:jc w:val="center"/>
            </w:pPr>
            <w:r w:rsidRPr="00236E2F">
              <w:t>3</w:t>
            </w:r>
          </w:p>
        </w:tc>
        <w:tc>
          <w:tcPr>
            <w:tcW w:w="445" w:type="pct"/>
            <w:shd w:val="clear" w:color="auto" w:fill="FFFF00"/>
            <w:noWrap/>
          </w:tcPr>
          <w:p w14:paraId="6A6CC9E4" w14:textId="77777777" w:rsidR="00587C3F" w:rsidRPr="00280369" w:rsidRDefault="00587C3F" w:rsidP="00154ED6">
            <w:pPr>
              <w:jc w:val="center"/>
            </w:pPr>
            <w:r w:rsidRPr="00236E2F">
              <w:t>4</w:t>
            </w:r>
          </w:p>
        </w:tc>
      </w:tr>
      <w:tr w:rsidR="00587C3F" w14:paraId="571E2882"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val="restart"/>
            <w:tcBorders>
              <w:top w:val="single" w:sz="4" w:space="0" w:color="auto"/>
            </w:tcBorders>
          </w:tcPr>
          <w:p w14:paraId="4E6AC23B" w14:textId="77777777" w:rsidR="00587C3F" w:rsidRPr="00FD46B5" w:rsidRDefault="00587C3F" w:rsidP="00154ED6">
            <w:pPr>
              <w:rPr>
                <w:rFonts w:ascii="Arial" w:hAnsi="Arial" w:cs="Arial"/>
                <w:color w:val="595959" w:themeColor="text1" w:themeTint="A6"/>
                <w:sz w:val="16"/>
                <w:szCs w:val="16"/>
              </w:rPr>
            </w:pPr>
            <w:r w:rsidRPr="0031083C">
              <w:rPr>
                <w:rFonts w:ascii="Arial" w:hAnsi="Arial" w:cs="Arial"/>
                <w:color w:val="595959" w:themeColor="text1" w:themeTint="A6"/>
                <w:sz w:val="16"/>
                <w:szCs w:val="16"/>
              </w:rPr>
              <w:t>Support to Ten Year Pacific Statistics Strategy</w:t>
            </w:r>
          </w:p>
        </w:tc>
        <w:tc>
          <w:tcPr>
            <w:tcW w:w="712" w:type="pct"/>
            <w:vMerge w:val="restart"/>
            <w:tcBorders>
              <w:top w:val="single" w:sz="4" w:space="0" w:color="auto"/>
            </w:tcBorders>
          </w:tcPr>
          <w:p w14:paraId="70AA27C0" w14:textId="77777777" w:rsidR="00587C3F"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$16m</w:t>
            </w:r>
          </w:p>
          <w:p w14:paraId="4AC3D42E"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2014-2021</w:t>
            </w:r>
          </w:p>
        </w:tc>
        <w:tc>
          <w:tcPr>
            <w:tcW w:w="449" w:type="pct"/>
            <w:tcBorders>
              <w:top w:val="single" w:sz="4" w:space="0" w:color="auto"/>
            </w:tcBorders>
          </w:tcPr>
          <w:p w14:paraId="55AFC40C"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2019 AQC</w:t>
            </w:r>
          </w:p>
        </w:tc>
        <w:tc>
          <w:tcPr>
            <w:tcW w:w="451" w:type="pct"/>
            <w:tcBorders>
              <w:top w:val="single" w:sz="4" w:space="0" w:color="auto"/>
            </w:tcBorders>
            <w:shd w:val="clear" w:color="auto" w:fill="FFFF00"/>
            <w:noWrap/>
          </w:tcPr>
          <w:p w14:paraId="5300EA4F" w14:textId="77777777" w:rsidR="00587C3F" w:rsidRPr="00BD7FD9" w:rsidRDefault="00587C3F" w:rsidP="00154ED6">
            <w:pPr>
              <w:jc w:val="center"/>
            </w:pPr>
            <w:r w:rsidRPr="00D92EE6">
              <w:t>4</w:t>
            </w:r>
          </w:p>
        </w:tc>
        <w:tc>
          <w:tcPr>
            <w:tcW w:w="449" w:type="pct"/>
            <w:tcBorders>
              <w:top w:val="single" w:sz="4" w:space="0" w:color="auto"/>
            </w:tcBorders>
            <w:shd w:val="clear" w:color="auto" w:fill="FFFF00"/>
            <w:noWrap/>
          </w:tcPr>
          <w:p w14:paraId="6529AC64" w14:textId="77777777" w:rsidR="00587C3F" w:rsidRPr="00BD7FD9" w:rsidRDefault="00587C3F" w:rsidP="00154ED6">
            <w:pPr>
              <w:jc w:val="center"/>
            </w:pPr>
            <w:r w:rsidRPr="00D92EE6">
              <w:t>4</w:t>
            </w:r>
          </w:p>
        </w:tc>
        <w:tc>
          <w:tcPr>
            <w:tcW w:w="452" w:type="pct"/>
            <w:tcBorders>
              <w:top w:val="single" w:sz="4" w:space="0" w:color="auto"/>
            </w:tcBorders>
            <w:shd w:val="clear" w:color="auto" w:fill="auto"/>
            <w:noWrap/>
          </w:tcPr>
          <w:p w14:paraId="0AC7746A" w14:textId="77777777" w:rsidR="00587C3F" w:rsidRPr="00BD7FD9" w:rsidRDefault="00587C3F" w:rsidP="00154ED6">
            <w:pPr>
              <w:jc w:val="center"/>
            </w:pPr>
            <w:r w:rsidRPr="00D92EE6">
              <w:t> </w:t>
            </w:r>
          </w:p>
        </w:tc>
        <w:tc>
          <w:tcPr>
            <w:tcW w:w="449" w:type="pct"/>
            <w:tcBorders>
              <w:top w:val="single" w:sz="4" w:space="0" w:color="auto"/>
            </w:tcBorders>
            <w:shd w:val="clear" w:color="auto" w:fill="FF0000"/>
            <w:noWrap/>
          </w:tcPr>
          <w:p w14:paraId="20C9B231" w14:textId="77777777" w:rsidR="00587C3F" w:rsidRPr="00BD7FD9" w:rsidRDefault="00587C3F" w:rsidP="00154ED6">
            <w:pPr>
              <w:jc w:val="center"/>
            </w:pPr>
            <w:r w:rsidRPr="00D92EE6">
              <w:t>2</w:t>
            </w:r>
          </w:p>
        </w:tc>
        <w:tc>
          <w:tcPr>
            <w:tcW w:w="452" w:type="pct"/>
            <w:tcBorders>
              <w:top w:val="single" w:sz="4" w:space="0" w:color="auto"/>
            </w:tcBorders>
            <w:shd w:val="clear" w:color="auto" w:fill="auto"/>
            <w:noWrap/>
          </w:tcPr>
          <w:p w14:paraId="74C5D7AA" w14:textId="77777777" w:rsidR="00587C3F" w:rsidRPr="00BD7FD9" w:rsidRDefault="00587C3F" w:rsidP="00154ED6">
            <w:pPr>
              <w:jc w:val="center"/>
            </w:pPr>
          </w:p>
        </w:tc>
        <w:tc>
          <w:tcPr>
            <w:tcW w:w="445" w:type="pct"/>
            <w:tcBorders>
              <w:top w:val="single" w:sz="4" w:space="0" w:color="auto"/>
            </w:tcBorders>
            <w:shd w:val="clear" w:color="auto" w:fill="auto"/>
            <w:noWrap/>
          </w:tcPr>
          <w:p w14:paraId="64EF9B1A" w14:textId="77777777" w:rsidR="00587C3F" w:rsidRDefault="00587C3F" w:rsidP="00154ED6">
            <w:pPr>
              <w:jc w:val="center"/>
            </w:pPr>
          </w:p>
        </w:tc>
      </w:tr>
      <w:tr w:rsidR="00587C3F" w14:paraId="3E9EF5B6"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tcBorders>
              <w:bottom w:val="single" w:sz="4" w:space="0" w:color="auto"/>
            </w:tcBorders>
          </w:tcPr>
          <w:p w14:paraId="3B04EAEE" w14:textId="77777777" w:rsidR="00587C3F" w:rsidRPr="00F738F8" w:rsidRDefault="00587C3F" w:rsidP="00154ED6">
            <w:pPr>
              <w:rPr>
                <w:rFonts w:ascii="Arial" w:hAnsi="Arial" w:cs="Arial"/>
                <w:color w:val="595959" w:themeColor="text1" w:themeTint="A6"/>
                <w:sz w:val="16"/>
                <w:szCs w:val="16"/>
              </w:rPr>
            </w:pPr>
          </w:p>
        </w:tc>
        <w:tc>
          <w:tcPr>
            <w:tcW w:w="712" w:type="pct"/>
            <w:vMerge/>
            <w:tcBorders>
              <w:bottom w:val="single" w:sz="4" w:space="0" w:color="auto"/>
            </w:tcBorders>
          </w:tcPr>
          <w:p w14:paraId="46B56EEC"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449" w:type="pct"/>
            <w:tcBorders>
              <w:bottom w:val="single" w:sz="4" w:space="0" w:color="auto"/>
            </w:tcBorders>
          </w:tcPr>
          <w:p w14:paraId="396D31FF"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tcBorders>
              <w:bottom w:val="single" w:sz="4" w:space="0" w:color="auto"/>
            </w:tcBorders>
            <w:shd w:val="clear" w:color="auto" w:fill="FFFF00"/>
            <w:noWrap/>
          </w:tcPr>
          <w:p w14:paraId="2D23CA72" w14:textId="77777777" w:rsidR="00587C3F" w:rsidRPr="003531B7" w:rsidRDefault="00587C3F" w:rsidP="00154ED6">
            <w:pPr>
              <w:jc w:val="center"/>
            </w:pPr>
            <w:r w:rsidRPr="00BD7FD9">
              <w:t>4</w:t>
            </w:r>
          </w:p>
        </w:tc>
        <w:tc>
          <w:tcPr>
            <w:tcW w:w="449" w:type="pct"/>
            <w:tcBorders>
              <w:bottom w:val="single" w:sz="4" w:space="0" w:color="auto"/>
            </w:tcBorders>
            <w:shd w:val="clear" w:color="auto" w:fill="FFFF00"/>
            <w:noWrap/>
          </w:tcPr>
          <w:p w14:paraId="511A43D7" w14:textId="77777777" w:rsidR="00587C3F" w:rsidRDefault="00587C3F" w:rsidP="00154ED6">
            <w:pPr>
              <w:jc w:val="center"/>
            </w:pPr>
            <w:r w:rsidRPr="00BD7FD9">
              <w:t>4</w:t>
            </w:r>
          </w:p>
        </w:tc>
        <w:tc>
          <w:tcPr>
            <w:tcW w:w="452" w:type="pct"/>
            <w:tcBorders>
              <w:bottom w:val="single" w:sz="4" w:space="0" w:color="auto"/>
            </w:tcBorders>
            <w:shd w:val="clear" w:color="auto" w:fill="92D050"/>
            <w:noWrap/>
          </w:tcPr>
          <w:p w14:paraId="77A9736E" w14:textId="77777777" w:rsidR="00587C3F" w:rsidRDefault="00587C3F" w:rsidP="00154ED6">
            <w:pPr>
              <w:jc w:val="center"/>
            </w:pPr>
            <w:r w:rsidRPr="00BD7FD9">
              <w:t>5</w:t>
            </w:r>
          </w:p>
        </w:tc>
        <w:tc>
          <w:tcPr>
            <w:tcW w:w="449" w:type="pct"/>
            <w:tcBorders>
              <w:bottom w:val="single" w:sz="4" w:space="0" w:color="auto"/>
            </w:tcBorders>
            <w:shd w:val="clear" w:color="auto" w:fill="FFC000"/>
            <w:noWrap/>
          </w:tcPr>
          <w:p w14:paraId="3ABE4B7B" w14:textId="77777777" w:rsidR="00587C3F" w:rsidRDefault="00587C3F" w:rsidP="00154ED6">
            <w:pPr>
              <w:jc w:val="center"/>
            </w:pPr>
            <w:r w:rsidRPr="00BD7FD9">
              <w:t>3</w:t>
            </w:r>
          </w:p>
        </w:tc>
        <w:tc>
          <w:tcPr>
            <w:tcW w:w="452" w:type="pct"/>
            <w:tcBorders>
              <w:bottom w:val="single" w:sz="4" w:space="0" w:color="auto"/>
            </w:tcBorders>
            <w:shd w:val="clear" w:color="auto" w:fill="FFC000"/>
            <w:noWrap/>
          </w:tcPr>
          <w:p w14:paraId="316285BA" w14:textId="77777777" w:rsidR="00587C3F" w:rsidRDefault="00587C3F" w:rsidP="00154ED6">
            <w:pPr>
              <w:jc w:val="center"/>
            </w:pPr>
            <w:r w:rsidRPr="00BD7FD9">
              <w:t>3</w:t>
            </w:r>
          </w:p>
        </w:tc>
        <w:tc>
          <w:tcPr>
            <w:tcW w:w="445" w:type="pct"/>
            <w:tcBorders>
              <w:bottom w:val="single" w:sz="4" w:space="0" w:color="auto"/>
            </w:tcBorders>
            <w:shd w:val="clear" w:color="auto" w:fill="FFC000"/>
            <w:noWrap/>
          </w:tcPr>
          <w:p w14:paraId="2BB0F475" w14:textId="77777777" w:rsidR="00587C3F" w:rsidRDefault="00587C3F" w:rsidP="00154ED6">
            <w:pPr>
              <w:jc w:val="center"/>
            </w:pPr>
            <w:r w:rsidRPr="00BD7FD9">
              <w:t>3</w:t>
            </w:r>
          </w:p>
        </w:tc>
      </w:tr>
      <w:tr w:rsidR="00587C3F" w14:paraId="72F2BE6F"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val="restart"/>
          </w:tcPr>
          <w:p w14:paraId="73450C59" w14:textId="77777777" w:rsidR="00587C3F" w:rsidRPr="00F738F8" w:rsidRDefault="00587C3F" w:rsidP="00154ED6">
            <w:pPr>
              <w:rPr>
                <w:rFonts w:ascii="Arial" w:hAnsi="Arial" w:cs="Arial"/>
                <w:color w:val="595959" w:themeColor="text1" w:themeTint="A6"/>
                <w:sz w:val="16"/>
                <w:szCs w:val="16"/>
              </w:rPr>
            </w:pPr>
            <w:r w:rsidRPr="00F738F8">
              <w:rPr>
                <w:rFonts w:ascii="Arial" w:hAnsi="Arial" w:cs="Arial"/>
                <w:color w:val="595959" w:themeColor="text1" w:themeTint="A6"/>
                <w:sz w:val="16"/>
                <w:szCs w:val="16"/>
              </w:rPr>
              <w:t>Asia-Pacific Data for Development Initiative</w:t>
            </w:r>
          </w:p>
        </w:tc>
        <w:tc>
          <w:tcPr>
            <w:tcW w:w="712" w:type="pct"/>
          </w:tcPr>
          <w:p w14:paraId="3AF7AC3E" w14:textId="77777777" w:rsidR="00587C3F" w:rsidRPr="00751249"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sidRPr="00751249">
              <w:rPr>
                <w:rFonts w:asciiTheme="minorHAnsi" w:eastAsia="Times New Roman" w:hAnsiTheme="minorHAnsi"/>
                <w:iCs/>
                <w:color w:val="595959" w:themeColor="text1" w:themeTint="A6"/>
                <w:szCs w:val="17"/>
                <w:lang w:eastAsia="en-US"/>
              </w:rPr>
              <w:t>$5.4m</w:t>
            </w:r>
          </w:p>
          <w:p w14:paraId="4A978E61" w14:textId="77777777" w:rsidR="00587C3F" w:rsidRPr="00FD46B5" w:rsidRDefault="00587C3F" w:rsidP="00154ED6">
            <w:pPr>
              <w:keepLines/>
              <w:spacing w:before="40" w:after="40" w:line="200" w:lineRule="atLeast"/>
              <w:rPr>
                <w:rFonts w:eastAsia="Times New Roman"/>
                <w:iCs/>
                <w:color w:val="595959" w:themeColor="text1" w:themeTint="A6"/>
                <w:szCs w:val="17"/>
              </w:rPr>
            </w:pPr>
            <w:r w:rsidRPr="00751249">
              <w:rPr>
                <w:rFonts w:asciiTheme="minorHAnsi" w:eastAsia="Times New Roman" w:hAnsiTheme="minorHAnsi"/>
                <w:iCs/>
                <w:color w:val="595959" w:themeColor="text1" w:themeTint="A6"/>
                <w:szCs w:val="17"/>
                <w:lang w:eastAsia="en-US"/>
              </w:rPr>
              <w:t>2018-2021</w:t>
            </w:r>
          </w:p>
        </w:tc>
        <w:tc>
          <w:tcPr>
            <w:tcW w:w="449" w:type="pct"/>
          </w:tcPr>
          <w:p w14:paraId="333E007F"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2019 AQC</w:t>
            </w:r>
          </w:p>
        </w:tc>
        <w:tc>
          <w:tcPr>
            <w:tcW w:w="451" w:type="pct"/>
            <w:shd w:val="clear" w:color="auto" w:fill="FF0000"/>
            <w:noWrap/>
          </w:tcPr>
          <w:p w14:paraId="6CA5D922" w14:textId="77777777" w:rsidR="00587C3F" w:rsidRPr="00BD7FD9" w:rsidRDefault="00587C3F" w:rsidP="00154ED6">
            <w:pPr>
              <w:jc w:val="center"/>
            </w:pPr>
            <w:r>
              <w:t>1</w:t>
            </w:r>
          </w:p>
        </w:tc>
        <w:tc>
          <w:tcPr>
            <w:tcW w:w="449" w:type="pct"/>
            <w:shd w:val="clear" w:color="auto" w:fill="FF0000"/>
            <w:noWrap/>
          </w:tcPr>
          <w:p w14:paraId="3187D4C1" w14:textId="77777777" w:rsidR="00587C3F" w:rsidRPr="00BD7FD9" w:rsidRDefault="00587C3F" w:rsidP="00154ED6">
            <w:pPr>
              <w:jc w:val="center"/>
            </w:pPr>
            <w:r>
              <w:t>1</w:t>
            </w:r>
          </w:p>
        </w:tc>
        <w:tc>
          <w:tcPr>
            <w:tcW w:w="452" w:type="pct"/>
            <w:shd w:val="clear" w:color="auto" w:fill="auto"/>
            <w:noWrap/>
          </w:tcPr>
          <w:p w14:paraId="42F9BD11" w14:textId="77777777" w:rsidR="00587C3F" w:rsidRPr="00BD7FD9" w:rsidRDefault="00587C3F" w:rsidP="00154ED6">
            <w:pPr>
              <w:jc w:val="center"/>
            </w:pPr>
          </w:p>
        </w:tc>
        <w:tc>
          <w:tcPr>
            <w:tcW w:w="449" w:type="pct"/>
            <w:shd w:val="clear" w:color="auto" w:fill="FF0000"/>
            <w:noWrap/>
          </w:tcPr>
          <w:p w14:paraId="01D6FD90" w14:textId="77777777" w:rsidR="00587C3F" w:rsidRPr="00BD7FD9" w:rsidRDefault="00587C3F" w:rsidP="00154ED6">
            <w:pPr>
              <w:jc w:val="center"/>
            </w:pPr>
            <w:r>
              <w:t>1</w:t>
            </w:r>
          </w:p>
        </w:tc>
        <w:tc>
          <w:tcPr>
            <w:tcW w:w="452" w:type="pct"/>
            <w:shd w:val="clear" w:color="auto" w:fill="auto"/>
            <w:noWrap/>
          </w:tcPr>
          <w:p w14:paraId="2FCA1C42" w14:textId="77777777" w:rsidR="00587C3F" w:rsidRPr="00BD7FD9" w:rsidRDefault="00587C3F" w:rsidP="00154ED6">
            <w:pPr>
              <w:jc w:val="center"/>
            </w:pPr>
          </w:p>
        </w:tc>
        <w:tc>
          <w:tcPr>
            <w:tcW w:w="445" w:type="pct"/>
            <w:shd w:val="clear" w:color="auto" w:fill="auto"/>
            <w:noWrap/>
          </w:tcPr>
          <w:p w14:paraId="77AAEA7D" w14:textId="77777777" w:rsidR="00587C3F" w:rsidRPr="00BD7FD9" w:rsidRDefault="00587C3F" w:rsidP="00154ED6">
            <w:pPr>
              <w:jc w:val="center"/>
            </w:pPr>
          </w:p>
        </w:tc>
      </w:tr>
      <w:tr w:rsidR="00587C3F" w14:paraId="4EFCB940"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tcBorders>
              <w:bottom w:val="single" w:sz="4" w:space="0" w:color="auto"/>
            </w:tcBorders>
          </w:tcPr>
          <w:p w14:paraId="6580A06F" w14:textId="77777777" w:rsidR="00587C3F" w:rsidRPr="00F738F8" w:rsidRDefault="00587C3F" w:rsidP="00154ED6">
            <w:pPr>
              <w:rPr>
                <w:rFonts w:ascii="Arial" w:hAnsi="Arial" w:cs="Arial"/>
                <w:color w:val="595959" w:themeColor="text1" w:themeTint="A6"/>
                <w:sz w:val="16"/>
                <w:szCs w:val="16"/>
              </w:rPr>
            </w:pPr>
          </w:p>
        </w:tc>
        <w:tc>
          <w:tcPr>
            <w:tcW w:w="712" w:type="pct"/>
            <w:tcBorders>
              <w:bottom w:val="single" w:sz="4" w:space="0" w:color="auto"/>
            </w:tcBorders>
          </w:tcPr>
          <w:p w14:paraId="1297A2C3" w14:textId="77777777" w:rsidR="00587C3F" w:rsidRPr="00FD46B5" w:rsidRDefault="00587C3F" w:rsidP="00154ED6">
            <w:pPr>
              <w:keepLines/>
              <w:spacing w:before="40" w:after="40" w:line="200" w:lineRule="atLeast"/>
              <w:rPr>
                <w:rFonts w:eastAsia="Times New Roman"/>
                <w:iCs/>
                <w:color w:val="595959" w:themeColor="text1" w:themeTint="A6"/>
                <w:szCs w:val="17"/>
              </w:rPr>
            </w:pPr>
          </w:p>
        </w:tc>
        <w:tc>
          <w:tcPr>
            <w:tcW w:w="449" w:type="pct"/>
            <w:tcBorders>
              <w:bottom w:val="single" w:sz="4" w:space="0" w:color="auto"/>
            </w:tcBorders>
          </w:tcPr>
          <w:p w14:paraId="5E4BBD8C"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tcBorders>
              <w:bottom w:val="single" w:sz="4" w:space="0" w:color="auto"/>
            </w:tcBorders>
            <w:shd w:val="clear" w:color="auto" w:fill="auto"/>
            <w:noWrap/>
          </w:tcPr>
          <w:p w14:paraId="1AB3923B" w14:textId="77777777" w:rsidR="00587C3F" w:rsidRPr="00BD7FD9" w:rsidRDefault="00587C3F" w:rsidP="00154ED6">
            <w:pPr>
              <w:jc w:val="center"/>
            </w:pPr>
            <w:r>
              <w:t>N/A</w:t>
            </w:r>
          </w:p>
        </w:tc>
        <w:tc>
          <w:tcPr>
            <w:tcW w:w="449" w:type="pct"/>
            <w:tcBorders>
              <w:bottom w:val="single" w:sz="4" w:space="0" w:color="auto"/>
            </w:tcBorders>
            <w:shd w:val="clear" w:color="auto" w:fill="auto"/>
            <w:noWrap/>
          </w:tcPr>
          <w:p w14:paraId="75FDAA43" w14:textId="77777777" w:rsidR="00587C3F" w:rsidRPr="00BD7FD9" w:rsidRDefault="00587C3F" w:rsidP="00154ED6">
            <w:pPr>
              <w:jc w:val="center"/>
            </w:pPr>
            <w:r>
              <w:t>N/A</w:t>
            </w:r>
          </w:p>
        </w:tc>
        <w:tc>
          <w:tcPr>
            <w:tcW w:w="452" w:type="pct"/>
            <w:tcBorders>
              <w:bottom w:val="single" w:sz="4" w:space="0" w:color="auto"/>
            </w:tcBorders>
            <w:shd w:val="clear" w:color="auto" w:fill="auto"/>
            <w:noWrap/>
          </w:tcPr>
          <w:p w14:paraId="1F79BB76" w14:textId="77777777" w:rsidR="00587C3F" w:rsidRPr="00BD7FD9" w:rsidRDefault="00587C3F" w:rsidP="00154ED6">
            <w:pPr>
              <w:jc w:val="center"/>
            </w:pPr>
            <w:r>
              <w:t>N/A</w:t>
            </w:r>
          </w:p>
        </w:tc>
        <w:tc>
          <w:tcPr>
            <w:tcW w:w="449" w:type="pct"/>
            <w:tcBorders>
              <w:bottom w:val="single" w:sz="4" w:space="0" w:color="auto"/>
            </w:tcBorders>
            <w:shd w:val="clear" w:color="auto" w:fill="auto"/>
            <w:noWrap/>
          </w:tcPr>
          <w:p w14:paraId="1C195FBB" w14:textId="77777777" w:rsidR="00587C3F" w:rsidRPr="00BD7FD9" w:rsidRDefault="00587C3F" w:rsidP="00154ED6">
            <w:pPr>
              <w:jc w:val="center"/>
            </w:pPr>
            <w:r>
              <w:t>N/A</w:t>
            </w:r>
          </w:p>
        </w:tc>
        <w:tc>
          <w:tcPr>
            <w:tcW w:w="452" w:type="pct"/>
            <w:tcBorders>
              <w:bottom w:val="single" w:sz="4" w:space="0" w:color="auto"/>
            </w:tcBorders>
            <w:shd w:val="clear" w:color="auto" w:fill="auto"/>
            <w:noWrap/>
          </w:tcPr>
          <w:p w14:paraId="147A55D0" w14:textId="77777777" w:rsidR="00587C3F" w:rsidRPr="00BD7FD9" w:rsidRDefault="00587C3F" w:rsidP="00154ED6">
            <w:pPr>
              <w:jc w:val="center"/>
            </w:pPr>
            <w:r>
              <w:t>N/A</w:t>
            </w:r>
          </w:p>
        </w:tc>
        <w:tc>
          <w:tcPr>
            <w:tcW w:w="445" w:type="pct"/>
            <w:tcBorders>
              <w:bottom w:val="single" w:sz="4" w:space="0" w:color="auto"/>
            </w:tcBorders>
            <w:shd w:val="clear" w:color="auto" w:fill="auto"/>
            <w:noWrap/>
          </w:tcPr>
          <w:p w14:paraId="343ACDFA" w14:textId="77777777" w:rsidR="00587C3F" w:rsidRPr="00BD7FD9" w:rsidRDefault="00587C3F" w:rsidP="00154ED6">
            <w:pPr>
              <w:jc w:val="center"/>
            </w:pPr>
            <w:r>
              <w:t>N/A</w:t>
            </w:r>
          </w:p>
        </w:tc>
      </w:tr>
      <w:tr w:rsidR="00587C3F" w:rsidRPr="00605DBD" w14:paraId="7FA3F37E"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1" w:type="pct"/>
            <w:vMerge w:val="restart"/>
          </w:tcPr>
          <w:p w14:paraId="505BA663" w14:textId="77777777" w:rsidR="00587C3F" w:rsidRPr="00FD46B5" w:rsidRDefault="00587C3F" w:rsidP="00154ED6">
            <w:pPr>
              <w:rPr>
                <w:rFonts w:ascii="Arial" w:hAnsi="Arial" w:cs="Arial"/>
                <w:color w:val="595959" w:themeColor="text1" w:themeTint="A6"/>
                <w:sz w:val="16"/>
                <w:szCs w:val="16"/>
              </w:rPr>
            </w:pPr>
            <w:r w:rsidRPr="00C64D10">
              <w:rPr>
                <w:rFonts w:ascii="Arial" w:hAnsi="Arial" w:cs="Arial"/>
                <w:color w:val="595959" w:themeColor="text1" w:themeTint="A6"/>
                <w:sz w:val="16"/>
                <w:szCs w:val="16"/>
              </w:rPr>
              <w:t>Innovations in Financing</w:t>
            </w:r>
          </w:p>
        </w:tc>
        <w:tc>
          <w:tcPr>
            <w:tcW w:w="712" w:type="pct"/>
            <w:vMerge w:val="restart"/>
          </w:tcPr>
          <w:p w14:paraId="670B1182" w14:textId="77777777" w:rsidR="00587C3F"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$6m</w:t>
            </w:r>
          </w:p>
          <w:p w14:paraId="2EAB977F"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2015-2020</w:t>
            </w:r>
          </w:p>
        </w:tc>
        <w:tc>
          <w:tcPr>
            <w:tcW w:w="449" w:type="pct"/>
          </w:tcPr>
          <w:p w14:paraId="07DFB2DD"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2019 AQC</w:t>
            </w:r>
          </w:p>
        </w:tc>
        <w:tc>
          <w:tcPr>
            <w:tcW w:w="451" w:type="pct"/>
            <w:shd w:val="clear" w:color="auto" w:fill="FFFF00"/>
            <w:noWrap/>
          </w:tcPr>
          <w:p w14:paraId="2BDD85F4" w14:textId="77777777" w:rsidR="00587C3F" w:rsidRPr="00605DBD" w:rsidRDefault="00587C3F" w:rsidP="00154ED6">
            <w:pPr>
              <w:jc w:val="center"/>
            </w:pPr>
            <w:r w:rsidRPr="00751249">
              <w:t>4</w:t>
            </w:r>
          </w:p>
        </w:tc>
        <w:tc>
          <w:tcPr>
            <w:tcW w:w="449" w:type="pct"/>
            <w:shd w:val="clear" w:color="auto" w:fill="FFFF00"/>
            <w:noWrap/>
          </w:tcPr>
          <w:p w14:paraId="6C68A7EC" w14:textId="77777777" w:rsidR="00587C3F" w:rsidRPr="00605DBD" w:rsidRDefault="00587C3F" w:rsidP="00154ED6">
            <w:pPr>
              <w:jc w:val="center"/>
            </w:pPr>
            <w:r w:rsidRPr="00751249">
              <w:t>4</w:t>
            </w:r>
          </w:p>
        </w:tc>
        <w:tc>
          <w:tcPr>
            <w:tcW w:w="452" w:type="pct"/>
            <w:shd w:val="clear" w:color="auto" w:fill="auto"/>
            <w:noWrap/>
          </w:tcPr>
          <w:p w14:paraId="05FEF11D" w14:textId="77777777" w:rsidR="00587C3F" w:rsidRPr="00605DBD" w:rsidRDefault="00587C3F" w:rsidP="00154ED6">
            <w:pPr>
              <w:jc w:val="center"/>
            </w:pPr>
            <w:r w:rsidRPr="00751249">
              <w:t> </w:t>
            </w:r>
          </w:p>
        </w:tc>
        <w:tc>
          <w:tcPr>
            <w:tcW w:w="449" w:type="pct"/>
            <w:shd w:val="clear" w:color="auto" w:fill="92D050"/>
            <w:noWrap/>
          </w:tcPr>
          <w:p w14:paraId="20749A10" w14:textId="77777777" w:rsidR="00587C3F" w:rsidRPr="00605DBD" w:rsidRDefault="00587C3F" w:rsidP="00154ED6">
            <w:pPr>
              <w:jc w:val="center"/>
            </w:pPr>
            <w:r w:rsidRPr="00751249">
              <w:t>6</w:t>
            </w:r>
          </w:p>
        </w:tc>
        <w:tc>
          <w:tcPr>
            <w:tcW w:w="452" w:type="pct"/>
            <w:shd w:val="clear" w:color="auto" w:fill="auto"/>
            <w:noWrap/>
          </w:tcPr>
          <w:p w14:paraId="344717F4" w14:textId="77777777" w:rsidR="00587C3F" w:rsidRPr="00605DBD" w:rsidRDefault="00587C3F" w:rsidP="00154ED6">
            <w:pPr>
              <w:jc w:val="center"/>
            </w:pPr>
          </w:p>
        </w:tc>
        <w:tc>
          <w:tcPr>
            <w:tcW w:w="445" w:type="pct"/>
            <w:shd w:val="clear" w:color="auto" w:fill="auto"/>
            <w:noWrap/>
          </w:tcPr>
          <w:p w14:paraId="266EB1B3" w14:textId="77777777" w:rsidR="00587C3F" w:rsidRPr="00605DBD" w:rsidRDefault="00587C3F" w:rsidP="00154ED6">
            <w:pPr>
              <w:jc w:val="center"/>
            </w:pPr>
          </w:p>
        </w:tc>
      </w:tr>
      <w:tr w:rsidR="00587C3F" w14:paraId="7F32D92A" w14:textId="77777777" w:rsidTr="00154ED6">
        <w:trPr>
          <w:cnfStyle w:val="000000010000" w:firstRow="0" w:lastRow="0" w:firstColumn="0" w:lastColumn="0" w:oddVBand="0" w:evenVBand="0" w:oddHBand="0" w:evenHBand="1" w:firstRowFirstColumn="0" w:firstRowLastColumn="0" w:lastRowFirstColumn="0" w:lastRowLastColumn="0"/>
          <w:trHeight w:val="509"/>
        </w:trPr>
        <w:tc>
          <w:tcPr>
            <w:tcW w:w="981" w:type="pct"/>
            <w:vMerge/>
          </w:tcPr>
          <w:p w14:paraId="4FC13650" w14:textId="77777777" w:rsidR="00587C3F" w:rsidRPr="00F738F8" w:rsidRDefault="00587C3F" w:rsidP="00154ED6">
            <w:pPr>
              <w:rPr>
                <w:rFonts w:ascii="Arial" w:hAnsi="Arial" w:cs="Arial"/>
                <w:color w:val="595959" w:themeColor="text1" w:themeTint="A6"/>
                <w:sz w:val="16"/>
                <w:szCs w:val="16"/>
              </w:rPr>
            </w:pPr>
          </w:p>
        </w:tc>
        <w:tc>
          <w:tcPr>
            <w:tcW w:w="712" w:type="pct"/>
            <w:vMerge/>
          </w:tcPr>
          <w:p w14:paraId="424D798C"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449" w:type="pct"/>
          </w:tcPr>
          <w:p w14:paraId="313CCB93" w14:textId="77777777" w:rsidR="00587C3F" w:rsidRPr="00FD46B5"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shd w:val="clear" w:color="auto" w:fill="92D050"/>
            <w:noWrap/>
          </w:tcPr>
          <w:p w14:paraId="045A8678" w14:textId="77777777" w:rsidR="00587C3F" w:rsidRPr="00605DBD" w:rsidRDefault="00587C3F" w:rsidP="00154ED6">
            <w:pPr>
              <w:jc w:val="center"/>
            </w:pPr>
            <w:r w:rsidRPr="00605DBD">
              <w:t>5</w:t>
            </w:r>
          </w:p>
        </w:tc>
        <w:tc>
          <w:tcPr>
            <w:tcW w:w="449" w:type="pct"/>
            <w:shd w:val="clear" w:color="auto" w:fill="92D050"/>
            <w:noWrap/>
          </w:tcPr>
          <w:p w14:paraId="1FE568B0" w14:textId="77777777" w:rsidR="00587C3F" w:rsidRPr="00605DBD" w:rsidRDefault="00587C3F" w:rsidP="00154ED6">
            <w:pPr>
              <w:jc w:val="center"/>
            </w:pPr>
            <w:r w:rsidRPr="00605DBD">
              <w:t>5</w:t>
            </w:r>
          </w:p>
        </w:tc>
        <w:tc>
          <w:tcPr>
            <w:tcW w:w="452" w:type="pct"/>
            <w:shd w:val="clear" w:color="auto" w:fill="92D050"/>
            <w:noWrap/>
          </w:tcPr>
          <w:p w14:paraId="3EEDD92A" w14:textId="77777777" w:rsidR="00587C3F" w:rsidRPr="00605DBD" w:rsidRDefault="00587C3F" w:rsidP="00154ED6">
            <w:pPr>
              <w:jc w:val="center"/>
            </w:pPr>
            <w:r w:rsidRPr="00605DBD">
              <w:t>6</w:t>
            </w:r>
          </w:p>
        </w:tc>
        <w:tc>
          <w:tcPr>
            <w:tcW w:w="449" w:type="pct"/>
            <w:shd w:val="clear" w:color="auto" w:fill="92D050"/>
            <w:noWrap/>
          </w:tcPr>
          <w:p w14:paraId="45B1070F" w14:textId="77777777" w:rsidR="00587C3F" w:rsidRPr="00605DBD" w:rsidRDefault="00587C3F" w:rsidP="00154ED6">
            <w:pPr>
              <w:jc w:val="center"/>
            </w:pPr>
            <w:r w:rsidRPr="00605DBD">
              <w:t>6</w:t>
            </w:r>
          </w:p>
        </w:tc>
        <w:tc>
          <w:tcPr>
            <w:tcW w:w="452" w:type="pct"/>
            <w:shd w:val="clear" w:color="auto" w:fill="92D050"/>
            <w:noWrap/>
          </w:tcPr>
          <w:p w14:paraId="3368AC62" w14:textId="77777777" w:rsidR="00587C3F" w:rsidRPr="00605DBD" w:rsidRDefault="00587C3F" w:rsidP="00154ED6">
            <w:pPr>
              <w:jc w:val="center"/>
            </w:pPr>
            <w:r w:rsidRPr="00605DBD">
              <w:t>5</w:t>
            </w:r>
          </w:p>
        </w:tc>
        <w:tc>
          <w:tcPr>
            <w:tcW w:w="445" w:type="pct"/>
            <w:shd w:val="clear" w:color="auto" w:fill="92D050"/>
            <w:noWrap/>
          </w:tcPr>
          <w:p w14:paraId="51A9EE96" w14:textId="77777777" w:rsidR="00587C3F" w:rsidRDefault="00587C3F" w:rsidP="00154ED6">
            <w:pPr>
              <w:jc w:val="center"/>
            </w:pPr>
            <w:r w:rsidRPr="00605DBD">
              <w:t>5</w:t>
            </w:r>
          </w:p>
        </w:tc>
      </w:tr>
      <w:tr w:rsidR="00587C3F" w14:paraId="5AA97574" w14:textId="77777777" w:rsidTr="00154ED6">
        <w:trPr>
          <w:cnfStyle w:val="000000010000" w:firstRow="0" w:lastRow="0" w:firstColumn="0" w:lastColumn="0" w:oddVBand="0" w:evenVBand="0" w:oddHBand="0" w:evenHBand="1" w:firstRowFirstColumn="0" w:firstRowLastColumn="0" w:lastRowFirstColumn="0" w:lastRowLastColumn="0"/>
          <w:trHeight w:val="509"/>
        </w:trPr>
        <w:tc>
          <w:tcPr>
            <w:tcW w:w="981" w:type="pct"/>
            <w:vMerge w:val="restart"/>
            <w:tcBorders>
              <w:top w:val="single" w:sz="4" w:space="0" w:color="auto"/>
            </w:tcBorders>
          </w:tcPr>
          <w:p w14:paraId="5CC216F1" w14:textId="77777777" w:rsidR="00587C3F" w:rsidRPr="00F738F8" w:rsidRDefault="00587C3F" w:rsidP="00154ED6">
            <w:pPr>
              <w:rPr>
                <w:rFonts w:ascii="Arial" w:hAnsi="Arial" w:cs="Arial"/>
                <w:color w:val="595959" w:themeColor="text1" w:themeTint="A6"/>
                <w:sz w:val="16"/>
                <w:szCs w:val="16"/>
              </w:rPr>
            </w:pPr>
            <w:r w:rsidRPr="00F738F8">
              <w:rPr>
                <w:rFonts w:ascii="Arial" w:hAnsi="Arial" w:cs="Arial"/>
                <w:color w:val="595959" w:themeColor="text1" w:themeTint="A6"/>
                <w:sz w:val="16"/>
                <w:szCs w:val="16"/>
              </w:rPr>
              <w:t>Pacific Partnership II with IFC</w:t>
            </w:r>
          </w:p>
        </w:tc>
        <w:tc>
          <w:tcPr>
            <w:tcW w:w="712" w:type="pct"/>
            <w:tcBorders>
              <w:top w:val="single" w:sz="4" w:space="0" w:color="auto"/>
            </w:tcBorders>
          </w:tcPr>
          <w:p w14:paraId="1CF710F7" w14:textId="77777777" w:rsidR="00587C3F" w:rsidRPr="007F10C1"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sidRPr="007F10C1">
              <w:rPr>
                <w:rFonts w:asciiTheme="minorHAnsi" w:eastAsia="Times New Roman" w:hAnsiTheme="minorHAnsi"/>
                <w:iCs/>
                <w:color w:val="595959" w:themeColor="text1" w:themeTint="A6"/>
                <w:szCs w:val="17"/>
                <w:lang w:eastAsia="en-US"/>
              </w:rPr>
              <w:t>$20m</w:t>
            </w:r>
          </w:p>
          <w:p w14:paraId="4D529F68" w14:textId="77777777" w:rsidR="00587C3F" w:rsidRPr="00FD46B5" w:rsidRDefault="00587C3F" w:rsidP="00154ED6">
            <w:pPr>
              <w:keepLines/>
              <w:spacing w:before="40" w:after="40" w:line="200" w:lineRule="atLeast"/>
              <w:rPr>
                <w:rFonts w:eastAsia="Times New Roman"/>
                <w:iCs/>
                <w:color w:val="595959" w:themeColor="text1" w:themeTint="A6"/>
                <w:szCs w:val="17"/>
              </w:rPr>
            </w:pPr>
            <w:r w:rsidRPr="007F10C1">
              <w:rPr>
                <w:rFonts w:asciiTheme="minorHAnsi" w:eastAsia="Times New Roman" w:hAnsiTheme="minorHAnsi"/>
                <w:iCs/>
                <w:color w:val="595959" w:themeColor="text1" w:themeTint="A6"/>
                <w:szCs w:val="17"/>
                <w:lang w:eastAsia="en-US"/>
              </w:rPr>
              <w:t>2017-2022</w:t>
            </w:r>
          </w:p>
        </w:tc>
        <w:tc>
          <w:tcPr>
            <w:tcW w:w="449" w:type="pct"/>
            <w:tcBorders>
              <w:top w:val="single" w:sz="4" w:space="0" w:color="auto"/>
            </w:tcBorders>
          </w:tcPr>
          <w:p w14:paraId="75BA4427"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2019 AQC</w:t>
            </w:r>
          </w:p>
        </w:tc>
        <w:tc>
          <w:tcPr>
            <w:tcW w:w="451" w:type="pct"/>
            <w:tcBorders>
              <w:top w:val="single" w:sz="4" w:space="0" w:color="auto"/>
            </w:tcBorders>
            <w:shd w:val="clear" w:color="auto" w:fill="FFFF00"/>
            <w:noWrap/>
          </w:tcPr>
          <w:p w14:paraId="05D5712D" w14:textId="77777777" w:rsidR="00587C3F" w:rsidRPr="00605DBD" w:rsidRDefault="00587C3F" w:rsidP="00154ED6">
            <w:pPr>
              <w:jc w:val="center"/>
            </w:pPr>
            <w:r w:rsidRPr="00406EF0">
              <w:t>4</w:t>
            </w:r>
          </w:p>
        </w:tc>
        <w:tc>
          <w:tcPr>
            <w:tcW w:w="449" w:type="pct"/>
            <w:tcBorders>
              <w:top w:val="single" w:sz="4" w:space="0" w:color="auto"/>
            </w:tcBorders>
            <w:shd w:val="clear" w:color="auto" w:fill="FFC000"/>
            <w:noWrap/>
          </w:tcPr>
          <w:p w14:paraId="68637920" w14:textId="77777777" w:rsidR="00587C3F" w:rsidRPr="00605DBD" w:rsidRDefault="00587C3F" w:rsidP="00154ED6">
            <w:pPr>
              <w:jc w:val="center"/>
            </w:pPr>
            <w:r w:rsidRPr="00406EF0">
              <w:t>3</w:t>
            </w:r>
          </w:p>
        </w:tc>
        <w:tc>
          <w:tcPr>
            <w:tcW w:w="452" w:type="pct"/>
            <w:tcBorders>
              <w:top w:val="single" w:sz="4" w:space="0" w:color="auto"/>
            </w:tcBorders>
            <w:shd w:val="clear" w:color="auto" w:fill="auto"/>
            <w:noWrap/>
          </w:tcPr>
          <w:p w14:paraId="4B2AC027" w14:textId="77777777" w:rsidR="00587C3F" w:rsidRPr="00605DBD" w:rsidRDefault="00587C3F" w:rsidP="00154ED6">
            <w:pPr>
              <w:jc w:val="center"/>
            </w:pPr>
          </w:p>
        </w:tc>
        <w:tc>
          <w:tcPr>
            <w:tcW w:w="449" w:type="pct"/>
            <w:tcBorders>
              <w:top w:val="single" w:sz="4" w:space="0" w:color="auto"/>
            </w:tcBorders>
            <w:shd w:val="clear" w:color="auto" w:fill="92D050"/>
            <w:noWrap/>
          </w:tcPr>
          <w:p w14:paraId="421A77DA" w14:textId="77777777" w:rsidR="00587C3F" w:rsidRPr="00605DBD" w:rsidRDefault="00587C3F" w:rsidP="00154ED6">
            <w:pPr>
              <w:jc w:val="center"/>
            </w:pPr>
            <w:r w:rsidRPr="00406EF0">
              <w:t>5</w:t>
            </w:r>
          </w:p>
        </w:tc>
        <w:tc>
          <w:tcPr>
            <w:tcW w:w="452" w:type="pct"/>
            <w:tcBorders>
              <w:top w:val="single" w:sz="4" w:space="0" w:color="auto"/>
            </w:tcBorders>
            <w:shd w:val="clear" w:color="auto" w:fill="auto"/>
            <w:noWrap/>
          </w:tcPr>
          <w:p w14:paraId="0C74BE51" w14:textId="77777777" w:rsidR="00587C3F" w:rsidRPr="00605DBD" w:rsidRDefault="00587C3F" w:rsidP="00154ED6">
            <w:pPr>
              <w:jc w:val="center"/>
            </w:pPr>
          </w:p>
        </w:tc>
        <w:tc>
          <w:tcPr>
            <w:tcW w:w="445" w:type="pct"/>
            <w:tcBorders>
              <w:top w:val="single" w:sz="4" w:space="0" w:color="auto"/>
            </w:tcBorders>
            <w:shd w:val="clear" w:color="auto" w:fill="auto"/>
            <w:noWrap/>
          </w:tcPr>
          <w:p w14:paraId="75B5CDEA" w14:textId="77777777" w:rsidR="00587C3F" w:rsidRPr="00605DBD" w:rsidRDefault="00587C3F" w:rsidP="00154ED6">
            <w:pPr>
              <w:jc w:val="center"/>
            </w:pPr>
          </w:p>
        </w:tc>
      </w:tr>
      <w:tr w:rsidR="00587C3F" w14:paraId="03A1AFB4" w14:textId="77777777" w:rsidTr="00154ED6">
        <w:trPr>
          <w:cnfStyle w:val="000000010000" w:firstRow="0" w:lastRow="0" w:firstColumn="0" w:lastColumn="0" w:oddVBand="0" w:evenVBand="0" w:oddHBand="0" w:evenHBand="1" w:firstRowFirstColumn="0" w:firstRowLastColumn="0" w:lastRowFirstColumn="0" w:lastRowLastColumn="0"/>
          <w:trHeight w:val="509"/>
        </w:trPr>
        <w:tc>
          <w:tcPr>
            <w:tcW w:w="981" w:type="pct"/>
            <w:vMerge/>
          </w:tcPr>
          <w:p w14:paraId="320BCF43" w14:textId="77777777" w:rsidR="00587C3F" w:rsidRPr="00F738F8" w:rsidRDefault="00587C3F" w:rsidP="00154ED6">
            <w:pPr>
              <w:rPr>
                <w:rFonts w:ascii="Arial" w:hAnsi="Arial" w:cs="Arial"/>
                <w:color w:val="595959" w:themeColor="text1" w:themeTint="A6"/>
                <w:sz w:val="16"/>
                <w:szCs w:val="16"/>
              </w:rPr>
            </w:pPr>
          </w:p>
        </w:tc>
        <w:tc>
          <w:tcPr>
            <w:tcW w:w="712" w:type="pct"/>
          </w:tcPr>
          <w:p w14:paraId="0A1B1B4E" w14:textId="77777777" w:rsidR="00587C3F" w:rsidRPr="00FD46B5" w:rsidRDefault="00587C3F" w:rsidP="00154ED6">
            <w:pPr>
              <w:keepLines/>
              <w:spacing w:before="40" w:after="40" w:line="200" w:lineRule="atLeast"/>
              <w:rPr>
                <w:rFonts w:eastAsia="Times New Roman"/>
                <w:iCs/>
                <w:color w:val="595959" w:themeColor="text1" w:themeTint="A6"/>
                <w:szCs w:val="17"/>
              </w:rPr>
            </w:pPr>
          </w:p>
        </w:tc>
        <w:tc>
          <w:tcPr>
            <w:tcW w:w="449" w:type="pct"/>
          </w:tcPr>
          <w:p w14:paraId="4CF32A45"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shd w:val="clear" w:color="auto" w:fill="auto"/>
            <w:noWrap/>
          </w:tcPr>
          <w:p w14:paraId="27A975FB" w14:textId="77777777" w:rsidR="00587C3F" w:rsidRPr="00605DBD" w:rsidRDefault="00587C3F" w:rsidP="00154ED6">
            <w:pPr>
              <w:jc w:val="center"/>
            </w:pPr>
            <w:r>
              <w:t>N/A</w:t>
            </w:r>
          </w:p>
        </w:tc>
        <w:tc>
          <w:tcPr>
            <w:tcW w:w="449" w:type="pct"/>
            <w:shd w:val="clear" w:color="auto" w:fill="auto"/>
            <w:noWrap/>
          </w:tcPr>
          <w:p w14:paraId="2B1FDAA7" w14:textId="77777777" w:rsidR="00587C3F" w:rsidRPr="00605DBD" w:rsidRDefault="00587C3F" w:rsidP="00154ED6">
            <w:pPr>
              <w:jc w:val="center"/>
            </w:pPr>
            <w:r>
              <w:t>N/A</w:t>
            </w:r>
          </w:p>
        </w:tc>
        <w:tc>
          <w:tcPr>
            <w:tcW w:w="452" w:type="pct"/>
            <w:shd w:val="clear" w:color="auto" w:fill="auto"/>
            <w:noWrap/>
          </w:tcPr>
          <w:p w14:paraId="0014028D" w14:textId="77777777" w:rsidR="00587C3F" w:rsidRPr="00605DBD" w:rsidRDefault="00587C3F" w:rsidP="00154ED6">
            <w:pPr>
              <w:jc w:val="center"/>
            </w:pPr>
            <w:r>
              <w:t>N/A</w:t>
            </w:r>
          </w:p>
        </w:tc>
        <w:tc>
          <w:tcPr>
            <w:tcW w:w="449" w:type="pct"/>
            <w:shd w:val="clear" w:color="auto" w:fill="auto"/>
            <w:noWrap/>
          </w:tcPr>
          <w:p w14:paraId="1AB29273" w14:textId="77777777" w:rsidR="00587C3F" w:rsidRPr="00605DBD" w:rsidRDefault="00587C3F" w:rsidP="00154ED6">
            <w:pPr>
              <w:jc w:val="center"/>
            </w:pPr>
            <w:r>
              <w:t>N/A</w:t>
            </w:r>
          </w:p>
        </w:tc>
        <w:tc>
          <w:tcPr>
            <w:tcW w:w="452" w:type="pct"/>
            <w:shd w:val="clear" w:color="auto" w:fill="auto"/>
            <w:noWrap/>
          </w:tcPr>
          <w:p w14:paraId="4FA8F43C" w14:textId="77777777" w:rsidR="00587C3F" w:rsidRPr="00605DBD" w:rsidRDefault="00587C3F" w:rsidP="00154ED6">
            <w:pPr>
              <w:jc w:val="center"/>
            </w:pPr>
            <w:r>
              <w:t>N/A</w:t>
            </w:r>
          </w:p>
        </w:tc>
        <w:tc>
          <w:tcPr>
            <w:tcW w:w="445" w:type="pct"/>
            <w:shd w:val="clear" w:color="auto" w:fill="auto"/>
            <w:noWrap/>
          </w:tcPr>
          <w:p w14:paraId="1FAE7A97" w14:textId="77777777" w:rsidR="00587C3F" w:rsidRPr="00605DBD" w:rsidRDefault="00587C3F" w:rsidP="00154ED6">
            <w:pPr>
              <w:jc w:val="center"/>
            </w:pPr>
            <w:r>
              <w:t>N/A</w:t>
            </w:r>
          </w:p>
        </w:tc>
      </w:tr>
      <w:tr w:rsidR="00587C3F" w14:paraId="78CE9CE3" w14:textId="77777777" w:rsidTr="00154ED6">
        <w:trPr>
          <w:cnfStyle w:val="000000010000" w:firstRow="0" w:lastRow="0" w:firstColumn="0" w:lastColumn="0" w:oddVBand="0" w:evenVBand="0" w:oddHBand="0" w:evenHBand="1" w:firstRowFirstColumn="0" w:firstRowLastColumn="0" w:lastRowFirstColumn="0" w:lastRowLastColumn="0"/>
          <w:trHeight w:val="509"/>
        </w:trPr>
        <w:tc>
          <w:tcPr>
            <w:tcW w:w="981" w:type="pct"/>
            <w:vMerge w:val="restart"/>
            <w:tcBorders>
              <w:top w:val="single" w:sz="4" w:space="0" w:color="auto"/>
            </w:tcBorders>
          </w:tcPr>
          <w:p w14:paraId="6CDE2C62" w14:textId="77777777" w:rsidR="00587C3F" w:rsidRPr="007F10C1" w:rsidRDefault="00587C3F" w:rsidP="00154ED6">
            <w:pPr>
              <w:rPr>
                <w:rFonts w:ascii="Arial" w:hAnsi="Arial" w:cs="Arial"/>
                <w:color w:val="595959" w:themeColor="text1" w:themeTint="A6"/>
                <w:sz w:val="16"/>
                <w:szCs w:val="16"/>
              </w:rPr>
            </w:pPr>
            <w:r w:rsidRPr="007F10C1">
              <w:rPr>
                <w:rFonts w:ascii="Arial" w:hAnsi="Arial" w:cs="Arial"/>
                <w:color w:val="595959" w:themeColor="text1" w:themeTint="A6"/>
                <w:sz w:val="16"/>
                <w:szCs w:val="16"/>
              </w:rPr>
              <w:t>Pacific Research Program</w:t>
            </w:r>
          </w:p>
        </w:tc>
        <w:tc>
          <w:tcPr>
            <w:tcW w:w="712" w:type="pct"/>
            <w:tcBorders>
              <w:top w:val="single" w:sz="4" w:space="0" w:color="auto"/>
            </w:tcBorders>
          </w:tcPr>
          <w:p w14:paraId="22599AF2" w14:textId="77777777" w:rsidR="00587C3F" w:rsidRPr="007F10C1"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sidRPr="007F10C1">
              <w:rPr>
                <w:rFonts w:asciiTheme="minorHAnsi" w:eastAsia="Times New Roman" w:hAnsiTheme="minorHAnsi"/>
                <w:iCs/>
                <w:color w:val="595959" w:themeColor="text1" w:themeTint="A6"/>
                <w:szCs w:val="17"/>
                <w:lang w:eastAsia="en-US"/>
              </w:rPr>
              <w:t>$20m</w:t>
            </w:r>
          </w:p>
          <w:p w14:paraId="629A0CC1" w14:textId="77777777" w:rsidR="00587C3F" w:rsidRPr="007F10C1" w:rsidRDefault="00587C3F" w:rsidP="00154ED6">
            <w:pPr>
              <w:keepLines/>
              <w:spacing w:before="40" w:after="40" w:line="200" w:lineRule="atLeast"/>
              <w:rPr>
                <w:rFonts w:ascii="Arial" w:hAnsi="Arial" w:cs="Arial"/>
                <w:color w:val="595959" w:themeColor="text1" w:themeTint="A6"/>
                <w:sz w:val="16"/>
                <w:szCs w:val="16"/>
              </w:rPr>
            </w:pPr>
            <w:r w:rsidRPr="007F10C1">
              <w:rPr>
                <w:rFonts w:asciiTheme="minorHAnsi" w:eastAsia="Times New Roman" w:hAnsiTheme="minorHAnsi"/>
                <w:iCs/>
                <w:color w:val="595959" w:themeColor="text1" w:themeTint="A6"/>
                <w:szCs w:val="17"/>
                <w:lang w:eastAsia="en-US"/>
              </w:rPr>
              <w:t>2017-2021</w:t>
            </w:r>
          </w:p>
        </w:tc>
        <w:tc>
          <w:tcPr>
            <w:tcW w:w="449" w:type="pct"/>
            <w:tcBorders>
              <w:top w:val="single" w:sz="4" w:space="0" w:color="auto"/>
            </w:tcBorders>
          </w:tcPr>
          <w:p w14:paraId="4AE835F5"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2019 AQC</w:t>
            </w:r>
          </w:p>
        </w:tc>
        <w:tc>
          <w:tcPr>
            <w:tcW w:w="451" w:type="pct"/>
            <w:tcBorders>
              <w:top w:val="single" w:sz="4" w:space="0" w:color="auto"/>
            </w:tcBorders>
            <w:shd w:val="clear" w:color="auto" w:fill="FFFF00"/>
            <w:noWrap/>
          </w:tcPr>
          <w:p w14:paraId="496ADCC8" w14:textId="77777777" w:rsidR="00587C3F" w:rsidRPr="00605DBD" w:rsidRDefault="00587C3F" w:rsidP="00154ED6">
            <w:pPr>
              <w:jc w:val="center"/>
            </w:pPr>
            <w:r w:rsidRPr="00BD7FD9">
              <w:t>4</w:t>
            </w:r>
          </w:p>
        </w:tc>
        <w:tc>
          <w:tcPr>
            <w:tcW w:w="449" w:type="pct"/>
            <w:tcBorders>
              <w:top w:val="single" w:sz="4" w:space="0" w:color="auto"/>
            </w:tcBorders>
            <w:shd w:val="clear" w:color="auto" w:fill="FFFF00"/>
            <w:noWrap/>
          </w:tcPr>
          <w:p w14:paraId="23A4CA43" w14:textId="77777777" w:rsidR="00587C3F" w:rsidRPr="00605DBD" w:rsidRDefault="00587C3F" w:rsidP="00154ED6">
            <w:pPr>
              <w:jc w:val="center"/>
            </w:pPr>
            <w:r w:rsidRPr="00BD7FD9">
              <w:t>4</w:t>
            </w:r>
          </w:p>
        </w:tc>
        <w:tc>
          <w:tcPr>
            <w:tcW w:w="452" w:type="pct"/>
            <w:tcBorders>
              <w:top w:val="single" w:sz="4" w:space="0" w:color="auto"/>
            </w:tcBorders>
            <w:shd w:val="clear" w:color="auto" w:fill="auto"/>
            <w:noWrap/>
          </w:tcPr>
          <w:p w14:paraId="03F02B82" w14:textId="77777777" w:rsidR="00587C3F" w:rsidRPr="00605DBD" w:rsidRDefault="00587C3F" w:rsidP="00154ED6">
            <w:pPr>
              <w:jc w:val="center"/>
            </w:pPr>
          </w:p>
        </w:tc>
        <w:tc>
          <w:tcPr>
            <w:tcW w:w="449" w:type="pct"/>
            <w:tcBorders>
              <w:top w:val="single" w:sz="4" w:space="0" w:color="auto"/>
            </w:tcBorders>
            <w:shd w:val="clear" w:color="auto" w:fill="FFFF00"/>
            <w:noWrap/>
          </w:tcPr>
          <w:p w14:paraId="2FC1D26D" w14:textId="77777777" w:rsidR="00587C3F" w:rsidRPr="00605DBD" w:rsidRDefault="00587C3F" w:rsidP="00154ED6">
            <w:pPr>
              <w:jc w:val="center"/>
            </w:pPr>
            <w:r w:rsidRPr="00BD7FD9">
              <w:t>4</w:t>
            </w:r>
          </w:p>
        </w:tc>
        <w:tc>
          <w:tcPr>
            <w:tcW w:w="452" w:type="pct"/>
            <w:tcBorders>
              <w:top w:val="single" w:sz="4" w:space="0" w:color="auto"/>
            </w:tcBorders>
            <w:shd w:val="clear" w:color="auto" w:fill="auto"/>
            <w:noWrap/>
          </w:tcPr>
          <w:p w14:paraId="39B25BEA" w14:textId="77777777" w:rsidR="00587C3F" w:rsidRPr="00605DBD" w:rsidRDefault="00587C3F" w:rsidP="00154ED6">
            <w:pPr>
              <w:jc w:val="center"/>
            </w:pPr>
          </w:p>
        </w:tc>
        <w:tc>
          <w:tcPr>
            <w:tcW w:w="445" w:type="pct"/>
            <w:tcBorders>
              <w:top w:val="single" w:sz="4" w:space="0" w:color="auto"/>
            </w:tcBorders>
            <w:shd w:val="clear" w:color="auto" w:fill="auto"/>
            <w:noWrap/>
          </w:tcPr>
          <w:p w14:paraId="0A7D0251" w14:textId="77777777" w:rsidR="00587C3F" w:rsidRPr="00605DBD" w:rsidRDefault="00587C3F" w:rsidP="00154ED6">
            <w:pPr>
              <w:jc w:val="center"/>
            </w:pPr>
          </w:p>
        </w:tc>
      </w:tr>
      <w:tr w:rsidR="00587C3F" w14:paraId="57E44B08" w14:textId="77777777" w:rsidTr="00154ED6">
        <w:trPr>
          <w:cnfStyle w:val="000000010000" w:firstRow="0" w:lastRow="0" w:firstColumn="0" w:lastColumn="0" w:oddVBand="0" w:evenVBand="0" w:oddHBand="0" w:evenHBand="1" w:firstRowFirstColumn="0" w:firstRowLastColumn="0" w:lastRowFirstColumn="0" w:lastRowLastColumn="0"/>
          <w:trHeight w:val="509"/>
        </w:trPr>
        <w:tc>
          <w:tcPr>
            <w:tcW w:w="981" w:type="pct"/>
            <w:vMerge/>
          </w:tcPr>
          <w:p w14:paraId="2965AAE6" w14:textId="77777777" w:rsidR="00587C3F" w:rsidRPr="007F10C1" w:rsidRDefault="00587C3F" w:rsidP="00154ED6">
            <w:pPr>
              <w:rPr>
                <w:rFonts w:ascii="Arial" w:hAnsi="Arial" w:cs="Arial"/>
                <w:color w:val="595959" w:themeColor="text1" w:themeTint="A6"/>
                <w:sz w:val="16"/>
                <w:szCs w:val="16"/>
              </w:rPr>
            </w:pPr>
          </w:p>
        </w:tc>
        <w:tc>
          <w:tcPr>
            <w:tcW w:w="712" w:type="pct"/>
          </w:tcPr>
          <w:p w14:paraId="3C5A0BE7" w14:textId="77777777" w:rsidR="00587C3F" w:rsidRPr="007F10C1" w:rsidRDefault="00587C3F" w:rsidP="00154ED6">
            <w:pPr>
              <w:keepLines/>
              <w:rPr>
                <w:rFonts w:ascii="Arial" w:hAnsi="Arial" w:cs="Arial"/>
                <w:color w:val="595959" w:themeColor="text1" w:themeTint="A6"/>
                <w:sz w:val="16"/>
                <w:szCs w:val="16"/>
              </w:rPr>
            </w:pPr>
          </w:p>
        </w:tc>
        <w:tc>
          <w:tcPr>
            <w:tcW w:w="449" w:type="pct"/>
          </w:tcPr>
          <w:p w14:paraId="6587684B"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shd w:val="clear" w:color="auto" w:fill="auto"/>
            <w:noWrap/>
          </w:tcPr>
          <w:p w14:paraId="16B8FB1C" w14:textId="77777777" w:rsidR="00587C3F" w:rsidRPr="00605DBD" w:rsidRDefault="00587C3F" w:rsidP="00154ED6">
            <w:pPr>
              <w:jc w:val="center"/>
            </w:pPr>
            <w:r>
              <w:t>N/A</w:t>
            </w:r>
          </w:p>
        </w:tc>
        <w:tc>
          <w:tcPr>
            <w:tcW w:w="449" w:type="pct"/>
            <w:shd w:val="clear" w:color="auto" w:fill="auto"/>
            <w:noWrap/>
          </w:tcPr>
          <w:p w14:paraId="5186304C" w14:textId="77777777" w:rsidR="00587C3F" w:rsidRPr="00605DBD" w:rsidRDefault="00587C3F" w:rsidP="00154ED6">
            <w:pPr>
              <w:jc w:val="center"/>
            </w:pPr>
            <w:r>
              <w:t>N/A</w:t>
            </w:r>
          </w:p>
        </w:tc>
        <w:tc>
          <w:tcPr>
            <w:tcW w:w="452" w:type="pct"/>
            <w:shd w:val="clear" w:color="auto" w:fill="auto"/>
            <w:noWrap/>
          </w:tcPr>
          <w:p w14:paraId="23F7A642" w14:textId="77777777" w:rsidR="00587C3F" w:rsidRPr="00605DBD" w:rsidRDefault="00587C3F" w:rsidP="00154ED6">
            <w:pPr>
              <w:jc w:val="center"/>
            </w:pPr>
            <w:r>
              <w:t>N/A</w:t>
            </w:r>
          </w:p>
        </w:tc>
        <w:tc>
          <w:tcPr>
            <w:tcW w:w="449" w:type="pct"/>
            <w:shd w:val="clear" w:color="auto" w:fill="auto"/>
            <w:noWrap/>
          </w:tcPr>
          <w:p w14:paraId="6EB1F2DD" w14:textId="77777777" w:rsidR="00587C3F" w:rsidRPr="00605DBD" w:rsidRDefault="00587C3F" w:rsidP="00154ED6">
            <w:pPr>
              <w:jc w:val="center"/>
            </w:pPr>
            <w:r>
              <w:t>N/A</w:t>
            </w:r>
          </w:p>
        </w:tc>
        <w:tc>
          <w:tcPr>
            <w:tcW w:w="452" w:type="pct"/>
            <w:shd w:val="clear" w:color="auto" w:fill="auto"/>
            <w:noWrap/>
          </w:tcPr>
          <w:p w14:paraId="3BBEEDAA" w14:textId="77777777" w:rsidR="00587C3F" w:rsidRPr="00605DBD" w:rsidRDefault="00587C3F" w:rsidP="00154ED6">
            <w:pPr>
              <w:jc w:val="center"/>
            </w:pPr>
            <w:r>
              <w:t>N/A</w:t>
            </w:r>
          </w:p>
        </w:tc>
        <w:tc>
          <w:tcPr>
            <w:tcW w:w="445" w:type="pct"/>
            <w:shd w:val="clear" w:color="auto" w:fill="auto"/>
            <w:noWrap/>
          </w:tcPr>
          <w:p w14:paraId="26B06375" w14:textId="77777777" w:rsidR="00587C3F" w:rsidRPr="00605DBD" w:rsidRDefault="00587C3F" w:rsidP="00154ED6">
            <w:pPr>
              <w:jc w:val="center"/>
            </w:pPr>
            <w:r>
              <w:t>N/A</w:t>
            </w:r>
          </w:p>
        </w:tc>
      </w:tr>
      <w:tr w:rsidR="00587C3F" w14:paraId="772504EF" w14:textId="77777777" w:rsidTr="00154ED6">
        <w:trPr>
          <w:cnfStyle w:val="000000010000" w:firstRow="0" w:lastRow="0" w:firstColumn="0" w:lastColumn="0" w:oddVBand="0" w:evenVBand="0" w:oddHBand="0" w:evenHBand="1" w:firstRowFirstColumn="0" w:firstRowLastColumn="0" w:lastRowFirstColumn="0" w:lastRowLastColumn="0"/>
          <w:trHeight w:val="509"/>
        </w:trPr>
        <w:tc>
          <w:tcPr>
            <w:tcW w:w="981" w:type="pct"/>
            <w:vMerge w:val="restart"/>
            <w:tcBorders>
              <w:top w:val="single" w:sz="4" w:space="0" w:color="auto"/>
            </w:tcBorders>
          </w:tcPr>
          <w:p w14:paraId="6C1F4F57" w14:textId="77777777" w:rsidR="00587C3F" w:rsidRPr="007F10C1" w:rsidRDefault="00587C3F" w:rsidP="00154ED6">
            <w:pPr>
              <w:rPr>
                <w:rFonts w:ascii="Arial" w:hAnsi="Arial" w:cs="Arial"/>
                <w:color w:val="595959" w:themeColor="text1" w:themeTint="A6"/>
                <w:sz w:val="16"/>
                <w:szCs w:val="16"/>
              </w:rPr>
            </w:pPr>
            <w:r w:rsidRPr="007F10C1">
              <w:rPr>
                <w:rFonts w:ascii="Arial" w:hAnsi="Arial" w:cs="Arial"/>
                <w:color w:val="595959" w:themeColor="text1" w:themeTint="A6"/>
                <w:sz w:val="16"/>
                <w:szCs w:val="16"/>
              </w:rPr>
              <w:t>Undersea Cables Project</w:t>
            </w:r>
          </w:p>
        </w:tc>
        <w:tc>
          <w:tcPr>
            <w:tcW w:w="712" w:type="pct"/>
            <w:tcBorders>
              <w:top w:val="single" w:sz="4" w:space="0" w:color="auto"/>
            </w:tcBorders>
          </w:tcPr>
          <w:p w14:paraId="0833A9DB" w14:textId="77777777" w:rsidR="00587C3F" w:rsidRPr="007F10C1"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sidRPr="007F10C1">
              <w:rPr>
                <w:rFonts w:asciiTheme="minorHAnsi" w:eastAsia="Times New Roman" w:hAnsiTheme="minorHAnsi"/>
                <w:iCs/>
                <w:color w:val="595959" w:themeColor="text1" w:themeTint="A6"/>
                <w:szCs w:val="17"/>
                <w:lang w:eastAsia="en-US"/>
              </w:rPr>
              <w:t>$158m</w:t>
            </w:r>
          </w:p>
          <w:p w14:paraId="4107E3BE" w14:textId="77777777" w:rsidR="00587C3F" w:rsidRPr="007F10C1"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r w:rsidRPr="007F10C1">
              <w:rPr>
                <w:rFonts w:asciiTheme="minorHAnsi" w:eastAsia="Times New Roman" w:hAnsiTheme="minorHAnsi"/>
                <w:iCs/>
                <w:color w:val="595959" w:themeColor="text1" w:themeTint="A6"/>
                <w:szCs w:val="17"/>
                <w:lang w:eastAsia="en-US"/>
              </w:rPr>
              <w:t>2017-2020</w:t>
            </w:r>
          </w:p>
        </w:tc>
        <w:tc>
          <w:tcPr>
            <w:tcW w:w="449" w:type="pct"/>
            <w:tcBorders>
              <w:top w:val="single" w:sz="4" w:space="0" w:color="auto"/>
            </w:tcBorders>
          </w:tcPr>
          <w:p w14:paraId="66B8B7CD"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2019 AQC</w:t>
            </w:r>
          </w:p>
        </w:tc>
        <w:tc>
          <w:tcPr>
            <w:tcW w:w="451" w:type="pct"/>
            <w:tcBorders>
              <w:top w:val="single" w:sz="4" w:space="0" w:color="auto"/>
            </w:tcBorders>
            <w:shd w:val="clear" w:color="auto" w:fill="92D050"/>
            <w:noWrap/>
          </w:tcPr>
          <w:p w14:paraId="57703420" w14:textId="77777777" w:rsidR="00587C3F" w:rsidRPr="00605DBD" w:rsidRDefault="00587C3F" w:rsidP="00154ED6">
            <w:pPr>
              <w:jc w:val="center"/>
            </w:pPr>
            <w:r>
              <w:t>5</w:t>
            </w:r>
          </w:p>
        </w:tc>
        <w:tc>
          <w:tcPr>
            <w:tcW w:w="449" w:type="pct"/>
            <w:tcBorders>
              <w:top w:val="single" w:sz="4" w:space="0" w:color="auto"/>
            </w:tcBorders>
            <w:shd w:val="clear" w:color="auto" w:fill="FFFF00"/>
            <w:noWrap/>
          </w:tcPr>
          <w:p w14:paraId="068C84BF" w14:textId="77777777" w:rsidR="00587C3F" w:rsidRPr="00605DBD" w:rsidRDefault="00587C3F" w:rsidP="00154ED6">
            <w:pPr>
              <w:jc w:val="center"/>
            </w:pPr>
            <w:r>
              <w:t>4</w:t>
            </w:r>
          </w:p>
        </w:tc>
        <w:tc>
          <w:tcPr>
            <w:tcW w:w="452" w:type="pct"/>
            <w:tcBorders>
              <w:top w:val="single" w:sz="4" w:space="0" w:color="auto"/>
            </w:tcBorders>
            <w:shd w:val="clear" w:color="auto" w:fill="auto"/>
            <w:noWrap/>
          </w:tcPr>
          <w:p w14:paraId="57CD540C" w14:textId="77777777" w:rsidR="00587C3F" w:rsidRPr="00605DBD" w:rsidRDefault="00587C3F" w:rsidP="00154ED6">
            <w:pPr>
              <w:jc w:val="center"/>
            </w:pPr>
          </w:p>
        </w:tc>
        <w:tc>
          <w:tcPr>
            <w:tcW w:w="449" w:type="pct"/>
            <w:tcBorders>
              <w:top w:val="single" w:sz="4" w:space="0" w:color="auto"/>
            </w:tcBorders>
            <w:shd w:val="clear" w:color="auto" w:fill="FFC000"/>
            <w:noWrap/>
          </w:tcPr>
          <w:p w14:paraId="7B1E4731" w14:textId="77777777" w:rsidR="00587C3F" w:rsidRPr="00605DBD" w:rsidRDefault="00587C3F" w:rsidP="00154ED6">
            <w:pPr>
              <w:jc w:val="center"/>
            </w:pPr>
            <w:r>
              <w:t>3</w:t>
            </w:r>
          </w:p>
        </w:tc>
        <w:tc>
          <w:tcPr>
            <w:tcW w:w="452" w:type="pct"/>
            <w:tcBorders>
              <w:top w:val="single" w:sz="4" w:space="0" w:color="auto"/>
            </w:tcBorders>
            <w:shd w:val="clear" w:color="auto" w:fill="auto"/>
            <w:noWrap/>
          </w:tcPr>
          <w:p w14:paraId="539E2626" w14:textId="77777777" w:rsidR="00587C3F" w:rsidRPr="00605DBD" w:rsidRDefault="00587C3F" w:rsidP="00154ED6">
            <w:pPr>
              <w:jc w:val="center"/>
            </w:pPr>
          </w:p>
        </w:tc>
        <w:tc>
          <w:tcPr>
            <w:tcW w:w="445" w:type="pct"/>
            <w:tcBorders>
              <w:top w:val="single" w:sz="4" w:space="0" w:color="auto"/>
            </w:tcBorders>
            <w:shd w:val="clear" w:color="auto" w:fill="auto"/>
            <w:noWrap/>
          </w:tcPr>
          <w:p w14:paraId="752A69AD" w14:textId="77777777" w:rsidR="00587C3F" w:rsidRPr="00605DBD" w:rsidRDefault="00587C3F" w:rsidP="00154ED6">
            <w:pPr>
              <w:jc w:val="center"/>
            </w:pPr>
          </w:p>
        </w:tc>
      </w:tr>
      <w:tr w:rsidR="00587C3F" w14:paraId="3D416718" w14:textId="77777777" w:rsidTr="00154ED6">
        <w:trPr>
          <w:cnfStyle w:val="000000010000" w:firstRow="0" w:lastRow="0" w:firstColumn="0" w:lastColumn="0" w:oddVBand="0" w:evenVBand="0" w:oddHBand="0" w:evenHBand="1" w:firstRowFirstColumn="0" w:firstRowLastColumn="0" w:lastRowFirstColumn="0" w:lastRowLastColumn="0"/>
          <w:trHeight w:val="509"/>
        </w:trPr>
        <w:tc>
          <w:tcPr>
            <w:tcW w:w="981" w:type="pct"/>
            <w:vMerge/>
            <w:tcBorders>
              <w:bottom w:val="single" w:sz="4" w:space="0" w:color="auto"/>
            </w:tcBorders>
            <w:vAlign w:val="bottom"/>
          </w:tcPr>
          <w:p w14:paraId="623B4506" w14:textId="77777777" w:rsidR="00587C3F" w:rsidRPr="00FD46B5" w:rsidRDefault="00587C3F" w:rsidP="00154ED6">
            <w:pPr>
              <w:keepLines/>
              <w:spacing w:before="40" w:after="40" w:line="200" w:lineRule="atLeast"/>
              <w:rPr>
                <w:rFonts w:eastAsia="Times New Roman"/>
                <w:iCs/>
                <w:color w:val="595959" w:themeColor="text1" w:themeTint="A6"/>
                <w:szCs w:val="17"/>
              </w:rPr>
            </w:pPr>
          </w:p>
        </w:tc>
        <w:tc>
          <w:tcPr>
            <w:tcW w:w="712" w:type="pct"/>
            <w:tcBorders>
              <w:bottom w:val="single" w:sz="4" w:space="0" w:color="auto"/>
            </w:tcBorders>
          </w:tcPr>
          <w:p w14:paraId="16D3EF4B" w14:textId="77777777" w:rsidR="00587C3F" w:rsidRPr="007F10C1" w:rsidRDefault="00587C3F" w:rsidP="00154ED6">
            <w:pPr>
              <w:keepLines/>
              <w:spacing w:before="40" w:after="40" w:line="200" w:lineRule="atLeast"/>
              <w:rPr>
                <w:rFonts w:asciiTheme="minorHAnsi" w:eastAsia="Times New Roman" w:hAnsiTheme="minorHAnsi"/>
                <w:iCs/>
                <w:color w:val="595959" w:themeColor="text1" w:themeTint="A6"/>
                <w:szCs w:val="17"/>
                <w:lang w:eastAsia="en-US"/>
              </w:rPr>
            </w:pPr>
          </w:p>
        </w:tc>
        <w:tc>
          <w:tcPr>
            <w:tcW w:w="449" w:type="pct"/>
            <w:tcBorders>
              <w:bottom w:val="single" w:sz="4" w:space="0" w:color="auto"/>
            </w:tcBorders>
          </w:tcPr>
          <w:p w14:paraId="5B8FCA3D" w14:textId="77777777" w:rsidR="00587C3F" w:rsidRDefault="00587C3F" w:rsidP="00154ED6">
            <w:pPr>
              <w:keepLines/>
              <w:spacing w:before="40" w:after="40" w:line="200" w:lineRule="atLeast"/>
              <w:rPr>
                <w:rFonts w:eastAsia="Times New Roman"/>
                <w:iCs/>
                <w:color w:val="595959" w:themeColor="text1" w:themeTint="A6"/>
                <w:szCs w:val="17"/>
              </w:rPr>
            </w:pPr>
            <w:r>
              <w:rPr>
                <w:rFonts w:asciiTheme="minorHAnsi" w:eastAsia="Times New Roman" w:hAnsiTheme="minorHAnsi"/>
                <w:iCs/>
                <w:color w:val="595959" w:themeColor="text1" w:themeTint="A6"/>
                <w:szCs w:val="17"/>
                <w:lang w:eastAsia="en-US"/>
              </w:rPr>
              <w:t>2018</w:t>
            </w:r>
            <w:r w:rsidRPr="00FD46B5">
              <w:rPr>
                <w:rFonts w:asciiTheme="minorHAnsi" w:eastAsia="Times New Roman" w:hAnsiTheme="minorHAnsi"/>
                <w:iCs/>
                <w:color w:val="595959" w:themeColor="text1" w:themeTint="A6"/>
                <w:szCs w:val="17"/>
                <w:lang w:eastAsia="en-US"/>
              </w:rPr>
              <w:t xml:space="preserve"> AQC</w:t>
            </w:r>
          </w:p>
        </w:tc>
        <w:tc>
          <w:tcPr>
            <w:tcW w:w="451" w:type="pct"/>
            <w:tcBorders>
              <w:bottom w:val="single" w:sz="4" w:space="0" w:color="auto"/>
            </w:tcBorders>
            <w:shd w:val="clear" w:color="auto" w:fill="auto"/>
            <w:noWrap/>
          </w:tcPr>
          <w:p w14:paraId="364E76A1" w14:textId="77777777" w:rsidR="00587C3F" w:rsidRPr="00605DBD" w:rsidRDefault="00587C3F" w:rsidP="00154ED6">
            <w:pPr>
              <w:jc w:val="center"/>
            </w:pPr>
            <w:r>
              <w:t>N/A</w:t>
            </w:r>
          </w:p>
        </w:tc>
        <w:tc>
          <w:tcPr>
            <w:tcW w:w="449" w:type="pct"/>
            <w:tcBorders>
              <w:bottom w:val="single" w:sz="4" w:space="0" w:color="auto"/>
            </w:tcBorders>
            <w:shd w:val="clear" w:color="auto" w:fill="auto"/>
            <w:noWrap/>
          </w:tcPr>
          <w:p w14:paraId="7B29CA9D" w14:textId="77777777" w:rsidR="00587C3F" w:rsidRPr="00605DBD" w:rsidRDefault="00587C3F" w:rsidP="00154ED6">
            <w:pPr>
              <w:jc w:val="center"/>
            </w:pPr>
            <w:r>
              <w:t>N/A</w:t>
            </w:r>
          </w:p>
        </w:tc>
        <w:tc>
          <w:tcPr>
            <w:tcW w:w="452" w:type="pct"/>
            <w:tcBorders>
              <w:bottom w:val="single" w:sz="4" w:space="0" w:color="auto"/>
            </w:tcBorders>
            <w:shd w:val="clear" w:color="auto" w:fill="auto"/>
            <w:noWrap/>
          </w:tcPr>
          <w:p w14:paraId="0D4ED7DC" w14:textId="77777777" w:rsidR="00587C3F" w:rsidRPr="00605DBD" w:rsidRDefault="00587C3F" w:rsidP="00154ED6">
            <w:pPr>
              <w:jc w:val="center"/>
            </w:pPr>
            <w:r>
              <w:t>N/A</w:t>
            </w:r>
          </w:p>
        </w:tc>
        <w:tc>
          <w:tcPr>
            <w:tcW w:w="449" w:type="pct"/>
            <w:tcBorders>
              <w:bottom w:val="single" w:sz="4" w:space="0" w:color="auto"/>
            </w:tcBorders>
            <w:shd w:val="clear" w:color="auto" w:fill="auto"/>
            <w:noWrap/>
          </w:tcPr>
          <w:p w14:paraId="24BBB8EA" w14:textId="77777777" w:rsidR="00587C3F" w:rsidRPr="00605DBD" w:rsidRDefault="00587C3F" w:rsidP="00154ED6">
            <w:pPr>
              <w:jc w:val="center"/>
            </w:pPr>
            <w:r>
              <w:t>N/A</w:t>
            </w:r>
          </w:p>
        </w:tc>
        <w:tc>
          <w:tcPr>
            <w:tcW w:w="452" w:type="pct"/>
            <w:tcBorders>
              <w:bottom w:val="single" w:sz="4" w:space="0" w:color="auto"/>
            </w:tcBorders>
            <w:shd w:val="clear" w:color="auto" w:fill="auto"/>
            <w:noWrap/>
          </w:tcPr>
          <w:p w14:paraId="50B1A001" w14:textId="77777777" w:rsidR="00587C3F" w:rsidRPr="00605DBD" w:rsidRDefault="00587C3F" w:rsidP="00154ED6">
            <w:pPr>
              <w:jc w:val="center"/>
            </w:pPr>
            <w:r>
              <w:t>N/A</w:t>
            </w:r>
          </w:p>
        </w:tc>
        <w:tc>
          <w:tcPr>
            <w:tcW w:w="445" w:type="pct"/>
            <w:tcBorders>
              <w:bottom w:val="single" w:sz="4" w:space="0" w:color="auto"/>
            </w:tcBorders>
            <w:shd w:val="clear" w:color="auto" w:fill="auto"/>
            <w:noWrap/>
          </w:tcPr>
          <w:p w14:paraId="49542CA4" w14:textId="77777777" w:rsidR="00587C3F" w:rsidRPr="00605DBD" w:rsidRDefault="00587C3F" w:rsidP="00154ED6">
            <w:pPr>
              <w:jc w:val="center"/>
            </w:pPr>
            <w:r>
              <w:t>N/A</w:t>
            </w:r>
          </w:p>
        </w:tc>
      </w:tr>
    </w:tbl>
    <w:p w14:paraId="111CE38E" w14:textId="77777777" w:rsidR="00587C3F" w:rsidRPr="00C61187" w:rsidRDefault="00587C3F" w:rsidP="00587C3F">
      <w:pPr>
        <w:rPr>
          <w:iCs/>
        </w:rPr>
      </w:pPr>
    </w:p>
    <w:p w14:paraId="1C527E47" w14:textId="77777777" w:rsidR="00587C3F" w:rsidRDefault="00587C3F" w:rsidP="00587C3F">
      <w:pPr>
        <w:suppressAutoHyphens w:val="0"/>
        <w:spacing w:before="0" w:after="120" w:line="440" w:lineRule="atLeast"/>
        <w:rPr>
          <w:rFonts w:eastAsiaTheme="majorEastAsia" w:cstheme="minorHAnsi"/>
          <w:caps/>
          <w:sz w:val="36"/>
          <w:szCs w:val="36"/>
        </w:rPr>
      </w:pPr>
      <w:r>
        <w:rPr>
          <w:rFonts w:eastAsiaTheme="majorEastAsia" w:cstheme="minorHAnsi"/>
          <w:caps/>
          <w:sz w:val="36"/>
          <w:szCs w:val="36"/>
        </w:rPr>
        <w:br w:type="page"/>
      </w:r>
    </w:p>
    <w:p w14:paraId="23C32C68" w14:textId="77777777" w:rsidR="00587C3F" w:rsidRPr="00C61187" w:rsidRDefault="00587C3F" w:rsidP="00587C3F">
      <w:pPr>
        <w:pStyle w:val="ListBullet"/>
        <w:tabs>
          <w:tab w:val="clear" w:pos="284"/>
        </w:tabs>
        <w:spacing w:before="400"/>
      </w:pPr>
      <w:r>
        <w:rPr>
          <w:rFonts w:asciiTheme="minorHAnsi" w:eastAsiaTheme="majorEastAsia" w:hAnsiTheme="minorHAnsi" w:cstheme="minorHAnsi"/>
          <w:caps/>
          <w:color w:val="495965" w:themeColor="text2"/>
          <w:sz w:val="36"/>
          <w:szCs w:val="36"/>
          <w:lang w:val="en-GB" w:eastAsia="en-US"/>
        </w:rPr>
        <w:t>2</w:t>
      </w:r>
      <w:r w:rsidRPr="00EF26B5">
        <w:rPr>
          <w:rFonts w:asciiTheme="minorHAnsi" w:eastAsiaTheme="majorEastAsia" w:hAnsiTheme="minorHAnsi" w:cstheme="minorHAnsi"/>
          <w:caps/>
          <w:color w:val="495965" w:themeColor="text2"/>
          <w:sz w:val="36"/>
          <w:szCs w:val="36"/>
          <w:lang w:val="en-GB" w:eastAsia="en-US"/>
        </w:rPr>
        <w:t xml:space="preserve"> FAQC ratings</w:t>
      </w:r>
      <w:r w:rsidRPr="00A8197B">
        <w:rPr>
          <w:rFonts w:asciiTheme="majorHAnsi" w:eastAsiaTheme="majorEastAsia" w:hAnsiTheme="majorHAnsi" w:cstheme="majorBidi"/>
          <w:caps/>
          <w:color w:val="495965" w:themeColor="text2"/>
          <w:sz w:val="38"/>
          <w:szCs w:val="26"/>
          <w:lang w:val="en-GB" w:eastAsia="en-US"/>
        </w:rPr>
        <w:t xml:space="preserve"> </w:t>
      </w:r>
    </w:p>
    <w:tbl>
      <w:tblPr>
        <w:tblStyle w:val="APPR"/>
        <w:tblW w:w="4573" w:type="pct"/>
        <w:tblLook w:val="0000" w:firstRow="0" w:lastRow="0" w:firstColumn="0" w:lastColumn="0" w:noHBand="0" w:noVBand="0"/>
      </w:tblPr>
      <w:tblGrid>
        <w:gridCol w:w="1777"/>
        <w:gridCol w:w="1283"/>
        <w:gridCol w:w="824"/>
        <w:gridCol w:w="820"/>
        <w:gridCol w:w="822"/>
        <w:gridCol w:w="820"/>
        <w:gridCol w:w="822"/>
        <w:gridCol w:w="820"/>
        <w:gridCol w:w="827"/>
      </w:tblGrid>
      <w:tr w:rsidR="00587C3F" w:rsidRPr="00A427C6" w14:paraId="290D1580" w14:textId="77777777" w:rsidTr="00154ED6">
        <w:trPr>
          <w:cnfStyle w:val="000000010000" w:firstRow="0" w:lastRow="0" w:firstColumn="0" w:lastColumn="0" w:oddVBand="0" w:evenVBand="0" w:oddHBand="0" w:evenHBand="1" w:firstRowFirstColumn="0" w:firstRowLastColumn="0" w:lastRowFirstColumn="0" w:lastRowLastColumn="0"/>
          <w:trHeight w:val="1505"/>
        </w:trPr>
        <w:tc>
          <w:tcPr>
            <w:tcW w:w="984" w:type="pct"/>
          </w:tcPr>
          <w:p w14:paraId="118B579E"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sidRPr="00A427C6">
              <w:rPr>
                <w:rFonts w:eastAsia="Times New Roman"/>
                <w:b/>
                <w:iCs/>
                <w:noProof/>
                <w:szCs w:val="17"/>
                <w:lang w:val="en-AU"/>
              </w:rPr>
              <w:drawing>
                <wp:anchor distT="0" distB="0" distL="114300" distR="114300" simplePos="0" relativeHeight="251684864" behindDoc="0" locked="0" layoutInCell="1" allowOverlap="1" wp14:anchorId="718E8B04" wp14:editId="04780F85">
                  <wp:simplePos x="0" y="0"/>
                  <wp:positionH relativeFrom="column">
                    <wp:posOffset>0</wp:posOffset>
                  </wp:positionH>
                  <wp:positionV relativeFrom="paragraph">
                    <wp:posOffset>0</wp:posOffset>
                  </wp:positionV>
                  <wp:extent cx="1857375" cy="228600"/>
                  <wp:effectExtent l="0" t="0" r="9525" b="0"/>
                  <wp:wrapNone/>
                  <wp:docPr id="4" name="Picture 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7C6">
              <w:rPr>
                <w:rFonts w:asciiTheme="minorHAnsi" w:eastAsia="Times New Roman" w:hAnsiTheme="minorHAnsi"/>
                <w:b/>
                <w:iCs/>
                <w:szCs w:val="17"/>
                <w:lang w:eastAsia="en-US"/>
              </w:rPr>
              <w:t>Investment name</w:t>
            </w:r>
          </w:p>
        </w:tc>
        <w:tc>
          <w:tcPr>
            <w:tcW w:w="712" w:type="pct"/>
            <w:textDirection w:val="btLr"/>
          </w:tcPr>
          <w:p w14:paraId="29AD06F7"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Approved budget and duration</w:t>
            </w:r>
          </w:p>
        </w:tc>
        <w:tc>
          <w:tcPr>
            <w:tcW w:w="452" w:type="pct"/>
            <w:noWrap/>
            <w:textDirection w:val="btLr"/>
          </w:tcPr>
          <w:p w14:paraId="6DF0FEE7"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Overall rating</w:t>
            </w:r>
          </w:p>
        </w:tc>
        <w:tc>
          <w:tcPr>
            <w:tcW w:w="449" w:type="pct"/>
            <w:noWrap/>
            <w:textDirection w:val="btLr"/>
          </w:tcPr>
          <w:p w14:paraId="516FE791"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Effectiveness</w:t>
            </w:r>
          </w:p>
        </w:tc>
        <w:tc>
          <w:tcPr>
            <w:tcW w:w="450" w:type="pct"/>
            <w:noWrap/>
            <w:textDirection w:val="btLr"/>
          </w:tcPr>
          <w:p w14:paraId="4D13850F"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Efficiency</w:t>
            </w:r>
          </w:p>
        </w:tc>
        <w:tc>
          <w:tcPr>
            <w:tcW w:w="449" w:type="pct"/>
            <w:noWrap/>
            <w:textDirection w:val="btLr"/>
          </w:tcPr>
          <w:p w14:paraId="00E4730F"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Relevance</w:t>
            </w:r>
          </w:p>
        </w:tc>
        <w:tc>
          <w:tcPr>
            <w:tcW w:w="450" w:type="pct"/>
            <w:noWrap/>
            <w:textDirection w:val="btLr"/>
          </w:tcPr>
          <w:p w14:paraId="571EBB6C"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Gender equality</w:t>
            </w:r>
          </w:p>
        </w:tc>
        <w:tc>
          <w:tcPr>
            <w:tcW w:w="449" w:type="pct"/>
            <w:noWrap/>
            <w:textDirection w:val="btLr"/>
          </w:tcPr>
          <w:p w14:paraId="5109082F"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Monitoring and Evaluation</w:t>
            </w:r>
          </w:p>
        </w:tc>
        <w:tc>
          <w:tcPr>
            <w:tcW w:w="445" w:type="pct"/>
            <w:textDirection w:val="btLr"/>
          </w:tcPr>
          <w:p w14:paraId="628BD23B" w14:textId="77777777" w:rsidR="00587C3F" w:rsidRPr="00A427C6" w:rsidRDefault="00587C3F" w:rsidP="00154ED6">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 xml:space="preserve">Sustainability </w:t>
            </w:r>
          </w:p>
        </w:tc>
      </w:tr>
      <w:tr w:rsidR="00587C3F" w14:paraId="3F42894F"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4" w:type="pct"/>
            <w:tcBorders>
              <w:top w:val="single" w:sz="2" w:space="0" w:color="000000" w:themeColor="text1"/>
              <w:bottom w:val="single" w:sz="2" w:space="0" w:color="000000" w:themeColor="text1"/>
            </w:tcBorders>
          </w:tcPr>
          <w:p w14:paraId="75FE90D6" w14:textId="77777777" w:rsidR="00587C3F" w:rsidRPr="00C429DF" w:rsidRDefault="00587C3F" w:rsidP="00154ED6">
            <w:r w:rsidRPr="00485C86">
              <w:t>Australia-Pacific Technical College Stage 2</w:t>
            </w:r>
          </w:p>
        </w:tc>
        <w:tc>
          <w:tcPr>
            <w:tcW w:w="712" w:type="pct"/>
            <w:tcBorders>
              <w:top w:val="single" w:sz="2" w:space="0" w:color="000000" w:themeColor="text1"/>
              <w:bottom w:val="single" w:sz="2" w:space="0" w:color="000000" w:themeColor="text1"/>
            </w:tcBorders>
          </w:tcPr>
          <w:p w14:paraId="42074A91" w14:textId="77777777" w:rsidR="00587C3F" w:rsidRDefault="00587C3F" w:rsidP="00154ED6">
            <w:r>
              <w:t>$240m</w:t>
            </w:r>
          </w:p>
          <w:p w14:paraId="2CC47B03" w14:textId="77777777" w:rsidR="00587C3F" w:rsidRPr="008236EC" w:rsidRDefault="00587C3F" w:rsidP="00154ED6">
            <w:r>
              <w:t>2011-2018</w:t>
            </w:r>
          </w:p>
        </w:tc>
        <w:tc>
          <w:tcPr>
            <w:tcW w:w="452" w:type="pct"/>
            <w:tcBorders>
              <w:top w:val="single" w:sz="2" w:space="0" w:color="000000" w:themeColor="text1"/>
              <w:bottom w:val="single" w:sz="2" w:space="0" w:color="000000" w:themeColor="text1"/>
            </w:tcBorders>
            <w:shd w:val="clear" w:color="auto" w:fill="FFFF00"/>
            <w:noWrap/>
          </w:tcPr>
          <w:p w14:paraId="08AFEFDE" w14:textId="77777777" w:rsidR="00587C3F" w:rsidRPr="00481D53" w:rsidRDefault="00587C3F" w:rsidP="00154ED6">
            <w:pPr>
              <w:jc w:val="center"/>
            </w:pPr>
            <w:r w:rsidRPr="00481D53">
              <w:t>4</w:t>
            </w:r>
          </w:p>
        </w:tc>
        <w:tc>
          <w:tcPr>
            <w:tcW w:w="449" w:type="pct"/>
            <w:tcBorders>
              <w:top w:val="single" w:sz="2" w:space="0" w:color="000000" w:themeColor="text1"/>
              <w:bottom w:val="single" w:sz="2" w:space="0" w:color="000000" w:themeColor="text1"/>
            </w:tcBorders>
            <w:shd w:val="clear" w:color="auto" w:fill="92D050"/>
            <w:noWrap/>
          </w:tcPr>
          <w:p w14:paraId="6091DFF4" w14:textId="77777777" w:rsidR="00587C3F" w:rsidRPr="00481D53" w:rsidRDefault="00587C3F" w:rsidP="00154ED6">
            <w:pPr>
              <w:jc w:val="center"/>
            </w:pPr>
            <w:r w:rsidRPr="00481D53">
              <w:t>6</w:t>
            </w:r>
          </w:p>
        </w:tc>
        <w:tc>
          <w:tcPr>
            <w:tcW w:w="450" w:type="pct"/>
            <w:tcBorders>
              <w:top w:val="single" w:sz="2" w:space="0" w:color="000000" w:themeColor="text1"/>
              <w:bottom w:val="single" w:sz="2" w:space="0" w:color="000000" w:themeColor="text1"/>
            </w:tcBorders>
            <w:shd w:val="clear" w:color="auto" w:fill="92D050"/>
            <w:noWrap/>
          </w:tcPr>
          <w:p w14:paraId="57497858" w14:textId="77777777" w:rsidR="00587C3F" w:rsidRPr="00481D53" w:rsidRDefault="00587C3F" w:rsidP="00154ED6">
            <w:pPr>
              <w:jc w:val="center"/>
            </w:pPr>
            <w:r w:rsidRPr="00481D53">
              <w:t>6</w:t>
            </w:r>
          </w:p>
        </w:tc>
        <w:tc>
          <w:tcPr>
            <w:tcW w:w="449" w:type="pct"/>
            <w:tcBorders>
              <w:top w:val="single" w:sz="2" w:space="0" w:color="000000" w:themeColor="text1"/>
              <w:bottom w:val="single" w:sz="2" w:space="0" w:color="000000" w:themeColor="text1"/>
            </w:tcBorders>
            <w:shd w:val="clear" w:color="auto" w:fill="FFFF00"/>
            <w:noWrap/>
          </w:tcPr>
          <w:p w14:paraId="389AA69B" w14:textId="77777777" w:rsidR="00587C3F" w:rsidRPr="00481D53" w:rsidRDefault="00587C3F" w:rsidP="00154ED6">
            <w:pPr>
              <w:jc w:val="center"/>
            </w:pPr>
            <w:r w:rsidRPr="00481D53">
              <w:t>4</w:t>
            </w:r>
          </w:p>
        </w:tc>
        <w:tc>
          <w:tcPr>
            <w:tcW w:w="450" w:type="pct"/>
            <w:tcBorders>
              <w:top w:val="single" w:sz="2" w:space="0" w:color="000000" w:themeColor="text1"/>
              <w:bottom w:val="single" w:sz="2" w:space="0" w:color="000000" w:themeColor="text1"/>
            </w:tcBorders>
            <w:shd w:val="clear" w:color="auto" w:fill="FFFF00"/>
            <w:noWrap/>
          </w:tcPr>
          <w:p w14:paraId="1FF64B99" w14:textId="77777777" w:rsidR="00587C3F" w:rsidRPr="00481D53" w:rsidRDefault="00587C3F" w:rsidP="00154ED6">
            <w:pPr>
              <w:jc w:val="center"/>
            </w:pPr>
            <w:r w:rsidRPr="00481D53">
              <w:t>4</w:t>
            </w:r>
          </w:p>
        </w:tc>
        <w:tc>
          <w:tcPr>
            <w:tcW w:w="449" w:type="pct"/>
            <w:tcBorders>
              <w:top w:val="single" w:sz="2" w:space="0" w:color="000000" w:themeColor="text1"/>
              <w:bottom w:val="single" w:sz="2" w:space="0" w:color="000000" w:themeColor="text1"/>
            </w:tcBorders>
            <w:shd w:val="clear" w:color="auto" w:fill="92D050"/>
            <w:noWrap/>
          </w:tcPr>
          <w:p w14:paraId="46BEE467" w14:textId="77777777" w:rsidR="00587C3F" w:rsidRPr="00481D53" w:rsidRDefault="00587C3F" w:rsidP="00154ED6">
            <w:pPr>
              <w:jc w:val="center"/>
            </w:pPr>
            <w:r w:rsidRPr="00481D53">
              <w:t>6</w:t>
            </w:r>
          </w:p>
        </w:tc>
        <w:tc>
          <w:tcPr>
            <w:tcW w:w="445" w:type="pct"/>
            <w:tcBorders>
              <w:top w:val="single" w:sz="2" w:space="0" w:color="000000" w:themeColor="text1"/>
              <w:bottom w:val="single" w:sz="2" w:space="0" w:color="000000" w:themeColor="text1"/>
            </w:tcBorders>
            <w:shd w:val="clear" w:color="auto" w:fill="92D050"/>
          </w:tcPr>
          <w:p w14:paraId="244D299F" w14:textId="77777777" w:rsidR="00587C3F" w:rsidRPr="00481D53" w:rsidRDefault="00587C3F" w:rsidP="00154ED6">
            <w:pPr>
              <w:jc w:val="center"/>
            </w:pPr>
            <w:r w:rsidRPr="00481D53">
              <w:t>5</w:t>
            </w:r>
          </w:p>
        </w:tc>
      </w:tr>
      <w:tr w:rsidR="00353BBF" w14:paraId="6134E2AC" w14:textId="77777777" w:rsidTr="0063700C">
        <w:trPr>
          <w:cnfStyle w:val="000000010000" w:firstRow="0" w:lastRow="0" w:firstColumn="0" w:lastColumn="0" w:oddVBand="0" w:evenVBand="0" w:oddHBand="0" w:evenHBand="1" w:firstRowFirstColumn="0" w:firstRowLastColumn="0" w:lastRowFirstColumn="0" w:lastRowLastColumn="0"/>
          <w:trHeight w:val="284"/>
        </w:trPr>
        <w:tc>
          <w:tcPr>
            <w:tcW w:w="984" w:type="pct"/>
            <w:tcBorders>
              <w:bottom w:val="single" w:sz="2" w:space="0" w:color="000000" w:themeColor="text1"/>
            </w:tcBorders>
          </w:tcPr>
          <w:p w14:paraId="769A7FA7" w14:textId="77777777" w:rsidR="00353BBF" w:rsidRPr="00C429DF" w:rsidRDefault="00353BBF" w:rsidP="00353BBF">
            <w:r w:rsidRPr="00485C86">
              <w:t>Private Sector Development Initiative Phase 3</w:t>
            </w:r>
          </w:p>
        </w:tc>
        <w:tc>
          <w:tcPr>
            <w:tcW w:w="712" w:type="pct"/>
            <w:tcBorders>
              <w:bottom w:val="single" w:sz="2" w:space="0" w:color="000000" w:themeColor="text1"/>
            </w:tcBorders>
          </w:tcPr>
          <w:p w14:paraId="20200F59" w14:textId="77777777" w:rsidR="00353BBF" w:rsidRDefault="00353BBF" w:rsidP="00353BBF">
            <w:r>
              <w:t>$22m</w:t>
            </w:r>
          </w:p>
          <w:p w14:paraId="08F98F8B" w14:textId="77777777" w:rsidR="00353BBF" w:rsidRPr="008236EC" w:rsidRDefault="00353BBF" w:rsidP="00353BBF">
            <w:r>
              <w:t>2013-2019</w:t>
            </w:r>
          </w:p>
        </w:tc>
        <w:tc>
          <w:tcPr>
            <w:tcW w:w="452" w:type="pct"/>
            <w:tcBorders>
              <w:bottom w:val="single" w:sz="2" w:space="0" w:color="000000" w:themeColor="text1"/>
            </w:tcBorders>
            <w:shd w:val="clear" w:color="auto" w:fill="92D050"/>
            <w:noWrap/>
          </w:tcPr>
          <w:p w14:paraId="6904828A" w14:textId="77777777" w:rsidR="00353BBF" w:rsidRPr="00481D53" w:rsidRDefault="00353BBF" w:rsidP="00353BBF">
            <w:pPr>
              <w:jc w:val="center"/>
            </w:pPr>
            <w:r w:rsidRPr="00481D53">
              <w:t>5</w:t>
            </w:r>
          </w:p>
        </w:tc>
        <w:tc>
          <w:tcPr>
            <w:tcW w:w="449" w:type="pct"/>
            <w:tcBorders>
              <w:bottom w:val="single" w:sz="2" w:space="0" w:color="000000" w:themeColor="text1"/>
            </w:tcBorders>
            <w:shd w:val="clear" w:color="auto" w:fill="92D050"/>
            <w:noWrap/>
          </w:tcPr>
          <w:p w14:paraId="6D10C711" w14:textId="77777777" w:rsidR="00353BBF" w:rsidRPr="00481D53" w:rsidRDefault="00353BBF" w:rsidP="00353BBF">
            <w:pPr>
              <w:jc w:val="center"/>
            </w:pPr>
            <w:r w:rsidRPr="00481D53">
              <w:t>5</w:t>
            </w:r>
          </w:p>
        </w:tc>
        <w:tc>
          <w:tcPr>
            <w:tcW w:w="450" w:type="pct"/>
            <w:tcBorders>
              <w:bottom w:val="single" w:sz="2" w:space="0" w:color="000000" w:themeColor="text1"/>
            </w:tcBorders>
            <w:shd w:val="clear" w:color="auto" w:fill="FFFF00"/>
            <w:noWrap/>
          </w:tcPr>
          <w:p w14:paraId="37B1B656" w14:textId="77777777" w:rsidR="00353BBF" w:rsidRPr="00481D53" w:rsidRDefault="00353BBF" w:rsidP="00353BBF">
            <w:pPr>
              <w:jc w:val="center"/>
            </w:pPr>
            <w:r w:rsidRPr="00481D53">
              <w:t>4</w:t>
            </w:r>
          </w:p>
        </w:tc>
        <w:tc>
          <w:tcPr>
            <w:tcW w:w="449" w:type="pct"/>
            <w:tcBorders>
              <w:bottom w:val="single" w:sz="2" w:space="0" w:color="000000" w:themeColor="text1"/>
            </w:tcBorders>
            <w:shd w:val="clear" w:color="auto" w:fill="FFC000"/>
            <w:noWrap/>
          </w:tcPr>
          <w:p w14:paraId="37ACCF18" w14:textId="77777777" w:rsidR="00353BBF" w:rsidRPr="00481D53" w:rsidRDefault="00353BBF" w:rsidP="00353BBF">
            <w:pPr>
              <w:jc w:val="center"/>
            </w:pPr>
            <w:r w:rsidRPr="00481D53">
              <w:t>3</w:t>
            </w:r>
          </w:p>
        </w:tc>
        <w:tc>
          <w:tcPr>
            <w:tcW w:w="450" w:type="pct"/>
            <w:tcBorders>
              <w:bottom w:val="single" w:sz="2" w:space="0" w:color="000000" w:themeColor="text1"/>
            </w:tcBorders>
            <w:shd w:val="clear" w:color="auto" w:fill="FFFF00"/>
            <w:noWrap/>
          </w:tcPr>
          <w:p w14:paraId="7B919AFD" w14:textId="77777777" w:rsidR="00353BBF" w:rsidRPr="0063700C" w:rsidRDefault="00353BBF" w:rsidP="00353BBF">
            <w:pPr>
              <w:jc w:val="center"/>
              <w:rPr>
                <w:highlight w:val="yellow"/>
              </w:rPr>
            </w:pPr>
            <w:r w:rsidRPr="0063700C">
              <w:rPr>
                <w:highlight w:val="yellow"/>
              </w:rPr>
              <w:t>4</w:t>
            </w:r>
          </w:p>
        </w:tc>
        <w:tc>
          <w:tcPr>
            <w:tcW w:w="449" w:type="pct"/>
            <w:tcBorders>
              <w:bottom w:val="single" w:sz="2" w:space="0" w:color="000000" w:themeColor="text1"/>
            </w:tcBorders>
            <w:shd w:val="clear" w:color="auto" w:fill="FF0000"/>
            <w:noWrap/>
          </w:tcPr>
          <w:p w14:paraId="1BF3E2DC" w14:textId="77777777" w:rsidR="00353BBF" w:rsidRPr="00481D53" w:rsidRDefault="00353BBF" w:rsidP="00353BBF">
            <w:pPr>
              <w:jc w:val="center"/>
            </w:pPr>
            <w:r>
              <w:t>2</w:t>
            </w:r>
          </w:p>
        </w:tc>
        <w:tc>
          <w:tcPr>
            <w:tcW w:w="445" w:type="pct"/>
            <w:tcBorders>
              <w:bottom w:val="single" w:sz="2" w:space="0" w:color="000000" w:themeColor="text1"/>
            </w:tcBorders>
            <w:shd w:val="clear" w:color="auto" w:fill="FFC000"/>
          </w:tcPr>
          <w:p w14:paraId="7652CAA4" w14:textId="77777777" w:rsidR="00353BBF" w:rsidRPr="00481D53" w:rsidRDefault="00353BBF" w:rsidP="00353BBF">
            <w:pPr>
              <w:jc w:val="center"/>
            </w:pPr>
            <w:r>
              <w:t>3</w:t>
            </w:r>
          </w:p>
        </w:tc>
      </w:tr>
      <w:tr w:rsidR="00587C3F" w14:paraId="4CA1A017" w14:textId="77777777" w:rsidTr="001C1361">
        <w:trPr>
          <w:cnfStyle w:val="000000010000" w:firstRow="0" w:lastRow="0" w:firstColumn="0" w:lastColumn="0" w:oddVBand="0" w:evenVBand="0" w:oddHBand="0" w:evenHBand="1" w:firstRowFirstColumn="0" w:firstRowLastColumn="0" w:lastRowFirstColumn="0" w:lastRowLastColumn="0"/>
          <w:trHeight w:val="284"/>
        </w:trPr>
        <w:tc>
          <w:tcPr>
            <w:tcW w:w="984" w:type="pct"/>
            <w:tcBorders>
              <w:bottom w:val="single" w:sz="2" w:space="0" w:color="000000" w:themeColor="text1"/>
            </w:tcBorders>
          </w:tcPr>
          <w:p w14:paraId="44E8CC4E" w14:textId="77777777" w:rsidR="00587C3F" w:rsidRPr="00C429DF" w:rsidRDefault="00587C3F" w:rsidP="00154ED6">
            <w:r w:rsidRPr="00485C86">
              <w:t>Investing in a Resilient Pacific 2016-2019</w:t>
            </w:r>
          </w:p>
        </w:tc>
        <w:tc>
          <w:tcPr>
            <w:tcW w:w="712" w:type="pct"/>
            <w:tcBorders>
              <w:bottom w:val="single" w:sz="2" w:space="0" w:color="000000" w:themeColor="text1"/>
            </w:tcBorders>
          </w:tcPr>
          <w:p w14:paraId="31F2B4CA" w14:textId="77777777" w:rsidR="00587C3F" w:rsidRDefault="00587C3F" w:rsidP="00154ED6">
            <w:r>
              <w:t>$</w:t>
            </w:r>
            <w:r w:rsidRPr="008236EC">
              <w:t>24</w:t>
            </w:r>
            <w:r>
              <w:t>m</w:t>
            </w:r>
          </w:p>
          <w:p w14:paraId="470E64CD" w14:textId="77777777" w:rsidR="00587C3F" w:rsidRPr="008236EC" w:rsidRDefault="00587C3F" w:rsidP="00154ED6">
            <w:r>
              <w:t>2012-2018</w:t>
            </w:r>
          </w:p>
        </w:tc>
        <w:tc>
          <w:tcPr>
            <w:tcW w:w="452" w:type="pct"/>
            <w:tcBorders>
              <w:bottom w:val="single" w:sz="2" w:space="0" w:color="000000" w:themeColor="text1"/>
            </w:tcBorders>
            <w:shd w:val="clear" w:color="auto" w:fill="FFC000"/>
            <w:noWrap/>
          </w:tcPr>
          <w:p w14:paraId="0E3DE7E3" w14:textId="77777777" w:rsidR="00587C3F" w:rsidRPr="00481D53" w:rsidRDefault="00587C3F" w:rsidP="00154ED6">
            <w:pPr>
              <w:jc w:val="center"/>
            </w:pPr>
            <w:r w:rsidRPr="00481D53">
              <w:t>3</w:t>
            </w:r>
          </w:p>
        </w:tc>
        <w:tc>
          <w:tcPr>
            <w:tcW w:w="449" w:type="pct"/>
            <w:tcBorders>
              <w:bottom w:val="single" w:sz="2" w:space="0" w:color="000000" w:themeColor="text1"/>
            </w:tcBorders>
            <w:shd w:val="clear" w:color="auto" w:fill="FFFF00"/>
            <w:noWrap/>
          </w:tcPr>
          <w:p w14:paraId="77F5BA04" w14:textId="77777777" w:rsidR="00587C3F" w:rsidRPr="00481D53" w:rsidRDefault="001C1361" w:rsidP="00154ED6">
            <w:pPr>
              <w:jc w:val="center"/>
            </w:pPr>
            <w:r>
              <w:t>4</w:t>
            </w:r>
          </w:p>
        </w:tc>
        <w:tc>
          <w:tcPr>
            <w:tcW w:w="450" w:type="pct"/>
            <w:tcBorders>
              <w:bottom w:val="single" w:sz="2" w:space="0" w:color="000000" w:themeColor="text1"/>
            </w:tcBorders>
            <w:shd w:val="clear" w:color="auto" w:fill="FFC000"/>
            <w:noWrap/>
          </w:tcPr>
          <w:p w14:paraId="28EE2164" w14:textId="77777777" w:rsidR="00587C3F" w:rsidRPr="00481D53" w:rsidRDefault="00587C3F" w:rsidP="00154ED6">
            <w:pPr>
              <w:jc w:val="center"/>
            </w:pPr>
            <w:r w:rsidRPr="00481D53">
              <w:t>3</w:t>
            </w:r>
          </w:p>
        </w:tc>
        <w:tc>
          <w:tcPr>
            <w:tcW w:w="449" w:type="pct"/>
            <w:tcBorders>
              <w:bottom w:val="single" w:sz="2" w:space="0" w:color="000000" w:themeColor="text1"/>
            </w:tcBorders>
            <w:shd w:val="clear" w:color="auto" w:fill="92D050"/>
            <w:noWrap/>
          </w:tcPr>
          <w:p w14:paraId="5283CF92" w14:textId="77777777" w:rsidR="00587C3F" w:rsidRPr="00481D53" w:rsidRDefault="001C1361" w:rsidP="00154ED6">
            <w:pPr>
              <w:jc w:val="center"/>
            </w:pPr>
            <w:r>
              <w:t>5</w:t>
            </w:r>
          </w:p>
        </w:tc>
        <w:tc>
          <w:tcPr>
            <w:tcW w:w="450" w:type="pct"/>
            <w:tcBorders>
              <w:bottom w:val="single" w:sz="2" w:space="0" w:color="000000" w:themeColor="text1"/>
            </w:tcBorders>
            <w:shd w:val="clear" w:color="auto" w:fill="FFC000"/>
            <w:noWrap/>
          </w:tcPr>
          <w:p w14:paraId="25BEF081" w14:textId="77777777" w:rsidR="00587C3F" w:rsidRPr="00481D53" w:rsidRDefault="001C1361" w:rsidP="00154ED6">
            <w:pPr>
              <w:jc w:val="center"/>
            </w:pPr>
            <w:r>
              <w:t>3</w:t>
            </w:r>
          </w:p>
        </w:tc>
        <w:tc>
          <w:tcPr>
            <w:tcW w:w="449" w:type="pct"/>
            <w:tcBorders>
              <w:bottom w:val="single" w:sz="2" w:space="0" w:color="000000" w:themeColor="text1"/>
            </w:tcBorders>
            <w:shd w:val="clear" w:color="auto" w:fill="FF0000"/>
            <w:noWrap/>
          </w:tcPr>
          <w:p w14:paraId="291D3DE3" w14:textId="77777777" w:rsidR="00587C3F" w:rsidRPr="00481D53" w:rsidRDefault="001C1361" w:rsidP="00154ED6">
            <w:pPr>
              <w:jc w:val="center"/>
            </w:pPr>
            <w:r>
              <w:t>2</w:t>
            </w:r>
          </w:p>
        </w:tc>
        <w:tc>
          <w:tcPr>
            <w:tcW w:w="445" w:type="pct"/>
            <w:tcBorders>
              <w:bottom w:val="single" w:sz="2" w:space="0" w:color="000000" w:themeColor="text1"/>
            </w:tcBorders>
            <w:shd w:val="clear" w:color="auto" w:fill="FFC000"/>
          </w:tcPr>
          <w:p w14:paraId="61DBE9B5" w14:textId="77777777" w:rsidR="00587C3F" w:rsidRPr="00481D53" w:rsidRDefault="001C1361" w:rsidP="00154ED6">
            <w:pPr>
              <w:jc w:val="center"/>
            </w:pPr>
            <w:r>
              <w:t>3</w:t>
            </w:r>
          </w:p>
        </w:tc>
      </w:tr>
      <w:tr w:rsidR="00587C3F" w14:paraId="34507634"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4" w:type="pct"/>
            <w:tcBorders>
              <w:bottom w:val="single" w:sz="2" w:space="0" w:color="000000" w:themeColor="text1"/>
            </w:tcBorders>
          </w:tcPr>
          <w:p w14:paraId="6F877C4D" w14:textId="77777777" w:rsidR="00587C3F" w:rsidRPr="00C429DF" w:rsidRDefault="00587C3F" w:rsidP="00154ED6">
            <w:r w:rsidRPr="00485C86">
              <w:t>UNDP Pacific Sub Regional Centre</w:t>
            </w:r>
          </w:p>
        </w:tc>
        <w:tc>
          <w:tcPr>
            <w:tcW w:w="712" w:type="pct"/>
            <w:tcBorders>
              <w:bottom w:val="single" w:sz="2" w:space="0" w:color="000000" w:themeColor="text1"/>
            </w:tcBorders>
          </w:tcPr>
          <w:p w14:paraId="3BB89008" w14:textId="77777777" w:rsidR="00587C3F" w:rsidRDefault="00587C3F" w:rsidP="00154ED6">
            <w:r>
              <w:t>$30m</w:t>
            </w:r>
          </w:p>
          <w:p w14:paraId="327A58B3" w14:textId="77777777" w:rsidR="00587C3F" w:rsidRPr="008236EC" w:rsidRDefault="00587C3F" w:rsidP="00154ED6">
            <w:r>
              <w:t>2006-2018</w:t>
            </w:r>
          </w:p>
        </w:tc>
        <w:tc>
          <w:tcPr>
            <w:tcW w:w="452" w:type="pct"/>
            <w:tcBorders>
              <w:bottom w:val="single" w:sz="2" w:space="0" w:color="000000" w:themeColor="text1"/>
            </w:tcBorders>
            <w:shd w:val="clear" w:color="auto" w:fill="FFFF00"/>
            <w:noWrap/>
          </w:tcPr>
          <w:p w14:paraId="1AA9A40B" w14:textId="77777777" w:rsidR="00587C3F" w:rsidRPr="00481D53" w:rsidRDefault="00587C3F" w:rsidP="00154ED6">
            <w:pPr>
              <w:jc w:val="center"/>
            </w:pPr>
            <w:r w:rsidRPr="00481D53">
              <w:t>4</w:t>
            </w:r>
          </w:p>
        </w:tc>
        <w:tc>
          <w:tcPr>
            <w:tcW w:w="449" w:type="pct"/>
            <w:tcBorders>
              <w:bottom w:val="single" w:sz="2" w:space="0" w:color="000000" w:themeColor="text1"/>
            </w:tcBorders>
            <w:shd w:val="clear" w:color="auto" w:fill="FFFF00"/>
            <w:noWrap/>
          </w:tcPr>
          <w:p w14:paraId="79070BBD" w14:textId="77777777" w:rsidR="00587C3F" w:rsidRPr="00481D53" w:rsidRDefault="00587C3F" w:rsidP="00154ED6">
            <w:pPr>
              <w:jc w:val="center"/>
            </w:pPr>
            <w:r w:rsidRPr="00481D53">
              <w:t>4</w:t>
            </w:r>
          </w:p>
        </w:tc>
        <w:tc>
          <w:tcPr>
            <w:tcW w:w="450" w:type="pct"/>
            <w:tcBorders>
              <w:bottom w:val="single" w:sz="2" w:space="0" w:color="000000" w:themeColor="text1"/>
            </w:tcBorders>
            <w:shd w:val="clear" w:color="auto" w:fill="92D050"/>
            <w:noWrap/>
          </w:tcPr>
          <w:p w14:paraId="1E5A5862" w14:textId="77777777" w:rsidR="00587C3F" w:rsidRPr="00481D53" w:rsidRDefault="00587C3F" w:rsidP="00154ED6">
            <w:pPr>
              <w:jc w:val="center"/>
            </w:pPr>
            <w:r w:rsidRPr="00481D53">
              <w:t>5</w:t>
            </w:r>
          </w:p>
        </w:tc>
        <w:tc>
          <w:tcPr>
            <w:tcW w:w="449" w:type="pct"/>
            <w:tcBorders>
              <w:bottom w:val="single" w:sz="2" w:space="0" w:color="000000" w:themeColor="text1"/>
            </w:tcBorders>
            <w:shd w:val="clear" w:color="auto" w:fill="FFFF00"/>
            <w:noWrap/>
          </w:tcPr>
          <w:p w14:paraId="0AFD71DC" w14:textId="77777777" w:rsidR="00587C3F" w:rsidRPr="00481D53" w:rsidRDefault="00587C3F" w:rsidP="00154ED6">
            <w:pPr>
              <w:jc w:val="center"/>
            </w:pPr>
            <w:r w:rsidRPr="00481D53">
              <w:t>4</w:t>
            </w:r>
          </w:p>
        </w:tc>
        <w:tc>
          <w:tcPr>
            <w:tcW w:w="450" w:type="pct"/>
            <w:tcBorders>
              <w:bottom w:val="single" w:sz="2" w:space="0" w:color="000000" w:themeColor="text1"/>
            </w:tcBorders>
            <w:shd w:val="clear" w:color="auto" w:fill="FFFF00"/>
            <w:noWrap/>
          </w:tcPr>
          <w:p w14:paraId="3805B8A0" w14:textId="77777777" w:rsidR="00587C3F" w:rsidRPr="00481D53" w:rsidRDefault="00587C3F" w:rsidP="00154ED6">
            <w:pPr>
              <w:jc w:val="center"/>
            </w:pPr>
            <w:r w:rsidRPr="00481D53">
              <w:t>4</w:t>
            </w:r>
          </w:p>
        </w:tc>
        <w:tc>
          <w:tcPr>
            <w:tcW w:w="449" w:type="pct"/>
            <w:tcBorders>
              <w:bottom w:val="single" w:sz="2" w:space="0" w:color="000000" w:themeColor="text1"/>
            </w:tcBorders>
            <w:shd w:val="clear" w:color="auto" w:fill="FFFF00"/>
            <w:noWrap/>
          </w:tcPr>
          <w:p w14:paraId="4E889257" w14:textId="77777777" w:rsidR="00587C3F" w:rsidRPr="00481D53" w:rsidRDefault="00587C3F" w:rsidP="00154ED6">
            <w:pPr>
              <w:jc w:val="center"/>
            </w:pPr>
            <w:r w:rsidRPr="00481D53">
              <w:t>4</w:t>
            </w:r>
          </w:p>
        </w:tc>
        <w:tc>
          <w:tcPr>
            <w:tcW w:w="445" w:type="pct"/>
            <w:tcBorders>
              <w:bottom w:val="single" w:sz="2" w:space="0" w:color="000000" w:themeColor="text1"/>
            </w:tcBorders>
            <w:shd w:val="clear" w:color="auto" w:fill="92D050"/>
          </w:tcPr>
          <w:p w14:paraId="6862E0A1" w14:textId="77777777" w:rsidR="00587C3F" w:rsidRPr="00481D53" w:rsidRDefault="00587C3F" w:rsidP="00154ED6">
            <w:pPr>
              <w:jc w:val="center"/>
            </w:pPr>
            <w:r w:rsidRPr="00481D53">
              <w:t>6</w:t>
            </w:r>
          </w:p>
        </w:tc>
      </w:tr>
      <w:tr w:rsidR="00587C3F" w14:paraId="526876EF"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4" w:type="pct"/>
            <w:tcBorders>
              <w:bottom w:val="single" w:sz="2" w:space="0" w:color="000000" w:themeColor="text1"/>
            </w:tcBorders>
          </w:tcPr>
          <w:p w14:paraId="0DD36A15" w14:textId="77777777" w:rsidR="00587C3F" w:rsidRPr="00C429DF" w:rsidRDefault="00587C3F" w:rsidP="00154ED6">
            <w:r w:rsidRPr="00485C86">
              <w:t>Pacific Regional Agricultural Market Access</w:t>
            </w:r>
          </w:p>
        </w:tc>
        <w:tc>
          <w:tcPr>
            <w:tcW w:w="712" w:type="pct"/>
            <w:tcBorders>
              <w:bottom w:val="single" w:sz="2" w:space="0" w:color="000000" w:themeColor="text1"/>
            </w:tcBorders>
          </w:tcPr>
          <w:p w14:paraId="02995C28" w14:textId="77777777" w:rsidR="00587C3F" w:rsidRDefault="00587C3F" w:rsidP="00154ED6">
            <w:r>
              <w:t>$41m</w:t>
            </w:r>
          </w:p>
          <w:p w14:paraId="50712AAB" w14:textId="77777777" w:rsidR="00587C3F" w:rsidRPr="008236EC" w:rsidRDefault="00587C3F" w:rsidP="00154ED6">
            <w:r>
              <w:t>2009-2018</w:t>
            </w:r>
          </w:p>
        </w:tc>
        <w:tc>
          <w:tcPr>
            <w:tcW w:w="452" w:type="pct"/>
            <w:tcBorders>
              <w:bottom w:val="single" w:sz="2" w:space="0" w:color="000000" w:themeColor="text1"/>
            </w:tcBorders>
            <w:shd w:val="clear" w:color="auto" w:fill="FFFF00"/>
            <w:noWrap/>
          </w:tcPr>
          <w:p w14:paraId="207ECE8C" w14:textId="77777777" w:rsidR="00587C3F" w:rsidRPr="00481D53" w:rsidRDefault="00587C3F" w:rsidP="00154ED6">
            <w:pPr>
              <w:jc w:val="center"/>
            </w:pPr>
            <w:r w:rsidRPr="00481D53">
              <w:t>4</w:t>
            </w:r>
          </w:p>
        </w:tc>
        <w:tc>
          <w:tcPr>
            <w:tcW w:w="449" w:type="pct"/>
            <w:tcBorders>
              <w:bottom w:val="single" w:sz="2" w:space="0" w:color="000000" w:themeColor="text1"/>
            </w:tcBorders>
            <w:shd w:val="clear" w:color="auto" w:fill="92D050"/>
            <w:noWrap/>
          </w:tcPr>
          <w:p w14:paraId="3BC694F8" w14:textId="77777777" w:rsidR="00587C3F" w:rsidRPr="00481D53" w:rsidRDefault="00587C3F" w:rsidP="00154ED6">
            <w:pPr>
              <w:jc w:val="center"/>
            </w:pPr>
            <w:r w:rsidRPr="00481D53">
              <w:t>5</w:t>
            </w:r>
          </w:p>
        </w:tc>
        <w:tc>
          <w:tcPr>
            <w:tcW w:w="450" w:type="pct"/>
            <w:tcBorders>
              <w:bottom w:val="single" w:sz="2" w:space="0" w:color="000000" w:themeColor="text1"/>
            </w:tcBorders>
            <w:shd w:val="clear" w:color="auto" w:fill="92D050"/>
            <w:noWrap/>
          </w:tcPr>
          <w:p w14:paraId="4C4DCC34" w14:textId="77777777" w:rsidR="00587C3F" w:rsidRPr="00481D53" w:rsidRDefault="00587C3F" w:rsidP="00154ED6">
            <w:pPr>
              <w:jc w:val="center"/>
            </w:pPr>
            <w:r w:rsidRPr="00481D53">
              <w:t>5</w:t>
            </w:r>
          </w:p>
        </w:tc>
        <w:tc>
          <w:tcPr>
            <w:tcW w:w="449" w:type="pct"/>
            <w:tcBorders>
              <w:bottom w:val="single" w:sz="2" w:space="0" w:color="000000" w:themeColor="text1"/>
            </w:tcBorders>
            <w:shd w:val="clear" w:color="auto" w:fill="FFFF00"/>
            <w:noWrap/>
          </w:tcPr>
          <w:p w14:paraId="5F9FC61F" w14:textId="77777777" w:rsidR="00587C3F" w:rsidRPr="00481D53" w:rsidRDefault="00587C3F" w:rsidP="00154ED6">
            <w:pPr>
              <w:jc w:val="center"/>
            </w:pPr>
            <w:r w:rsidRPr="00481D53">
              <w:t>4</w:t>
            </w:r>
          </w:p>
        </w:tc>
        <w:tc>
          <w:tcPr>
            <w:tcW w:w="450" w:type="pct"/>
            <w:tcBorders>
              <w:bottom w:val="single" w:sz="2" w:space="0" w:color="000000" w:themeColor="text1"/>
            </w:tcBorders>
            <w:shd w:val="clear" w:color="auto" w:fill="FFFF00"/>
            <w:noWrap/>
          </w:tcPr>
          <w:p w14:paraId="0F808E4C" w14:textId="77777777" w:rsidR="00587C3F" w:rsidRPr="00481D53" w:rsidRDefault="00587C3F" w:rsidP="00154ED6">
            <w:pPr>
              <w:jc w:val="center"/>
            </w:pPr>
            <w:r w:rsidRPr="00481D53">
              <w:t>4</w:t>
            </w:r>
          </w:p>
        </w:tc>
        <w:tc>
          <w:tcPr>
            <w:tcW w:w="449" w:type="pct"/>
            <w:tcBorders>
              <w:bottom w:val="single" w:sz="2" w:space="0" w:color="000000" w:themeColor="text1"/>
            </w:tcBorders>
            <w:shd w:val="clear" w:color="auto" w:fill="92D050"/>
            <w:noWrap/>
          </w:tcPr>
          <w:p w14:paraId="51DFB6D3" w14:textId="77777777" w:rsidR="00587C3F" w:rsidRPr="00481D53" w:rsidRDefault="00587C3F" w:rsidP="00154ED6">
            <w:pPr>
              <w:jc w:val="center"/>
            </w:pPr>
            <w:r w:rsidRPr="00481D53">
              <w:t>5</w:t>
            </w:r>
          </w:p>
        </w:tc>
        <w:tc>
          <w:tcPr>
            <w:tcW w:w="445" w:type="pct"/>
            <w:tcBorders>
              <w:bottom w:val="single" w:sz="2" w:space="0" w:color="000000" w:themeColor="text1"/>
            </w:tcBorders>
            <w:shd w:val="clear" w:color="auto" w:fill="92D050"/>
          </w:tcPr>
          <w:p w14:paraId="0E75A5DB" w14:textId="77777777" w:rsidR="00587C3F" w:rsidRPr="00481D53" w:rsidRDefault="00587C3F" w:rsidP="00154ED6">
            <w:pPr>
              <w:jc w:val="center"/>
            </w:pPr>
            <w:r w:rsidRPr="00481D53">
              <w:t>6</w:t>
            </w:r>
          </w:p>
        </w:tc>
      </w:tr>
      <w:tr w:rsidR="00587C3F" w14:paraId="1FAF8D9E" w14:textId="77777777" w:rsidTr="002C323E">
        <w:trPr>
          <w:cnfStyle w:val="000000010000" w:firstRow="0" w:lastRow="0" w:firstColumn="0" w:lastColumn="0" w:oddVBand="0" w:evenVBand="0" w:oddHBand="0" w:evenHBand="1" w:firstRowFirstColumn="0" w:firstRowLastColumn="0" w:lastRowFirstColumn="0" w:lastRowLastColumn="0"/>
          <w:trHeight w:val="284"/>
        </w:trPr>
        <w:tc>
          <w:tcPr>
            <w:tcW w:w="984" w:type="pct"/>
            <w:tcBorders>
              <w:bottom w:val="none" w:sz="0" w:space="0" w:color="auto"/>
            </w:tcBorders>
          </w:tcPr>
          <w:p w14:paraId="0CA78765" w14:textId="77777777" w:rsidR="00587C3F" w:rsidRDefault="00587C3F" w:rsidP="00154ED6">
            <w:r w:rsidRPr="00485C86">
              <w:t>Pacific Legal Information Institute</w:t>
            </w:r>
          </w:p>
        </w:tc>
        <w:tc>
          <w:tcPr>
            <w:tcW w:w="712" w:type="pct"/>
            <w:tcBorders>
              <w:bottom w:val="none" w:sz="0" w:space="0" w:color="auto"/>
            </w:tcBorders>
          </w:tcPr>
          <w:p w14:paraId="1201D5A2" w14:textId="77777777" w:rsidR="00587C3F" w:rsidRDefault="00587C3F" w:rsidP="00154ED6">
            <w:r>
              <w:t>$3m</w:t>
            </w:r>
          </w:p>
          <w:p w14:paraId="6B6D5435" w14:textId="77777777" w:rsidR="00587C3F" w:rsidRDefault="00587C3F" w:rsidP="00154ED6">
            <w:r>
              <w:t>2011-2018</w:t>
            </w:r>
          </w:p>
        </w:tc>
        <w:tc>
          <w:tcPr>
            <w:tcW w:w="452" w:type="pct"/>
            <w:tcBorders>
              <w:bottom w:val="none" w:sz="0" w:space="0" w:color="auto"/>
            </w:tcBorders>
            <w:shd w:val="clear" w:color="auto" w:fill="92D050"/>
            <w:noWrap/>
          </w:tcPr>
          <w:p w14:paraId="5C446379" w14:textId="77777777" w:rsidR="00587C3F" w:rsidRPr="00481D53" w:rsidRDefault="001C1361" w:rsidP="00154ED6">
            <w:pPr>
              <w:jc w:val="center"/>
            </w:pPr>
            <w:r>
              <w:t>5</w:t>
            </w:r>
          </w:p>
        </w:tc>
        <w:tc>
          <w:tcPr>
            <w:tcW w:w="449" w:type="pct"/>
            <w:tcBorders>
              <w:bottom w:val="none" w:sz="0" w:space="0" w:color="auto"/>
            </w:tcBorders>
            <w:shd w:val="clear" w:color="auto" w:fill="FFFF00"/>
            <w:noWrap/>
          </w:tcPr>
          <w:p w14:paraId="46A8FA4A" w14:textId="77777777" w:rsidR="00587C3F" w:rsidRPr="00481D53" w:rsidRDefault="00587C3F" w:rsidP="00154ED6">
            <w:pPr>
              <w:jc w:val="center"/>
            </w:pPr>
            <w:r w:rsidRPr="00481D53">
              <w:t>4</w:t>
            </w:r>
          </w:p>
        </w:tc>
        <w:tc>
          <w:tcPr>
            <w:tcW w:w="450" w:type="pct"/>
            <w:tcBorders>
              <w:bottom w:val="none" w:sz="0" w:space="0" w:color="auto"/>
            </w:tcBorders>
            <w:shd w:val="clear" w:color="auto" w:fill="92D050"/>
            <w:noWrap/>
          </w:tcPr>
          <w:p w14:paraId="5B96C0D9" w14:textId="77777777" w:rsidR="00587C3F" w:rsidRPr="00481D53" w:rsidRDefault="002C323E" w:rsidP="00154ED6">
            <w:pPr>
              <w:jc w:val="center"/>
            </w:pPr>
            <w:r>
              <w:t>5</w:t>
            </w:r>
          </w:p>
        </w:tc>
        <w:tc>
          <w:tcPr>
            <w:tcW w:w="449" w:type="pct"/>
            <w:tcBorders>
              <w:bottom w:val="none" w:sz="0" w:space="0" w:color="auto"/>
            </w:tcBorders>
            <w:shd w:val="clear" w:color="auto" w:fill="92D050"/>
            <w:noWrap/>
          </w:tcPr>
          <w:p w14:paraId="4171281D" w14:textId="77777777" w:rsidR="00587C3F" w:rsidRPr="00481D53" w:rsidRDefault="002C323E" w:rsidP="00154ED6">
            <w:pPr>
              <w:jc w:val="center"/>
            </w:pPr>
            <w:r>
              <w:t>5</w:t>
            </w:r>
          </w:p>
        </w:tc>
        <w:tc>
          <w:tcPr>
            <w:tcW w:w="450" w:type="pct"/>
            <w:tcBorders>
              <w:bottom w:val="none" w:sz="0" w:space="0" w:color="auto"/>
            </w:tcBorders>
            <w:shd w:val="clear" w:color="auto" w:fill="FFC000"/>
            <w:noWrap/>
          </w:tcPr>
          <w:p w14:paraId="2D1CADDD" w14:textId="77777777" w:rsidR="00587C3F" w:rsidRPr="00481D53" w:rsidRDefault="002C323E" w:rsidP="00154ED6">
            <w:pPr>
              <w:jc w:val="center"/>
            </w:pPr>
            <w:r>
              <w:t>3</w:t>
            </w:r>
          </w:p>
        </w:tc>
        <w:tc>
          <w:tcPr>
            <w:tcW w:w="449" w:type="pct"/>
            <w:tcBorders>
              <w:bottom w:val="none" w:sz="0" w:space="0" w:color="auto"/>
            </w:tcBorders>
            <w:shd w:val="clear" w:color="auto" w:fill="FFC000"/>
            <w:noWrap/>
          </w:tcPr>
          <w:p w14:paraId="4046BC25" w14:textId="77777777" w:rsidR="00587C3F" w:rsidRPr="00481D53" w:rsidRDefault="00587C3F" w:rsidP="00154ED6">
            <w:pPr>
              <w:jc w:val="center"/>
            </w:pPr>
            <w:r w:rsidRPr="00481D53">
              <w:t>3</w:t>
            </w:r>
          </w:p>
        </w:tc>
        <w:tc>
          <w:tcPr>
            <w:tcW w:w="445" w:type="pct"/>
            <w:tcBorders>
              <w:bottom w:val="none" w:sz="0" w:space="0" w:color="auto"/>
            </w:tcBorders>
            <w:shd w:val="clear" w:color="auto" w:fill="92D050"/>
          </w:tcPr>
          <w:p w14:paraId="74ACAE81" w14:textId="77777777" w:rsidR="00587C3F" w:rsidRPr="00481D53" w:rsidRDefault="002C323E" w:rsidP="00154ED6">
            <w:pPr>
              <w:jc w:val="center"/>
            </w:pPr>
            <w:r>
              <w:t>5</w:t>
            </w:r>
          </w:p>
        </w:tc>
      </w:tr>
      <w:tr w:rsidR="00587C3F" w14:paraId="16EDC59B" w14:textId="77777777" w:rsidTr="00154ED6">
        <w:trPr>
          <w:cnfStyle w:val="000000010000" w:firstRow="0" w:lastRow="0" w:firstColumn="0" w:lastColumn="0" w:oddVBand="0" w:evenVBand="0" w:oddHBand="0" w:evenHBand="1" w:firstRowFirstColumn="0" w:firstRowLastColumn="0" w:lastRowFirstColumn="0" w:lastRowLastColumn="0"/>
          <w:trHeight w:val="284"/>
        </w:trPr>
        <w:tc>
          <w:tcPr>
            <w:tcW w:w="984" w:type="pct"/>
            <w:tcBorders>
              <w:top w:val="single" w:sz="4" w:space="0" w:color="auto"/>
              <w:bottom w:val="single" w:sz="12" w:space="0" w:color="000000" w:themeColor="text1"/>
            </w:tcBorders>
          </w:tcPr>
          <w:p w14:paraId="2CD89887" w14:textId="77777777" w:rsidR="00587C3F" w:rsidRPr="00485C86" w:rsidRDefault="00587C3F" w:rsidP="00154ED6">
            <w:r w:rsidRPr="008C659F">
              <w:t>Pacific Risk Resilience Program</w:t>
            </w:r>
          </w:p>
        </w:tc>
        <w:tc>
          <w:tcPr>
            <w:tcW w:w="712" w:type="pct"/>
            <w:tcBorders>
              <w:top w:val="single" w:sz="4" w:space="0" w:color="auto"/>
              <w:bottom w:val="single" w:sz="12" w:space="0" w:color="000000" w:themeColor="text1"/>
            </w:tcBorders>
          </w:tcPr>
          <w:p w14:paraId="0C603A61" w14:textId="77777777" w:rsidR="00587C3F" w:rsidRDefault="00587C3F" w:rsidP="00154ED6">
            <w:r>
              <w:t>$18m</w:t>
            </w:r>
          </w:p>
          <w:p w14:paraId="62AC4BB7" w14:textId="77777777" w:rsidR="00587C3F" w:rsidRDefault="00587C3F" w:rsidP="00154ED6">
            <w:r>
              <w:t>2011-2018</w:t>
            </w:r>
          </w:p>
        </w:tc>
        <w:tc>
          <w:tcPr>
            <w:tcW w:w="452" w:type="pct"/>
            <w:tcBorders>
              <w:top w:val="single" w:sz="4" w:space="0" w:color="auto"/>
              <w:bottom w:val="single" w:sz="12" w:space="0" w:color="000000" w:themeColor="text1"/>
            </w:tcBorders>
            <w:shd w:val="clear" w:color="auto" w:fill="FFFF00"/>
            <w:noWrap/>
          </w:tcPr>
          <w:p w14:paraId="06E19954" w14:textId="77777777" w:rsidR="00587C3F" w:rsidRPr="00481D53" w:rsidRDefault="00587C3F" w:rsidP="00154ED6">
            <w:pPr>
              <w:jc w:val="center"/>
            </w:pPr>
            <w:r w:rsidRPr="00481D53">
              <w:t>4</w:t>
            </w:r>
          </w:p>
        </w:tc>
        <w:tc>
          <w:tcPr>
            <w:tcW w:w="449" w:type="pct"/>
            <w:tcBorders>
              <w:top w:val="single" w:sz="4" w:space="0" w:color="auto"/>
              <w:bottom w:val="single" w:sz="12" w:space="0" w:color="000000" w:themeColor="text1"/>
            </w:tcBorders>
            <w:shd w:val="clear" w:color="auto" w:fill="92D050"/>
            <w:noWrap/>
          </w:tcPr>
          <w:p w14:paraId="17C3E9EF" w14:textId="77777777" w:rsidR="00587C3F" w:rsidRPr="00481D53" w:rsidRDefault="00587C3F" w:rsidP="00154ED6">
            <w:pPr>
              <w:jc w:val="center"/>
            </w:pPr>
            <w:r w:rsidRPr="00481D53">
              <w:t>5</w:t>
            </w:r>
          </w:p>
        </w:tc>
        <w:tc>
          <w:tcPr>
            <w:tcW w:w="450" w:type="pct"/>
            <w:tcBorders>
              <w:top w:val="single" w:sz="4" w:space="0" w:color="auto"/>
              <w:bottom w:val="single" w:sz="12" w:space="0" w:color="000000" w:themeColor="text1"/>
            </w:tcBorders>
            <w:shd w:val="clear" w:color="auto" w:fill="92D050"/>
            <w:noWrap/>
          </w:tcPr>
          <w:p w14:paraId="51F23510" w14:textId="77777777" w:rsidR="00587C3F" w:rsidRPr="00481D53" w:rsidRDefault="00587C3F" w:rsidP="00154ED6">
            <w:pPr>
              <w:jc w:val="center"/>
            </w:pPr>
            <w:r w:rsidRPr="00481D53">
              <w:t>5</w:t>
            </w:r>
          </w:p>
        </w:tc>
        <w:tc>
          <w:tcPr>
            <w:tcW w:w="449" w:type="pct"/>
            <w:tcBorders>
              <w:top w:val="single" w:sz="4" w:space="0" w:color="auto"/>
              <w:bottom w:val="single" w:sz="12" w:space="0" w:color="000000" w:themeColor="text1"/>
            </w:tcBorders>
            <w:shd w:val="clear" w:color="auto" w:fill="92D050"/>
            <w:noWrap/>
          </w:tcPr>
          <w:p w14:paraId="53EA8C57" w14:textId="77777777" w:rsidR="00587C3F" w:rsidRPr="00481D53" w:rsidRDefault="00587C3F" w:rsidP="00154ED6">
            <w:pPr>
              <w:jc w:val="center"/>
            </w:pPr>
            <w:r w:rsidRPr="00481D53">
              <w:t>5</w:t>
            </w:r>
          </w:p>
        </w:tc>
        <w:tc>
          <w:tcPr>
            <w:tcW w:w="450" w:type="pct"/>
            <w:tcBorders>
              <w:top w:val="single" w:sz="4" w:space="0" w:color="auto"/>
              <w:bottom w:val="single" w:sz="12" w:space="0" w:color="000000" w:themeColor="text1"/>
            </w:tcBorders>
            <w:shd w:val="clear" w:color="auto" w:fill="92D050"/>
            <w:noWrap/>
          </w:tcPr>
          <w:p w14:paraId="6816C42A" w14:textId="77777777" w:rsidR="00587C3F" w:rsidRPr="00481D53" w:rsidRDefault="00587C3F" w:rsidP="00154ED6">
            <w:pPr>
              <w:jc w:val="center"/>
            </w:pPr>
            <w:r w:rsidRPr="00481D53">
              <w:t>5</w:t>
            </w:r>
          </w:p>
        </w:tc>
        <w:tc>
          <w:tcPr>
            <w:tcW w:w="449" w:type="pct"/>
            <w:tcBorders>
              <w:top w:val="single" w:sz="4" w:space="0" w:color="auto"/>
              <w:bottom w:val="single" w:sz="12" w:space="0" w:color="000000" w:themeColor="text1"/>
            </w:tcBorders>
            <w:shd w:val="clear" w:color="auto" w:fill="92D050"/>
            <w:noWrap/>
          </w:tcPr>
          <w:p w14:paraId="4C7061F0" w14:textId="77777777" w:rsidR="00587C3F" w:rsidRPr="00481D53" w:rsidRDefault="00587C3F" w:rsidP="00154ED6">
            <w:pPr>
              <w:jc w:val="center"/>
            </w:pPr>
            <w:r w:rsidRPr="00481D53">
              <w:t>5</w:t>
            </w:r>
          </w:p>
        </w:tc>
        <w:tc>
          <w:tcPr>
            <w:tcW w:w="445" w:type="pct"/>
            <w:tcBorders>
              <w:top w:val="single" w:sz="4" w:space="0" w:color="auto"/>
              <w:bottom w:val="single" w:sz="12" w:space="0" w:color="000000" w:themeColor="text1"/>
            </w:tcBorders>
            <w:shd w:val="clear" w:color="auto" w:fill="92D050"/>
          </w:tcPr>
          <w:p w14:paraId="0E6A167F" w14:textId="77777777" w:rsidR="00587C3F" w:rsidRPr="00481D53" w:rsidRDefault="00587C3F" w:rsidP="00154ED6">
            <w:pPr>
              <w:jc w:val="center"/>
            </w:pPr>
            <w:r w:rsidRPr="00481D53">
              <w:t>5</w:t>
            </w:r>
          </w:p>
        </w:tc>
      </w:tr>
    </w:tbl>
    <w:p w14:paraId="3AC27904" w14:textId="77777777" w:rsidR="00587C3F" w:rsidRPr="00C61187" w:rsidRDefault="00587C3F" w:rsidP="00587C3F">
      <w:pPr>
        <w:spacing w:before="20" w:after="20" w:line="180" w:lineRule="atLeast"/>
        <w:jc w:val="both"/>
        <w:rPr>
          <w:rFonts w:ascii="Franklin Gothic Book" w:eastAsia="Times New Roman" w:hAnsi="Franklin Gothic Book"/>
          <w:b/>
          <w:sz w:val="14"/>
          <w:szCs w:val="14"/>
        </w:rPr>
      </w:pPr>
    </w:p>
    <w:p w14:paraId="51A960A6" w14:textId="77777777" w:rsidR="00587C3F" w:rsidRPr="00812509" w:rsidRDefault="00587C3F" w:rsidP="00587C3F">
      <w:pPr>
        <w:spacing w:after="120"/>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69EDA41B" w14:textId="77777777" w:rsidR="00587C3F" w:rsidRPr="00812509" w:rsidRDefault="00587C3F" w:rsidP="00587C3F">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5CBD9DE9" w14:textId="77777777" w:rsidR="00587C3F" w:rsidRPr="00812509" w:rsidRDefault="00587C3F" w:rsidP="00587C3F">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715FE861" w14:textId="77777777" w:rsidR="00587C3F" w:rsidRPr="00812509" w:rsidRDefault="00587C3F" w:rsidP="00587C3F">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0762D14B" w14:textId="77777777" w:rsidR="00587C3F" w:rsidRPr="00812509" w:rsidRDefault="00587C3F" w:rsidP="00587C3F">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7503EE0E" w14:textId="77777777" w:rsidR="00587C3F" w:rsidRPr="00812509" w:rsidRDefault="00587C3F" w:rsidP="00587C3F">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32D077B0" w14:textId="77777777" w:rsidR="00587C3F" w:rsidRPr="00812509" w:rsidRDefault="00587C3F" w:rsidP="00587C3F">
      <w:pPr>
        <w:spacing w:before="20" w:after="20" w:line="180" w:lineRule="atLeast"/>
        <w:rPr>
          <w:sz w:val="24"/>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p w14:paraId="028C644C" w14:textId="77777777" w:rsidR="00587C3F" w:rsidRDefault="00587C3F" w:rsidP="00587C3F">
      <w:pPr>
        <w:suppressAutoHyphens w:val="0"/>
        <w:spacing w:before="0" w:after="120" w:line="440" w:lineRule="atLeast"/>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br w:type="page"/>
      </w:r>
    </w:p>
    <w:p w14:paraId="5EF0646A" w14:textId="77777777" w:rsidR="00C05D5C" w:rsidRPr="00EF26B5" w:rsidRDefault="00C05D5C" w:rsidP="00C05D5C">
      <w:pPr>
        <w:pStyle w:val="Subtitle"/>
        <w:spacing w:before="360" w:after="120" w:line="300" w:lineRule="exact"/>
        <w:rPr>
          <w:rFonts w:asciiTheme="majorHAnsi" w:hAnsiTheme="majorHAnsi" w:cstheme="majorHAnsi"/>
          <w:bCs w:val="0"/>
          <w:iCs w:val="0"/>
          <w:caps w:val="0"/>
        </w:rPr>
      </w:pPr>
      <w:r w:rsidRPr="00EF26B5">
        <w:rPr>
          <w:rFonts w:asciiTheme="majorHAnsi" w:hAnsiTheme="majorHAnsi" w:cstheme="majorHAnsi"/>
        </w:rPr>
        <w:t>Annex E – Performance Assessment Framework</w:t>
      </w:r>
    </w:p>
    <w:p w14:paraId="4749282D" w14:textId="77777777" w:rsidR="00C05D5C" w:rsidRPr="00EF3616" w:rsidRDefault="00EF3616" w:rsidP="00C05D5C">
      <w:pPr>
        <w:spacing w:after="120"/>
      </w:pPr>
      <w:r>
        <w:t>The Pacific Regional</w:t>
      </w:r>
      <w:r w:rsidR="00C05D5C" w:rsidRPr="00EF3616">
        <w:t xml:space="preserve"> Performance Assessment Framework</w:t>
      </w:r>
      <w:r w:rsidR="003E2BE7" w:rsidRPr="00EF3616">
        <w:t xml:space="preserve"> </w:t>
      </w:r>
      <w:r>
        <w:t>will be developed by end of 2019 to fit alongside the new AIP.</w:t>
      </w:r>
    </w:p>
    <w:p w14:paraId="5C9725E1" w14:textId="77777777" w:rsidR="00CA7DD8" w:rsidRDefault="00CA7DD8" w:rsidP="00784031"/>
    <w:p w14:paraId="2D951948" w14:textId="77777777" w:rsidR="00CA7DD8" w:rsidRDefault="00CA7DD8" w:rsidP="00784031"/>
    <w:p w14:paraId="4BF7B240" w14:textId="77777777" w:rsidR="00CA7DD8" w:rsidRDefault="00CA7DD8" w:rsidP="00784031"/>
    <w:p w14:paraId="787E2BF2" w14:textId="77777777" w:rsidR="00CA7DD8" w:rsidRDefault="00CA7DD8" w:rsidP="00784031"/>
    <w:p w14:paraId="1B68D5EE" w14:textId="77777777" w:rsidR="00CA7DD8" w:rsidRDefault="00CA7DD8" w:rsidP="00784031"/>
    <w:p w14:paraId="1FE3DE69" w14:textId="77777777" w:rsidR="00CA7DD8" w:rsidRDefault="00CA7DD8" w:rsidP="00784031"/>
    <w:p w14:paraId="03D8188C" w14:textId="77777777" w:rsidR="00CA7DD8" w:rsidRDefault="00CA7DD8" w:rsidP="00784031"/>
    <w:p w14:paraId="14326165" w14:textId="77777777" w:rsidR="00CA7DD8" w:rsidRDefault="00CA7DD8" w:rsidP="00784031"/>
    <w:p w14:paraId="6BCF0B72" w14:textId="77777777" w:rsidR="00CA7DD8" w:rsidRDefault="00CA7DD8" w:rsidP="00784031"/>
    <w:p w14:paraId="00F7179E" w14:textId="77777777" w:rsidR="00CA7DD8" w:rsidRDefault="00CA7DD8" w:rsidP="00784031"/>
    <w:p w14:paraId="2251BDF9" w14:textId="77777777" w:rsidR="00CA7DD8" w:rsidRDefault="00CA7DD8" w:rsidP="00784031"/>
    <w:p w14:paraId="34F1CE6E" w14:textId="77777777" w:rsidR="00CA7DD8" w:rsidRDefault="00CA7DD8" w:rsidP="00784031"/>
    <w:p w14:paraId="3B891031" w14:textId="77777777" w:rsidR="00CA7DD8" w:rsidRDefault="00CA7DD8" w:rsidP="00784031"/>
    <w:p w14:paraId="143EE8CE" w14:textId="77777777" w:rsidR="00CA7DD8" w:rsidRDefault="00CA7DD8" w:rsidP="00784031"/>
    <w:p w14:paraId="4C75DD15" w14:textId="77777777" w:rsidR="00CA7DD8" w:rsidRDefault="00CA7DD8" w:rsidP="00784031"/>
    <w:p w14:paraId="60AF5BF3" w14:textId="77777777" w:rsidR="00CA7DD8" w:rsidRDefault="00CA7DD8" w:rsidP="00784031"/>
    <w:p w14:paraId="426753A4" w14:textId="77777777" w:rsidR="00CA7DD8" w:rsidRDefault="00CA7DD8" w:rsidP="00784031"/>
    <w:p w14:paraId="110096AB" w14:textId="77777777" w:rsidR="00CA7DD8" w:rsidRDefault="00CA7DD8" w:rsidP="00784031"/>
    <w:p w14:paraId="5EA0DAA9" w14:textId="77777777" w:rsidR="00CA7DD8" w:rsidRDefault="00CA7DD8" w:rsidP="00784031"/>
    <w:p w14:paraId="5BF17C9B" w14:textId="77777777" w:rsidR="00C05D5C" w:rsidRDefault="00C05D5C">
      <w:pPr>
        <w:suppressAutoHyphens w:val="0"/>
        <w:spacing w:before="0" w:after="120" w:line="440" w:lineRule="atLeast"/>
        <w:rPr>
          <w:rFonts w:eastAsiaTheme="majorEastAsia" w:cstheme="majorBidi"/>
          <w:bCs/>
          <w:iCs/>
          <w:caps/>
          <w:spacing w:val="-10"/>
          <w:kern w:val="28"/>
          <w:sz w:val="38"/>
          <w:szCs w:val="24"/>
        </w:rPr>
      </w:pPr>
      <w:r>
        <w:rPr>
          <w:rFonts w:eastAsiaTheme="majorEastAsia" w:cstheme="majorBidi"/>
          <w:bCs/>
          <w:iCs/>
          <w:caps/>
          <w:spacing w:val="-10"/>
          <w:kern w:val="28"/>
          <w:sz w:val="38"/>
          <w:szCs w:val="24"/>
        </w:rPr>
        <w:br w:type="page"/>
      </w:r>
    </w:p>
    <w:p w14:paraId="5A461FC6" w14:textId="77777777" w:rsidR="00C05D5C" w:rsidRPr="00EF26B5" w:rsidRDefault="00C05D5C" w:rsidP="00C05D5C">
      <w:pPr>
        <w:rPr>
          <w:rFonts w:asciiTheme="majorHAnsi" w:eastAsiaTheme="majorEastAsia" w:hAnsiTheme="majorHAnsi" w:cstheme="majorHAnsi"/>
          <w:bCs/>
          <w:iCs/>
          <w:caps/>
          <w:spacing w:val="-10"/>
          <w:kern w:val="28"/>
          <w:sz w:val="38"/>
          <w:szCs w:val="24"/>
        </w:rPr>
      </w:pPr>
      <w:r w:rsidRPr="00EF26B5">
        <w:rPr>
          <w:rFonts w:asciiTheme="majorHAnsi" w:eastAsiaTheme="majorEastAsia" w:hAnsiTheme="majorHAnsi" w:cstheme="majorHAnsi"/>
          <w:bCs/>
          <w:iCs/>
          <w:caps/>
          <w:spacing w:val="-10"/>
          <w:kern w:val="28"/>
          <w:sz w:val="38"/>
          <w:szCs w:val="24"/>
        </w:rPr>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BE737D" w14:paraId="0B214B30" w14:textId="77777777" w:rsidTr="00D05246">
        <w:trPr>
          <w:trHeight w:val="1156"/>
        </w:trPr>
        <w:tc>
          <w:tcPr>
            <w:tcW w:w="1271" w:type="dxa"/>
            <w:shd w:val="clear" w:color="auto" w:fill="D7DEE2" w:themeFill="text2" w:themeFillTint="33"/>
          </w:tcPr>
          <w:p w14:paraId="4F3DC41F" w14:textId="77777777" w:rsidR="00BE737D" w:rsidRDefault="00BE737D" w:rsidP="00D05246">
            <w:pPr>
              <w:spacing w:before="80" w:after="80"/>
            </w:pPr>
            <w:r w:rsidRPr="00F75380">
              <w:rPr>
                <w:noProof/>
                <w:lang w:val="en-AU" w:eastAsia="en-AU"/>
              </w:rPr>
              <w:drawing>
                <wp:inline distT="0" distB="0" distL="0" distR="0" wp14:anchorId="0CF8068F" wp14:editId="222059FE">
                  <wp:extent cx="612000" cy="612000"/>
                  <wp:effectExtent l="0" t="0" r="0" b="0"/>
                  <wp:docPr id="20" name="Picture 20"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14:paraId="0F99C742" w14:textId="77777777" w:rsidR="00BE737D" w:rsidRPr="00AB289B" w:rsidRDefault="00BE737D" w:rsidP="00D05246">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14:paraId="197DFB55" w14:textId="77777777" w:rsidR="00BE737D" w:rsidRDefault="00BE737D" w:rsidP="00D05246"/>
        </w:tc>
        <w:tc>
          <w:tcPr>
            <w:tcW w:w="1276" w:type="dxa"/>
            <w:shd w:val="clear" w:color="auto" w:fill="D7DEE2" w:themeFill="text2" w:themeFillTint="33"/>
          </w:tcPr>
          <w:p w14:paraId="111FA2E1" w14:textId="77777777" w:rsidR="00BE737D" w:rsidRDefault="00BE737D" w:rsidP="00D05246">
            <w:pPr>
              <w:spacing w:before="80" w:after="80"/>
            </w:pPr>
            <w:r>
              <w:rPr>
                <w:noProof/>
                <w:lang w:val="en-AU" w:eastAsia="en-AU"/>
              </w:rPr>
              <w:drawing>
                <wp:inline distT="0" distB="0" distL="0" distR="0" wp14:anchorId="4E292809" wp14:editId="1BF1B50B">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05B851A8" w14:textId="77777777" w:rsidR="00BE737D" w:rsidRPr="00AB289B" w:rsidRDefault="00BE737D" w:rsidP="00D05246">
            <w:pPr>
              <w:spacing w:before="80" w:after="80"/>
              <w:rPr>
                <w:sz w:val="16"/>
              </w:rPr>
            </w:pPr>
            <w:r w:rsidRPr="00AB289B">
              <w:rPr>
                <w:sz w:val="16"/>
              </w:rPr>
              <w:t>Reduce inequality within</w:t>
            </w:r>
            <w:r>
              <w:rPr>
                <w:sz w:val="16"/>
              </w:rPr>
              <w:t xml:space="preserve"> </w:t>
            </w:r>
            <w:r w:rsidRPr="00AB289B">
              <w:rPr>
                <w:sz w:val="16"/>
              </w:rPr>
              <w:t>and among countries</w:t>
            </w:r>
          </w:p>
        </w:tc>
      </w:tr>
      <w:tr w:rsidR="00BE737D" w14:paraId="4613F53A" w14:textId="77777777" w:rsidTr="00D05246">
        <w:tc>
          <w:tcPr>
            <w:tcW w:w="1271" w:type="dxa"/>
            <w:shd w:val="clear" w:color="auto" w:fill="D7DEE2" w:themeFill="text2" w:themeFillTint="33"/>
          </w:tcPr>
          <w:p w14:paraId="174E29E9" w14:textId="77777777" w:rsidR="00BE737D" w:rsidRDefault="00BE737D" w:rsidP="00D05246">
            <w:pPr>
              <w:spacing w:before="80" w:after="80"/>
            </w:pPr>
            <w:r>
              <w:rPr>
                <w:noProof/>
                <w:lang w:val="en-AU" w:eastAsia="en-AU"/>
              </w:rPr>
              <w:drawing>
                <wp:inline distT="0" distB="0" distL="0" distR="0" wp14:anchorId="22BB1D52" wp14:editId="7F60A0B6">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2CAA8F56" w14:textId="77777777" w:rsidR="00BE737D" w:rsidRPr="00AB289B" w:rsidRDefault="00BE737D" w:rsidP="00D05246">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14:paraId="264998DB" w14:textId="77777777" w:rsidR="00BE737D" w:rsidRDefault="00BE737D" w:rsidP="00D05246"/>
        </w:tc>
        <w:tc>
          <w:tcPr>
            <w:tcW w:w="1276" w:type="dxa"/>
            <w:shd w:val="clear" w:color="auto" w:fill="D7DEE2" w:themeFill="text2" w:themeFillTint="33"/>
          </w:tcPr>
          <w:p w14:paraId="7079CF64" w14:textId="77777777" w:rsidR="00BE737D" w:rsidRDefault="00BE737D" w:rsidP="00D05246">
            <w:pPr>
              <w:spacing w:before="80" w:after="80"/>
            </w:pPr>
            <w:r>
              <w:rPr>
                <w:noProof/>
                <w:lang w:val="en-AU" w:eastAsia="en-AU"/>
              </w:rPr>
              <w:drawing>
                <wp:inline distT="0" distB="0" distL="0" distR="0" wp14:anchorId="390262B9" wp14:editId="2B922FBF">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0C161443" w14:textId="77777777" w:rsidR="00BE737D" w:rsidRPr="00AB289B" w:rsidRDefault="00BE737D" w:rsidP="00D05246">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BE737D" w14:paraId="7D3ACB93" w14:textId="77777777" w:rsidTr="00D05246">
        <w:tc>
          <w:tcPr>
            <w:tcW w:w="1271" w:type="dxa"/>
            <w:shd w:val="clear" w:color="auto" w:fill="D7DEE2" w:themeFill="text2" w:themeFillTint="33"/>
          </w:tcPr>
          <w:p w14:paraId="06B39654" w14:textId="77777777" w:rsidR="00BE737D" w:rsidRDefault="00BE737D" w:rsidP="00D05246">
            <w:pPr>
              <w:spacing w:before="80" w:after="80"/>
            </w:pPr>
            <w:r>
              <w:rPr>
                <w:noProof/>
                <w:lang w:val="en-AU" w:eastAsia="en-AU"/>
              </w:rPr>
              <w:drawing>
                <wp:inline distT="0" distB="0" distL="0" distR="0" wp14:anchorId="223E7261" wp14:editId="50B6AB5C">
                  <wp:extent cx="612000" cy="61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329AC957" w14:textId="77777777" w:rsidR="00BE737D" w:rsidRPr="00AB289B" w:rsidRDefault="00BE737D" w:rsidP="00D05246">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14:paraId="772AEA9D" w14:textId="77777777" w:rsidR="00BE737D" w:rsidRDefault="00BE737D" w:rsidP="00D05246"/>
        </w:tc>
        <w:tc>
          <w:tcPr>
            <w:tcW w:w="1276" w:type="dxa"/>
            <w:shd w:val="clear" w:color="auto" w:fill="D7DEE2" w:themeFill="text2" w:themeFillTint="33"/>
          </w:tcPr>
          <w:p w14:paraId="44778B56" w14:textId="77777777" w:rsidR="00BE737D" w:rsidRDefault="00BE737D" w:rsidP="00D05246">
            <w:pPr>
              <w:spacing w:before="80" w:after="80"/>
            </w:pPr>
            <w:r>
              <w:rPr>
                <w:noProof/>
                <w:lang w:val="en-AU" w:eastAsia="en-AU"/>
              </w:rPr>
              <w:drawing>
                <wp:inline distT="0" distB="0" distL="0" distR="0" wp14:anchorId="0AD8C423" wp14:editId="38E932C7">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39293749" w14:textId="77777777" w:rsidR="00BE737D" w:rsidRPr="00AB289B" w:rsidRDefault="00BE737D" w:rsidP="00D05246">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BE737D" w14:paraId="6E12326B" w14:textId="77777777" w:rsidTr="00D05246">
        <w:tc>
          <w:tcPr>
            <w:tcW w:w="1271" w:type="dxa"/>
            <w:shd w:val="clear" w:color="auto" w:fill="D7DEE2" w:themeFill="text2" w:themeFillTint="33"/>
          </w:tcPr>
          <w:p w14:paraId="53A0C15C" w14:textId="77777777" w:rsidR="00BE737D" w:rsidRDefault="00BE737D" w:rsidP="00D05246">
            <w:pPr>
              <w:spacing w:before="80" w:after="80"/>
            </w:pPr>
            <w:r>
              <w:rPr>
                <w:noProof/>
                <w:lang w:val="en-AU" w:eastAsia="en-AU"/>
              </w:rPr>
              <w:drawing>
                <wp:inline distT="0" distB="0" distL="0" distR="0" wp14:anchorId="654DE1BE" wp14:editId="77DA33FA">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5926C31B" w14:textId="77777777" w:rsidR="00BE737D" w:rsidRPr="00AB289B" w:rsidRDefault="00BE737D" w:rsidP="00D05246">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14:paraId="3F17D719" w14:textId="77777777" w:rsidR="00BE737D" w:rsidRDefault="00BE737D" w:rsidP="00D05246"/>
        </w:tc>
        <w:tc>
          <w:tcPr>
            <w:tcW w:w="1276" w:type="dxa"/>
            <w:shd w:val="clear" w:color="auto" w:fill="D7DEE2" w:themeFill="text2" w:themeFillTint="33"/>
          </w:tcPr>
          <w:p w14:paraId="10A3B054" w14:textId="77777777" w:rsidR="00BE737D" w:rsidRDefault="00BE737D" w:rsidP="00D05246">
            <w:pPr>
              <w:spacing w:before="80" w:after="80"/>
            </w:pPr>
            <w:r>
              <w:rPr>
                <w:noProof/>
                <w:lang w:val="en-AU" w:eastAsia="en-AU"/>
              </w:rPr>
              <w:drawing>
                <wp:inline distT="0" distB="0" distL="0" distR="0" wp14:anchorId="0908E4A0" wp14:editId="353789B2">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2B03C9C" w14:textId="77777777" w:rsidR="00BE737D" w:rsidRPr="00AB289B" w:rsidRDefault="00BE737D" w:rsidP="00D05246">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BE737D" w14:paraId="63760FD3" w14:textId="77777777" w:rsidTr="00D05246">
        <w:tc>
          <w:tcPr>
            <w:tcW w:w="1271" w:type="dxa"/>
            <w:shd w:val="clear" w:color="auto" w:fill="D7DEE2" w:themeFill="text2" w:themeFillTint="33"/>
          </w:tcPr>
          <w:p w14:paraId="4B25158D" w14:textId="77777777" w:rsidR="00BE737D" w:rsidRDefault="00BE737D" w:rsidP="00D05246">
            <w:pPr>
              <w:spacing w:before="80" w:after="80"/>
            </w:pPr>
            <w:r>
              <w:rPr>
                <w:noProof/>
                <w:lang w:val="en-AU" w:eastAsia="en-AU"/>
              </w:rPr>
              <w:drawing>
                <wp:inline distT="0" distB="0" distL="0" distR="0" wp14:anchorId="2EAA34A7" wp14:editId="52B2ACFB">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68B8A49A" w14:textId="77777777" w:rsidR="00BE737D" w:rsidRPr="00AB289B" w:rsidRDefault="00BE737D" w:rsidP="00D05246">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14:paraId="0E8F94BF" w14:textId="77777777" w:rsidR="00BE737D" w:rsidRDefault="00BE737D" w:rsidP="00D05246"/>
        </w:tc>
        <w:tc>
          <w:tcPr>
            <w:tcW w:w="1276" w:type="dxa"/>
            <w:shd w:val="clear" w:color="auto" w:fill="D7DEE2" w:themeFill="text2" w:themeFillTint="33"/>
          </w:tcPr>
          <w:p w14:paraId="354A0CF9" w14:textId="77777777" w:rsidR="00BE737D" w:rsidRDefault="00BE737D" w:rsidP="00D05246">
            <w:pPr>
              <w:spacing w:before="80" w:after="80"/>
            </w:pPr>
            <w:r>
              <w:rPr>
                <w:noProof/>
                <w:lang w:val="en-AU" w:eastAsia="en-AU"/>
              </w:rPr>
              <w:drawing>
                <wp:inline distT="0" distB="0" distL="0" distR="0" wp14:anchorId="2BA2E982" wp14:editId="23E4EF47">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74E07F06" w14:textId="77777777" w:rsidR="00BE737D" w:rsidRPr="00AB289B" w:rsidRDefault="00BE737D" w:rsidP="00D05246">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BE737D" w14:paraId="63426301" w14:textId="77777777" w:rsidTr="00D05246">
        <w:tc>
          <w:tcPr>
            <w:tcW w:w="1271" w:type="dxa"/>
            <w:shd w:val="clear" w:color="auto" w:fill="D7DEE2" w:themeFill="text2" w:themeFillTint="33"/>
          </w:tcPr>
          <w:p w14:paraId="4349FB3A" w14:textId="77777777" w:rsidR="00BE737D" w:rsidRDefault="00BE737D" w:rsidP="00D05246">
            <w:pPr>
              <w:spacing w:before="80" w:after="80"/>
            </w:pPr>
            <w:r>
              <w:rPr>
                <w:noProof/>
                <w:lang w:val="en-AU" w:eastAsia="en-AU"/>
              </w:rPr>
              <w:drawing>
                <wp:inline distT="0" distB="0" distL="0" distR="0" wp14:anchorId="20BC4279" wp14:editId="714EE0F7">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0837B74A" w14:textId="77777777" w:rsidR="00BE737D" w:rsidRPr="00AB289B" w:rsidRDefault="00BE737D" w:rsidP="00D05246">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14:paraId="5C7F55D7" w14:textId="77777777" w:rsidR="00BE737D" w:rsidRDefault="00BE737D" w:rsidP="00D05246"/>
        </w:tc>
        <w:tc>
          <w:tcPr>
            <w:tcW w:w="1276" w:type="dxa"/>
            <w:shd w:val="clear" w:color="auto" w:fill="D7DEE2" w:themeFill="text2" w:themeFillTint="33"/>
          </w:tcPr>
          <w:p w14:paraId="1C0D0FA5" w14:textId="77777777" w:rsidR="00BE737D" w:rsidRDefault="00BE737D" w:rsidP="00D05246">
            <w:pPr>
              <w:spacing w:before="80" w:after="80"/>
            </w:pPr>
            <w:r>
              <w:rPr>
                <w:noProof/>
                <w:lang w:val="en-AU" w:eastAsia="en-AU"/>
              </w:rPr>
              <w:drawing>
                <wp:inline distT="0" distB="0" distL="0" distR="0" wp14:anchorId="7A1948BB" wp14:editId="37082871">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3C1DEE0E" w14:textId="77777777" w:rsidR="00BE737D" w:rsidRPr="00AB289B" w:rsidRDefault="00BE737D" w:rsidP="00D05246">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BE737D" w14:paraId="36498B30" w14:textId="77777777" w:rsidTr="00D05246">
        <w:tc>
          <w:tcPr>
            <w:tcW w:w="1271" w:type="dxa"/>
            <w:shd w:val="clear" w:color="auto" w:fill="D7DEE2" w:themeFill="text2" w:themeFillTint="33"/>
          </w:tcPr>
          <w:p w14:paraId="04DD07FD" w14:textId="77777777" w:rsidR="00BE737D" w:rsidRDefault="00BE737D" w:rsidP="00D05246">
            <w:pPr>
              <w:spacing w:before="80" w:after="80"/>
            </w:pPr>
            <w:r>
              <w:rPr>
                <w:noProof/>
                <w:lang w:val="en-AU" w:eastAsia="en-AU"/>
              </w:rPr>
              <w:drawing>
                <wp:inline distT="0" distB="0" distL="0" distR="0" wp14:anchorId="4F04504A" wp14:editId="73890D88">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2E883A98" w14:textId="77777777" w:rsidR="00BE737D" w:rsidRPr="00AB289B" w:rsidRDefault="00BE737D" w:rsidP="00D05246">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14:paraId="3B3CB036" w14:textId="77777777" w:rsidR="00BE737D" w:rsidRDefault="00BE737D" w:rsidP="00D05246"/>
        </w:tc>
        <w:tc>
          <w:tcPr>
            <w:tcW w:w="1276" w:type="dxa"/>
            <w:shd w:val="clear" w:color="auto" w:fill="D7DEE2" w:themeFill="text2" w:themeFillTint="33"/>
          </w:tcPr>
          <w:p w14:paraId="2240DD0A" w14:textId="77777777" w:rsidR="00BE737D" w:rsidRDefault="00BE737D" w:rsidP="00D05246">
            <w:pPr>
              <w:spacing w:before="80" w:after="80"/>
            </w:pPr>
            <w:r>
              <w:rPr>
                <w:noProof/>
                <w:lang w:val="en-AU" w:eastAsia="en-AU"/>
              </w:rPr>
              <w:drawing>
                <wp:inline distT="0" distB="0" distL="0" distR="0" wp14:anchorId="6BD914C3" wp14:editId="01FE6E83">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14:paraId="2D6C7ECF" w14:textId="77777777" w:rsidR="00BE737D" w:rsidRPr="00AB289B" w:rsidRDefault="00BE737D" w:rsidP="00D05246">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BE737D" w14:paraId="265D10AD" w14:textId="77777777" w:rsidTr="00D05246">
        <w:tc>
          <w:tcPr>
            <w:tcW w:w="1271" w:type="dxa"/>
            <w:shd w:val="clear" w:color="auto" w:fill="D7DEE2" w:themeFill="text2" w:themeFillTint="33"/>
          </w:tcPr>
          <w:p w14:paraId="3E6D8EEC" w14:textId="77777777" w:rsidR="00BE737D" w:rsidRDefault="00BE737D" w:rsidP="00D05246">
            <w:pPr>
              <w:spacing w:before="80" w:after="80"/>
            </w:pPr>
            <w:r>
              <w:rPr>
                <w:noProof/>
                <w:lang w:val="en-AU" w:eastAsia="en-AU"/>
              </w:rPr>
              <w:drawing>
                <wp:inline distT="0" distB="0" distL="0" distR="0" wp14:anchorId="18E239D6" wp14:editId="39D17A98">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14:paraId="0C10CF73" w14:textId="77777777" w:rsidR="00BE737D" w:rsidRPr="00AB289B" w:rsidRDefault="00BE737D" w:rsidP="00D05246">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14:paraId="7BF32ED6" w14:textId="77777777" w:rsidR="00BE737D" w:rsidRDefault="00BE737D" w:rsidP="00D05246"/>
        </w:tc>
        <w:tc>
          <w:tcPr>
            <w:tcW w:w="1276" w:type="dxa"/>
            <w:shd w:val="clear" w:color="auto" w:fill="D7DEE2" w:themeFill="text2" w:themeFillTint="33"/>
          </w:tcPr>
          <w:p w14:paraId="3B58D38F" w14:textId="77777777" w:rsidR="00BE737D" w:rsidRDefault="00BE737D" w:rsidP="00D05246">
            <w:pPr>
              <w:spacing w:before="80" w:after="80"/>
            </w:pPr>
            <w:r>
              <w:rPr>
                <w:noProof/>
                <w:lang w:val="en-AU" w:eastAsia="en-AU"/>
              </w:rPr>
              <w:drawing>
                <wp:inline distT="0" distB="0" distL="0" distR="0" wp14:anchorId="3458FE5F" wp14:editId="55236498">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14:paraId="59B8ECB0" w14:textId="77777777" w:rsidR="00BE737D" w:rsidRPr="00AB289B" w:rsidRDefault="00BE737D" w:rsidP="00D05246">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BE737D" w14:paraId="3F5B9A05" w14:textId="77777777" w:rsidTr="00D05246">
        <w:tc>
          <w:tcPr>
            <w:tcW w:w="1271" w:type="dxa"/>
            <w:shd w:val="clear" w:color="auto" w:fill="D7DEE2" w:themeFill="text2" w:themeFillTint="33"/>
          </w:tcPr>
          <w:p w14:paraId="5B559689" w14:textId="77777777" w:rsidR="00BE737D" w:rsidRDefault="00BE737D" w:rsidP="00D05246">
            <w:pPr>
              <w:spacing w:before="80" w:after="80"/>
            </w:pPr>
            <w:r>
              <w:rPr>
                <w:noProof/>
                <w:lang w:val="en-AU" w:eastAsia="en-AU"/>
              </w:rPr>
              <w:drawing>
                <wp:inline distT="0" distB="0" distL="0" distR="0" wp14:anchorId="49D6EC24" wp14:editId="552E0183">
                  <wp:extent cx="612000" cy="61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14:paraId="7D7CEFDD" w14:textId="77777777" w:rsidR="00BE737D" w:rsidRPr="00AB289B" w:rsidRDefault="00BE737D" w:rsidP="00D05246">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14:paraId="3D0AF948" w14:textId="77777777" w:rsidR="00BE737D" w:rsidRDefault="00BE737D" w:rsidP="00D05246"/>
        </w:tc>
        <w:tc>
          <w:tcPr>
            <w:tcW w:w="1276" w:type="dxa"/>
            <w:shd w:val="clear" w:color="auto" w:fill="D7DEE2" w:themeFill="text2" w:themeFillTint="33"/>
          </w:tcPr>
          <w:p w14:paraId="690A0CB4" w14:textId="77777777" w:rsidR="00BE737D" w:rsidRPr="00AB289B" w:rsidRDefault="00BE737D" w:rsidP="00D05246">
            <w:pPr>
              <w:spacing w:before="80" w:after="80"/>
              <w:rPr>
                <w:sz w:val="16"/>
              </w:rPr>
            </w:pPr>
          </w:p>
        </w:tc>
        <w:tc>
          <w:tcPr>
            <w:tcW w:w="3544" w:type="dxa"/>
            <w:shd w:val="clear" w:color="auto" w:fill="D7DEE2" w:themeFill="text2" w:themeFillTint="33"/>
          </w:tcPr>
          <w:p w14:paraId="41965585" w14:textId="77777777" w:rsidR="00BE737D" w:rsidRPr="00AB289B" w:rsidRDefault="00BE737D" w:rsidP="00D05246">
            <w:pPr>
              <w:spacing w:before="80" w:after="80"/>
              <w:rPr>
                <w:sz w:val="16"/>
              </w:rPr>
            </w:pPr>
          </w:p>
        </w:tc>
      </w:tr>
    </w:tbl>
    <w:p w14:paraId="38308F54" w14:textId="77777777" w:rsidR="006C4F09" w:rsidRPr="005C78DB" w:rsidRDefault="006C4F09" w:rsidP="00091476"/>
    <w:sectPr w:rsidR="006C4F09" w:rsidRPr="005C78DB" w:rsidSect="00CA7DD8">
      <w:headerReference w:type="default" r:id="rId41"/>
      <w:pgSz w:w="11906" w:h="16838" w:code="9"/>
      <w:pgMar w:top="1527" w:right="1134" w:bottom="851" w:left="1134"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44B54" w14:textId="77777777" w:rsidR="005C33DB" w:rsidRDefault="005C33DB" w:rsidP="00EF4574">
      <w:pPr>
        <w:spacing w:before="0" w:after="0" w:line="240" w:lineRule="auto"/>
      </w:pPr>
      <w:r>
        <w:separator/>
      </w:r>
    </w:p>
  </w:endnote>
  <w:endnote w:type="continuationSeparator" w:id="0">
    <w:p w14:paraId="4436CED4" w14:textId="77777777" w:rsidR="005C33DB" w:rsidRDefault="005C33DB"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6CEF" w14:textId="77777777" w:rsidR="00545343" w:rsidRDefault="005453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BF7E" w14:textId="77777777" w:rsidR="005C33DB" w:rsidRPr="00CD0E4B" w:rsidRDefault="005C33DB" w:rsidP="00C406F0">
    <w:pPr>
      <w:pStyle w:val="Footer"/>
    </w:pPr>
    <w:r w:rsidRPr="00CD0E4B">
      <w:rPr>
        <w:noProof/>
        <w:lang w:val="en-AU" w:eastAsia="en-AU"/>
      </w:rPr>
      <w:drawing>
        <wp:inline distT="0" distB="0" distL="0" distR="0" wp14:anchorId="312BDCCE" wp14:editId="7AC29EFA">
          <wp:extent cx="90000" cy="74520"/>
          <wp:effectExtent l="0" t="0" r="571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5E9B0AD4" w14:textId="77777777" w:rsidR="005C33DB" w:rsidRDefault="005C33DB">
    <w:pPr>
      <w:pStyle w:val="Footer"/>
    </w:pPr>
    <w:r w:rsidRPr="00CD0E4B">
      <w:rPr>
        <w:color w:val="ACD08C" w:themeColor="accent3"/>
      </w:rPr>
      <w:t>DFAT.GOV.AU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596A7" w14:textId="77777777" w:rsidR="00545343" w:rsidRDefault="005453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BC572" w14:textId="77777777" w:rsidR="005C33DB" w:rsidRPr="00CD0E4B" w:rsidRDefault="005C33DB" w:rsidP="00784031">
    <w:pPr>
      <w:pStyle w:val="Footer"/>
    </w:pPr>
    <w:r w:rsidRPr="00CD0E4B">
      <w:rPr>
        <w:noProof/>
        <w:lang w:val="en-AU" w:eastAsia="en-AU"/>
      </w:rPr>
      <w:drawing>
        <wp:inline distT="0" distB="0" distL="0" distR="0" wp14:anchorId="5755F86C" wp14:editId="182823EC">
          <wp:extent cx="90000" cy="74520"/>
          <wp:effectExtent l="0" t="0" r="571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35F261FC" w14:textId="77777777" w:rsidR="005C33DB" w:rsidRPr="00CD0E4B" w:rsidRDefault="005C33DB"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DD86D" w14:textId="77777777" w:rsidR="005C33DB" w:rsidRPr="008C5A0E" w:rsidRDefault="005C33DB" w:rsidP="001D663E">
      <w:pPr>
        <w:pStyle w:val="Footer"/>
        <w:pBdr>
          <w:top w:val="single" w:sz="4" w:space="1" w:color="495965" w:themeColor="text2"/>
        </w:pBdr>
      </w:pPr>
    </w:p>
  </w:footnote>
  <w:footnote w:type="continuationSeparator" w:id="0">
    <w:p w14:paraId="63DDBEA2" w14:textId="77777777" w:rsidR="005C33DB" w:rsidRDefault="005C33DB" w:rsidP="00EF4574">
      <w:pPr>
        <w:spacing w:before="0" w:after="0" w:line="240" w:lineRule="auto"/>
      </w:pPr>
      <w:r>
        <w:continuationSeparator/>
      </w:r>
    </w:p>
  </w:footnote>
  <w:footnote w:id="1">
    <w:p w14:paraId="4CC9A0AD" w14:textId="77777777" w:rsidR="005C33DB" w:rsidRPr="000B0E65" w:rsidRDefault="005C33DB">
      <w:pPr>
        <w:pStyle w:val="FootnoteText"/>
      </w:pPr>
      <w:r>
        <w:rPr>
          <w:rStyle w:val="FootnoteReference"/>
        </w:rPr>
        <w:footnoteRef/>
      </w:r>
      <w:r>
        <w:t xml:space="preserve"> </w:t>
      </w:r>
      <w:r w:rsidRPr="000B0E65">
        <w:t>Pacific Economic Monitor, July 2019, Asian Development Bank</w:t>
      </w:r>
    </w:p>
  </w:footnote>
  <w:footnote w:id="2">
    <w:p w14:paraId="6E25EC3B" w14:textId="77777777" w:rsidR="005C33DB" w:rsidRPr="001A7F6D" w:rsidRDefault="005C33DB" w:rsidP="009A5A28">
      <w:pPr>
        <w:pStyle w:val="FootnoteText"/>
        <w:rPr>
          <w:lang w:val="en-AU"/>
        </w:rPr>
      </w:pPr>
      <w:r>
        <w:rPr>
          <w:rStyle w:val="FootnoteReference"/>
        </w:rPr>
        <w:footnoteRef/>
      </w:r>
      <w:r>
        <w:t xml:space="preserve"> Goods and services trade between </w:t>
      </w:r>
      <w:r>
        <w:rPr>
          <w:lang w:val="en-AU"/>
        </w:rPr>
        <w:t>Australia and Pacific island countries was just $11.2 billion in 2018.</w:t>
      </w:r>
    </w:p>
  </w:footnote>
  <w:footnote w:id="3">
    <w:p w14:paraId="3FE4760A" w14:textId="77777777" w:rsidR="005C33DB" w:rsidRPr="00C91666" w:rsidRDefault="005C33DB" w:rsidP="009A5A28">
      <w:pPr>
        <w:pStyle w:val="FootnoteText"/>
        <w:rPr>
          <w:lang w:val="en-AU"/>
        </w:rPr>
      </w:pPr>
      <w:r>
        <w:rPr>
          <w:rStyle w:val="FootnoteReference"/>
        </w:rPr>
        <w:footnoteRef/>
      </w:r>
      <w:r>
        <w:t xml:space="preserve"> PACER Plus </w:t>
      </w:r>
      <w:r w:rsidRPr="00532CA3">
        <w:t>is a comprehensive Free Trade Agreement (FTA) covering goods, services and investment.</w:t>
      </w:r>
      <w:r>
        <w:t xml:space="preserve">  It </w:t>
      </w:r>
      <w:r w:rsidRPr="00C91666">
        <w:t>has been signed by Australia, New Zealand and nine Pacific island countries (Cook Islands, Kiribati, Nauru, Niue, Samoa, Solomon Islands, Tonga, Tuvalu and Vanuatu).</w:t>
      </w:r>
    </w:p>
  </w:footnote>
  <w:footnote w:id="4">
    <w:p w14:paraId="76CE8F7A" w14:textId="46BFF7C2" w:rsidR="005C33DB" w:rsidRPr="000B0E65" w:rsidRDefault="005C33DB" w:rsidP="008A44B9">
      <w:pPr>
        <w:pStyle w:val="FootnoteText"/>
        <w:rPr>
          <w:lang w:val="en-AU"/>
        </w:rPr>
      </w:pPr>
      <w:r>
        <w:rPr>
          <w:rStyle w:val="FootnoteReference"/>
        </w:rPr>
        <w:footnoteRef/>
      </w:r>
      <w:r>
        <w:t xml:space="preserve"> </w:t>
      </w:r>
      <w:r w:rsidRPr="00DC445E">
        <w:t>Pacific Islands Literacy &amp; Numeracy Assessment (PILNA) 2018 Regional Report</w:t>
      </w:r>
      <w:r>
        <w:t xml:space="preserve">, </w:t>
      </w:r>
      <w:hyperlink r:id="rId1" w:history="1">
        <w:r w:rsidRPr="00DC445E">
          <w:rPr>
            <w:rStyle w:val="Hyperlink"/>
            <w:rFonts w:cstheme="minorBidi"/>
            <w:lang w:val="en-AU"/>
          </w:rPr>
          <w:t>https://www.spc.int/resource-centre/publications/pacific-islands-literacy-and-numeracy-assessment-2018-regional-report</w:t>
        </w:r>
      </w:hyperlink>
    </w:p>
  </w:footnote>
  <w:footnote w:id="5">
    <w:p w14:paraId="3A9138F9" w14:textId="77777777" w:rsidR="005C33DB" w:rsidRPr="008E1184" w:rsidRDefault="005C33DB" w:rsidP="00117FC0">
      <w:pPr>
        <w:pStyle w:val="FootnoteText"/>
        <w:rPr>
          <w:sz w:val="16"/>
          <w:szCs w:val="16"/>
          <w:lang w:val="en-AU"/>
        </w:rPr>
      </w:pPr>
      <w:r>
        <w:rPr>
          <w:rStyle w:val="FootnoteReference"/>
        </w:rPr>
        <w:footnoteRef/>
      </w:r>
      <w:r>
        <w:t xml:space="preserve"> </w:t>
      </w:r>
      <w:r w:rsidRPr="008E1184">
        <w:rPr>
          <w:sz w:val="16"/>
          <w:szCs w:val="16"/>
          <w:lang w:val="en-AU"/>
        </w:rPr>
        <w:t xml:space="preserve">Pacific </w:t>
      </w:r>
      <w:r>
        <w:rPr>
          <w:sz w:val="16"/>
          <w:szCs w:val="16"/>
          <w:lang w:val="en-AU"/>
        </w:rPr>
        <w:t>Regional ODA flows comprise ODA flows to the Pacific, not attributable to specific countries, from the DFAT Pacific Regional Program, other DFAT regional and global programs and other Australian Government departments.</w:t>
      </w:r>
    </w:p>
  </w:footnote>
  <w:footnote w:id="6">
    <w:p w14:paraId="70436C0A" w14:textId="77777777" w:rsidR="005C33DB" w:rsidRPr="00E863C1" w:rsidRDefault="005C33DB" w:rsidP="00117FC0">
      <w:pPr>
        <w:pStyle w:val="FootnoteText"/>
        <w:rPr>
          <w:sz w:val="16"/>
          <w:szCs w:val="16"/>
          <w:lang w:val="en-AU"/>
        </w:rPr>
      </w:pPr>
      <w:r w:rsidRPr="00E863C1">
        <w:rPr>
          <w:rStyle w:val="FootnoteReference"/>
          <w:sz w:val="16"/>
          <w:szCs w:val="16"/>
        </w:rPr>
        <w:footnoteRef/>
      </w:r>
      <w:r w:rsidRPr="00E863C1">
        <w:rPr>
          <w:sz w:val="16"/>
          <w:szCs w:val="16"/>
        </w:rPr>
        <w:t xml:space="preserve"> </w:t>
      </w:r>
      <w:r w:rsidRPr="00E863C1">
        <w:rPr>
          <w:sz w:val="16"/>
          <w:szCs w:val="16"/>
          <w:lang w:val="en-AU"/>
        </w:rPr>
        <w:t xml:space="preserve">Percentages relate to the sub-total </w:t>
      </w:r>
      <w:r>
        <w:rPr>
          <w:sz w:val="16"/>
          <w:szCs w:val="16"/>
          <w:lang w:val="en-AU"/>
        </w:rPr>
        <w:t xml:space="preserve">of </w:t>
      </w:r>
      <w:r w:rsidRPr="00E863C1">
        <w:rPr>
          <w:sz w:val="16"/>
          <w:szCs w:val="16"/>
          <w:lang w:val="en-AU"/>
        </w:rPr>
        <w:t>Pacific Regional Program</w:t>
      </w:r>
      <w:r>
        <w:rPr>
          <w:sz w:val="16"/>
          <w:szCs w:val="16"/>
          <w:lang w:val="en-AU"/>
        </w:rPr>
        <w:t>.</w:t>
      </w:r>
    </w:p>
  </w:footnote>
  <w:footnote w:id="7">
    <w:p w14:paraId="6594B5B0" w14:textId="046F3E82" w:rsidR="005C33DB" w:rsidRPr="005C5551" w:rsidRDefault="005C33DB" w:rsidP="00117FC0">
      <w:pPr>
        <w:pStyle w:val="FootnoteText"/>
        <w:rPr>
          <w:sz w:val="16"/>
          <w:szCs w:val="16"/>
          <w:lang w:val="en-AU"/>
        </w:rPr>
      </w:pPr>
      <w:r>
        <w:rPr>
          <w:rStyle w:val="FootnoteReference"/>
        </w:rPr>
        <w:footnoteRef/>
      </w:r>
      <w:r>
        <w:t xml:space="preserve"> </w:t>
      </w:r>
      <w:r w:rsidRPr="005C5551">
        <w:rPr>
          <w:sz w:val="16"/>
          <w:szCs w:val="16"/>
          <w:lang w:val="en-AU"/>
        </w:rPr>
        <w:t xml:space="preserve">Only direct gender funding under the Pacific Regional Program.  There is significant gender-related work supported under investments that </w:t>
      </w:r>
      <w:r>
        <w:rPr>
          <w:sz w:val="16"/>
          <w:szCs w:val="16"/>
          <w:lang w:val="en-AU"/>
        </w:rPr>
        <w:t xml:space="preserve">are captured under the </w:t>
      </w:r>
      <w:r w:rsidRPr="003F276C">
        <w:rPr>
          <w:i/>
          <w:sz w:val="16"/>
          <w:szCs w:val="16"/>
          <w:lang w:val="en-AU"/>
        </w:rPr>
        <w:t>DFAT Other Regional and Global programs</w:t>
      </w:r>
      <w:r>
        <w:rPr>
          <w:sz w:val="16"/>
          <w:szCs w:val="16"/>
          <w:lang w:val="en-AU"/>
        </w:rPr>
        <w:t xml:space="preserve"> line item</w:t>
      </w:r>
      <w:r w:rsidRPr="00C114F2">
        <w:rPr>
          <w:sz w:val="16"/>
          <w:szCs w:val="16"/>
        </w:rPr>
        <w:t xml:space="preserve"> including $16m for the regional elements of Pacific Women Shaping Pacific Development.</w:t>
      </w:r>
      <w:r w:rsidRPr="005C5551">
        <w:rPr>
          <w:sz w:val="16"/>
          <w:szCs w:val="16"/>
          <w:lang w:val="en-AU"/>
        </w:rPr>
        <w:t xml:space="preserve"> </w:t>
      </w:r>
    </w:p>
  </w:footnote>
  <w:footnote w:id="8">
    <w:p w14:paraId="150B1D19" w14:textId="77777777" w:rsidR="005C33DB" w:rsidRPr="00A17FD0" w:rsidRDefault="005C33DB" w:rsidP="00117FC0">
      <w:pPr>
        <w:pStyle w:val="FootnoteText"/>
        <w:rPr>
          <w:sz w:val="16"/>
          <w:szCs w:val="16"/>
          <w:lang w:val="en-AU"/>
        </w:rPr>
      </w:pPr>
      <w:r w:rsidRPr="00A17FD0">
        <w:rPr>
          <w:rStyle w:val="FootnoteReference"/>
          <w:sz w:val="16"/>
          <w:szCs w:val="16"/>
        </w:rPr>
        <w:footnoteRef/>
      </w:r>
      <w:r w:rsidRPr="00A17FD0">
        <w:rPr>
          <w:sz w:val="16"/>
          <w:szCs w:val="16"/>
        </w:rPr>
        <w:t xml:space="preserve"> </w:t>
      </w:r>
      <w:r w:rsidRPr="00A17FD0">
        <w:rPr>
          <w:sz w:val="16"/>
          <w:szCs w:val="16"/>
          <w:lang w:val="en-AU"/>
        </w:rPr>
        <w:t xml:space="preserve">Some Pacific Regional </w:t>
      </w:r>
      <w:r>
        <w:rPr>
          <w:sz w:val="16"/>
          <w:szCs w:val="16"/>
          <w:lang w:val="en-AU"/>
        </w:rPr>
        <w:t>Program</w:t>
      </w:r>
      <w:r w:rsidRPr="00A17FD0">
        <w:rPr>
          <w:sz w:val="16"/>
          <w:szCs w:val="16"/>
          <w:lang w:val="en-AU"/>
        </w:rPr>
        <w:t xml:space="preserve"> expenditure has been allocated to specific countrie</w:t>
      </w:r>
      <w:r>
        <w:rPr>
          <w:sz w:val="16"/>
          <w:szCs w:val="16"/>
          <w:lang w:val="en-AU"/>
        </w:rPr>
        <w:t>s in which the Pacific Regional Program</w:t>
      </w:r>
      <w:r w:rsidRPr="00A17FD0">
        <w:rPr>
          <w:sz w:val="16"/>
          <w:szCs w:val="16"/>
          <w:lang w:val="en-AU"/>
        </w:rPr>
        <w:t xml:space="preserve"> operate</w:t>
      </w:r>
      <w:r>
        <w:rPr>
          <w:sz w:val="16"/>
          <w:szCs w:val="16"/>
          <w:lang w:val="en-AU"/>
        </w:rPr>
        <w:t>s</w:t>
      </w:r>
      <w:r w:rsidRPr="00A17FD0">
        <w:rPr>
          <w:sz w:val="16"/>
          <w:szCs w:val="16"/>
          <w:lang w:val="en-AU"/>
        </w:rPr>
        <w:t xml:space="preserve">.  </w:t>
      </w:r>
    </w:p>
  </w:footnote>
  <w:footnote w:id="9">
    <w:p w14:paraId="6667FABB" w14:textId="77777777" w:rsidR="005C33DB" w:rsidRPr="00660C8F" w:rsidRDefault="005C33DB" w:rsidP="00117FC0">
      <w:pPr>
        <w:pStyle w:val="FootnoteText"/>
        <w:rPr>
          <w:lang w:val="en-AU"/>
        </w:rPr>
      </w:pPr>
      <w:r>
        <w:rPr>
          <w:rStyle w:val="FootnoteReference"/>
        </w:rPr>
        <w:footnoteRef/>
      </w:r>
      <w:r>
        <w:t xml:space="preserve"> </w:t>
      </w:r>
      <w:r>
        <w:rPr>
          <w:sz w:val="16"/>
          <w:szCs w:val="16"/>
        </w:rPr>
        <w:t>2018-19</w:t>
      </w:r>
      <w:r w:rsidRPr="00A17FD0">
        <w:rPr>
          <w:sz w:val="16"/>
          <w:szCs w:val="16"/>
        </w:rPr>
        <w:t xml:space="preserve"> estimated outcome</w:t>
      </w:r>
      <w:r>
        <w:rPr>
          <w:sz w:val="16"/>
          <w:szCs w:val="16"/>
        </w:rPr>
        <w:t>.</w:t>
      </w:r>
    </w:p>
  </w:footnote>
  <w:footnote w:id="10">
    <w:p w14:paraId="3E0AD00B" w14:textId="77777777" w:rsidR="005C33DB" w:rsidRPr="004C71C8" w:rsidRDefault="005C33DB" w:rsidP="00C33280">
      <w:pPr>
        <w:pStyle w:val="FootnoteText"/>
        <w:rPr>
          <w:lang w:val="en-AU"/>
        </w:rPr>
      </w:pPr>
      <w:r>
        <w:rPr>
          <w:rStyle w:val="FootnoteReference"/>
        </w:rPr>
        <w:footnoteRef/>
      </w:r>
      <w:r>
        <w:t xml:space="preserve"> Online business registries make the process of formally registering a business cheaper, faster, more predictable, and more accessible, particularly to residents of remote communities, women, and poorer people.  PSDI has supported the entire process of online registry development—from initial analysis and legislative reforms to technical implementation, training, awareness raising, and operational support—needed to shift countries from outdated, paper-based registries to responsive and efficient digital ones.</w:t>
      </w:r>
    </w:p>
  </w:footnote>
  <w:footnote w:id="11">
    <w:p w14:paraId="3FDC165B" w14:textId="77777777" w:rsidR="005C33DB" w:rsidRDefault="005C33DB" w:rsidP="009E158F">
      <w:pPr>
        <w:pStyle w:val="FootnoteText"/>
      </w:pPr>
      <w:r>
        <w:rPr>
          <w:rStyle w:val="FootnoteReference"/>
        </w:rPr>
        <w:footnoteRef/>
      </w:r>
      <w:r>
        <w:t xml:space="preserve"> World Bank Pacific Possible (August 2017) p xv I, </w:t>
      </w:r>
      <w:hyperlink r:id="rId2" w:history="1">
        <w:r w:rsidRPr="00E4717D">
          <w:rPr>
            <w:rStyle w:val="Hyperlink"/>
          </w:rPr>
          <w:t>http://documents.worldbank.org/curated/en/168951503668157320/pdf/ACS22308-PUBLIC-P154324-ADD-SERIES-PPFullReportFINALscreen.pdf</w:t>
        </w:r>
      </w:hyperlink>
      <w:r>
        <w:t xml:space="preserve">. </w:t>
      </w:r>
    </w:p>
  </w:footnote>
  <w:footnote w:id="12">
    <w:p w14:paraId="79526B29" w14:textId="77777777" w:rsidR="005C33DB" w:rsidRPr="000B0E65" w:rsidRDefault="005C33DB">
      <w:pPr>
        <w:pStyle w:val="FootnoteText"/>
        <w:rPr>
          <w:lang w:val="en-AU"/>
        </w:rPr>
      </w:pPr>
      <w:r>
        <w:rPr>
          <w:rStyle w:val="FootnoteReference"/>
        </w:rPr>
        <w:footnoteRef/>
      </w:r>
      <w:r>
        <w:t xml:space="preserve"> </w:t>
      </w:r>
      <w:r w:rsidRPr="003E3B2D">
        <w:rPr>
          <w:lang w:val="en-AU"/>
        </w:rPr>
        <w:t>World Bank</w:t>
      </w:r>
      <w:r>
        <w:rPr>
          <w:lang w:val="en-AU"/>
        </w:rPr>
        <w:t>,</w:t>
      </w:r>
      <w:r w:rsidRPr="00C9150B">
        <w:t xml:space="preserve"> </w:t>
      </w:r>
      <w:r w:rsidRPr="00C9150B">
        <w:rPr>
          <w:lang w:val="en-AU"/>
        </w:rPr>
        <w:t>Maximizing the Development Impacts from Temporary Migration</w:t>
      </w:r>
      <w:r>
        <w:rPr>
          <w:lang w:val="en-AU"/>
        </w:rPr>
        <w:t>,</w:t>
      </w:r>
      <w:r w:rsidRPr="003E3B2D">
        <w:rPr>
          <w:lang w:val="en-AU"/>
        </w:rPr>
        <w:t xml:space="preserve"> 2017</w:t>
      </w:r>
      <w:r>
        <w:rPr>
          <w:lang w:val="en-AU"/>
        </w:rPr>
        <w:t xml:space="preserve">, </w:t>
      </w:r>
      <w:r w:rsidRPr="00C9150B">
        <w:rPr>
          <w:lang w:val="en-AU"/>
        </w:rPr>
        <w:t>http://documents.worldbank.org/curated/en/572391522153097172/pdf/122270-repl-PUBLIC.pdf</w:t>
      </w:r>
    </w:p>
  </w:footnote>
  <w:footnote w:id="13">
    <w:p w14:paraId="69E5F662" w14:textId="77777777" w:rsidR="005C33DB" w:rsidRPr="00C50E37" w:rsidRDefault="005C33DB" w:rsidP="00E66615">
      <w:pPr>
        <w:pStyle w:val="FootnoteText"/>
        <w:rPr>
          <w:lang w:val="en-AU"/>
        </w:rPr>
      </w:pPr>
      <w:r>
        <w:rPr>
          <w:rStyle w:val="FootnoteReference"/>
        </w:rPr>
        <w:footnoteRef/>
      </w:r>
      <w:r>
        <w:t xml:space="preserve"> </w:t>
      </w:r>
      <w:r>
        <w:rPr>
          <w:rFonts w:eastAsia="Malgun Gothic"/>
          <w:sz w:val="16"/>
          <w:szCs w:val="16"/>
          <w:lang w:eastAsia="ko-KR"/>
        </w:rPr>
        <w:t xml:space="preserve">See </w:t>
      </w:r>
      <w:hyperlink r:id="rId3" w:history="1">
        <w:r w:rsidRPr="0058153D">
          <w:rPr>
            <w:rStyle w:val="Hyperlink"/>
            <w:rFonts w:eastAsia="Malgun Gothic"/>
            <w:sz w:val="16"/>
            <w:szCs w:val="16"/>
            <w:lang w:eastAsia="ko-KR"/>
          </w:rPr>
          <w:t>www.who.int/topics/international_health_regulations/en/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0E7DA" w14:textId="77777777" w:rsidR="00545343" w:rsidRDefault="005453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5956" w14:textId="77777777" w:rsidR="005C33DB" w:rsidRPr="00333501" w:rsidRDefault="005C33DB" w:rsidP="008F56A8">
    <w:pPr>
      <w:pStyle w:val="Header"/>
      <w:jc w:val="left"/>
    </w:pPr>
    <w:r>
      <w:rPr>
        <w:noProof/>
        <w:lang w:val="en-AU" w:eastAsia="en-AU"/>
      </w:rPr>
      <w:drawing>
        <wp:anchor distT="0" distB="0" distL="114300" distR="114300" simplePos="0" relativeHeight="251681792" behindDoc="1" locked="1" layoutInCell="1" allowOverlap="1" wp14:anchorId="50D8D6FA" wp14:editId="29BC2032">
          <wp:simplePos x="0" y="0"/>
          <wp:positionH relativeFrom="page">
            <wp:posOffset>7620</wp:posOffset>
          </wp:positionH>
          <wp:positionV relativeFrom="page">
            <wp:posOffset>55880</wp:posOffset>
          </wp:positionV>
          <wp:extent cx="7545705" cy="10702290"/>
          <wp:effectExtent l="0" t="0" r="0" b="381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D33A" w14:textId="77777777" w:rsidR="00545343" w:rsidRDefault="005453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F4C02" w14:textId="77777777" w:rsidR="005C33DB" w:rsidRDefault="005C33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E3E54" w14:textId="77777777" w:rsidR="005C33DB" w:rsidRPr="00333501" w:rsidRDefault="005C33DB" w:rsidP="008F56A8">
    <w:pPr>
      <w:pStyle w:val="Header"/>
      <w:jc w:val="left"/>
    </w:pPr>
    <w:r>
      <w:rPr>
        <w:noProof/>
        <w:lang w:val="en-AU" w:eastAsia="en-AU"/>
      </w:rPr>
      <w:drawing>
        <wp:anchor distT="0" distB="0" distL="114300" distR="114300" simplePos="0" relativeHeight="251697152" behindDoc="1" locked="1" layoutInCell="1" allowOverlap="1" wp14:anchorId="1759DC5A" wp14:editId="6D67222A">
          <wp:simplePos x="0" y="0"/>
          <wp:positionH relativeFrom="page">
            <wp:posOffset>160020</wp:posOffset>
          </wp:positionH>
          <wp:positionV relativeFrom="page">
            <wp:posOffset>160020</wp:posOffset>
          </wp:positionV>
          <wp:extent cx="10662285" cy="7545705"/>
          <wp:effectExtent l="0" t="0" r="5715"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BD02" w14:textId="77777777" w:rsidR="005C33DB" w:rsidRPr="003D352D" w:rsidRDefault="005C33DB" w:rsidP="003D352D">
    <w:pPr>
      <w:pStyle w:val="Header"/>
      <w:jc w:val="left"/>
    </w:pPr>
    <w:r>
      <w:rPr>
        <w:noProof/>
        <w:lang w:val="en-AU" w:eastAsia="en-AU"/>
      </w:rPr>
      <w:drawing>
        <wp:anchor distT="0" distB="0" distL="114300" distR="114300" simplePos="0" relativeHeight="251695104" behindDoc="1" locked="1" layoutInCell="1" allowOverlap="1" wp14:anchorId="28968B50" wp14:editId="326B3ED3">
          <wp:simplePos x="0" y="0"/>
          <wp:positionH relativeFrom="page">
            <wp:posOffset>7620</wp:posOffset>
          </wp:positionH>
          <wp:positionV relativeFrom="page">
            <wp:posOffset>7620</wp:posOffset>
          </wp:positionV>
          <wp:extent cx="10662285" cy="7545705"/>
          <wp:effectExtent l="0" t="0" r="5715"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B2115" w14:textId="77777777" w:rsidR="005C33DB" w:rsidRPr="00333501" w:rsidRDefault="005C33DB" w:rsidP="008F56A8">
    <w:pPr>
      <w:pStyle w:val="Header"/>
      <w:jc w:val="left"/>
    </w:pPr>
    <w:r>
      <w:rPr>
        <w:noProof/>
        <w:lang w:val="en-AU" w:eastAsia="en-AU"/>
      </w:rPr>
      <w:drawing>
        <wp:anchor distT="0" distB="0" distL="114300" distR="114300" simplePos="0" relativeHeight="251699200" behindDoc="1" locked="1" layoutInCell="1" allowOverlap="1" wp14:anchorId="56F6E2A9" wp14:editId="586243A3">
          <wp:simplePos x="0" y="0"/>
          <wp:positionH relativeFrom="page">
            <wp:align>right</wp:align>
          </wp:positionH>
          <wp:positionV relativeFrom="page">
            <wp:align>top</wp:align>
          </wp:positionV>
          <wp:extent cx="7559040" cy="11025505"/>
          <wp:effectExtent l="0" t="0" r="3810" b="444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A1C46"/>
    <w:multiLevelType w:val="hybridMultilevel"/>
    <w:tmpl w:val="11CAB4C8"/>
    <w:lvl w:ilvl="0" w:tplc="7DB62BBC">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CF4FC2"/>
    <w:multiLevelType w:val="hybridMultilevel"/>
    <w:tmpl w:val="49CCA89A"/>
    <w:lvl w:ilvl="0" w:tplc="6E84400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03554A7"/>
    <w:multiLevelType w:val="hybridMultilevel"/>
    <w:tmpl w:val="81587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9D1843"/>
    <w:multiLevelType w:val="hybridMultilevel"/>
    <w:tmpl w:val="0B24C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6566B2"/>
    <w:multiLevelType w:val="hybridMultilevel"/>
    <w:tmpl w:val="33CA21CE"/>
    <w:lvl w:ilvl="0" w:tplc="3EE68596">
      <w:numFmt w:val="bullet"/>
      <w:lvlText w:val=""/>
      <w:lvlJc w:val="left"/>
      <w:pPr>
        <w:ind w:left="644" w:hanging="360"/>
      </w:pPr>
      <w:rPr>
        <w:rFonts w:ascii="Symbol" w:eastAsiaTheme="minorHAnsi" w:hAnsi="Symbol" w:cstheme="minorBidi" w:hint="default"/>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9" w15:restartNumberingAfterBreak="0">
    <w:nsid w:val="28836944"/>
    <w:multiLevelType w:val="hybridMultilevel"/>
    <w:tmpl w:val="646E4F46"/>
    <w:lvl w:ilvl="0" w:tplc="3CFE538A">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205927"/>
    <w:multiLevelType w:val="hybridMultilevel"/>
    <w:tmpl w:val="B27007D8"/>
    <w:lvl w:ilvl="0" w:tplc="78A23C6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D3C1EA7"/>
    <w:multiLevelType w:val="multilevel"/>
    <w:tmpl w:val="43428892"/>
    <w:numStyleLink w:val="BulletsList"/>
  </w:abstractNum>
  <w:abstractNum w:abstractNumId="2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658F64D7"/>
    <w:multiLevelType w:val="hybridMultilevel"/>
    <w:tmpl w:val="DF2C4E4E"/>
    <w:lvl w:ilvl="0" w:tplc="F4424A8A">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5"/>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20"/>
  </w:num>
  <w:num w:numId="23">
    <w:abstractNumId w:val="20"/>
  </w:num>
  <w:num w:numId="24">
    <w:abstractNumId w:val="26"/>
  </w:num>
  <w:num w:numId="25">
    <w:abstractNumId w:val="26"/>
  </w:num>
  <w:num w:numId="26">
    <w:abstractNumId w:val="26"/>
  </w:num>
  <w:num w:numId="27">
    <w:abstractNumId w:val="25"/>
  </w:num>
  <w:num w:numId="28">
    <w:abstractNumId w:val="11"/>
  </w:num>
  <w:num w:numId="29">
    <w:abstractNumId w:val="11"/>
  </w:num>
  <w:num w:numId="30">
    <w:abstractNumId w:val="11"/>
  </w:num>
  <w:num w:numId="31">
    <w:abstractNumId w:val="21"/>
  </w:num>
  <w:num w:numId="32">
    <w:abstractNumId w:val="23"/>
  </w:num>
  <w:num w:numId="33">
    <w:abstractNumId w:val="30"/>
  </w:num>
  <w:num w:numId="34">
    <w:abstractNumId w:val="22"/>
  </w:num>
  <w:num w:numId="35">
    <w:abstractNumId w:val="14"/>
  </w:num>
  <w:num w:numId="36">
    <w:abstractNumId w:val="18"/>
  </w:num>
  <w:num w:numId="37">
    <w:abstractNumId w:val="15"/>
  </w:num>
  <w:num w:numId="38">
    <w:abstractNumId w:val="19"/>
  </w:num>
  <w:num w:numId="39">
    <w:abstractNumId w:val="24"/>
  </w:num>
  <w:num w:numId="40">
    <w:abstractNumId w:val="10"/>
  </w:num>
  <w:num w:numId="41">
    <w:abstractNumId w:val="17"/>
  </w:num>
  <w:num w:numId="42">
    <w:abstractNumId w:val="28"/>
  </w:num>
  <w:num w:numId="43">
    <w:abstractNumId w:val="16"/>
  </w:num>
  <w:num w:numId="44">
    <w:abstractNumId w:val="13"/>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4268"/>
    <w:rsid w:val="00005A6E"/>
    <w:rsid w:val="00012056"/>
    <w:rsid w:val="00013130"/>
    <w:rsid w:val="00015316"/>
    <w:rsid w:val="0002080A"/>
    <w:rsid w:val="0002782F"/>
    <w:rsid w:val="00027F29"/>
    <w:rsid w:val="0003001D"/>
    <w:rsid w:val="00030366"/>
    <w:rsid w:val="00031512"/>
    <w:rsid w:val="00033AB2"/>
    <w:rsid w:val="00033AB7"/>
    <w:rsid w:val="0003741B"/>
    <w:rsid w:val="00041CF2"/>
    <w:rsid w:val="0004571B"/>
    <w:rsid w:val="00047FFB"/>
    <w:rsid w:val="0005066C"/>
    <w:rsid w:val="00054B4D"/>
    <w:rsid w:val="00054E4D"/>
    <w:rsid w:val="0005506A"/>
    <w:rsid w:val="00055688"/>
    <w:rsid w:val="00060073"/>
    <w:rsid w:val="00060268"/>
    <w:rsid w:val="00063AEA"/>
    <w:rsid w:val="000669EC"/>
    <w:rsid w:val="00067208"/>
    <w:rsid w:val="000672A5"/>
    <w:rsid w:val="00077A49"/>
    <w:rsid w:val="000814A8"/>
    <w:rsid w:val="00084483"/>
    <w:rsid w:val="00084F8A"/>
    <w:rsid w:val="00091476"/>
    <w:rsid w:val="00091DDF"/>
    <w:rsid w:val="000941E7"/>
    <w:rsid w:val="000960C9"/>
    <w:rsid w:val="000A29B4"/>
    <w:rsid w:val="000A53A5"/>
    <w:rsid w:val="000B0E65"/>
    <w:rsid w:val="000B22D7"/>
    <w:rsid w:val="000B76B8"/>
    <w:rsid w:val="000C74B4"/>
    <w:rsid w:val="000D66D6"/>
    <w:rsid w:val="000E314A"/>
    <w:rsid w:val="001103E6"/>
    <w:rsid w:val="00113A32"/>
    <w:rsid w:val="00115DA7"/>
    <w:rsid w:val="00117FC0"/>
    <w:rsid w:val="001258B0"/>
    <w:rsid w:val="0012665B"/>
    <w:rsid w:val="00133D3B"/>
    <w:rsid w:val="00141E7C"/>
    <w:rsid w:val="0014648B"/>
    <w:rsid w:val="00146C45"/>
    <w:rsid w:val="001502D6"/>
    <w:rsid w:val="00152335"/>
    <w:rsid w:val="001541EA"/>
    <w:rsid w:val="00154ED6"/>
    <w:rsid w:val="00162218"/>
    <w:rsid w:val="00165834"/>
    <w:rsid w:val="001659C8"/>
    <w:rsid w:val="00166962"/>
    <w:rsid w:val="00167180"/>
    <w:rsid w:val="001704B2"/>
    <w:rsid w:val="00170671"/>
    <w:rsid w:val="00171083"/>
    <w:rsid w:val="00171615"/>
    <w:rsid w:val="001718F4"/>
    <w:rsid w:val="00171B90"/>
    <w:rsid w:val="00174B8C"/>
    <w:rsid w:val="0017749A"/>
    <w:rsid w:val="00184818"/>
    <w:rsid w:val="00185C47"/>
    <w:rsid w:val="00186B78"/>
    <w:rsid w:val="00186EA3"/>
    <w:rsid w:val="00193A7A"/>
    <w:rsid w:val="001959BA"/>
    <w:rsid w:val="001A6CB7"/>
    <w:rsid w:val="001B0C58"/>
    <w:rsid w:val="001B3C09"/>
    <w:rsid w:val="001B44F5"/>
    <w:rsid w:val="001B48BE"/>
    <w:rsid w:val="001B5019"/>
    <w:rsid w:val="001B50A3"/>
    <w:rsid w:val="001C0C3F"/>
    <w:rsid w:val="001C1361"/>
    <w:rsid w:val="001C7F1A"/>
    <w:rsid w:val="001D663E"/>
    <w:rsid w:val="001D7EE1"/>
    <w:rsid w:val="001E1DC0"/>
    <w:rsid w:val="001F64A6"/>
    <w:rsid w:val="0020363F"/>
    <w:rsid w:val="0022354B"/>
    <w:rsid w:val="002309D8"/>
    <w:rsid w:val="00234601"/>
    <w:rsid w:val="00236A53"/>
    <w:rsid w:val="00242514"/>
    <w:rsid w:val="00242A8F"/>
    <w:rsid w:val="00242DA2"/>
    <w:rsid w:val="00243C4F"/>
    <w:rsid w:val="00255563"/>
    <w:rsid w:val="00257BB4"/>
    <w:rsid w:val="002615CE"/>
    <w:rsid w:val="00263B78"/>
    <w:rsid w:val="00275DB7"/>
    <w:rsid w:val="0027602A"/>
    <w:rsid w:val="00284957"/>
    <w:rsid w:val="00285B61"/>
    <w:rsid w:val="0028602A"/>
    <w:rsid w:val="00290E16"/>
    <w:rsid w:val="00293023"/>
    <w:rsid w:val="002A1586"/>
    <w:rsid w:val="002A2D2C"/>
    <w:rsid w:val="002A51CA"/>
    <w:rsid w:val="002A6AC8"/>
    <w:rsid w:val="002A77E4"/>
    <w:rsid w:val="002B3E95"/>
    <w:rsid w:val="002B4F48"/>
    <w:rsid w:val="002B5E10"/>
    <w:rsid w:val="002C323E"/>
    <w:rsid w:val="002C50DE"/>
    <w:rsid w:val="002C7C4B"/>
    <w:rsid w:val="002D2B16"/>
    <w:rsid w:val="002D37BC"/>
    <w:rsid w:val="002E6D36"/>
    <w:rsid w:val="002F02D7"/>
    <w:rsid w:val="002F43F6"/>
    <w:rsid w:val="002F55F8"/>
    <w:rsid w:val="002F649A"/>
    <w:rsid w:val="003002C0"/>
    <w:rsid w:val="00301144"/>
    <w:rsid w:val="0030283D"/>
    <w:rsid w:val="00304F54"/>
    <w:rsid w:val="00304F6D"/>
    <w:rsid w:val="003063BB"/>
    <w:rsid w:val="00310DDA"/>
    <w:rsid w:val="0031272C"/>
    <w:rsid w:val="00312E36"/>
    <w:rsid w:val="003148B7"/>
    <w:rsid w:val="003158C3"/>
    <w:rsid w:val="0031737A"/>
    <w:rsid w:val="00320251"/>
    <w:rsid w:val="00320E7C"/>
    <w:rsid w:val="003213CA"/>
    <w:rsid w:val="00324651"/>
    <w:rsid w:val="003274CD"/>
    <w:rsid w:val="00332EC9"/>
    <w:rsid w:val="00333501"/>
    <w:rsid w:val="00334C97"/>
    <w:rsid w:val="003457C4"/>
    <w:rsid w:val="0035119D"/>
    <w:rsid w:val="00353BBF"/>
    <w:rsid w:val="00355959"/>
    <w:rsid w:val="00366597"/>
    <w:rsid w:val="0037238B"/>
    <w:rsid w:val="0037597B"/>
    <w:rsid w:val="003851B6"/>
    <w:rsid w:val="00385DFD"/>
    <w:rsid w:val="003953AA"/>
    <w:rsid w:val="003A23F3"/>
    <w:rsid w:val="003A30ED"/>
    <w:rsid w:val="003A44F8"/>
    <w:rsid w:val="003B4F12"/>
    <w:rsid w:val="003B5177"/>
    <w:rsid w:val="003B68BE"/>
    <w:rsid w:val="003D352D"/>
    <w:rsid w:val="003D4ABB"/>
    <w:rsid w:val="003D7181"/>
    <w:rsid w:val="003E2BE7"/>
    <w:rsid w:val="003E3B2D"/>
    <w:rsid w:val="003E53C7"/>
    <w:rsid w:val="003E709B"/>
    <w:rsid w:val="003E7422"/>
    <w:rsid w:val="00400B0F"/>
    <w:rsid w:val="00402800"/>
    <w:rsid w:val="00402ACC"/>
    <w:rsid w:val="00403E3B"/>
    <w:rsid w:val="004040C8"/>
    <w:rsid w:val="00406AD2"/>
    <w:rsid w:val="004071C5"/>
    <w:rsid w:val="004120EC"/>
    <w:rsid w:val="00413795"/>
    <w:rsid w:val="004140FD"/>
    <w:rsid w:val="00421300"/>
    <w:rsid w:val="004224CD"/>
    <w:rsid w:val="00423F31"/>
    <w:rsid w:val="00431563"/>
    <w:rsid w:val="00431899"/>
    <w:rsid w:val="00431E2C"/>
    <w:rsid w:val="0043564E"/>
    <w:rsid w:val="00445EB8"/>
    <w:rsid w:val="00460F1E"/>
    <w:rsid w:val="004624AC"/>
    <w:rsid w:val="00462BB1"/>
    <w:rsid w:val="00462D07"/>
    <w:rsid w:val="004706A0"/>
    <w:rsid w:val="0047174E"/>
    <w:rsid w:val="00473DB4"/>
    <w:rsid w:val="00474608"/>
    <w:rsid w:val="00475603"/>
    <w:rsid w:val="00475942"/>
    <w:rsid w:val="00481AFD"/>
    <w:rsid w:val="00486804"/>
    <w:rsid w:val="00491C17"/>
    <w:rsid w:val="004977A1"/>
    <w:rsid w:val="004B3775"/>
    <w:rsid w:val="004B45FB"/>
    <w:rsid w:val="004B50F2"/>
    <w:rsid w:val="004B51C8"/>
    <w:rsid w:val="004C069D"/>
    <w:rsid w:val="004C080B"/>
    <w:rsid w:val="004C0F44"/>
    <w:rsid w:val="004C2545"/>
    <w:rsid w:val="004C29DF"/>
    <w:rsid w:val="004C3EF9"/>
    <w:rsid w:val="004D0BA0"/>
    <w:rsid w:val="004D43F3"/>
    <w:rsid w:val="004E0264"/>
    <w:rsid w:val="004E058F"/>
    <w:rsid w:val="004E25DA"/>
    <w:rsid w:val="004E37C6"/>
    <w:rsid w:val="004E3B87"/>
    <w:rsid w:val="004E4C52"/>
    <w:rsid w:val="004E6382"/>
    <w:rsid w:val="004E666F"/>
    <w:rsid w:val="004F42B4"/>
    <w:rsid w:val="004F437F"/>
    <w:rsid w:val="004F6156"/>
    <w:rsid w:val="004F7208"/>
    <w:rsid w:val="00501E02"/>
    <w:rsid w:val="00506679"/>
    <w:rsid w:val="005068B5"/>
    <w:rsid w:val="00510921"/>
    <w:rsid w:val="00510AD3"/>
    <w:rsid w:val="00510FAB"/>
    <w:rsid w:val="00513348"/>
    <w:rsid w:val="00514F27"/>
    <w:rsid w:val="00516767"/>
    <w:rsid w:val="00521B56"/>
    <w:rsid w:val="00522173"/>
    <w:rsid w:val="005231F7"/>
    <w:rsid w:val="005233C5"/>
    <w:rsid w:val="00527DDE"/>
    <w:rsid w:val="00533B5D"/>
    <w:rsid w:val="00533FA9"/>
    <w:rsid w:val="00537F20"/>
    <w:rsid w:val="00545343"/>
    <w:rsid w:val="005511BF"/>
    <w:rsid w:val="00556AD0"/>
    <w:rsid w:val="005618D4"/>
    <w:rsid w:val="0056267E"/>
    <w:rsid w:val="00563726"/>
    <w:rsid w:val="00564E4C"/>
    <w:rsid w:val="005677BB"/>
    <w:rsid w:val="00573A0D"/>
    <w:rsid w:val="00584B5E"/>
    <w:rsid w:val="0058693A"/>
    <w:rsid w:val="00587C3F"/>
    <w:rsid w:val="0059146A"/>
    <w:rsid w:val="0059150F"/>
    <w:rsid w:val="00592623"/>
    <w:rsid w:val="005A3DF2"/>
    <w:rsid w:val="005A66C8"/>
    <w:rsid w:val="005B5769"/>
    <w:rsid w:val="005C20D2"/>
    <w:rsid w:val="005C33DB"/>
    <w:rsid w:val="005C61ED"/>
    <w:rsid w:val="005C631B"/>
    <w:rsid w:val="005C7510"/>
    <w:rsid w:val="005D2426"/>
    <w:rsid w:val="005D3655"/>
    <w:rsid w:val="005E07E0"/>
    <w:rsid w:val="005E0A54"/>
    <w:rsid w:val="005E0D97"/>
    <w:rsid w:val="005E227D"/>
    <w:rsid w:val="005E606B"/>
    <w:rsid w:val="005E62B1"/>
    <w:rsid w:val="00600479"/>
    <w:rsid w:val="0060359B"/>
    <w:rsid w:val="00604814"/>
    <w:rsid w:val="0060716F"/>
    <w:rsid w:val="00613C6C"/>
    <w:rsid w:val="00615669"/>
    <w:rsid w:val="006227F0"/>
    <w:rsid w:val="00623283"/>
    <w:rsid w:val="00623BA1"/>
    <w:rsid w:val="0062745F"/>
    <w:rsid w:val="006346BC"/>
    <w:rsid w:val="0063700C"/>
    <w:rsid w:val="00643C85"/>
    <w:rsid w:val="00646F02"/>
    <w:rsid w:val="00651989"/>
    <w:rsid w:val="00657AEE"/>
    <w:rsid w:val="006617A4"/>
    <w:rsid w:val="00662F73"/>
    <w:rsid w:val="006631F4"/>
    <w:rsid w:val="0066468F"/>
    <w:rsid w:val="0066652A"/>
    <w:rsid w:val="006766C2"/>
    <w:rsid w:val="00680522"/>
    <w:rsid w:val="00681F08"/>
    <w:rsid w:val="00682167"/>
    <w:rsid w:val="006926A1"/>
    <w:rsid w:val="00692BA0"/>
    <w:rsid w:val="006A1A3D"/>
    <w:rsid w:val="006A3598"/>
    <w:rsid w:val="006A5F02"/>
    <w:rsid w:val="006B5034"/>
    <w:rsid w:val="006C041D"/>
    <w:rsid w:val="006C0495"/>
    <w:rsid w:val="006C2A4E"/>
    <w:rsid w:val="006C42AF"/>
    <w:rsid w:val="006C4F09"/>
    <w:rsid w:val="006E7042"/>
    <w:rsid w:val="006F27B1"/>
    <w:rsid w:val="006F6A61"/>
    <w:rsid w:val="00704B59"/>
    <w:rsid w:val="007050AD"/>
    <w:rsid w:val="00705745"/>
    <w:rsid w:val="00711D8E"/>
    <w:rsid w:val="00712672"/>
    <w:rsid w:val="0071314C"/>
    <w:rsid w:val="0072170F"/>
    <w:rsid w:val="00723B8B"/>
    <w:rsid w:val="007310B2"/>
    <w:rsid w:val="00734E3F"/>
    <w:rsid w:val="00736985"/>
    <w:rsid w:val="0073786E"/>
    <w:rsid w:val="007401CA"/>
    <w:rsid w:val="00742CBF"/>
    <w:rsid w:val="00745DF5"/>
    <w:rsid w:val="0074600E"/>
    <w:rsid w:val="00750C80"/>
    <w:rsid w:val="00751C91"/>
    <w:rsid w:val="00760C59"/>
    <w:rsid w:val="0076250F"/>
    <w:rsid w:val="00771B53"/>
    <w:rsid w:val="00784031"/>
    <w:rsid w:val="00784149"/>
    <w:rsid w:val="007908CF"/>
    <w:rsid w:val="007B4865"/>
    <w:rsid w:val="007B6200"/>
    <w:rsid w:val="007C2540"/>
    <w:rsid w:val="007C7418"/>
    <w:rsid w:val="007D0299"/>
    <w:rsid w:val="007D0EAA"/>
    <w:rsid w:val="007D2560"/>
    <w:rsid w:val="007D2E25"/>
    <w:rsid w:val="007E2A04"/>
    <w:rsid w:val="007E3150"/>
    <w:rsid w:val="007F1F1E"/>
    <w:rsid w:val="007F3395"/>
    <w:rsid w:val="00801B9F"/>
    <w:rsid w:val="0080209A"/>
    <w:rsid w:val="008038B6"/>
    <w:rsid w:val="008057FD"/>
    <w:rsid w:val="008060AD"/>
    <w:rsid w:val="00810459"/>
    <w:rsid w:val="00816DBF"/>
    <w:rsid w:val="00817855"/>
    <w:rsid w:val="00822835"/>
    <w:rsid w:val="00823849"/>
    <w:rsid w:val="00824AB9"/>
    <w:rsid w:val="008269C9"/>
    <w:rsid w:val="00826E63"/>
    <w:rsid w:val="00832844"/>
    <w:rsid w:val="00834443"/>
    <w:rsid w:val="00834CC3"/>
    <w:rsid w:val="00835F46"/>
    <w:rsid w:val="008416FA"/>
    <w:rsid w:val="008475F0"/>
    <w:rsid w:val="00850591"/>
    <w:rsid w:val="008518C3"/>
    <w:rsid w:val="00855A3D"/>
    <w:rsid w:val="00864210"/>
    <w:rsid w:val="00866D4F"/>
    <w:rsid w:val="00871434"/>
    <w:rsid w:val="0087192E"/>
    <w:rsid w:val="00880004"/>
    <w:rsid w:val="008816CC"/>
    <w:rsid w:val="008821B3"/>
    <w:rsid w:val="008821C2"/>
    <w:rsid w:val="00882EE9"/>
    <w:rsid w:val="00884F21"/>
    <w:rsid w:val="00891631"/>
    <w:rsid w:val="00892FC2"/>
    <w:rsid w:val="008943E8"/>
    <w:rsid w:val="008A0B66"/>
    <w:rsid w:val="008A44B9"/>
    <w:rsid w:val="008A5AFE"/>
    <w:rsid w:val="008A6573"/>
    <w:rsid w:val="008B0587"/>
    <w:rsid w:val="008B2CE9"/>
    <w:rsid w:val="008B68D7"/>
    <w:rsid w:val="008B7D42"/>
    <w:rsid w:val="008C2F58"/>
    <w:rsid w:val="008C4628"/>
    <w:rsid w:val="008C5A0E"/>
    <w:rsid w:val="008C5D29"/>
    <w:rsid w:val="008F0C31"/>
    <w:rsid w:val="008F4509"/>
    <w:rsid w:val="008F56A8"/>
    <w:rsid w:val="008F76D5"/>
    <w:rsid w:val="00901B73"/>
    <w:rsid w:val="00906527"/>
    <w:rsid w:val="00907D94"/>
    <w:rsid w:val="00910B6B"/>
    <w:rsid w:val="0091707C"/>
    <w:rsid w:val="009378B2"/>
    <w:rsid w:val="00941BAA"/>
    <w:rsid w:val="00943B78"/>
    <w:rsid w:val="00946019"/>
    <w:rsid w:val="0094698A"/>
    <w:rsid w:val="0094764A"/>
    <w:rsid w:val="00952436"/>
    <w:rsid w:val="00952BC0"/>
    <w:rsid w:val="0095513E"/>
    <w:rsid w:val="009551F7"/>
    <w:rsid w:val="009608B6"/>
    <w:rsid w:val="00970924"/>
    <w:rsid w:val="00973040"/>
    <w:rsid w:val="00976BB4"/>
    <w:rsid w:val="00985839"/>
    <w:rsid w:val="009903F3"/>
    <w:rsid w:val="00992C76"/>
    <w:rsid w:val="009A0AE8"/>
    <w:rsid w:val="009A512D"/>
    <w:rsid w:val="009A53F0"/>
    <w:rsid w:val="009A5A28"/>
    <w:rsid w:val="009B09D5"/>
    <w:rsid w:val="009B4D3B"/>
    <w:rsid w:val="009B7785"/>
    <w:rsid w:val="009C40E8"/>
    <w:rsid w:val="009C793C"/>
    <w:rsid w:val="009D02E0"/>
    <w:rsid w:val="009D56D9"/>
    <w:rsid w:val="009D7407"/>
    <w:rsid w:val="009E0866"/>
    <w:rsid w:val="009E158F"/>
    <w:rsid w:val="009E3DDE"/>
    <w:rsid w:val="009E7BB8"/>
    <w:rsid w:val="009F5488"/>
    <w:rsid w:val="009F6423"/>
    <w:rsid w:val="009F7F3F"/>
    <w:rsid w:val="00A02531"/>
    <w:rsid w:val="00A03D7C"/>
    <w:rsid w:val="00A065E9"/>
    <w:rsid w:val="00A12608"/>
    <w:rsid w:val="00A1777D"/>
    <w:rsid w:val="00A20106"/>
    <w:rsid w:val="00A2258D"/>
    <w:rsid w:val="00A23CAB"/>
    <w:rsid w:val="00A24A62"/>
    <w:rsid w:val="00A26D9C"/>
    <w:rsid w:val="00A272BF"/>
    <w:rsid w:val="00A31C9F"/>
    <w:rsid w:val="00A354A6"/>
    <w:rsid w:val="00A3660B"/>
    <w:rsid w:val="00A3747B"/>
    <w:rsid w:val="00A37E82"/>
    <w:rsid w:val="00A4144F"/>
    <w:rsid w:val="00A50580"/>
    <w:rsid w:val="00A54034"/>
    <w:rsid w:val="00A55796"/>
    <w:rsid w:val="00A56F14"/>
    <w:rsid w:val="00A6163D"/>
    <w:rsid w:val="00A63FB4"/>
    <w:rsid w:val="00A650EA"/>
    <w:rsid w:val="00A70F7C"/>
    <w:rsid w:val="00A742C3"/>
    <w:rsid w:val="00A809B3"/>
    <w:rsid w:val="00A80F95"/>
    <w:rsid w:val="00A8197B"/>
    <w:rsid w:val="00A90F28"/>
    <w:rsid w:val="00A91A29"/>
    <w:rsid w:val="00A968A6"/>
    <w:rsid w:val="00AA0B49"/>
    <w:rsid w:val="00AA4AAC"/>
    <w:rsid w:val="00AA7BE3"/>
    <w:rsid w:val="00AB35E5"/>
    <w:rsid w:val="00AB3DD9"/>
    <w:rsid w:val="00AB45D6"/>
    <w:rsid w:val="00AB5E7F"/>
    <w:rsid w:val="00AB6352"/>
    <w:rsid w:val="00AB72EC"/>
    <w:rsid w:val="00AC027A"/>
    <w:rsid w:val="00AC164A"/>
    <w:rsid w:val="00AC302F"/>
    <w:rsid w:val="00AC67A0"/>
    <w:rsid w:val="00AD08DC"/>
    <w:rsid w:val="00AD2F53"/>
    <w:rsid w:val="00AE2678"/>
    <w:rsid w:val="00AF1B85"/>
    <w:rsid w:val="00AF2050"/>
    <w:rsid w:val="00AF3166"/>
    <w:rsid w:val="00AF4970"/>
    <w:rsid w:val="00B03CA8"/>
    <w:rsid w:val="00B04219"/>
    <w:rsid w:val="00B05109"/>
    <w:rsid w:val="00B10B76"/>
    <w:rsid w:val="00B10ED4"/>
    <w:rsid w:val="00B114C2"/>
    <w:rsid w:val="00B27F37"/>
    <w:rsid w:val="00B30F07"/>
    <w:rsid w:val="00B31F15"/>
    <w:rsid w:val="00B331DC"/>
    <w:rsid w:val="00B33F13"/>
    <w:rsid w:val="00B34BD9"/>
    <w:rsid w:val="00B373FB"/>
    <w:rsid w:val="00B37C19"/>
    <w:rsid w:val="00B400C1"/>
    <w:rsid w:val="00B438D3"/>
    <w:rsid w:val="00B55E19"/>
    <w:rsid w:val="00B61D37"/>
    <w:rsid w:val="00B623A2"/>
    <w:rsid w:val="00B6515C"/>
    <w:rsid w:val="00B735B1"/>
    <w:rsid w:val="00B819EF"/>
    <w:rsid w:val="00B85993"/>
    <w:rsid w:val="00B86089"/>
    <w:rsid w:val="00B8695D"/>
    <w:rsid w:val="00B930CB"/>
    <w:rsid w:val="00BA1D13"/>
    <w:rsid w:val="00BA4B6D"/>
    <w:rsid w:val="00BA6C40"/>
    <w:rsid w:val="00BB254C"/>
    <w:rsid w:val="00BB26C5"/>
    <w:rsid w:val="00BB2C17"/>
    <w:rsid w:val="00BC337C"/>
    <w:rsid w:val="00BD1EB7"/>
    <w:rsid w:val="00BE363F"/>
    <w:rsid w:val="00BE6C6D"/>
    <w:rsid w:val="00BE72BD"/>
    <w:rsid w:val="00BE737D"/>
    <w:rsid w:val="00BF1734"/>
    <w:rsid w:val="00BF4DE6"/>
    <w:rsid w:val="00C0037C"/>
    <w:rsid w:val="00C00D3F"/>
    <w:rsid w:val="00C05D5C"/>
    <w:rsid w:val="00C103EA"/>
    <w:rsid w:val="00C114F2"/>
    <w:rsid w:val="00C12483"/>
    <w:rsid w:val="00C1352A"/>
    <w:rsid w:val="00C256E1"/>
    <w:rsid w:val="00C262BA"/>
    <w:rsid w:val="00C27CC6"/>
    <w:rsid w:val="00C310D9"/>
    <w:rsid w:val="00C31BB8"/>
    <w:rsid w:val="00C33280"/>
    <w:rsid w:val="00C33A5F"/>
    <w:rsid w:val="00C37399"/>
    <w:rsid w:val="00C406F0"/>
    <w:rsid w:val="00C41F6A"/>
    <w:rsid w:val="00C42CDE"/>
    <w:rsid w:val="00C43893"/>
    <w:rsid w:val="00C46D33"/>
    <w:rsid w:val="00C500D7"/>
    <w:rsid w:val="00C5182A"/>
    <w:rsid w:val="00C553C6"/>
    <w:rsid w:val="00C5664B"/>
    <w:rsid w:val="00C56B1B"/>
    <w:rsid w:val="00C63165"/>
    <w:rsid w:val="00C63EE9"/>
    <w:rsid w:val="00C6626C"/>
    <w:rsid w:val="00C7297E"/>
    <w:rsid w:val="00C74AD6"/>
    <w:rsid w:val="00C83EF4"/>
    <w:rsid w:val="00C8425C"/>
    <w:rsid w:val="00C90AA1"/>
    <w:rsid w:val="00C9150B"/>
    <w:rsid w:val="00CA0961"/>
    <w:rsid w:val="00CA2DC3"/>
    <w:rsid w:val="00CA37B1"/>
    <w:rsid w:val="00CA38B7"/>
    <w:rsid w:val="00CA7DD8"/>
    <w:rsid w:val="00CB1585"/>
    <w:rsid w:val="00CB1959"/>
    <w:rsid w:val="00CC2624"/>
    <w:rsid w:val="00CD0E4B"/>
    <w:rsid w:val="00CD426C"/>
    <w:rsid w:val="00CD52A4"/>
    <w:rsid w:val="00CD673C"/>
    <w:rsid w:val="00CE0155"/>
    <w:rsid w:val="00CE0902"/>
    <w:rsid w:val="00CE0DB2"/>
    <w:rsid w:val="00CE58FD"/>
    <w:rsid w:val="00CE5DF0"/>
    <w:rsid w:val="00CF21E5"/>
    <w:rsid w:val="00CF4450"/>
    <w:rsid w:val="00CF62AE"/>
    <w:rsid w:val="00D00094"/>
    <w:rsid w:val="00D00802"/>
    <w:rsid w:val="00D01909"/>
    <w:rsid w:val="00D0296C"/>
    <w:rsid w:val="00D05246"/>
    <w:rsid w:val="00D10306"/>
    <w:rsid w:val="00D13213"/>
    <w:rsid w:val="00D146A2"/>
    <w:rsid w:val="00D15A00"/>
    <w:rsid w:val="00D3315E"/>
    <w:rsid w:val="00D33BF8"/>
    <w:rsid w:val="00D36BE6"/>
    <w:rsid w:val="00D40AEB"/>
    <w:rsid w:val="00D4362F"/>
    <w:rsid w:val="00D460DC"/>
    <w:rsid w:val="00D55C9D"/>
    <w:rsid w:val="00D64BD1"/>
    <w:rsid w:val="00D64FF0"/>
    <w:rsid w:val="00D72534"/>
    <w:rsid w:val="00D72760"/>
    <w:rsid w:val="00D73EFE"/>
    <w:rsid w:val="00D75196"/>
    <w:rsid w:val="00D76C12"/>
    <w:rsid w:val="00D7713F"/>
    <w:rsid w:val="00D801AC"/>
    <w:rsid w:val="00D819AE"/>
    <w:rsid w:val="00D81CA4"/>
    <w:rsid w:val="00D840E1"/>
    <w:rsid w:val="00D86954"/>
    <w:rsid w:val="00D87F69"/>
    <w:rsid w:val="00D918F4"/>
    <w:rsid w:val="00D91A0D"/>
    <w:rsid w:val="00D93309"/>
    <w:rsid w:val="00DA040F"/>
    <w:rsid w:val="00DB0910"/>
    <w:rsid w:val="00DB1F1C"/>
    <w:rsid w:val="00DB7B5F"/>
    <w:rsid w:val="00DC445E"/>
    <w:rsid w:val="00DC5017"/>
    <w:rsid w:val="00DC5E14"/>
    <w:rsid w:val="00DC6840"/>
    <w:rsid w:val="00DD1986"/>
    <w:rsid w:val="00DD50FC"/>
    <w:rsid w:val="00DD54C7"/>
    <w:rsid w:val="00DE084C"/>
    <w:rsid w:val="00DF1841"/>
    <w:rsid w:val="00DF61B3"/>
    <w:rsid w:val="00E05E65"/>
    <w:rsid w:val="00E0631D"/>
    <w:rsid w:val="00E0719C"/>
    <w:rsid w:val="00E07B2D"/>
    <w:rsid w:val="00E12D4A"/>
    <w:rsid w:val="00E13FAA"/>
    <w:rsid w:val="00E15D10"/>
    <w:rsid w:val="00E245D7"/>
    <w:rsid w:val="00E30FDF"/>
    <w:rsid w:val="00E321B5"/>
    <w:rsid w:val="00E32AC0"/>
    <w:rsid w:val="00E357B7"/>
    <w:rsid w:val="00E36F91"/>
    <w:rsid w:val="00E3712D"/>
    <w:rsid w:val="00E47B1C"/>
    <w:rsid w:val="00E47CE3"/>
    <w:rsid w:val="00E512A7"/>
    <w:rsid w:val="00E52885"/>
    <w:rsid w:val="00E53800"/>
    <w:rsid w:val="00E56AF3"/>
    <w:rsid w:val="00E6081F"/>
    <w:rsid w:val="00E63B91"/>
    <w:rsid w:val="00E645AF"/>
    <w:rsid w:val="00E66615"/>
    <w:rsid w:val="00E70BA4"/>
    <w:rsid w:val="00E70D77"/>
    <w:rsid w:val="00E72669"/>
    <w:rsid w:val="00E9335A"/>
    <w:rsid w:val="00E97955"/>
    <w:rsid w:val="00EA0255"/>
    <w:rsid w:val="00EA04B2"/>
    <w:rsid w:val="00EA20F3"/>
    <w:rsid w:val="00EA22F7"/>
    <w:rsid w:val="00EA5969"/>
    <w:rsid w:val="00EB2D0F"/>
    <w:rsid w:val="00ED075A"/>
    <w:rsid w:val="00ED0B29"/>
    <w:rsid w:val="00ED2831"/>
    <w:rsid w:val="00ED32BF"/>
    <w:rsid w:val="00ED43D1"/>
    <w:rsid w:val="00EE1F24"/>
    <w:rsid w:val="00EE4EE1"/>
    <w:rsid w:val="00EE5111"/>
    <w:rsid w:val="00EE743A"/>
    <w:rsid w:val="00EF0866"/>
    <w:rsid w:val="00EF3616"/>
    <w:rsid w:val="00EF4574"/>
    <w:rsid w:val="00EF6543"/>
    <w:rsid w:val="00EF6FCB"/>
    <w:rsid w:val="00F00A54"/>
    <w:rsid w:val="00F018E3"/>
    <w:rsid w:val="00F03CF2"/>
    <w:rsid w:val="00F05C67"/>
    <w:rsid w:val="00F11FE0"/>
    <w:rsid w:val="00F16F8F"/>
    <w:rsid w:val="00F26475"/>
    <w:rsid w:val="00F2684E"/>
    <w:rsid w:val="00F27FFE"/>
    <w:rsid w:val="00F36F32"/>
    <w:rsid w:val="00F45299"/>
    <w:rsid w:val="00F46D79"/>
    <w:rsid w:val="00F47637"/>
    <w:rsid w:val="00F5404C"/>
    <w:rsid w:val="00F615EC"/>
    <w:rsid w:val="00F624A2"/>
    <w:rsid w:val="00F65241"/>
    <w:rsid w:val="00F7099A"/>
    <w:rsid w:val="00F729EF"/>
    <w:rsid w:val="00F76B55"/>
    <w:rsid w:val="00F77CAE"/>
    <w:rsid w:val="00F77ECA"/>
    <w:rsid w:val="00F80F98"/>
    <w:rsid w:val="00F82271"/>
    <w:rsid w:val="00F83428"/>
    <w:rsid w:val="00F9288A"/>
    <w:rsid w:val="00F93806"/>
    <w:rsid w:val="00F94EA3"/>
    <w:rsid w:val="00F96BB9"/>
    <w:rsid w:val="00FA0F6A"/>
    <w:rsid w:val="00FA4679"/>
    <w:rsid w:val="00FA469E"/>
    <w:rsid w:val="00FA4BEF"/>
    <w:rsid w:val="00FB69BF"/>
    <w:rsid w:val="00FC104E"/>
    <w:rsid w:val="00FD4587"/>
    <w:rsid w:val="00FD6F5E"/>
    <w:rsid w:val="00FE6D51"/>
    <w:rsid w:val="00FE7460"/>
    <w:rsid w:val="00FF09F3"/>
    <w:rsid w:val="00FF3D66"/>
    <w:rsid w:val="00FF68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01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
    <w:basedOn w:val="DefaultParagraphFont"/>
    <w:link w:val="ListParagraph"/>
    <w:uiPriority w:val="34"/>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table" w:customStyle="1" w:styleId="TableGrid1">
    <w:name w:val="Table Grid1"/>
    <w:basedOn w:val="TableNormal"/>
    <w:next w:val="TableGrid"/>
    <w:uiPriority w:val="39"/>
    <w:rsid w:val="00721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EE1"/>
    <w:rPr>
      <w:sz w:val="16"/>
      <w:szCs w:val="16"/>
    </w:rPr>
  </w:style>
  <w:style w:type="paragraph" w:styleId="CommentText">
    <w:name w:val="annotation text"/>
    <w:basedOn w:val="Normal"/>
    <w:link w:val="CommentTextChar"/>
    <w:uiPriority w:val="99"/>
    <w:unhideWhenUsed/>
    <w:rsid w:val="001D7EE1"/>
    <w:pPr>
      <w:spacing w:line="240" w:lineRule="auto"/>
    </w:pPr>
    <w:rPr>
      <w:sz w:val="20"/>
      <w:szCs w:val="20"/>
    </w:rPr>
  </w:style>
  <w:style w:type="character" w:customStyle="1" w:styleId="CommentTextChar">
    <w:name w:val="Comment Text Char"/>
    <w:basedOn w:val="DefaultParagraphFont"/>
    <w:link w:val="CommentText"/>
    <w:uiPriority w:val="99"/>
    <w:rsid w:val="001D7EE1"/>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1D7EE1"/>
    <w:rPr>
      <w:b/>
      <w:bCs/>
    </w:rPr>
  </w:style>
  <w:style w:type="character" w:customStyle="1" w:styleId="CommentSubjectChar">
    <w:name w:val="Comment Subject Char"/>
    <w:basedOn w:val="CommentTextChar"/>
    <w:link w:val="CommentSubject"/>
    <w:uiPriority w:val="99"/>
    <w:semiHidden/>
    <w:rsid w:val="001D7EE1"/>
    <w:rPr>
      <w:b/>
      <w:bCs/>
      <w:color w:val="495965" w:themeColor="text2"/>
      <w:sz w:val="20"/>
      <w:szCs w:val="20"/>
      <w:lang w:val="en-GB"/>
    </w:rPr>
  </w:style>
  <w:style w:type="paragraph" w:styleId="PlainText">
    <w:name w:val="Plain Text"/>
    <w:basedOn w:val="Normal"/>
    <w:link w:val="PlainTextChar"/>
    <w:uiPriority w:val="99"/>
    <w:semiHidden/>
    <w:unhideWhenUsed/>
    <w:rsid w:val="003851B6"/>
    <w:pPr>
      <w:suppressAutoHyphens w:val="0"/>
      <w:spacing w:before="0" w:after="0" w:line="240" w:lineRule="auto"/>
    </w:pPr>
    <w:rPr>
      <w:rFonts w:ascii="Calibri" w:hAnsi="Calibri" w:cs="Calibri"/>
      <w:color w:val="auto"/>
      <w:lang w:val="en-AU"/>
    </w:rPr>
  </w:style>
  <w:style w:type="character" w:customStyle="1" w:styleId="PlainTextChar">
    <w:name w:val="Plain Text Char"/>
    <w:basedOn w:val="DefaultParagraphFont"/>
    <w:link w:val="PlainText"/>
    <w:uiPriority w:val="99"/>
    <w:semiHidden/>
    <w:rsid w:val="003851B6"/>
    <w:rPr>
      <w:rFonts w:ascii="Calibri" w:hAnsi="Calibri" w:cs="Calibri"/>
    </w:rPr>
  </w:style>
  <w:style w:type="paragraph" w:customStyle="1" w:styleId="Default">
    <w:name w:val="Default"/>
    <w:rsid w:val="009A53F0"/>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594">
      <w:bodyDiv w:val="1"/>
      <w:marLeft w:val="0"/>
      <w:marRight w:val="0"/>
      <w:marTop w:val="0"/>
      <w:marBottom w:val="0"/>
      <w:divBdr>
        <w:top w:val="none" w:sz="0" w:space="0" w:color="auto"/>
        <w:left w:val="none" w:sz="0" w:space="0" w:color="auto"/>
        <w:bottom w:val="none" w:sz="0" w:space="0" w:color="auto"/>
        <w:right w:val="none" w:sz="0" w:space="0" w:color="auto"/>
      </w:divBdr>
    </w:div>
    <w:div w:id="41902132">
      <w:bodyDiv w:val="1"/>
      <w:marLeft w:val="0"/>
      <w:marRight w:val="0"/>
      <w:marTop w:val="0"/>
      <w:marBottom w:val="0"/>
      <w:divBdr>
        <w:top w:val="none" w:sz="0" w:space="0" w:color="auto"/>
        <w:left w:val="none" w:sz="0" w:space="0" w:color="auto"/>
        <w:bottom w:val="none" w:sz="0" w:space="0" w:color="auto"/>
        <w:right w:val="none" w:sz="0" w:space="0" w:color="auto"/>
      </w:divBdr>
    </w:div>
    <w:div w:id="47345800">
      <w:bodyDiv w:val="1"/>
      <w:marLeft w:val="0"/>
      <w:marRight w:val="0"/>
      <w:marTop w:val="0"/>
      <w:marBottom w:val="0"/>
      <w:divBdr>
        <w:top w:val="none" w:sz="0" w:space="0" w:color="auto"/>
        <w:left w:val="none" w:sz="0" w:space="0" w:color="auto"/>
        <w:bottom w:val="none" w:sz="0" w:space="0" w:color="auto"/>
        <w:right w:val="none" w:sz="0" w:space="0" w:color="auto"/>
      </w:divBdr>
    </w:div>
    <w:div w:id="158279712">
      <w:bodyDiv w:val="1"/>
      <w:marLeft w:val="0"/>
      <w:marRight w:val="0"/>
      <w:marTop w:val="0"/>
      <w:marBottom w:val="0"/>
      <w:divBdr>
        <w:top w:val="none" w:sz="0" w:space="0" w:color="auto"/>
        <w:left w:val="none" w:sz="0" w:space="0" w:color="auto"/>
        <w:bottom w:val="none" w:sz="0" w:space="0" w:color="auto"/>
        <w:right w:val="none" w:sz="0" w:space="0" w:color="auto"/>
      </w:divBdr>
    </w:div>
    <w:div w:id="256719629">
      <w:bodyDiv w:val="1"/>
      <w:marLeft w:val="0"/>
      <w:marRight w:val="0"/>
      <w:marTop w:val="0"/>
      <w:marBottom w:val="0"/>
      <w:divBdr>
        <w:top w:val="none" w:sz="0" w:space="0" w:color="auto"/>
        <w:left w:val="none" w:sz="0" w:space="0" w:color="auto"/>
        <w:bottom w:val="none" w:sz="0" w:space="0" w:color="auto"/>
        <w:right w:val="none" w:sz="0" w:space="0" w:color="auto"/>
      </w:divBdr>
    </w:div>
    <w:div w:id="267661171">
      <w:bodyDiv w:val="1"/>
      <w:marLeft w:val="0"/>
      <w:marRight w:val="0"/>
      <w:marTop w:val="0"/>
      <w:marBottom w:val="0"/>
      <w:divBdr>
        <w:top w:val="none" w:sz="0" w:space="0" w:color="auto"/>
        <w:left w:val="none" w:sz="0" w:space="0" w:color="auto"/>
        <w:bottom w:val="none" w:sz="0" w:space="0" w:color="auto"/>
        <w:right w:val="none" w:sz="0" w:space="0" w:color="auto"/>
      </w:divBdr>
    </w:div>
    <w:div w:id="323971088">
      <w:bodyDiv w:val="1"/>
      <w:marLeft w:val="0"/>
      <w:marRight w:val="0"/>
      <w:marTop w:val="0"/>
      <w:marBottom w:val="0"/>
      <w:divBdr>
        <w:top w:val="none" w:sz="0" w:space="0" w:color="auto"/>
        <w:left w:val="none" w:sz="0" w:space="0" w:color="auto"/>
        <w:bottom w:val="none" w:sz="0" w:space="0" w:color="auto"/>
        <w:right w:val="none" w:sz="0" w:space="0" w:color="auto"/>
      </w:divBdr>
    </w:div>
    <w:div w:id="334109389">
      <w:bodyDiv w:val="1"/>
      <w:marLeft w:val="0"/>
      <w:marRight w:val="0"/>
      <w:marTop w:val="0"/>
      <w:marBottom w:val="0"/>
      <w:divBdr>
        <w:top w:val="none" w:sz="0" w:space="0" w:color="auto"/>
        <w:left w:val="none" w:sz="0" w:space="0" w:color="auto"/>
        <w:bottom w:val="none" w:sz="0" w:space="0" w:color="auto"/>
        <w:right w:val="none" w:sz="0" w:space="0" w:color="auto"/>
      </w:divBdr>
    </w:div>
    <w:div w:id="362751276">
      <w:bodyDiv w:val="1"/>
      <w:marLeft w:val="0"/>
      <w:marRight w:val="0"/>
      <w:marTop w:val="0"/>
      <w:marBottom w:val="0"/>
      <w:divBdr>
        <w:top w:val="none" w:sz="0" w:space="0" w:color="auto"/>
        <w:left w:val="none" w:sz="0" w:space="0" w:color="auto"/>
        <w:bottom w:val="none" w:sz="0" w:space="0" w:color="auto"/>
        <w:right w:val="none" w:sz="0" w:space="0" w:color="auto"/>
      </w:divBdr>
    </w:div>
    <w:div w:id="410081555">
      <w:bodyDiv w:val="1"/>
      <w:marLeft w:val="0"/>
      <w:marRight w:val="0"/>
      <w:marTop w:val="0"/>
      <w:marBottom w:val="0"/>
      <w:divBdr>
        <w:top w:val="none" w:sz="0" w:space="0" w:color="auto"/>
        <w:left w:val="none" w:sz="0" w:space="0" w:color="auto"/>
        <w:bottom w:val="none" w:sz="0" w:space="0" w:color="auto"/>
        <w:right w:val="none" w:sz="0" w:space="0" w:color="auto"/>
      </w:divBdr>
    </w:div>
    <w:div w:id="629439606">
      <w:bodyDiv w:val="1"/>
      <w:marLeft w:val="0"/>
      <w:marRight w:val="0"/>
      <w:marTop w:val="0"/>
      <w:marBottom w:val="0"/>
      <w:divBdr>
        <w:top w:val="none" w:sz="0" w:space="0" w:color="auto"/>
        <w:left w:val="none" w:sz="0" w:space="0" w:color="auto"/>
        <w:bottom w:val="none" w:sz="0" w:space="0" w:color="auto"/>
        <w:right w:val="none" w:sz="0" w:space="0" w:color="auto"/>
      </w:divBdr>
    </w:div>
    <w:div w:id="666906661">
      <w:bodyDiv w:val="1"/>
      <w:marLeft w:val="0"/>
      <w:marRight w:val="0"/>
      <w:marTop w:val="0"/>
      <w:marBottom w:val="0"/>
      <w:divBdr>
        <w:top w:val="none" w:sz="0" w:space="0" w:color="auto"/>
        <w:left w:val="none" w:sz="0" w:space="0" w:color="auto"/>
        <w:bottom w:val="none" w:sz="0" w:space="0" w:color="auto"/>
        <w:right w:val="none" w:sz="0" w:space="0" w:color="auto"/>
      </w:divBdr>
    </w:div>
    <w:div w:id="670333817">
      <w:bodyDiv w:val="1"/>
      <w:marLeft w:val="0"/>
      <w:marRight w:val="0"/>
      <w:marTop w:val="0"/>
      <w:marBottom w:val="0"/>
      <w:divBdr>
        <w:top w:val="none" w:sz="0" w:space="0" w:color="auto"/>
        <w:left w:val="none" w:sz="0" w:space="0" w:color="auto"/>
        <w:bottom w:val="none" w:sz="0" w:space="0" w:color="auto"/>
        <w:right w:val="none" w:sz="0" w:space="0" w:color="auto"/>
      </w:divBdr>
    </w:div>
    <w:div w:id="714810520">
      <w:bodyDiv w:val="1"/>
      <w:marLeft w:val="0"/>
      <w:marRight w:val="0"/>
      <w:marTop w:val="0"/>
      <w:marBottom w:val="0"/>
      <w:divBdr>
        <w:top w:val="none" w:sz="0" w:space="0" w:color="auto"/>
        <w:left w:val="none" w:sz="0" w:space="0" w:color="auto"/>
        <w:bottom w:val="none" w:sz="0" w:space="0" w:color="auto"/>
        <w:right w:val="none" w:sz="0" w:space="0" w:color="auto"/>
      </w:divBdr>
    </w:div>
    <w:div w:id="737094941">
      <w:bodyDiv w:val="1"/>
      <w:marLeft w:val="0"/>
      <w:marRight w:val="0"/>
      <w:marTop w:val="0"/>
      <w:marBottom w:val="0"/>
      <w:divBdr>
        <w:top w:val="none" w:sz="0" w:space="0" w:color="auto"/>
        <w:left w:val="none" w:sz="0" w:space="0" w:color="auto"/>
        <w:bottom w:val="none" w:sz="0" w:space="0" w:color="auto"/>
        <w:right w:val="none" w:sz="0" w:space="0" w:color="auto"/>
      </w:divBdr>
    </w:div>
    <w:div w:id="867135431">
      <w:bodyDiv w:val="1"/>
      <w:marLeft w:val="0"/>
      <w:marRight w:val="0"/>
      <w:marTop w:val="0"/>
      <w:marBottom w:val="0"/>
      <w:divBdr>
        <w:top w:val="none" w:sz="0" w:space="0" w:color="auto"/>
        <w:left w:val="none" w:sz="0" w:space="0" w:color="auto"/>
        <w:bottom w:val="none" w:sz="0" w:space="0" w:color="auto"/>
        <w:right w:val="none" w:sz="0" w:space="0" w:color="auto"/>
      </w:divBdr>
    </w:div>
    <w:div w:id="916137529">
      <w:bodyDiv w:val="1"/>
      <w:marLeft w:val="0"/>
      <w:marRight w:val="0"/>
      <w:marTop w:val="0"/>
      <w:marBottom w:val="0"/>
      <w:divBdr>
        <w:top w:val="none" w:sz="0" w:space="0" w:color="auto"/>
        <w:left w:val="none" w:sz="0" w:space="0" w:color="auto"/>
        <w:bottom w:val="none" w:sz="0" w:space="0" w:color="auto"/>
        <w:right w:val="none" w:sz="0" w:space="0" w:color="auto"/>
      </w:divBdr>
    </w:div>
    <w:div w:id="941884993">
      <w:bodyDiv w:val="1"/>
      <w:marLeft w:val="0"/>
      <w:marRight w:val="0"/>
      <w:marTop w:val="0"/>
      <w:marBottom w:val="0"/>
      <w:divBdr>
        <w:top w:val="none" w:sz="0" w:space="0" w:color="auto"/>
        <w:left w:val="none" w:sz="0" w:space="0" w:color="auto"/>
        <w:bottom w:val="none" w:sz="0" w:space="0" w:color="auto"/>
        <w:right w:val="none" w:sz="0" w:space="0" w:color="auto"/>
      </w:divBdr>
    </w:div>
    <w:div w:id="977956274">
      <w:bodyDiv w:val="1"/>
      <w:marLeft w:val="0"/>
      <w:marRight w:val="0"/>
      <w:marTop w:val="0"/>
      <w:marBottom w:val="0"/>
      <w:divBdr>
        <w:top w:val="none" w:sz="0" w:space="0" w:color="auto"/>
        <w:left w:val="none" w:sz="0" w:space="0" w:color="auto"/>
        <w:bottom w:val="none" w:sz="0" w:space="0" w:color="auto"/>
        <w:right w:val="none" w:sz="0" w:space="0" w:color="auto"/>
      </w:divBdr>
    </w:div>
    <w:div w:id="1091244790">
      <w:bodyDiv w:val="1"/>
      <w:marLeft w:val="0"/>
      <w:marRight w:val="0"/>
      <w:marTop w:val="0"/>
      <w:marBottom w:val="0"/>
      <w:divBdr>
        <w:top w:val="none" w:sz="0" w:space="0" w:color="auto"/>
        <w:left w:val="none" w:sz="0" w:space="0" w:color="auto"/>
        <w:bottom w:val="none" w:sz="0" w:space="0" w:color="auto"/>
        <w:right w:val="none" w:sz="0" w:space="0" w:color="auto"/>
      </w:divBdr>
    </w:div>
    <w:div w:id="1091969395">
      <w:bodyDiv w:val="1"/>
      <w:marLeft w:val="0"/>
      <w:marRight w:val="0"/>
      <w:marTop w:val="0"/>
      <w:marBottom w:val="0"/>
      <w:divBdr>
        <w:top w:val="none" w:sz="0" w:space="0" w:color="auto"/>
        <w:left w:val="none" w:sz="0" w:space="0" w:color="auto"/>
        <w:bottom w:val="none" w:sz="0" w:space="0" w:color="auto"/>
        <w:right w:val="none" w:sz="0" w:space="0" w:color="auto"/>
      </w:divBdr>
    </w:div>
    <w:div w:id="1222522306">
      <w:bodyDiv w:val="1"/>
      <w:marLeft w:val="0"/>
      <w:marRight w:val="0"/>
      <w:marTop w:val="0"/>
      <w:marBottom w:val="0"/>
      <w:divBdr>
        <w:top w:val="none" w:sz="0" w:space="0" w:color="auto"/>
        <w:left w:val="none" w:sz="0" w:space="0" w:color="auto"/>
        <w:bottom w:val="none" w:sz="0" w:space="0" w:color="auto"/>
        <w:right w:val="none" w:sz="0" w:space="0" w:color="auto"/>
      </w:divBdr>
    </w:div>
    <w:div w:id="1261528128">
      <w:bodyDiv w:val="1"/>
      <w:marLeft w:val="0"/>
      <w:marRight w:val="0"/>
      <w:marTop w:val="0"/>
      <w:marBottom w:val="0"/>
      <w:divBdr>
        <w:top w:val="none" w:sz="0" w:space="0" w:color="auto"/>
        <w:left w:val="none" w:sz="0" w:space="0" w:color="auto"/>
        <w:bottom w:val="none" w:sz="0" w:space="0" w:color="auto"/>
        <w:right w:val="none" w:sz="0" w:space="0" w:color="auto"/>
      </w:divBdr>
    </w:div>
    <w:div w:id="1368139924">
      <w:bodyDiv w:val="1"/>
      <w:marLeft w:val="0"/>
      <w:marRight w:val="0"/>
      <w:marTop w:val="0"/>
      <w:marBottom w:val="0"/>
      <w:divBdr>
        <w:top w:val="none" w:sz="0" w:space="0" w:color="auto"/>
        <w:left w:val="none" w:sz="0" w:space="0" w:color="auto"/>
        <w:bottom w:val="none" w:sz="0" w:space="0" w:color="auto"/>
        <w:right w:val="none" w:sz="0" w:space="0" w:color="auto"/>
      </w:divBdr>
    </w:div>
    <w:div w:id="1379474819">
      <w:bodyDiv w:val="1"/>
      <w:marLeft w:val="0"/>
      <w:marRight w:val="0"/>
      <w:marTop w:val="0"/>
      <w:marBottom w:val="0"/>
      <w:divBdr>
        <w:top w:val="none" w:sz="0" w:space="0" w:color="auto"/>
        <w:left w:val="none" w:sz="0" w:space="0" w:color="auto"/>
        <w:bottom w:val="none" w:sz="0" w:space="0" w:color="auto"/>
        <w:right w:val="none" w:sz="0" w:space="0" w:color="auto"/>
      </w:divBdr>
    </w:div>
    <w:div w:id="1407655369">
      <w:bodyDiv w:val="1"/>
      <w:marLeft w:val="0"/>
      <w:marRight w:val="0"/>
      <w:marTop w:val="0"/>
      <w:marBottom w:val="0"/>
      <w:divBdr>
        <w:top w:val="none" w:sz="0" w:space="0" w:color="auto"/>
        <w:left w:val="none" w:sz="0" w:space="0" w:color="auto"/>
        <w:bottom w:val="none" w:sz="0" w:space="0" w:color="auto"/>
        <w:right w:val="none" w:sz="0" w:space="0" w:color="auto"/>
      </w:divBdr>
    </w:div>
    <w:div w:id="1428958810">
      <w:bodyDiv w:val="1"/>
      <w:marLeft w:val="0"/>
      <w:marRight w:val="0"/>
      <w:marTop w:val="0"/>
      <w:marBottom w:val="0"/>
      <w:divBdr>
        <w:top w:val="none" w:sz="0" w:space="0" w:color="auto"/>
        <w:left w:val="none" w:sz="0" w:space="0" w:color="auto"/>
        <w:bottom w:val="none" w:sz="0" w:space="0" w:color="auto"/>
        <w:right w:val="none" w:sz="0" w:space="0" w:color="auto"/>
      </w:divBdr>
    </w:div>
    <w:div w:id="1482426927">
      <w:bodyDiv w:val="1"/>
      <w:marLeft w:val="0"/>
      <w:marRight w:val="0"/>
      <w:marTop w:val="0"/>
      <w:marBottom w:val="0"/>
      <w:divBdr>
        <w:top w:val="none" w:sz="0" w:space="0" w:color="auto"/>
        <w:left w:val="none" w:sz="0" w:space="0" w:color="auto"/>
        <w:bottom w:val="none" w:sz="0" w:space="0" w:color="auto"/>
        <w:right w:val="none" w:sz="0" w:space="0" w:color="auto"/>
      </w:divBdr>
    </w:div>
    <w:div w:id="1526284375">
      <w:bodyDiv w:val="1"/>
      <w:marLeft w:val="0"/>
      <w:marRight w:val="0"/>
      <w:marTop w:val="0"/>
      <w:marBottom w:val="0"/>
      <w:divBdr>
        <w:top w:val="none" w:sz="0" w:space="0" w:color="auto"/>
        <w:left w:val="none" w:sz="0" w:space="0" w:color="auto"/>
        <w:bottom w:val="none" w:sz="0" w:space="0" w:color="auto"/>
        <w:right w:val="none" w:sz="0" w:space="0" w:color="auto"/>
      </w:divBdr>
    </w:div>
    <w:div w:id="1608923685">
      <w:bodyDiv w:val="1"/>
      <w:marLeft w:val="0"/>
      <w:marRight w:val="0"/>
      <w:marTop w:val="0"/>
      <w:marBottom w:val="0"/>
      <w:divBdr>
        <w:top w:val="none" w:sz="0" w:space="0" w:color="auto"/>
        <w:left w:val="none" w:sz="0" w:space="0" w:color="auto"/>
        <w:bottom w:val="none" w:sz="0" w:space="0" w:color="auto"/>
        <w:right w:val="none" w:sz="0" w:space="0" w:color="auto"/>
      </w:divBdr>
    </w:div>
    <w:div w:id="1706979429">
      <w:bodyDiv w:val="1"/>
      <w:marLeft w:val="0"/>
      <w:marRight w:val="0"/>
      <w:marTop w:val="0"/>
      <w:marBottom w:val="0"/>
      <w:divBdr>
        <w:top w:val="none" w:sz="0" w:space="0" w:color="auto"/>
        <w:left w:val="none" w:sz="0" w:space="0" w:color="auto"/>
        <w:bottom w:val="none" w:sz="0" w:space="0" w:color="auto"/>
        <w:right w:val="none" w:sz="0" w:space="0" w:color="auto"/>
      </w:divBdr>
    </w:div>
    <w:div w:id="1839613093">
      <w:bodyDiv w:val="1"/>
      <w:marLeft w:val="0"/>
      <w:marRight w:val="0"/>
      <w:marTop w:val="0"/>
      <w:marBottom w:val="0"/>
      <w:divBdr>
        <w:top w:val="none" w:sz="0" w:space="0" w:color="auto"/>
        <w:left w:val="none" w:sz="0" w:space="0" w:color="auto"/>
        <w:bottom w:val="none" w:sz="0" w:space="0" w:color="auto"/>
        <w:right w:val="none" w:sz="0" w:space="0" w:color="auto"/>
      </w:divBdr>
    </w:div>
    <w:div w:id="1932816630">
      <w:bodyDiv w:val="1"/>
      <w:marLeft w:val="0"/>
      <w:marRight w:val="0"/>
      <w:marTop w:val="0"/>
      <w:marBottom w:val="0"/>
      <w:divBdr>
        <w:top w:val="none" w:sz="0" w:space="0" w:color="auto"/>
        <w:left w:val="none" w:sz="0" w:space="0" w:color="auto"/>
        <w:bottom w:val="none" w:sz="0" w:space="0" w:color="auto"/>
        <w:right w:val="none" w:sz="0" w:space="0" w:color="auto"/>
      </w:divBdr>
    </w:div>
    <w:div w:id="1934971183">
      <w:bodyDiv w:val="1"/>
      <w:marLeft w:val="0"/>
      <w:marRight w:val="0"/>
      <w:marTop w:val="0"/>
      <w:marBottom w:val="0"/>
      <w:divBdr>
        <w:top w:val="none" w:sz="0" w:space="0" w:color="auto"/>
        <w:left w:val="none" w:sz="0" w:space="0" w:color="auto"/>
        <w:bottom w:val="none" w:sz="0" w:space="0" w:color="auto"/>
        <w:right w:val="none" w:sz="0" w:space="0" w:color="auto"/>
      </w:divBdr>
    </w:div>
    <w:div w:id="2007006633">
      <w:bodyDiv w:val="1"/>
      <w:marLeft w:val="0"/>
      <w:marRight w:val="0"/>
      <w:marTop w:val="0"/>
      <w:marBottom w:val="0"/>
      <w:divBdr>
        <w:top w:val="none" w:sz="0" w:space="0" w:color="auto"/>
        <w:left w:val="none" w:sz="0" w:space="0" w:color="auto"/>
        <w:bottom w:val="none" w:sz="0" w:space="0" w:color="auto"/>
        <w:right w:val="none" w:sz="0" w:space="0" w:color="auto"/>
      </w:divBdr>
    </w:div>
    <w:div w:id="2075931740">
      <w:bodyDiv w:val="1"/>
      <w:marLeft w:val="0"/>
      <w:marRight w:val="0"/>
      <w:marTop w:val="0"/>
      <w:marBottom w:val="0"/>
      <w:divBdr>
        <w:top w:val="none" w:sz="0" w:space="0" w:color="auto"/>
        <w:left w:val="none" w:sz="0" w:space="0" w:color="auto"/>
        <w:bottom w:val="none" w:sz="0" w:space="0" w:color="auto"/>
        <w:right w:val="none" w:sz="0" w:space="0" w:color="auto"/>
      </w:divBdr>
    </w:div>
    <w:div w:id="2100323849">
      <w:bodyDiv w:val="1"/>
      <w:marLeft w:val="0"/>
      <w:marRight w:val="0"/>
      <w:marTop w:val="0"/>
      <w:marBottom w:val="0"/>
      <w:divBdr>
        <w:top w:val="none" w:sz="0" w:space="0" w:color="auto"/>
        <w:left w:val="none" w:sz="0" w:space="0" w:color="auto"/>
        <w:bottom w:val="none" w:sz="0" w:space="0" w:color="auto"/>
        <w:right w:val="none" w:sz="0" w:space="0" w:color="auto"/>
      </w:divBdr>
    </w:div>
    <w:div w:id="2108698362">
      <w:bodyDiv w:val="1"/>
      <w:marLeft w:val="0"/>
      <w:marRight w:val="0"/>
      <w:marTop w:val="0"/>
      <w:marBottom w:val="0"/>
      <w:divBdr>
        <w:top w:val="none" w:sz="0" w:space="0" w:color="auto"/>
        <w:left w:val="none" w:sz="0" w:space="0" w:color="auto"/>
        <w:bottom w:val="none" w:sz="0" w:space="0" w:color="auto"/>
        <w:right w:val="none" w:sz="0" w:space="0" w:color="auto"/>
      </w:divBdr>
    </w:div>
    <w:div w:id="21203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JPG"/><Relationship Id="rId26" Type="http://schemas.openxmlformats.org/officeDocument/2006/relationships/image" Target="media/image14.jpeg"/><Relationship Id="rId39" Type="http://schemas.openxmlformats.org/officeDocument/2006/relationships/image" Target="media/image23.png"/><Relationship Id="rId21" Type="http://schemas.openxmlformats.org/officeDocument/2006/relationships/image" Target="media/image9.png"/><Relationship Id="rId34" Type="http://schemas.openxmlformats.org/officeDocument/2006/relationships/header" Target="header6.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fat.gov.au/about-us/publications/Pages/aid-investment-plan-aip-pacific-regional-2015-16-to-2018-19.aspx" TargetMode="Externa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header" Target="header4.xml"/><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0.pn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4.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wmf"/><Relationship Id="rId25" Type="http://schemas.openxmlformats.org/officeDocument/2006/relationships/image" Target="media/image13.png"/><Relationship Id="rId33" Type="http://schemas.openxmlformats.org/officeDocument/2006/relationships/header" Target="header5.xml"/><Relationship Id="rId38" Type="http://schemas.openxmlformats.org/officeDocument/2006/relationships/image" Target="media/image22.jpeg"/><Relationship Id="rId46" Type="http://schemas.openxmlformats.org/officeDocument/2006/relationships/customXml" Target="../customXml/item4.xml"/><Relationship Id="rId20" Type="http://schemas.openxmlformats.org/officeDocument/2006/relationships/image" Target="media/image8.jpeg"/><Relationship Id="rId41"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who.int/topics/international_health_regulations/en/" TargetMode="External"/><Relationship Id="rId2" Type="http://schemas.openxmlformats.org/officeDocument/2006/relationships/hyperlink" Target="http://documents.worldbank.org/curated/en/168951503668157320/pdf/ACS22308-PUBLIC-P154324-ADD-SERIES-PPFullReportFINALscreen.pdf" TargetMode="External"/><Relationship Id="rId1" Type="http://schemas.openxmlformats.org/officeDocument/2006/relationships/hyperlink" Target="https://www.spc.int/resource-centre/publications/pacific-islands-literacy-and-numeracy-assessment-2018-regional-re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2270C5-D37C-47F8-A997-496C791C20C1}"/>
</file>

<file path=customXml/itemProps2.xml><?xml version="1.0" encoding="utf-8"?>
<ds:datastoreItem xmlns:ds="http://schemas.openxmlformats.org/officeDocument/2006/customXml" ds:itemID="{70F27C23-F3A7-4F3C-8324-40062C224F4D}"/>
</file>

<file path=customXml/itemProps3.xml><?xml version="1.0" encoding="utf-8"?>
<ds:datastoreItem xmlns:ds="http://schemas.openxmlformats.org/officeDocument/2006/customXml" ds:itemID="{CBE4BD58-3A02-4248-A6AB-0FB9D9B50E0C}"/>
</file>

<file path=customXml/itemProps4.xml><?xml version="1.0" encoding="utf-8"?>
<ds:datastoreItem xmlns:ds="http://schemas.openxmlformats.org/officeDocument/2006/customXml" ds:itemID="{A50AB7C4-22FE-4205-BB78-9828FF722C8C}"/>
</file>

<file path=docProps/app.xml><?xml version="1.0" encoding="utf-8"?>
<Properties xmlns="http://schemas.openxmlformats.org/officeDocument/2006/extended-properties" xmlns:vt="http://schemas.openxmlformats.org/officeDocument/2006/docPropsVTypes">
  <Template>Normal.dotm</Template>
  <TotalTime>0</TotalTime>
  <Pages>34</Pages>
  <Words>14895</Words>
  <Characters>84906</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2019-10-17T02:52:00Z</dcterms:created>
  <dcterms:modified xsi:type="dcterms:W3CDTF">2019-10-17T02:52:00Z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f7c55767-7bbc-4a88-b719-edbaceeca346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1269300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