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AD7" w:rsidRDefault="00C25AD7" w:rsidP="00C25AD7">
      <w:pPr>
        <w:pStyle w:val="ListBullet"/>
        <w:tabs>
          <w:tab w:val="clear" w:pos="284"/>
        </w:tabs>
      </w:pPr>
      <w:bookmarkStart w:id="0" w:name="_GoBack"/>
      <w:bookmarkEnd w:id="0"/>
    </w:p>
    <w:p w:rsidR="00C25AD7" w:rsidRDefault="00C25AD7" w:rsidP="00C25AD7">
      <w:pPr>
        <w:pStyle w:val="ListBullet"/>
        <w:tabs>
          <w:tab w:val="clear" w:pos="284"/>
        </w:tabs>
      </w:pPr>
    </w:p>
    <w:p w:rsidR="00C25AD7" w:rsidRPr="0059146A" w:rsidRDefault="00C25AD7" w:rsidP="00C25AD7">
      <w:pPr>
        <w:pStyle w:val="ListBullet"/>
        <w:tabs>
          <w:tab w:val="clear" w:pos="284"/>
        </w:tabs>
      </w:pPr>
    </w:p>
    <w:p w:rsidR="00C25AD7" w:rsidRPr="0059146A" w:rsidRDefault="00C25AD7" w:rsidP="00C25AD7">
      <w:pPr>
        <w:pStyle w:val="ListBullet"/>
        <w:tabs>
          <w:tab w:val="clear" w:pos="284"/>
        </w:tabs>
      </w:pPr>
    </w:p>
    <w:p w:rsidR="00C25AD7" w:rsidRDefault="00C25AD7" w:rsidP="00C25AD7">
      <w:pPr>
        <w:spacing w:after="200" w:line="276" w:lineRule="auto"/>
        <w:rPr>
          <w:b/>
        </w:rPr>
      </w:pPr>
    </w:p>
    <w:p w:rsidR="00C25AD7" w:rsidRDefault="00C25AD7" w:rsidP="00C25AD7">
      <w:pPr>
        <w:spacing w:after="200" w:line="276" w:lineRule="auto"/>
        <w:rPr>
          <w:b/>
        </w:rPr>
      </w:pPr>
    </w:p>
    <w:p w:rsidR="00C25AD7" w:rsidRDefault="00C25AD7" w:rsidP="00C25AD7"/>
    <w:p w:rsidR="00C25AD7" w:rsidRDefault="00C25AD7" w:rsidP="00C25AD7"/>
    <w:p w:rsidR="00C25AD7" w:rsidRDefault="00C25AD7" w:rsidP="00C25AD7"/>
    <w:p w:rsidR="00C25AD7" w:rsidRDefault="00C25AD7" w:rsidP="00C25AD7"/>
    <w:p w:rsidR="00C25AD7" w:rsidRDefault="00C25AD7" w:rsidP="00C25AD7"/>
    <w:p w:rsidR="00C25AD7" w:rsidRDefault="00C25AD7" w:rsidP="00C25AD7"/>
    <w:p w:rsidR="00C25AD7" w:rsidRDefault="00C25AD7" w:rsidP="00C25AD7"/>
    <w:p w:rsidR="00C25AD7" w:rsidRDefault="00C25AD7" w:rsidP="00C25AD7"/>
    <w:p w:rsidR="00C25AD7" w:rsidRDefault="00C25AD7" w:rsidP="00C25AD7"/>
    <w:p w:rsidR="00C25AD7" w:rsidRDefault="00C25AD7" w:rsidP="00C25AD7"/>
    <w:p w:rsidR="00C25AD7" w:rsidRDefault="00C25AD7" w:rsidP="00C25AD7"/>
    <w:p w:rsidR="00C25AD7" w:rsidRDefault="00C25AD7" w:rsidP="00C25AD7"/>
    <w:p w:rsidR="00C25AD7" w:rsidRDefault="00C25AD7" w:rsidP="00C25AD7"/>
    <w:p w:rsidR="00C25AD7" w:rsidRDefault="00C25AD7" w:rsidP="00C25AD7"/>
    <w:p w:rsidR="00C25AD7" w:rsidRDefault="00C25AD7" w:rsidP="00C25AD7"/>
    <w:p w:rsidR="00C25AD7" w:rsidRDefault="00C25AD7" w:rsidP="00C25AD7"/>
    <w:p w:rsidR="00C25AD7" w:rsidRDefault="00C25AD7" w:rsidP="00C25AD7"/>
    <w:p w:rsidR="00C25AD7" w:rsidRDefault="00C25AD7" w:rsidP="00C25AD7"/>
    <w:p w:rsidR="00C25AD7" w:rsidRDefault="00C25AD7" w:rsidP="00C25AD7"/>
    <w:p w:rsidR="00C25AD7" w:rsidRDefault="00C25AD7" w:rsidP="00C25AD7"/>
    <w:p w:rsidR="00C25AD7" w:rsidRDefault="00C25AD7" w:rsidP="00C25AD7"/>
    <w:p w:rsidR="00C25AD7" w:rsidRPr="002A51CA" w:rsidRDefault="00C25AD7" w:rsidP="00C25AD7">
      <w:pPr>
        <w:pStyle w:val="Title"/>
        <w:spacing w:after="120" w:line="600" w:lineRule="exact"/>
        <w:rPr>
          <w:spacing w:val="-20"/>
          <w:sz w:val="60"/>
        </w:rPr>
      </w:pPr>
      <w:r w:rsidRPr="002A51CA">
        <w:rPr>
          <w:noProof/>
          <w:spacing w:val="-20"/>
          <w:sz w:val="60"/>
          <w:lang w:val="en-AU" w:eastAsia="en-AU"/>
        </w:rPr>
        <w:drawing>
          <wp:anchor distT="0" distB="0" distL="114300" distR="114300" simplePos="0" relativeHeight="251660288" behindDoc="1" locked="1" layoutInCell="1" allowOverlap="1" wp14:anchorId="3D6B102B" wp14:editId="4F5807D4">
            <wp:simplePos x="0" y="0"/>
            <wp:positionH relativeFrom="page">
              <wp:posOffset>872490</wp:posOffset>
            </wp:positionH>
            <wp:positionV relativeFrom="page">
              <wp:posOffset>1561465</wp:posOffset>
            </wp:positionV>
            <wp:extent cx="3167380" cy="5543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sidRPr="002A51CA">
        <w:rPr>
          <w:noProof/>
          <w:spacing w:val="-20"/>
          <w:sz w:val="60"/>
          <w:lang w:val="en-AU" w:eastAsia="en-AU"/>
        </w:rPr>
        <w:drawing>
          <wp:anchor distT="0" distB="0" distL="114300" distR="114300" simplePos="0" relativeHeight="251659264" behindDoc="1" locked="1" layoutInCell="1" allowOverlap="1" wp14:anchorId="7F31316B" wp14:editId="1D41DB2C">
            <wp:simplePos x="0" y="0"/>
            <wp:positionH relativeFrom="page">
              <wp:posOffset>8890</wp:posOffset>
            </wp:positionH>
            <wp:positionV relativeFrom="page">
              <wp:posOffset>31750</wp:posOffset>
            </wp:positionV>
            <wp:extent cx="7750810" cy="10725785"/>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8">
                      <a:extLst>
                        <a:ext uri="{28A0092B-C50C-407E-A947-70E740481C1C}">
                          <a14:useLocalDpi xmlns:a14="http://schemas.microsoft.com/office/drawing/2010/main" val="0"/>
                        </a:ext>
                      </a:extLst>
                    </a:blip>
                    <a:stretch>
                      <a:fillRect/>
                    </a:stretch>
                  </pic:blipFill>
                  <pic:spPr>
                    <a:xfrm>
                      <a:off x="0" y="0"/>
                      <a:ext cx="7750810" cy="10725785"/>
                    </a:xfrm>
                    <a:prstGeom prst="rect">
                      <a:avLst/>
                    </a:prstGeom>
                  </pic:spPr>
                </pic:pic>
              </a:graphicData>
            </a:graphic>
            <wp14:sizeRelH relativeFrom="margin">
              <wp14:pctWidth>0</wp14:pctWidth>
            </wp14:sizeRelH>
            <wp14:sizeRelV relativeFrom="margin">
              <wp14:pctHeight>0</wp14:pctHeight>
            </wp14:sizeRelV>
          </wp:anchor>
        </w:drawing>
      </w:r>
      <w:r>
        <w:rPr>
          <w:spacing w:val="-20"/>
          <w:sz w:val="60"/>
        </w:rPr>
        <w:t>Aid Program</w:t>
      </w:r>
      <w:r w:rsidRPr="002A51CA">
        <w:rPr>
          <w:spacing w:val="-20"/>
          <w:sz w:val="60"/>
        </w:rPr>
        <w:t xml:space="preserve"> Performance </w:t>
      </w:r>
    </w:p>
    <w:p w:rsidR="00C25AD7" w:rsidRPr="002A51CA" w:rsidRDefault="00C25AD7" w:rsidP="00C25AD7">
      <w:pPr>
        <w:pStyle w:val="Title"/>
        <w:spacing w:after="120" w:line="600" w:lineRule="exact"/>
        <w:rPr>
          <w:spacing w:val="-20"/>
          <w:sz w:val="60"/>
        </w:rPr>
      </w:pPr>
      <w:r>
        <w:rPr>
          <w:spacing w:val="-20"/>
          <w:sz w:val="60"/>
        </w:rPr>
        <w:t>Report 2016-17</w:t>
      </w:r>
    </w:p>
    <w:p w:rsidR="00C25AD7" w:rsidRDefault="00C25AD7" w:rsidP="00C25AD7">
      <w:r>
        <w:rPr>
          <w:sz w:val="40"/>
        </w:rPr>
        <w:t>Pacific Regional Program</w:t>
      </w:r>
    </w:p>
    <w:p w:rsidR="00C25AD7" w:rsidRPr="002A51CA" w:rsidRDefault="00C25AD7" w:rsidP="00C25AD7">
      <w:pPr>
        <w:rPr>
          <w:sz w:val="24"/>
        </w:rPr>
      </w:pPr>
      <w:r>
        <w:rPr>
          <w:sz w:val="24"/>
        </w:rPr>
        <w:t>September 2017</w:t>
      </w:r>
    </w:p>
    <w:p w:rsidR="00C25AD7" w:rsidRDefault="00C25AD7" w:rsidP="00C25AD7">
      <w:pPr>
        <w:tabs>
          <w:tab w:val="left" w:pos="2160"/>
        </w:tabs>
        <w:sectPr w:rsidR="00C25AD7" w:rsidSect="002F4ABA">
          <w:headerReference w:type="even" r:id="rId9"/>
          <w:headerReference w:type="default" r:id="rId10"/>
          <w:footerReference w:type="even" r:id="rId11"/>
          <w:footerReference w:type="default" r:id="rId12"/>
          <w:headerReference w:type="first" r:id="rId13"/>
          <w:footerReference w:type="first" r:id="rId14"/>
          <w:pgSz w:w="11906" w:h="16838" w:code="9"/>
          <w:pgMar w:top="1952" w:right="1134" w:bottom="851" w:left="1134" w:header="1814" w:footer="567" w:gutter="0"/>
          <w:pgNumType w:start="0"/>
          <w:cols w:space="397"/>
          <w:docGrid w:linePitch="360"/>
        </w:sectPr>
      </w:pPr>
      <w:r>
        <w:tab/>
      </w:r>
    </w:p>
    <w:p w:rsidR="00C25AD7" w:rsidRPr="00C61187" w:rsidRDefault="00C25AD7" w:rsidP="00C25AD7">
      <w:pPr>
        <w:pStyle w:val="ListBullet"/>
        <w:tabs>
          <w:tab w:val="clear" w:pos="284"/>
        </w:tabs>
        <w:spacing w:before="360"/>
        <w:rPr>
          <w:kern w:val="28"/>
        </w:rPr>
      </w:pPr>
      <w:r w:rsidRPr="002A51CA">
        <w:rPr>
          <w:rFonts w:asciiTheme="majorHAnsi" w:eastAsiaTheme="majorEastAsia" w:hAnsiTheme="majorHAnsi" w:cstheme="majorBidi"/>
          <w:caps/>
          <w:color w:val="44546A" w:themeColor="text2"/>
          <w:sz w:val="38"/>
          <w:szCs w:val="26"/>
          <w:lang w:val="en-GB" w:eastAsia="en-US"/>
        </w:rPr>
        <w:lastRenderedPageBreak/>
        <w:t>Key Messages</w:t>
      </w:r>
    </w:p>
    <w:p w:rsidR="00C25AD7" w:rsidRPr="00BE781A" w:rsidRDefault="00C25AD7" w:rsidP="00C25AD7">
      <w:r>
        <w:t>This Aid Program Performance Report (APPR) evaluates the achievements and development results of Australia’s Pacific Regional aid program over the period July 2016 to June 2017.  In 2016-17 the program represented $129.3 out of the $1,126.4</w:t>
      </w:r>
      <w:r w:rsidRPr="005A2F51">
        <w:t xml:space="preserve"> million allocated to the Pacific Aid Program.</w:t>
      </w:r>
      <w:r w:rsidRPr="004C501A">
        <w:t xml:space="preserve"> The APPR focuses on programs funded through the Pacific Division, but includes investments supported through other DFAT programs and those implemented by other Australian Government departments.</w:t>
      </w:r>
      <w:r>
        <w:t xml:space="preserve">  </w:t>
      </w:r>
    </w:p>
    <w:p w:rsidR="00C25AD7" w:rsidRDefault="00C25AD7" w:rsidP="00C25AD7">
      <w:r>
        <w:t>K</w:t>
      </w:r>
      <w:r w:rsidRPr="00C61187">
        <w:t>ey findings</w:t>
      </w:r>
      <w:r>
        <w:t xml:space="preserve"> and results include:</w:t>
      </w:r>
    </w:p>
    <w:p w:rsidR="00C25AD7" w:rsidRDefault="00C25AD7" w:rsidP="00C25AD7">
      <w:pPr>
        <w:pStyle w:val="ListParagraph"/>
        <w:numPr>
          <w:ilvl w:val="0"/>
          <w:numId w:val="19"/>
        </w:numPr>
        <w:spacing w:after="160" w:line="280" w:lineRule="exact"/>
      </w:pPr>
      <w:r w:rsidRPr="00C74968">
        <w:rPr>
          <w:i/>
        </w:rPr>
        <w:t>Economic growth</w:t>
      </w:r>
      <w:r>
        <w:t>:</w:t>
      </w:r>
      <w:r w:rsidRPr="00001661">
        <w:t xml:space="preserve"> </w:t>
      </w:r>
    </w:p>
    <w:p w:rsidR="00C25AD7" w:rsidRDefault="00C25AD7" w:rsidP="00C25AD7">
      <w:pPr>
        <w:pStyle w:val="ListParagraph"/>
        <w:numPr>
          <w:ilvl w:val="1"/>
          <w:numId w:val="21"/>
        </w:numPr>
        <w:spacing w:after="160" w:line="280" w:lineRule="exact"/>
      </w:pPr>
      <w:r>
        <w:t>The Labour Mobility Assistance Program (LMAP) supported an almost 40 per cent increase in participation of seasonal workers from 4,490</w:t>
      </w:r>
      <w:r w:rsidRPr="00340A30">
        <w:t xml:space="preserve"> to 6,166 </w:t>
      </w:r>
      <w:r>
        <w:t>in 2016-17.</w:t>
      </w:r>
    </w:p>
    <w:p w:rsidR="00C25AD7" w:rsidRPr="001029D4" w:rsidRDefault="00C25AD7" w:rsidP="00C25AD7">
      <w:pPr>
        <w:pStyle w:val="ListParagraph"/>
        <w:numPr>
          <w:ilvl w:val="1"/>
          <w:numId w:val="21"/>
        </w:numPr>
      </w:pPr>
      <w:r>
        <w:t>T</w:t>
      </w:r>
      <w:r w:rsidRPr="001029D4">
        <w:t>he Pacific</w:t>
      </w:r>
      <w:r>
        <w:t xml:space="preserve"> Business Investment Facility</w:t>
      </w:r>
      <w:r w:rsidRPr="004C501A">
        <w:t xml:space="preserve"> </w:t>
      </w:r>
      <w:r>
        <w:t xml:space="preserve">leveraged over </w:t>
      </w:r>
      <w:r w:rsidRPr="001029D4">
        <w:t xml:space="preserve">USD 5.3 million </w:t>
      </w:r>
      <w:r>
        <w:t xml:space="preserve">in private sector investment leading to </w:t>
      </w:r>
      <w:r w:rsidRPr="001029D4">
        <w:t>500 new job opportunities facilitated (219 of which were for women)</w:t>
      </w:r>
      <w:r>
        <w:t xml:space="preserve"> </w:t>
      </w:r>
      <w:r w:rsidRPr="001029D4">
        <w:t xml:space="preserve">with a further USD 4.7 million of funding applications </w:t>
      </w:r>
      <w:r>
        <w:t>in the pipeline</w:t>
      </w:r>
      <w:r w:rsidRPr="001029D4">
        <w:t xml:space="preserve">. </w:t>
      </w:r>
    </w:p>
    <w:p w:rsidR="00C25AD7" w:rsidRDefault="00C25AD7" w:rsidP="00C25AD7">
      <w:pPr>
        <w:pStyle w:val="ListParagraph"/>
        <w:numPr>
          <w:ilvl w:val="1"/>
          <w:numId w:val="21"/>
        </w:numPr>
        <w:spacing w:after="160" w:line="280" w:lineRule="exact"/>
      </w:pPr>
      <w:r>
        <w:t>The Australia Pacific Technical College (APTC) reached the milestone of over 10,000</w:t>
      </w:r>
      <w:r w:rsidRPr="00A40633">
        <w:t xml:space="preserve"> Pacific Islanders (40 per cent women) </w:t>
      </w:r>
      <w:r>
        <w:t xml:space="preserve">having </w:t>
      </w:r>
      <w:r w:rsidRPr="00A40633">
        <w:t>graduated with internationally-recognised q</w:t>
      </w:r>
      <w:r>
        <w:t>ualifications.</w:t>
      </w:r>
    </w:p>
    <w:p w:rsidR="00C25AD7" w:rsidRDefault="00C25AD7" w:rsidP="00C25AD7">
      <w:pPr>
        <w:pStyle w:val="ListParagraph"/>
        <w:numPr>
          <w:ilvl w:val="1"/>
          <w:numId w:val="21"/>
        </w:numPr>
        <w:spacing w:after="160" w:line="280" w:lineRule="exact"/>
      </w:pPr>
      <w:r>
        <w:t>Australia’s support has enabled the World Bank to commit approximately $450 million in new investments in the Pacific in the last financial year thereby increasing the total volume of its current projects in the Pacific to over $1.5 billion.  </w:t>
      </w:r>
    </w:p>
    <w:p w:rsidR="00C25AD7" w:rsidRDefault="00C25AD7" w:rsidP="00C25AD7">
      <w:pPr>
        <w:pStyle w:val="ListParagraph"/>
        <w:numPr>
          <w:ilvl w:val="0"/>
          <w:numId w:val="19"/>
        </w:numPr>
      </w:pPr>
      <w:r w:rsidRPr="00EB4BA7">
        <w:rPr>
          <w:i/>
        </w:rPr>
        <w:t>Effective regional Institutions</w:t>
      </w:r>
      <w:r>
        <w:t xml:space="preserve">: </w:t>
      </w:r>
    </w:p>
    <w:p w:rsidR="00C25AD7" w:rsidRDefault="00C25AD7" w:rsidP="00C25AD7">
      <w:pPr>
        <w:pStyle w:val="ListParagraph"/>
        <w:numPr>
          <w:ilvl w:val="1"/>
          <w:numId w:val="21"/>
        </w:numPr>
      </w:pPr>
      <w:r w:rsidRPr="00EB4BA7">
        <w:t xml:space="preserve">Australia and the Pacific Community </w:t>
      </w:r>
      <w:r>
        <w:t xml:space="preserve">(SPC) </w:t>
      </w:r>
      <w:r w:rsidRPr="00EB4BA7">
        <w:t>signed a renewed Partnership Arrangement which has more realistic objectives and a greater focus on how Australia can and will support the Pacific Community as an organisation.</w:t>
      </w:r>
    </w:p>
    <w:p w:rsidR="00C25AD7" w:rsidRDefault="00C25AD7" w:rsidP="00C25AD7">
      <w:pPr>
        <w:pStyle w:val="ListParagraph"/>
        <w:numPr>
          <w:ilvl w:val="1"/>
          <w:numId w:val="21"/>
        </w:numPr>
      </w:pPr>
      <w:r>
        <w:t>A</w:t>
      </w:r>
      <w:r w:rsidRPr="00C6682C">
        <w:t>ustralia's core</w:t>
      </w:r>
      <w:r>
        <w:t xml:space="preserve"> and extra-budget</w:t>
      </w:r>
      <w:r w:rsidRPr="00C6682C">
        <w:t xml:space="preserve"> funding and technical assistance enabled </w:t>
      </w:r>
      <w:r>
        <w:t>the Pacific Island Forum Secretariat (</w:t>
      </w:r>
      <w:r w:rsidRPr="00C6682C">
        <w:t>PIFS</w:t>
      </w:r>
      <w:r>
        <w:t>)</w:t>
      </w:r>
      <w:r w:rsidRPr="00C6682C">
        <w:t xml:space="preserve"> to implement PIF Leaders priorities</w:t>
      </w:r>
      <w:r>
        <w:t>’</w:t>
      </w:r>
      <w:r w:rsidRPr="00C6682C">
        <w:t xml:space="preserve"> and reform the organisation. </w:t>
      </w:r>
    </w:p>
    <w:p w:rsidR="00C25AD7" w:rsidRPr="008F00AA" w:rsidRDefault="00C25AD7" w:rsidP="00C25AD7">
      <w:pPr>
        <w:pStyle w:val="ListParagraph"/>
        <w:numPr>
          <w:ilvl w:val="1"/>
          <w:numId w:val="21"/>
        </w:numPr>
      </w:pPr>
      <w:r>
        <w:t>The Attorney-General’s Department (</w:t>
      </w:r>
      <w:r w:rsidRPr="008F00AA">
        <w:t>AGD</w:t>
      </w:r>
      <w:r>
        <w:t xml:space="preserve">) </w:t>
      </w:r>
      <w:r w:rsidRPr="008F00AA">
        <w:t xml:space="preserve">provided technical and capacity development assistance on a number of Pacific law reform projects, including a new Nauru Police Bill, new Tonga cybercrime legislation, forensics reforms for the Federated States of Micronesia, a review of sex offences in Kiribati and draft legislation to address a range of frontline policing problems in Tuvalu, including underage drinking and road safety.  </w:t>
      </w:r>
    </w:p>
    <w:p w:rsidR="00C25AD7" w:rsidRPr="009630EA" w:rsidRDefault="00C25AD7" w:rsidP="00C25AD7">
      <w:pPr>
        <w:pStyle w:val="ListParagraph"/>
        <w:numPr>
          <w:ilvl w:val="0"/>
          <w:numId w:val="19"/>
        </w:numPr>
        <w:spacing w:after="160" w:line="280" w:lineRule="exact"/>
        <w:rPr>
          <w:i/>
        </w:rPr>
      </w:pPr>
      <w:r w:rsidRPr="00C74968">
        <w:rPr>
          <w:i/>
        </w:rPr>
        <w:t>Healthy and Resilient Communities</w:t>
      </w:r>
      <w:r w:rsidRPr="009630EA">
        <w:rPr>
          <w:i/>
        </w:rPr>
        <w:t xml:space="preserve">: </w:t>
      </w:r>
    </w:p>
    <w:p w:rsidR="00C25AD7" w:rsidRPr="00F4453F" w:rsidRDefault="00C25AD7" w:rsidP="00C25AD7">
      <w:pPr>
        <w:pStyle w:val="ListParagraph"/>
        <w:numPr>
          <w:ilvl w:val="1"/>
          <w:numId w:val="21"/>
        </w:numPr>
        <w:rPr>
          <w:rFonts w:eastAsia="Times New Roman"/>
          <w:lang w:eastAsia="en-AU"/>
        </w:rPr>
      </w:pPr>
      <w:r w:rsidRPr="00F4453F">
        <w:rPr>
          <w:rFonts w:eastAsia="Times New Roman"/>
          <w:lang w:eastAsia="en-AU"/>
        </w:rPr>
        <w:t xml:space="preserve">Under Australia's new Pacific Regional Clinical Services and Workforce Improvement Program, the Royal Australasian College of Surgeons (RACS) deployed visiting medical teams to 10 Pacific countries in 12 specialised areas (e.g. anaesthesiology, cardiology, and gastroenterology). These teams conducted 884 consultations and 162 operations, and supported capacity building for 231 Pacific island health professionals. </w:t>
      </w:r>
    </w:p>
    <w:p w:rsidR="00C25AD7" w:rsidRDefault="00C25AD7" w:rsidP="00C25AD7">
      <w:pPr>
        <w:pStyle w:val="ListParagraph"/>
        <w:numPr>
          <w:ilvl w:val="1"/>
          <w:numId w:val="21"/>
        </w:numPr>
        <w:rPr>
          <w:rFonts w:eastAsia="Times New Roman"/>
          <w:lang w:eastAsia="en-AU"/>
        </w:rPr>
      </w:pPr>
      <w:r>
        <w:rPr>
          <w:rFonts w:eastAsia="Times New Roman"/>
          <w:lang w:eastAsia="en-AU"/>
        </w:rPr>
        <w:t>As Co-</w:t>
      </w:r>
      <w:r w:rsidRPr="00AE130A">
        <w:rPr>
          <w:rFonts w:eastAsia="Times New Roman"/>
          <w:lang w:eastAsia="en-AU"/>
        </w:rPr>
        <w:t xml:space="preserve">Chair of the </w:t>
      </w:r>
      <w:r>
        <w:rPr>
          <w:rFonts w:eastAsia="Times New Roman"/>
          <w:lang w:eastAsia="en-AU"/>
        </w:rPr>
        <w:t>Green Climate Fund (</w:t>
      </w:r>
      <w:r w:rsidRPr="00AE130A">
        <w:rPr>
          <w:rFonts w:eastAsia="Times New Roman"/>
          <w:lang w:eastAsia="en-AU"/>
        </w:rPr>
        <w:t>GCF</w:t>
      </w:r>
      <w:r>
        <w:rPr>
          <w:rFonts w:eastAsia="Times New Roman"/>
          <w:lang w:eastAsia="en-AU"/>
        </w:rPr>
        <w:t>)</w:t>
      </w:r>
      <w:r w:rsidRPr="00AE130A">
        <w:rPr>
          <w:rFonts w:eastAsia="Times New Roman"/>
          <w:lang w:eastAsia="en-AU"/>
        </w:rPr>
        <w:t xml:space="preserve"> Board, Australia has supported accessibility to funding</w:t>
      </w:r>
      <w:r>
        <w:rPr>
          <w:rFonts w:eastAsia="Times New Roman"/>
          <w:lang w:eastAsia="en-AU"/>
        </w:rPr>
        <w:t xml:space="preserve"> with </w:t>
      </w:r>
      <w:r w:rsidRPr="00AE130A">
        <w:rPr>
          <w:rFonts w:eastAsia="Times New Roman"/>
          <w:lang w:eastAsia="en-AU"/>
        </w:rPr>
        <w:t>the GCF approv</w:t>
      </w:r>
      <w:r>
        <w:rPr>
          <w:rFonts w:eastAsia="Times New Roman"/>
          <w:lang w:eastAsia="en-AU"/>
        </w:rPr>
        <w:t xml:space="preserve">ing </w:t>
      </w:r>
      <w:r w:rsidRPr="00AE130A">
        <w:rPr>
          <w:rFonts w:eastAsia="Times New Roman"/>
          <w:lang w:eastAsia="en-AU"/>
        </w:rPr>
        <w:t xml:space="preserve">a further four projects in the Pacific, with a total value of $184 million. </w:t>
      </w:r>
    </w:p>
    <w:p w:rsidR="00C25AD7" w:rsidRPr="00A90152" w:rsidRDefault="00C25AD7" w:rsidP="00C25AD7">
      <w:pPr>
        <w:pStyle w:val="ListParagraph"/>
        <w:numPr>
          <w:ilvl w:val="1"/>
          <w:numId w:val="21"/>
        </w:numPr>
        <w:rPr>
          <w:rFonts w:eastAsia="Times New Roman"/>
          <w:lang w:eastAsia="en-AU"/>
        </w:rPr>
      </w:pPr>
      <w:r w:rsidRPr="00B06C8E">
        <w:rPr>
          <w:rFonts w:eastAsia="Times New Roman"/>
          <w:lang w:eastAsia="en-AU"/>
        </w:rPr>
        <w:t xml:space="preserve">DFAT completed a stocktake of Pacific </w:t>
      </w:r>
      <w:r>
        <w:rPr>
          <w:rFonts w:eastAsia="Times New Roman"/>
          <w:lang w:eastAsia="en-AU"/>
        </w:rPr>
        <w:t xml:space="preserve">country </w:t>
      </w:r>
      <w:r w:rsidRPr="00B06C8E">
        <w:rPr>
          <w:rFonts w:eastAsia="Times New Roman"/>
          <w:lang w:eastAsia="en-AU"/>
        </w:rPr>
        <w:t xml:space="preserve">programs to determine current expenditure and identify opportunities to mainstream climate change </w:t>
      </w:r>
      <w:r>
        <w:rPr>
          <w:rFonts w:eastAsia="Times New Roman"/>
          <w:lang w:eastAsia="en-AU"/>
        </w:rPr>
        <w:t xml:space="preserve">and disaster resilience </w:t>
      </w:r>
      <w:r w:rsidRPr="00B06C8E">
        <w:rPr>
          <w:rFonts w:eastAsia="Times New Roman"/>
          <w:lang w:eastAsia="en-AU"/>
        </w:rPr>
        <w:t>across our investments.</w:t>
      </w:r>
    </w:p>
    <w:p w:rsidR="00C25AD7" w:rsidRPr="00242B19" w:rsidRDefault="00C25AD7" w:rsidP="00C25AD7">
      <w:pPr>
        <w:pStyle w:val="ListParagraph"/>
        <w:numPr>
          <w:ilvl w:val="1"/>
          <w:numId w:val="21"/>
        </w:numPr>
        <w:rPr>
          <w:rFonts w:eastAsia="Times New Roman"/>
          <w:lang w:eastAsia="en-AU"/>
        </w:rPr>
      </w:pPr>
      <w:r>
        <w:rPr>
          <w:rFonts w:eastAsia="Times New Roman"/>
          <w:lang w:eastAsia="en-AU"/>
        </w:rPr>
        <w:t xml:space="preserve">Strong Australian support through the </w:t>
      </w:r>
      <w:r w:rsidRPr="00AE130A">
        <w:rPr>
          <w:rFonts w:eastAsia="Times New Roman"/>
          <w:lang w:eastAsia="en-AU"/>
        </w:rPr>
        <w:t>Climate and Oceans Support Program in the Pacific (COSPPac)</w:t>
      </w:r>
      <w:r>
        <w:rPr>
          <w:rFonts w:eastAsia="Times New Roman"/>
          <w:lang w:eastAsia="en-AU"/>
        </w:rPr>
        <w:t xml:space="preserve"> has progressed </w:t>
      </w:r>
      <w:r w:rsidRPr="00AE130A">
        <w:rPr>
          <w:rFonts w:eastAsia="Times New Roman"/>
          <w:lang w:eastAsia="en-AU"/>
        </w:rPr>
        <w:t xml:space="preserve">regional </w:t>
      </w:r>
      <w:r>
        <w:rPr>
          <w:rFonts w:eastAsia="Times New Roman"/>
          <w:lang w:eastAsia="en-AU"/>
        </w:rPr>
        <w:t xml:space="preserve">capacity to deliver </w:t>
      </w:r>
      <w:r w:rsidRPr="00AE130A">
        <w:rPr>
          <w:rFonts w:eastAsia="Times New Roman"/>
          <w:lang w:eastAsia="en-AU"/>
        </w:rPr>
        <w:t>meteorological services</w:t>
      </w:r>
      <w:r>
        <w:rPr>
          <w:rFonts w:eastAsia="Times New Roman"/>
          <w:lang w:eastAsia="en-AU"/>
        </w:rPr>
        <w:t>.</w:t>
      </w:r>
    </w:p>
    <w:p w:rsidR="00C25AD7" w:rsidRDefault="00C25AD7" w:rsidP="00C25AD7">
      <w:pPr>
        <w:pStyle w:val="ListParagraph"/>
        <w:numPr>
          <w:ilvl w:val="0"/>
          <w:numId w:val="19"/>
        </w:numPr>
      </w:pPr>
      <w:r w:rsidRPr="00C74968">
        <w:rPr>
          <w:i/>
        </w:rPr>
        <w:t>Empowering women and girls</w:t>
      </w:r>
      <w:r>
        <w:t xml:space="preserve">: </w:t>
      </w:r>
    </w:p>
    <w:p w:rsidR="00C25AD7" w:rsidRPr="007E5A72" w:rsidRDefault="00C25AD7" w:rsidP="00C25AD7">
      <w:pPr>
        <w:pStyle w:val="ListParagraph"/>
        <w:numPr>
          <w:ilvl w:val="1"/>
          <w:numId w:val="21"/>
        </w:numPr>
        <w:rPr>
          <w:rFonts w:eastAsia="Times New Roman"/>
          <w:lang w:eastAsia="en-AU"/>
        </w:rPr>
      </w:pPr>
      <w:r w:rsidRPr="007E5A72">
        <w:rPr>
          <w:rFonts w:eastAsia="Times New Roman"/>
          <w:lang w:eastAsia="en-AU"/>
        </w:rPr>
        <w:t>Pacific Women’s Markets for Change (M4C) program provided financial literacy training inclusive of record keeping, business management and budgeting for 1,689 women market vendors and agricultural practices training for 845 women vendor-farmers, resulting in improved financial management and agricultural productivity</w:t>
      </w:r>
      <w:r>
        <w:rPr>
          <w:rFonts w:eastAsia="Times New Roman"/>
          <w:lang w:eastAsia="en-AU"/>
        </w:rPr>
        <w:t>.</w:t>
      </w:r>
    </w:p>
    <w:p w:rsidR="00C25AD7" w:rsidRDefault="00C25AD7" w:rsidP="00C25AD7">
      <w:r w:rsidRPr="00A74CA2">
        <w:t xml:space="preserve">The Pacific Regional program has achieved </w:t>
      </w:r>
      <w:r>
        <w:t xml:space="preserve">sound </w:t>
      </w:r>
      <w:r w:rsidRPr="00A74CA2">
        <w:t>progress in 2017</w:t>
      </w:r>
      <w:r>
        <w:t xml:space="preserve"> given the challenging environment for aid delivery</w:t>
      </w:r>
      <w:r w:rsidRPr="00A74CA2">
        <w:t xml:space="preserve">. </w:t>
      </w:r>
      <w:r>
        <w:t xml:space="preserve">Consolidation of the Pacific Regional program into a smaller number of larger and more effective </w:t>
      </w:r>
      <w:r>
        <w:lastRenderedPageBreak/>
        <w:t xml:space="preserve">investments has continued with 66 </w:t>
      </w:r>
      <w:r w:rsidRPr="00D72D03">
        <w:t xml:space="preserve">investments </w:t>
      </w:r>
      <w:r>
        <w:t>in 2016</w:t>
      </w:r>
      <w:r>
        <w:noBreakHyphen/>
        <w:t xml:space="preserve">17 reduced </w:t>
      </w:r>
      <w:r w:rsidRPr="00D72D03">
        <w:t xml:space="preserve">from a July 2013 </w:t>
      </w:r>
      <w:r>
        <w:t xml:space="preserve">baseline of 98. This is a </w:t>
      </w:r>
      <w:r w:rsidRPr="001D7510">
        <w:t xml:space="preserve">33 </w:t>
      </w:r>
      <w:r w:rsidRPr="00D72D03">
        <w:t>per cent reduction.</w:t>
      </w:r>
      <w:r>
        <w:t xml:space="preserve"> We will continue to rationalise the regional program to make funding available for new priorities of the government which will emerge from the Foreign Policy White Paper and Australia’s step-up in engagement with the Pacific. Our aims and benchmarks will shift as a result of these processes to maintain alignment with DFAT’s priorities in economic integration, gender equality, trade, foreign policy and complementarity with Pacific bilateral aid programs.</w:t>
      </w:r>
      <w:r>
        <w:rPr>
          <w:rStyle w:val="FootnoteReference"/>
        </w:rPr>
        <w:footnoteReference w:id="1"/>
      </w:r>
      <w:r>
        <w:t xml:space="preserve">  </w:t>
      </w:r>
    </w:p>
    <w:p w:rsidR="00C25AD7" w:rsidRPr="00A74CA2" w:rsidRDefault="00C25AD7" w:rsidP="00C25AD7">
      <w:r>
        <w:t>Gender equality is included in all o</w:t>
      </w:r>
      <w:r w:rsidRPr="00BE781A">
        <w:t>bjectives</w:t>
      </w:r>
      <w:r>
        <w:t xml:space="preserve"> as well as being a stand-alone objective</w:t>
      </w:r>
      <w:r w:rsidRPr="00BE781A">
        <w:t xml:space="preserve">, </w:t>
      </w:r>
      <w:r>
        <w:t xml:space="preserve">in recognition of the need for both targeted and mainstreamed approaches.  </w:t>
      </w:r>
    </w:p>
    <w:p w:rsidR="00C25AD7" w:rsidRPr="00C61187" w:rsidRDefault="00C25AD7" w:rsidP="00C25AD7">
      <w:pPr>
        <w:pStyle w:val="ListBullet"/>
        <w:tabs>
          <w:tab w:val="clear" w:pos="284"/>
        </w:tabs>
        <w:spacing w:before="360"/>
        <w:rPr>
          <w:kern w:val="28"/>
        </w:rPr>
      </w:pPr>
      <w:r>
        <w:rPr>
          <w:rFonts w:asciiTheme="majorHAnsi" w:eastAsiaTheme="majorEastAsia" w:hAnsiTheme="majorHAnsi" w:cstheme="majorBidi"/>
          <w:caps/>
          <w:color w:val="44546A" w:themeColor="text2"/>
          <w:sz w:val="38"/>
          <w:szCs w:val="26"/>
          <w:lang w:val="en-GB" w:eastAsia="en-US"/>
        </w:rPr>
        <w:t>Context</w:t>
      </w:r>
    </w:p>
    <w:p w:rsidR="00C25AD7" w:rsidRPr="00015B22" w:rsidRDefault="00C25AD7" w:rsidP="00C25AD7">
      <w:pPr>
        <w:rPr>
          <w:color w:val="auto"/>
          <w:lang w:val="en-AU"/>
        </w:rPr>
      </w:pPr>
      <w:r>
        <w:t xml:space="preserve">The Pacific faces a range of challenges. In many Pacific countries </w:t>
      </w:r>
      <w:r w:rsidRPr="00B369BE">
        <w:rPr>
          <w:iCs/>
        </w:rPr>
        <w:t>economic growth</w:t>
      </w:r>
      <w:r>
        <w:t xml:space="preserve"> is not keeping pace with population growth, despite strong and diverse investments. Geographic distances and weak infrastructure reduces international trade incentives. Narrow production bases and an ongoing reliance on imported fuel supplies render the majority of Pacific island countries exposed to commodity price fluctuations. </w:t>
      </w:r>
      <w:r w:rsidRPr="003148FA">
        <w:t>Overfishing, population growth and environmental factors threaten the sustainability of the fisheries resources on which Pacific island eco</w:t>
      </w:r>
      <w:r>
        <w:t>nomies and communities depend. Employment prospects are low and the poorest Pacific countries have limited access to external labour markets.</w:t>
      </w:r>
      <w:r>
        <w:rPr>
          <w:rStyle w:val="FootnoteReference"/>
        </w:rPr>
        <w:footnoteReference w:id="2"/>
      </w:r>
      <w:r>
        <w:t xml:space="preserve"> The formal private sector is typically small with significant informal economies. The high degree of informality reduces taxation revenue that would otherwise be available to increase government spending on health and education. Greater regional integration is therefore necessary to leverage economies of scale. </w:t>
      </w:r>
    </w:p>
    <w:p w:rsidR="00C25AD7" w:rsidRDefault="00C25AD7" w:rsidP="00C25AD7">
      <w:r>
        <w:t>We continue to boost</w:t>
      </w:r>
      <w:r>
        <w:rPr>
          <w:i/>
          <w:iCs/>
        </w:rPr>
        <w:t xml:space="preserve"> </w:t>
      </w:r>
      <w:r w:rsidRPr="00B369BE">
        <w:rPr>
          <w:iCs/>
        </w:rPr>
        <w:t>effectiveness of regional institutions</w:t>
      </w:r>
      <w:r>
        <w:t xml:space="preserve"> through a broad range of partnerships and provision of core funding to five major Pacific regional organisations: the Pacific Islands Forum Secretariat (PIFS), the Pacific Community (SPC), the Secretariat of the Pacific Regional Environment Programme (SPREP), Forum Fisheries Agency (FFA) and the University of the South Pacific (USP). Over the past year, regional institutions have made progress towards achieving sustainable budget management. </w:t>
      </w:r>
    </w:p>
    <w:p w:rsidR="00C25AD7" w:rsidRDefault="00C25AD7" w:rsidP="00C25AD7">
      <w:r>
        <w:t xml:space="preserve">Progress towards the </w:t>
      </w:r>
      <w:r w:rsidRPr="003F1EC8">
        <w:t xml:space="preserve">development of </w:t>
      </w:r>
      <w:r w:rsidRPr="003F1EC8">
        <w:rPr>
          <w:iCs/>
        </w:rPr>
        <w:t>healthy and resilient communities is</w:t>
      </w:r>
      <w:r>
        <w:rPr>
          <w:iCs/>
        </w:rPr>
        <w:t xml:space="preserve"> mixed.</w:t>
      </w:r>
      <w:r>
        <w:t xml:space="preserve"> The burden of non-communicable diseases is increasing, and communicable disease outbreaks are common. Unmet need for family planning is high and in eight countries, the adolescent birth rate is increasing. Projections suggest that many Pacific Island Countries (PICs) will fail to meet the under-five mortality Sustainable Development Goal (SDG). </w:t>
      </w:r>
    </w:p>
    <w:p w:rsidR="00C25AD7" w:rsidRPr="00B369BE" w:rsidRDefault="00C25AD7" w:rsidP="00C25AD7">
      <w:pPr>
        <w:rPr>
          <w:rStyle w:val="FootnoteReference"/>
        </w:rPr>
      </w:pPr>
      <w:r w:rsidRPr="00685CC9">
        <w:t xml:space="preserve">Widespread violence against women, their lack of visibility in formal leadership and decision-making roles and limited opportunities in the formal economic sector further weakens and reduces the region’s capacity. </w:t>
      </w:r>
      <w:r>
        <w:t>W</w:t>
      </w:r>
      <w:r w:rsidRPr="00685CC9">
        <w:t xml:space="preserve">omen </w:t>
      </w:r>
      <w:r>
        <w:t xml:space="preserve">represent </w:t>
      </w:r>
      <w:r w:rsidRPr="00685CC9">
        <w:t xml:space="preserve">6.9 per cent </w:t>
      </w:r>
      <w:r>
        <w:t>of elected members to</w:t>
      </w:r>
      <w:r w:rsidRPr="00685CC9">
        <w:t xml:space="preserve"> national parliaments</w:t>
      </w:r>
      <w:r>
        <w:t xml:space="preserve">, which </w:t>
      </w:r>
      <w:r w:rsidRPr="00685CC9">
        <w:t>is well below the global average of 23.3 per cent</w:t>
      </w:r>
      <w:r>
        <w:t>.</w:t>
      </w:r>
      <w:r w:rsidRPr="00B369BE">
        <w:rPr>
          <w:rStyle w:val="FootnoteReference"/>
        </w:rPr>
        <w:footnoteReference w:id="3"/>
      </w:r>
    </w:p>
    <w:p w:rsidR="00C25AD7" w:rsidRDefault="00C25AD7" w:rsidP="00C25AD7">
      <w:pPr>
        <w:spacing w:line="240" w:lineRule="atLeast"/>
        <w:rPr>
          <w:lang w:eastAsia="zh-CN"/>
        </w:rPr>
      </w:pPr>
      <w:r>
        <w:t>Disability inclusive development remains a challenge for the region.  A</w:t>
      </w:r>
      <w:r w:rsidRPr="00E921B9">
        <w:t>n estimated 17% of people in the Pacific have some form of disability</w:t>
      </w:r>
      <w:r>
        <w:t xml:space="preserve">.  </w:t>
      </w:r>
      <w:r w:rsidRPr="00E921B9">
        <w:t>Less than 10% of children with disabilities in the Asia Pacific region attend school</w:t>
      </w:r>
      <w:r>
        <w:t xml:space="preserve"> and </w:t>
      </w:r>
      <w:r w:rsidRPr="00E921B9">
        <w:t>the rate of unemployment for persons with a disability in the Asi</w:t>
      </w:r>
      <w:r>
        <w:t>a Pacific Region ranges from 50</w:t>
      </w:r>
      <w:r w:rsidRPr="00E921B9">
        <w:t xml:space="preserve"> to 90</w:t>
      </w:r>
      <w:r>
        <w:t xml:space="preserve"> per cent</w:t>
      </w:r>
      <w:r>
        <w:rPr>
          <w:rStyle w:val="FootnoteReference"/>
        </w:rPr>
        <w:footnoteReference w:id="4"/>
      </w:r>
      <w:r w:rsidRPr="00E921B9">
        <w:t>.</w:t>
      </w:r>
      <w:r>
        <w:t xml:space="preserve"> </w:t>
      </w:r>
      <w:r>
        <w:rPr>
          <w:lang w:eastAsia="zh-CN"/>
        </w:rPr>
        <w:t xml:space="preserve">The growing epidemic of non-communicable diseases in the Pacific is increasing the rate of early death, illness and disability.  Non-communicable disease (NCD) prevention and control is an important strategy for disability prevention in the Pacific.  </w:t>
      </w:r>
    </w:p>
    <w:p w:rsidR="00C25AD7" w:rsidRDefault="00C25AD7" w:rsidP="00C25AD7">
      <w:r>
        <w:t xml:space="preserve">Pacific Island Countries are particularly vulnerable to the effects of climate change, which exacerbate broader development challenges, heighten the risks to </w:t>
      </w:r>
      <w:r w:rsidRPr="00D43A67">
        <w:t>livelihoods, food security</w:t>
      </w:r>
      <w:r>
        <w:t xml:space="preserve"> </w:t>
      </w:r>
      <w:r w:rsidRPr="00D43A67">
        <w:t>and compound security challenges.</w:t>
      </w:r>
      <w:r>
        <w:t xml:space="preserve"> </w:t>
      </w:r>
      <w:r w:rsidRPr="00D43A67">
        <w:t>For example, in 2016 Tropical Cyclone Winston caused massive social and economic consequences, leaving 44 dead and a damage bill of more than $2.5 billion.</w:t>
      </w:r>
      <w:r>
        <w:t xml:space="preserve">  </w:t>
      </w:r>
      <w:r w:rsidRPr="009D4BB5">
        <w:t>Four out of the 10 most disaster prone countries in the world are in the Pacific region (Vanuatu, Tonga, Solomon Islands, Papua New Guinea)</w:t>
      </w:r>
      <w:r>
        <w:t>.</w:t>
      </w:r>
      <w:r>
        <w:rPr>
          <w:rStyle w:val="FootnoteReference"/>
        </w:rPr>
        <w:footnoteReference w:id="5"/>
      </w:r>
      <w:r w:rsidRPr="003D72E7">
        <w:t xml:space="preserve"> </w:t>
      </w:r>
    </w:p>
    <w:p w:rsidR="00C25AD7" w:rsidRDefault="00C25AD7" w:rsidP="00C25AD7">
      <w:r>
        <w:lastRenderedPageBreak/>
        <w:t xml:space="preserve">Australia remains the largest aid donor to the Pacific contributing </w:t>
      </w:r>
      <w:r w:rsidRPr="00412903">
        <w:t>43</w:t>
      </w:r>
      <w:r>
        <w:t xml:space="preserve"> per cent of all official development assistance (ODA).</w:t>
      </w:r>
      <w:r w:rsidRPr="00CC6A74">
        <w:rPr>
          <w:vertAlign w:val="superscript"/>
        </w:rPr>
        <w:footnoteReference w:id="6"/>
      </w:r>
      <w:r>
        <w:t xml:space="preserve"> However, there is an increasing number of donors operating in the Pacific. As a part of Australia’s broader aid program, the Pacific regional portfolio seeks to play a complementary role in overseas development alongside the work of bilateral and other donor investments. </w:t>
      </w:r>
    </w:p>
    <w:p w:rsidR="00C25AD7" w:rsidRDefault="00C25AD7" w:rsidP="00C25AD7">
      <w:r>
        <w:t xml:space="preserve">In 2016-17, we have maintained a focus on investing in areas where a regional rather than </w:t>
      </w:r>
      <w:r w:rsidRPr="00CB4D17">
        <w:t>a bilateral approach</w:t>
      </w:r>
      <w:r>
        <w:t xml:space="preserve"> would be more effective. We have also retained the use of the Aid Investment Plan (AIP) to provide objectives. Looking ahead, the 2017-18 release of the Foreign Policy White Paper and Australia’s step-up in engagement with the Pacific will reshape objectives and targets.</w:t>
      </w:r>
    </w:p>
    <w:p w:rsidR="00C25AD7" w:rsidRPr="002A51CA" w:rsidRDefault="00C25AD7" w:rsidP="00C25AD7">
      <w:pPr>
        <w:pStyle w:val="ListBullet"/>
        <w:tabs>
          <w:tab w:val="clear" w:pos="284"/>
        </w:tabs>
        <w:spacing w:before="360"/>
        <w:rPr>
          <w:rFonts w:asciiTheme="majorHAnsi" w:eastAsiaTheme="majorEastAsia" w:hAnsiTheme="majorHAnsi" w:cstheme="majorBidi"/>
          <w:caps/>
          <w:color w:val="44546A" w:themeColor="text2"/>
          <w:sz w:val="38"/>
          <w:szCs w:val="26"/>
          <w:lang w:val="en-GB" w:eastAsia="en-US"/>
        </w:rPr>
      </w:pPr>
      <w:r w:rsidRPr="002A51CA">
        <w:rPr>
          <w:rFonts w:asciiTheme="majorHAnsi" w:eastAsiaTheme="majorEastAsia" w:hAnsiTheme="majorHAnsi" w:cstheme="majorBidi"/>
          <w:caps/>
          <w:color w:val="44546A" w:themeColor="text2"/>
          <w:sz w:val="38"/>
          <w:szCs w:val="26"/>
          <w:lang w:val="en-GB" w:eastAsia="en-US"/>
        </w:rPr>
        <w:t>Expenditure</w:t>
      </w:r>
    </w:p>
    <w:p w:rsidR="00C25AD7" w:rsidRDefault="00C25AD7" w:rsidP="00C25AD7">
      <w:r>
        <w:t>Expenditure through the Pacific Regional program was $165.4 million in 2016-17. The allocation for 2016-17 was 10 per cent less than the allocation for 2015-16, but expected to rise in subsequent years</w:t>
      </w:r>
      <w:r>
        <w:rPr>
          <w:rStyle w:val="FootnoteReference"/>
        </w:rPr>
        <w:footnoteReference w:id="7"/>
      </w:r>
      <w:r>
        <w:t>. In addition, since 2015-16, funding for the regional elements of Pacific Women Shaping Pacific Development is allocated from the Gender Equality Fund. In 2016-17, this amounted to $13.5 million, an increase of $500,000 from the previous year.</w:t>
      </w:r>
    </w:p>
    <w:p w:rsidR="00C25AD7" w:rsidRDefault="00C25AD7" w:rsidP="00C25AD7">
      <w:r w:rsidRPr="00573C79">
        <w:t>The Pacif</w:t>
      </w:r>
      <w:r>
        <w:t xml:space="preserve">ic Regional program includes </w:t>
      </w:r>
      <w:r w:rsidRPr="00573C79">
        <w:t>activities where benefit can be attributed to p</w:t>
      </w:r>
      <w:r>
        <w:t xml:space="preserve">articular countries. In 2016-17, this was </w:t>
      </w:r>
      <w:r w:rsidRPr="00573C79">
        <w:t>$</w:t>
      </w:r>
      <w:r>
        <w:t>79.6</w:t>
      </w:r>
      <w:r w:rsidRPr="00573C79">
        <w:t xml:space="preserve"> million. This </w:t>
      </w:r>
      <w:r>
        <w:t>amount is</w:t>
      </w:r>
      <w:r w:rsidRPr="00573C79">
        <w:t xml:space="preserve"> counted towards the total ODA of the</w:t>
      </w:r>
      <w:r>
        <w:t>se</w:t>
      </w:r>
      <w:r w:rsidRPr="00573C79">
        <w:t xml:space="preserve"> </w:t>
      </w:r>
      <w:r>
        <w:t>recipient</w:t>
      </w:r>
      <w:r w:rsidRPr="00573C79">
        <w:t xml:space="preserve"> countries.</w:t>
      </w:r>
    </w:p>
    <w:p w:rsidR="00C25AD7" w:rsidRPr="00D25B2D" w:rsidRDefault="00C25AD7" w:rsidP="00C25AD7">
      <w:pPr>
        <w:rPr>
          <w:b/>
          <w:color w:val="000000" w:themeColor="text1"/>
          <w:sz w:val="24"/>
        </w:rPr>
      </w:pPr>
      <w:r w:rsidRPr="00D25B2D">
        <w:rPr>
          <w:b/>
          <w:color w:val="000000" w:themeColor="text1"/>
          <w:sz w:val="24"/>
        </w:rPr>
        <w:t xml:space="preserve">Table </w:t>
      </w:r>
      <w:r w:rsidRPr="00D25B2D">
        <w:rPr>
          <w:b/>
          <w:color w:val="000000" w:themeColor="text1"/>
          <w:sz w:val="24"/>
        </w:rPr>
        <w:fldChar w:fldCharType="begin"/>
      </w:r>
      <w:r w:rsidRPr="00D25B2D">
        <w:rPr>
          <w:b/>
          <w:color w:val="000000" w:themeColor="text1"/>
          <w:sz w:val="24"/>
        </w:rPr>
        <w:instrText xml:space="preserve"> SEQ Table \* ARABIC </w:instrText>
      </w:r>
      <w:r w:rsidRPr="00D25B2D">
        <w:rPr>
          <w:b/>
          <w:color w:val="000000" w:themeColor="text1"/>
          <w:sz w:val="24"/>
        </w:rPr>
        <w:fldChar w:fldCharType="separate"/>
      </w:r>
      <w:r w:rsidR="00DD5A31">
        <w:rPr>
          <w:b/>
          <w:noProof/>
          <w:color w:val="000000" w:themeColor="text1"/>
          <w:sz w:val="24"/>
        </w:rPr>
        <w:t>1</w:t>
      </w:r>
      <w:r w:rsidRPr="00D25B2D">
        <w:rPr>
          <w:b/>
          <w:noProof/>
          <w:color w:val="000000" w:themeColor="text1"/>
          <w:sz w:val="24"/>
        </w:rPr>
        <w:fldChar w:fldCharType="end"/>
      </w:r>
      <w:r w:rsidRPr="00D25B2D">
        <w:rPr>
          <w:b/>
          <w:color w:val="000000" w:themeColor="text1"/>
          <w:sz w:val="24"/>
        </w:rPr>
        <w:t xml:space="preserve"> Total ODA Expenditure in FY 201</w:t>
      </w:r>
      <w:r>
        <w:rPr>
          <w:b/>
          <w:color w:val="000000" w:themeColor="text1"/>
          <w:sz w:val="24"/>
        </w:rPr>
        <w:t>6</w:t>
      </w:r>
      <w:r w:rsidRPr="00D25B2D">
        <w:rPr>
          <w:b/>
          <w:color w:val="000000" w:themeColor="text1"/>
          <w:sz w:val="24"/>
        </w:rPr>
        <w:t>-1</w:t>
      </w:r>
      <w:r>
        <w:rPr>
          <w:b/>
          <w:color w:val="000000" w:themeColor="text1"/>
          <w:sz w:val="24"/>
        </w:rPr>
        <w:t>7</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992"/>
        <w:gridCol w:w="1525"/>
      </w:tblGrid>
      <w:tr w:rsidR="00C25AD7" w:rsidRPr="003B0793" w:rsidTr="002F4ABA">
        <w:trPr>
          <w:trHeight w:hRule="exact" w:val="284"/>
        </w:trPr>
        <w:tc>
          <w:tcPr>
            <w:tcW w:w="6204" w:type="dxa"/>
            <w:vAlign w:val="center"/>
          </w:tcPr>
          <w:p w:rsidR="00C25AD7" w:rsidRPr="003B0793" w:rsidRDefault="00C25AD7" w:rsidP="002F4ABA">
            <w:pPr>
              <w:keepNext/>
              <w:spacing w:before="0" w:after="0" w:line="280" w:lineRule="exact"/>
              <w:rPr>
                <w:rFonts w:eastAsia="Times New Roman"/>
                <w:b/>
                <w:sz w:val="17"/>
                <w:szCs w:val="17"/>
              </w:rPr>
            </w:pPr>
            <w:r w:rsidRPr="00D25B2D">
              <w:rPr>
                <w:rFonts w:eastAsia="Times New Roman"/>
                <w:b/>
                <w:color w:val="000000" w:themeColor="text1"/>
                <w:sz w:val="17"/>
                <w:szCs w:val="17"/>
              </w:rPr>
              <w:t>Objective</w:t>
            </w:r>
          </w:p>
        </w:tc>
        <w:tc>
          <w:tcPr>
            <w:tcW w:w="992" w:type="dxa"/>
            <w:vAlign w:val="center"/>
          </w:tcPr>
          <w:p w:rsidR="00C25AD7" w:rsidRPr="003B0793" w:rsidRDefault="00C25AD7" w:rsidP="002F4ABA">
            <w:pPr>
              <w:keepNext/>
              <w:spacing w:before="0" w:after="0" w:line="280" w:lineRule="exact"/>
              <w:rPr>
                <w:rFonts w:eastAsia="Times New Roman"/>
                <w:sz w:val="17"/>
                <w:szCs w:val="17"/>
              </w:rPr>
            </w:pPr>
            <w:r w:rsidRPr="00D25B2D">
              <w:rPr>
                <w:rFonts w:eastAsia="Times New Roman"/>
                <w:b/>
                <w:color w:val="000000" w:themeColor="text1"/>
                <w:sz w:val="17"/>
                <w:szCs w:val="17"/>
              </w:rPr>
              <w:t>A$ million</w:t>
            </w:r>
          </w:p>
        </w:tc>
        <w:tc>
          <w:tcPr>
            <w:tcW w:w="1525" w:type="dxa"/>
            <w:vAlign w:val="center"/>
          </w:tcPr>
          <w:p w:rsidR="00C25AD7" w:rsidRPr="003B0793" w:rsidRDefault="00C25AD7" w:rsidP="002F4ABA">
            <w:pPr>
              <w:keepNext/>
              <w:spacing w:before="0" w:after="0" w:line="280" w:lineRule="exact"/>
              <w:rPr>
                <w:rFonts w:eastAsia="Times New Roman"/>
                <w:sz w:val="17"/>
                <w:szCs w:val="17"/>
              </w:rPr>
            </w:pPr>
            <w:r w:rsidRPr="00D25B2D">
              <w:rPr>
                <w:rFonts w:eastAsia="Times New Roman"/>
                <w:b/>
                <w:color w:val="000000" w:themeColor="text1"/>
                <w:sz w:val="17"/>
                <w:szCs w:val="17"/>
              </w:rPr>
              <w:t>% of total ODA</w:t>
            </w:r>
          </w:p>
        </w:tc>
      </w:tr>
      <w:tr w:rsidR="00C25AD7" w:rsidRPr="003B0793" w:rsidTr="002F4ABA">
        <w:trPr>
          <w:trHeight w:hRule="exact" w:val="284"/>
        </w:trPr>
        <w:tc>
          <w:tcPr>
            <w:tcW w:w="6204" w:type="dxa"/>
            <w:tcBorders>
              <w:bottom w:val="nil"/>
            </w:tcBorders>
            <w:vAlign w:val="center"/>
          </w:tcPr>
          <w:p w:rsidR="00C25AD7" w:rsidRPr="003B0793" w:rsidRDefault="00C25AD7" w:rsidP="002F4ABA">
            <w:pPr>
              <w:keepNext/>
              <w:spacing w:before="0" w:after="0" w:line="280" w:lineRule="exact"/>
              <w:rPr>
                <w:rFonts w:eastAsia="Times New Roman"/>
                <w:b/>
                <w:i/>
                <w:sz w:val="17"/>
                <w:szCs w:val="17"/>
              </w:rPr>
            </w:pPr>
            <w:r w:rsidRPr="00D25B2D">
              <w:rPr>
                <w:rFonts w:eastAsia="Times New Roman"/>
                <w:b/>
                <w:i/>
                <w:color w:val="000000" w:themeColor="text1"/>
                <w:sz w:val="17"/>
                <w:szCs w:val="17"/>
              </w:rPr>
              <w:t xml:space="preserve">Pacific Regional </w:t>
            </w:r>
          </w:p>
        </w:tc>
        <w:tc>
          <w:tcPr>
            <w:tcW w:w="992" w:type="dxa"/>
            <w:tcBorders>
              <w:bottom w:val="nil"/>
            </w:tcBorders>
            <w:vAlign w:val="center"/>
          </w:tcPr>
          <w:p w:rsidR="00C25AD7" w:rsidRPr="003B0793" w:rsidRDefault="00C25AD7" w:rsidP="002F4ABA">
            <w:pPr>
              <w:keepNext/>
              <w:spacing w:before="0" w:after="0" w:line="280" w:lineRule="exact"/>
              <w:rPr>
                <w:rFonts w:eastAsia="Times New Roman"/>
                <w:b/>
                <w:sz w:val="17"/>
                <w:szCs w:val="17"/>
              </w:rPr>
            </w:pPr>
          </w:p>
        </w:tc>
        <w:tc>
          <w:tcPr>
            <w:tcW w:w="1525" w:type="dxa"/>
            <w:tcBorders>
              <w:bottom w:val="nil"/>
            </w:tcBorders>
            <w:vAlign w:val="center"/>
          </w:tcPr>
          <w:p w:rsidR="00C25AD7" w:rsidRPr="003B0793" w:rsidRDefault="00C25AD7" w:rsidP="002F4ABA">
            <w:pPr>
              <w:keepNext/>
              <w:spacing w:before="0" w:after="0" w:line="280" w:lineRule="exact"/>
              <w:rPr>
                <w:rFonts w:eastAsia="Times New Roman"/>
                <w:b/>
                <w:sz w:val="17"/>
                <w:szCs w:val="17"/>
              </w:rPr>
            </w:pPr>
          </w:p>
        </w:tc>
      </w:tr>
      <w:tr w:rsidR="00C25AD7" w:rsidRPr="003B0793" w:rsidTr="002F4A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4" w:type="dxa"/>
            <w:tcBorders>
              <w:top w:val="nil"/>
              <w:left w:val="nil"/>
              <w:bottom w:val="nil"/>
              <w:right w:val="nil"/>
            </w:tcBorders>
          </w:tcPr>
          <w:p w:rsidR="00C25AD7" w:rsidRPr="00D25B2D" w:rsidRDefault="00C25AD7" w:rsidP="002F4ABA">
            <w:pPr>
              <w:keepNext/>
              <w:spacing w:before="0" w:after="0" w:line="280" w:lineRule="exact"/>
              <w:rPr>
                <w:rFonts w:eastAsia="Times New Roman"/>
                <w:color w:val="000000" w:themeColor="text1"/>
                <w:sz w:val="17"/>
                <w:szCs w:val="17"/>
              </w:rPr>
            </w:pPr>
            <w:r w:rsidRPr="00D25B2D">
              <w:rPr>
                <w:rFonts w:eastAsia="Times New Roman"/>
                <w:color w:val="000000" w:themeColor="text1"/>
                <w:sz w:val="17"/>
                <w:szCs w:val="17"/>
              </w:rPr>
              <w:t>Objective 1:  Economic Growth</w:t>
            </w:r>
          </w:p>
          <w:p w:rsidR="00C25AD7" w:rsidRDefault="00C25AD7" w:rsidP="002F4ABA">
            <w:pPr>
              <w:keepNext/>
              <w:spacing w:before="0" w:after="0" w:line="280" w:lineRule="exact"/>
              <w:rPr>
                <w:rFonts w:eastAsia="Times New Roman"/>
                <w:i/>
                <w:color w:val="8496B0" w:themeColor="text2" w:themeTint="99"/>
                <w:sz w:val="17"/>
                <w:szCs w:val="17"/>
              </w:rPr>
            </w:pPr>
            <w:r>
              <w:rPr>
                <w:rFonts w:eastAsia="Times New Roman"/>
                <w:i/>
                <w:sz w:val="17"/>
                <w:szCs w:val="17"/>
              </w:rPr>
              <w:t xml:space="preserve">      </w:t>
            </w:r>
            <w:r w:rsidRPr="004C65C1">
              <w:rPr>
                <w:rFonts w:eastAsia="Times New Roman"/>
                <w:i/>
                <w:color w:val="8496B0" w:themeColor="text2" w:themeTint="99"/>
                <w:sz w:val="17"/>
                <w:szCs w:val="17"/>
              </w:rPr>
              <w:t>Private Sector Initiatives and Aid for Trade</w:t>
            </w:r>
          </w:p>
          <w:p w:rsidR="00C25AD7" w:rsidRPr="004C65C1" w:rsidRDefault="00C25AD7" w:rsidP="002F4ABA">
            <w:pPr>
              <w:keepNext/>
              <w:spacing w:before="0" w:after="0" w:line="280" w:lineRule="exact"/>
              <w:rPr>
                <w:rFonts w:eastAsia="Times New Roman"/>
                <w:i/>
                <w:color w:val="8496B0" w:themeColor="text2" w:themeTint="99"/>
                <w:sz w:val="17"/>
                <w:szCs w:val="17"/>
              </w:rPr>
            </w:pPr>
            <w:r>
              <w:rPr>
                <w:rFonts w:eastAsia="Times New Roman"/>
                <w:i/>
                <w:sz w:val="17"/>
                <w:szCs w:val="17"/>
              </w:rPr>
              <w:t xml:space="preserve">      </w:t>
            </w:r>
            <w:r>
              <w:rPr>
                <w:rFonts w:eastAsia="Times New Roman"/>
                <w:i/>
                <w:color w:val="8496B0" w:themeColor="text2" w:themeTint="99"/>
                <w:sz w:val="17"/>
                <w:szCs w:val="17"/>
              </w:rPr>
              <w:t xml:space="preserve">Labour Mobility </w:t>
            </w:r>
          </w:p>
          <w:p w:rsidR="00C25AD7" w:rsidRPr="004C65C1" w:rsidRDefault="00C25AD7" w:rsidP="002F4ABA">
            <w:pPr>
              <w:keepNext/>
              <w:spacing w:before="0" w:after="0" w:line="280" w:lineRule="exact"/>
              <w:rPr>
                <w:rFonts w:eastAsia="Times New Roman"/>
                <w:i/>
                <w:color w:val="8496B0" w:themeColor="text2" w:themeTint="99"/>
                <w:sz w:val="17"/>
                <w:szCs w:val="17"/>
              </w:rPr>
            </w:pPr>
            <w:r w:rsidRPr="004C65C1">
              <w:rPr>
                <w:rFonts w:eastAsia="Times New Roman"/>
                <w:i/>
                <w:color w:val="8496B0" w:themeColor="text2" w:themeTint="99"/>
                <w:sz w:val="17"/>
                <w:szCs w:val="17"/>
              </w:rPr>
              <w:t xml:space="preserve">      Fisheries</w:t>
            </w:r>
          </w:p>
          <w:p w:rsidR="00C25AD7" w:rsidRPr="00046A4E" w:rsidRDefault="00C25AD7" w:rsidP="002F4ABA">
            <w:pPr>
              <w:keepNext/>
              <w:spacing w:before="0" w:after="0" w:line="280" w:lineRule="exact"/>
              <w:rPr>
                <w:rFonts w:eastAsia="Times New Roman"/>
                <w:i/>
                <w:sz w:val="17"/>
                <w:szCs w:val="17"/>
              </w:rPr>
            </w:pPr>
            <w:r w:rsidRPr="004C65C1">
              <w:rPr>
                <w:rFonts w:eastAsia="Times New Roman"/>
                <w:i/>
                <w:color w:val="8496B0" w:themeColor="text2" w:themeTint="99"/>
                <w:sz w:val="17"/>
                <w:szCs w:val="17"/>
              </w:rPr>
              <w:t xml:space="preserve">      Education</w:t>
            </w:r>
          </w:p>
        </w:tc>
        <w:tc>
          <w:tcPr>
            <w:tcW w:w="992" w:type="dxa"/>
            <w:tcBorders>
              <w:top w:val="nil"/>
              <w:left w:val="nil"/>
              <w:bottom w:val="nil"/>
              <w:right w:val="nil"/>
            </w:tcBorders>
          </w:tcPr>
          <w:p w:rsidR="00C25AD7" w:rsidRPr="00D25B2D" w:rsidRDefault="00C25AD7" w:rsidP="002F4ABA">
            <w:pPr>
              <w:keepNext/>
              <w:spacing w:before="0" w:after="0" w:line="280" w:lineRule="exact"/>
              <w:jc w:val="right"/>
              <w:rPr>
                <w:rFonts w:eastAsia="Times New Roman"/>
                <w:color w:val="000000" w:themeColor="text1"/>
                <w:sz w:val="17"/>
                <w:szCs w:val="17"/>
              </w:rPr>
            </w:pPr>
            <w:r w:rsidRPr="00AA06BA">
              <w:rPr>
                <w:rFonts w:eastAsia="Times New Roman"/>
                <w:b/>
                <w:color w:val="000000" w:themeColor="text1"/>
                <w:sz w:val="17"/>
                <w:szCs w:val="17"/>
              </w:rPr>
              <w:t>78.6</w:t>
            </w:r>
          </w:p>
          <w:p w:rsidR="00C25AD7" w:rsidRPr="004C65C1" w:rsidRDefault="00C25AD7" w:rsidP="002F4ABA">
            <w:pPr>
              <w:keepNext/>
              <w:spacing w:before="0" w:after="0" w:line="280" w:lineRule="exact"/>
              <w:jc w:val="right"/>
              <w:rPr>
                <w:rFonts w:eastAsia="Times New Roman"/>
                <w:i/>
                <w:color w:val="8496B0" w:themeColor="text2" w:themeTint="99"/>
                <w:sz w:val="17"/>
                <w:szCs w:val="17"/>
              </w:rPr>
            </w:pPr>
            <w:r>
              <w:rPr>
                <w:rFonts w:eastAsia="Times New Roman"/>
                <w:i/>
                <w:color w:val="8496B0" w:themeColor="text2" w:themeTint="99"/>
                <w:sz w:val="17"/>
                <w:szCs w:val="17"/>
              </w:rPr>
              <w:t>16.7</w:t>
            </w:r>
          </w:p>
          <w:p w:rsidR="00C25AD7" w:rsidRDefault="00C25AD7" w:rsidP="002F4ABA">
            <w:pPr>
              <w:keepNext/>
              <w:spacing w:before="0" w:after="0" w:line="280" w:lineRule="exact"/>
              <w:jc w:val="right"/>
              <w:rPr>
                <w:rFonts w:eastAsia="Times New Roman"/>
                <w:i/>
                <w:color w:val="8496B0" w:themeColor="text2" w:themeTint="99"/>
                <w:sz w:val="17"/>
                <w:szCs w:val="17"/>
              </w:rPr>
            </w:pPr>
            <w:r>
              <w:rPr>
                <w:rFonts w:eastAsia="Times New Roman"/>
                <w:i/>
                <w:color w:val="8496B0" w:themeColor="text2" w:themeTint="99"/>
                <w:sz w:val="17"/>
                <w:szCs w:val="17"/>
              </w:rPr>
              <w:t>4.1</w:t>
            </w:r>
          </w:p>
          <w:p w:rsidR="00C25AD7" w:rsidRPr="004C65C1" w:rsidRDefault="00C25AD7" w:rsidP="002F4ABA">
            <w:pPr>
              <w:keepNext/>
              <w:spacing w:before="0" w:after="0" w:line="280" w:lineRule="exact"/>
              <w:jc w:val="right"/>
              <w:rPr>
                <w:rFonts w:eastAsia="Times New Roman"/>
                <w:i/>
                <w:color w:val="8496B0" w:themeColor="text2" w:themeTint="99"/>
                <w:sz w:val="17"/>
                <w:szCs w:val="17"/>
              </w:rPr>
            </w:pPr>
            <w:r>
              <w:rPr>
                <w:rFonts w:eastAsia="Times New Roman"/>
                <w:i/>
                <w:color w:val="8496B0" w:themeColor="text2" w:themeTint="99"/>
                <w:sz w:val="17"/>
                <w:szCs w:val="17"/>
              </w:rPr>
              <w:t>8.6</w:t>
            </w:r>
          </w:p>
          <w:p w:rsidR="00C25AD7" w:rsidRPr="003B0793" w:rsidRDefault="00C25AD7" w:rsidP="002F4ABA">
            <w:pPr>
              <w:keepNext/>
              <w:spacing w:before="0" w:after="0" w:line="280" w:lineRule="exact"/>
              <w:jc w:val="right"/>
              <w:rPr>
                <w:rFonts w:eastAsia="Times New Roman"/>
                <w:sz w:val="17"/>
                <w:szCs w:val="17"/>
              </w:rPr>
            </w:pPr>
            <w:r>
              <w:rPr>
                <w:rFonts w:eastAsia="Times New Roman"/>
                <w:i/>
                <w:color w:val="8496B0" w:themeColor="text2" w:themeTint="99"/>
                <w:sz w:val="17"/>
                <w:szCs w:val="17"/>
              </w:rPr>
              <w:t>49.2</w:t>
            </w:r>
          </w:p>
        </w:tc>
        <w:tc>
          <w:tcPr>
            <w:tcW w:w="1525" w:type="dxa"/>
            <w:tcBorders>
              <w:top w:val="nil"/>
              <w:left w:val="nil"/>
              <w:bottom w:val="nil"/>
              <w:right w:val="nil"/>
            </w:tcBorders>
          </w:tcPr>
          <w:p w:rsidR="00C25AD7" w:rsidRPr="000D5EAB" w:rsidRDefault="00C25AD7" w:rsidP="002F4ABA">
            <w:pPr>
              <w:keepNext/>
              <w:spacing w:before="0" w:after="0" w:line="280" w:lineRule="exact"/>
              <w:jc w:val="right"/>
              <w:rPr>
                <w:rFonts w:eastAsia="Times New Roman"/>
                <w:b/>
                <w:color w:val="000000" w:themeColor="text1"/>
                <w:sz w:val="17"/>
                <w:szCs w:val="17"/>
              </w:rPr>
            </w:pPr>
            <w:r w:rsidRPr="000D5EAB">
              <w:rPr>
                <w:rFonts w:eastAsia="Times New Roman"/>
                <w:b/>
                <w:color w:val="000000" w:themeColor="text1"/>
                <w:sz w:val="17"/>
                <w:szCs w:val="17"/>
              </w:rPr>
              <w:t>60.8%</w:t>
            </w:r>
          </w:p>
          <w:p w:rsidR="00C25AD7" w:rsidRPr="004C65C1" w:rsidRDefault="00C25AD7" w:rsidP="002F4ABA">
            <w:pPr>
              <w:keepNext/>
              <w:spacing w:before="0" w:after="0" w:line="280" w:lineRule="exact"/>
              <w:jc w:val="right"/>
              <w:rPr>
                <w:rFonts w:eastAsia="Times New Roman"/>
                <w:i/>
                <w:color w:val="8496B0" w:themeColor="text2" w:themeTint="99"/>
                <w:sz w:val="17"/>
                <w:szCs w:val="17"/>
              </w:rPr>
            </w:pPr>
            <w:r w:rsidRPr="009F52C5">
              <w:rPr>
                <w:rFonts w:eastAsia="Times New Roman"/>
                <w:i/>
                <w:color w:val="8496B0" w:themeColor="text2" w:themeTint="99"/>
                <w:sz w:val="17"/>
                <w:szCs w:val="17"/>
              </w:rPr>
              <w:t>12.9%</w:t>
            </w:r>
          </w:p>
          <w:p w:rsidR="00C25AD7" w:rsidRDefault="00C25AD7" w:rsidP="002F4ABA">
            <w:pPr>
              <w:keepNext/>
              <w:spacing w:before="0" w:after="0" w:line="280" w:lineRule="exact"/>
              <w:jc w:val="right"/>
              <w:rPr>
                <w:rFonts w:eastAsia="Times New Roman"/>
                <w:i/>
                <w:color w:val="8496B0" w:themeColor="text2" w:themeTint="99"/>
                <w:sz w:val="17"/>
                <w:szCs w:val="17"/>
              </w:rPr>
            </w:pPr>
            <w:r>
              <w:rPr>
                <w:rFonts w:eastAsia="Times New Roman"/>
                <w:i/>
                <w:color w:val="8496B0" w:themeColor="text2" w:themeTint="99"/>
                <w:sz w:val="17"/>
                <w:szCs w:val="17"/>
              </w:rPr>
              <w:t>3.2%</w:t>
            </w:r>
          </w:p>
          <w:p w:rsidR="00C25AD7" w:rsidRPr="004C65C1" w:rsidRDefault="00C25AD7" w:rsidP="002F4ABA">
            <w:pPr>
              <w:keepNext/>
              <w:spacing w:before="0" w:after="0" w:line="280" w:lineRule="exact"/>
              <w:jc w:val="right"/>
              <w:rPr>
                <w:rFonts w:eastAsia="Times New Roman"/>
                <w:i/>
                <w:color w:val="8496B0" w:themeColor="text2" w:themeTint="99"/>
                <w:sz w:val="17"/>
                <w:szCs w:val="17"/>
              </w:rPr>
            </w:pPr>
            <w:r>
              <w:rPr>
                <w:rFonts w:eastAsia="Times New Roman"/>
                <w:i/>
                <w:color w:val="8496B0" w:themeColor="text2" w:themeTint="99"/>
                <w:sz w:val="17"/>
                <w:szCs w:val="17"/>
              </w:rPr>
              <w:t>6</w:t>
            </w:r>
            <w:r w:rsidRPr="004C65C1">
              <w:rPr>
                <w:rFonts w:eastAsia="Times New Roman"/>
                <w:i/>
                <w:color w:val="8496B0" w:themeColor="text2" w:themeTint="99"/>
                <w:sz w:val="17"/>
                <w:szCs w:val="17"/>
              </w:rPr>
              <w:t>.</w:t>
            </w:r>
            <w:r>
              <w:rPr>
                <w:rFonts w:eastAsia="Times New Roman"/>
                <w:i/>
                <w:color w:val="8496B0" w:themeColor="text2" w:themeTint="99"/>
                <w:sz w:val="17"/>
                <w:szCs w:val="17"/>
              </w:rPr>
              <w:t>7</w:t>
            </w:r>
            <w:r w:rsidRPr="004C65C1">
              <w:rPr>
                <w:rFonts w:eastAsia="Times New Roman"/>
                <w:i/>
                <w:color w:val="8496B0" w:themeColor="text2" w:themeTint="99"/>
                <w:sz w:val="17"/>
                <w:szCs w:val="17"/>
              </w:rPr>
              <w:t>%</w:t>
            </w:r>
          </w:p>
          <w:p w:rsidR="00C25AD7" w:rsidRPr="004C65C1" w:rsidRDefault="00C25AD7" w:rsidP="002F4ABA">
            <w:pPr>
              <w:keepNext/>
              <w:spacing w:before="0" w:after="0" w:line="280" w:lineRule="exact"/>
              <w:jc w:val="right"/>
              <w:rPr>
                <w:rFonts w:eastAsia="Times New Roman"/>
                <w:i/>
                <w:sz w:val="17"/>
                <w:szCs w:val="17"/>
              </w:rPr>
            </w:pPr>
            <w:r>
              <w:rPr>
                <w:rFonts w:eastAsia="Times New Roman"/>
                <w:i/>
                <w:color w:val="8496B0" w:themeColor="text2" w:themeTint="99"/>
                <w:sz w:val="17"/>
                <w:szCs w:val="17"/>
              </w:rPr>
              <w:t>38.0</w:t>
            </w:r>
            <w:r w:rsidRPr="004C65C1">
              <w:rPr>
                <w:rFonts w:eastAsia="Times New Roman"/>
                <w:i/>
                <w:color w:val="8496B0" w:themeColor="text2" w:themeTint="99"/>
                <w:sz w:val="17"/>
                <w:szCs w:val="17"/>
              </w:rPr>
              <w:t>%</w:t>
            </w:r>
          </w:p>
        </w:tc>
      </w:tr>
      <w:tr w:rsidR="00C25AD7" w:rsidRPr="003B0793" w:rsidTr="002F4ABA">
        <w:tc>
          <w:tcPr>
            <w:tcW w:w="6204" w:type="dxa"/>
            <w:tcBorders>
              <w:top w:val="nil"/>
            </w:tcBorders>
          </w:tcPr>
          <w:p w:rsidR="00C25AD7" w:rsidRPr="00D25B2D" w:rsidRDefault="00C25AD7" w:rsidP="002F4ABA">
            <w:pPr>
              <w:keepNext/>
              <w:spacing w:before="0" w:after="0" w:line="280" w:lineRule="exact"/>
              <w:rPr>
                <w:rFonts w:eastAsia="Times New Roman"/>
                <w:color w:val="000000" w:themeColor="text1"/>
                <w:sz w:val="17"/>
                <w:szCs w:val="17"/>
              </w:rPr>
            </w:pPr>
            <w:r w:rsidRPr="00D25B2D">
              <w:rPr>
                <w:rFonts w:eastAsia="Times New Roman"/>
                <w:color w:val="000000" w:themeColor="text1"/>
                <w:sz w:val="17"/>
                <w:szCs w:val="17"/>
              </w:rPr>
              <w:t>Objective 2:  Effective Regional Institutions</w:t>
            </w:r>
          </w:p>
          <w:p w:rsidR="00C25AD7" w:rsidRPr="004C65C1" w:rsidRDefault="00C25AD7" w:rsidP="002F4ABA">
            <w:pPr>
              <w:keepNext/>
              <w:spacing w:before="0" w:after="0" w:line="280" w:lineRule="exact"/>
              <w:rPr>
                <w:rFonts w:eastAsia="Times New Roman"/>
                <w:i/>
                <w:color w:val="8496B0" w:themeColor="text2" w:themeTint="99"/>
                <w:sz w:val="17"/>
                <w:szCs w:val="17"/>
              </w:rPr>
            </w:pPr>
            <w:r>
              <w:rPr>
                <w:rFonts w:eastAsia="Times New Roman"/>
                <w:sz w:val="17"/>
                <w:szCs w:val="17"/>
              </w:rPr>
              <w:t xml:space="preserve">      </w:t>
            </w:r>
            <w:r w:rsidRPr="004C65C1">
              <w:rPr>
                <w:rFonts w:eastAsia="Times New Roman"/>
                <w:i/>
                <w:color w:val="8496B0" w:themeColor="text2" w:themeTint="99"/>
                <w:sz w:val="17"/>
                <w:szCs w:val="17"/>
              </w:rPr>
              <w:t>Regional Institutions</w:t>
            </w:r>
            <w:r>
              <w:rPr>
                <w:rFonts w:eastAsia="Times New Roman"/>
                <w:i/>
                <w:color w:val="8496B0" w:themeColor="text2" w:themeTint="99"/>
                <w:sz w:val="17"/>
                <w:szCs w:val="17"/>
              </w:rPr>
              <w:t xml:space="preserve"> (PIFs and SPC)</w:t>
            </w:r>
          </w:p>
          <w:p w:rsidR="00C25AD7" w:rsidRPr="003B0793" w:rsidRDefault="00C25AD7" w:rsidP="002F4ABA">
            <w:pPr>
              <w:keepNext/>
              <w:spacing w:before="0" w:after="0" w:line="280" w:lineRule="exact"/>
              <w:rPr>
                <w:rFonts w:eastAsia="Times New Roman"/>
                <w:sz w:val="17"/>
                <w:szCs w:val="17"/>
              </w:rPr>
            </w:pPr>
            <w:r w:rsidRPr="004C65C1">
              <w:rPr>
                <w:rFonts w:eastAsia="Times New Roman"/>
                <w:i/>
                <w:color w:val="8496B0" w:themeColor="text2" w:themeTint="99"/>
                <w:sz w:val="17"/>
                <w:szCs w:val="17"/>
              </w:rPr>
              <w:t xml:space="preserve">      Governance</w:t>
            </w:r>
          </w:p>
        </w:tc>
        <w:tc>
          <w:tcPr>
            <w:tcW w:w="992" w:type="dxa"/>
          </w:tcPr>
          <w:p w:rsidR="00C25AD7" w:rsidRPr="00AA06BA" w:rsidRDefault="00C25AD7" w:rsidP="002F4ABA">
            <w:pPr>
              <w:keepNext/>
              <w:spacing w:before="0" w:after="0" w:line="280" w:lineRule="exact"/>
              <w:jc w:val="right"/>
              <w:rPr>
                <w:rFonts w:eastAsia="Times New Roman"/>
                <w:b/>
                <w:color w:val="000000" w:themeColor="text1"/>
                <w:sz w:val="17"/>
                <w:szCs w:val="17"/>
              </w:rPr>
            </w:pPr>
            <w:r w:rsidRPr="00AA06BA">
              <w:rPr>
                <w:rFonts w:eastAsia="Times New Roman"/>
                <w:b/>
                <w:color w:val="000000" w:themeColor="text1"/>
                <w:sz w:val="17"/>
                <w:szCs w:val="17"/>
              </w:rPr>
              <w:t>49.8</w:t>
            </w:r>
          </w:p>
          <w:p w:rsidR="00C25AD7" w:rsidRPr="004C65C1" w:rsidRDefault="00C25AD7" w:rsidP="002F4ABA">
            <w:pPr>
              <w:keepNext/>
              <w:spacing w:before="0" w:after="0" w:line="280" w:lineRule="exact"/>
              <w:jc w:val="right"/>
              <w:rPr>
                <w:rFonts w:eastAsia="Times New Roman"/>
                <w:i/>
                <w:color w:val="8496B0" w:themeColor="text2" w:themeTint="99"/>
                <w:sz w:val="17"/>
                <w:szCs w:val="17"/>
              </w:rPr>
            </w:pPr>
            <w:r w:rsidRPr="004C65C1">
              <w:rPr>
                <w:rFonts w:eastAsia="Times New Roman"/>
                <w:i/>
                <w:color w:val="8496B0" w:themeColor="text2" w:themeTint="99"/>
                <w:sz w:val="17"/>
                <w:szCs w:val="17"/>
              </w:rPr>
              <w:t>2</w:t>
            </w:r>
            <w:r>
              <w:rPr>
                <w:rFonts w:eastAsia="Times New Roman"/>
                <w:i/>
                <w:color w:val="8496B0" w:themeColor="text2" w:themeTint="99"/>
                <w:sz w:val="17"/>
                <w:szCs w:val="17"/>
              </w:rPr>
              <w:t>0</w:t>
            </w:r>
            <w:r w:rsidRPr="004C65C1">
              <w:rPr>
                <w:rFonts w:eastAsia="Times New Roman"/>
                <w:i/>
                <w:color w:val="8496B0" w:themeColor="text2" w:themeTint="99"/>
                <w:sz w:val="17"/>
                <w:szCs w:val="17"/>
              </w:rPr>
              <w:t>.</w:t>
            </w:r>
            <w:r>
              <w:rPr>
                <w:rFonts w:eastAsia="Times New Roman"/>
                <w:i/>
                <w:color w:val="8496B0" w:themeColor="text2" w:themeTint="99"/>
                <w:sz w:val="17"/>
                <w:szCs w:val="17"/>
              </w:rPr>
              <w:t>8</w:t>
            </w:r>
          </w:p>
          <w:p w:rsidR="00C25AD7" w:rsidRPr="004C65C1" w:rsidRDefault="00C25AD7" w:rsidP="002F4ABA">
            <w:pPr>
              <w:keepNext/>
              <w:spacing w:before="0" w:after="0" w:line="280" w:lineRule="exact"/>
              <w:jc w:val="right"/>
              <w:rPr>
                <w:rFonts w:eastAsia="Times New Roman"/>
                <w:i/>
                <w:sz w:val="17"/>
                <w:szCs w:val="17"/>
              </w:rPr>
            </w:pPr>
            <w:r>
              <w:rPr>
                <w:rFonts w:eastAsia="Times New Roman"/>
                <w:i/>
                <w:color w:val="8496B0" w:themeColor="text2" w:themeTint="99"/>
                <w:sz w:val="17"/>
                <w:szCs w:val="17"/>
              </w:rPr>
              <w:t>29</w:t>
            </w:r>
            <w:r w:rsidRPr="004C65C1">
              <w:rPr>
                <w:rFonts w:eastAsia="Times New Roman"/>
                <w:i/>
                <w:color w:val="8496B0" w:themeColor="text2" w:themeTint="99"/>
                <w:sz w:val="17"/>
                <w:szCs w:val="17"/>
              </w:rPr>
              <w:t>.</w:t>
            </w:r>
            <w:r>
              <w:rPr>
                <w:rFonts w:eastAsia="Times New Roman"/>
                <w:i/>
                <w:color w:val="8496B0" w:themeColor="text2" w:themeTint="99"/>
                <w:sz w:val="17"/>
                <w:szCs w:val="17"/>
              </w:rPr>
              <w:t>0</w:t>
            </w:r>
          </w:p>
        </w:tc>
        <w:tc>
          <w:tcPr>
            <w:tcW w:w="1525" w:type="dxa"/>
          </w:tcPr>
          <w:p w:rsidR="00C25AD7" w:rsidRPr="000D5EAB" w:rsidRDefault="00C25AD7" w:rsidP="002F4ABA">
            <w:pPr>
              <w:keepNext/>
              <w:spacing w:before="0" w:after="0" w:line="280" w:lineRule="exact"/>
              <w:jc w:val="right"/>
              <w:rPr>
                <w:rFonts w:eastAsia="Times New Roman"/>
                <w:b/>
                <w:color w:val="000000" w:themeColor="text1"/>
                <w:sz w:val="17"/>
                <w:szCs w:val="17"/>
              </w:rPr>
            </w:pPr>
            <w:r w:rsidRPr="000D5EAB">
              <w:rPr>
                <w:rFonts w:eastAsia="Times New Roman"/>
                <w:b/>
                <w:color w:val="000000" w:themeColor="text1"/>
                <w:sz w:val="17"/>
                <w:szCs w:val="17"/>
              </w:rPr>
              <w:t>38.5%</w:t>
            </w:r>
          </w:p>
          <w:p w:rsidR="00C25AD7" w:rsidRPr="004C65C1" w:rsidRDefault="00C25AD7" w:rsidP="002F4ABA">
            <w:pPr>
              <w:keepNext/>
              <w:spacing w:before="0" w:after="0" w:line="280" w:lineRule="exact"/>
              <w:jc w:val="right"/>
              <w:rPr>
                <w:rFonts w:eastAsia="Times New Roman"/>
                <w:i/>
                <w:color w:val="8496B0" w:themeColor="text2" w:themeTint="99"/>
                <w:sz w:val="17"/>
                <w:szCs w:val="17"/>
              </w:rPr>
            </w:pPr>
            <w:r>
              <w:rPr>
                <w:rFonts w:eastAsia="Times New Roman"/>
                <w:i/>
                <w:color w:val="8496B0" w:themeColor="text2" w:themeTint="99"/>
                <w:sz w:val="17"/>
                <w:szCs w:val="17"/>
              </w:rPr>
              <w:t>16</w:t>
            </w:r>
            <w:r w:rsidRPr="004C65C1">
              <w:rPr>
                <w:rFonts w:eastAsia="Times New Roman"/>
                <w:i/>
                <w:color w:val="8496B0" w:themeColor="text2" w:themeTint="99"/>
                <w:sz w:val="17"/>
                <w:szCs w:val="17"/>
              </w:rPr>
              <w:t>.</w:t>
            </w:r>
            <w:r>
              <w:rPr>
                <w:rFonts w:eastAsia="Times New Roman"/>
                <w:i/>
                <w:color w:val="8496B0" w:themeColor="text2" w:themeTint="99"/>
                <w:sz w:val="17"/>
                <w:szCs w:val="17"/>
              </w:rPr>
              <w:t>1</w:t>
            </w:r>
            <w:r w:rsidRPr="004C65C1">
              <w:rPr>
                <w:rFonts w:eastAsia="Times New Roman"/>
                <w:i/>
                <w:color w:val="8496B0" w:themeColor="text2" w:themeTint="99"/>
                <w:sz w:val="17"/>
                <w:szCs w:val="17"/>
              </w:rPr>
              <w:t>%</w:t>
            </w:r>
          </w:p>
          <w:p w:rsidR="00C25AD7" w:rsidRPr="004C65C1" w:rsidRDefault="00C25AD7" w:rsidP="002F4ABA">
            <w:pPr>
              <w:keepNext/>
              <w:tabs>
                <w:tab w:val="center" w:pos="654"/>
                <w:tab w:val="right" w:pos="1309"/>
              </w:tabs>
              <w:spacing w:before="0" w:after="0" w:line="280" w:lineRule="exact"/>
              <w:rPr>
                <w:rFonts w:eastAsia="Times New Roman"/>
                <w:i/>
                <w:sz w:val="17"/>
                <w:szCs w:val="17"/>
              </w:rPr>
            </w:pPr>
            <w:r>
              <w:rPr>
                <w:rFonts w:eastAsia="Times New Roman"/>
                <w:sz w:val="17"/>
                <w:szCs w:val="17"/>
              </w:rPr>
              <w:tab/>
            </w:r>
            <w:r>
              <w:rPr>
                <w:rFonts w:eastAsia="Times New Roman"/>
                <w:sz w:val="17"/>
                <w:szCs w:val="17"/>
              </w:rPr>
              <w:tab/>
            </w:r>
            <w:r>
              <w:rPr>
                <w:rFonts w:eastAsia="Times New Roman"/>
                <w:i/>
                <w:color w:val="8496B0" w:themeColor="text2" w:themeTint="99"/>
                <w:sz w:val="17"/>
                <w:szCs w:val="17"/>
              </w:rPr>
              <w:t>22</w:t>
            </w:r>
            <w:r w:rsidRPr="004C65C1">
              <w:rPr>
                <w:rFonts w:eastAsia="Times New Roman"/>
                <w:i/>
                <w:color w:val="8496B0" w:themeColor="text2" w:themeTint="99"/>
                <w:sz w:val="17"/>
                <w:szCs w:val="17"/>
              </w:rPr>
              <w:t>.</w:t>
            </w:r>
            <w:r>
              <w:rPr>
                <w:rFonts w:eastAsia="Times New Roman"/>
                <w:i/>
                <w:color w:val="8496B0" w:themeColor="text2" w:themeTint="99"/>
                <w:sz w:val="17"/>
                <w:szCs w:val="17"/>
              </w:rPr>
              <w:t>4</w:t>
            </w:r>
            <w:r w:rsidRPr="004C65C1">
              <w:rPr>
                <w:rFonts w:eastAsia="Times New Roman"/>
                <w:i/>
                <w:color w:val="8496B0" w:themeColor="text2" w:themeTint="99"/>
                <w:sz w:val="17"/>
                <w:szCs w:val="17"/>
              </w:rPr>
              <w:t>%</w:t>
            </w:r>
          </w:p>
        </w:tc>
      </w:tr>
      <w:tr w:rsidR="00C25AD7" w:rsidRPr="003B0793" w:rsidTr="002F4ABA">
        <w:tc>
          <w:tcPr>
            <w:tcW w:w="6204" w:type="dxa"/>
          </w:tcPr>
          <w:p w:rsidR="00C25AD7" w:rsidRPr="00D25B2D" w:rsidRDefault="00C25AD7" w:rsidP="002F4ABA">
            <w:pPr>
              <w:keepNext/>
              <w:spacing w:before="0" w:after="0" w:line="280" w:lineRule="exact"/>
              <w:rPr>
                <w:rFonts w:eastAsia="Times New Roman"/>
                <w:color w:val="000000" w:themeColor="text1"/>
                <w:sz w:val="17"/>
                <w:szCs w:val="17"/>
              </w:rPr>
            </w:pPr>
            <w:r w:rsidRPr="00D25B2D">
              <w:rPr>
                <w:rFonts w:eastAsia="Times New Roman"/>
                <w:color w:val="000000" w:themeColor="text1"/>
                <w:sz w:val="17"/>
                <w:szCs w:val="17"/>
              </w:rPr>
              <w:t>Objective 3:  Healthy and Resilient Communities</w:t>
            </w:r>
          </w:p>
          <w:p w:rsidR="00C25AD7" w:rsidRPr="00D25B2D" w:rsidRDefault="00C25AD7" w:rsidP="002F4ABA">
            <w:pPr>
              <w:keepNext/>
              <w:spacing w:before="0" w:after="0" w:line="280" w:lineRule="exact"/>
              <w:rPr>
                <w:rFonts w:eastAsia="Times New Roman"/>
                <w:i/>
                <w:color w:val="8496B0" w:themeColor="text2" w:themeTint="99"/>
                <w:sz w:val="17"/>
                <w:szCs w:val="17"/>
              </w:rPr>
            </w:pPr>
            <w:r>
              <w:rPr>
                <w:rFonts w:eastAsia="Times New Roman"/>
                <w:sz w:val="17"/>
                <w:szCs w:val="17"/>
              </w:rPr>
              <w:t xml:space="preserve">      </w:t>
            </w:r>
            <w:r w:rsidRPr="00D25B2D">
              <w:rPr>
                <w:rFonts w:eastAsia="Times New Roman"/>
                <w:i/>
                <w:color w:val="8496B0" w:themeColor="text2" w:themeTint="99"/>
                <w:sz w:val="17"/>
                <w:szCs w:val="17"/>
              </w:rPr>
              <w:t>Health and Disability Support</w:t>
            </w:r>
          </w:p>
          <w:p w:rsidR="00C25AD7" w:rsidRPr="003B0793" w:rsidRDefault="00C25AD7" w:rsidP="002F4ABA">
            <w:pPr>
              <w:keepNext/>
              <w:spacing w:before="0" w:after="0" w:line="280" w:lineRule="exact"/>
              <w:rPr>
                <w:rFonts w:eastAsia="Times New Roman"/>
                <w:sz w:val="17"/>
                <w:szCs w:val="17"/>
              </w:rPr>
            </w:pPr>
            <w:r w:rsidRPr="00D25B2D">
              <w:rPr>
                <w:rFonts w:eastAsia="Times New Roman"/>
                <w:i/>
                <w:color w:val="8496B0" w:themeColor="text2" w:themeTint="99"/>
                <w:sz w:val="17"/>
                <w:szCs w:val="17"/>
              </w:rPr>
              <w:t xml:space="preserve">      Climate Change Adaptation and Disaster Risk Reduction</w:t>
            </w:r>
          </w:p>
        </w:tc>
        <w:tc>
          <w:tcPr>
            <w:tcW w:w="992" w:type="dxa"/>
          </w:tcPr>
          <w:p w:rsidR="00C25AD7" w:rsidRPr="00D25B2D" w:rsidRDefault="00C25AD7" w:rsidP="002F4ABA">
            <w:pPr>
              <w:keepNext/>
              <w:spacing w:before="0" w:after="0" w:line="280" w:lineRule="exact"/>
              <w:jc w:val="right"/>
              <w:rPr>
                <w:rFonts w:eastAsia="Times New Roman"/>
                <w:color w:val="000000" w:themeColor="text1"/>
                <w:sz w:val="17"/>
                <w:szCs w:val="17"/>
              </w:rPr>
            </w:pPr>
            <w:r w:rsidRPr="00D25B2D">
              <w:rPr>
                <w:rFonts w:eastAsia="Times New Roman"/>
                <w:color w:val="000000" w:themeColor="text1"/>
                <w:sz w:val="17"/>
                <w:szCs w:val="17"/>
              </w:rPr>
              <w:t>2</w:t>
            </w:r>
            <w:r>
              <w:rPr>
                <w:rFonts w:eastAsia="Times New Roman"/>
                <w:color w:val="000000" w:themeColor="text1"/>
                <w:sz w:val="17"/>
                <w:szCs w:val="17"/>
              </w:rPr>
              <w:t>3.3</w:t>
            </w:r>
          </w:p>
          <w:p w:rsidR="00C25AD7" w:rsidRPr="00D25B2D" w:rsidRDefault="00C25AD7" w:rsidP="002F4ABA">
            <w:pPr>
              <w:keepNext/>
              <w:spacing w:before="0" w:after="0" w:line="280" w:lineRule="exact"/>
              <w:jc w:val="right"/>
              <w:rPr>
                <w:rFonts w:eastAsia="Times New Roman"/>
                <w:i/>
                <w:color w:val="8496B0" w:themeColor="text2" w:themeTint="99"/>
                <w:sz w:val="17"/>
                <w:szCs w:val="17"/>
              </w:rPr>
            </w:pPr>
            <w:r>
              <w:rPr>
                <w:rFonts w:eastAsia="Times New Roman"/>
                <w:i/>
                <w:color w:val="8496B0" w:themeColor="text2" w:themeTint="99"/>
                <w:sz w:val="17"/>
                <w:szCs w:val="17"/>
              </w:rPr>
              <w:t>6</w:t>
            </w:r>
            <w:r w:rsidRPr="00D25B2D">
              <w:rPr>
                <w:rFonts w:eastAsia="Times New Roman"/>
                <w:i/>
                <w:color w:val="8496B0" w:themeColor="text2" w:themeTint="99"/>
                <w:sz w:val="17"/>
                <w:szCs w:val="17"/>
              </w:rPr>
              <w:t>.</w:t>
            </w:r>
            <w:r>
              <w:rPr>
                <w:rFonts w:eastAsia="Times New Roman"/>
                <w:i/>
                <w:color w:val="8496B0" w:themeColor="text2" w:themeTint="99"/>
                <w:sz w:val="17"/>
                <w:szCs w:val="17"/>
              </w:rPr>
              <w:t>9</w:t>
            </w:r>
          </w:p>
          <w:p w:rsidR="00C25AD7" w:rsidRPr="00D25B2D" w:rsidRDefault="00C25AD7" w:rsidP="002F4ABA">
            <w:pPr>
              <w:keepNext/>
              <w:spacing w:before="0" w:after="0" w:line="280" w:lineRule="exact"/>
              <w:jc w:val="right"/>
              <w:rPr>
                <w:rFonts w:eastAsia="Times New Roman"/>
                <w:i/>
                <w:sz w:val="17"/>
                <w:szCs w:val="17"/>
              </w:rPr>
            </w:pPr>
            <w:r>
              <w:rPr>
                <w:rFonts w:eastAsia="Times New Roman"/>
                <w:i/>
                <w:color w:val="8496B0" w:themeColor="text2" w:themeTint="99"/>
                <w:sz w:val="17"/>
                <w:szCs w:val="17"/>
              </w:rPr>
              <w:t>16.4</w:t>
            </w:r>
          </w:p>
        </w:tc>
        <w:tc>
          <w:tcPr>
            <w:tcW w:w="1525" w:type="dxa"/>
          </w:tcPr>
          <w:p w:rsidR="00C25AD7" w:rsidRPr="000D5EAB" w:rsidRDefault="00C25AD7" w:rsidP="002F4ABA">
            <w:pPr>
              <w:keepNext/>
              <w:spacing w:before="0" w:after="0" w:line="280" w:lineRule="exact"/>
              <w:jc w:val="right"/>
              <w:rPr>
                <w:rFonts w:eastAsia="Times New Roman"/>
                <w:b/>
                <w:color w:val="000000" w:themeColor="text1"/>
                <w:sz w:val="17"/>
                <w:szCs w:val="17"/>
              </w:rPr>
            </w:pPr>
            <w:r w:rsidRPr="000D5EAB">
              <w:rPr>
                <w:rFonts w:eastAsia="Times New Roman"/>
                <w:b/>
                <w:color w:val="000000" w:themeColor="text1"/>
                <w:sz w:val="17"/>
                <w:szCs w:val="17"/>
              </w:rPr>
              <w:t>18.0%</w:t>
            </w:r>
          </w:p>
          <w:p w:rsidR="00C25AD7" w:rsidRPr="00D25B2D" w:rsidRDefault="00C25AD7" w:rsidP="002F4ABA">
            <w:pPr>
              <w:keepNext/>
              <w:spacing w:before="0" w:after="0" w:line="280" w:lineRule="exact"/>
              <w:jc w:val="right"/>
              <w:rPr>
                <w:rFonts w:eastAsia="Times New Roman"/>
                <w:i/>
                <w:color w:val="8496B0" w:themeColor="text2" w:themeTint="99"/>
                <w:sz w:val="17"/>
                <w:szCs w:val="17"/>
              </w:rPr>
            </w:pPr>
            <w:r>
              <w:rPr>
                <w:rFonts w:eastAsia="Times New Roman"/>
                <w:i/>
                <w:color w:val="8496B0" w:themeColor="text2" w:themeTint="99"/>
                <w:sz w:val="17"/>
                <w:szCs w:val="17"/>
              </w:rPr>
              <w:t>5</w:t>
            </w:r>
            <w:r w:rsidRPr="00D25B2D">
              <w:rPr>
                <w:rFonts w:eastAsia="Times New Roman"/>
                <w:i/>
                <w:color w:val="8496B0" w:themeColor="text2" w:themeTint="99"/>
                <w:sz w:val="17"/>
                <w:szCs w:val="17"/>
              </w:rPr>
              <w:t>.</w:t>
            </w:r>
            <w:r>
              <w:rPr>
                <w:rFonts w:eastAsia="Times New Roman"/>
                <w:i/>
                <w:color w:val="8496B0" w:themeColor="text2" w:themeTint="99"/>
                <w:sz w:val="17"/>
                <w:szCs w:val="17"/>
              </w:rPr>
              <w:t>4</w:t>
            </w:r>
            <w:r w:rsidRPr="00D25B2D">
              <w:rPr>
                <w:rFonts w:eastAsia="Times New Roman"/>
                <w:i/>
                <w:color w:val="8496B0" w:themeColor="text2" w:themeTint="99"/>
                <w:sz w:val="17"/>
                <w:szCs w:val="17"/>
              </w:rPr>
              <w:t>%</w:t>
            </w:r>
          </w:p>
          <w:p w:rsidR="00C25AD7" w:rsidRPr="00D25B2D" w:rsidRDefault="00C25AD7" w:rsidP="002F4ABA">
            <w:pPr>
              <w:keepNext/>
              <w:spacing w:before="0" w:after="0" w:line="280" w:lineRule="exact"/>
              <w:jc w:val="right"/>
              <w:rPr>
                <w:rFonts w:eastAsia="Times New Roman"/>
                <w:i/>
                <w:sz w:val="17"/>
                <w:szCs w:val="17"/>
              </w:rPr>
            </w:pPr>
            <w:r>
              <w:rPr>
                <w:rFonts w:eastAsia="Times New Roman"/>
                <w:i/>
                <w:color w:val="8496B0" w:themeColor="text2" w:themeTint="99"/>
                <w:sz w:val="17"/>
                <w:szCs w:val="17"/>
              </w:rPr>
              <w:t>12</w:t>
            </w:r>
            <w:r w:rsidRPr="00D25B2D">
              <w:rPr>
                <w:rFonts w:eastAsia="Times New Roman"/>
                <w:i/>
                <w:color w:val="8496B0" w:themeColor="text2" w:themeTint="99"/>
                <w:sz w:val="17"/>
                <w:szCs w:val="17"/>
              </w:rPr>
              <w:t>.6%</w:t>
            </w:r>
          </w:p>
        </w:tc>
      </w:tr>
      <w:tr w:rsidR="00C25AD7" w:rsidRPr="00D25B2D" w:rsidTr="002F4ABA">
        <w:tc>
          <w:tcPr>
            <w:tcW w:w="6204" w:type="dxa"/>
          </w:tcPr>
          <w:p w:rsidR="00C25AD7" w:rsidRPr="00D25B2D" w:rsidRDefault="00C25AD7" w:rsidP="002F4ABA">
            <w:pPr>
              <w:keepNext/>
              <w:spacing w:before="40" w:after="40" w:line="280" w:lineRule="exact"/>
              <w:rPr>
                <w:rFonts w:eastAsia="Times New Roman"/>
                <w:color w:val="000000" w:themeColor="text1"/>
                <w:sz w:val="17"/>
                <w:szCs w:val="17"/>
              </w:rPr>
            </w:pPr>
            <w:r w:rsidRPr="00D25B2D">
              <w:rPr>
                <w:rFonts w:eastAsia="Times New Roman"/>
                <w:color w:val="000000" w:themeColor="text1"/>
                <w:sz w:val="17"/>
                <w:szCs w:val="17"/>
              </w:rPr>
              <w:t>Objective 4:  Empowering Women and Girls</w:t>
            </w:r>
          </w:p>
        </w:tc>
        <w:tc>
          <w:tcPr>
            <w:tcW w:w="992" w:type="dxa"/>
          </w:tcPr>
          <w:p w:rsidR="00C25AD7" w:rsidRPr="00AA06BA" w:rsidRDefault="00C25AD7" w:rsidP="002F4ABA">
            <w:pPr>
              <w:keepNext/>
              <w:spacing w:before="40" w:after="40" w:line="280" w:lineRule="exact"/>
              <w:jc w:val="right"/>
              <w:rPr>
                <w:rFonts w:eastAsia="Times New Roman"/>
                <w:b/>
                <w:color w:val="000000" w:themeColor="text1"/>
                <w:sz w:val="17"/>
                <w:szCs w:val="17"/>
              </w:rPr>
            </w:pPr>
            <w:r w:rsidRPr="00AA06BA">
              <w:rPr>
                <w:rFonts w:eastAsia="Times New Roman"/>
                <w:b/>
                <w:color w:val="000000" w:themeColor="text1"/>
                <w:sz w:val="17"/>
                <w:szCs w:val="17"/>
              </w:rPr>
              <w:t>13.7</w:t>
            </w:r>
          </w:p>
        </w:tc>
        <w:tc>
          <w:tcPr>
            <w:tcW w:w="1525" w:type="dxa"/>
          </w:tcPr>
          <w:p w:rsidR="00C25AD7" w:rsidRPr="00D25B2D" w:rsidRDefault="00C25AD7" w:rsidP="002F4ABA">
            <w:pPr>
              <w:keepNext/>
              <w:spacing w:before="40" w:after="40" w:line="280" w:lineRule="exact"/>
              <w:jc w:val="right"/>
              <w:rPr>
                <w:rFonts w:eastAsia="Times New Roman"/>
                <w:color w:val="000000" w:themeColor="text1"/>
                <w:sz w:val="17"/>
                <w:szCs w:val="17"/>
              </w:rPr>
            </w:pPr>
            <w:r>
              <w:rPr>
                <w:rFonts w:eastAsia="Times New Roman"/>
                <w:color w:val="000000" w:themeColor="text1"/>
                <w:sz w:val="17"/>
                <w:szCs w:val="17"/>
              </w:rPr>
              <w:t>10</w:t>
            </w:r>
            <w:r w:rsidRPr="00D25B2D">
              <w:rPr>
                <w:rFonts w:eastAsia="Times New Roman"/>
                <w:color w:val="000000" w:themeColor="text1"/>
                <w:sz w:val="17"/>
                <w:szCs w:val="17"/>
              </w:rPr>
              <w:t>.</w:t>
            </w:r>
            <w:r>
              <w:rPr>
                <w:rFonts w:eastAsia="Times New Roman"/>
                <w:color w:val="000000" w:themeColor="text1"/>
                <w:sz w:val="17"/>
                <w:szCs w:val="17"/>
              </w:rPr>
              <w:t>6</w:t>
            </w:r>
            <w:r w:rsidRPr="00D25B2D">
              <w:rPr>
                <w:rFonts w:eastAsia="Times New Roman"/>
                <w:color w:val="000000" w:themeColor="text1"/>
                <w:sz w:val="17"/>
                <w:szCs w:val="17"/>
              </w:rPr>
              <w:t>%</w:t>
            </w:r>
          </w:p>
        </w:tc>
      </w:tr>
      <w:tr w:rsidR="00C25AD7" w:rsidRPr="003B0793" w:rsidTr="002F4ABA">
        <w:tc>
          <w:tcPr>
            <w:tcW w:w="6204" w:type="dxa"/>
          </w:tcPr>
          <w:p w:rsidR="00C25AD7" w:rsidRPr="003B0793" w:rsidRDefault="00C25AD7" w:rsidP="002F4ABA">
            <w:pPr>
              <w:keepNext/>
              <w:spacing w:before="0" w:after="0" w:line="280" w:lineRule="exact"/>
              <w:rPr>
                <w:rFonts w:eastAsia="Times New Roman"/>
                <w:b/>
                <w:sz w:val="17"/>
                <w:szCs w:val="17"/>
              </w:rPr>
            </w:pPr>
            <w:r w:rsidRPr="00D25B2D">
              <w:rPr>
                <w:rFonts w:eastAsia="Times New Roman"/>
                <w:b/>
                <w:color w:val="000000" w:themeColor="text1"/>
                <w:sz w:val="17"/>
                <w:szCs w:val="17"/>
              </w:rPr>
              <w:t>Sub-Total Pacific Regional</w:t>
            </w:r>
          </w:p>
        </w:tc>
        <w:tc>
          <w:tcPr>
            <w:tcW w:w="992" w:type="dxa"/>
          </w:tcPr>
          <w:p w:rsidR="00C25AD7" w:rsidRPr="00132D41" w:rsidRDefault="00C25AD7" w:rsidP="002F4ABA">
            <w:pPr>
              <w:keepNext/>
              <w:spacing w:before="0" w:after="0" w:line="280" w:lineRule="exact"/>
              <w:jc w:val="right"/>
              <w:rPr>
                <w:rFonts w:eastAsia="Times New Roman"/>
                <w:b/>
                <w:sz w:val="17"/>
                <w:szCs w:val="17"/>
              </w:rPr>
            </w:pPr>
            <w:r>
              <w:rPr>
                <w:rFonts w:eastAsia="Times New Roman"/>
                <w:b/>
                <w:color w:val="000000" w:themeColor="text1"/>
                <w:sz w:val="17"/>
                <w:szCs w:val="17"/>
              </w:rPr>
              <w:t>165.4</w:t>
            </w:r>
          </w:p>
        </w:tc>
        <w:tc>
          <w:tcPr>
            <w:tcW w:w="1525" w:type="dxa"/>
          </w:tcPr>
          <w:p w:rsidR="00C25AD7" w:rsidRPr="00132D41" w:rsidRDefault="00C25AD7" w:rsidP="002F4ABA">
            <w:pPr>
              <w:keepNext/>
              <w:spacing w:before="0" w:after="0" w:line="280" w:lineRule="exact"/>
              <w:jc w:val="right"/>
              <w:rPr>
                <w:rFonts w:eastAsia="Times New Roman"/>
                <w:b/>
                <w:sz w:val="17"/>
                <w:szCs w:val="17"/>
              </w:rPr>
            </w:pPr>
            <w:r>
              <w:rPr>
                <w:rFonts w:eastAsia="Times New Roman"/>
                <w:b/>
                <w:color w:val="000000" w:themeColor="text1"/>
                <w:sz w:val="17"/>
                <w:szCs w:val="17"/>
              </w:rPr>
              <w:t>128.0</w:t>
            </w:r>
            <w:r w:rsidRPr="00D25B2D">
              <w:rPr>
                <w:rFonts w:eastAsia="Times New Roman"/>
                <w:b/>
                <w:color w:val="000000" w:themeColor="text1"/>
                <w:sz w:val="17"/>
                <w:szCs w:val="17"/>
              </w:rPr>
              <w:t>%</w:t>
            </w:r>
          </w:p>
        </w:tc>
      </w:tr>
      <w:tr w:rsidR="00C25AD7" w:rsidRPr="003B0793" w:rsidTr="002F4ABA">
        <w:tc>
          <w:tcPr>
            <w:tcW w:w="6204" w:type="dxa"/>
          </w:tcPr>
          <w:p w:rsidR="00C25AD7" w:rsidRPr="00D25B2D" w:rsidRDefault="00C25AD7" w:rsidP="002F4ABA">
            <w:pPr>
              <w:keepNext/>
              <w:spacing w:before="0" w:after="0" w:line="280" w:lineRule="exact"/>
              <w:rPr>
                <w:rFonts w:eastAsia="Times New Roman"/>
                <w:color w:val="000000" w:themeColor="text1"/>
                <w:sz w:val="17"/>
                <w:szCs w:val="17"/>
              </w:rPr>
            </w:pPr>
            <w:r>
              <w:rPr>
                <w:rFonts w:eastAsia="Times New Roman"/>
                <w:color w:val="000000" w:themeColor="text1"/>
                <w:sz w:val="17"/>
                <w:szCs w:val="17"/>
              </w:rPr>
              <w:t>LESS flows attributed to Pacific countries</w:t>
            </w:r>
          </w:p>
        </w:tc>
        <w:tc>
          <w:tcPr>
            <w:tcW w:w="992" w:type="dxa"/>
          </w:tcPr>
          <w:p w:rsidR="00C25AD7" w:rsidRDefault="00C25AD7" w:rsidP="002F4ABA">
            <w:pPr>
              <w:keepNext/>
              <w:spacing w:before="0" w:after="0" w:line="280" w:lineRule="exact"/>
              <w:jc w:val="right"/>
              <w:rPr>
                <w:rFonts w:eastAsia="Times New Roman"/>
                <w:color w:val="000000" w:themeColor="text1"/>
                <w:sz w:val="17"/>
                <w:szCs w:val="17"/>
              </w:rPr>
            </w:pPr>
            <w:r>
              <w:rPr>
                <w:rFonts w:eastAsia="Times New Roman"/>
                <w:color w:val="000000" w:themeColor="text1"/>
                <w:sz w:val="17"/>
                <w:szCs w:val="17"/>
              </w:rPr>
              <w:t>-79.6</w:t>
            </w:r>
          </w:p>
        </w:tc>
        <w:tc>
          <w:tcPr>
            <w:tcW w:w="1525" w:type="dxa"/>
          </w:tcPr>
          <w:p w:rsidR="00C25AD7" w:rsidRPr="00D25B2D" w:rsidRDefault="00C25AD7" w:rsidP="002F4ABA">
            <w:pPr>
              <w:keepNext/>
              <w:spacing w:before="0" w:after="0" w:line="280" w:lineRule="exact"/>
              <w:jc w:val="right"/>
              <w:rPr>
                <w:rFonts w:eastAsia="Times New Roman"/>
                <w:color w:val="000000" w:themeColor="text1"/>
                <w:sz w:val="17"/>
                <w:szCs w:val="17"/>
              </w:rPr>
            </w:pPr>
            <w:r>
              <w:rPr>
                <w:rFonts w:eastAsia="Times New Roman"/>
                <w:color w:val="000000" w:themeColor="text1"/>
                <w:sz w:val="17"/>
                <w:szCs w:val="17"/>
              </w:rPr>
              <w:t>-61.6</w:t>
            </w:r>
          </w:p>
        </w:tc>
      </w:tr>
      <w:tr w:rsidR="00C25AD7" w:rsidRPr="003B0793" w:rsidTr="002F4ABA">
        <w:tc>
          <w:tcPr>
            <w:tcW w:w="6204" w:type="dxa"/>
          </w:tcPr>
          <w:p w:rsidR="00C25AD7" w:rsidRPr="003B0793" w:rsidRDefault="00C25AD7" w:rsidP="002F4ABA">
            <w:pPr>
              <w:keepNext/>
              <w:spacing w:before="0" w:after="0" w:line="280" w:lineRule="exact"/>
              <w:rPr>
                <w:rFonts w:eastAsia="Times New Roman"/>
                <w:sz w:val="17"/>
                <w:szCs w:val="17"/>
              </w:rPr>
            </w:pPr>
            <w:r w:rsidRPr="00D25B2D">
              <w:rPr>
                <w:rFonts w:eastAsia="Times New Roman"/>
                <w:color w:val="000000" w:themeColor="text1"/>
                <w:sz w:val="17"/>
                <w:szCs w:val="17"/>
              </w:rPr>
              <w:t>Regional and Global</w:t>
            </w:r>
          </w:p>
        </w:tc>
        <w:tc>
          <w:tcPr>
            <w:tcW w:w="992" w:type="dxa"/>
          </w:tcPr>
          <w:p w:rsidR="00C25AD7" w:rsidRPr="003B0793" w:rsidRDefault="00C25AD7" w:rsidP="002F4ABA">
            <w:pPr>
              <w:keepNext/>
              <w:spacing w:before="0" w:after="0" w:line="280" w:lineRule="exact"/>
              <w:jc w:val="right"/>
              <w:rPr>
                <w:rFonts w:eastAsia="Times New Roman"/>
                <w:sz w:val="17"/>
                <w:szCs w:val="17"/>
              </w:rPr>
            </w:pPr>
            <w:r>
              <w:rPr>
                <w:rFonts w:eastAsia="Times New Roman"/>
                <w:color w:val="000000" w:themeColor="text1"/>
                <w:sz w:val="17"/>
                <w:szCs w:val="17"/>
              </w:rPr>
              <w:t>31</w:t>
            </w:r>
            <w:r w:rsidRPr="00D25B2D">
              <w:rPr>
                <w:rFonts w:eastAsia="Times New Roman"/>
                <w:color w:val="000000" w:themeColor="text1"/>
                <w:sz w:val="17"/>
                <w:szCs w:val="17"/>
              </w:rPr>
              <w:t>.</w:t>
            </w:r>
            <w:r>
              <w:rPr>
                <w:rFonts w:eastAsia="Times New Roman"/>
                <w:color w:val="000000" w:themeColor="text1"/>
                <w:sz w:val="17"/>
                <w:szCs w:val="17"/>
              </w:rPr>
              <w:t>9</w:t>
            </w:r>
          </w:p>
        </w:tc>
        <w:tc>
          <w:tcPr>
            <w:tcW w:w="1525" w:type="dxa"/>
          </w:tcPr>
          <w:p w:rsidR="00C25AD7" w:rsidRPr="003B0793" w:rsidRDefault="00C25AD7" w:rsidP="002F4ABA">
            <w:pPr>
              <w:keepNext/>
              <w:spacing w:before="0" w:after="0" w:line="280" w:lineRule="exact"/>
              <w:jc w:val="right"/>
              <w:rPr>
                <w:rFonts w:eastAsia="Times New Roman"/>
                <w:sz w:val="17"/>
                <w:szCs w:val="17"/>
              </w:rPr>
            </w:pPr>
            <w:r>
              <w:rPr>
                <w:rFonts w:eastAsia="Times New Roman"/>
                <w:color w:val="000000" w:themeColor="text1"/>
                <w:sz w:val="17"/>
                <w:szCs w:val="17"/>
              </w:rPr>
              <w:t>24</w:t>
            </w:r>
            <w:r w:rsidRPr="00D25B2D">
              <w:rPr>
                <w:rFonts w:eastAsia="Times New Roman"/>
                <w:color w:val="000000" w:themeColor="text1"/>
                <w:sz w:val="17"/>
                <w:szCs w:val="17"/>
              </w:rPr>
              <w:t>.</w:t>
            </w:r>
            <w:r>
              <w:rPr>
                <w:rFonts w:eastAsia="Times New Roman"/>
                <w:color w:val="000000" w:themeColor="text1"/>
                <w:sz w:val="17"/>
                <w:szCs w:val="17"/>
              </w:rPr>
              <w:t>7</w:t>
            </w:r>
            <w:r w:rsidRPr="00D25B2D">
              <w:rPr>
                <w:rFonts w:eastAsia="Times New Roman"/>
                <w:color w:val="000000" w:themeColor="text1"/>
                <w:sz w:val="17"/>
                <w:szCs w:val="17"/>
              </w:rPr>
              <w:t>%</w:t>
            </w:r>
          </w:p>
        </w:tc>
      </w:tr>
      <w:tr w:rsidR="00C25AD7" w:rsidRPr="003B0793" w:rsidTr="002F4ABA">
        <w:tc>
          <w:tcPr>
            <w:tcW w:w="6204" w:type="dxa"/>
          </w:tcPr>
          <w:p w:rsidR="00C25AD7" w:rsidRPr="003B0793" w:rsidRDefault="00C25AD7" w:rsidP="002F4ABA">
            <w:pPr>
              <w:keepNext/>
              <w:spacing w:before="0" w:after="0" w:line="280" w:lineRule="exact"/>
              <w:rPr>
                <w:rFonts w:eastAsia="Times New Roman"/>
                <w:sz w:val="17"/>
                <w:szCs w:val="17"/>
              </w:rPr>
            </w:pPr>
            <w:r w:rsidRPr="00D25B2D">
              <w:rPr>
                <w:rFonts w:eastAsia="Times New Roman"/>
                <w:color w:val="000000" w:themeColor="text1"/>
                <w:sz w:val="17"/>
                <w:szCs w:val="17"/>
              </w:rPr>
              <w:t>Other Government Departments</w:t>
            </w:r>
          </w:p>
        </w:tc>
        <w:tc>
          <w:tcPr>
            <w:tcW w:w="992" w:type="dxa"/>
          </w:tcPr>
          <w:p w:rsidR="00C25AD7" w:rsidRPr="003B0793" w:rsidRDefault="00C25AD7" w:rsidP="002F4ABA">
            <w:pPr>
              <w:keepNext/>
              <w:spacing w:before="0" w:after="0" w:line="280" w:lineRule="exact"/>
              <w:jc w:val="right"/>
              <w:rPr>
                <w:rFonts w:eastAsia="Times New Roman"/>
                <w:sz w:val="17"/>
                <w:szCs w:val="17"/>
              </w:rPr>
            </w:pPr>
            <w:r w:rsidRPr="00D25B2D">
              <w:rPr>
                <w:rFonts w:eastAsia="Times New Roman"/>
                <w:color w:val="000000" w:themeColor="text1"/>
                <w:sz w:val="17"/>
                <w:szCs w:val="17"/>
              </w:rPr>
              <w:t>1</w:t>
            </w:r>
            <w:r>
              <w:rPr>
                <w:rFonts w:eastAsia="Times New Roman"/>
                <w:color w:val="000000" w:themeColor="text1"/>
                <w:sz w:val="17"/>
                <w:szCs w:val="17"/>
              </w:rPr>
              <w:t>1</w:t>
            </w:r>
            <w:r w:rsidRPr="00D25B2D">
              <w:rPr>
                <w:rFonts w:eastAsia="Times New Roman"/>
                <w:color w:val="000000" w:themeColor="text1"/>
                <w:sz w:val="17"/>
                <w:szCs w:val="17"/>
              </w:rPr>
              <w:t>.6</w:t>
            </w:r>
          </w:p>
        </w:tc>
        <w:tc>
          <w:tcPr>
            <w:tcW w:w="1525" w:type="dxa"/>
          </w:tcPr>
          <w:p w:rsidR="00C25AD7" w:rsidRPr="003B0793" w:rsidRDefault="00C25AD7" w:rsidP="002F4ABA">
            <w:pPr>
              <w:keepNext/>
              <w:spacing w:before="0" w:after="0" w:line="280" w:lineRule="exact"/>
              <w:jc w:val="right"/>
              <w:rPr>
                <w:rFonts w:eastAsia="Times New Roman"/>
                <w:sz w:val="17"/>
                <w:szCs w:val="17"/>
              </w:rPr>
            </w:pPr>
            <w:r>
              <w:rPr>
                <w:rFonts w:eastAsia="Times New Roman"/>
                <w:color w:val="000000" w:themeColor="text1"/>
                <w:sz w:val="17"/>
                <w:szCs w:val="17"/>
              </w:rPr>
              <w:t>8</w:t>
            </w:r>
            <w:r w:rsidRPr="00D25B2D">
              <w:rPr>
                <w:rFonts w:eastAsia="Times New Roman"/>
                <w:color w:val="000000" w:themeColor="text1"/>
                <w:sz w:val="17"/>
                <w:szCs w:val="17"/>
              </w:rPr>
              <w:t>.</w:t>
            </w:r>
            <w:r>
              <w:rPr>
                <w:rFonts w:eastAsia="Times New Roman"/>
                <w:color w:val="000000" w:themeColor="text1"/>
                <w:sz w:val="17"/>
                <w:szCs w:val="17"/>
              </w:rPr>
              <w:t>9</w:t>
            </w:r>
            <w:r w:rsidRPr="00D25B2D">
              <w:rPr>
                <w:rFonts w:eastAsia="Times New Roman"/>
                <w:color w:val="000000" w:themeColor="text1"/>
                <w:sz w:val="17"/>
                <w:szCs w:val="17"/>
              </w:rPr>
              <w:t>%</w:t>
            </w:r>
          </w:p>
        </w:tc>
      </w:tr>
      <w:tr w:rsidR="00C25AD7" w:rsidRPr="003B0793" w:rsidTr="002F4ABA">
        <w:tc>
          <w:tcPr>
            <w:tcW w:w="6204" w:type="dxa"/>
          </w:tcPr>
          <w:p w:rsidR="00C25AD7" w:rsidRPr="003B0793" w:rsidRDefault="00C25AD7" w:rsidP="002F4ABA">
            <w:pPr>
              <w:keepNext/>
              <w:spacing w:before="0" w:after="0" w:line="280" w:lineRule="exact"/>
              <w:rPr>
                <w:rFonts w:eastAsia="Times New Roman"/>
                <w:b/>
                <w:sz w:val="17"/>
                <w:szCs w:val="17"/>
              </w:rPr>
            </w:pPr>
            <w:r w:rsidRPr="00D25B2D">
              <w:rPr>
                <w:rFonts w:eastAsia="Times New Roman"/>
                <w:b/>
                <w:color w:val="000000" w:themeColor="text1"/>
                <w:sz w:val="17"/>
                <w:szCs w:val="17"/>
              </w:rPr>
              <w:t>Total ODA Expenditure</w:t>
            </w:r>
          </w:p>
        </w:tc>
        <w:tc>
          <w:tcPr>
            <w:tcW w:w="992" w:type="dxa"/>
          </w:tcPr>
          <w:p w:rsidR="00C25AD7" w:rsidRPr="00132D41" w:rsidRDefault="00C25AD7" w:rsidP="002F4ABA">
            <w:pPr>
              <w:keepNext/>
              <w:spacing w:before="0" w:after="0" w:line="280" w:lineRule="exact"/>
              <w:jc w:val="right"/>
              <w:rPr>
                <w:rFonts w:eastAsia="Times New Roman"/>
                <w:b/>
                <w:sz w:val="17"/>
                <w:szCs w:val="17"/>
              </w:rPr>
            </w:pPr>
            <w:r>
              <w:rPr>
                <w:rFonts w:eastAsia="Times New Roman"/>
                <w:b/>
                <w:color w:val="000000" w:themeColor="text1"/>
                <w:sz w:val="17"/>
                <w:szCs w:val="17"/>
              </w:rPr>
              <w:t>129.3</w:t>
            </w:r>
          </w:p>
        </w:tc>
        <w:tc>
          <w:tcPr>
            <w:tcW w:w="1525" w:type="dxa"/>
          </w:tcPr>
          <w:p w:rsidR="00C25AD7" w:rsidRPr="00132D41" w:rsidRDefault="00C25AD7" w:rsidP="002F4ABA">
            <w:pPr>
              <w:keepNext/>
              <w:spacing w:before="0" w:after="0" w:line="280" w:lineRule="exact"/>
              <w:jc w:val="right"/>
              <w:rPr>
                <w:rFonts w:eastAsia="Times New Roman"/>
                <w:b/>
                <w:sz w:val="17"/>
                <w:szCs w:val="17"/>
              </w:rPr>
            </w:pPr>
            <w:r w:rsidRPr="00D25B2D">
              <w:rPr>
                <w:rFonts w:eastAsia="Times New Roman"/>
                <w:b/>
                <w:color w:val="000000" w:themeColor="text1"/>
                <w:sz w:val="17"/>
                <w:szCs w:val="17"/>
              </w:rPr>
              <w:t>100%</w:t>
            </w:r>
          </w:p>
        </w:tc>
      </w:tr>
    </w:tbl>
    <w:p w:rsidR="00C25AD7" w:rsidRPr="005A4363" w:rsidRDefault="00C25AD7" w:rsidP="00C25AD7">
      <w:pPr>
        <w:pStyle w:val="ListBullet"/>
        <w:tabs>
          <w:tab w:val="clear" w:pos="284"/>
        </w:tabs>
        <w:spacing w:before="240"/>
        <w:rPr>
          <w:rFonts w:asciiTheme="majorHAnsi" w:eastAsiaTheme="majorEastAsia" w:hAnsiTheme="majorHAnsi" w:cstheme="majorBidi"/>
          <w:caps/>
          <w:color w:val="44546A" w:themeColor="text2"/>
          <w:sz w:val="38"/>
          <w:szCs w:val="26"/>
          <w:lang w:val="en-GB" w:eastAsia="en-US"/>
        </w:rPr>
      </w:pPr>
      <w:r w:rsidRPr="002A51CA">
        <w:rPr>
          <w:rFonts w:asciiTheme="majorHAnsi" w:eastAsiaTheme="majorEastAsia" w:hAnsiTheme="majorHAnsi" w:cstheme="majorBidi"/>
          <w:caps/>
          <w:color w:val="44546A" w:themeColor="text2"/>
          <w:sz w:val="38"/>
          <w:szCs w:val="26"/>
          <w:lang w:val="en-GB" w:eastAsia="en-US"/>
        </w:rPr>
        <w:t>Progress towards Obje</w:t>
      </w:r>
      <w:r>
        <w:rPr>
          <w:rFonts w:asciiTheme="majorHAnsi" w:eastAsiaTheme="majorEastAsia" w:hAnsiTheme="majorHAnsi" w:cstheme="majorBidi"/>
          <w:caps/>
          <w:color w:val="44546A" w:themeColor="text2"/>
          <w:sz w:val="38"/>
          <w:szCs w:val="26"/>
          <w:lang w:val="en-GB" w:eastAsia="en-US"/>
        </w:rPr>
        <w:t>ctives</w:t>
      </w:r>
      <w:r>
        <w:rPr>
          <w:rFonts w:asciiTheme="majorHAnsi" w:eastAsiaTheme="majorEastAsia" w:hAnsiTheme="majorHAnsi" w:cstheme="majorBidi"/>
          <w:caps/>
          <w:color w:val="44546A" w:themeColor="text2"/>
          <w:sz w:val="38"/>
          <w:szCs w:val="26"/>
          <w:lang w:val="en-GB" w:eastAsia="en-US"/>
        </w:rPr>
        <w:tab/>
      </w:r>
    </w:p>
    <w:p w:rsidR="00C25AD7" w:rsidRDefault="00C25AD7" w:rsidP="00C25AD7">
      <w:r>
        <w:t>2016-17 progress ratings for Economic Growth and Empowerment of Women and Girls remained green. This is due to both benchmark achievement and clear investment level performance. Private sector development, aid for trade, fisheries and education programs all produced strong results.  C</w:t>
      </w:r>
      <w:r w:rsidRPr="0068417B">
        <w:t xml:space="preserve">ontinuing support will be needed to further mainstream gender equality considerations and responses in all Pacific regional investments following a moderate decline in Aid Quality Check ratings in 2016-17.  </w:t>
      </w:r>
      <w:r w:rsidRPr="0068417B">
        <w:rPr>
          <w:i/>
        </w:rPr>
        <w:t>Pacific Women</w:t>
      </w:r>
      <w:r w:rsidRPr="0068417B">
        <w:t xml:space="preserve"> continues to perform well, accounting for its green rating. </w:t>
      </w:r>
    </w:p>
    <w:p w:rsidR="00C25AD7" w:rsidRDefault="00C25AD7" w:rsidP="00C25AD7">
      <w:r>
        <w:lastRenderedPageBreak/>
        <w:t xml:space="preserve">2016-17 progress ratings for the Effective Regional Institutions and Healthy and Resilient Communities and objectives remained at amber. In the climate change sector, progress towards effective regional institutions is slower than anticipated. </w:t>
      </w:r>
      <w:r w:rsidRPr="0033510B">
        <w:t>Three of Australia’s most i</w:t>
      </w:r>
      <w:r>
        <w:t>mportant regional partners – the Pacific Islands Forum Secretariat (PIFS), the Pacific Community (SPC)</w:t>
      </w:r>
      <w:r w:rsidRPr="0033510B">
        <w:t xml:space="preserve"> and </w:t>
      </w:r>
      <w:r>
        <w:t>the Secretariat for the Pacific Regional Environment Programme (</w:t>
      </w:r>
      <w:r w:rsidRPr="0033510B">
        <w:t>SPREP</w:t>
      </w:r>
      <w:r>
        <w:t>) –</w:t>
      </w:r>
      <w:r w:rsidRPr="0033510B">
        <w:t xml:space="preserve"> </w:t>
      </w:r>
      <w:r>
        <w:t>face</w:t>
      </w:r>
      <w:r w:rsidRPr="0033510B">
        <w:t xml:space="preserve"> significant financial challenges</w:t>
      </w:r>
      <w:r>
        <w:t>.  These organisations have had to find savings, delay</w:t>
      </w:r>
      <w:r w:rsidRPr="0033510B">
        <w:t xml:space="preserve"> recruitment, </w:t>
      </w:r>
      <w:r>
        <w:t xml:space="preserve">enact </w:t>
      </w:r>
      <w:r w:rsidRPr="0033510B">
        <w:t xml:space="preserve">financial reforms and </w:t>
      </w:r>
      <w:r>
        <w:t>re-</w:t>
      </w:r>
      <w:r w:rsidRPr="0033510B">
        <w:t>pr</w:t>
      </w:r>
      <w:r>
        <w:t xml:space="preserve">ioritise their work programs.  In health, regional governance is steadily improving and Pacific countries have begun to implement agreed regional commitments related to non-communicable diseases. However, Progress on tackling the unmet need for family planning remains slow.  </w:t>
      </w:r>
    </w:p>
    <w:p w:rsidR="00C25AD7" w:rsidRDefault="00C25AD7" w:rsidP="00C25AD7">
      <w:r>
        <w:t xml:space="preserve">The region is making slow </w:t>
      </w:r>
      <w:r w:rsidRPr="000C4405">
        <w:t xml:space="preserve">but steady </w:t>
      </w:r>
      <w:r>
        <w:t xml:space="preserve">progress towards </w:t>
      </w:r>
      <w:r w:rsidRPr="000C4405">
        <w:t>healthy and resilient communities</w:t>
      </w:r>
      <w:r>
        <w:t>.  However Pacific Island countries are not using available climate science to ensure risk-informed development</w:t>
      </w:r>
      <w:r w:rsidRPr="000C4405">
        <w:t>.</w:t>
      </w:r>
      <w:r>
        <w:t xml:space="preserve"> In health, regional governance is steadily improving and Pacific countries have begun to implement agreed regional commitments related to non-communicable diseases. Progress on tackling the unmet need for family planning remains slow.   WHO reports that nine countries (of 14 that are tracked) retained their status of meeting all seven of the International Health Regulation “core capacities”, an important measure of health security and country capacity to prevent, detect and respond to infectious disease outbreaks.    </w:t>
      </w:r>
    </w:p>
    <w:p w:rsidR="00C25AD7" w:rsidRPr="008C2F58" w:rsidRDefault="00C25AD7" w:rsidP="00C25AD7">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DD5A31">
        <w:rPr>
          <w:b/>
          <w:noProof/>
          <w:sz w:val="24"/>
        </w:rPr>
        <w:t>2</w:t>
      </w:r>
      <w:r w:rsidRPr="008C2F58">
        <w:rPr>
          <w:b/>
          <w:noProof/>
          <w:sz w:val="24"/>
        </w:rPr>
        <w:fldChar w:fldCharType="end"/>
      </w:r>
      <w:r w:rsidRPr="008C2F58">
        <w:rPr>
          <w:b/>
          <w:sz w:val="24"/>
        </w:rPr>
        <w:t xml:space="preserve"> Rating of the Program's Progress towards Australia’s Aid Objectives</w:t>
      </w:r>
    </w:p>
    <w:tbl>
      <w:tblPr>
        <w:tblStyle w:val="APPR"/>
        <w:tblW w:w="4857" w:type="pct"/>
        <w:tblLook w:val="0000" w:firstRow="0" w:lastRow="0" w:firstColumn="0" w:lastColumn="0" w:noHBand="0" w:noVBand="0"/>
      </w:tblPr>
      <w:tblGrid>
        <w:gridCol w:w="7020"/>
        <w:gridCol w:w="1435"/>
        <w:gridCol w:w="1457"/>
      </w:tblGrid>
      <w:tr w:rsidR="00C25AD7" w:rsidRPr="003B0793" w:rsidTr="002F4ABA">
        <w:trPr>
          <w:cnfStyle w:val="000000010000" w:firstRow="0" w:lastRow="0" w:firstColumn="0" w:lastColumn="0" w:oddVBand="0" w:evenVBand="0" w:oddHBand="0" w:evenHBand="1" w:firstRowFirstColumn="0" w:firstRowLastColumn="0" w:lastRowFirstColumn="0" w:lastRowLastColumn="0"/>
          <w:trHeight w:val="567"/>
        </w:trPr>
        <w:tc>
          <w:tcPr>
            <w:tcW w:w="6752" w:type="dxa"/>
          </w:tcPr>
          <w:p w:rsidR="00C25AD7" w:rsidRPr="003B0793" w:rsidRDefault="00C25AD7" w:rsidP="002F4ABA">
            <w:pPr>
              <w:keepLines/>
              <w:spacing w:before="80" w:after="80" w:line="200" w:lineRule="atLeast"/>
              <w:rPr>
                <w:rFonts w:asciiTheme="minorHAnsi" w:eastAsia="Times New Roman" w:hAnsiTheme="minorHAnsi"/>
                <w:b/>
                <w:iCs/>
                <w:szCs w:val="17"/>
                <w:lang w:eastAsia="en-US"/>
              </w:rPr>
            </w:pPr>
            <w:r w:rsidRPr="003B0793">
              <w:rPr>
                <w:rFonts w:eastAsia="Times New Roman"/>
                <w:b/>
                <w:iCs/>
                <w:noProof/>
                <w:szCs w:val="17"/>
                <w:lang w:val="en-AU"/>
              </w:rPr>
              <w:drawing>
                <wp:anchor distT="0" distB="0" distL="114300" distR="114300" simplePos="0" relativeHeight="251661312" behindDoc="0" locked="0" layoutInCell="1" allowOverlap="1" wp14:anchorId="0281DFDC" wp14:editId="4B75A93A">
                  <wp:simplePos x="0" y="0"/>
                  <wp:positionH relativeFrom="column">
                    <wp:posOffset>0</wp:posOffset>
                  </wp:positionH>
                  <wp:positionV relativeFrom="paragraph">
                    <wp:posOffset>0</wp:posOffset>
                  </wp:positionV>
                  <wp:extent cx="1857375" cy="228600"/>
                  <wp:effectExtent l="0" t="0" r="9525" b="0"/>
                  <wp:wrapNone/>
                  <wp:docPr id="5" name="Picture 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0793">
              <w:rPr>
                <w:rFonts w:asciiTheme="minorHAnsi" w:eastAsia="Times New Roman" w:hAnsiTheme="minorHAnsi"/>
                <w:b/>
                <w:iCs/>
                <w:szCs w:val="17"/>
                <w:lang w:eastAsia="en-US"/>
              </w:rPr>
              <w:t>Objective</w:t>
            </w:r>
          </w:p>
        </w:tc>
        <w:tc>
          <w:tcPr>
            <w:tcW w:w="1361" w:type="dxa"/>
          </w:tcPr>
          <w:p w:rsidR="00C25AD7" w:rsidRPr="003B0793" w:rsidRDefault="00C25AD7" w:rsidP="002F4ABA">
            <w:pPr>
              <w:keepLines/>
              <w:spacing w:before="80" w:after="80" w:line="200" w:lineRule="atLeast"/>
              <w:jc w:val="center"/>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Previous Rating</w:t>
            </w:r>
          </w:p>
        </w:tc>
        <w:tc>
          <w:tcPr>
            <w:tcW w:w="1369" w:type="dxa"/>
          </w:tcPr>
          <w:p w:rsidR="00C25AD7" w:rsidRPr="003B0793" w:rsidRDefault="00C25AD7" w:rsidP="002F4ABA">
            <w:pPr>
              <w:keepLines/>
              <w:spacing w:before="80" w:after="80" w:line="200" w:lineRule="atLeast"/>
              <w:jc w:val="center"/>
              <w:rPr>
                <w:rFonts w:asciiTheme="minorHAnsi" w:eastAsia="Times New Roman" w:hAnsiTheme="minorHAnsi"/>
                <w:b/>
                <w:iCs/>
                <w:szCs w:val="17"/>
                <w:lang w:eastAsia="en-US"/>
              </w:rPr>
            </w:pPr>
            <w:r w:rsidRPr="003B0793">
              <w:rPr>
                <w:rFonts w:asciiTheme="minorHAnsi" w:eastAsia="Times New Roman" w:hAnsiTheme="minorHAnsi"/>
                <w:b/>
                <w:iCs/>
                <w:szCs w:val="17"/>
                <w:lang w:eastAsia="en-US"/>
              </w:rPr>
              <w:t>Current Rating</w:t>
            </w:r>
          </w:p>
        </w:tc>
      </w:tr>
      <w:tr w:rsidR="00C25AD7" w:rsidRPr="003B0793" w:rsidTr="00715BD0">
        <w:trPr>
          <w:cnfStyle w:val="000000010000" w:firstRow="0" w:lastRow="0" w:firstColumn="0" w:lastColumn="0" w:oddVBand="0" w:evenVBand="0" w:oddHBand="0" w:evenHBand="1" w:firstRowFirstColumn="0" w:firstRowLastColumn="0" w:lastRowFirstColumn="0" w:lastRowLastColumn="0"/>
        </w:trPr>
        <w:tc>
          <w:tcPr>
            <w:tcW w:w="6752" w:type="dxa"/>
          </w:tcPr>
          <w:p w:rsidR="00C25AD7" w:rsidRPr="003B0793" w:rsidRDefault="00C25AD7" w:rsidP="002F4ABA">
            <w:pPr>
              <w:keepLines/>
              <w:spacing w:before="40" w:after="40"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Objective 1</w:t>
            </w:r>
            <w:r>
              <w:rPr>
                <w:rFonts w:asciiTheme="minorHAnsi" w:eastAsia="Times New Roman" w:hAnsiTheme="minorHAnsi"/>
                <w:iCs/>
                <w:szCs w:val="17"/>
                <w:lang w:eastAsia="en-US"/>
              </w:rPr>
              <w:t>:  Economic Growth</w:t>
            </w:r>
          </w:p>
        </w:tc>
        <w:tc>
          <w:tcPr>
            <w:tcW w:w="1361" w:type="dxa"/>
            <w:shd w:val="clear" w:color="auto" w:fill="92D050"/>
            <w:noWrap/>
          </w:tcPr>
          <w:p w:rsidR="00C25AD7" w:rsidRPr="003B0793" w:rsidRDefault="00C25AD7" w:rsidP="002F4ABA">
            <w:pPr>
              <w:keepLines/>
              <w:spacing w:before="40" w:after="40" w:line="200" w:lineRule="atLeast"/>
              <w:jc w:val="center"/>
              <w:rPr>
                <w:rFonts w:asciiTheme="minorHAnsi" w:eastAsia="Times New Roman" w:hAnsiTheme="minorHAnsi"/>
                <w:iCs/>
                <w:color w:val="FFFFFF" w:themeColor="background1"/>
                <w:szCs w:val="17"/>
                <w:lang w:eastAsia="en-US"/>
              </w:rPr>
            </w:pPr>
            <w:r w:rsidRPr="003B0793">
              <w:rPr>
                <w:rFonts w:asciiTheme="minorHAnsi" w:eastAsia="Times New Roman" w:hAnsiTheme="minorHAnsi"/>
                <w:iCs/>
                <w:color w:val="FFFFFF" w:themeColor="background1"/>
                <w:szCs w:val="17"/>
                <w:lang w:eastAsia="en-US"/>
              </w:rPr>
              <w:t>Green</w:t>
            </w:r>
          </w:p>
        </w:tc>
        <w:tc>
          <w:tcPr>
            <w:tcW w:w="1369" w:type="dxa"/>
            <w:shd w:val="clear" w:color="auto" w:fill="92D050"/>
            <w:noWrap/>
          </w:tcPr>
          <w:p w:rsidR="00C25AD7" w:rsidRPr="00181251" w:rsidRDefault="00C25AD7" w:rsidP="002F4ABA">
            <w:pPr>
              <w:keepLines/>
              <w:spacing w:before="40" w:after="40" w:line="200" w:lineRule="atLeast"/>
              <w:jc w:val="center"/>
              <w:rPr>
                <w:rFonts w:asciiTheme="minorHAnsi" w:eastAsia="Times New Roman" w:hAnsiTheme="minorHAnsi"/>
                <w:iCs/>
                <w:color w:val="FFFFFF" w:themeColor="background1"/>
                <w:szCs w:val="17"/>
                <w:lang w:eastAsia="en-US"/>
              </w:rPr>
            </w:pPr>
            <w:r w:rsidRPr="00181251">
              <w:rPr>
                <w:rFonts w:asciiTheme="minorHAnsi" w:eastAsia="Times New Roman" w:hAnsiTheme="minorHAnsi"/>
                <w:iCs/>
                <w:color w:val="FFFFFF" w:themeColor="background1"/>
                <w:szCs w:val="17"/>
                <w:lang w:eastAsia="en-US"/>
              </w:rPr>
              <w:t>Green</w:t>
            </w:r>
          </w:p>
        </w:tc>
      </w:tr>
      <w:tr w:rsidR="00C25AD7" w:rsidRPr="003B0793" w:rsidTr="002F4ABA">
        <w:trPr>
          <w:cnfStyle w:val="000000010000" w:firstRow="0" w:lastRow="0" w:firstColumn="0" w:lastColumn="0" w:oddVBand="0" w:evenVBand="0" w:oddHBand="0" w:evenHBand="1" w:firstRowFirstColumn="0" w:firstRowLastColumn="0" w:lastRowFirstColumn="0" w:lastRowLastColumn="0"/>
        </w:trPr>
        <w:tc>
          <w:tcPr>
            <w:tcW w:w="6752" w:type="dxa"/>
          </w:tcPr>
          <w:p w:rsidR="00C25AD7" w:rsidRPr="003B0793" w:rsidRDefault="00C25AD7" w:rsidP="002F4ABA">
            <w:pPr>
              <w:keepLines/>
              <w:spacing w:before="40" w:after="40"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Objective 2</w:t>
            </w:r>
            <w:r>
              <w:rPr>
                <w:rFonts w:asciiTheme="minorHAnsi" w:eastAsia="Times New Roman" w:hAnsiTheme="minorHAnsi"/>
                <w:iCs/>
                <w:szCs w:val="17"/>
                <w:lang w:eastAsia="en-US"/>
              </w:rPr>
              <w:t>:  Effective Regional Institutions</w:t>
            </w:r>
          </w:p>
        </w:tc>
        <w:tc>
          <w:tcPr>
            <w:tcW w:w="1361" w:type="dxa"/>
            <w:shd w:val="clear" w:color="auto" w:fill="FF9900"/>
            <w:noWrap/>
          </w:tcPr>
          <w:p w:rsidR="00C25AD7" w:rsidRPr="003B0793" w:rsidRDefault="00C25AD7" w:rsidP="002F4ABA">
            <w:pPr>
              <w:keepLines/>
              <w:spacing w:before="40" w:after="40" w:line="200" w:lineRule="atLeast"/>
              <w:jc w:val="center"/>
              <w:rPr>
                <w:rFonts w:asciiTheme="minorHAnsi" w:eastAsia="Times New Roman" w:hAnsiTheme="minorHAnsi"/>
                <w:iCs/>
                <w:color w:val="FFFFFF" w:themeColor="background1"/>
                <w:szCs w:val="17"/>
                <w:lang w:eastAsia="en-US"/>
              </w:rPr>
            </w:pPr>
            <w:r w:rsidRPr="003B0793">
              <w:rPr>
                <w:rFonts w:asciiTheme="minorHAnsi" w:eastAsia="Times New Roman" w:hAnsiTheme="minorHAnsi"/>
                <w:iCs/>
                <w:color w:val="FFFFFF" w:themeColor="background1"/>
                <w:szCs w:val="17"/>
                <w:lang w:eastAsia="en-US"/>
              </w:rPr>
              <w:t>Amber</w:t>
            </w:r>
          </w:p>
        </w:tc>
        <w:tc>
          <w:tcPr>
            <w:tcW w:w="1369" w:type="dxa"/>
            <w:shd w:val="clear" w:color="auto" w:fill="FF9900"/>
            <w:noWrap/>
          </w:tcPr>
          <w:p w:rsidR="00C25AD7" w:rsidRPr="00181251" w:rsidRDefault="00C25AD7" w:rsidP="002F4ABA">
            <w:pPr>
              <w:keepLines/>
              <w:spacing w:before="40" w:after="40" w:line="200" w:lineRule="atLeast"/>
              <w:jc w:val="center"/>
              <w:rPr>
                <w:rFonts w:asciiTheme="minorHAnsi" w:eastAsia="Times New Roman" w:hAnsiTheme="minorHAnsi"/>
                <w:iCs/>
                <w:color w:val="FFFFFF" w:themeColor="background1"/>
                <w:szCs w:val="17"/>
                <w:lang w:eastAsia="en-US"/>
              </w:rPr>
            </w:pPr>
            <w:r w:rsidRPr="00181251">
              <w:rPr>
                <w:rFonts w:asciiTheme="minorHAnsi" w:eastAsia="Times New Roman" w:hAnsiTheme="minorHAnsi"/>
                <w:iCs/>
                <w:color w:val="FFFFFF" w:themeColor="background1"/>
                <w:szCs w:val="17"/>
                <w:lang w:eastAsia="en-US"/>
              </w:rPr>
              <w:t>Amber</w:t>
            </w:r>
          </w:p>
        </w:tc>
      </w:tr>
      <w:tr w:rsidR="00C25AD7" w:rsidRPr="003B0793" w:rsidTr="002F4ABA">
        <w:trPr>
          <w:cnfStyle w:val="000000010000" w:firstRow="0" w:lastRow="0" w:firstColumn="0" w:lastColumn="0" w:oddVBand="0" w:evenVBand="0" w:oddHBand="0" w:evenHBand="1" w:firstRowFirstColumn="0" w:firstRowLastColumn="0" w:lastRowFirstColumn="0" w:lastRowLastColumn="0"/>
        </w:trPr>
        <w:tc>
          <w:tcPr>
            <w:tcW w:w="6752" w:type="dxa"/>
          </w:tcPr>
          <w:p w:rsidR="00C25AD7" w:rsidRPr="003B0793" w:rsidRDefault="00C25AD7" w:rsidP="002F4ABA">
            <w:pPr>
              <w:keepLines/>
              <w:spacing w:before="40" w:after="40" w:line="200" w:lineRule="atLeast"/>
              <w:rPr>
                <w:rFonts w:asciiTheme="minorHAnsi" w:eastAsia="Times New Roman" w:hAnsiTheme="minorHAnsi"/>
                <w:iCs/>
                <w:szCs w:val="17"/>
                <w:lang w:eastAsia="en-US"/>
              </w:rPr>
            </w:pPr>
            <w:r w:rsidRPr="003B0793">
              <w:rPr>
                <w:rFonts w:asciiTheme="minorHAnsi" w:eastAsia="Times New Roman" w:hAnsiTheme="minorHAnsi"/>
                <w:iCs/>
                <w:szCs w:val="17"/>
                <w:lang w:eastAsia="en-US"/>
              </w:rPr>
              <w:t>Objective 3</w:t>
            </w:r>
            <w:r>
              <w:rPr>
                <w:rFonts w:asciiTheme="minorHAnsi" w:eastAsia="Times New Roman" w:hAnsiTheme="minorHAnsi"/>
                <w:iCs/>
                <w:szCs w:val="17"/>
                <w:lang w:eastAsia="en-US"/>
              </w:rPr>
              <w:t>:  Healthy and Resilient Communities</w:t>
            </w:r>
          </w:p>
        </w:tc>
        <w:tc>
          <w:tcPr>
            <w:tcW w:w="1361" w:type="dxa"/>
            <w:shd w:val="clear" w:color="auto" w:fill="FF9900"/>
            <w:noWrap/>
          </w:tcPr>
          <w:p w:rsidR="00C25AD7" w:rsidRPr="003B0793" w:rsidRDefault="00C25AD7" w:rsidP="002F4ABA">
            <w:pPr>
              <w:keepLines/>
              <w:spacing w:before="40" w:after="40" w:line="200" w:lineRule="atLeast"/>
              <w:jc w:val="center"/>
              <w:rPr>
                <w:rFonts w:asciiTheme="minorHAnsi" w:eastAsia="Times New Roman" w:hAnsiTheme="minorHAnsi"/>
                <w:iCs/>
                <w:color w:val="FFFFFF" w:themeColor="background1"/>
                <w:szCs w:val="17"/>
                <w:lang w:eastAsia="en-US"/>
              </w:rPr>
            </w:pPr>
            <w:r w:rsidRPr="003B0793">
              <w:rPr>
                <w:rFonts w:asciiTheme="minorHAnsi" w:eastAsia="Times New Roman" w:hAnsiTheme="minorHAnsi"/>
                <w:iCs/>
                <w:color w:val="FFFFFF" w:themeColor="background1"/>
                <w:szCs w:val="17"/>
                <w:lang w:eastAsia="en-US"/>
              </w:rPr>
              <w:t>Amber</w:t>
            </w:r>
          </w:p>
        </w:tc>
        <w:tc>
          <w:tcPr>
            <w:tcW w:w="1369" w:type="dxa"/>
            <w:shd w:val="clear" w:color="auto" w:fill="FF9900"/>
            <w:noWrap/>
          </w:tcPr>
          <w:p w:rsidR="00C25AD7" w:rsidRPr="00181251" w:rsidRDefault="00C25AD7" w:rsidP="002F4ABA">
            <w:pPr>
              <w:keepLines/>
              <w:spacing w:before="40" w:after="40" w:line="200" w:lineRule="atLeast"/>
              <w:jc w:val="center"/>
              <w:rPr>
                <w:rFonts w:asciiTheme="minorHAnsi" w:eastAsia="Times New Roman" w:hAnsiTheme="minorHAnsi"/>
                <w:iCs/>
                <w:color w:val="FFFFFF" w:themeColor="background1"/>
                <w:szCs w:val="17"/>
                <w:lang w:eastAsia="en-US"/>
              </w:rPr>
            </w:pPr>
            <w:r w:rsidRPr="00181251">
              <w:rPr>
                <w:rFonts w:asciiTheme="minorHAnsi" w:eastAsia="Times New Roman" w:hAnsiTheme="minorHAnsi"/>
                <w:iCs/>
                <w:color w:val="FFFFFF" w:themeColor="background1"/>
                <w:szCs w:val="17"/>
                <w:lang w:eastAsia="en-US"/>
              </w:rPr>
              <w:t>Amber</w:t>
            </w:r>
          </w:p>
        </w:tc>
      </w:tr>
      <w:tr w:rsidR="00C25AD7" w:rsidRPr="003B0793" w:rsidTr="00715BD0">
        <w:trPr>
          <w:cnfStyle w:val="000000010000" w:firstRow="0" w:lastRow="0" w:firstColumn="0" w:lastColumn="0" w:oddVBand="0" w:evenVBand="0" w:oddHBand="0" w:evenHBand="1" w:firstRowFirstColumn="0" w:firstRowLastColumn="0" w:lastRowFirstColumn="0" w:lastRowLastColumn="0"/>
        </w:trPr>
        <w:tc>
          <w:tcPr>
            <w:tcW w:w="6752" w:type="dxa"/>
          </w:tcPr>
          <w:p w:rsidR="00C25AD7" w:rsidRPr="003B0793" w:rsidRDefault="00C25AD7" w:rsidP="002F4ABA">
            <w:pPr>
              <w:keepLines/>
              <w:spacing w:before="40" w:after="40" w:line="200" w:lineRule="atLeast"/>
              <w:rPr>
                <w:rFonts w:eastAsia="Times New Roman"/>
                <w:iCs/>
                <w:szCs w:val="17"/>
              </w:rPr>
            </w:pPr>
            <w:r>
              <w:rPr>
                <w:rFonts w:eastAsia="Times New Roman"/>
                <w:iCs/>
                <w:szCs w:val="17"/>
              </w:rPr>
              <w:t>Objective 4:  Empowering Women and Girls</w:t>
            </w:r>
          </w:p>
        </w:tc>
        <w:tc>
          <w:tcPr>
            <w:tcW w:w="1361" w:type="dxa"/>
            <w:tcBorders>
              <w:bottom w:val="single" w:sz="12" w:space="0" w:color="000000" w:themeColor="text1"/>
            </w:tcBorders>
            <w:shd w:val="clear" w:color="auto" w:fill="92D050"/>
            <w:noWrap/>
          </w:tcPr>
          <w:p w:rsidR="00C25AD7" w:rsidRPr="003B0793" w:rsidRDefault="00C25AD7" w:rsidP="002F4ABA">
            <w:pPr>
              <w:keepLines/>
              <w:spacing w:before="40" w:after="40" w:line="200" w:lineRule="atLeast"/>
              <w:jc w:val="center"/>
              <w:rPr>
                <w:rFonts w:asciiTheme="minorHAnsi" w:eastAsia="Times New Roman" w:hAnsiTheme="minorHAnsi"/>
                <w:iCs/>
                <w:color w:val="FFFFFF" w:themeColor="background1"/>
                <w:szCs w:val="17"/>
                <w:lang w:eastAsia="en-US"/>
              </w:rPr>
            </w:pPr>
            <w:r w:rsidRPr="003B0793">
              <w:rPr>
                <w:rFonts w:asciiTheme="minorHAnsi" w:eastAsia="Times New Roman" w:hAnsiTheme="minorHAnsi"/>
                <w:iCs/>
                <w:color w:val="FFFFFF" w:themeColor="background1"/>
                <w:szCs w:val="17"/>
                <w:lang w:eastAsia="en-US"/>
              </w:rPr>
              <w:t>Green</w:t>
            </w:r>
          </w:p>
        </w:tc>
        <w:tc>
          <w:tcPr>
            <w:tcW w:w="1369" w:type="dxa"/>
            <w:tcBorders>
              <w:bottom w:val="single" w:sz="12" w:space="0" w:color="000000" w:themeColor="text1"/>
            </w:tcBorders>
            <w:shd w:val="clear" w:color="auto" w:fill="92D050"/>
            <w:noWrap/>
          </w:tcPr>
          <w:p w:rsidR="00C25AD7" w:rsidRPr="00723C69" w:rsidRDefault="00C25AD7" w:rsidP="002F4ABA">
            <w:pPr>
              <w:keepLines/>
              <w:spacing w:before="40" w:after="40" w:line="200" w:lineRule="atLeast"/>
              <w:jc w:val="center"/>
              <w:rPr>
                <w:rFonts w:eastAsia="Times New Roman"/>
                <w:iCs/>
                <w:color w:val="auto"/>
                <w:szCs w:val="17"/>
              </w:rPr>
            </w:pPr>
            <w:r>
              <w:rPr>
                <w:rFonts w:asciiTheme="minorHAnsi" w:eastAsia="Times New Roman" w:hAnsiTheme="minorHAnsi"/>
                <w:iCs/>
                <w:color w:val="FFFFFF" w:themeColor="background1"/>
                <w:szCs w:val="17"/>
                <w:lang w:eastAsia="en-US"/>
              </w:rPr>
              <w:t>Green</w:t>
            </w:r>
          </w:p>
        </w:tc>
      </w:tr>
    </w:tbl>
    <w:p w:rsidR="00C25AD7" w:rsidRPr="003B0793" w:rsidRDefault="00C25AD7" w:rsidP="00C25AD7">
      <w:pPr>
        <w:spacing w:before="0" w:after="0" w:line="180" w:lineRule="atLeast"/>
        <w:jc w:val="both"/>
        <w:rPr>
          <w:rFonts w:eastAsia="Times New Roman"/>
          <w:b/>
          <w:sz w:val="16"/>
          <w:szCs w:val="14"/>
        </w:rPr>
      </w:pPr>
      <w:r w:rsidRPr="003B0793">
        <w:rPr>
          <w:rFonts w:eastAsia="Times New Roman"/>
          <w:b/>
          <w:color w:val="72AF2F"/>
          <w:sz w:val="16"/>
          <w:szCs w:val="14"/>
        </w:rPr>
        <w:sym w:font="Webdings" w:char="F067"/>
      </w:r>
      <w:r w:rsidRPr="003B0793">
        <w:rPr>
          <w:rFonts w:eastAsia="Times New Roman"/>
          <w:b/>
          <w:sz w:val="16"/>
          <w:szCs w:val="14"/>
        </w:rPr>
        <w:t> </w:t>
      </w:r>
      <w:r w:rsidRPr="003B0793">
        <w:rPr>
          <w:rFonts w:eastAsia="Times New Roman"/>
          <w:b/>
          <w:sz w:val="16"/>
          <w:szCs w:val="14"/>
        </w:rPr>
        <w:t xml:space="preserve"> Green. Progress is as expected at this stage of implementation and it is likely that the objective will be achieved. Standard program management practices are sufficient.</w:t>
      </w:r>
    </w:p>
    <w:p w:rsidR="00C25AD7" w:rsidRPr="003B0793" w:rsidRDefault="00C25AD7" w:rsidP="00C25AD7">
      <w:pPr>
        <w:spacing w:before="0" w:after="0" w:line="180" w:lineRule="atLeast"/>
        <w:jc w:val="both"/>
        <w:rPr>
          <w:rFonts w:eastAsia="Times New Roman"/>
          <w:b/>
          <w:sz w:val="16"/>
          <w:szCs w:val="14"/>
        </w:rPr>
      </w:pPr>
      <w:r w:rsidRPr="003B0793">
        <w:rPr>
          <w:rFonts w:eastAsia="Times New Roman"/>
          <w:b/>
          <w:color w:val="E36C0A"/>
          <w:sz w:val="16"/>
          <w:szCs w:val="14"/>
        </w:rPr>
        <w:sym w:font="Webdings" w:char="F067"/>
      </w:r>
      <w:r w:rsidRPr="003B0793">
        <w:rPr>
          <w:rFonts w:eastAsia="Times New Roman"/>
          <w:b/>
          <w:sz w:val="16"/>
          <w:szCs w:val="14"/>
        </w:rPr>
        <w:t> </w:t>
      </w:r>
      <w:r w:rsidRPr="003B0793">
        <w:rPr>
          <w:rFonts w:eastAsia="Times New Roman"/>
          <w:b/>
          <w:sz w:val="16"/>
          <w:szCs w:val="14"/>
        </w:rPr>
        <w:t xml:space="preserve"> Amber. Progress is somewhat less than expected at this stage of implementation and restorative action will be necessary if the objective is to be achieved. Close performance monitoring is recommended.</w:t>
      </w:r>
    </w:p>
    <w:p w:rsidR="00C25AD7" w:rsidRPr="003B0793" w:rsidRDefault="00C25AD7" w:rsidP="00C25AD7">
      <w:pPr>
        <w:spacing w:before="0" w:after="0" w:line="180" w:lineRule="atLeast"/>
        <w:jc w:val="both"/>
        <w:rPr>
          <w:rFonts w:eastAsia="Times New Roman"/>
          <w:b/>
          <w:sz w:val="16"/>
          <w:szCs w:val="14"/>
        </w:rPr>
      </w:pPr>
      <w:r w:rsidRPr="003B0793">
        <w:rPr>
          <w:rFonts w:eastAsia="Times New Roman"/>
          <w:b/>
          <w:color w:val="FF0000"/>
          <w:sz w:val="16"/>
          <w:szCs w:val="14"/>
        </w:rPr>
        <w:sym w:font="Webdings" w:char="F067"/>
      </w:r>
      <w:r w:rsidRPr="003B0793">
        <w:rPr>
          <w:rFonts w:eastAsia="Times New Roman"/>
          <w:b/>
          <w:sz w:val="16"/>
          <w:szCs w:val="14"/>
        </w:rPr>
        <w:t> </w:t>
      </w:r>
      <w:r w:rsidRPr="003B0793">
        <w:rPr>
          <w:rFonts w:eastAsia="Times New Roman"/>
          <w:b/>
          <w:sz w:val="16"/>
          <w:szCs w:val="14"/>
        </w:rPr>
        <w:t xml:space="preserve"> Red. Progress is significantly less than expected at this stage of implementation and the objective is not likely to be met given available resources and priorities. Recasting the objective may be required.</w:t>
      </w:r>
    </w:p>
    <w:p w:rsidR="00C25AD7" w:rsidRDefault="00C25AD7" w:rsidP="00C25AD7">
      <w:pPr>
        <w:spacing w:before="360" w:after="120" w:line="180" w:lineRule="atLeast"/>
        <w:jc w:val="both"/>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t>Objective 1: economic growth</w:t>
      </w:r>
    </w:p>
    <w:p w:rsidR="00C25AD7" w:rsidRPr="00BC4460" w:rsidRDefault="00C25AD7" w:rsidP="00C25AD7">
      <w:pPr>
        <w:spacing w:before="360" w:after="120" w:line="180" w:lineRule="atLeast"/>
        <w:jc w:val="both"/>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7BE9F9A6" wp14:editId="5A1B5581">
            <wp:extent cx="1028700" cy="651076"/>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6">
                      <a:extLst>
                        <a:ext uri="{28A0092B-C50C-407E-A947-70E740481C1C}">
                          <a14:useLocalDpi xmlns:a14="http://schemas.microsoft.com/office/drawing/2010/main" val="0"/>
                        </a:ext>
                      </a:extLst>
                    </a:blip>
                    <a:stretch>
                      <a:fillRect/>
                    </a:stretch>
                  </pic:blipFill>
                  <pic:spPr>
                    <a:xfrm>
                      <a:off x="0" y="0"/>
                      <a:ext cx="1035183" cy="655179"/>
                    </a:xfrm>
                    <a:prstGeom prst="rect">
                      <a:avLst/>
                    </a:prstGeom>
                  </pic:spPr>
                </pic:pic>
              </a:graphicData>
            </a:graphic>
          </wp:inline>
        </w:drawing>
      </w:r>
      <w:r>
        <w:rPr>
          <w:noProof/>
          <w:lang w:val="en-AU" w:eastAsia="en-AU"/>
        </w:rPr>
        <w:tab/>
      </w:r>
      <w:r>
        <w:rPr>
          <w:noProof/>
          <w:lang w:val="en-AU" w:eastAsia="en-AU"/>
        </w:rPr>
        <w:drawing>
          <wp:inline distT="0" distB="0" distL="0" distR="0" wp14:anchorId="65AC2DF9" wp14:editId="196C89D1">
            <wp:extent cx="612000" cy="612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Pr>
          <w:noProof/>
          <w:lang w:val="en-AU" w:eastAsia="en-AU"/>
        </w:rPr>
        <w:tab/>
      </w:r>
      <w:r>
        <w:rPr>
          <w:noProof/>
          <w:lang w:val="en-AU" w:eastAsia="en-AU"/>
        </w:rPr>
        <w:drawing>
          <wp:inline distT="0" distB="0" distL="0" distR="0" wp14:anchorId="73EFE107" wp14:editId="5498BC08">
            <wp:extent cx="609600" cy="609600"/>
            <wp:effectExtent l="0" t="0" r="0" b="0"/>
            <wp:docPr id="33" name="Picture 33"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Pr>
          <w:noProof/>
          <w:lang w:val="en-AU" w:eastAsia="en-AU"/>
        </w:rPr>
        <w:tab/>
      </w:r>
      <w:r>
        <w:rPr>
          <w:noProof/>
          <w:lang w:val="en-AU" w:eastAsia="en-AU"/>
        </w:rPr>
        <w:drawing>
          <wp:inline distT="0" distB="0" distL="0" distR="0" wp14:anchorId="02726DBB" wp14:editId="7AE844D8">
            <wp:extent cx="612000" cy="612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DG 14.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Pr>
          <w:rFonts w:asciiTheme="majorHAnsi" w:eastAsiaTheme="majorEastAsia" w:hAnsiTheme="majorHAnsi" w:cstheme="majorBidi"/>
          <w:caps/>
          <w:sz w:val="38"/>
          <w:szCs w:val="26"/>
        </w:rPr>
        <w:tab/>
      </w:r>
    </w:p>
    <w:p w:rsidR="00C25AD7" w:rsidRDefault="00C25AD7" w:rsidP="00C25AD7">
      <w:pPr>
        <w:spacing w:after="160" w:line="280" w:lineRule="exact"/>
      </w:pPr>
      <w:r>
        <w:t xml:space="preserve">In 2016-17, we aimed </w:t>
      </w:r>
      <w:r w:rsidRPr="007F0DCA">
        <w:t>to</w:t>
      </w:r>
      <w:r>
        <w:t xml:space="preserve"> leverage and</w:t>
      </w:r>
      <w:r w:rsidRPr="007F0DCA">
        <w:t xml:space="preserve"> accelerate the value of private sector investment and trade</w:t>
      </w:r>
      <w:r>
        <w:t xml:space="preserve"> through </w:t>
      </w:r>
      <w:r w:rsidRPr="007F0DCA">
        <w:t xml:space="preserve">substantive improvements to the business environment in the Pacific. </w:t>
      </w:r>
      <w:r>
        <w:t xml:space="preserve">Increasing economic growth is challenging for many Pacific countries, which are challenged by small market size, remoteness and susceptibility to natural disasters.  </w:t>
      </w:r>
      <w:r w:rsidRPr="00E845B0">
        <w:t>Economic diversification</w:t>
      </w:r>
      <w:r>
        <w:t xml:space="preserve"> and increasing trade opportunities</w:t>
      </w:r>
      <w:r w:rsidRPr="00E845B0">
        <w:t xml:space="preserve"> </w:t>
      </w:r>
      <w:r>
        <w:t>is</w:t>
      </w:r>
      <w:r w:rsidRPr="00E845B0">
        <w:t xml:space="preserve"> pivotal</w:t>
      </w:r>
      <w:r>
        <w:t xml:space="preserve">. </w:t>
      </w:r>
      <w:r w:rsidRPr="00E845B0">
        <w:t xml:space="preserve"> </w:t>
      </w:r>
      <w:r>
        <w:t>Our economic growth programs seek to support key drivers of the regional economy: private sector development; trade and investment; labour mobility; education and fisheries. This work contributes to Sustainable Development Goals (SDG) 4 (</w:t>
      </w:r>
      <w:r w:rsidRPr="004E042B">
        <w:t>Ensure inclusive and quality education for all and promote lifelong learning</w:t>
      </w:r>
      <w:r>
        <w:t>); 8 (</w:t>
      </w:r>
      <w:r w:rsidRPr="004E042B">
        <w:t>Promote inclusive and sustainable economic growth, employment and decent work for all</w:t>
      </w:r>
      <w:r>
        <w:t xml:space="preserve">); and </w:t>
      </w:r>
      <w:r w:rsidRPr="004E042B">
        <w:t>14</w:t>
      </w:r>
      <w:r>
        <w:t xml:space="preserve"> (c</w:t>
      </w:r>
      <w:r w:rsidRPr="004E042B">
        <w:t>onserve and sustainably use the oceans, seas and marine resources</w:t>
      </w:r>
      <w:r>
        <w:t xml:space="preserve">). </w:t>
      </w:r>
      <w:r w:rsidRPr="00B7290C">
        <w:t>The rating has remained green because of continuing good results</w:t>
      </w:r>
      <w:r>
        <w:t xml:space="preserve">, </w:t>
      </w:r>
      <w:r w:rsidRPr="00B7290C">
        <w:t>including leveraging of private sector investment, increasing fishing revenues, and APTC graduates.</w:t>
      </w:r>
    </w:p>
    <w:p w:rsidR="00C25AD7" w:rsidRDefault="00C25AD7" w:rsidP="00C25AD7">
      <w:pPr>
        <w:rPr>
          <w:b/>
        </w:rPr>
      </w:pPr>
    </w:p>
    <w:p w:rsidR="00C25AD7" w:rsidRDefault="00C25AD7" w:rsidP="00C25AD7">
      <w:pPr>
        <w:rPr>
          <w:b/>
        </w:rPr>
      </w:pPr>
    </w:p>
    <w:p w:rsidR="00C25AD7" w:rsidRDefault="00C25AD7" w:rsidP="00C25AD7">
      <w:pPr>
        <w:rPr>
          <w:b/>
        </w:rPr>
      </w:pPr>
    </w:p>
    <w:p w:rsidR="00C25AD7" w:rsidRPr="005F2DEE" w:rsidRDefault="00C25AD7" w:rsidP="00C25AD7">
      <w:pPr>
        <w:rPr>
          <w:b/>
        </w:rPr>
      </w:pPr>
      <w:r>
        <w:rPr>
          <w:b/>
        </w:rPr>
        <w:lastRenderedPageBreak/>
        <w:t>Private sector development</w:t>
      </w:r>
    </w:p>
    <w:p w:rsidR="00C25AD7" w:rsidRDefault="00C25AD7" w:rsidP="00C25AD7">
      <w:pPr>
        <w:tabs>
          <w:tab w:val="left" w:pos="284"/>
        </w:tabs>
        <w:spacing w:after="120" w:line="280" w:lineRule="exact"/>
      </w:pPr>
      <w:r>
        <w:t xml:space="preserve">The Pacific region’s challenging business climate has led to low levels of formal private sector activity. Our programs seek to address these constraints by working to improve the business environment and directly leverage private sector investment to grow the region’s businesses and to support job creation. </w:t>
      </w:r>
    </w:p>
    <w:p w:rsidR="00C25AD7" w:rsidRPr="007F2F14" w:rsidRDefault="00C25AD7" w:rsidP="00C25AD7">
      <w:pPr>
        <w:tabs>
          <w:tab w:val="left" w:pos="284"/>
        </w:tabs>
        <w:spacing w:after="120" w:line="280" w:lineRule="exact"/>
      </w:pPr>
      <w:r>
        <w:t>A major focus of our private sector programs is leveraging investment. Building on lessons from innovative pilot programs established in previous years, 2016 saw a further $53.8 million in private sector investment leveraged through Pacific regional private sector programs. Since 2013-14, $</w:t>
      </w:r>
      <w:r w:rsidRPr="007F2F14">
        <w:t>565 m</w:t>
      </w:r>
      <w:r>
        <w:t>illion investment has been leveraged across the portfolio, progress is well ahead of 2015-16 expectations ($528 million). This compares to approximately $34 million invested through the aid program over this period.</w:t>
      </w:r>
    </w:p>
    <w:p w:rsidR="00C25AD7" w:rsidRPr="003E6B46" w:rsidRDefault="00C25AD7" w:rsidP="00C25AD7">
      <w:pPr>
        <w:rPr>
          <w:b/>
        </w:rPr>
      </w:pPr>
      <w:r w:rsidRPr="003E6B46">
        <w:rPr>
          <w:b/>
        </w:rPr>
        <w:t>Key results:</w:t>
      </w:r>
    </w:p>
    <w:p w:rsidR="00C25AD7" w:rsidRPr="003E29CD" w:rsidRDefault="00C25AD7" w:rsidP="00C25AD7">
      <w:pPr>
        <w:pStyle w:val="ListBullet"/>
        <w:numPr>
          <w:ilvl w:val="0"/>
          <w:numId w:val="12"/>
        </w:numPr>
        <w:tabs>
          <w:tab w:val="clear" w:pos="284"/>
          <w:tab w:val="left" w:pos="720"/>
        </w:tabs>
        <w:rPr>
          <w:rFonts w:asciiTheme="minorHAnsi" w:eastAsiaTheme="minorHAnsi" w:hAnsiTheme="minorHAnsi" w:cstheme="minorBidi"/>
          <w:color w:val="44546A" w:themeColor="text2"/>
          <w:sz w:val="22"/>
          <w:szCs w:val="22"/>
          <w:lang w:val="en-GB" w:eastAsia="en-US"/>
        </w:rPr>
      </w:pPr>
      <w:r w:rsidRPr="003E29CD">
        <w:rPr>
          <w:rFonts w:asciiTheme="minorHAnsi" w:eastAsiaTheme="minorHAnsi" w:hAnsiTheme="minorHAnsi" w:cstheme="minorBidi"/>
          <w:color w:val="44546A" w:themeColor="text2"/>
          <w:sz w:val="22"/>
          <w:szCs w:val="22"/>
          <w:lang w:val="en-GB" w:eastAsia="en-US"/>
        </w:rPr>
        <w:t xml:space="preserve">The Pacific Financial Inclusion Programme (PFIP) reached a major milestone, enrolling </w:t>
      </w:r>
      <w:r>
        <w:rPr>
          <w:rFonts w:asciiTheme="minorHAnsi" w:eastAsiaTheme="minorHAnsi" w:hAnsiTheme="minorHAnsi" w:cstheme="minorBidi"/>
          <w:color w:val="44546A" w:themeColor="text2"/>
          <w:sz w:val="22"/>
          <w:szCs w:val="22"/>
          <w:lang w:val="en-GB" w:eastAsia="en-US"/>
        </w:rPr>
        <w:t>almost</w:t>
      </w:r>
      <w:r w:rsidRPr="003E29CD">
        <w:rPr>
          <w:rFonts w:asciiTheme="minorHAnsi" w:eastAsiaTheme="minorHAnsi" w:hAnsiTheme="minorHAnsi" w:cstheme="minorBidi"/>
          <w:color w:val="44546A" w:themeColor="text2"/>
          <w:sz w:val="22"/>
          <w:szCs w:val="22"/>
          <w:lang w:val="en-GB" w:eastAsia="en-US"/>
        </w:rPr>
        <w:t xml:space="preserve"> 1.</w:t>
      </w:r>
      <w:r>
        <w:rPr>
          <w:rFonts w:asciiTheme="minorHAnsi" w:eastAsiaTheme="minorHAnsi" w:hAnsiTheme="minorHAnsi" w:cstheme="minorBidi"/>
          <w:color w:val="44546A" w:themeColor="text2"/>
          <w:sz w:val="22"/>
          <w:szCs w:val="22"/>
          <w:lang w:val="en-GB" w:eastAsia="en-US"/>
        </w:rPr>
        <w:t>5</w:t>
      </w:r>
      <w:r w:rsidRPr="003E29CD">
        <w:rPr>
          <w:rFonts w:asciiTheme="minorHAnsi" w:eastAsiaTheme="minorHAnsi" w:hAnsiTheme="minorHAnsi" w:cstheme="minorBidi"/>
          <w:color w:val="44546A" w:themeColor="text2"/>
          <w:sz w:val="22"/>
          <w:szCs w:val="22"/>
          <w:lang w:val="en-GB" w:eastAsia="en-US"/>
        </w:rPr>
        <w:t xml:space="preserve"> million customer</w:t>
      </w:r>
      <w:r>
        <w:rPr>
          <w:rFonts w:asciiTheme="minorHAnsi" w:eastAsiaTheme="minorHAnsi" w:hAnsiTheme="minorHAnsi" w:cstheme="minorBidi"/>
          <w:color w:val="44546A" w:themeColor="text2"/>
          <w:sz w:val="22"/>
          <w:szCs w:val="22"/>
          <w:lang w:val="en-GB" w:eastAsia="en-US"/>
        </w:rPr>
        <w:t>s</w:t>
      </w:r>
      <w:r w:rsidRPr="003E29CD">
        <w:rPr>
          <w:rFonts w:asciiTheme="minorHAnsi" w:eastAsiaTheme="minorHAnsi" w:hAnsiTheme="minorHAnsi" w:cstheme="minorBidi"/>
          <w:color w:val="44546A" w:themeColor="text2"/>
          <w:sz w:val="22"/>
          <w:szCs w:val="22"/>
          <w:lang w:val="en-GB" w:eastAsia="en-US"/>
        </w:rPr>
        <w:t xml:space="preserve"> </w:t>
      </w:r>
      <w:r>
        <w:rPr>
          <w:rFonts w:asciiTheme="minorHAnsi" w:eastAsiaTheme="minorHAnsi" w:hAnsiTheme="minorHAnsi" w:cstheme="minorBidi"/>
          <w:color w:val="44546A" w:themeColor="text2"/>
          <w:sz w:val="22"/>
          <w:szCs w:val="22"/>
          <w:lang w:val="en-GB" w:eastAsia="en-US"/>
        </w:rPr>
        <w:t xml:space="preserve">into a </w:t>
      </w:r>
      <w:r w:rsidRPr="003E29CD">
        <w:rPr>
          <w:rFonts w:asciiTheme="minorHAnsi" w:eastAsiaTheme="minorHAnsi" w:hAnsiTheme="minorHAnsi" w:cstheme="minorBidi"/>
          <w:color w:val="44546A" w:themeColor="text2"/>
          <w:sz w:val="22"/>
          <w:szCs w:val="22"/>
          <w:lang w:val="en-GB" w:eastAsia="en-US"/>
        </w:rPr>
        <w:t>new financial service</w:t>
      </w:r>
      <w:r>
        <w:rPr>
          <w:rFonts w:asciiTheme="minorHAnsi" w:eastAsiaTheme="minorHAnsi" w:hAnsiTheme="minorHAnsi" w:cstheme="minorBidi"/>
          <w:color w:val="44546A" w:themeColor="text2"/>
          <w:sz w:val="22"/>
          <w:szCs w:val="22"/>
          <w:lang w:val="en-GB" w:eastAsia="en-US"/>
        </w:rPr>
        <w:t xml:space="preserve"> or </w:t>
      </w:r>
      <w:r w:rsidRPr="003E29CD">
        <w:rPr>
          <w:rFonts w:asciiTheme="minorHAnsi" w:eastAsiaTheme="minorHAnsi" w:hAnsiTheme="minorHAnsi" w:cstheme="minorBidi"/>
          <w:color w:val="44546A" w:themeColor="text2"/>
          <w:sz w:val="22"/>
          <w:szCs w:val="22"/>
          <w:lang w:val="en-GB" w:eastAsia="en-US"/>
        </w:rPr>
        <w:t xml:space="preserve">product. </w:t>
      </w:r>
      <w:r w:rsidRPr="00B54624">
        <w:rPr>
          <w:rFonts w:asciiTheme="minorHAnsi" w:eastAsiaTheme="minorHAnsi" w:hAnsiTheme="minorHAnsi" w:cstheme="minorBidi"/>
          <w:color w:val="44546A" w:themeColor="text2"/>
          <w:sz w:val="22"/>
          <w:szCs w:val="22"/>
          <w:lang w:val="en-GB" w:eastAsia="en-US"/>
        </w:rPr>
        <w:t>Financial inclusion means that individuals and businesses have access to useful and affordable financial products and services that meet their needs – transactions, payments, savings, credit and insurance – delivered in a responsible and sustainable way</w:t>
      </w:r>
      <w:r>
        <w:rPr>
          <w:rFonts w:asciiTheme="minorHAnsi" w:eastAsiaTheme="minorHAnsi" w:hAnsiTheme="minorHAnsi" w:cstheme="minorBidi"/>
          <w:color w:val="44546A" w:themeColor="text2"/>
          <w:sz w:val="22"/>
          <w:szCs w:val="22"/>
          <w:lang w:val="en-GB" w:eastAsia="en-US"/>
        </w:rPr>
        <w:t>.</w:t>
      </w:r>
      <w:r>
        <w:rPr>
          <w:rStyle w:val="FootnoteReference"/>
          <w:rFonts w:asciiTheme="minorHAnsi" w:eastAsiaTheme="minorHAnsi" w:hAnsiTheme="minorHAnsi" w:cstheme="minorBidi"/>
          <w:color w:val="44546A" w:themeColor="text2"/>
          <w:sz w:val="22"/>
          <w:szCs w:val="22"/>
          <w:lang w:val="en-GB" w:eastAsia="en-US"/>
        </w:rPr>
        <w:footnoteReference w:id="8"/>
      </w:r>
    </w:p>
    <w:p w:rsidR="00C25AD7" w:rsidRDefault="00C25AD7" w:rsidP="00C25AD7">
      <w:pPr>
        <w:pStyle w:val="ListBullet"/>
        <w:numPr>
          <w:ilvl w:val="0"/>
          <w:numId w:val="12"/>
        </w:numPr>
        <w:tabs>
          <w:tab w:val="clear" w:pos="284"/>
          <w:tab w:val="left" w:pos="720"/>
        </w:tabs>
        <w:rPr>
          <w:rFonts w:asciiTheme="minorHAnsi" w:eastAsiaTheme="minorHAnsi" w:hAnsiTheme="minorHAnsi" w:cstheme="minorBidi"/>
          <w:color w:val="44546A" w:themeColor="text2"/>
          <w:sz w:val="22"/>
          <w:szCs w:val="22"/>
          <w:lang w:val="en-GB" w:eastAsia="en-US"/>
        </w:rPr>
      </w:pPr>
      <w:r w:rsidRPr="00340A30">
        <w:rPr>
          <w:rFonts w:asciiTheme="minorHAnsi" w:eastAsiaTheme="minorHAnsi" w:hAnsiTheme="minorHAnsi" w:cstheme="minorBidi"/>
          <w:color w:val="44546A" w:themeColor="text2"/>
          <w:sz w:val="22"/>
          <w:szCs w:val="22"/>
          <w:lang w:val="en-GB" w:eastAsia="en-US"/>
        </w:rPr>
        <w:t xml:space="preserve">Since </w:t>
      </w:r>
      <w:r>
        <w:rPr>
          <w:rFonts w:asciiTheme="minorHAnsi" w:eastAsiaTheme="minorHAnsi" w:hAnsiTheme="minorHAnsi" w:cstheme="minorBidi"/>
          <w:color w:val="44546A" w:themeColor="text2"/>
          <w:sz w:val="22"/>
          <w:szCs w:val="22"/>
          <w:lang w:val="en-GB" w:eastAsia="en-US"/>
        </w:rPr>
        <w:t>2008</w:t>
      </w:r>
      <w:r w:rsidRPr="00340A30">
        <w:rPr>
          <w:rFonts w:asciiTheme="minorHAnsi" w:eastAsiaTheme="minorHAnsi" w:hAnsiTheme="minorHAnsi" w:cstheme="minorBidi"/>
          <w:color w:val="44546A" w:themeColor="text2"/>
          <w:sz w:val="22"/>
          <w:szCs w:val="22"/>
          <w:lang w:val="en-GB" w:eastAsia="en-US"/>
        </w:rPr>
        <w:t xml:space="preserve">, the program has enrolled </w:t>
      </w:r>
      <w:r w:rsidRPr="004E042B">
        <w:rPr>
          <w:rFonts w:asciiTheme="minorHAnsi" w:eastAsiaTheme="minorHAnsi" w:hAnsiTheme="minorHAnsi" w:cstheme="minorBidi"/>
          <w:color w:val="44546A" w:themeColor="text2"/>
          <w:sz w:val="22"/>
          <w:szCs w:val="22"/>
          <w:lang w:val="en-GB" w:eastAsia="en-US"/>
        </w:rPr>
        <w:t>799,202</w:t>
      </w:r>
      <w:r>
        <w:rPr>
          <w:rFonts w:asciiTheme="minorHAnsi" w:eastAsiaTheme="minorHAnsi" w:hAnsiTheme="minorHAnsi" w:cstheme="minorBidi"/>
          <w:color w:val="44546A" w:themeColor="text2"/>
          <w:sz w:val="22"/>
          <w:szCs w:val="22"/>
          <w:lang w:val="en-GB" w:eastAsia="en-US"/>
        </w:rPr>
        <w:t xml:space="preserve"> </w:t>
      </w:r>
      <w:r w:rsidRPr="00340A30">
        <w:rPr>
          <w:rFonts w:asciiTheme="minorHAnsi" w:eastAsiaTheme="minorHAnsi" w:hAnsiTheme="minorHAnsi" w:cstheme="minorBidi"/>
          <w:color w:val="44546A" w:themeColor="text2"/>
          <w:sz w:val="22"/>
          <w:szCs w:val="22"/>
          <w:lang w:val="en-GB" w:eastAsia="en-US"/>
        </w:rPr>
        <w:t>women</w:t>
      </w:r>
      <w:r>
        <w:rPr>
          <w:rFonts w:asciiTheme="minorHAnsi" w:eastAsiaTheme="minorHAnsi" w:hAnsiTheme="minorHAnsi" w:cstheme="minorBidi"/>
          <w:color w:val="44546A" w:themeColor="text2"/>
          <w:sz w:val="22"/>
          <w:szCs w:val="22"/>
          <w:lang w:val="en-GB" w:eastAsia="en-US"/>
        </w:rPr>
        <w:t>, with</w:t>
      </w:r>
      <w:r w:rsidRPr="00340A30">
        <w:rPr>
          <w:rFonts w:asciiTheme="minorHAnsi" w:eastAsiaTheme="minorHAnsi" w:hAnsiTheme="minorHAnsi" w:cstheme="minorBidi"/>
          <w:color w:val="44546A" w:themeColor="text2"/>
          <w:sz w:val="22"/>
          <w:szCs w:val="22"/>
          <w:lang w:val="en-GB" w:eastAsia="en-US"/>
        </w:rPr>
        <w:t xml:space="preserve"> clients having an average savings balance of USD 1</w:t>
      </w:r>
      <w:r>
        <w:rPr>
          <w:rFonts w:asciiTheme="minorHAnsi" w:eastAsiaTheme="minorHAnsi" w:hAnsiTheme="minorHAnsi" w:cstheme="minorBidi"/>
          <w:color w:val="44546A" w:themeColor="text2"/>
          <w:sz w:val="22"/>
          <w:szCs w:val="22"/>
          <w:lang w:val="en-GB" w:eastAsia="en-US"/>
        </w:rPr>
        <w:t>32</w:t>
      </w:r>
      <w:r w:rsidRPr="00340A30">
        <w:rPr>
          <w:rFonts w:asciiTheme="minorHAnsi" w:eastAsiaTheme="minorHAnsi" w:hAnsiTheme="minorHAnsi" w:cstheme="minorBidi"/>
          <w:color w:val="44546A" w:themeColor="text2"/>
          <w:sz w:val="22"/>
          <w:szCs w:val="22"/>
          <w:lang w:val="en-GB" w:eastAsia="en-US"/>
        </w:rPr>
        <w:t>. This reflects good progress in designing products that are meeting the</w:t>
      </w:r>
      <w:r>
        <w:rPr>
          <w:rFonts w:asciiTheme="minorHAnsi" w:eastAsiaTheme="minorHAnsi" w:hAnsiTheme="minorHAnsi" w:cstheme="minorBidi"/>
          <w:color w:val="44546A" w:themeColor="text2"/>
          <w:sz w:val="22"/>
          <w:szCs w:val="22"/>
          <w:lang w:val="en-GB" w:eastAsia="en-US"/>
        </w:rPr>
        <w:t xml:space="preserve"> financial needs of </w:t>
      </w:r>
      <w:r w:rsidRPr="00340A30">
        <w:rPr>
          <w:rFonts w:asciiTheme="minorHAnsi" w:eastAsiaTheme="minorHAnsi" w:hAnsiTheme="minorHAnsi" w:cstheme="minorBidi"/>
          <w:color w:val="44546A" w:themeColor="text2"/>
          <w:sz w:val="22"/>
          <w:szCs w:val="22"/>
          <w:lang w:val="en-GB" w:eastAsia="en-US"/>
        </w:rPr>
        <w:t>customers.</w:t>
      </w:r>
    </w:p>
    <w:p w:rsidR="00C25AD7" w:rsidRDefault="00C25AD7" w:rsidP="00C25AD7">
      <w:pPr>
        <w:pStyle w:val="ListBullet"/>
        <w:numPr>
          <w:ilvl w:val="0"/>
          <w:numId w:val="12"/>
        </w:numPr>
        <w:tabs>
          <w:tab w:val="clear" w:pos="284"/>
          <w:tab w:val="left" w:pos="720"/>
        </w:tabs>
        <w:rPr>
          <w:rFonts w:asciiTheme="minorHAnsi" w:eastAsiaTheme="minorHAnsi" w:hAnsiTheme="minorHAnsi" w:cstheme="minorBidi"/>
          <w:color w:val="44546A" w:themeColor="text2"/>
          <w:sz w:val="22"/>
          <w:szCs w:val="22"/>
          <w:lang w:val="en-GB" w:eastAsia="en-US"/>
        </w:rPr>
      </w:pPr>
      <w:r w:rsidRPr="00EF7CBE">
        <w:rPr>
          <w:rFonts w:asciiTheme="minorHAnsi" w:eastAsiaTheme="minorHAnsi" w:hAnsiTheme="minorHAnsi" w:cstheme="minorBidi"/>
          <w:color w:val="44546A" w:themeColor="text2"/>
          <w:sz w:val="22"/>
          <w:szCs w:val="22"/>
          <w:lang w:val="en-GB" w:eastAsia="en-US"/>
        </w:rPr>
        <w:t>The Private Sector Development Initiative (PSDI) is focused on reducing barriers to investment and entrepreneurship across the Pacific region. Over the past decade, PSDI has: supported company law and registry reforms, which has increased the annual rate of company formation in Samoa and Solomon Islands by 114 per cent; helped implement secured transactions law and registry reform in eight countries, enabling businesses to access finance using non-land assets; and supported t</w:t>
      </w:r>
      <w:r>
        <w:rPr>
          <w:rFonts w:asciiTheme="minorHAnsi" w:eastAsiaTheme="minorHAnsi" w:hAnsiTheme="minorHAnsi" w:cstheme="minorBidi"/>
          <w:color w:val="44546A" w:themeColor="text2"/>
          <w:sz w:val="22"/>
          <w:szCs w:val="22"/>
          <w:lang w:val="en-GB" w:eastAsia="en-US"/>
        </w:rPr>
        <w:t>he restructuring and/or privatis</w:t>
      </w:r>
      <w:r w:rsidRPr="00EF7CBE">
        <w:rPr>
          <w:rFonts w:asciiTheme="minorHAnsi" w:eastAsiaTheme="minorHAnsi" w:hAnsiTheme="minorHAnsi" w:cstheme="minorBidi"/>
          <w:color w:val="44546A" w:themeColor="text2"/>
          <w:sz w:val="22"/>
          <w:szCs w:val="22"/>
          <w:lang w:val="en-GB" w:eastAsia="en-US"/>
        </w:rPr>
        <w:t>ation of 67 state-owned enterprises, leading to improved financial and operational performance (the average return on equity improved from -5.6% in 2008 to 0.6% in 2014).</w:t>
      </w:r>
    </w:p>
    <w:p w:rsidR="00C25AD7" w:rsidRPr="00EF7CBE" w:rsidRDefault="00C25AD7" w:rsidP="00C25AD7">
      <w:pPr>
        <w:pStyle w:val="ListBullet"/>
        <w:numPr>
          <w:ilvl w:val="0"/>
          <w:numId w:val="12"/>
        </w:numPr>
        <w:tabs>
          <w:tab w:val="clear" w:pos="284"/>
          <w:tab w:val="left" w:pos="720"/>
        </w:tabs>
        <w:rPr>
          <w:rFonts w:asciiTheme="minorHAnsi" w:eastAsiaTheme="minorHAnsi" w:hAnsiTheme="minorHAnsi" w:cstheme="minorBidi"/>
          <w:color w:val="44546A" w:themeColor="text2"/>
          <w:sz w:val="22"/>
          <w:szCs w:val="22"/>
          <w:lang w:val="en-GB" w:eastAsia="en-US"/>
        </w:rPr>
      </w:pPr>
      <w:r w:rsidRPr="00B53D4B">
        <w:rPr>
          <w:rFonts w:asciiTheme="minorHAnsi" w:eastAsiaTheme="minorHAnsi" w:hAnsiTheme="minorHAnsi" w:cstheme="minorBidi"/>
          <w:color w:val="44546A" w:themeColor="text2"/>
          <w:sz w:val="22"/>
          <w:szCs w:val="22"/>
          <w:lang w:val="en-GB" w:eastAsia="en-US"/>
        </w:rPr>
        <w:t>Pacific Regional Agricultural Market Access</w:t>
      </w:r>
      <w:r>
        <w:rPr>
          <w:rFonts w:asciiTheme="minorHAnsi" w:eastAsiaTheme="minorHAnsi" w:hAnsiTheme="minorHAnsi" w:cstheme="minorBidi"/>
          <w:color w:val="44546A" w:themeColor="text2"/>
          <w:sz w:val="22"/>
          <w:szCs w:val="22"/>
          <w:lang w:val="en-GB" w:eastAsia="en-US"/>
        </w:rPr>
        <w:t xml:space="preserve"> (PHAMA) continues to support the agriculture sector, for example </w:t>
      </w:r>
      <w:r w:rsidRPr="00B53D4B">
        <w:rPr>
          <w:rFonts w:asciiTheme="minorHAnsi" w:eastAsiaTheme="minorHAnsi" w:hAnsiTheme="minorHAnsi" w:cstheme="minorBidi"/>
          <w:color w:val="44546A" w:themeColor="text2"/>
          <w:sz w:val="22"/>
          <w:szCs w:val="22"/>
          <w:lang w:val="en-GB" w:eastAsia="en-US"/>
        </w:rPr>
        <w:t>Solomon Island farmers participating in the cocoa drier PHAMA trials</w:t>
      </w:r>
      <w:r>
        <w:rPr>
          <w:rFonts w:asciiTheme="minorHAnsi" w:eastAsiaTheme="minorHAnsi" w:hAnsiTheme="minorHAnsi" w:cstheme="minorBidi"/>
          <w:color w:val="44546A" w:themeColor="text2"/>
          <w:sz w:val="22"/>
          <w:szCs w:val="22"/>
          <w:lang w:val="en-GB" w:eastAsia="en-US"/>
        </w:rPr>
        <w:t xml:space="preserve">, received </w:t>
      </w:r>
      <w:r w:rsidRPr="00B53D4B">
        <w:rPr>
          <w:rFonts w:asciiTheme="minorHAnsi" w:eastAsiaTheme="minorHAnsi" w:hAnsiTheme="minorHAnsi" w:cstheme="minorBidi"/>
          <w:color w:val="44546A" w:themeColor="text2"/>
          <w:sz w:val="22"/>
          <w:szCs w:val="22"/>
          <w:lang w:val="en-GB" w:eastAsia="en-US"/>
        </w:rPr>
        <w:t>more than double the usual farm gate price due to improvements in quality, and PHAMA's support for marketing and linkages to international boutique buyers.</w:t>
      </w:r>
    </w:p>
    <w:p w:rsidR="00C25AD7" w:rsidRDefault="00C25AD7" w:rsidP="00C25AD7">
      <w:pPr>
        <w:pStyle w:val="ListBullet"/>
        <w:numPr>
          <w:ilvl w:val="0"/>
          <w:numId w:val="12"/>
        </w:numPr>
        <w:tabs>
          <w:tab w:val="clear" w:pos="284"/>
          <w:tab w:val="left" w:pos="720"/>
        </w:tabs>
        <w:rPr>
          <w:rFonts w:asciiTheme="minorHAnsi" w:eastAsiaTheme="minorHAnsi" w:hAnsiTheme="minorHAnsi" w:cstheme="minorBidi"/>
          <w:color w:val="44546A" w:themeColor="text2"/>
          <w:sz w:val="22"/>
          <w:szCs w:val="22"/>
          <w:lang w:val="en-GB" w:eastAsia="en-US"/>
        </w:rPr>
      </w:pPr>
      <w:r>
        <w:rPr>
          <w:rFonts w:asciiTheme="minorHAnsi" w:eastAsiaTheme="minorHAnsi" w:hAnsiTheme="minorHAnsi" w:cstheme="minorBidi"/>
          <w:color w:val="44546A" w:themeColor="text2"/>
          <w:sz w:val="22"/>
          <w:szCs w:val="22"/>
          <w:lang w:val="en-GB" w:eastAsia="en-US"/>
        </w:rPr>
        <w:t xml:space="preserve">In 2016 </w:t>
      </w:r>
      <w:r w:rsidRPr="00EF7CBE">
        <w:rPr>
          <w:rFonts w:asciiTheme="minorHAnsi" w:eastAsiaTheme="minorHAnsi" w:hAnsiTheme="minorHAnsi" w:cstheme="minorBidi"/>
          <w:color w:val="44546A" w:themeColor="text2"/>
          <w:sz w:val="22"/>
          <w:szCs w:val="22"/>
          <w:lang w:val="en-GB" w:eastAsia="en-US"/>
        </w:rPr>
        <w:t>DFAT’s Pacific Partnership with the Internationa</w:t>
      </w:r>
      <w:r>
        <w:rPr>
          <w:rFonts w:asciiTheme="minorHAnsi" w:eastAsiaTheme="minorHAnsi" w:hAnsiTheme="minorHAnsi" w:cstheme="minorBidi"/>
          <w:color w:val="44546A" w:themeColor="text2"/>
          <w:sz w:val="22"/>
          <w:szCs w:val="22"/>
          <w:lang w:val="en-GB" w:eastAsia="en-US"/>
        </w:rPr>
        <w:t>l Finance Corporation mobilised an additional $31 million</w:t>
      </w:r>
      <w:r w:rsidRPr="00EF7CBE">
        <w:rPr>
          <w:rFonts w:asciiTheme="minorHAnsi" w:eastAsiaTheme="minorHAnsi" w:hAnsiTheme="minorHAnsi" w:cstheme="minorBidi"/>
          <w:color w:val="44546A" w:themeColor="text2"/>
          <w:sz w:val="22"/>
          <w:szCs w:val="22"/>
          <w:lang w:val="en-GB" w:eastAsia="en-US"/>
        </w:rPr>
        <w:t xml:space="preserve">, enabling </w:t>
      </w:r>
      <w:r>
        <w:rPr>
          <w:rFonts w:asciiTheme="minorHAnsi" w:eastAsiaTheme="minorHAnsi" w:hAnsiTheme="minorHAnsi" w:cstheme="minorBidi"/>
          <w:color w:val="44546A" w:themeColor="text2"/>
          <w:sz w:val="22"/>
          <w:szCs w:val="22"/>
          <w:lang w:val="en-GB" w:eastAsia="en-US"/>
        </w:rPr>
        <w:t xml:space="preserve">extension of </w:t>
      </w:r>
      <w:r w:rsidRPr="00EF7CBE">
        <w:rPr>
          <w:rFonts w:asciiTheme="minorHAnsi" w:eastAsiaTheme="minorHAnsi" w:hAnsiTheme="minorHAnsi" w:cstheme="minorBidi"/>
          <w:color w:val="44546A" w:themeColor="text2"/>
          <w:sz w:val="22"/>
          <w:szCs w:val="22"/>
          <w:lang w:val="en-GB" w:eastAsia="en-US"/>
        </w:rPr>
        <w:t>services to smaller</w:t>
      </w:r>
      <w:r>
        <w:rPr>
          <w:rFonts w:asciiTheme="minorHAnsi" w:eastAsiaTheme="minorHAnsi" w:hAnsiTheme="minorHAnsi" w:cstheme="minorBidi"/>
          <w:color w:val="44546A" w:themeColor="text2"/>
          <w:sz w:val="22"/>
          <w:szCs w:val="22"/>
          <w:lang w:val="en-GB" w:eastAsia="en-US"/>
        </w:rPr>
        <w:t xml:space="preserve"> Pacific</w:t>
      </w:r>
      <w:r w:rsidRPr="00EF7CBE">
        <w:rPr>
          <w:rFonts w:asciiTheme="minorHAnsi" w:eastAsiaTheme="minorHAnsi" w:hAnsiTheme="minorHAnsi" w:cstheme="minorBidi"/>
          <w:color w:val="44546A" w:themeColor="text2"/>
          <w:sz w:val="22"/>
          <w:szCs w:val="22"/>
          <w:lang w:val="en-GB" w:eastAsia="en-US"/>
        </w:rPr>
        <w:t xml:space="preserve"> nations. The Partnership facilitated access to off-grid solar lighting/charging for an additional 226,000 people in rural PNG, and expanded mobile banking products and financial literacy training, </w:t>
      </w:r>
      <w:r>
        <w:rPr>
          <w:rFonts w:asciiTheme="minorHAnsi" w:eastAsiaTheme="minorHAnsi" w:hAnsiTheme="minorHAnsi" w:cstheme="minorBidi"/>
          <w:color w:val="44546A" w:themeColor="text2"/>
          <w:sz w:val="22"/>
          <w:szCs w:val="22"/>
          <w:lang w:val="en-GB" w:eastAsia="en-US"/>
        </w:rPr>
        <w:t>and improved</w:t>
      </w:r>
      <w:r w:rsidRPr="00EF7CBE">
        <w:rPr>
          <w:rFonts w:asciiTheme="minorHAnsi" w:eastAsiaTheme="minorHAnsi" w:hAnsiTheme="minorHAnsi" w:cstheme="minorBidi"/>
          <w:color w:val="44546A" w:themeColor="text2"/>
          <w:sz w:val="22"/>
          <w:szCs w:val="22"/>
          <w:lang w:val="en-GB" w:eastAsia="en-US"/>
        </w:rPr>
        <w:t xml:space="preserve"> access to basic financial services</w:t>
      </w:r>
      <w:r>
        <w:rPr>
          <w:rFonts w:asciiTheme="minorHAnsi" w:eastAsiaTheme="minorHAnsi" w:hAnsiTheme="minorHAnsi" w:cstheme="minorBidi"/>
          <w:color w:val="44546A" w:themeColor="text2"/>
          <w:sz w:val="22"/>
          <w:szCs w:val="22"/>
          <w:lang w:val="en-GB" w:eastAsia="en-US"/>
        </w:rPr>
        <w:t xml:space="preserve"> (financial inclusion)</w:t>
      </w:r>
      <w:r w:rsidRPr="00EF7CBE">
        <w:rPr>
          <w:rFonts w:asciiTheme="minorHAnsi" w:eastAsiaTheme="minorHAnsi" w:hAnsiTheme="minorHAnsi" w:cstheme="minorBidi"/>
          <w:color w:val="44546A" w:themeColor="text2"/>
          <w:sz w:val="22"/>
          <w:szCs w:val="22"/>
          <w:lang w:val="en-GB" w:eastAsia="en-US"/>
        </w:rPr>
        <w:t xml:space="preserve"> for an additional 112,000 people. The New Zealand/Tonga remittance product, “Ave Pa’anga Pau” (Send Money Home) voucher, was launched, creating a stable, secure and affordable new channel for vital remittances to flow.</w:t>
      </w:r>
    </w:p>
    <w:p w:rsidR="00C25AD7" w:rsidRDefault="00C25AD7" w:rsidP="00C25AD7">
      <w:pPr>
        <w:pStyle w:val="ListBullet"/>
        <w:numPr>
          <w:ilvl w:val="0"/>
          <w:numId w:val="12"/>
        </w:numPr>
        <w:tabs>
          <w:tab w:val="clear" w:pos="284"/>
          <w:tab w:val="left" w:pos="720"/>
        </w:tabs>
        <w:rPr>
          <w:rFonts w:asciiTheme="minorHAnsi" w:eastAsiaTheme="minorHAnsi" w:hAnsiTheme="minorHAnsi" w:cstheme="minorBidi"/>
          <w:color w:val="44546A" w:themeColor="text2"/>
          <w:sz w:val="22"/>
          <w:szCs w:val="22"/>
          <w:lang w:val="en-GB" w:eastAsia="en-US"/>
        </w:rPr>
      </w:pPr>
      <w:r w:rsidRPr="005F2DEE">
        <w:rPr>
          <w:rFonts w:asciiTheme="minorHAnsi" w:eastAsiaTheme="minorHAnsi" w:hAnsiTheme="minorHAnsi" w:cstheme="minorBidi"/>
          <w:color w:val="44546A" w:themeColor="text2"/>
          <w:sz w:val="22"/>
          <w:szCs w:val="22"/>
          <w:lang w:val="en-GB" w:eastAsia="en-US"/>
        </w:rPr>
        <w:t xml:space="preserve">DFAT’s pilot with The Difference Incubator </w:t>
      </w:r>
      <w:r>
        <w:rPr>
          <w:rFonts w:asciiTheme="minorHAnsi" w:eastAsiaTheme="minorHAnsi" w:hAnsiTheme="minorHAnsi" w:cstheme="minorBidi"/>
          <w:color w:val="44546A" w:themeColor="text2"/>
          <w:sz w:val="22"/>
          <w:szCs w:val="22"/>
          <w:lang w:val="en-GB" w:eastAsia="en-US"/>
        </w:rPr>
        <w:t>(first reported in the 2015-16 APPR) delivered its first investments, facilitating two deals with Pacific enterprises worth a combined total of $850,000. These investments, from an Australian private capital fund, will help a</w:t>
      </w:r>
      <w:r w:rsidRPr="00AA572F">
        <w:rPr>
          <w:rFonts w:asciiTheme="minorHAnsi" w:eastAsiaTheme="minorHAnsi" w:hAnsiTheme="minorHAnsi" w:cstheme="minorBidi"/>
          <w:color w:val="44546A" w:themeColor="text2"/>
          <w:sz w:val="22"/>
          <w:szCs w:val="22"/>
          <w:lang w:val="en-GB" w:eastAsia="en-US"/>
        </w:rPr>
        <w:t xml:space="preserve"> Samoan coconut factory and a Vanuatu coffee producer expand their operations and generate employment for farmers</w:t>
      </w:r>
      <w:r>
        <w:rPr>
          <w:rFonts w:asciiTheme="minorHAnsi" w:eastAsiaTheme="minorHAnsi" w:hAnsiTheme="minorHAnsi" w:cstheme="minorBidi"/>
          <w:color w:val="44546A" w:themeColor="text2"/>
          <w:sz w:val="22"/>
          <w:szCs w:val="22"/>
          <w:lang w:val="en-GB" w:eastAsia="en-US"/>
        </w:rPr>
        <w:t xml:space="preserve">. </w:t>
      </w:r>
    </w:p>
    <w:p w:rsidR="00C25AD7" w:rsidRPr="00D37EB6" w:rsidRDefault="00C25AD7" w:rsidP="00C25AD7">
      <w:pPr>
        <w:pStyle w:val="ListBullet"/>
        <w:numPr>
          <w:ilvl w:val="0"/>
          <w:numId w:val="12"/>
        </w:numPr>
        <w:tabs>
          <w:tab w:val="clear" w:pos="284"/>
          <w:tab w:val="left" w:pos="720"/>
        </w:tabs>
        <w:rPr>
          <w:rFonts w:asciiTheme="minorHAnsi" w:eastAsiaTheme="minorHAnsi" w:hAnsiTheme="minorHAnsi" w:cstheme="minorBidi"/>
          <w:color w:val="44546A" w:themeColor="text2"/>
          <w:sz w:val="22"/>
          <w:szCs w:val="22"/>
          <w:lang w:val="en-GB" w:eastAsia="en-US"/>
        </w:rPr>
      </w:pPr>
      <w:r w:rsidRPr="00D37EB6">
        <w:rPr>
          <w:rFonts w:asciiTheme="minorHAnsi" w:eastAsiaTheme="minorHAnsi" w:hAnsiTheme="minorHAnsi" w:cstheme="minorBidi"/>
          <w:color w:val="44546A" w:themeColor="text2"/>
          <w:sz w:val="22"/>
          <w:szCs w:val="22"/>
          <w:lang w:val="en-GB" w:eastAsia="en-US"/>
        </w:rPr>
        <w:t xml:space="preserve">To replicate and scale the successes of the pilot, DFAT established a new program to connect Australian and international investors to Pacific social enterprises. </w:t>
      </w:r>
      <w:r>
        <w:rPr>
          <w:rFonts w:asciiTheme="minorHAnsi" w:eastAsiaTheme="minorHAnsi" w:hAnsiTheme="minorHAnsi" w:cstheme="minorBidi"/>
          <w:color w:val="44546A" w:themeColor="text2"/>
          <w:sz w:val="22"/>
          <w:szCs w:val="22"/>
          <w:lang w:val="en-GB" w:eastAsia="en-US"/>
        </w:rPr>
        <w:t xml:space="preserve">As of June 2017, the </w:t>
      </w:r>
      <w:r w:rsidRPr="00D37EB6">
        <w:rPr>
          <w:rFonts w:asciiTheme="minorHAnsi" w:eastAsiaTheme="minorHAnsi" w:hAnsiTheme="minorHAnsi" w:cstheme="minorBidi"/>
          <w:color w:val="44546A" w:themeColor="text2"/>
          <w:sz w:val="22"/>
          <w:szCs w:val="22"/>
          <w:lang w:val="en-GB" w:eastAsia="en-US"/>
        </w:rPr>
        <w:t>program</w:t>
      </w:r>
      <w:r>
        <w:rPr>
          <w:rFonts w:asciiTheme="minorHAnsi" w:eastAsiaTheme="minorHAnsi" w:hAnsiTheme="minorHAnsi" w:cstheme="minorBidi"/>
          <w:color w:val="44546A" w:themeColor="text2"/>
          <w:sz w:val="22"/>
          <w:szCs w:val="22"/>
          <w:lang w:val="en-GB" w:eastAsia="en-US"/>
        </w:rPr>
        <w:t xml:space="preserve"> (</w:t>
      </w:r>
      <w:r w:rsidRPr="00D37EB6">
        <w:rPr>
          <w:rFonts w:asciiTheme="minorHAnsi" w:eastAsiaTheme="minorHAnsi" w:hAnsiTheme="minorHAnsi" w:cstheme="minorBidi"/>
          <w:color w:val="44546A" w:themeColor="text2"/>
          <w:sz w:val="22"/>
          <w:szCs w:val="22"/>
          <w:lang w:val="en-GB" w:eastAsia="en-US"/>
        </w:rPr>
        <w:t>called the Pacific Readiness for Investment in Social Enterprise</w:t>
      </w:r>
      <w:r>
        <w:rPr>
          <w:rFonts w:asciiTheme="minorHAnsi" w:eastAsiaTheme="minorHAnsi" w:hAnsiTheme="minorHAnsi" w:cstheme="minorBidi"/>
          <w:color w:val="44546A" w:themeColor="text2"/>
          <w:sz w:val="22"/>
          <w:szCs w:val="22"/>
          <w:lang w:val="en-GB" w:eastAsia="en-US"/>
        </w:rPr>
        <w:t>, or P</w:t>
      </w:r>
      <w:r w:rsidRPr="00D37EB6">
        <w:rPr>
          <w:rFonts w:asciiTheme="minorHAnsi" w:eastAsiaTheme="minorHAnsi" w:hAnsiTheme="minorHAnsi" w:cstheme="minorBidi"/>
          <w:color w:val="44546A" w:themeColor="text2"/>
          <w:sz w:val="22"/>
          <w:szCs w:val="22"/>
          <w:lang w:val="en-GB" w:eastAsia="en-US"/>
        </w:rPr>
        <w:t>acific RISE</w:t>
      </w:r>
      <w:r>
        <w:rPr>
          <w:rFonts w:asciiTheme="minorHAnsi" w:eastAsiaTheme="minorHAnsi" w:hAnsiTheme="minorHAnsi" w:cstheme="minorBidi"/>
          <w:color w:val="44546A" w:themeColor="text2"/>
          <w:sz w:val="22"/>
          <w:szCs w:val="22"/>
          <w:lang w:val="en-GB" w:eastAsia="en-US"/>
        </w:rPr>
        <w:t>)</w:t>
      </w:r>
      <w:r w:rsidRPr="00D37EB6">
        <w:rPr>
          <w:rFonts w:asciiTheme="minorHAnsi" w:eastAsiaTheme="minorHAnsi" w:hAnsiTheme="minorHAnsi" w:cstheme="minorBidi"/>
          <w:color w:val="44546A" w:themeColor="text2"/>
          <w:sz w:val="22"/>
          <w:szCs w:val="22"/>
          <w:lang w:val="en-GB" w:eastAsia="en-US"/>
        </w:rPr>
        <w:t xml:space="preserve"> </w:t>
      </w:r>
      <w:r>
        <w:rPr>
          <w:rFonts w:asciiTheme="minorHAnsi" w:eastAsiaTheme="minorHAnsi" w:hAnsiTheme="minorHAnsi" w:cstheme="minorBidi"/>
          <w:color w:val="44546A" w:themeColor="text2"/>
          <w:sz w:val="22"/>
          <w:szCs w:val="22"/>
          <w:lang w:val="en-GB" w:eastAsia="en-US"/>
        </w:rPr>
        <w:t>was</w:t>
      </w:r>
      <w:r w:rsidRPr="00D37EB6">
        <w:rPr>
          <w:rFonts w:asciiTheme="minorHAnsi" w:eastAsiaTheme="minorHAnsi" w:hAnsiTheme="minorHAnsi" w:cstheme="minorBidi"/>
          <w:color w:val="44546A" w:themeColor="text2"/>
          <w:sz w:val="22"/>
          <w:szCs w:val="22"/>
          <w:lang w:val="en-GB" w:eastAsia="en-US"/>
        </w:rPr>
        <w:t xml:space="preserve"> </w:t>
      </w:r>
      <w:r>
        <w:rPr>
          <w:rFonts w:asciiTheme="minorHAnsi" w:eastAsiaTheme="minorHAnsi" w:hAnsiTheme="minorHAnsi" w:cstheme="minorBidi"/>
          <w:color w:val="44546A" w:themeColor="text2"/>
          <w:sz w:val="22"/>
          <w:szCs w:val="22"/>
          <w:lang w:val="en-GB" w:eastAsia="en-US"/>
        </w:rPr>
        <w:t>supporting</w:t>
      </w:r>
      <w:r w:rsidRPr="00D37EB6">
        <w:rPr>
          <w:rFonts w:asciiTheme="minorHAnsi" w:eastAsiaTheme="minorHAnsi" w:hAnsiTheme="minorHAnsi" w:cstheme="minorBidi"/>
          <w:color w:val="44546A" w:themeColor="text2"/>
          <w:sz w:val="22"/>
          <w:szCs w:val="22"/>
          <w:lang w:val="en-GB" w:eastAsia="en-US"/>
        </w:rPr>
        <w:t xml:space="preserve"> six </w:t>
      </w:r>
      <w:r>
        <w:rPr>
          <w:rFonts w:asciiTheme="minorHAnsi" w:eastAsiaTheme="minorHAnsi" w:hAnsiTheme="minorHAnsi" w:cstheme="minorBidi"/>
          <w:color w:val="44546A" w:themeColor="text2"/>
          <w:sz w:val="22"/>
          <w:szCs w:val="22"/>
          <w:lang w:val="en-GB" w:eastAsia="en-US"/>
        </w:rPr>
        <w:t>partners, in addition to continuing work with The Difference Incubator,</w:t>
      </w:r>
      <w:r w:rsidRPr="00D37EB6">
        <w:rPr>
          <w:rFonts w:asciiTheme="minorHAnsi" w:eastAsiaTheme="minorHAnsi" w:hAnsiTheme="minorHAnsi" w:cstheme="minorBidi"/>
          <w:color w:val="44546A" w:themeColor="text2"/>
          <w:sz w:val="22"/>
          <w:szCs w:val="22"/>
          <w:lang w:val="en-GB" w:eastAsia="en-US"/>
        </w:rPr>
        <w:t xml:space="preserve"> </w:t>
      </w:r>
      <w:r>
        <w:rPr>
          <w:rFonts w:asciiTheme="minorHAnsi" w:eastAsiaTheme="minorHAnsi" w:hAnsiTheme="minorHAnsi" w:cstheme="minorBidi"/>
          <w:color w:val="44546A" w:themeColor="text2"/>
          <w:sz w:val="22"/>
          <w:szCs w:val="22"/>
          <w:lang w:val="en-GB" w:eastAsia="en-US"/>
        </w:rPr>
        <w:t xml:space="preserve">to scope </w:t>
      </w:r>
      <w:r w:rsidRPr="00D37EB6">
        <w:rPr>
          <w:rFonts w:asciiTheme="minorHAnsi" w:eastAsiaTheme="minorHAnsi" w:hAnsiTheme="minorHAnsi" w:cstheme="minorBidi"/>
          <w:color w:val="44546A" w:themeColor="text2"/>
          <w:sz w:val="22"/>
          <w:szCs w:val="22"/>
          <w:lang w:val="en-GB" w:eastAsia="en-US"/>
        </w:rPr>
        <w:t xml:space="preserve">products, organisations </w:t>
      </w:r>
      <w:r>
        <w:rPr>
          <w:rFonts w:asciiTheme="minorHAnsi" w:eastAsiaTheme="minorHAnsi" w:hAnsiTheme="minorHAnsi" w:cstheme="minorBidi"/>
          <w:color w:val="44546A" w:themeColor="text2"/>
          <w:sz w:val="22"/>
          <w:szCs w:val="22"/>
          <w:lang w:val="en-GB" w:eastAsia="en-US"/>
        </w:rPr>
        <w:t>and</w:t>
      </w:r>
      <w:r w:rsidRPr="00D37EB6">
        <w:rPr>
          <w:rFonts w:asciiTheme="minorHAnsi" w:eastAsiaTheme="minorHAnsi" w:hAnsiTheme="minorHAnsi" w:cstheme="minorBidi"/>
          <w:color w:val="44546A" w:themeColor="text2"/>
          <w:sz w:val="22"/>
          <w:szCs w:val="22"/>
          <w:lang w:val="en-GB" w:eastAsia="en-US"/>
        </w:rPr>
        <w:t xml:space="preserve"> social issues that have </w:t>
      </w:r>
      <w:r w:rsidRPr="00D37EB6">
        <w:rPr>
          <w:rFonts w:asciiTheme="minorHAnsi" w:eastAsiaTheme="minorHAnsi" w:hAnsiTheme="minorHAnsi" w:cstheme="minorBidi"/>
          <w:color w:val="44546A" w:themeColor="text2"/>
          <w:sz w:val="22"/>
          <w:szCs w:val="22"/>
          <w:lang w:val="en-GB" w:eastAsia="en-US"/>
        </w:rPr>
        <w:lastRenderedPageBreak/>
        <w:t>the potenti</w:t>
      </w:r>
      <w:r>
        <w:rPr>
          <w:rFonts w:asciiTheme="minorHAnsi" w:eastAsiaTheme="minorHAnsi" w:hAnsiTheme="minorHAnsi" w:cstheme="minorBidi"/>
          <w:color w:val="44546A" w:themeColor="text2"/>
          <w:sz w:val="22"/>
          <w:szCs w:val="22"/>
          <w:lang w:val="en-GB" w:eastAsia="en-US"/>
        </w:rPr>
        <w:t>al to benefit from investment. There are a number of investments in the pipeline that we expect will deliver results in the next APPR reporting period.</w:t>
      </w:r>
    </w:p>
    <w:p w:rsidR="00C25AD7" w:rsidRPr="003E6B46" w:rsidRDefault="00C25AD7" w:rsidP="00C25AD7">
      <w:pPr>
        <w:rPr>
          <w:b/>
        </w:rPr>
      </w:pPr>
      <w:r w:rsidRPr="003E6B46">
        <w:rPr>
          <w:b/>
        </w:rPr>
        <w:t>Factors affecting progress and future action:</w:t>
      </w:r>
    </w:p>
    <w:p w:rsidR="00C25AD7" w:rsidRDefault="00C25AD7" w:rsidP="00C25AD7">
      <w:pPr>
        <w:pStyle w:val="ListBullet"/>
        <w:tabs>
          <w:tab w:val="clear" w:pos="284"/>
          <w:tab w:val="left" w:pos="720"/>
        </w:tabs>
        <w:rPr>
          <w:rFonts w:asciiTheme="minorHAnsi" w:eastAsiaTheme="minorHAnsi" w:hAnsiTheme="minorHAnsi" w:cstheme="minorBidi"/>
          <w:color w:val="44546A" w:themeColor="text2"/>
          <w:sz w:val="22"/>
          <w:szCs w:val="22"/>
          <w:lang w:val="en-GB" w:eastAsia="en-US"/>
        </w:rPr>
      </w:pPr>
      <w:r>
        <w:rPr>
          <w:rFonts w:asciiTheme="minorHAnsi" w:eastAsiaTheme="minorHAnsi" w:hAnsiTheme="minorHAnsi" w:cstheme="minorBidi"/>
          <w:color w:val="44546A" w:themeColor="text2"/>
          <w:sz w:val="22"/>
          <w:szCs w:val="22"/>
          <w:lang w:val="en-GB" w:eastAsia="en-US"/>
        </w:rPr>
        <w:t>Private sector development investments are mainly on track and are achieving their anticipated results. Notwithstanding this progress, private sector development across the region depends on a range of factors. These include commercial decisions of firms, the business operating environment in particular countries (including governance, security, law and order), and international trends such as commodity demand and price fluctuations. For these reasons, we maintain a diversified portfolio of approaches and activities, with the knowledge that not all of our efforts will yield outcomes consistently across the board.</w:t>
      </w:r>
    </w:p>
    <w:p w:rsidR="00C25AD7" w:rsidRDefault="00C25AD7" w:rsidP="00C25AD7">
      <w:pPr>
        <w:pStyle w:val="ListBullet"/>
        <w:tabs>
          <w:tab w:val="clear" w:pos="284"/>
          <w:tab w:val="left" w:pos="720"/>
        </w:tabs>
        <w:rPr>
          <w:rFonts w:asciiTheme="minorHAnsi" w:eastAsiaTheme="minorHAnsi" w:hAnsiTheme="minorHAnsi" w:cstheme="minorBidi"/>
          <w:color w:val="44546A" w:themeColor="text2"/>
          <w:sz w:val="22"/>
          <w:szCs w:val="22"/>
          <w:lang w:val="en-GB" w:eastAsia="en-US"/>
        </w:rPr>
      </w:pPr>
      <w:r>
        <w:rPr>
          <w:rFonts w:asciiTheme="minorHAnsi" w:eastAsiaTheme="minorHAnsi" w:hAnsiTheme="minorHAnsi" w:cstheme="minorBidi"/>
          <w:color w:val="44546A" w:themeColor="text2"/>
          <w:sz w:val="22"/>
          <w:szCs w:val="22"/>
          <w:lang w:val="en-GB" w:eastAsia="en-US"/>
        </w:rPr>
        <w:t xml:space="preserve">The challenge of ensuring a sufficiently diverse portfolio becomes even more acute when </w:t>
      </w:r>
      <w:r w:rsidRPr="00C31273">
        <w:rPr>
          <w:rFonts w:asciiTheme="minorHAnsi" w:eastAsiaTheme="minorHAnsi" w:hAnsiTheme="minorHAnsi" w:cstheme="minorBidi"/>
          <w:color w:val="44546A" w:themeColor="text2"/>
          <w:sz w:val="22"/>
          <w:szCs w:val="22"/>
          <w:lang w:val="en-GB" w:eastAsia="en-US"/>
        </w:rPr>
        <w:t>piloting new activities</w:t>
      </w:r>
      <w:r>
        <w:rPr>
          <w:rFonts w:asciiTheme="minorHAnsi" w:eastAsiaTheme="minorHAnsi" w:hAnsiTheme="minorHAnsi" w:cstheme="minorBidi"/>
          <w:color w:val="44546A" w:themeColor="text2"/>
          <w:sz w:val="22"/>
          <w:szCs w:val="22"/>
          <w:lang w:val="en-GB" w:eastAsia="en-US"/>
        </w:rPr>
        <w:t xml:space="preserve">. We must demonstrate early successes to build confidence and momentum in new approaches, but private capital is generally risk averse. For these reasons, early results are often concentrated in lower risk and more commercially prospective contexts. </w:t>
      </w:r>
    </w:p>
    <w:p w:rsidR="00C25AD7" w:rsidRDefault="00C25AD7" w:rsidP="00C25AD7">
      <w:pPr>
        <w:pStyle w:val="ListBullet"/>
        <w:tabs>
          <w:tab w:val="clear" w:pos="284"/>
          <w:tab w:val="left" w:pos="720"/>
        </w:tabs>
        <w:rPr>
          <w:rFonts w:asciiTheme="minorHAnsi" w:eastAsiaTheme="minorHAnsi" w:hAnsiTheme="minorHAnsi" w:cstheme="minorBidi"/>
          <w:color w:val="44546A" w:themeColor="text2"/>
          <w:sz w:val="22"/>
          <w:szCs w:val="22"/>
          <w:lang w:val="en-GB" w:eastAsia="en-US"/>
        </w:rPr>
      </w:pPr>
      <w:r>
        <w:rPr>
          <w:rFonts w:asciiTheme="minorHAnsi" w:eastAsiaTheme="minorHAnsi" w:hAnsiTheme="minorHAnsi" w:cstheme="minorBidi"/>
          <w:color w:val="44546A" w:themeColor="text2"/>
          <w:sz w:val="22"/>
          <w:szCs w:val="22"/>
          <w:lang w:val="en-GB" w:eastAsia="en-US"/>
        </w:rPr>
        <w:t xml:space="preserve">Our priority is to replicate successes that new program models have demonstrated. This will require further innovation within our program portfolio as we seek to expand the geographic reach and unlock the private sector potential in new and more challenging markets. </w:t>
      </w:r>
    </w:p>
    <w:p w:rsidR="00C25AD7" w:rsidRPr="00FF484C" w:rsidRDefault="00C25AD7" w:rsidP="00C25AD7">
      <w:pPr>
        <w:pStyle w:val="ListBullet"/>
        <w:tabs>
          <w:tab w:val="clear" w:pos="284"/>
        </w:tabs>
        <w:spacing w:before="120"/>
        <w:rPr>
          <w:rFonts w:asciiTheme="minorHAnsi" w:eastAsiaTheme="minorHAnsi" w:hAnsiTheme="minorHAnsi" w:cstheme="minorBidi"/>
          <w:b/>
          <w:color w:val="44546A" w:themeColor="text2"/>
          <w:sz w:val="22"/>
          <w:szCs w:val="22"/>
          <w:lang w:val="en-GB" w:eastAsia="en-US"/>
        </w:rPr>
      </w:pPr>
      <w:r>
        <w:rPr>
          <w:rFonts w:asciiTheme="minorHAnsi" w:eastAsiaTheme="minorHAnsi" w:hAnsiTheme="minorHAnsi" w:cstheme="minorBidi"/>
          <w:b/>
          <w:color w:val="44546A" w:themeColor="text2"/>
          <w:sz w:val="22"/>
          <w:szCs w:val="22"/>
          <w:lang w:val="en-GB" w:eastAsia="en-US"/>
        </w:rPr>
        <w:t xml:space="preserve">Aid for trade </w:t>
      </w:r>
    </w:p>
    <w:p w:rsidR="00C25AD7" w:rsidRPr="00F50D6B" w:rsidRDefault="00C25AD7" w:rsidP="00C25AD7">
      <w:pPr>
        <w:tabs>
          <w:tab w:val="left" w:pos="284"/>
        </w:tabs>
        <w:spacing w:after="120" w:line="280" w:lineRule="exact"/>
      </w:pPr>
      <w:r>
        <w:t>The externally traded sector in the Pacific faces many of the same difficulties as domestic focused industries, with the added challenges of geographic isolation and weak transport networks that raise logistic costs. Our trade and investment-related assistance aims to help Pacific Island c</w:t>
      </w:r>
      <w:r w:rsidRPr="00F50D6B">
        <w:t xml:space="preserve">ountries to become more active partners in, and benefit from, the regional and global trading system, in turn creating new opportunities for economic growth, jobs and rising living standards. </w:t>
      </w:r>
    </w:p>
    <w:p w:rsidR="00C25AD7" w:rsidRDefault="00C25AD7" w:rsidP="00C25AD7">
      <w:pPr>
        <w:tabs>
          <w:tab w:val="left" w:pos="284"/>
        </w:tabs>
        <w:spacing w:after="120" w:line="280" w:lineRule="exact"/>
      </w:pPr>
      <w:r>
        <w:t xml:space="preserve">As negotiations for the Pacific Agreement on Closer Economic Relations Plus (PACER Plus) approached their conclusion (the agreement was signed in June 2017), DFAT accelerated our aid for trade activities to capitalise on the agreement’s potential.  </w:t>
      </w:r>
    </w:p>
    <w:p w:rsidR="00C25AD7" w:rsidRPr="003E6B46" w:rsidRDefault="00C25AD7" w:rsidP="00C25AD7">
      <w:pPr>
        <w:rPr>
          <w:b/>
        </w:rPr>
      </w:pPr>
      <w:r w:rsidRPr="003E6B46">
        <w:rPr>
          <w:b/>
        </w:rPr>
        <w:t>Key results:</w:t>
      </w:r>
    </w:p>
    <w:p w:rsidR="00C25AD7" w:rsidRDefault="00C25AD7" w:rsidP="00C25AD7">
      <w:pPr>
        <w:pStyle w:val="ListBullet"/>
        <w:numPr>
          <w:ilvl w:val="0"/>
          <w:numId w:val="13"/>
        </w:numPr>
        <w:tabs>
          <w:tab w:val="clear" w:pos="284"/>
          <w:tab w:val="left" w:pos="720"/>
        </w:tabs>
        <w:rPr>
          <w:rFonts w:asciiTheme="minorHAnsi" w:eastAsiaTheme="minorHAnsi" w:hAnsiTheme="minorHAnsi" w:cstheme="minorBidi"/>
          <w:color w:val="44546A" w:themeColor="text2"/>
          <w:sz w:val="22"/>
          <w:szCs w:val="22"/>
          <w:lang w:val="en-GB" w:eastAsia="en-US"/>
        </w:rPr>
      </w:pPr>
      <w:r>
        <w:rPr>
          <w:rFonts w:asciiTheme="minorHAnsi" w:eastAsiaTheme="minorHAnsi" w:hAnsiTheme="minorHAnsi" w:cstheme="minorBidi"/>
          <w:color w:val="44546A" w:themeColor="text2"/>
          <w:sz w:val="22"/>
          <w:szCs w:val="22"/>
          <w:lang w:val="en-GB" w:eastAsia="en-US"/>
        </w:rPr>
        <w:t>Australia’s support for the Office of the Chief Trade Adviser (OCTA) helped build the capacity of Forum Island Country</w:t>
      </w:r>
      <w:r>
        <w:rPr>
          <w:rStyle w:val="FootnoteReference"/>
          <w:rFonts w:asciiTheme="minorHAnsi" w:eastAsiaTheme="minorHAnsi" w:hAnsiTheme="minorHAnsi" w:cstheme="minorBidi"/>
          <w:color w:val="44546A" w:themeColor="text2"/>
          <w:sz w:val="22"/>
          <w:szCs w:val="22"/>
          <w:lang w:val="en-GB" w:eastAsia="en-US"/>
        </w:rPr>
        <w:footnoteReference w:id="9"/>
      </w:r>
      <w:r>
        <w:rPr>
          <w:rFonts w:asciiTheme="minorHAnsi" w:eastAsiaTheme="minorHAnsi" w:hAnsiTheme="minorHAnsi" w:cstheme="minorBidi"/>
          <w:color w:val="44546A" w:themeColor="text2"/>
          <w:sz w:val="22"/>
          <w:szCs w:val="22"/>
          <w:lang w:val="en-GB" w:eastAsia="en-US"/>
        </w:rPr>
        <w:t xml:space="preserve"> (FIC) trade officials and ministries. OCTA provided advice and direct support for FIC participation in PACER Plus negotiations, including conducting independent research and analysis and coordinating negotiating positions. OCTA’s work resulted in the successful conclusion of the agreement, which Trade Ministers jointly hailed as a “landmark trade and development agreement… that will make it easier for businesses to trade and invest across the region”</w:t>
      </w:r>
      <w:r>
        <w:rPr>
          <w:rStyle w:val="FootnoteReference"/>
          <w:rFonts w:asciiTheme="minorHAnsi" w:eastAsiaTheme="minorHAnsi" w:hAnsiTheme="minorHAnsi" w:cstheme="minorBidi"/>
          <w:color w:val="44546A" w:themeColor="text2"/>
          <w:sz w:val="22"/>
          <w:szCs w:val="22"/>
          <w:lang w:val="en-GB" w:eastAsia="en-US"/>
        </w:rPr>
        <w:footnoteReference w:id="10"/>
      </w:r>
      <w:r>
        <w:rPr>
          <w:rFonts w:asciiTheme="minorHAnsi" w:eastAsiaTheme="minorHAnsi" w:hAnsiTheme="minorHAnsi" w:cstheme="minorBidi"/>
          <w:color w:val="44546A" w:themeColor="text2"/>
          <w:sz w:val="22"/>
          <w:szCs w:val="22"/>
          <w:lang w:val="en-GB" w:eastAsia="en-US"/>
        </w:rPr>
        <w:t xml:space="preserve">.  </w:t>
      </w:r>
    </w:p>
    <w:p w:rsidR="00C25AD7" w:rsidRDefault="00C25AD7" w:rsidP="00C25AD7">
      <w:pPr>
        <w:pStyle w:val="ListBullet"/>
        <w:numPr>
          <w:ilvl w:val="0"/>
          <w:numId w:val="13"/>
        </w:numPr>
        <w:tabs>
          <w:tab w:val="clear" w:pos="284"/>
          <w:tab w:val="left" w:pos="720"/>
        </w:tabs>
        <w:rPr>
          <w:rFonts w:asciiTheme="minorHAnsi" w:eastAsiaTheme="minorHAnsi" w:hAnsiTheme="minorHAnsi" w:cstheme="minorBidi"/>
          <w:color w:val="44546A" w:themeColor="text2"/>
          <w:sz w:val="22"/>
          <w:szCs w:val="22"/>
          <w:lang w:val="en-GB" w:eastAsia="en-US"/>
        </w:rPr>
      </w:pPr>
      <w:r>
        <w:rPr>
          <w:rFonts w:asciiTheme="minorHAnsi" w:eastAsiaTheme="minorHAnsi" w:hAnsiTheme="minorHAnsi" w:cstheme="minorBidi"/>
          <w:color w:val="44546A" w:themeColor="text2"/>
          <w:sz w:val="22"/>
          <w:szCs w:val="22"/>
          <w:lang w:val="en-GB" w:eastAsia="en-US"/>
        </w:rPr>
        <w:t xml:space="preserve">Alongside work to support PACER Plus, in 2016 DFAT’s funding </w:t>
      </w:r>
      <w:r w:rsidRPr="005F2DEE">
        <w:rPr>
          <w:rFonts w:asciiTheme="minorHAnsi" w:eastAsiaTheme="minorHAnsi" w:hAnsiTheme="minorHAnsi" w:cstheme="minorBidi"/>
          <w:color w:val="44546A" w:themeColor="text2"/>
          <w:sz w:val="22"/>
          <w:szCs w:val="22"/>
          <w:lang w:val="en-GB" w:eastAsia="en-US"/>
        </w:rPr>
        <w:t>for the Pacific Islands Trade and Invest</w:t>
      </w:r>
      <w:r>
        <w:rPr>
          <w:rFonts w:asciiTheme="minorHAnsi" w:eastAsiaTheme="minorHAnsi" w:hAnsiTheme="minorHAnsi" w:cstheme="minorBidi"/>
          <w:color w:val="44546A" w:themeColor="text2"/>
          <w:sz w:val="22"/>
          <w:szCs w:val="22"/>
          <w:lang w:val="en-GB" w:eastAsia="en-US"/>
        </w:rPr>
        <w:t>ment</w:t>
      </w:r>
      <w:r w:rsidRPr="005F2DEE">
        <w:rPr>
          <w:rFonts w:asciiTheme="minorHAnsi" w:eastAsiaTheme="minorHAnsi" w:hAnsiTheme="minorHAnsi" w:cstheme="minorBidi"/>
          <w:color w:val="44546A" w:themeColor="text2"/>
          <w:sz w:val="22"/>
          <w:szCs w:val="22"/>
          <w:lang w:val="en-GB" w:eastAsia="en-US"/>
        </w:rPr>
        <w:t xml:space="preserve"> network</w:t>
      </w:r>
      <w:r>
        <w:rPr>
          <w:rFonts w:asciiTheme="minorHAnsi" w:eastAsiaTheme="minorHAnsi" w:hAnsiTheme="minorHAnsi" w:cstheme="minorBidi"/>
          <w:color w:val="44546A" w:themeColor="text2"/>
          <w:sz w:val="22"/>
          <w:szCs w:val="22"/>
          <w:lang w:val="en-GB" w:eastAsia="en-US"/>
        </w:rPr>
        <w:t xml:space="preserve"> (PT&amp;I) helped facilitate exports worth approximately $18.8 million and helped attract around $8.4 million in investment. This included assisting 110 women-led businesses in 58 deals worth over $2.9 million in exports. </w:t>
      </w:r>
    </w:p>
    <w:p w:rsidR="00C25AD7" w:rsidRPr="003B0F0E" w:rsidRDefault="00C25AD7" w:rsidP="00C25AD7">
      <w:pPr>
        <w:pStyle w:val="ListBullet"/>
        <w:numPr>
          <w:ilvl w:val="0"/>
          <w:numId w:val="13"/>
        </w:numPr>
        <w:tabs>
          <w:tab w:val="clear" w:pos="284"/>
          <w:tab w:val="left" w:pos="720"/>
        </w:tabs>
        <w:rPr>
          <w:rFonts w:asciiTheme="minorHAnsi" w:eastAsiaTheme="minorHAnsi" w:hAnsiTheme="minorHAnsi" w:cstheme="minorBidi"/>
          <w:color w:val="44546A" w:themeColor="text2"/>
          <w:sz w:val="22"/>
          <w:szCs w:val="22"/>
          <w:lang w:val="en-GB" w:eastAsia="en-US"/>
        </w:rPr>
      </w:pPr>
      <w:r w:rsidRPr="003B0F0E">
        <w:rPr>
          <w:rFonts w:asciiTheme="minorHAnsi" w:eastAsiaTheme="minorHAnsi" w:hAnsiTheme="minorHAnsi" w:cstheme="minorBidi"/>
          <w:color w:val="44546A" w:themeColor="text2"/>
          <w:sz w:val="22"/>
          <w:szCs w:val="22"/>
          <w:lang w:val="en-GB" w:eastAsia="en-US"/>
        </w:rPr>
        <w:t>The Pacific Horticultural and Agricultural Market Access Program (PHAMA) worked closely with t</w:t>
      </w:r>
      <w:r>
        <w:rPr>
          <w:rFonts w:asciiTheme="minorHAnsi" w:eastAsiaTheme="minorHAnsi" w:hAnsiTheme="minorHAnsi" w:cstheme="minorBidi"/>
          <w:color w:val="44546A" w:themeColor="text2"/>
          <w:sz w:val="22"/>
          <w:szCs w:val="22"/>
          <w:lang w:val="en-GB" w:eastAsia="en-US"/>
        </w:rPr>
        <w:t xml:space="preserve">he Government of Tonga and its </w:t>
      </w:r>
      <w:r w:rsidRPr="003B0F0E">
        <w:rPr>
          <w:rFonts w:asciiTheme="minorHAnsi" w:eastAsiaTheme="minorHAnsi" w:hAnsiTheme="minorHAnsi" w:cstheme="minorBidi"/>
          <w:color w:val="44546A" w:themeColor="text2"/>
          <w:sz w:val="22"/>
          <w:szCs w:val="22"/>
          <w:lang w:val="en-GB" w:eastAsia="en-US"/>
        </w:rPr>
        <w:t>squash industry to help open export to China; enabled four successful cocoa industry training sessions in Solomon Islands;</w:t>
      </w:r>
      <w:r>
        <w:rPr>
          <w:rFonts w:asciiTheme="minorHAnsi" w:eastAsiaTheme="minorHAnsi" w:hAnsiTheme="minorHAnsi" w:cstheme="minorBidi"/>
          <w:color w:val="44546A" w:themeColor="text2"/>
          <w:sz w:val="22"/>
          <w:szCs w:val="22"/>
          <w:lang w:val="en-GB" w:eastAsia="en-US"/>
        </w:rPr>
        <w:t xml:space="preserve"> and</w:t>
      </w:r>
      <w:r w:rsidRPr="003B0F0E">
        <w:rPr>
          <w:rFonts w:asciiTheme="minorHAnsi" w:eastAsiaTheme="minorHAnsi" w:hAnsiTheme="minorHAnsi" w:cstheme="minorBidi"/>
          <w:color w:val="44546A" w:themeColor="text2"/>
          <w:sz w:val="22"/>
          <w:szCs w:val="22"/>
          <w:lang w:val="en-GB" w:eastAsia="en-US"/>
        </w:rPr>
        <w:t xml:space="preserve"> su</w:t>
      </w:r>
      <w:r>
        <w:rPr>
          <w:rFonts w:asciiTheme="minorHAnsi" w:eastAsiaTheme="minorHAnsi" w:hAnsiTheme="minorHAnsi" w:cstheme="minorBidi"/>
          <w:color w:val="44546A" w:themeColor="text2"/>
          <w:sz w:val="22"/>
          <w:szCs w:val="22"/>
          <w:lang w:val="en-GB" w:eastAsia="en-US"/>
        </w:rPr>
        <w:t>pported consultations with 267 k</w:t>
      </w:r>
      <w:r w:rsidRPr="003B0F0E">
        <w:rPr>
          <w:rFonts w:asciiTheme="minorHAnsi" w:eastAsiaTheme="minorHAnsi" w:hAnsiTheme="minorHAnsi" w:cstheme="minorBidi"/>
          <w:color w:val="44546A" w:themeColor="text2"/>
          <w:sz w:val="22"/>
          <w:szCs w:val="22"/>
          <w:lang w:val="en-GB" w:eastAsia="en-US"/>
        </w:rPr>
        <w:t>ava farmers in Fiji to help develop Kava standards and a quality manual</w:t>
      </w:r>
      <w:r>
        <w:rPr>
          <w:rFonts w:asciiTheme="minorHAnsi" w:eastAsiaTheme="minorHAnsi" w:hAnsiTheme="minorHAnsi" w:cstheme="minorBidi"/>
          <w:color w:val="44546A" w:themeColor="text2"/>
          <w:sz w:val="22"/>
          <w:szCs w:val="22"/>
          <w:lang w:val="en-GB" w:eastAsia="en-US"/>
        </w:rPr>
        <w:t xml:space="preserve"> to improve standards for export. </w:t>
      </w:r>
    </w:p>
    <w:p w:rsidR="00C25AD7" w:rsidRPr="003E6B46" w:rsidRDefault="00C25AD7" w:rsidP="00C25AD7">
      <w:pPr>
        <w:rPr>
          <w:b/>
        </w:rPr>
      </w:pPr>
      <w:r w:rsidRPr="003E6B46">
        <w:rPr>
          <w:b/>
        </w:rPr>
        <w:t>Factors affecting progress and future action:</w:t>
      </w:r>
    </w:p>
    <w:p w:rsidR="00C25AD7" w:rsidRDefault="00C25AD7" w:rsidP="00C25AD7">
      <w:pPr>
        <w:pStyle w:val="ListBullet"/>
        <w:tabs>
          <w:tab w:val="clear" w:pos="284"/>
          <w:tab w:val="left" w:pos="720"/>
        </w:tabs>
        <w:spacing w:before="120"/>
        <w:rPr>
          <w:rFonts w:asciiTheme="minorHAnsi" w:eastAsiaTheme="minorHAnsi" w:hAnsiTheme="minorHAnsi" w:cstheme="minorBidi"/>
          <w:color w:val="44546A" w:themeColor="text2"/>
          <w:sz w:val="22"/>
          <w:szCs w:val="22"/>
          <w:lang w:val="en-GB" w:eastAsia="en-US"/>
        </w:rPr>
      </w:pPr>
      <w:r w:rsidRPr="00952DA2">
        <w:rPr>
          <w:rFonts w:asciiTheme="minorHAnsi" w:eastAsiaTheme="minorHAnsi" w:hAnsiTheme="minorHAnsi" w:cstheme="minorBidi"/>
          <w:color w:val="44546A" w:themeColor="text2"/>
          <w:sz w:val="22"/>
          <w:szCs w:val="22"/>
          <w:lang w:val="en-GB" w:eastAsia="en-US"/>
        </w:rPr>
        <w:t xml:space="preserve">Although growth in the world economy </w:t>
      </w:r>
      <w:r>
        <w:rPr>
          <w:rFonts w:asciiTheme="minorHAnsi" w:eastAsiaTheme="minorHAnsi" w:hAnsiTheme="minorHAnsi" w:cstheme="minorBidi"/>
          <w:color w:val="44546A" w:themeColor="text2"/>
          <w:sz w:val="22"/>
          <w:szCs w:val="22"/>
          <w:lang w:val="en-GB" w:eastAsia="en-US"/>
        </w:rPr>
        <w:t>improved in</w:t>
      </w:r>
      <w:r w:rsidRPr="00952DA2">
        <w:rPr>
          <w:rFonts w:asciiTheme="minorHAnsi" w:eastAsiaTheme="minorHAnsi" w:hAnsiTheme="minorHAnsi" w:cstheme="minorBidi"/>
          <w:color w:val="44546A" w:themeColor="text2"/>
          <w:sz w:val="22"/>
          <w:szCs w:val="22"/>
          <w:lang w:val="en-GB" w:eastAsia="en-US"/>
        </w:rPr>
        <w:t xml:space="preserve"> </w:t>
      </w:r>
      <w:r>
        <w:rPr>
          <w:rFonts w:asciiTheme="minorHAnsi" w:eastAsiaTheme="minorHAnsi" w:hAnsiTheme="minorHAnsi" w:cstheme="minorBidi"/>
          <w:color w:val="44546A" w:themeColor="text2"/>
          <w:sz w:val="22"/>
          <w:szCs w:val="22"/>
          <w:lang w:val="en-GB" w:eastAsia="en-US"/>
        </w:rPr>
        <w:t>2016</w:t>
      </w:r>
      <w:r w:rsidRPr="00952DA2">
        <w:rPr>
          <w:rFonts w:asciiTheme="minorHAnsi" w:eastAsiaTheme="minorHAnsi" w:hAnsiTheme="minorHAnsi" w:cstheme="minorBidi"/>
          <w:color w:val="44546A" w:themeColor="text2"/>
          <w:sz w:val="22"/>
          <w:szCs w:val="22"/>
          <w:lang w:val="en-GB" w:eastAsia="en-US"/>
        </w:rPr>
        <w:t>, shifts in</w:t>
      </w:r>
      <w:r>
        <w:rPr>
          <w:rFonts w:asciiTheme="minorHAnsi" w:eastAsiaTheme="minorHAnsi" w:hAnsiTheme="minorHAnsi" w:cstheme="minorBidi"/>
          <w:color w:val="44546A" w:themeColor="text2"/>
          <w:sz w:val="22"/>
          <w:szCs w:val="22"/>
          <w:lang w:val="en-GB" w:eastAsia="en-US"/>
        </w:rPr>
        <w:t xml:space="preserve"> international</w:t>
      </w:r>
      <w:r w:rsidRPr="00952DA2">
        <w:rPr>
          <w:rFonts w:asciiTheme="minorHAnsi" w:eastAsiaTheme="minorHAnsi" w:hAnsiTheme="minorHAnsi" w:cstheme="minorBidi"/>
          <w:color w:val="44546A" w:themeColor="text2"/>
          <w:sz w:val="22"/>
          <w:szCs w:val="22"/>
          <w:lang w:val="en-GB" w:eastAsia="en-US"/>
        </w:rPr>
        <w:t xml:space="preserve"> trade policies </w:t>
      </w:r>
      <w:r>
        <w:rPr>
          <w:rFonts w:asciiTheme="minorHAnsi" w:eastAsiaTheme="minorHAnsi" w:hAnsiTheme="minorHAnsi" w:cstheme="minorBidi"/>
          <w:color w:val="44546A" w:themeColor="text2"/>
          <w:sz w:val="22"/>
          <w:szCs w:val="22"/>
          <w:lang w:val="en-GB" w:eastAsia="en-US"/>
        </w:rPr>
        <w:t xml:space="preserve">and mixed </w:t>
      </w:r>
      <w:r w:rsidRPr="00952DA2">
        <w:rPr>
          <w:rFonts w:asciiTheme="minorHAnsi" w:eastAsiaTheme="minorHAnsi" w:hAnsiTheme="minorHAnsi" w:cstheme="minorBidi"/>
          <w:color w:val="44546A" w:themeColor="text2"/>
          <w:sz w:val="22"/>
          <w:szCs w:val="22"/>
          <w:lang w:val="en-GB" w:eastAsia="en-US"/>
        </w:rPr>
        <w:t xml:space="preserve">prospects for </w:t>
      </w:r>
      <w:r>
        <w:rPr>
          <w:rFonts w:asciiTheme="minorHAnsi" w:eastAsiaTheme="minorHAnsi" w:hAnsiTheme="minorHAnsi" w:cstheme="minorBidi"/>
          <w:color w:val="44546A" w:themeColor="text2"/>
          <w:sz w:val="22"/>
          <w:szCs w:val="22"/>
          <w:lang w:val="en-GB" w:eastAsia="en-US"/>
        </w:rPr>
        <w:t xml:space="preserve">the prices of </w:t>
      </w:r>
      <w:r w:rsidRPr="00952DA2">
        <w:rPr>
          <w:rFonts w:asciiTheme="minorHAnsi" w:eastAsiaTheme="minorHAnsi" w:hAnsiTheme="minorHAnsi" w:cstheme="minorBidi"/>
          <w:color w:val="44546A" w:themeColor="text2"/>
          <w:sz w:val="22"/>
          <w:szCs w:val="22"/>
          <w:lang w:val="en-GB" w:eastAsia="en-US"/>
        </w:rPr>
        <w:t xml:space="preserve">Pacific </w:t>
      </w:r>
      <w:r>
        <w:rPr>
          <w:rFonts w:asciiTheme="minorHAnsi" w:eastAsiaTheme="minorHAnsi" w:hAnsiTheme="minorHAnsi" w:cstheme="minorBidi"/>
          <w:color w:val="44546A" w:themeColor="text2"/>
          <w:sz w:val="22"/>
          <w:szCs w:val="22"/>
          <w:lang w:val="en-GB" w:eastAsia="en-US"/>
        </w:rPr>
        <w:t xml:space="preserve">commodities provide some challenges for the trade outlook. Our programs will </w:t>
      </w:r>
      <w:r>
        <w:rPr>
          <w:rFonts w:asciiTheme="minorHAnsi" w:eastAsiaTheme="minorHAnsi" w:hAnsiTheme="minorHAnsi" w:cstheme="minorBidi"/>
          <w:color w:val="44546A" w:themeColor="text2"/>
          <w:sz w:val="22"/>
          <w:szCs w:val="22"/>
          <w:lang w:val="en-GB" w:eastAsia="en-US"/>
        </w:rPr>
        <w:lastRenderedPageBreak/>
        <w:t xml:space="preserve">be sensitive to these developments, including by exploiting emerging opportunities in tourism and niche agricultural commodities. </w:t>
      </w:r>
    </w:p>
    <w:p w:rsidR="00C25AD7" w:rsidRDefault="00C25AD7" w:rsidP="00C25AD7">
      <w:pPr>
        <w:pStyle w:val="ListBullet"/>
        <w:tabs>
          <w:tab w:val="clear" w:pos="284"/>
          <w:tab w:val="left" w:pos="720"/>
        </w:tabs>
        <w:spacing w:before="120"/>
        <w:rPr>
          <w:rFonts w:asciiTheme="minorHAnsi" w:eastAsiaTheme="minorHAnsi" w:hAnsiTheme="minorHAnsi" w:cstheme="minorBidi"/>
          <w:color w:val="44546A" w:themeColor="text2"/>
          <w:sz w:val="22"/>
          <w:szCs w:val="22"/>
          <w:lang w:val="en-GB" w:eastAsia="en-US"/>
        </w:rPr>
      </w:pPr>
      <w:r w:rsidRPr="00952DA2">
        <w:rPr>
          <w:rFonts w:asciiTheme="minorHAnsi" w:eastAsiaTheme="minorHAnsi" w:hAnsiTheme="minorHAnsi" w:cstheme="minorBidi"/>
          <w:color w:val="44546A" w:themeColor="text2"/>
          <w:sz w:val="22"/>
          <w:szCs w:val="22"/>
          <w:lang w:val="en-GB" w:eastAsia="en-US"/>
        </w:rPr>
        <w:t xml:space="preserve">Recognising that the process of ratification of multilateral trade agreements can take time, Australia </w:t>
      </w:r>
      <w:r>
        <w:rPr>
          <w:rFonts w:asciiTheme="minorHAnsi" w:eastAsiaTheme="minorHAnsi" w:hAnsiTheme="minorHAnsi" w:cstheme="minorBidi"/>
          <w:color w:val="44546A" w:themeColor="text2"/>
          <w:sz w:val="22"/>
          <w:szCs w:val="22"/>
          <w:lang w:val="en-GB" w:eastAsia="en-US"/>
        </w:rPr>
        <w:t>will provide</w:t>
      </w:r>
      <w:r w:rsidRPr="00952DA2">
        <w:rPr>
          <w:rFonts w:asciiTheme="minorHAnsi" w:eastAsiaTheme="minorHAnsi" w:hAnsiTheme="minorHAnsi" w:cstheme="minorBidi"/>
          <w:color w:val="44546A" w:themeColor="text2"/>
          <w:sz w:val="22"/>
          <w:szCs w:val="22"/>
          <w:lang w:val="en-GB" w:eastAsia="en-US"/>
        </w:rPr>
        <w:t xml:space="preserve"> a package of immediate technical support for preparation, ratification and early adjustment</w:t>
      </w:r>
      <w:r>
        <w:rPr>
          <w:rFonts w:asciiTheme="minorHAnsi" w:eastAsiaTheme="minorHAnsi" w:hAnsiTheme="minorHAnsi" w:cstheme="minorBidi"/>
          <w:color w:val="44546A" w:themeColor="text2"/>
          <w:sz w:val="22"/>
          <w:szCs w:val="22"/>
          <w:lang w:val="en-GB" w:eastAsia="en-US"/>
        </w:rPr>
        <w:t xml:space="preserve"> in advance of the PACER Plus agreement entering into force</w:t>
      </w:r>
      <w:r w:rsidRPr="00952DA2">
        <w:rPr>
          <w:rFonts w:asciiTheme="minorHAnsi" w:eastAsiaTheme="minorHAnsi" w:hAnsiTheme="minorHAnsi" w:cstheme="minorBidi"/>
          <w:color w:val="44546A" w:themeColor="text2"/>
          <w:sz w:val="22"/>
          <w:szCs w:val="22"/>
          <w:lang w:val="en-GB" w:eastAsia="en-US"/>
        </w:rPr>
        <w:t xml:space="preserve">. This </w:t>
      </w:r>
      <w:r>
        <w:rPr>
          <w:rFonts w:asciiTheme="minorHAnsi" w:eastAsiaTheme="minorHAnsi" w:hAnsiTheme="minorHAnsi" w:cstheme="minorBidi"/>
          <w:color w:val="44546A" w:themeColor="text2"/>
          <w:sz w:val="22"/>
          <w:szCs w:val="22"/>
          <w:lang w:val="en-GB" w:eastAsia="en-US"/>
        </w:rPr>
        <w:t xml:space="preserve">will </w:t>
      </w:r>
      <w:r w:rsidRPr="00952DA2">
        <w:rPr>
          <w:rFonts w:asciiTheme="minorHAnsi" w:eastAsiaTheme="minorHAnsi" w:hAnsiTheme="minorHAnsi" w:cstheme="minorBidi"/>
          <w:color w:val="44546A" w:themeColor="text2"/>
          <w:sz w:val="22"/>
          <w:szCs w:val="22"/>
          <w:lang w:val="en-GB" w:eastAsia="en-US"/>
        </w:rPr>
        <w:t xml:space="preserve">respond to a needs assessment undertaken by the Office of the Chief Trade Adviser (OCTA) and will enable signatories to reap early benefits from the Agreement. </w:t>
      </w:r>
    </w:p>
    <w:p w:rsidR="00C25AD7" w:rsidRPr="005F2DEE" w:rsidRDefault="00C25AD7" w:rsidP="00C25AD7">
      <w:pPr>
        <w:pStyle w:val="ListBullet"/>
        <w:tabs>
          <w:tab w:val="clear" w:pos="284"/>
        </w:tabs>
        <w:spacing w:before="120"/>
        <w:rPr>
          <w:rFonts w:asciiTheme="minorHAnsi" w:eastAsiaTheme="minorHAnsi" w:hAnsiTheme="minorHAnsi" w:cstheme="minorBidi"/>
          <w:b/>
          <w:color w:val="44546A" w:themeColor="text2"/>
          <w:sz w:val="22"/>
          <w:szCs w:val="22"/>
          <w:lang w:val="en-GB" w:eastAsia="en-US"/>
        </w:rPr>
      </w:pPr>
      <w:r w:rsidRPr="005F2DEE">
        <w:rPr>
          <w:rFonts w:asciiTheme="minorHAnsi" w:eastAsiaTheme="minorHAnsi" w:hAnsiTheme="minorHAnsi" w:cstheme="minorBidi"/>
          <w:b/>
          <w:color w:val="44546A" w:themeColor="text2"/>
          <w:sz w:val="22"/>
          <w:szCs w:val="22"/>
          <w:lang w:val="en-GB" w:eastAsia="en-US"/>
        </w:rPr>
        <w:t>Fisheries</w:t>
      </w:r>
    </w:p>
    <w:p w:rsidR="00C25AD7" w:rsidRDefault="00C25AD7" w:rsidP="00C25AD7">
      <w:pPr>
        <w:spacing w:line="280" w:lineRule="exact"/>
      </w:pPr>
      <w:r>
        <w:t>Fisheries is a critical industry across the Pacific and is a key source of revenue and employment with the offshore tuna sector providing approximately US$450 (A$568 million) in direct revenue to Pacific Island governments in 2015</w:t>
      </w:r>
      <w:r w:rsidRPr="00A03362">
        <w:t>. This is an increase of US$</w:t>
      </w:r>
      <w:r>
        <w:t>10</w:t>
      </w:r>
      <w:r w:rsidRPr="00A03362">
        <w:t>0 million from US$3</w:t>
      </w:r>
      <w:r>
        <w:t>5</w:t>
      </w:r>
      <w:r w:rsidRPr="00A03362">
        <w:t>0 million in 2014</w:t>
      </w:r>
      <w:r>
        <w:rPr>
          <w:rStyle w:val="FootnoteReference"/>
        </w:rPr>
        <w:footnoteReference w:id="11"/>
      </w:r>
      <w:r w:rsidRPr="00A03362">
        <w:t xml:space="preserve">.  </w:t>
      </w:r>
      <w:r w:rsidRPr="00B452A9">
        <w:t xml:space="preserve">Foreign fishing access fees make an important contribution to FFA members’ finances – representing around half of government revenue (excluding grants) in five Pacific island countries (FSM, Kiribati, Marshall Island, Nauru, Tuvalu) and 98 percent in one country (Tokelau). </w:t>
      </w:r>
      <w:r>
        <w:t xml:space="preserve">  </w:t>
      </w:r>
    </w:p>
    <w:p w:rsidR="00C25AD7" w:rsidRDefault="00C25AD7" w:rsidP="00C25AD7">
      <w:pPr>
        <w:spacing w:line="280" w:lineRule="exact"/>
      </w:pPr>
      <w:r>
        <w:t>Total tuna-</w:t>
      </w:r>
      <w:r w:rsidRPr="00B452A9">
        <w:t>related employment increased steadily between 2008 and 2015 rising from around 12,000 to 23,000</w:t>
      </w:r>
      <w:r>
        <w:t xml:space="preserve"> jobs</w:t>
      </w:r>
      <w:r w:rsidRPr="00B452A9">
        <w:t xml:space="preserve">. </w:t>
      </w:r>
      <w:r w:rsidRPr="007A2F3F">
        <w:t xml:space="preserve">The level of employment between 2014 and 2015 is almost the same. </w:t>
      </w:r>
      <w:r w:rsidRPr="00B452A9">
        <w:t>The onshore processing sector accounts for around 11,000 jobs with women making up between 70 a</w:t>
      </w:r>
      <w:r>
        <w:t>nd 90 per cent of this workforce</w:t>
      </w:r>
      <w:r w:rsidRPr="00B452A9">
        <w:t>.</w:t>
      </w:r>
      <w:r>
        <w:t xml:space="preserve">  </w:t>
      </w:r>
    </w:p>
    <w:p w:rsidR="00C25AD7" w:rsidRDefault="00C25AD7" w:rsidP="00C25AD7">
      <w:pPr>
        <w:spacing w:line="280" w:lineRule="exact"/>
      </w:pPr>
      <w:r>
        <w:t>Despite increases in fisheries revenues, our ongoing investment in 2016-17 has been necessary to assist Pacific island countries to address key challenges including ensuring zone-based management, reducing illegal, unreported and unregulated (IUU) fishing; restricting fishing on high seas; and establishing high standards for employment in the sector. Due to the highly migratory nature of fish stocks, a regional approach is required to address these priorities outlined in the Regional Roadmap for Sustainable Pacific Fisheries (‘the Roadmap’).</w:t>
      </w:r>
    </w:p>
    <w:p w:rsidR="00C25AD7" w:rsidRDefault="00C25AD7" w:rsidP="00C25AD7">
      <w:pPr>
        <w:spacing w:line="280" w:lineRule="exact"/>
      </w:pPr>
      <w:r>
        <w:t xml:space="preserve">Australia’s core funding support to the FFA </w:t>
      </w:r>
      <w:r w:rsidRPr="00DF0A3E">
        <w:t>($5 million per year)</w:t>
      </w:r>
      <w:r>
        <w:t xml:space="preserve"> has facilitated its successful engagement in the complex management of offshore tuna stocks, ensuring the integrity of the region’s fisheries governance regime. Our support to the Fisheries, Aquaculture and Marine Ecosystems Division of the Pacific Community (SPC FAME) funds world-class stock assessments for offshore fisheries. </w:t>
      </w:r>
      <w:r w:rsidRPr="00A03362">
        <w:t>FAME is the primary science provider for</w:t>
      </w:r>
      <w:r>
        <w:t xml:space="preserve"> the </w:t>
      </w:r>
      <w:r w:rsidRPr="00183BBA">
        <w:t>Western and Central Pacific Fisheries Commission</w:t>
      </w:r>
      <w:r w:rsidRPr="00A03362">
        <w:t xml:space="preserve"> </w:t>
      </w:r>
      <w:r>
        <w:t>(</w:t>
      </w:r>
      <w:r w:rsidRPr="00A03362">
        <w:t>WCPFC</w:t>
      </w:r>
      <w:r>
        <w:t>)</w:t>
      </w:r>
      <w:r w:rsidRPr="00A03362">
        <w:t xml:space="preserve"> and its 26 member countries through rigorous review process each year.  </w:t>
      </w:r>
    </w:p>
    <w:p w:rsidR="00C25AD7" w:rsidRDefault="00C25AD7" w:rsidP="00C25AD7">
      <w:pPr>
        <w:spacing w:line="280" w:lineRule="exact"/>
      </w:pPr>
      <w:r>
        <w:t xml:space="preserve">Sustainability in the inshore sector is crucial to ensuring food and livelihood security across the region. SPC-FAME is taking a lead role in responding to the growing challenges in the inshore sector and Australia’s support is further discussed under Objective 3: Healthy and Resilient Communities.  </w:t>
      </w:r>
    </w:p>
    <w:p w:rsidR="00C25AD7" w:rsidRPr="00B452A9" w:rsidRDefault="00C25AD7" w:rsidP="00C25AD7">
      <w:pPr>
        <w:spacing w:line="280" w:lineRule="exact"/>
        <w:rPr>
          <w:b/>
        </w:rPr>
      </w:pPr>
      <w:r w:rsidRPr="00B452A9">
        <w:rPr>
          <w:b/>
        </w:rPr>
        <w:t>Key results:</w:t>
      </w:r>
    </w:p>
    <w:p w:rsidR="00C25AD7" w:rsidRPr="00B452A9" w:rsidRDefault="00C25AD7" w:rsidP="00C25AD7">
      <w:pPr>
        <w:pStyle w:val="ListBullet"/>
        <w:numPr>
          <w:ilvl w:val="0"/>
          <w:numId w:val="14"/>
        </w:numPr>
        <w:tabs>
          <w:tab w:val="clear" w:pos="284"/>
          <w:tab w:val="left" w:pos="720"/>
        </w:tabs>
        <w:rPr>
          <w:rFonts w:asciiTheme="minorHAnsi" w:eastAsiaTheme="minorHAnsi" w:hAnsiTheme="minorHAnsi" w:cstheme="minorBidi"/>
          <w:color w:val="44546A" w:themeColor="text2"/>
          <w:sz w:val="22"/>
          <w:szCs w:val="22"/>
          <w:lang w:val="en-GB" w:eastAsia="en-US"/>
        </w:rPr>
      </w:pPr>
      <w:r w:rsidRPr="00B452A9">
        <w:rPr>
          <w:rFonts w:asciiTheme="minorHAnsi" w:eastAsiaTheme="minorHAnsi" w:hAnsiTheme="minorHAnsi" w:cstheme="minorBidi"/>
          <w:color w:val="44546A" w:themeColor="text2"/>
          <w:sz w:val="22"/>
          <w:szCs w:val="22"/>
          <w:lang w:val="en-GB" w:eastAsia="en-US"/>
        </w:rPr>
        <w:t xml:space="preserve">Economic returns: </w:t>
      </w:r>
      <w:r>
        <w:rPr>
          <w:rFonts w:asciiTheme="minorHAnsi" w:eastAsiaTheme="minorHAnsi" w:hAnsiTheme="minorHAnsi" w:cstheme="minorBidi"/>
          <w:color w:val="44546A" w:themeColor="text2"/>
          <w:sz w:val="22"/>
          <w:szCs w:val="22"/>
          <w:lang w:val="en-GB" w:eastAsia="en-US"/>
        </w:rPr>
        <w:t>Our core funding to FFA, has enabled it to successfully manage the foreign access fee scheme for the region. R</w:t>
      </w:r>
      <w:r w:rsidRPr="00B452A9">
        <w:rPr>
          <w:rFonts w:asciiTheme="minorHAnsi" w:eastAsiaTheme="minorHAnsi" w:hAnsiTheme="minorHAnsi" w:cstheme="minorBidi"/>
          <w:color w:val="44546A" w:themeColor="text2"/>
          <w:sz w:val="22"/>
          <w:szCs w:val="22"/>
          <w:lang w:val="en-GB" w:eastAsia="en-US"/>
        </w:rPr>
        <w:t>evenues, employment and exports have all increased, despite some downward pressure on tuna prices. The value of access fees paid by foreign vessels to FFA members has risen sharply over recent years from less than USD 100 million in 2010 to  approximately USD450 million in 2015 (the most recently available figure).</w:t>
      </w:r>
      <w:r>
        <w:rPr>
          <w:rStyle w:val="FootnoteReference"/>
          <w:rFonts w:asciiTheme="minorHAnsi" w:eastAsiaTheme="minorHAnsi" w:hAnsiTheme="minorHAnsi" w:cstheme="minorBidi"/>
          <w:color w:val="44546A" w:themeColor="text2"/>
          <w:sz w:val="22"/>
          <w:szCs w:val="22"/>
          <w:lang w:val="en-GB" w:eastAsia="en-US"/>
        </w:rPr>
        <w:footnoteReference w:id="12"/>
      </w:r>
      <w:r w:rsidRPr="00B452A9">
        <w:rPr>
          <w:rFonts w:asciiTheme="minorHAnsi" w:eastAsiaTheme="minorHAnsi" w:hAnsiTheme="minorHAnsi" w:cstheme="minorBidi"/>
          <w:color w:val="44546A" w:themeColor="text2"/>
          <w:sz w:val="22"/>
          <w:szCs w:val="22"/>
          <w:lang w:val="en-GB" w:eastAsia="en-US"/>
        </w:rPr>
        <w:t xml:space="preserve"> </w:t>
      </w:r>
    </w:p>
    <w:p w:rsidR="00C25AD7" w:rsidRDefault="00C25AD7" w:rsidP="00C25AD7">
      <w:pPr>
        <w:pStyle w:val="ListBullet"/>
        <w:numPr>
          <w:ilvl w:val="0"/>
          <w:numId w:val="14"/>
        </w:numPr>
        <w:tabs>
          <w:tab w:val="clear" w:pos="284"/>
          <w:tab w:val="left" w:pos="720"/>
        </w:tabs>
        <w:rPr>
          <w:rFonts w:asciiTheme="minorHAnsi" w:eastAsiaTheme="minorHAnsi" w:hAnsiTheme="minorHAnsi" w:cstheme="minorBidi"/>
          <w:color w:val="44546A" w:themeColor="text2"/>
          <w:sz w:val="22"/>
          <w:szCs w:val="22"/>
          <w:lang w:val="en-GB" w:eastAsia="en-US"/>
        </w:rPr>
      </w:pPr>
      <w:r w:rsidRPr="00B452A9">
        <w:rPr>
          <w:rFonts w:asciiTheme="minorHAnsi" w:eastAsiaTheme="minorHAnsi" w:hAnsiTheme="minorHAnsi" w:cstheme="minorBidi"/>
          <w:color w:val="44546A" w:themeColor="text2"/>
          <w:sz w:val="22"/>
          <w:szCs w:val="22"/>
          <w:lang w:val="en-GB" w:eastAsia="en-US"/>
        </w:rPr>
        <w:t xml:space="preserve">Fisheries governance: FFA conducted seven successful </w:t>
      </w:r>
      <w:r>
        <w:rPr>
          <w:rFonts w:asciiTheme="minorHAnsi" w:eastAsiaTheme="minorHAnsi" w:hAnsiTheme="minorHAnsi" w:cstheme="minorBidi"/>
          <w:color w:val="44546A" w:themeColor="text2"/>
          <w:sz w:val="22"/>
          <w:szCs w:val="22"/>
          <w:lang w:val="en-GB" w:eastAsia="en-US"/>
        </w:rPr>
        <w:t>monitoring, control and Surveillance (MCS)</w:t>
      </w:r>
      <w:r w:rsidRPr="00B452A9">
        <w:rPr>
          <w:rFonts w:asciiTheme="minorHAnsi" w:eastAsiaTheme="minorHAnsi" w:hAnsiTheme="minorHAnsi" w:cstheme="minorBidi"/>
          <w:color w:val="44546A" w:themeColor="text2"/>
          <w:sz w:val="22"/>
          <w:szCs w:val="22"/>
          <w:lang w:val="en-GB" w:eastAsia="en-US"/>
        </w:rPr>
        <w:t xml:space="preserve"> operations in 2016-</w:t>
      </w:r>
      <w:r>
        <w:rPr>
          <w:rFonts w:asciiTheme="minorHAnsi" w:eastAsiaTheme="minorHAnsi" w:hAnsiTheme="minorHAnsi" w:cstheme="minorBidi"/>
          <w:color w:val="44546A" w:themeColor="text2"/>
          <w:sz w:val="22"/>
          <w:szCs w:val="22"/>
          <w:lang w:val="en-GB" w:eastAsia="en-US"/>
        </w:rPr>
        <w:t>17 and</w:t>
      </w:r>
      <w:r w:rsidRPr="00B452A9">
        <w:rPr>
          <w:rFonts w:asciiTheme="minorHAnsi" w:eastAsiaTheme="minorHAnsi" w:hAnsiTheme="minorHAnsi" w:cstheme="minorBidi"/>
          <w:color w:val="44546A" w:themeColor="text2"/>
          <w:sz w:val="22"/>
          <w:szCs w:val="22"/>
          <w:lang w:val="en-GB" w:eastAsia="en-US"/>
        </w:rPr>
        <w:t xml:space="preserve"> has forwarded 264 cases/incidents to 10 member countries for information or action. </w:t>
      </w:r>
    </w:p>
    <w:p w:rsidR="00C25AD7" w:rsidRPr="00B452A9" w:rsidRDefault="00C25AD7" w:rsidP="00C25AD7">
      <w:pPr>
        <w:pStyle w:val="ListBullet"/>
        <w:numPr>
          <w:ilvl w:val="0"/>
          <w:numId w:val="14"/>
        </w:numPr>
        <w:tabs>
          <w:tab w:val="clear" w:pos="284"/>
          <w:tab w:val="left" w:pos="720"/>
        </w:tabs>
        <w:rPr>
          <w:rFonts w:asciiTheme="minorHAnsi" w:eastAsiaTheme="minorHAnsi" w:hAnsiTheme="minorHAnsi" w:cstheme="minorBidi"/>
          <w:color w:val="44546A" w:themeColor="text2"/>
          <w:sz w:val="22"/>
          <w:szCs w:val="22"/>
          <w:lang w:val="en-GB" w:eastAsia="en-US"/>
        </w:rPr>
      </w:pPr>
      <w:r w:rsidRPr="00B452A9">
        <w:rPr>
          <w:rFonts w:asciiTheme="minorHAnsi" w:eastAsiaTheme="minorHAnsi" w:hAnsiTheme="minorHAnsi" w:cstheme="minorBidi"/>
          <w:color w:val="44546A" w:themeColor="text2"/>
          <w:sz w:val="22"/>
          <w:szCs w:val="22"/>
          <w:lang w:val="en-GB" w:eastAsia="en-US"/>
        </w:rPr>
        <w:t>Australian policy engagement in regional fisheries forums made important contributions to our fisheries development objectives, including by securing WCPFC endorsement of amendments to the Harvest Strategy work plan, which allows countries to agree on targets for long-term sustainability and profitability, and supporting a new WCPFC measure to strengthen observer safety on fishing vessels.</w:t>
      </w:r>
    </w:p>
    <w:p w:rsidR="00C25AD7" w:rsidRPr="00B452A9" w:rsidRDefault="00C25AD7" w:rsidP="00C25AD7">
      <w:pPr>
        <w:spacing w:line="280" w:lineRule="exact"/>
        <w:rPr>
          <w:b/>
        </w:rPr>
      </w:pPr>
      <w:r w:rsidRPr="00B452A9">
        <w:rPr>
          <w:b/>
        </w:rPr>
        <w:lastRenderedPageBreak/>
        <w:t>Factors affecting progress and future actions:</w:t>
      </w:r>
    </w:p>
    <w:p w:rsidR="00C25AD7" w:rsidRDefault="00C25AD7" w:rsidP="00C25AD7">
      <w:pPr>
        <w:pStyle w:val="ListBullet"/>
        <w:tabs>
          <w:tab w:val="clear" w:pos="284"/>
          <w:tab w:val="left" w:pos="720"/>
        </w:tabs>
        <w:rPr>
          <w:rFonts w:asciiTheme="minorHAnsi" w:eastAsiaTheme="minorHAnsi" w:hAnsiTheme="minorHAnsi" w:cstheme="minorBidi"/>
          <w:color w:val="44546A" w:themeColor="text2"/>
          <w:sz w:val="22"/>
          <w:szCs w:val="22"/>
          <w:lang w:val="en-GB" w:eastAsia="en-US"/>
        </w:rPr>
      </w:pPr>
      <w:r>
        <w:rPr>
          <w:rFonts w:asciiTheme="minorHAnsi" w:eastAsiaTheme="minorHAnsi" w:hAnsiTheme="minorHAnsi" w:cstheme="minorBidi"/>
          <w:color w:val="44546A" w:themeColor="text2"/>
          <w:sz w:val="22"/>
          <w:szCs w:val="22"/>
          <w:lang w:val="en-GB" w:eastAsia="en-US"/>
        </w:rPr>
        <w:t>Challenges relate primarily to o</w:t>
      </w:r>
      <w:r w:rsidRPr="001969C7">
        <w:rPr>
          <w:rFonts w:asciiTheme="minorHAnsi" w:eastAsiaTheme="minorHAnsi" w:hAnsiTheme="minorHAnsi" w:cstheme="minorBidi"/>
          <w:color w:val="44546A" w:themeColor="text2"/>
          <w:sz w:val="22"/>
          <w:szCs w:val="22"/>
          <w:lang w:val="en-GB" w:eastAsia="en-US"/>
        </w:rPr>
        <w:t>verfishing by</w:t>
      </w:r>
      <w:r>
        <w:rPr>
          <w:rFonts w:asciiTheme="minorHAnsi" w:eastAsiaTheme="minorHAnsi" w:hAnsiTheme="minorHAnsi" w:cstheme="minorBidi"/>
          <w:color w:val="44546A" w:themeColor="text2"/>
          <w:sz w:val="22"/>
          <w:szCs w:val="22"/>
          <w:lang w:val="en-GB" w:eastAsia="en-US"/>
        </w:rPr>
        <w:t xml:space="preserve"> modern, including foreign</w:t>
      </w:r>
      <w:r w:rsidRPr="001969C7">
        <w:rPr>
          <w:rFonts w:asciiTheme="minorHAnsi" w:eastAsiaTheme="minorHAnsi" w:hAnsiTheme="minorHAnsi" w:cstheme="minorBidi"/>
          <w:color w:val="44546A" w:themeColor="text2"/>
          <w:sz w:val="22"/>
          <w:szCs w:val="22"/>
          <w:lang w:val="en-GB" w:eastAsia="en-US"/>
        </w:rPr>
        <w:t>, fleets</w:t>
      </w:r>
      <w:r>
        <w:rPr>
          <w:rFonts w:asciiTheme="minorHAnsi" w:eastAsiaTheme="minorHAnsi" w:hAnsiTheme="minorHAnsi" w:cstheme="minorBidi"/>
          <w:color w:val="44546A" w:themeColor="text2"/>
          <w:sz w:val="22"/>
          <w:szCs w:val="22"/>
          <w:lang w:val="en-GB" w:eastAsia="en-US"/>
        </w:rPr>
        <w:t>. This</w:t>
      </w:r>
      <w:r w:rsidRPr="001969C7">
        <w:rPr>
          <w:rFonts w:asciiTheme="minorHAnsi" w:eastAsiaTheme="minorHAnsi" w:hAnsiTheme="minorHAnsi" w:cstheme="minorBidi"/>
          <w:color w:val="44546A" w:themeColor="text2"/>
          <w:sz w:val="22"/>
          <w:szCs w:val="22"/>
          <w:lang w:val="en-GB" w:eastAsia="en-US"/>
        </w:rPr>
        <w:t xml:space="preserve"> threatens the sustainability of the fisheries resources on whic</w:t>
      </w:r>
      <w:r>
        <w:rPr>
          <w:rFonts w:asciiTheme="minorHAnsi" w:eastAsiaTheme="minorHAnsi" w:hAnsiTheme="minorHAnsi" w:cstheme="minorBidi"/>
          <w:color w:val="44546A" w:themeColor="text2"/>
          <w:sz w:val="22"/>
          <w:szCs w:val="22"/>
          <w:lang w:val="en-GB" w:eastAsia="en-US"/>
        </w:rPr>
        <w:t>h many Pacific I</w:t>
      </w:r>
      <w:r w:rsidRPr="001969C7">
        <w:rPr>
          <w:rFonts w:asciiTheme="minorHAnsi" w:eastAsiaTheme="minorHAnsi" w:hAnsiTheme="minorHAnsi" w:cstheme="minorBidi"/>
          <w:color w:val="44546A" w:themeColor="text2"/>
          <w:sz w:val="22"/>
          <w:szCs w:val="22"/>
          <w:lang w:val="en-GB" w:eastAsia="en-US"/>
        </w:rPr>
        <w:t xml:space="preserve">sland economies and communities depend. We need to improve understanding of, and support for, the harvest strategy approach, particularly among </w:t>
      </w:r>
      <w:r>
        <w:rPr>
          <w:rFonts w:asciiTheme="minorHAnsi" w:eastAsiaTheme="minorHAnsi" w:hAnsiTheme="minorHAnsi" w:cstheme="minorBidi"/>
          <w:color w:val="44546A" w:themeColor="text2"/>
          <w:sz w:val="22"/>
          <w:szCs w:val="22"/>
          <w:lang w:val="en-GB" w:eastAsia="en-US"/>
        </w:rPr>
        <w:t>‘</w:t>
      </w:r>
      <w:r w:rsidRPr="001969C7">
        <w:rPr>
          <w:rFonts w:asciiTheme="minorHAnsi" w:eastAsiaTheme="minorHAnsi" w:hAnsiTheme="minorHAnsi" w:cstheme="minorBidi"/>
          <w:color w:val="44546A" w:themeColor="text2"/>
          <w:sz w:val="22"/>
          <w:szCs w:val="22"/>
          <w:lang w:val="en-GB" w:eastAsia="en-US"/>
        </w:rPr>
        <w:t>distant water fishing nations</w:t>
      </w:r>
      <w:r>
        <w:rPr>
          <w:rFonts w:asciiTheme="minorHAnsi" w:eastAsiaTheme="minorHAnsi" w:hAnsiTheme="minorHAnsi" w:cstheme="minorBidi"/>
          <w:color w:val="44546A" w:themeColor="text2"/>
          <w:sz w:val="22"/>
          <w:szCs w:val="22"/>
          <w:lang w:val="en-GB" w:eastAsia="en-US"/>
        </w:rPr>
        <w:t>’</w:t>
      </w:r>
      <w:r w:rsidRPr="001969C7">
        <w:rPr>
          <w:rFonts w:asciiTheme="minorHAnsi" w:eastAsiaTheme="minorHAnsi" w:hAnsiTheme="minorHAnsi" w:cstheme="minorBidi"/>
          <w:color w:val="44546A" w:themeColor="text2"/>
          <w:sz w:val="22"/>
          <w:szCs w:val="22"/>
          <w:lang w:val="en-GB" w:eastAsia="en-US"/>
        </w:rPr>
        <w:t xml:space="preserve">. Broader transparency and governance issues, and the high cost of doing business, affect the success of local industry development and employment generation. </w:t>
      </w:r>
    </w:p>
    <w:p w:rsidR="00C25AD7" w:rsidRPr="001969C7" w:rsidRDefault="00C25AD7" w:rsidP="00C25AD7">
      <w:pPr>
        <w:pStyle w:val="ListBullet"/>
        <w:tabs>
          <w:tab w:val="clear" w:pos="284"/>
          <w:tab w:val="left" w:pos="720"/>
        </w:tabs>
        <w:rPr>
          <w:rFonts w:asciiTheme="minorHAnsi" w:eastAsiaTheme="minorHAnsi" w:hAnsiTheme="minorHAnsi" w:cstheme="minorBidi"/>
          <w:color w:val="44546A" w:themeColor="text2"/>
          <w:sz w:val="22"/>
          <w:szCs w:val="22"/>
          <w:lang w:val="en-GB" w:eastAsia="en-US"/>
        </w:rPr>
      </w:pPr>
      <w:r w:rsidRPr="001969C7">
        <w:rPr>
          <w:rFonts w:asciiTheme="minorHAnsi" w:eastAsiaTheme="minorHAnsi" w:hAnsiTheme="minorHAnsi" w:cstheme="minorBidi"/>
          <w:color w:val="44546A" w:themeColor="text2"/>
          <w:sz w:val="22"/>
          <w:szCs w:val="22"/>
          <w:lang w:val="en-GB" w:eastAsia="en-US"/>
        </w:rPr>
        <w:t xml:space="preserve">In 2017-18, Australia will work with our regional partners to help implement the Roadmap, </w:t>
      </w:r>
      <w:r>
        <w:rPr>
          <w:rFonts w:asciiTheme="minorHAnsi" w:eastAsiaTheme="minorHAnsi" w:hAnsiTheme="minorHAnsi" w:cstheme="minorBidi"/>
          <w:color w:val="44546A" w:themeColor="text2"/>
          <w:sz w:val="22"/>
          <w:szCs w:val="22"/>
          <w:lang w:val="en-GB" w:eastAsia="en-US"/>
        </w:rPr>
        <w:t>to</w:t>
      </w:r>
      <w:r w:rsidRPr="001969C7">
        <w:rPr>
          <w:rFonts w:asciiTheme="minorHAnsi" w:eastAsiaTheme="minorHAnsi" w:hAnsiTheme="minorHAnsi" w:cstheme="minorBidi"/>
          <w:color w:val="44546A" w:themeColor="text2"/>
          <w:sz w:val="22"/>
          <w:szCs w:val="22"/>
          <w:lang w:val="en-GB" w:eastAsia="en-US"/>
        </w:rPr>
        <w:t xml:space="preserve"> improve sustainability and profitability </w:t>
      </w:r>
      <w:r>
        <w:rPr>
          <w:rFonts w:asciiTheme="minorHAnsi" w:eastAsiaTheme="minorHAnsi" w:hAnsiTheme="minorHAnsi" w:cstheme="minorBidi"/>
          <w:color w:val="44546A" w:themeColor="text2"/>
          <w:sz w:val="22"/>
          <w:szCs w:val="22"/>
          <w:lang w:val="en-GB" w:eastAsia="en-US"/>
        </w:rPr>
        <w:t xml:space="preserve">in </w:t>
      </w:r>
      <w:r w:rsidRPr="001969C7">
        <w:rPr>
          <w:rFonts w:asciiTheme="minorHAnsi" w:eastAsiaTheme="minorHAnsi" w:hAnsiTheme="minorHAnsi" w:cstheme="minorBidi"/>
          <w:color w:val="44546A" w:themeColor="text2"/>
          <w:sz w:val="22"/>
          <w:szCs w:val="22"/>
          <w:lang w:val="en-GB" w:eastAsia="en-US"/>
        </w:rPr>
        <w:t>both the inshore and offshore fisheries sectors.  Australia’s aid inv</w:t>
      </w:r>
      <w:r>
        <w:rPr>
          <w:rFonts w:asciiTheme="minorHAnsi" w:eastAsiaTheme="minorHAnsi" w:hAnsiTheme="minorHAnsi" w:cstheme="minorBidi"/>
          <w:color w:val="44546A" w:themeColor="text2"/>
          <w:sz w:val="22"/>
          <w:szCs w:val="22"/>
          <w:lang w:val="en-GB" w:eastAsia="en-US"/>
        </w:rPr>
        <w:t xml:space="preserve">estments will </w:t>
      </w:r>
      <w:r w:rsidRPr="001969C7">
        <w:rPr>
          <w:rFonts w:asciiTheme="minorHAnsi" w:eastAsiaTheme="minorHAnsi" w:hAnsiTheme="minorHAnsi" w:cstheme="minorBidi"/>
          <w:color w:val="44546A" w:themeColor="text2"/>
          <w:sz w:val="22"/>
          <w:szCs w:val="22"/>
          <w:lang w:val="en-GB" w:eastAsia="en-US"/>
        </w:rPr>
        <w:t>continue to work with our policy engagement to achieve our development objectives in the Pacific. The new Pacific Maritime Security Program, the implementation of the Niue Treaty Subsidiary Agreement a</w:t>
      </w:r>
      <w:r>
        <w:rPr>
          <w:rFonts w:asciiTheme="minorHAnsi" w:eastAsiaTheme="minorHAnsi" w:hAnsiTheme="minorHAnsi" w:cstheme="minorBidi"/>
          <w:color w:val="44546A" w:themeColor="text2"/>
          <w:sz w:val="22"/>
          <w:szCs w:val="22"/>
          <w:lang w:val="en-GB" w:eastAsia="en-US"/>
        </w:rPr>
        <w:t>nd other moves to strengthen monitoring and surveillance</w:t>
      </w:r>
      <w:r w:rsidRPr="001969C7">
        <w:rPr>
          <w:rFonts w:asciiTheme="minorHAnsi" w:eastAsiaTheme="minorHAnsi" w:hAnsiTheme="minorHAnsi" w:cstheme="minorBidi"/>
          <w:color w:val="44546A" w:themeColor="text2"/>
          <w:sz w:val="22"/>
          <w:szCs w:val="22"/>
          <w:lang w:val="en-GB" w:eastAsia="en-US"/>
        </w:rPr>
        <w:t xml:space="preserve"> data and information sharing in line with Australia’s ‘stepped-up’ engagement in the Pacific will be key elements over the coming years. The development of harvest strategies for all key tuna stocks is an ambitious and lengthy process requiring the full cooperation of all WCPFC members. </w:t>
      </w:r>
    </w:p>
    <w:p w:rsidR="00C25AD7" w:rsidRPr="00A40633" w:rsidRDefault="00C25AD7" w:rsidP="00C25AD7">
      <w:pPr>
        <w:rPr>
          <w:b/>
        </w:rPr>
      </w:pPr>
      <w:r w:rsidRPr="00A40633">
        <w:rPr>
          <w:b/>
        </w:rPr>
        <w:t>Education</w:t>
      </w:r>
    </w:p>
    <w:p w:rsidR="00C25AD7" w:rsidRDefault="00C25AD7" w:rsidP="00C25AD7">
      <w:r>
        <w:t xml:space="preserve">While the region has achieved positive results, such as increased school enrolments, the Pacific’s low education and training outcomes constrain economic development. Employers remain frustrated that skills and attributes gained by the Pacific’s secondary and post-secondary graduates do not align with job requirements. The Pacific Regional program will continue to complement the efforts of national systems to improve student acquisition of vital literacy and numeracy skills, and to better prepare post-secondary graduates for entry into the workforce. </w:t>
      </w:r>
    </w:p>
    <w:p w:rsidR="00C25AD7" w:rsidRDefault="00C25AD7" w:rsidP="00C25AD7">
      <w:pPr>
        <w:rPr>
          <w:highlight w:val="yellow"/>
        </w:rPr>
      </w:pPr>
      <w:r w:rsidRPr="00A40633">
        <w:t>In 201</w:t>
      </w:r>
      <w:r>
        <w:t>6</w:t>
      </w:r>
      <w:r w:rsidRPr="00A40633">
        <w:t>-1</w:t>
      </w:r>
      <w:r>
        <w:t>7</w:t>
      </w:r>
      <w:r w:rsidRPr="00A40633">
        <w:t xml:space="preserve">, the regional education program </w:t>
      </w:r>
      <w:r>
        <w:t xml:space="preserve">saw strong progress in its </w:t>
      </w:r>
      <w:r w:rsidRPr="00A40633">
        <w:t>support</w:t>
      </w:r>
      <w:r>
        <w:t xml:space="preserve"> for provision of </w:t>
      </w:r>
      <w:r w:rsidRPr="00A40633">
        <w:t xml:space="preserve">quality </w:t>
      </w:r>
      <w:r>
        <w:t xml:space="preserve">tertiary education.  </w:t>
      </w:r>
      <w:r w:rsidRPr="00A40633">
        <w:t xml:space="preserve">Australia is USP’s largest </w:t>
      </w:r>
      <w:r>
        <w:t xml:space="preserve">financial partner and our core-funding </w:t>
      </w:r>
      <w:r w:rsidRPr="00A40633">
        <w:t>support</w:t>
      </w:r>
      <w:r>
        <w:t>ed</w:t>
      </w:r>
      <w:r w:rsidRPr="00A40633">
        <w:t xml:space="preserve"> the provision of quality, internationally-recognised higher education in the Pacific. </w:t>
      </w:r>
      <w:r w:rsidRPr="00CB4D17">
        <w:t>Australia also fund</w:t>
      </w:r>
      <w:r>
        <w:t xml:space="preserve">ed </w:t>
      </w:r>
      <w:r w:rsidRPr="00CB4D17">
        <w:t>the Pacific Community</w:t>
      </w:r>
      <w:r>
        <w:t>’s</w:t>
      </w:r>
      <w:r w:rsidRPr="00CB4D17">
        <w:t xml:space="preserve"> (SPC) Educational Quality and Assessment Programme (EQAP) and a regional facility for Education Management Information Systems (EMIS).</w:t>
      </w:r>
    </w:p>
    <w:p w:rsidR="00C25AD7" w:rsidRPr="003E6B46" w:rsidRDefault="00C25AD7" w:rsidP="00C25AD7">
      <w:pPr>
        <w:rPr>
          <w:b/>
        </w:rPr>
      </w:pPr>
      <w:r w:rsidRPr="003E6B46">
        <w:rPr>
          <w:b/>
        </w:rPr>
        <w:t>Key results:</w:t>
      </w:r>
    </w:p>
    <w:p w:rsidR="00C25AD7" w:rsidRDefault="00C25AD7" w:rsidP="00C25AD7">
      <w:pPr>
        <w:numPr>
          <w:ilvl w:val="0"/>
          <w:numId w:val="16"/>
        </w:numPr>
        <w:suppressAutoHyphens w:val="0"/>
        <w:spacing w:before="0" w:after="160" w:line="259" w:lineRule="auto"/>
      </w:pPr>
      <w:r w:rsidRPr="00A40633">
        <w:t xml:space="preserve">In </w:t>
      </w:r>
      <w:r>
        <w:t>2016 APTC reached the milestone of over 10,000</w:t>
      </w:r>
      <w:r w:rsidRPr="00A40633">
        <w:t xml:space="preserve"> Pacific Islander (40 per cent women) </w:t>
      </w:r>
      <w:r>
        <w:t xml:space="preserve">graduates </w:t>
      </w:r>
      <w:r w:rsidRPr="00A40633">
        <w:t>with internationally-recognised qualifications in areas of demand</w:t>
      </w:r>
      <w:r>
        <w:t xml:space="preserve"> since commencing in 2007</w:t>
      </w:r>
      <w:r w:rsidRPr="00A40633">
        <w:t xml:space="preserve">. </w:t>
      </w:r>
      <w:r>
        <w:t xml:space="preserve">In 2016, more than 1,100 Pacific Islanders graduated. </w:t>
      </w:r>
      <w:r w:rsidRPr="00A40633">
        <w:t xml:space="preserve">More than 95 per cent are employed. </w:t>
      </w:r>
      <w:r>
        <w:t xml:space="preserve">  </w:t>
      </w:r>
      <w:r w:rsidRPr="0017497C">
        <w:t xml:space="preserve">APTC collects, analyses and uses data on disability inclusion, </w:t>
      </w:r>
      <w:r>
        <w:t>and</w:t>
      </w:r>
      <w:r w:rsidRPr="0017497C">
        <w:t xml:space="preserve"> in Stage 2, 58 (1%) of graduates stated they had a disability.</w:t>
      </w:r>
    </w:p>
    <w:p w:rsidR="00C25AD7" w:rsidRPr="00A40633" w:rsidRDefault="00C25AD7" w:rsidP="00C25AD7">
      <w:pPr>
        <w:numPr>
          <w:ilvl w:val="0"/>
          <w:numId w:val="16"/>
        </w:numPr>
        <w:suppressAutoHyphens w:val="0"/>
        <w:spacing w:before="0" w:after="160" w:line="259" w:lineRule="auto"/>
      </w:pPr>
      <w:r>
        <w:t>The mid-t</w:t>
      </w:r>
      <w:r w:rsidRPr="00A40633">
        <w:t xml:space="preserve">erm </w:t>
      </w:r>
      <w:r>
        <w:t>r</w:t>
      </w:r>
      <w:r w:rsidRPr="00A40633">
        <w:t xml:space="preserve">eview of the </w:t>
      </w:r>
      <w:r>
        <w:t xml:space="preserve">USP Strategic </w:t>
      </w:r>
      <w:r w:rsidRPr="00A40633">
        <w:t>Plan</w:t>
      </w:r>
      <w:r>
        <w:t>, funded by the Pacific Regional program, found</w:t>
      </w:r>
      <w:r w:rsidRPr="00A40633">
        <w:t xml:space="preserve"> there has been considerable progress made</w:t>
      </w:r>
      <w:r>
        <w:t xml:space="preserve"> and the U</w:t>
      </w:r>
      <w:r w:rsidRPr="00A40633">
        <w:t>niversity is on tra</w:t>
      </w:r>
      <w:r>
        <w:t>ck to meet</w:t>
      </w:r>
      <w:r w:rsidRPr="00A40633">
        <w:t xml:space="preserve"> its Strategic Plan</w:t>
      </w:r>
      <w:r>
        <w:t xml:space="preserve"> targets</w:t>
      </w:r>
      <w:r w:rsidRPr="00A40633">
        <w:t>.</w:t>
      </w:r>
      <w:r>
        <w:t xml:space="preserve"> </w:t>
      </w:r>
      <w:r w:rsidRPr="00A40633">
        <w:t xml:space="preserve">In 2016, 3,916 students </w:t>
      </w:r>
      <w:r>
        <w:t>(58 per cent</w:t>
      </w:r>
      <w:r w:rsidRPr="00A40633">
        <w:t xml:space="preserve"> </w:t>
      </w:r>
      <w:r>
        <w:t xml:space="preserve">women) graduated from USP. </w:t>
      </w:r>
      <w:r w:rsidRPr="00A40633">
        <w:t xml:space="preserve">Eighteen programs have been internationally accredited and four have been granted recognition status. </w:t>
      </w:r>
      <w:r>
        <w:t>I</w:t>
      </w:r>
      <w:r w:rsidRPr="00A40633">
        <w:t xml:space="preserve">mprovements to USP’s satellite campuses </w:t>
      </w:r>
      <w:r>
        <w:t>in 2016 have</w:t>
      </w:r>
      <w:r w:rsidRPr="00A40633">
        <w:t xml:space="preserve"> vastly enhanced the </w:t>
      </w:r>
      <w:r>
        <w:t xml:space="preserve">quality and accessibility of </w:t>
      </w:r>
      <w:r w:rsidRPr="00A40633">
        <w:t xml:space="preserve">services </w:t>
      </w:r>
      <w:r>
        <w:t xml:space="preserve">for </w:t>
      </w:r>
      <w:r w:rsidRPr="00A40633">
        <w:t>students</w:t>
      </w:r>
      <w:r>
        <w:t>.</w:t>
      </w:r>
    </w:p>
    <w:p w:rsidR="00C25AD7" w:rsidRPr="00443BBC" w:rsidRDefault="00C25AD7" w:rsidP="00C25AD7">
      <w:pPr>
        <w:numPr>
          <w:ilvl w:val="0"/>
          <w:numId w:val="16"/>
        </w:numPr>
        <w:suppressAutoHyphens w:val="0"/>
        <w:spacing w:before="0" w:after="160" w:line="259" w:lineRule="auto"/>
      </w:pPr>
      <w:r w:rsidRPr="00443BBC">
        <w:t>EQAP analysed data from the 2015 Pacific Islands Literacy and Numeracy Assessment, prepared tailored reports and presented results to ministers and senior officials in the 13 participating countries to improve regional awareness of education quality issues.</w:t>
      </w:r>
      <w:r w:rsidRPr="00443BBC">
        <w:rPr>
          <w:rStyle w:val="FootnoteReference"/>
        </w:rPr>
        <w:footnoteReference w:id="13"/>
      </w:r>
      <w:r w:rsidRPr="00443BBC">
        <w:t xml:space="preserve"> </w:t>
      </w:r>
    </w:p>
    <w:p w:rsidR="00C25AD7" w:rsidRPr="00CB4D17" w:rsidRDefault="00C25AD7" w:rsidP="00C25AD7">
      <w:pPr>
        <w:numPr>
          <w:ilvl w:val="0"/>
          <w:numId w:val="16"/>
        </w:numPr>
        <w:suppressAutoHyphens w:val="0"/>
        <w:spacing w:before="0" w:after="160" w:line="259" w:lineRule="auto"/>
      </w:pPr>
      <w:r w:rsidRPr="00CB4D17">
        <w:t xml:space="preserve">The EMIS project supported innovation in data collection in Vanuatu and Kiribati </w:t>
      </w:r>
      <w:r>
        <w:t xml:space="preserve">by </w:t>
      </w:r>
      <w:r w:rsidRPr="00CB4D17">
        <w:t xml:space="preserve">using tablets and the internet, </w:t>
      </w:r>
      <w:r>
        <w:t xml:space="preserve">which </w:t>
      </w:r>
      <w:r w:rsidRPr="00CB4D17">
        <w:t>reduc</w:t>
      </w:r>
      <w:r>
        <w:t>ed</w:t>
      </w:r>
      <w:r w:rsidRPr="00CB4D17">
        <w:t xml:space="preserve"> the administrative burden on schools and data collection times.</w:t>
      </w:r>
      <w:r w:rsidRPr="00CB4D17">
        <w:rPr>
          <w:rStyle w:val="FootnoteReference"/>
        </w:rPr>
        <w:footnoteReference w:id="14"/>
      </w:r>
      <w:r w:rsidRPr="00CB4D17">
        <w:t xml:space="preserve"> This new approach has the potential to be adopted by other Pacific countries.</w:t>
      </w:r>
    </w:p>
    <w:p w:rsidR="00C25AD7" w:rsidRPr="004865C8" w:rsidRDefault="00C25AD7" w:rsidP="00C25AD7">
      <w:pPr>
        <w:pStyle w:val="BodyText"/>
      </w:pPr>
      <w:r w:rsidRPr="003E6B46">
        <w:rPr>
          <w:rFonts w:asciiTheme="minorHAnsi" w:eastAsiaTheme="minorHAnsi" w:hAnsiTheme="minorHAnsi" w:cstheme="minorBidi"/>
          <w:b/>
          <w:color w:val="44546A" w:themeColor="text2"/>
          <w:sz w:val="22"/>
          <w:szCs w:val="22"/>
          <w:lang w:val="en-GB" w:eastAsia="en-US"/>
        </w:rPr>
        <w:t>Factors affecting progress and future actions</w:t>
      </w:r>
      <w:r w:rsidRPr="004865C8">
        <w:t>:</w:t>
      </w:r>
    </w:p>
    <w:p w:rsidR="00C25AD7" w:rsidRDefault="00C25AD7" w:rsidP="00C25AD7">
      <w:r>
        <w:lastRenderedPageBreak/>
        <w:t xml:space="preserve">The regional education Sector Investment Plan (SIP) will provide a strong framework for guiding the development and management of investments in the sector.  </w:t>
      </w:r>
      <w:r w:rsidRPr="0017497C">
        <w:t xml:space="preserve">The </w:t>
      </w:r>
      <w:r>
        <w:t>SIP has a</w:t>
      </w:r>
      <w:r w:rsidRPr="0017497C">
        <w:t xml:space="preserve"> principle of inclusive development, promoting equal opportunities and outcomes for all, both in our investments and in policy dialogue with Pacific education systems.</w:t>
      </w:r>
    </w:p>
    <w:p w:rsidR="00C25AD7" w:rsidRDefault="00C25AD7" w:rsidP="00C25AD7">
      <w:r>
        <w:t>In 2016-17, DFAT designed a future phase of APTC.  Building on its record of achievement, APTC in Stage 3 will be more firmly embedded into Pacific TVET systems; more closely connected to the needs of Pacific employers; and more actively engaged in supporting labour mobility and migration for its graduates.  APTC will also seek to</w:t>
      </w:r>
      <w:r w:rsidRPr="00A40633">
        <w:t xml:space="preserve"> foster </w:t>
      </w:r>
      <w:r>
        <w:t xml:space="preserve">improved </w:t>
      </w:r>
      <w:r w:rsidRPr="00A40633">
        <w:t>graduate access to Australia’s employment market.</w:t>
      </w:r>
      <w:r>
        <w:t xml:space="preserve">  In 2017-18, DFAT will commence procurement and transition to the new phase. </w:t>
      </w:r>
    </w:p>
    <w:p w:rsidR="00C25AD7" w:rsidRDefault="00C25AD7" w:rsidP="00C25AD7">
      <w:r>
        <w:t>In 2017-18, we will w</w:t>
      </w:r>
      <w:r w:rsidRPr="00A40633">
        <w:t xml:space="preserve">ork </w:t>
      </w:r>
      <w:r>
        <w:t xml:space="preserve">with the USP to develop a targeted intervention to improve the quality of teacher training and development for the region. </w:t>
      </w:r>
      <w:r w:rsidRPr="00BC4AD5">
        <w:t>We will work with SPC and New Zealand to develop a strengthened program of support for EQAP, which will also integrate the EMIS objectives into its revised scope.</w:t>
      </w:r>
    </w:p>
    <w:p w:rsidR="00C25AD7" w:rsidRPr="005B344B" w:rsidRDefault="00C25AD7" w:rsidP="00C25AD7">
      <w:pPr>
        <w:pStyle w:val="ListBullet"/>
        <w:tabs>
          <w:tab w:val="clear" w:pos="284"/>
        </w:tabs>
        <w:spacing w:before="120"/>
        <w:rPr>
          <w:rFonts w:asciiTheme="minorHAnsi" w:eastAsiaTheme="minorHAnsi" w:hAnsiTheme="minorHAnsi" w:cstheme="minorBidi"/>
          <w:b/>
          <w:color w:val="44546A" w:themeColor="text2"/>
          <w:sz w:val="22"/>
          <w:szCs w:val="22"/>
          <w:lang w:val="en-GB" w:eastAsia="en-US"/>
        </w:rPr>
      </w:pPr>
      <w:r>
        <w:rPr>
          <w:rFonts w:asciiTheme="minorHAnsi" w:eastAsiaTheme="minorHAnsi" w:hAnsiTheme="minorHAnsi" w:cstheme="minorBidi"/>
          <w:b/>
          <w:color w:val="44546A" w:themeColor="text2"/>
          <w:sz w:val="22"/>
          <w:szCs w:val="22"/>
          <w:lang w:val="en-GB" w:eastAsia="en-US"/>
        </w:rPr>
        <w:t xml:space="preserve">Labour Mobility and remittances </w:t>
      </w:r>
    </w:p>
    <w:p w:rsidR="00C25AD7" w:rsidRPr="006E19A2" w:rsidRDefault="00C25AD7" w:rsidP="00C25AD7">
      <w:r w:rsidRPr="006E19A2">
        <w:t xml:space="preserve">DFAT's support for labour mobility in the Pacific </w:t>
      </w:r>
      <w:r>
        <w:t>(</w:t>
      </w:r>
      <w:r w:rsidRPr="006E19A2">
        <w:t>and Timor Leste</w:t>
      </w:r>
      <w:r>
        <w:t>)</w:t>
      </w:r>
      <w:r w:rsidRPr="006E19A2">
        <w:t xml:space="preserve"> is helping tackle high rates of youth unemployment, creating incentives for local investment in education and skills development, and significantly increasing incomes and remittance flows to the region.</w:t>
      </w:r>
      <w:r>
        <w:rPr>
          <w:rStyle w:val="FootnoteReference"/>
        </w:rPr>
        <w:footnoteReference w:id="15"/>
      </w:r>
      <w:r w:rsidRPr="006E19A2">
        <w:t xml:space="preserve"> </w:t>
      </w:r>
    </w:p>
    <w:p w:rsidR="00C25AD7" w:rsidRPr="006E19A2" w:rsidRDefault="00C25AD7" w:rsidP="00C25AD7">
      <w:r w:rsidRPr="006E19A2">
        <w:t xml:space="preserve">DFAT’s Labour Mobility Assistance Programme (LMAP) helps workers from the Pacific islands and Timor-Leste benefit from Australia's Seasonal Worker Programme (SWP), led by the Department of Employment. The focus on DFAT’s investments in 2016-17 was on improving worker preparedness, increasing the development impact of earnings, and undertaking research on the social and economic impacts of seasonal work to inform future policy development and the management of labour mobility. </w:t>
      </w:r>
      <w:r w:rsidRPr="000F49EF">
        <w:t>With LMAP support for management of workers and pre-departure briefings, Tonga was able to continue sending over 2600 workers per year, the highest of any participating country. However, this high participation rate also created implementation issues for employers, varying quality of pre-departure briefing and insufficient support for workers to successfully reintegrate at home</w:t>
      </w:r>
      <w:r>
        <w:t>.</w:t>
      </w:r>
    </w:p>
    <w:p w:rsidR="00C25AD7" w:rsidRPr="006E19A2" w:rsidRDefault="00C25AD7" w:rsidP="00C25AD7">
      <w:r w:rsidRPr="006E19A2">
        <w:t>To maximise the development impact of workers</w:t>
      </w:r>
      <w:r>
        <w:t>’</w:t>
      </w:r>
      <w:r w:rsidRPr="006E19A2">
        <w:t xml:space="preserve"> earnings through the SWP, DFAT </w:t>
      </w:r>
      <w:r>
        <w:t>funds</w:t>
      </w:r>
      <w:r w:rsidRPr="006E19A2">
        <w:t xml:space="preserve"> the Pacific Financial Inclusion Program to </w:t>
      </w:r>
      <w:r>
        <w:t>support</w:t>
      </w:r>
      <w:r w:rsidRPr="006E19A2">
        <w:t xml:space="preserve"> workers to </w:t>
      </w:r>
      <w:r>
        <w:t>better</w:t>
      </w:r>
      <w:r w:rsidRPr="006E19A2">
        <w:t xml:space="preserve"> </w:t>
      </w:r>
      <w:r>
        <w:t xml:space="preserve">manage and </w:t>
      </w:r>
      <w:r w:rsidRPr="006E19A2">
        <w:t xml:space="preserve">use their savings productively, and Send Money Pacific to reduce the cost of remittances.  </w:t>
      </w:r>
    </w:p>
    <w:p w:rsidR="00C25AD7" w:rsidRPr="006E19A2" w:rsidRDefault="00C25AD7" w:rsidP="00C25AD7">
      <w:r w:rsidRPr="006E19A2">
        <w:t xml:space="preserve">The Northern Australia Worker Pilot Program commenced in May 2016. It will bring up to 250 workers from Kiribati, Nauru and Tuvalu to work in Northern Australia for 2-3 years in low and semi-skilled occupations. The workers for the Pilot are drawn from a range of education facilities, including the </w:t>
      </w:r>
      <w:r>
        <w:t xml:space="preserve">APTC </w:t>
      </w:r>
      <w:r w:rsidRPr="006E19A2">
        <w:t>and supported by pastoral care arrangements in Australia.</w:t>
      </w:r>
    </w:p>
    <w:p w:rsidR="00C25AD7" w:rsidRPr="005B344B" w:rsidRDefault="00C25AD7" w:rsidP="00C25AD7">
      <w:pPr>
        <w:pStyle w:val="ListBullet"/>
        <w:tabs>
          <w:tab w:val="clear" w:pos="284"/>
        </w:tabs>
        <w:spacing w:before="120"/>
        <w:rPr>
          <w:rFonts w:asciiTheme="minorHAnsi" w:eastAsiaTheme="minorHAnsi" w:hAnsiTheme="minorHAnsi" w:cstheme="minorBidi"/>
          <w:b/>
          <w:color w:val="44546A" w:themeColor="text2"/>
          <w:sz w:val="22"/>
          <w:szCs w:val="22"/>
          <w:lang w:val="en-GB" w:eastAsia="en-US"/>
        </w:rPr>
      </w:pPr>
      <w:r>
        <w:rPr>
          <w:rFonts w:asciiTheme="minorHAnsi" w:eastAsiaTheme="minorHAnsi" w:hAnsiTheme="minorHAnsi" w:cstheme="minorBidi"/>
          <w:b/>
          <w:color w:val="44546A" w:themeColor="text2"/>
          <w:sz w:val="22"/>
          <w:szCs w:val="22"/>
          <w:lang w:val="en-GB" w:eastAsia="en-US"/>
        </w:rPr>
        <w:t>K</w:t>
      </w:r>
      <w:r w:rsidRPr="005B344B">
        <w:rPr>
          <w:rFonts w:asciiTheme="minorHAnsi" w:eastAsiaTheme="minorHAnsi" w:hAnsiTheme="minorHAnsi" w:cstheme="minorBidi"/>
          <w:b/>
          <w:color w:val="44546A" w:themeColor="text2"/>
          <w:sz w:val="22"/>
          <w:szCs w:val="22"/>
          <w:lang w:val="en-GB" w:eastAsia="en-US"/>
        </w:rPr>
        <w:t>ey results</w:t>
      </w:r>
    </w:p>
    <w:p w:rsidR="00C25AD7" w:rsidRPr="00340A30" w:rsidRDefault="00C25AD7" w:rsidP="00C25AD7">
      <w:r w:rsidRPr="00340A30">
        <w:t>LMAP supports Labour Sending Units (LSUs) in participating countries to improve the preparedness and productivity of seasonal workers. In 2016-17, key achievements included:</w:t>
      </w:r>
    </w:p>
    <w:p w:rsidR="00C25AD7" w:rsidRPr="00340A30" w:rsidRDefault="00C25AD7" w:rsidP="00C25AD7">
      <w:pPr>
        <w:pStyle w:val="ListBullet"/>
        <w:numPr>
          <w:ilvl w:val="0"/>
          <w:numId w:val="14"/>
        </w:numPr>
        <w:tabs>
          <w:tab w:val="clear" w:pos="284"/>
          <w:tab w:val="left" w:pos="720"/>
        </w:tabs>
        <w:rPr>
          <w:rFonts w:asciiTheme="minorHAnsi" w:eastAsiaTheme="minorHAnsi" w:hAnsiTheme="minorHAnsi" w:cstheme="minorBidi"/>
          <w:color w:val="44546A" w:themeColor="text2"/>
          <w:sz w:val="22"/>
          <w:szCs w:val="22"/>
          <w:lang w:val="en-GB" w:eastAsia="en-US"/>
        </w:rPr>
      </w:pPr>
      <w:r w:rsidRPr="00340A30">
        <w:rPr>
          <w:rFonts w:asciiTheme="minorHAnsi" w:eastAsiaTheme="minorHAnsi" w:hAnsiTheme="minorHAnsi" w:cstheme="minorBidi"/>
          <w:color w:val="44546A" w:themeColor="text2"/>
          <w:sz w:val="22"/>
          <w:szCs w:val="22"/>
          <w:lang w:val="en-GB" w:eastAsia="en-US"/>
        </w:rPr>
        <w:t xml:space="preserve">contributing to the increase in participation in the SWP to 6,166 from 4,490 the previous year; the number of women increased from 623 to 890 in the same period; </w:t>
      </w:r>
    </w:p>
    <w:p w:rsidR="00C25AD7" w:rsidRPr="00340A30" w:rsidRDefault="00C25AD7" w:rsidP="00C25AD7">
      <w:pPr>
        <w:pStyle w:val="ListBullet"/>
        <w:numPr>
          <w:ilvl w:val="0"/>
          <w:numId w:val="14"/>
        </w:numPr>
        <w:tabs>
          <w:tab w:val="clear" w:pos="284"/>
          <w:tab w:val="left" w:pos="720"/>
        </w:tabs>
        <w:rPr>
          <w:rFonts w:asciiTheme="minorHAnsi" w:eastAsiaTheme="minorHAnsi" w:hAnsiTheme="minorHAnsi" w:cstheme="minorBidi"/>
          <w:color w:val="44546A" w:themeColor="text2"/>
          <w:sz w:val="22"/>
          <w:szCs w:val="22"/>
          <w:lang w:val="en-GB" w:eastAsia="en-US"/>
        </w:rPr>
      </w:pPr>
      <w:r w:rsidRPr="00340A30">
        <w:rPr>
          <w:rFonts w:asciiTheme="minorHAnsi" w:eastAsiaTheme="minorHAnsi" w:hAnsiTheme="minorHAnsi" w:cstheme="minorBidi"/>
          <w:color w:val="44546A" w:themeColor="text2"/>
          <w:sz w:val="22"/>
          <w:szCs w:val="22"/>
          <w:lang w:val="en-GB" w:eastAsia="en-US"/>
        </w:rPr>
        <w:t>enabl</w:t>
      </w:r>
      <w:r>
        <w:rPr>
          <w:rFonts w:asciiTheme="minorHAnsi" w:eastAsiaTheme="minorHAnsi" w:hAnsiTheme="minorHAnsi" w:cstheme="minorBidi"/>
          <w:color w:val="44546A" w:themeColor="text2"/>
          <w:sz w:val="22"/>
          <w:szCs w:val="22"/>
          <w:lang w:val="en-GB" w:eastAsia="en-US"/>
        </w:rPr>
        <w:t>ing</w:t>
      </w:r>
      <w:r w:rsidRPr="00340A30">
        <w:rPr>
          <w:rFonts w:asciiTheme="minorHAnsi" w:eastAsiaTheme="minorHAnsi" w:hAnsiTheme="minorHAnsi" w:cstheme="minorBidi"/>
          <w:color w:val="44546A" w:themeColor="text2"/>
          <w:sz w:val="22"/>
          <w:szCs w:val="22"/>
          <w:lang w:val="en-GB" w:eastAsia="en-US"/>
        </w:rPr>
        <w:t xml:space="preserve"> </w:t>
      </w:r>
      <w:r>
        <w:rPr>
          <w:rFonts w:asciiTheme="minorHAnsi" w:eastAsiaTheme="minorHAnsi" w:hAnsiTheme="minorHAnsi" w:cstheme="minorBidi"/>
          <w:color w:val="44546A" w:themeColor="text2"/>
          <w:sz w:val="22"/>
          <w:szCs w:val="22"/>
          <w:lang w:val="en-GB" w:eastAsia="en-US"/>
        </w:rPr>
        <w:t xml:space="preserve">the equivalent of </w:t>
      </w:r>
      <w:r w:rsidRPr="00340A30">
        <w:rPr>
          <w:rFonts w:asciiTheme="minorHAnsi" w:eastAsiaTheme="minorHAnsi" w:hAnsiTheme="minorHAnsi" w:cstheme="minorBidi"/>
          <w:color w:val="44546A" w:themeColor="text2"/>
          <w:sz w:val="22"/>
          <w:szCs w:val="22"/>
          <w:lang w:val="en-GB" w:eastAsia="en-US"/>
        </w:rPr>
        <w:t>$30 million in remittances to the Pacific in 2016</w:t>
      </w:r>
      <w:r>
        <w:rPr>
          <w:rFonts w:asciiTheme="minorHAnsi" w:eastAsiaTheme="minorHAnsi" w:hAnsiTheme="minorHAnsi" w:cstheme="minorBidi"/>
          <w:color w:val="44546A" w:themeColor="text2"/>
          <w:sz w:val="22"/>
          <w:szCs w:val="22"/>
          <w:lang w:val="en-GB" w:eastAsia="en-US"/>
        </w:rPr>
        <w:t>-</w:t>
      </w:r>
      <w:r w:rsidRPr="00340A30">
        <w:rPr>
          <w:rFonts w:asciiTheme="minorHAnsi" w:eastAsiaTheme="minorHAnsi" w:hAnsiTheme="minorHAnsi" w:cstheme="minorBidi"/>
          <w:color w:val="44546A" w:themeColor="text2"/>
          <w:sz w:val="22"/>
          <w:szCs w:val="22"/>
          <w:lang w:val="en-GB" w:eastAsia="en-US"/>
        </w:rPr>
        <w:t>17</w:t>
      </w:r>
      <w:r>
        <w:rPr>
          <w:rFonts w:asciiTheme="minorHAnsi" w:eastAsiaTheme="minorHAnsi" w:hAnsiTheme="minorHAnsi" w:cstheme="minorBidi"/>
          <w:color w:val="44546A" w:themeColor="text2"/>
          <w:sz w:val="22"/>
          <w:szCs w:val="22"/>
          <w:lang w:val="en-GB" w:eastAsia="en-US"/>
        </w:rPr>
        <w:t>, b</w:t>
      </w:r>
      <w:r w:rsidRPr="00340A30">
        <w:rPr>
          <w:rFonts w:asciiTheme="minorHAnsi" w:eastAsiaTheme="minorHAnsi" w:hAnsiTheme="minorHAnsi" w:cstheme="minorBidi"/>
          <w:color w:val="44546A" w:themeColor="text2"/>
          <w:sz w:val="22"/>
          <w:szCs w:val="22"/>
          <w:lang w:val="en-GB" w:eastAsia="en-US"/>
        </w:rPr>
        <w:t>ased on World Bank estimates of an average of $50</w:t>
      </w:r>
      <w:r>
        <w:rPr>
          <w:rFonts w:asciiTheme="minorHAnsi" w:eastAsiaTheme="minorHAnsi" w:hAnsiTheme="minorHAnsi" w:cstheme="minorBidi"/>
          <w:color w:val="44546A" w:themeColor="text2"/>
          <w:sz w:val="22"/>
          <w:szCs w:val="22"/>
          <w:lang w:val="en-GB" w:eastAsia="en-US"/>
        </w:rPr>
        <w:t>00 remitted per worker per year</w:t>
      </w:r>
      <w:r w:rsidRPr="00340A30">
        <w:rPr>
          <w:rFonts w:asciiTheme="minorHAnsi" w:eastAsiaTheme="minorHAnsi" w:hAnsiTheme="minorHAnsi" w:cstheme="minorBidi"/>
          <w:color w:val="44546A" w:themeColor="text2"/>
          <w:sz w:val="22"/>
          <w:szCs w:val="22"/>
          <w:lang w:val="en-GB" w:eastAsia="en-US"/>
        </w:rPr>
        <w:t>;</w:t>
      </w:r>
    </w:p>
    <w:p w:rsidR="00C25AD7" w:rsidRPr="00340A30" w:rsidRDefault="00C25AD7" w:rsidP="00C25AD7">
      <w:pPr>
        <w:pStyle w:val="ListBullet"/>
        <w:numPr>
          <w:ilvl w:val="0"/>
          <w:numId w:val="14"/>
        </w:numPr>
        <w:tabs>
          <w:tab w:val="clear" w:pos="284"/>
          <w:tab w:val="left" w:pos="720"/>
        </w:tabs>
        <w:rPr>
          <w:rFonts w:asciiTheme="minorHAnsi" w:eastAsiaTheme="minorHAnsi" w:hAnsiTheme="minorHAnsi" w:cstheme="minorBidi"/>
          <w:color w:val="44546A" w:themeColor="text2"/>
          <w:sz w:val="22"/>
          <w:szCs w:val="22"/>
          <w:lang w:val="en-GB" w:eastAsia="en-US"/>
        </w:rPr>
      </w:pPr>
      <w:r w:rsidRPr="00340A30">
        <w:rPr>
          <w:rFonts w:asciiTheme="minorHAnsi" w:eastAsiaTheme="minorHAnsi" w:hAnsiTheme="minorHAnsi" w:cstheme="minorBidi"/>
          <w:color w:val="44546A" w:themeColor="text2"/>
          <w:sz w:val="22"/>
          <w:szCs w:val="22"/>
          <w:lang w:val="en-GB" w:eastAsia="en-US"/>
        </w:rPr>
        <w:t xml:space="preserve">support for marketing to </w:t>
      </w:r>
      <w:r>
        <w:rPr>
          <w:rFonts w:asciiTheme="minorHAnsi" w:eastAsiaTheme="minorHAnsi" w:hAnsiTheme="minorHAnsi" w:cstheme="minorBidi"/>
          <w:color w:val="44546A" w:themeColor="text2"/>
          <w:sz w:val="22"/>
          <w:szCs w:val="22"/>
          <w:lang w:val="en-GB" w:eastAsia="en-US"/>
        </w:rPr>
        <w:t>grow</w:t>
      </w:r>
      <w:r w:rsidRPr="00340A30">
        <w:rPr>
          <w:rFonts w:asciiTheme="minorHAnsi" w:eastAsiaTheme="minorHAnsi" w:hAnsiTheme="minorHAnsi" w:cstheme="minorBidi"/>
          <w:color w:val="44546A" w:themeColor="text2"/>
          <w:sz w:val="22"/>
          <w:szCs w:val="22"/>
          <w:lang w:val="en-GB" w:eastAsia="en-US"/>
        </w:rPr>
        <w:t xml:space="preserve"> demand for seasonal workers helped </w:t>
      </w:r>
      <w:r>
        <w:rPr>
          <w:rFonts w:asciiTheme="minorHAnsi" w:eastAsiaTheme="minorHAnsi" w:hAnsiTheme="minorHAnsi" w:cstheme="minorBidi"/>
          <w:color w:val="44546A" w:themeColor="text2"/>
          <w:sz w:val="22"/>
          <w:szCs w:val="22"/>
          <w:lang w:val="en-GB" w:eastAsia="en-US"/>
        </w:rPr>
        <w:t>expand</w:t>
      </w:r>
      <w:r w:rsidRPr="00340A30">
        <w:rPr>
          <w:rFonts w:asciiTheme="minorHAnsi" w:eastAsiaTheme="minorHAnsi" w:hAnsiTheme="minorHAnsi" w:cstheme="minorBidi"/>
          <w:color w:val="44546A" w:themeColor="text2"/>
          <w:sz w:val="22"/>
          <w:szCs w:val="22"/>
          <w:lang w:val="en-GB" w:eastAsia="en-US"/>
        </w:rPr>
        <w:t xml:space="preserve"> the number of ni-Vanuatu seasonal workers by 79 per cent to 2</w:t>
      </w:r>
      <w:r>
        <w:rPr>
          <w:rFonts w:asciiTheme="minorHAnsi" w:eastAsiaTheme="minorHAnsi" w:hAnsiTheme="minorHAnsi" w:cstheme="minorBidi"/>
          <w:color w:val="44546A" w:themeColor="text2"/>
          <w:sz w:val="22"/>
          <w:szCs w:val="22"/>
          <w:lang w:val="en-GB" w:eastAsia="en-US"/>
        </w:rPr>
        <w:t>,</w:t>
      </w:r>
      <w:r w:rsidRPr="00340A30">
        <w:rPr>
          <w:rFonts w:asciiTheme="minorHAnsi" w:eastAsiaTheme="minorHAnsi" w:hAnsiTheme="minorHAnsi" w:cstheme="minorBidi"/>
          <w:color w:val="44546A" w:themeColor="text2"/>
          <w:sz w:val="22"/>
          <w:szCs w:val="22"/>
          <w:lang w:val="en-GB" w:eastAsia="en-US"/>
        </w:rPr>
        <w:t>150</w:t>
      </w:r>
      <w:r w:rsidRPr="006A08BF">
        <w:rPr>
          <w:rFonts w:asciiTheme="minorHAnsi" w:eastAsiaTheme="minorHAnsi" w:hAnsiTheme="minorHAnsi" w:cstheme="minorBidi"/>
          <w:color w:val="44546A" w:themeColor="text2"/>
          <w:sz w:val="22"/>
          <w:szCs w:val="22"/>
          <w:lang w:val="en-GB" w:eastAsia="en-US"/>
        </w:rPr>
        <w:t>, up from 1,198 in 2015</w:t>
      </w:r>
      <w:r>
        <w:rPr>
          <w:rFonts w:asciiTheme="minorHAnsi" w:eastAsiaTheme="minorHAnsi" w:hAnsiTheme="minorHAnsi" w:cstheme="minorBidi"/>
          <w:color w:val="44546A" w:themeColor="text2"/>
          <w:sz w:val="22"/>
          <w:szCs w:val="22"/>
          <w:lang w:val="en-GB" w:eastAsia="en-US"/>
        </w:rPr>
        <w:t>-</w:t>
      </w:r>
      <w:r w:rsidRPr="006A08BF">
        <w:rPr>
          <w:rFonts w:asciiTheme="minorHAnsi" w:eastAsiaTheme="minorHAnsi" w:hAnsiTheme="minorHAnsi" w:cstheme="minorBidi"/>
          <w:color w:val="44546A" w:themeColor="text2"/>
          <w:sz w:val="22"/>
          <w:szCs w:val="22"/>
          <w:lang w:val="en-GB" w:eastAsia="en-US"/>
        </w:rPr>
        <w:t>16</w:t>
      </w:r>
      <w:r w:rsidRPr="00340A30">
        <w:rPr>
          <w:rFonts w:asciiTheme="minorHAnsi" w:eastAsiaTheme="minorHAnsi" w:hAnsiTheme="minorHAnsi" w:cstheme="minorBidi"/>
          <w:color w:val="44546A" w:themeColor="text2"/>
          <w:sz w:val="22"/>
          <w:szCs w:val="22"/>
          <w:lang w:val="en-GB" w:eastAsia="en-US"/>
        </w:rPr>
        <w:t>;</w:t>
      </w:r>
    </w:p>
    <w:p w:rsidR="00C25AD7" w:rsidRPr="00340A30" w:rsidRDefault="00C25AD7" w:rsidP="00C25AD7">
      <w:pPr>
        <w:pStyle w:val="ListBullet"/>
        <w:numPr>
          <w:ilvl w:val="0"/>
          <w:numId w:val="14"/>
        </w:numPr>
        <w:tabs>
          <w:tab w:val="clear" w:pos="284"/>
          <w:tab w:val="left" w:pos="720"/>
        </w:tabs>
        <w:rPr>
          <w:rFonts w:asciiTheme="minorHAnsi" w:eastAsiaTheme="minorHAnsi" w:hAnsiTheme="minorHAnsi" w:cstheme="minorBidi"/>
          <w:color w:val="44546A" w:themeColor="text2"/>
          <w:sz w:val="22"/>
          <w:szCs w:val="22"/>
          <w:lang w:val="en-GB" w:eastAsia="en-US"/>
        </w:rPr>
      </w:pPr>
      <w:r w:rsidRPr="00340A30">
        <w:rPr>
          <w:rFonts w:asciiTheme="minorHAnsi" w:eastAsiaTheme="minorHAnsi" w:hAnsiTheme="minorHAnsi" w:cstheme="minorBidi"/>
          <w:color w:val="44546A" w:themeColor="text2"/>
          <w:sz w:val="22"/>
          <w:szCs w:val="22"/>
          <w:lang w:val="en-GB" w:eastAsia="en-US"/>
        </w:rPr>
        <w:t>develop</w:t>
      </w:r>
      <w:r>
        <w:rPr>
          <w:rFonts w:asciiTheme="minorHAnsi" w:eastAsiaTheme="minorHAnsi" w:hAnsiTheme="minorHAnsi" w:cstheme="minorBidi"/>
          <w:color w:val="44546A" w:themeColor="text2"/>
          <w:sz w:val="22"/>
          <w:szCs w:val="22"/>
          <w:lang w:val="en-GB" w:eastAsia="en-US"/>
        </w:rPr>
        <w:t xml:space="preserve">ing </w:t>
      </w:r>
      <w:r w:rsidRPr="00340A30">
        <w:rPr>
          <w:rFonts w:asciiTheme="minorHAnsi" w:eastAsiaTheme="minorHAnsi" w:hAnsiTheme="minorHAnsi" w:cstheme="minorBidi"/>
          <w:color w:val="44546A" w:themeColor="text2"/>
          <w:sz w:val="22"/>
          <w:szCs w:val="22"/>
          <w:lang w:val="en-GB" w:eastAsia="en-US"/>
        </w:rPr>
        <w:t>country specific marketing plans, implementing more transparent and objective selection screening processes, new or improved pre-departure briefing content, financial literacy training, and a pilot re-integration workshop for returning seasonal workers;</w:t>
      </w:r>
    </w:p>
    <w:p w:rsidR="00C25AD7" w:rsidRPr="00340A30" w:rsidRDefault="00C25AD7" w:rsidP="00C25AD7">
      <w:pPr>
        <w:pStyle w:val="ListBullet"/>
        <w:numPr>
          <w:ilvl w:val="0"/>
          <w:numId w:val="14"/>
        </w:numPr>
        <w:tabs>
          <w:tab w:val="clear" w:pos="284"/>
          <w:tab w:val="left" w:pos="720"/>
        </w:tabs>
        <w:rPr>
          <w:rFonts w:asciiTheme="minorHAnsi" w:eastAsiaTheme="minorHAnsi" w:hAnsiTheme="minorHAnsi" w:cstheme="minorBidi"/>
          <w:color w:val="44546A" w:themeColor="text2"/>
          <w:sz w:val="22"/>
          <w:szCs w:val="22"/>
          <w:lang w:val="en-GB" w:eastAsia="en-US"/>
        </w:rPr>
      </w:pPr>
      <w:r w:rsidRPr="00340A30">
        <w:rPr>
          <w:rFonts w:asciiTheme="minorHAnsi" w:eastAsiaTheme="minorHAnsi" w:hAnsiTheme="minorHAnsi" w:cstheme="minorBidi"/>
          <w:color w:val="44546A" w:themeColor="text2"/>
          <w:sz w:val="22"/>
          <w:szCs w:val="22"/>
          <w:lang w:val="en-GB" w:eastAsia="en-US"/>
        </w:rPr>
        <w:lastRenderedPageBreak/>
        <w:t>recognising the limited participation of women and people with disability in the SWP, pilot programs targeting Women in Agriculture (PNG) and Benefitting People with Disabilities (Vanuatu) commenced and are actively seeking participants; and</w:t>
      </w:r>
    </w:p>
    <w:p w:rsidR="00C25AD7" w:rsidRPr="00340A30" w:rsidRDefault="00C25AD7" w:rsidP="00C25AD7">
      <w:pPr>
        <w:pStyle w:val="ListBullet"/>
        <w:numPr>
          <w:ilvl w:val="0"/>
          <w:numId w:val="14"/>
        </w:numPr>
        <w:tabs>
          <w:tab w:val="clear" w:pos="284"/>
          <w:tab w:val="left" w:pos="720"/>
        </w:tabs>
        <w:rPr>
          <w:rFonts w:asciiTheme="minorHAnsi" w:eastAsiaTheme="minorHAnsi" w:hAnsiTheme="minorHAnsi" w:cstheme="minorBidi"/>
          <w:color w:val="44546A" w:themeColor="text2"/>
          <w:sz w:val="22"/>
          <w:szCs w:val="22"/>
          <w:lang w:val="en-GB" w:eastAsia="en-US"/>
        </w:rPr>
      </w:pPr>
      <w:r>
        <w:rPr>
          <w:rFonts w:asciiTheme="minorHAnsi" w:eastAsiaTheme="minorHAnsi" w:hAnsiTheme="minorHAnsi" w:cstheme="minorBidi"/>
          <w:color w:val="44546A" w:themeColor="text2"/>
          <w:sz w:val="22"/>
          <w:szCs w:val="22"/>
          <w:lang w:val="en-GB" w:eastAsia="en-US"/>
        </w:rPr>
        <w:t>c</w:t>
      </w:r>
      <w:r w:rsidRPr="00340A30">
        <w:rPr>
          <w:rFonts w:asciiTheme="minorHAnsi" w:eastAsiaTheme="minorHAnsi" w:hAnsiTheme="minorHAnsi" w:cstheme="minorBidi"/>
          <w:color w:val="44546A" w:themeColor="text2"/>
          <w:sz w:val="22"/>
          <w:szCs w:val="22"/>
          <w:lang w:val="en-GB" w:eastAsia="en-US"/>
        </w:rPr>
        <w:t xml:space="preserve">ommissioning tracer studies to understand the impact of the SWP on communities in PNG, Timor Leste and Vanuatu. 176 workers were interviewed and found overwhelmingly positive impacts of the SWP on home communities. The studies recorded high levels of satisfaction with the program </w:t>
      </w:r>
      <w:r>
        <w:rPr>
          <w:rFonts w:asciiTheme="minorHAnsi" w:eastAsiaTheme="minorHAnsi" w:hAnsiTheme="minorHAnsi" w:cstheme="minorBidi"/>
          <w:color w:val="44546A" w:themeColor="text2"/>
          <w:sz w:val="22"/>
          <w:szCs w:val="22"/>
          <w:lang w:val="en-GB" w:eastAsia="en-US"/>
        </w:rPr>
        <w:t xml:space="preserve">and </w:t>
      </w:r>
      <w:r w:rsidRPr="00340A30">
        <w:rPr>
          <w:rFonts w:asciiTheme="minorHAnsi" w:eastAsiaTheme="minorHAnsi" w:hAnsiTheme="minorHAnsi" w:cstheme="minorBidi"/>
          <w:color w:val="44546A" w:themeColor="text2"/>
          <w:sz w:val="22"/>
          <w:szCs w:val="22"/>
          <w:lang w:val="en-GB" w:eastAsia="en-US"/>
        </w:rPr>
        <w:t xml:space="preserve">perceptions that skills learned in Australia would be of use at home. </w:t>
      </w:r>
    </w:p>
    <w:p w:rsidR="00C25AD7" w:rsidRPr="00340A30" w:rsidRDefault="00C25AD7" w:rsidP="00C25AD7">
      <w:r w:rsidRPr="00340A30">
        <w:t xml:space="preserve">DFAT led international engagement with sending countries to enable the commencement of the Northern Australia Worker Pilot program. Key achievements included: </w:t>
      </w:r>
    </w:p>
    <w:p w:rsidR="00C25AD7" w:rsidRPr="00340A30" w:rsidRDefault="00C25AD7" w:rsidP="00C25AD7">
      <w:pPr>
        <w:pStyle w:val="ListBullet"/>
        <w:numPr>
          <w:ilvl w:val="0"/>
          <w:numId w:val="14"/>
        </w:numPr>
        <w:tabs>
          <w:tab w:val="clear" w:pos="284"/>
          <w:tab w:val="left" w:pos="720"/>
        </w:tabs>
        <w:rPr>
          <w:rFonts w:asciiTheme="minorHAnsi" w:eastAsiaTheme="minorHAnsi" w:hAnsiTheme="minorHAnsi" w:cstheme="minorBidi"/>
          <w:color w:val="44546A" w:themeColor="text2"/>
          <w:sz w:val="22"/>
          <w:szCs w:val="22"/>
          <w:lang w:val="en-GB" w:eastAsia="en-US"/>
        </w:rPr>
      </w:pPr>
      <w:r w:rsidRPr="00340A30">
        <w:rPr>
          <w:rFonts w:asciiTheme="minorHAnsi" w:eastAsiaTheme="minorHAnsi" w:hAnsiTheme="minorHAnsi" w:cstheme="minorBidi"/>
          <w:color w:val="44546A" w:themeColor="text2"/>
          <w:sz w:val="22"/>
          <w:szCs w:val="22"/>
          <w:lang w:val="en-GB" w:eastAsia="en-US"/>
        </w:rPr>
        <w:t>entering Memorandums of Understanding with the Governments of Kiribati, Tuvalu and Nauru;</w:t>
      </w:r>
    </w:p>
    <w:p w:rsidR="00C25AD7" w:rsidRPr="00340A30" w:rsidRDefault="00C25AD7" w:rsidP="00C25AD7">
      <w:pPr>
        <w:pStyle w:val="ListBullet"/>
        <w:numPr>
          <w:ilvl w:val="0"/>
          <w:numId w:val="14"/>
        </w:numPr>
        <w:tabs>
          <w:tab w:val="clear" w:pos="284"/>
          <w:tab w:val="left" w:pos="720"/>
        </w:tabs>
        <w:rPr>
          <w:rFonts w:asciiTheme="minorHAnsi" w:eastAsiaTheme="minorHAnsi" w:hAnsiTheme="minorHAnsi" w:cstheme="minorBidi"/>
          <w:color w:val="44546A" w:themeColor="text2"/>
          <w:sz w:val="22"/>
          <w:szCs w:val="22"/>
          <w:lang w:val="en-GB" w:eastAsia="en-US"/>
        </w:rPr>
      </w:pPr>
      <w:r>
        <w:rPr>
          <w:rFonts w:asciiTheme="minorHAnsi" w:eastAsiaTheme="minorHAnsi" w:hAnsiTheme="minorHAnsi" w:cstheme="minorBidi"/>
          <w:color w:val="44546A" w:themeColor="text2"/>
          <w:sz w:val="22"/>
          <w:szCs w:val="22"/>
          <w:lang w:val="en-GB" w:eastAsia="en-US"/>
        </w:rPr>
        <w:t>t</w:t>
      </w:r>
      <w:r w:rsidRPr="00340A30">
        <w:rPr>
          <w:rFonts w:asciiTheme="minorHAnsi" w:eastAsiaTheme="minorHAnsi" w:hAnsiTheme="minorHAnsi" w:cstheme="minorBidi"/>
          <w:color w:val="44546A" w:themeColor="text2"/>
          <w:sz w:val="22"/>
          <w:szCs w:val="22"/>
          <w:lang w:val="en-GB" w:eastAsia="en-US"/>
        </w:rPr>
        <w:t>wo tourism and hospitality industry employer</w:t>
      </w:r>
      <w:r>
        <w:rPr>
          <w:rFonts w:asciiTheme="minorHAnsi" w:eastAsiaTheme="minorHAnsi" w:hAnsiTheme="minorHAnsi" w:cstheme="minorBidi"/>
          <w:color w:val="44546A" w:themeColor="text2"/>
          <w:sz w:val="22"/>
          <w:szCs w:val="22"/>
          <w:lang w:val="en-GB" w:eastAsia="en-US"/>
        </w:rPr>
        <w:t>s in Northern Queensland are</w:t>
      </w:r>
      <w:r w:rsidRPr="00340A30">
        <w:rPr>
          <w:rFonts w:asciiTheme="minorHAnsi" w:eastAsiaTheme="minorHAnsi" w:hAnsiTheme="minorHAnsi" w:cstheme="minorBidi"/>
          <w:color w:val="44546A" w:themeColor="text2"/>
          <w:sz w:val="22"/>
          <w:szCs w:val="22"/>
          <w:lang w:val="en-GB" w:eastAsia="en-US"/>
        </w:rPr>
        <w:t xml:space="preserve"> approved employers for the pilot and collectively employ 3</w:t>
      </w:r>
      <w:r>
        <w:rPr>
          <w:rFonts w:asciiTheme="minorHAnsi" w:eastAsiaTheme="minorHAnsi" w:hAnsiTheme="minorHAnsi" w:cstheme="minorBidi"/>
          <w:color w:val="44546A" w:themeColor="text2"/>
          <w:sz w:val="22"/>
          <w:szCs w:val="22"/>
          <w:lang w:val="en-GB" w:eastAsia="en-US"/>
        </w:rPr>
        <w:t>2</w:t>
      </w:r>
      <w:r w:rsidRPr="00340A30">
        <w:rPr>
          <w:rFonts w:asciiTheme="minorHAnsi" w:eastAsiaTheme="minorHAnsi" w:hAnsiTheme="minorHAnsi" w:cstheme="minorBidi"/>
          <w:color w:val="44546A" w:themeColor="text2"/>
          <w:sz w:val="22"/>
          <w:szCs w:val="22"/>
          <w:lang w:val="en-GB" w:eastAsia="en-US"/>
        </w:rPr>
        <w:t xml:space="preserve"> workers</w:t>
      </w:r>
      <w:r>
        <w:rPr>
          <w:rFonts w:asciiTheme="minorHAnsi" w:eastAsiaTheme="minorHAnsi" w:hAnsiTheme="minorHAnsi" w:cstheme="minorBidi"/>
          <w:color w:val="44546A" w:themeColor="text2"/>
          <w:sz w:val="22"/>
          <w:szCs w:val="22"/>
          <w:lang w:val="en-GB" w:eastAsia="en-US"/>
        </w:rPr>
        <w:t>, of which 76 per cent are women</w:t>
      </w:r>
      <w:r w:rsidRPr="00340A30">
        <w:rPr>
          <w:rFonts w:asciiTheme="minorHAnsi" w:eastAsiaTheme="minorHAnsi" w:hAnsiTheme="minorHAnsi" w:cstheme="minorBidi"/>
          <w:color w:val="44546A" w:themeColor="text2"/>
          <w:sz w:val="22"/>
          <w:szCs w:val="22"/>
          <w:lang w:val="en-GB" w:eastAsia="en-US"/>
        </w:rPr>
        <w:t xml:space="preserve">; </w:t>
      </w:r>
    </w:p>
    <w:p w:rsidR="00C25AD7" w:rsidRPr="00340A30" w:rsidRDefault="00C25AD7" w:rsidP="00C25AD7">
      <w:pPr>
        <w:pStyle w:val="ListBullet"/>
        <w:numPr>
          <w:ilvl w:val="0"/>
          <w:numId w:val="14"/>
        </w:numPr>
        <w:tabs>
          <w:tab w:val="clear" w:pos="284"/>
          <w:tab w:val="left" w:pos="720"/>
        </w:tabs>
        <w:rPr>
          <w:rFonts w:asciiTheme="minorHAnsi" w:eastAsiaTheme="minorHAnsi" w:hAnsiTheme="minorHAnsi" w:cstheme="minorBidi"/>
          <w:color w:val="44546A" w:themeColor="text2"/>
          <w:sz w:val="22"/>
          <w:szCs w:val="22"/>
          <w:lang w:val="en-GB" w:eastAsia="en-US"/>
        </w:rPr>
      </w:pPr>
      <w:r>
        <w:rPr>
          <w:rFonts w:asciiTheme="minorHAnsi" w:eastAsiaTheme="minorHAnsi" w:hAnsiTheme="minorHAnsi" w:cstheme="minorBidi"/>
          <w:color w:val="44546A" w:themeColor="text2"/>
          <w:sz w:val="22"/>
          <w:szCs w:val="22"/>
          <w:lang w:val="en-GB" w:eastAsia="en-US"/>
        </w:rPr>
        <w:t>w</w:t>
      </w:r>
      <w:r w:rsidRPr="00340A30">
        <w:rPr>
          <w:rFonts w:asciiTheme="minorHAnsi" w:eastAsiaTheme="minorHAnsi" w:hAnsiTheme="minorHAnsi" w:cstheme="minorBidi"/>
          <w:color w:val="44546A" w:themeColor="text2"/>
          <w:sz w:val="22"/>
          <w:szCs w:val="22"/>
          <w:lang w:val="en-GB" w:eastAsia="en-US"/>
        </w:rPr>
        <w:t xml:space="preserve">orkers received DFAT funded pre-departure and on-arrival assistance to enable a successful transition to working life in Australia. </w:t>
      </w:r>
    </w:p>
    <w:p w:rsidR="00C25AD7" w:rsidRDefault="00C25AD7" w:rsidP="00C25AD7">
      <w:pPr>
        <w:pStyle w:val="ListBullet"/>
        <w:tabs>
          <w:tab w:val="clear" w:pos="284"/>
        </w:tabs>
        <w:spacing w:before="120"/>
        <w:rPr>
          <w:rFonts w:asciiTheme="minorHAnsi" w:eastAsiaTheme="minorHAnsi" w:hAnsiTheme="minorHAnsi" w:cstheme="minorBidi"/>
          <w:b/>
          <w:color w:val="44546A" w:themeColor="text2"/>
          <w:sz w:val="22"/>
          <w:szCs w:val="22"/>
          <w:lang w:val="en-GB" w:eastAsia="en-US"/>
        </w:rPr>
      </w:pPr>
      <w:r>
        <w:rPr>
          <w:rFonts w:asciiTheme="minorHAnsi" w:eastAsiaTheme="minorHAnsi" w:hAnsiTheme="minorHAnsi" w:cstheme="minorBidi"/>
          <w:b/>
          <w:color w:val="44546A" w:themeColor="text2"/>
          <w:sz w:val="22"/>
          <w:szCs w:val="22"/>
          <w:lang w:val="en-GB" w:eastAsia="en-US"/>
        </w:rPr>
        <w:t>F</w:t>
      </w:r>
      <w:r w:rsidRPr="005B344B">
        <w:rPr>
          <w:rFonts w:asciiTheme="minorHAnsi" w:eastAsiaTheme="minorHAnsi" w:hAnsiTheme="minorHAnsi" w:cstheme="minorBidi"/>
          <w:b/>
          <w:color w:val="44546A" w:themeColor="text2"/>
          <w:sz w:val="22"/>
          <w:szCs w:val="22"/>
          <w:lang w:val="en-GB" w:eastAsia="en-US"/>
        </w:rPr>
        <w:t>actors affecting progress and future action</w:t>
      </w:r>
    </w:p>
    <w:p w:rsidR="00C25AD7" w:rsidRPr="00340A30" w:rsidRDefault="00C25AD7" w:rsidP="00C25AD7">
      <w:r>
        <w:t>More Australian employers have come on board in the SWP in 2016-17, however employers and industry continued to push for further streamlining of the Programme.</w:t>
      </w:r>
      <w:r>
        <w:rPr>
          <w:rStyle w:val="FootnoteReference"/>
        </w:rPr>
        <w:footnoteReference w:id="16"/>
      </w:r>
      <w:r>
        <w:t xml:space="preserve">  </w:t>
      </w:r>
    </w:p>
    <w:p w:rsidR="00C25AD7" w:rsidRDefault="00C25AD7" w:rsidP="00C25AD7">
      <w:r w:rsidRPr="00340A30">
        <w:t xml:space="preserve">Responding to individual country contexts has led to complex and differing implementation arrangements across the Pacific, which can be confusing for employers. However, </w:t>
      </w:r>
      <w:r>
        <w:t>trialling different</w:t>
      </w:r>
      <w:r w:rsidRPr="00340A30">
        <w:t xml:space="preserve"> approach</w:t>
      </w:r>
      <w:r>
        <w:t>es</w:t>
      </w:r>
      <w:r w:rsidRPr="00340A30">
        <w:t xml:space="preserve"> </w:t>
      </w:r>
      <w:r>
        <w:t xml:space="preserve">can </w:t>
      </w:r>
      <w:r w:rsidRPr="00340A30">
        <w:t xml:space="preserve">provide evidence on the effectiveness of different models and participating countries can learn from one another. For example, Solomon Islands recently outsourced its management of the work ready pool for workers to increase the involvement of the local private sector. </w:t>
      </w:r>
    </w:p>
    <w:p w:rsidR="00C25AD7" w:rsidRDefault="00C25AD7" w:rsidP="00C25AD7">
      <w:r>
        <w:t xml:space="preserve">Many sending countries have only made modest growth in sending seasonal workers, and even high labour-sending countries have identified the need to spread opportunities across provinces and districts to ensure benefits are equitably distributed.  </w:t>
      </w:r>
    </w:p>
    <w:p w:rsidR="00C25AD7" w:rsidRPr="00340A30" w:rsidRDefault="00C25AD7" w:rsidP="00C25AD7">
      <w:r>
        <w:t>LMAP made only limited progress in establishing a labour mobility information system in sending countries, due to challenges in developing common systems and aligning with New Zealand’s assistance in this area. In 2017-18, Australia and New Zealand will pilot a joint database in Kiribati to streamline our approaches.</w:t>
      </w:r>
    </w:p>
    <w:p w:rsidR="00C25AD7" w:rsidRPr="00340A30" w:rsidRDefault="00C25AD7" w:rsidP="00C25AD7">
      <w:r w:rsidRPr="00340A30">
        <w:t xml:space="preserve">Uptake of the Northern Australia Worker Pilot program was slower than expected as potential participants recovered from the impact of Tropical Cyclone Debbie. However, momentum has </w:t>
      </w:r>
      <w:r>
        <w:t xml:space="preserve">increased </w:t>
      </w:r>
      <w:r w:rsidRPr="00340A30">
        <w:t>with employers in the tourism and hospitality sector extending new offers of employment and employers in the fisheries industry looking to join the program. To boost dem</w:t>
      </w:r>
      <w:r>
        <w:t xml:space="preserve">and and better prepare workers, </w:t>
      </w:r>
      <w:r w:rsidRPr="00340A30">
        <w:t>DFAT is developing a tailored training package for prospective workers covering English language, customer service and soft skills. This will better prepare applicants and help meet employer expectations on the quality of workers available for employment.  </w:t>
      </w:r>
    </w:p>
    <w:p w:rsidR="00C25AD7" w:rsidRDefault="00C25AD7" w:rsidP="00C25AD7">
      <w:r w:rsidRPr="00340A30">
        <w:t>As part of Australia’s efforts to step</w:t>
      </w:r>
      <w:r>
        <w:t>-</w:t>
      </w:r>
      <w:r w:rsidRPr="00340A30">
        <w:t>up its Pacific engagement, the Northern Australia Worker Pilot is due to be replaced by a broader Pacific Labour Scheme (PLS).  Kiribati, Nauru and Tuvalu will retain priority access and from early 2018, access to the PLS will be progressively extended to other PICs.  Alongside the PLS, a new Pacific Labour Facility (PLF) will support the administration of the PLS and provide pastoral care services for Pa</w:t>
      </w:r>
      <w:r>
        <w:t>cific workers. The SWP will also</w:t>
      </w:r>
      <w:r w:rsidRPr="00340A30">
        <w:t xml:space="preserve"> be streamlined to increase uptake. </w:t>
      </w:r>
    </w:p>
    <w:p w:rsidR="00C25AD7" w:rsidRPr="00CB4D17" w:rsidRDefault="00C25AD7" w:rsidP="00C25AD7">
      <w:pPr>
        <w:pStyle w:val="ListBullet"/>
        <w:tabs>
          <w:tab w:val="clear" w:pos="284"/>
        </w:tabs>
        <w:spacing w:before="120"/>
        <w:rPr>
          <w:rFonts w:asciiTheme="minorHAnsi" w:eastAsiaTheme="minorHAnsi" w:hAnsiTheme="minorHAnsi" w:cstheme="minorBidi"/>
          <w:b/>
          <w:color w:val="44546A" w:themeColor="text2"/>
          <w:sz w:val="22"/>
          <w:szCs w:val="22"/>
          <w:lang w:val="en-GB" w:eastAsia="en-US"/>
        </w:rPr>
      </w:pPr>
      <w:r w:rsidRPr="00CB4D17">
        <w:rPr>
          <w:rFonts w:asciiTheme="minorHAnsi" w:eastAsiaTheme="minorHAnsi" w:hAnsiTheme="minorHAnsi" w:cstheme="minorBidi"/>
          <w:b/>
          <w:color w:val="44546A" w:themeColor="text2"/>
          <w:sz w:val="22"/>
          <w:szCs w:val="22"/>
          <w:lang w:val="en-GB" w:eastAsia="en-US"/>
        </w:rPr>
        <w:t>World Bank</w:t>
      </w:r>
      <w:r>
        <w:rPr>
          <w:rFonts w:asciiTheme="minorHAnsi" w:eastAsiaTheme="minorHAnsi" w:hAnsiTheme="minorHAnsi" w:cstheme="minorBidi"/>
          <w:b/>
          <w:color w:val="44546A" w:themeColor="text2"/>
          <w:sz w:val="22"/>
          <w:szCs w:val="22"/>
          <w:lang w:val="en-GB" w:eastAsia="en-US"/>
        </w:rPr>
        <w:t xml:space="preserve"> l</w:t>
      </w:r>
      <w:r w:rsidRPr="00CB4D17">
        <w:rPr>
          <w:rFonts w:asciiTheme="minorHAnsi" w:eastAsiaTheme="minorHAnsi" w:hAnsiTheme="minorHAnsi" w:cstheme="minorBidi"/>
          <w:b/>
          <w:color w:val="44546A" w:themeColor="text2"/>
          <w:sz w:val="22"/>
          <w:szCs w:val="22"/>
          <w:lang w:val="en-GB" w:eastAsia="en-US"/>
        </w:rPr>
        <w:t>everage</w:t>
      </w:r>
    </w:p>
    <w:p w:rsidR="00C25AD7" w:rsidRDefault="00C25AD7" w:rsidP="00C25AD7">
      <w:pPr>
        <w:rPr>
          <w:rFonts w:asciiTheme="majorHAnsi" w:eastAsiaTheme="majorEastAsia" w:hAnsiTheme="majorHAnsi" w:cstheme="majorBidi"/>
          <w:caps/>
          <w:sz w:val="38"/>
          <w:szCs w:val="26"/>
        </w:rPr>
      </w:pPr>
      <w:r>
        <w:t>DFAT, with New Zealand, has underpinned the World Bank’s Pacific footprint by supplement</w:t>
      </w:r>
      <w:r>
        <w:rPr>
          <w:color w:val="1F497D"/>
        </w:rPr>
        <w:t>ing</w:t>
      </w:r>
      <w:r>
        <w:t xml:space="preserve"> its operational and staffing budget </w:t>
      </w:r>
      <w:r w:rsidRPr="00BD10E8">
        <w:t>(ap</w:t>
      </w:r>
      <w:r>
        <w:t>proximately $5 million annually</w:t>
      </w:r>
      <w:r w:rsidRPr="00BD10E8">
        <w:t xml:space="preserve"> for the last 4 years) </w:t>
      </w:r>
      <w:r>
        <w:t xml:space="preserve">to </w:t>
      </w:r>
      <w:r w:rsidRPr="00BD10E8">
        <w:t xml:space="preserve">help expand </w:t>
      </w:r>
      <w:r>
        <w:t xml:space="preserve">its investment portfolio and undertake technical and analytical work. This supplementation has </w:t>
      </w:r>
      <w:r w:rsidRPr="003D3E9A">
        <w:t>enabled the Bank</w:t>
      </w:r>
      <w:r>
        <w:t xml:space="preserve"> to commit over $450 million in new investments thereby increasing </w:t>
      </w:r>
      <w:r w:rsidRPr="003D3E9A">
        <w:t>its</w:t>
      </w:r>
      <w:r>
        <w:t xml:space="preserve"> Pacific portfolio to over $1.7 billion.  </w:t>
      </w:r>
      <w:r w:rsidRPr="003D3E9A">
        <w:t>In addition, t</w:t>
      </w:r>
      <w:r>
        <w:t xml:space="preserve">he DFAT </w:t>
      </w:r>
      <w:r>
        <w:lastRenderedPageBreak/>
        <w:t xml:space="preserve">supplementation funded the production of a significant analytical piece - </w:t>
      </w:r>
      <w:r w:rsidRPr="003D3E9A">
        <w:t>Pacific Possible</w:t>
      </w:r>
      <w:r>
        <w:t xml:space="preserve">. This is research into transformative opportunities </w:t>
      </w:r>
      <w:r w:rsidRPr="003D3E9A">
        <w:t>for the region</w:t>
      </w:r>
      <w:r>
        <w:t xml:space="preserve"> over the next 25 years, </w:t>
      </w:r>
      <w:r w:rsidRPr="003D3E9A">
        <w:t>to develop a common development roadmap for governments, donors and regional organisations</w:t>
      </w:r>
      <w:r>
        <w:t xml:space="preserve">. </w:t>
      </w:r>
      <w:r w:rsidRPr="003D3E9A">
        <w:t>Pacific Possible</w:t>
      </w:r>
      <w:r>
        <w:t xml:space="preserve"> identifies the biggest challenges and opportunities as tourism (including aviation), labour mobility, knowledge economy, fisheries, deep-sea mining, climate change and natural disaster preparedness, and non-communicable diseases.</w:t>
      </w:r>
    </w:p>
    <w:p w:rsidR="00C25AD7" w:rsidRPr="007C683A" w:rsidRDefault="00C25AD7" w:rsidP="00C25AD7">
      <w:pPr>
        <w:spacing w:before="360" w:after="120" w:line="180" w:lineRule="atLeast"/>
        <w:jc w:val="both"/>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t>Objective 2: Effective regional institutions</w:t>
      </w:r>
    </w:p>
    <w:p w:rsidR="00C25AD7" w:rsidRPr="00BC4460" w:rsidRDefault="00C25AD7" w:rsidP="00C25AD7">
      <w:pPr>
        <w:spacing w:before="360" w:after="120" w:line="180" w:lineRule="atLeast"/>
        <w:jc w:val="both"/>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3BA60F3A" wp14:editId="6CA2FF1B">
            <wp:extent cx="1028700" cy="6510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6">
                      <a:extLst>
                        <a:ext uri="{28A0092B-C50C-407E-A947-70E740481C1C}">
                          <a14:useLocalDpi xmlns:a14="http://schemas.microsoft.com/office/drawing/2010/main" val="0"/>
                        </a:ext>
                      </a:extLst>
                    </a:blip>
                    <a:stretch>
                      <a:fillRect/>
                    </a:stretch>
                  </pic:blipFill>
                  <pic:spPr>
                    <a:xfrm>
                      <a:off x="0" y="0"/>
                      <a:ext cx="1035183" cy="655179"/>
                    </a:xfrm>
                    <a:prstGeom prst="rect">
                      <a:avLst/>
                    </a:prstGeom>
                  </pic:spPr>
                </pic:pic>
              </a:graphicData>
            </a:graphic>
          </wp:inline>
        </w:drawing>
      </w:r>
      <w:r>
        <w:rPr>
          <w:rFonts w:asciiTheme="majorHAnsi" w:eastAsiaTheme="majorEastAsia" w:hAnsiTheme="majorHAnsi" w:cstheme="majorBidi"/>
          <w:caps/>
          <w:sz w:val="38"/>
          <w:szCs w:val="26"/>
        </w:rPr>
        <w:tab/>
      </w:r>
      <w:r>
        <w:rPr>
          <w:noProof/>
          <w:lang w:val="en-AU" w:eastAsia="en-AU"/>
        </w:rPr>
        <w:drawing>
          <wp:inline distT="0" distB="0" distL="0" distR="0" wp14:anchorId="4421A33F" wp14:editId="59808C37">
            <wp:extent cx="612000" cy="61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Pr>
          <w:rFonts w:asciiTheme="majorHAnsi" w:eastAsiaTheme="majorEastAsia" w:hAnsiTheme="majorHAnsi" w:cstheme="majorBidi"/>
          <w:caps/>
          <w:sz w:val="38"/>
          <w:szCs w:val="26"/>
        </w:rPr>
        <w:tab/>
      </w:r>
      <w:r>
        <w:rPr>
          <w:noProof/>
          <w:lang w:val="en-AU" w:eastAsia="en-AU"/>
        </w:rPr>
        <w:drawing>
          <wp:inline distT="0" distB="0" distL="0" distR="0" wp14:anchorId="338FFC23" wp14:editId="35C8A29B">
            <wp:extent cx="612000" cy="612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Pr>
          <w:rFonts w:asciiTheme="majorHAnsi" w:eastAsiaTheme="majorEastAsia" w:hAnsiTheme="majorHAnsi" w:cstheme="majorBidi"/>
          <w:caps/>
          <w:sz w:val="38"/>
          <w:szCs w:val="26"/>
        </w:rPr>
        <w:tab/>
      </w:r>
      <w:r>
        <w:rPr>
          <w:noProof/>
          <w:lang w:val="en-AU" w:eastAsia="en-AU"/>
        </w:rPr>
        <w:drawing>
          <wp:inline distT="0" distB="0" distL="0" distR="0" wp14:anchorId="6D12F09E" wp14:editId="0AA5D536">
            <wp:extent cx="612000" cy="612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Pr>
          <w:rFonts w:asciiTheme="majorHAnsi" w:eastAsiaTheme="majorEastAsia" w:hAnsiTheme="majorHAnsi" w:cstheme="majorBidi"/>
          <w:caps/>
          <w:sz w:val="38"/>
          <w:szCs w:val="26"/>
        </w:rPr>
        <w:tab/>
      </w:r>
      <w:r>
        <w:rPr>
          <w:noProof/>
          <w:lang w:val="en-AU" w:eastAsia="en-AU"/>
        </w:rPr>
        <w:drawing>
          <wp:inline distT="0" distB="0" distL="0" distR="0" wp14:anchorId="16F13D2E" wp14:editId="3FC4C8E8">
            <wp:extent cx="612000" cy="612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Pr>
          <w:rFonts w:asciiTheme="majorHAnsi" w:eastAsiaTheme="majorEastAsia" w:hAnsiTheme="majorHAnsi" w:cstheme="majorBidi"/>
          <w:caps/>
          <w:sz w:val="38"/>
          <w:szCs w:val="26"/>
        </w:rPr>
        <w:tab/>
      </w:r>
      <w:r>
        <w:rPr>
          <w:noProof/>
          <w:lang w:val="en-AU" w:eastAsia="en-AU"/>
        </w:rPr>
        <w:drawing>
          <wp:inline distT="0" distB="0" distL="0" distR="0" wp14:anchorId="7B5C32C9" wp14:editId="1B15464D">
            <wp:extent cx="608400" cy="61200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p w:rsidR="00C25AD7" w:rsidRPr="00363D14" w:rsidRDefault="00C25AD7" w:rsidP="00C25AD7">
      <w:pPr>
        <w:pStyle w:val="ListBullet"/>
        <w:tabs>
          <w:tab w:val="clear" w:pos="284"/>
        </w:tabs>
        <w:spacing w:before="120"/>
        <w:rPr>
          <w:rFonts w:asciiTheme="minorHAnsi" w:eastAsiaTheme="minorHAnsi" w:hAnsiTheme="minorHAnsi" w:cstheme="minorBidi"/>
          <w:b/>
          <w:color w:val="44546A" w:themeColor="text2"/>
          <w:sz w:val="22"/>
          <w:szCs w:val="22"/>
          <w:lang w:val="en-GB" w:eastAsia="en-US"/>
        </w:rPr>
      </w:pPr>
      <w:r w:rsidRPr="00363D14">
        <w:rPr>
          <w:rFonts w:asciiTheme="minorHAnsi" w:eastAsiaTheme="minorHAnsi" w:hAnsiTheme="minorHAnsi" w:cstheme="minorBidi"/>
          <w:b/>
          <w:color w:val="44546A" w:themeColor="text2"/>
          <w:sz w:val="22"/>
          <w:szCs w:val="22"/>
          <w:lang w:val="en-GB" w:eastAsia="en-US"/>
        </w:rPr>
        <w:t xml:space="preserve">Regional </w:t>
      </w:r>
      <w:r>
        <w:rPr>
          <w:rFonts w:asciiTheme="minorHAnsi" w:eastAsiaTheme="minorHAnsi" w:hAnsiTheme="minorHAnsi" w:cstheme="minorBidi"/>
          <w:b/>
          <w:color w:val="44546A" w:themeColor="text2"/>
          <w:sz w:val="22"/>
          <w:szCs w:val="22"/>
          <w:lang w:val="en-GB" w:eastAsia="en-US"/>
        </w:rPr>
        <w:t>Organisations</w:t>
      </w:r>
    </w:p>
    <w:p w:rsidR="00C25AD7" w:rsidRPr="00250015" w:rsidRDefault="00C25AD7" w:rsidP="00C25AD7">
      <w:pPr>
        <w:spacing w:after="160" w:line="280" w:lineRule="exact"/>
      </w:pPr>
      <w:r w:rsidRPr="00363D14">
        <w:t>Australia partners with</w:t>
      </w:r>
      <w:r>
        <w:t xml:space="preserve"> </w:t>
      </w:r>
      <w:r w:rsidRPr="00363D14">
        <w:t>five major Pacific regional organisations: the Pacific Islands Forum (P</w:t>
      </w:r>
      <w:r>
        <w:t>IF</w:t>
      </w:r>
      <w:r w:rsidRPr="00363D14">
        <w:t xml:space="preserve">), the </w:t>
      </w:r>
      <w:r>
        <w:t>Pacific Community (SPC</w:t>
      </w:r>
      <w:r w:rsidRPr="00250015">
        <w:t xml:space="preserve">), the Secretariat of the Pacific Regional Environment Programme (SPREP), Forum Fisheries Agency (FFA) and the University of the South Pacific (USP).  Regional organisations play an important role in the Pacific.  Their comparative advantage includes a convening mandate with political and bureaucratic leaders; their mandate for regional coordination on policy and programming; their key role in information gathering and dissemination through portals; provision of education, training and applied research; representatives of, and advocates for, often marginalised groups (eg women, people with disabilities and young people). Regional approaches are strategically relevant to the Aid Program as they can help set, and support countries to meet, norms and standards.  </w:t>
      </w:r>
    </w:p>
    <w:p w:rsidR="00C25AD7" w:rsidRDefault="00C25AD7" w:rsidP="00C25AD7">
      <w:pPr>
        <w:spacing w:after="160" w:line="280" w:lineRule="exact"/>
      </w:pPr>
      <w:r w:rsidRPr="00250015">
        <w:t>Organisations are effective when they are achieving their intended outcomes and effectively using resources, including those from donors.  In</w:t>
      </w:r>
      <w:r>
        <w:t xml:space="preserve"> 2016-17, we provided support for Pacific regional institutions to improve their governance, corporate administration and accountability to their members.</w:t>
      </w:r>
      <w:r>
        <w:rPr>
          <w:rStyle w:val="FootnoteReference"/>
        </w:rPr>
        <w:footnoteReference w:id="17"/>
      </w:r>
      <w:r>
        <w:t xml:space="preserve">  </w:t>
      </w:r>
      <w:r w:rsidRPr="00363D14">
        <w:t>The rating for this objective has remained at amber. While there has been good results and progress with the governance investments there is still more progress to be made with strengthening regional institutions.</w:t>
      </w:r>
      <w:r>
        <w:t xml:space="preserve">  </w:t>
      </w:r>
    </w:p>
    <w:p w:rsidR="00C25AD7" w:rsidRDefault="00C25AD7" w:rsidP="00C25AD7">
      <w:pPr>
        <w:spacing w:after="160" w:line="280" w:lineRule="exact"/>
      </w:pPr>
      <w:r>
        <w:t>We also assisted regional organisations to implement projects, in particular in climate, disaster risk reduction and fisheries</w:t>
      </w:r>
      <w:r w:rsidRPr="00B36F54">
        <w:t xml:space="preserve">.  </w:t>
      </w:r>
      <w:r>
        <w:t xml:space="preserve">This work contributes to SDG Goal </w:t>
      </w:r>
      <w:r w:rsidRPr="00B36F54">
        <w:t>16</w:t>
      </w:r>
      <w:r>
        <w:t xml:space="preserve"> (</w:t>
      </w:r>
      <w:r w:rsidRPr="00B36F54">
        <w:t>Promote just, peaceful and inclusive societies</w:t>
      </w:r>
      <w:r>
        <w:t>) as well as supporting the Pacific to reach the other Goals mentioned in other Objectives in this APPR.</w:t>
      </w:r>
    </w:p>
    <w:p w:rsidR="00C25AD7" w:rsidRPr="002F4B2C" w:rsidRDefault="00C25AD7" w:rsidP="00C25AD7">
      <w:pPr>
        <w:pStyle w:val="BodyText"/>
        <w:rPr>
          <w:rFonts w:asciiTheme="minorHAnsi" w:eastAsiaTheme="minorHAnsi" w:hAnsiTheme="minorHAnsi" w:cstheme="minorBidi"/>
          <w:b/>
          <w:color w:val="44546A" w:themeColor="text2"/>
          <w:sz w:val="22"/>
          <w:szCs w:val="22"/>
          <w:lang w:val="en-GB" w:eastAsia="en-US"/>
        </w:rPr>
      </w:pPr>
      <w:r w:rsidRPr="002F4B2C">
        <w:rPr>
          <w:rFonts w:asciiTheme="minorHAnsi" w:eastAsiaTheme="minorHAnsi" w:hAnsiTheme="minorHAnsi" w:cstheme="minorBidi"/>
          <w:b/>
          <w:color w:val="44546A" w:themeColor="text2"/>
          <w:sz w:val="22"/>
          <w:szCs w:val="22"/>
          <w:lang w:val="en-GB" w:eastAsia="en-US"/>
        </w:rPr>
        <w:t>Key results:</w:t>
      </w:r>
    </w:p>
    <w:p w:rsidR="00C25AD7" w:rsidRPr="00C6682C" w:rsidRDefault="00C25AD7" w:rsidP="00C25AD7">
      <w:pPr>
        <w:pStyle w:val="ListBullet"/>
        <w:numPr>
          <w:ilvl w:val="0"/>
          <w:numId w:val="17"/>
        </w:numPr>
        <w:tabs>
          <w:tab w:val="clear" w:pos="284"/>
          <w:tab w:val="left" w:pos="720"/>
        </w:tabs>
        <w:ind w:left="357" w:hanging="357"/>
        <w:rPr>
          <w:rFonts w:asciiTheme="minorHAnsi" w:eastAsiaTheme="minorHAnsi" w:hAnsiTheme="minorHAnsi" w:cstheme="minorBidi"/>
          <w:color w:val="44546A" w:themeColor="text2"/>
          <w:sz w:val="22"/>
          <w:szCs w:val="22"/>
          <w:lang w:val="en-GB" w:eastAsia="en-US"/>
        </w:rPr>
      </w:pPr>
      <w:r w:rsidRPr="00C6682C">
        <w:rPr>
          <w:rFonts w:asciiTheme="minorHAnsi" w:eastAsiaTheme="minorHAnsi" w:hAnsiTheme="minorHAnsi" w:cstheme="minorBidi"/>
          <w:color w:val="44546A" w:themeColor="text2"/>
          <w:sz w:val="22"/>
          <w:szCs w:val="22"/>
          <w:lang w:val="en-GB" w:eastAsia="en-US"/>
        </w:rPr>
        <w:t>Australia's core and extra-budget funding and provision of technical assistance has enabled PIFS to implement PIF Leaders’ priorities and to reform the organisation</w:t>
      </w:r>
      <w:r>
        <w:rPr>
          <w:rFonts w:asciiTheme="minorHAnsi" w:eastAsiaTheme="minorHAnsi" w:hAnsiTheme="minorHAnsi" w:cstheme="minorBidi"/>
          <w:color w:val="44546A" w:themeColor="text2"/>
          <w:sz w:val="22"/>
          <w:szCs w:val="22"/>
          <w:lang w:val="en-GB" w:eastAsia="en-US"/>
        </w:rPr>
        <w:t>.  PIF Leaders agreed at the 46</w:t>
      </w:r>
      <w:r w:rsidRPr="00BA38F2">
        <w:rPr>
          <w:rFonts w:asciiTheme="minorHAnsi" w:eastAsiaTheme="minorHAnsi" w:hAnsiTheme="minorHAnsi" w:cstheme="minorBidi"/>
          <w:color w:val="44546A" w:themeColor="text2"/>
          <w:sz w:val="22"/>
          <w:szCs w:val="22"/>
          <w:vertAlign w:val="superscript"/>
          <w:lang w:val="en-GB" w:eastAsia="en-US"/>
        </w:rPr>
        <w:t>th</w:t>
      </w:r>
      <w:r>
        <w:rPr>
          <w:rFonts w:asciiTheme="minorHAnsi" w:eastAsiaTheme="minorHAnsi" w:hAnsiTheme="minorHAnsi" w:cstheme="minorBidi"/>
          <w:color w:val="44546A" w:themeColor="text2"/>
          <w:sz w:val="22"/>
          <w:szCs w:val="22"/>
          <w:lang w:val="en-GB" w:eastAsia="en-US"/>
        </w:rPr>
        <w:t xml:space="preserve"> Leaders’ Meeting in September 2015 in Port Moresby that Forum Foreign Ministers will meet annually from 2016, after the Forum Officials Committee Meeting, to assist and inform Leaders of relevant regional and international issues facing the region.</w:t>
      </w:r>
    </w:p>
    <w:p w:rsidR="00C25AD7" w:rsidRPr="00C6682C" w:rsidRDefault="00C25AD7" w:rsidP="00C25AD7">
      <w:pPr>
        <w:pStyle w:val="ListBullet"/>
        <w:numPr>
          <w:ilvl w:val="0"/>
          <w:numId w:val="17"/>
        </w:numPr>
        <w:tabs>
          <w:tab w:val="clear" w:pos="284"/>
          <w:tab w:val="left" w:pos="720"/>
        </w:tabs>
        <w:ind w:left="357" w:hanging="357"/>
        <w:rPr>
          <w:rFonts w:asciiTheme="minorHAnsi" w:eastAsiaTheme="minorHAnsi" w:hAnsiTheme="minorHAnsi" w:cstheme="minorBidi"/>
          <w:color w:val="44546A" w:themeColor="text2"/>
          <w:sz w:val="22"/>
          <w:szCs w:val="22"/>
          <w:lang w:val="en-GB" w:eastAsia="en-US"/>
        </w:rPr>
      </w:pPr>
      <w:r w:rsidRPr="00C6682C">
        <w:rPr>
          <w:rFonts w:asciiTheme="minorHAnsi" w:eastAsiaTheme="minorHAnsi" w:hAnsiTheme="minorHAnsi" w:cstheme="minorBidi"/>
          <w:color w:val="44546A" w:themeColor="text2"/>
          <w:sz w:val="22"/>
          <w:szCs w:val="22"/>
          <w:lang w:val="en-GB" w:eastAsia="en-US"/>
        </w:rPr>
        <w:t xml:space="preserve">In September 2016 at the PIF Leaders’ Meeting in Pohnpei, PIF Leaders agreed on a united approach to climate change action and disaster risk reduction through a Framework for Resilient Development in the Pacific (FRDP), which brings together policy frameworks to address both climate and disaster risk reduction.  </w:t>
      </w:r>
    </w:p>
    <w:p w:rsidR="00C25AD7" w:rsidRPr="0026751C" w:rsidRDefault="00C25AD7" w:rsidP="00C25AD7">
      <w:pPr>
        <w:pStyle w:val="ListBullet"/>
        <w:numPr>
          <w:ilvl w:val="0"/>
          <w:numId w:val="17"/>
        </w:numPr>
        <w:tabs>
          <w:tab w:val="clear" w:pos="284"/>
        </w:tabs>
        <w:rPr>
          <w:rFonts w:asciiTheme="minorHAnsi" w:eastAsiaTheme="minorHAnsi" w:hAnsiTheme="minorHAnsi" w:cstheme="minorBidi"/>
          <w:color w:val="44546A" w:themeColor="text2"/>
          <w:sz w:val="22"/>
          <w:szCs w:val="22"/>
          <w:lang w:val="en-GB" w:eastAsia="en-US"/>
        </w:rPr>
      </w:pPr>
      <w:r w:rsidRPr="003C7593">
        <w:rPr>
          <w:rFonts w:asciiTheme="minorHAnsi" w:eastAsiaTheme="minorHAnsi" w:hAnsiTheme="minorHAnsi" w:cstheme="minorBidi"/>
          <w:color w:val="44546A" w:themeColor="text2"/>
          <w:sz w:val="22"/>
          <w:szCs w:val="22"/>
          <w:lang w:val="en-GB" w:eastAsia="en-US"/>
        </w:rPr>
        <w:t xml:space="preserve">In September 2016, SPREP </w:t>
      </w:r>
      <w:r>
        <w:rPr>
          <w:rFonts w:asciiTheme="minorHAnsi" w:eastAsiaTheme="minorHAnsi" w:hAnsiTheme="minorHAnsi" w:cstheme="minorBidi"/>
          <w:color w:val="44546A" w:themeColor="text2"/>
          <w:sz w:val="22"/>
          <w:szCs w:val="22"/>
          <w:lang w:val="en-GB" w:eastAsia="en-US"/>
        </w:rPr>
        <w:t>enhanced its focus through a new</w:t>
      </w:r>
      <w:r w:rsidRPr="003C7593">
        <w:rPr>
          <w:rFonts w:asciiTheme="minorHAnsi" w:eastAsiaTheme="minorHAnsi" w:hAnsiTheme="minorHAnsi" w:cstheme="minorBidi"/>
          <w:color w:val="44546A" w:themeColor="text2"/>
          <w:sz w:val="22"/>
          <w:szCs w:val="22"/>
          <w:lang w:val="en-GB" w:eastAsia="en-US"/>
        </w:rPr>
        <w:t xml:space="preserve"> Strategic Plan. </w:t>
      </w:r>
    </w:p>
    <w:p w:rsidR="00C25AD7" w:rsidRPr="00F07256" w:rsidRDefault="00C25AD7" w:rsidP="00C25AD7">
      <w:pPr>
        <w:pStyle w:val="ListBullet"/>
        <w:numPr>
          <w:ilvl w:val="0"/>
          <w:numId w:val="17"/>
        </w:numPr>
        <w:tabs>
          <w:tab w:val="clear" w:pos="284"/>
        </w:tabs>
        <w:ind w:left="357" w:hanging="357"/>
        <w:rPr>
          <w:rFonts w:asciiTheme="minorHAnsi" w:eastAsiaTheme="minorHAnsi" w:hAnsiTheme="minorHAnsi" w:cstheme="minorBidi"/>
          <w:color w:val="44546A" w:themeColor="text2"/>
          <w:sz w:val="22"/>
          <w:szCs w:val="22"/>
          <w:lang w:val="en-GB" w:eastAsia="en-US"/>
        </w:rPr>
      </w:pPr>
      <w:r>
        <w:rPr>
          <w:rFonts w:asciiTheme="minorHAnsi" w:eastAsiaTheme="minorHAnsi" w:hAnsiTheme="minorHAnsi" w:cstheme="minorBidi"/>
          <w:color w:val="44546A" w:themeColor="text2"/>
          <w:sz w:val="22"/>
          <w:szCs w:val="22"/>
          <w:lang w:val="en-GB" w:eastAsia="en-US"/>
        </w:rPr>
        <w:t xml:space="preserve">In May 2017, Australia and SPC </w:t>
      </w:r>
      <w:r w:rsidRPr="008B53E4">
        <w:rPr>
          <w:rFonts w:asciiTheme="minorHAnsi" w:eastAsiaTheme="minorHAnsi" w:hAnsiTheme="minorHAnsi" w:cstheme="minorBidi"/>
          <w:color w:val="44546A" w:themeColor="text2"/>
          <w:sz w:val="22"/>
          <w:szCs w:val="22"/>
          <w:lang w:val="en-GB" w:eastAsia="en-US"/>
        </w:rPr>
        <w:t>signed a renewed Partnership Arrangement</w:t>
      </w:r>
      <w:r>
        <w:rPr>
          <w:rFonts w:asciiTheme="minorHAnsi" w:eastAsiaTheme="minorHAnsi" w:hAnsiTheme="minorHAnsi" w:cstheme="minorBidi"/>
          <w:color w:val="44546A" w:themeColor="text2"/>
          <w:sz w:val="22"/>
          <w:szCs w:val="22"/>
          <w:lang w:val="en-GB" w:eastAsia="en-US"/>
        </w:rPr>
        <w:t xml:space="preserve"> to provide </w:t>
      </w:r>
      <w:r w:rsidRPr="008B53E4">
        <w:rPr>
          <w:rFonts w:asciiTheme="minorHAnsi" w:eastAsiaTheme="minorHAnsi" w:hAnsiTheme="minorHAnsi" w:cstheme="minorBidi"/>
          <w:color w:val="44546A" w:themeColor="text2"/>
          <w:sz w:val="22"/>
          <w:szCs w:val="22"/>
          <w:lang w:val="en-GB" w:eastAsia="en-US"/>
        </w:rPr>
        <w:t>greater focus on Australia</w:t>
      </w:r>
      <w:r>
        <w:rPr>
          <w:rFonts w:asciiTheme="minorHAnsi" w:eastAsiaTheme="minorHAnsi" w:hAnsiTheme="minorHAnsi" w:cstheme="minorBidi"/>
          <w:color w:val="44546A" w:themeColor="text2"/>
          <w:sz w:val="22"/>
          <w:szCs w:val="22"/>
          <w:lang w:val="en-GB" w:eastAsia="en-US"/>
        </w:rPr>
        <w:t>’s</w:t>
      </w:r>
      <w:r w:rsidRPr="008B53E4">
        <w:rPr>
          <w:rFonts w:asciiTheme="minorHAnsi" w:eastAsiaTheme="minorHAnsi" w:hAnsiTheme="minorHAnsi" w:cstheme="minorBidi"/>
          <w:color w:val="44546A" w:themeColor="text2"/>
          <w:sz w:val="22"/>
          <w:szCs w:val="22"/>
          <w:lang w:val="en-GB" w:eastAsia="en-US"/>
        </w:rPr>
        <w:t xml:space="preserve"> </w:t>
      </w:r>
      <w:r>
        <w:rPr>
          <w:rFonts w:asciiTheme="minorHAnsi" w:eastAsiaTheme="minorHAnsi" w:hAnsiTheme="minorHAnsi" w:cstheme="minorBidi"/>
          <w:color w:val="44546A" w:themeColor="text2"/>
          <w:sz w:val="22"/>
          <w:szCs w:val="22"/>
          <w:lang w:val="en-GB" w:eastAsia="en-US"/>
        </w:rPr>
        <w:t>support for SPC’s corporate reforms</w:t>
      </w:r>
      <w:r w:rsidRPr="008B53E4">
        <w:rPr>
          <w:rFonts w:asciiTheme="minorHAnsi" w:eastAsiaTheme="minorHAnsi" w:hAnsiTheme="minorHAnsi" w:cstheme="minorBidi"/>
          <w:color w:val="44546A" w:themeColor="text2"/>
          <w:sz w:val="22"/>
          <w:szCs w:val="22"/>
          <w:lang w:val="en-GB" w:eastAsia="en-US"/>
        </w:rPr>
        <w:t>.</w:t>
      </w:r>
    </w:p>
    <w:p w:rsidR="00C25AD7" w:rsidRPr="00F30A09" w:rsidRDefault="00C25AD7" w:rsidP="00C25AD7">
      <w:pPr>
        <w:pStyle w:val="ListBullet"/>
        <w:numPr>
          <w:ilvl w:val="0"/>
          <w:numId w:val="17"/>
        </w:numPr>
        <w:tabs>
          <w:tab w:val="clear" w:pos="284"/>
        </w:tabs>
        <w:rPr>
          <w:rFonts w:asciiTheme="minorHAnsi" w:hAnsiTheme="minorHAnsi" w:cstheme="minorBidi"/>
          <w:color w:val="44546A" w:themeColor="text2"/>
          <w:sz w:val="22"/>
          <w:szCs w:val="22"/>
          <w:lang w:val="en-GB"/>
        </w:rPr>
      </w:pPr>
      <w:r w:rsidRPr="00BC4DDE">
        <w:rPr>
          <w:rFonts w:asciiTheme="minorHAnsi" w:eastAsiaTheme="minorHAnsi" w:hAnsiTheme="minorHAnsi" w:cstheme="minorBidi"/>
          <w:color w:val="44546A" w:themeColor="text2"/>
          <w:sz w:val="22"/>
          <w:szCs w:val="22"/>
          <w:lang w:val="en-GB" w:eastAsia="en-US"/>
        </w:rPr>
        <w:lastRenderedPageBreak/>
        <w:t xml:space="preserve">In 2016-17, FFA made efforts to advance corporate reform, including procurement and budgeting processes. </w:t>
      </w:r>
      <w:r>
        <w:rPr>
          <w:rFonts w:asciiTheme="minorHAnsi" w:eastAsiaTheme="minorHAnsi" w:hAnsiTheme="minorHAnsi" w:cstheme="minorBidi"/>
          <w:color w:val="44546A" w:themeColor="text2"/>
          <w:sz w:val="22"/>
          <w:szCs w:val="22"/>
          <w:lang w:val="en-GB" w:eastAsia="en-US"/>
        </w:rPr>
        <w:t xml:space="preserve"> </w:t>
      </w:r>
      <w:r w:rsidRPr="00BC4DDE">
        <w:rPr>
          <w:rFonts w:asciiTheme="minorHAnsi" w:eastAsiaTheme="minorHAnsi" w:hAnsiTheme="minorHAnsi" w:cstheme="minorBidi"/>
          <w:color w:val="44546A" w:themeColor="text2"/>
          <w:sz w:val="22"/>
          <w:szCs w:val="22"/>
          <w:lang w:val="en-GB" w:eastAsia="en-US"/>
        </w:rPr>
        <w:t>In October 2016, FFA members endorsed revised Governance Policy and Financial Regulations.</w:t>
      </w:r>
      <w:r>
        <w:rPr>
          <w:rFonts w:asciiTheme="minorHAnsi" w:eastAsiaTheme="minorHAnsi" w:hAnsiTheme="minorHAnsi" w:cstheme="minorBidi"/>
          <w:color w:val="44546A" w:themeColor="text2"/>
          <w:sz w:val="22"/>
          <w:szCs w:val="22"/>
          <w:lang w:val="en-GB" w:eastAsia="en-US"/>
        </w:rPr>
        <w:t xml:space="preserve"> </w:t>
      </w:r>
      <w:r w:rsidRPr="00BC4DDE">
        <w:rPr>
          <w:rFonts w:asciiTheme="minorHAnsi" w:eastAsiaTheme="minorHAnsi" w:hAnsiTheme="minorHAnsi" w:cstheme="minorBidi"/>
          <w:color w:val="44546A" w:themeColor="text2"/>
          <w:sz w:val="22"/>
          <w:szCs w:val="22"/>
          <w:lang w:val="en-GB" w:eastAsia="en-US"/>
        </w:rPr>
        <w:t xml:space="preserve"> FFA also assisted three countries to ratify the Niue Treaty Subsidiary Agreement (FSM, RMI, and Australia), a framework for enhanced information sharing and cooperative enforcement activities to address illegal fishing.</w:t>
      </w:r>
    </w:p>
    <w:p w:rsidR="00C25AD7" w:rsidRPr="002F4B2C" w:rsidRDefault="00C25AD7" w:rsidP="00C25AD7">
      <w:pPr>
        <w:pStyle w:val="BodyText"/>
        <w:rPr>
          <w:rFonts w:asciiTheme="minorHAnsi" w:eastAsiaTheme="minorHAnsi" w:hAnsiTheme="minorHAnsi" w:cstheme="minorBidi"/>
          <w:b/>
          <w:color w:val="44546A" w:themeColor="text2"/>
          <w:sz w:val="22"/>
          <w:szCs w:val="22"/>
          <w:lang w:val="en-GB" w:eastAsia="en-US"/>
        </w:rPr>
      </w:pPr>
      <w:r w:rsidRPr="002F4B2C">
        <w:rPr>
          <w:rFonts w:asciiTheme="minorHAnsi" w:eastAsiaTheme="minorHAnsi" w:hAnsiTheme="minorHAnsi" w:cstheme="minorBidi"/>
          <w:b/>
          <w:color w:val="44546A" w:themeColor="text2"/>
          <w:sz w:val="22"/>
          <w:szCs w:val="22"/>
          <w:lang w:val="en-GB" w:eastAsia="en-US"/>
        </w:rPr>
        <w:t>Factors affecting progress and future actions:</w:t>
      </w:r>
    </w:p>
    <w:p w:rsidR="00C25AD7" w:rsidRDefault="00C25AD7" w:rsidP="00C25AD7">
      <w:pPr>
        <w:spacing w:after="160" w:line="280" w:lineRule="exact"/>
      </w:pPr>
      <w:r w:rsidRPr="0033510B">
        <w:t>Three of Australia’s most i</w:t>
      </w:r>
      <w:r>
        <w:t>mportant regional partners – PIF</w:t>
      </w:r>
      <w:r w:rsidRPr="0033510B">
        <w:t>, SPC and SPREP</w:t>
      </w:r>
      <w:r>
        <w:t xml:space="preserve"> –</w:t>
      </w:r>
      <w:r w:rsidRPr="0033510B">
        <w:t xml:space="preserve"> are facing significant financial challenges</w:t>
      </w:r>
      <w:r>
        <w:t>.  These financial challenges have necessitated savings, delayed</w:t>
      </w:r>
      <w:r w:rsidRPr="0033510B">
        <w:t xml:space="preserve"> recruitment, financial reforms and pr</w:t>
      </w:r>
      <w:r>
        <w:t xml:space="preserve">ioritisation of their work programs.  </w:t>
      </w:r>
      <w:r w:rsidRPr="0033510B">
        <w:t xml:space="preserve">Australia, </w:t>
      </w:r>
      <w:r>
        <w:t>with</w:t>
      </w:r>
      <w:r w:rsidRPr="0033510B">
        <w:t xml:space="preserve"> other members, </w:t>
      </w:r>
      <w:r>
        <w:t>is</w:t>
      </w:r>
      <w:r w:rsidRPr="0033510B">
        <w:t xml:space="preserve"> helping</w:t>
      </w:r>
      <w:r>
        <w:t xml:space="preserve"> these regional organisations</w:t>
      </w:r>
      <w:r w:rsidRPr="0033510B">
        <w:t xml:space="preserve"> </w:t>
      </w:r>
      <w:r>
        <w:t>to address their financial</w:t>
      </w:r>
      <w:r w:rsidRPr="0033510B">
        <w:t xml:space="preserve"> challenges including by providing tailored technical assistance.  </w:t>
      </w:r>
    </w:p>
    <w:p w:rsidR="00C25AD7" w:rsidRPr="00196A67" w:rsidRDefault="00C25AD7" w:rsidP="00C25AD7">
      <w:pPr>
        <w:spacing w:after="160" w:line="280" w:lineRule="exact"/>
      </w:pPr>
      <w:r>
        <w:t>The</w:t>
      </w:r>
      <w:r w:rsidRPr="00196A67">
        <w:t xml:space="preserve"> Office of Development Effectiveness’ (ODE) 2017 Evaluation of the SPC-Government of Australia Partnership was a key opportunity for Australia to re-evaluate our strategic approach. Consequently, the following ODE recommendations have been actioned as at May 2017: </w:t>
      </w:r>
    </w:p>
    <w:p w:rsidR="00C25AD7" w:rsidRPr="00E730F0" w:rsidRDefault="00C25AD7" w:rsidP="00C25AD7">
      <w:pPr>
        <w:pStyle w:val="ListBullet"/>
        <w:numPr>
          <w:ilvl w:val="0"/>
          <w:numId w:val="17"/>
        </w:numPr>
        <w:tabs>
          <w:tab w:val="clear" w:pos="284"/>
        </w:tabs>
        <w:ind w:left="357" w:hanging="357"/>
        <w:rPr>
          <w:color w:val="44546A" w:themeColor="text2"/>
        </w:rPr>
      </w:pPr>
      <w:r>
        <w:rPr>
          <w:rFonts w:asciiTheme="minorHAnsi" w:eastAsiaTheme="minorHAnsi" w:hAnsiTheme="minorHAnsi" w:cstheme="minorBidi"/>
          <w:color w:val="44546A" w:themeColor="text2"/>
          <w:sz w:val="22"/>
          <w:szCs w:val="22"/>
          <w:lang w:val="en-GB" w:eastAsia="en-US"/>
        </w:rPr>
        <w:t xml:space="preserve">Australia </w:t>
      </w:r>
      <w:r w:rsidRPr="00E730F0">
        <w:rPr>
          <w:rFonts w:asciiTheme="minorHAnsi" w:eastAsiaTheme="minorHAnsi" w:hAnsiTheme="minorHAnsi" w:cstheme="minorBidi"/>
          <w:color w:val="44546A" w:themeColor="text2"/>
          <w:sz w:val="22"/>
          <w:szCs w:val="22"/>
          <w:lang w:val="en-GB" w:eastAsia="en-US"/>
        </w:rPr>
        <w:t xml:space="preserve">signed a renewed Partnership Arrangement </w:t>
      </w:r>
      <w:r>
        <w:rPr>
          <w:rFonts w:asciiTheme="minorHAnsi" w:eastAsiaTheme="minorHAnsi" w:hAnsiTheme="minorHAnsi" w:cstheme="minorBidi"/>
          <w:color w:val="44546A" w:themeColor="text2"/>
          <w:sz w:val="22"/>
          <w:szCs w:val="22"/>
          <w:lang w:val="en-GB" w:eastAsia="en-US"/>
        </w:rPr>
        <w:t xml:space="preserve">with SPC </w:t>
      </w:r>
      <w:r w:rsidRPr="00E730F0">
        <w:rPr>
          <w:rFonts w:asciiTheme="minorHAnsi" w:eastAsiaTheme="minorHAnsi" w:hAnsiTheme="minorHAnsi" w:cstheme="minorBidi"/>
          <w:color w:val="44546A" w:themeColor="text2"/>
          <w:sz w:val="22"/>
          <w:szCs w:val="22"/>
          <w:lang w:val="en-GB" w:eastAsia="en-US"/>
        </w:rPr>
        <w:t>which has more realistic objectives and a greater focus on how Australia can and will support the SPC as an organisation.</w:t>
      </w:r>
    </w:p>
    <w:p w:rsidR="00C25AD7" w:rsidRPr="00E730F0" w:rsidRDefault="00C25AD7" w:rsidP="00C25AD7">
      <w:pPr>
        <w:pStyle w:val="ListBullet"/>
        <w:numPr>
          <w:ilvl w:val="0"/>
          <w:numId w:val="17"/>
        </w:numPr>
        <w:tabs>
          <w:tab w:val="clear" w:pos="284"/>
        </w:tabs>
        <w:ind w:left="357" w:hanging="357"/>
        <w:rPr>
          <w:color w:val="44546A" w:themeColor="text2"/>
        </w:rPr>
      </w:pPr>
      <w:r>
        <w:rPr>
          <w:rFonts w:asciiTheme="minorHAnsi" w:eastAsiaTheme="minorHAnsi" w:hAnsiTheme="minorHAnsi" w:cstheme="minorBidi"/>
          <w:color w:val="44546A" w:themeColor="text2"/>
          <w:sz w:val="22"/>
          <w:szCs w:val="22"/>
          <w:lang w:val="en-GB" w:eastAsia="en-US"/>
        </w:rPr>
        <w:t>Australian and the SPC</w:t>
      </w:r>
      <w:r w:rsidRPr="00E730F0">
        <w:rPr>
          <w:rFonts w:asciiTheme="minorHAnsi" w:eastAsiaTheme="minorHAnsi" w:hAnsiTheme="minorHAnsi" w:cstheme="minorBidi"/>
          <w:color w:val="44546A" w:themeColor="text2"/>
          <w:sz w:val="22"/>
          <w:szCs w:val="22"/>
          <w:lang w:val="en-GB" w:eastAsia="en-US"/>
        </w:rPr>
        <w:t xml:space="preserve"> finalised a revised Performance Assessment Framework (as part of the renewed Partnership Arrangement)</w:t>
      </w:r>
    </w:p>
    <w:p w:rsidR="00C25AD7" w:rsidRPr="00E730F0" w:rsidRDefault="00C25AD7" w:rsidP="00C25AD7">
      <w:pPr>
        <w:pStyle w:val="ListBullet"/>
        <w:numPr>
          <w:ilvl w:val="0"/>
          <w:numId w:val="17"/>
        </w:numPr>
        <w:tabs>
          <w:tab w:val="clear" w:pos="284"/>
        </w:tabs>
        <w:ind w:left="357" w:hanging="357"/>
        <w:rPr>
          <w:color w:val="44546A" w:themeColor="text2"/>
        </w:rPr>
      </w:pPr>
      <w:r>
        <w:rPr>
          <w:rFonts w:asciiTheme="minorHAnsi" w:eastAsiaTheme="minorHAnsi" w:hAnsiTheme="minorHAnsi" w:cstheme="minorBidi"/>
          <w:color w:val="44546A" w:themeColor="text2"/>
          <w:sz w:val="22"/>
          <w:szCs w:val="22"/>
          <w:lang w:val="en-GB" w:eastAsia="en-US"/>
        </w:rPr>
        <w:t>Australia f</w:t>
      </w:r>
      <w:r w:rsidRPr="00E730F0">
        <w:rPr>
          <w:rFonts w:asciiTheme="minorHAnsi" w:eastAsiaTheme="minorHAnsi" w:hAnsiTheme="minorHAnsi" w:cstheme="minorBidi"/>
          <w:color w:val="44546A" w:themeColor="text2"/>
          <w:sz w:val="22"/>
          <w:szCs w:val="22"/>
          <w:lang w:val="en-GB" w:eastAsia="en-US"/>
        </w:rPr>
        <w:t>unded SPC to deliver a Financial Management Strengthening Project (AUD 600,000 over two years, 2017-2018) to improve direct project cost recovery in SPC</w:t>
      </w:r>
    </w:p>
    <w:p w:rsidR="00C25AD7" w:rsidRPr="00363D14" w:rsidRDefault="00C25AD7" w:rsidP="00C25AD7">
      <w:pPr>
        <w:pStyle w:val="BodyText"/>
        <w:rPr>
          <w:rFonts w:asciiTheme="minorHAnsi" w:eastAsiaTheme="minorHAnsi" w:hAnsiTheme="minorHAnsi" w:cstheme="minorBidi"/>
          <w:b/>
          <w:color w:val="44546A" w:themeColor="text2"/>
          <w:sz w:val="22"/>
          <w:szCs w:val="22"/>
          <w:lang w:val="en-GB" w:eastAsia="en-US"/>
        </w:rPr>
      </w:pPr>
      <w:r w:rsidRPr="00363D14">
        <w:rPr>
          <w:rFonts w:asciiTheme="minorHAnsi" w:eastAsiaTheme="minorHAnsi" w:hAnsiTheme="minorHAnsi" w:cstheme="minorBidi"/>
          <w:b/>
          <w:color w:val="44546A" w:themeColor="text2"/>
          <w:sz w:val="22"/>
          <w:szCs w:val="22"/>
          <w:lang w:val="en-GB" w:eastAsia="en-US"/>
        </w:rPr>
        <w:t>Governance</w:t>
      </w:r>
    </w:p>
    <w:p w:rsidR="00C25AD7" w:rsidRPr="00FF1BB6" w:rsidRDefault="00C25AD7" w:rsidP="00C25AD7">
      <w:pPr>
        <w:autoSpaceDE w:val="0"/>
        <w:autoSpaceDN w:val="0"/>
        <w:adjustRightInd w:val="0"/>
        <w:spacing w:after="0" w:line="240" w:lineRule="auto"/>
      </w:pPr>
      <w:r w:rsidRPr="00FF1BB6">
        <w:t xml:space="preserve">Supporting good governance in the Pacific is essential to the success of the Australian aid program’s strategic objectives in the region.  </w:t>
      </w:r>
      <w:r>
        <w:t>Good governance</w:t>
      </w:r>
      <w:r w:rsidRPr="00FF1BB6">
        <w:t xml:space="preserve"> is fundamental to sustainable development as it is the basis for common rules and norms underpinning the rule of law. </w:t>
      </w:r>
      <w:r>
        <w:t xml:space="preserve"> </w:t>
      </w:r>
      <w:r w:rsidRPr="00FF1BB6">
        <w:t xml:space="preserve">This is why the regional </w:t>
      </w:r>
      <w:r>
        <w:t xml:space="preserve">aid </w:t>
      </w:r>
      <w:r w:rsidRPr="00FF1BB6">
        <w:t>program continues to invest in government accountability, human rights and the media as important mechanisms to improve governance throughout the region.</w:t>
      </w:r>
    </w:p>
    <w:p w:rsidR="00C25AD7" w:rsidRDefault="00C25AD7" w:rsidP="00C25AD7">
      <w:pPr>
        <w:autoSpaceDE w:val="0"/>
        <w:autoSpaceDN w:val="0"/>
        <w:adjustRightInd w:val="0"/>
        <w:spacing w:after="0" w:line="240" w:lineRule="auto"/>
      </w:pPr>
      <w:r>
        <w:t>The majority of Australia’s governance assistance is delivered on a bilateral basis.  Australia has a number of programs to deliver governance assistance at a regional or multicounty level, mainly in elections, technical advisor support, media, public administration and human rights.</w:t>
      </w:r>
    </w:p>
    <w:p w:rsidR="00C25AD7" w:rsidRDefault="00C25AD7" w:rsidP="00C25AD7">
      <w:pPr>
        <w:autoSpaceDE w:val="0"/>
        <w:autoSpaceDN w:val="0"/>
        <w:adjustRightInd w:val="0"/>
        <w:spacing w:after="0" w:line="240" w:lineRule="auto"/>
      </w:pPr>
      <w:r w:rsidRPr="00B738A9">
        <w:t>In addition to DFAT’s work, the Australian Federal Police (AFP) helps build effective regional organisations as a member of the peak regional police forum the Pacific Islands Chiefs of Police (PICP). AFP continues to be a major funding partner of the PICP Secretariat and regional forums of the PICP.</w:t>
      </w:r>
      <w:r>
        <w:t xml:space="preserve">  Through</w:t>
      </w:r>
      <w:r w:rsidRPr="00B738A9">
        <w:t xml:space="preserve"> the Pacific Police Development Program (PPDP), the Attorney-Genera</w:t>
      </w:r>
      <w:r>
        <w:t>l’s Department (AGD) contributes</w:t>
      </w:r>
      <w:r w:rsidRPr="00B738A9">
        <w:t xml:space="preserve"> to effective governance and stability in the Pacific region, by improving policing and criminal law policy and legal frameworks and supporting their more effective implementation.</w:t>
      </w:r>
    </w:p>
    <w:p w:rsidR="00C25AD7" w:rsidRPr="00363D14" w:rsidRDefault="00C25AD7" w:rsidP="00C25AD7">
      <w:pPr>
        <w:autoSpaceDE w:val="0"/>
        <w:autoSpaceDN w:val="0"/>
        <w:adjustRightInd w:val="0"/>
        <w:spacing w:before="0" w:after="0" w:line="240" w:lineRule="auto"/>
      </w:pPr>
    </w:p>
    <w:p w:rsidR="00C25AD7" w:rsidRPr="002F4B2C" w:rsidRDefault="00C25AD7" w:rsidP="00C25AD7">
      <w:pPr>
        <w:pStyle w:val="BodyText"/>
        <w:rPr>
          <w:rFonts w:asciiTheme="minorHAnsi" w:eastAsiaTheme="minorHAnsi" w:hAnsiTheme="minorHAnsi" w:cstheme="minorBidi"/>
          <w:b/>
          <w:color w:val="44546A" w:themeColor="text2"/>
          <w:sz w:val="22"/>
          <w:szCs w:val="22"/>
          <w:lang w:val="en-GB" w:eastAsia="en-US"/>
        </w:rPr>
      </w:pPr>
      <w:r w:rsidRPr="002F4B2C">
        <w:rPr>
          <w:rFonts w:asciiTheme="minorHAnsi" w:eastAsiaTheme="minorHAnsi" w:hAnsiTheme="minorHAnsi" w:cstheme="minorBidi"/>
          <w:b/>
          <w:color w:val="44546A" w:themeColor="text2"/>
          <w:sz w:val="22"/>
          <w:szCs w:val="22"/>
          <w:lang w:val="en-GB" w:eastAsia="en-US"/>
        </w:rPr>
        <w:t>Key results:</w:t>
      </w:r>
    </w:p>
    <w:p w:rsidR="00C25AD7" w:rsidRDefault="00C25AD7" w:rsidP="00C25AD7">
      <w:pPr>
        <w:pStyle w:val="ListBullet"/>
        <w:numPr>
          <w:ilvl w:val="0"/>
          <w:numId w:val="17"/>
        </w:numPr>
        <w:tabs>
          <w:tab w:val="clear" w:pos="284"/>
        </w:tabs>
        <w:rPr>
          <w:rFonts w:asciiTheme="minorHAnsi" w:hAnsiTheme="minorHAnsi" w:cstheme="minorBidi"/>
          <w:color w:val="44546A" w:themeColor="text2"/>
          <w:sz w:val="22"/>
          <w:szCs w:val="22"/>
          <w:lang w:val="en-GB"/>
        </w:rPr>
      </w:pPr>
      <w:r w:rsidRPr="00695580">
        <w:rPr>
          <w:rFonts w:asciiTheme="minorHAnsi" w:hAnsiTheme="minorHAnsi" w:cstheme="minorBidi"/>
          <w:color w:val="44546A" w:themeColor="text2"/>
          <w:sz w:val="22"/>
          <w:szCs w:val="22"/>
          <w:lang w:val="en-GB"/>
        </w:rPr>
        <w:t xml:space="preserve">Throughout 2016-17, </w:t>
      </w:r>
      <w:r w:rsidRPr="00695580">
        <w:rPr>
          <w:rFonts w:asciiTheme="minorHAnsi" w:eastAsiaTheme="minorHAnsi" w:hAnsiTheme="minorHAnsi" w:cstheme="minorBidi"/>
          <w:color w:val="44546A" w:themeColor="text2"/>
          <w:sz w:val="22"/>
          <w:szCs w:val="22"/>
          <w:lang w:val="en-GB" w:eastAsia="en-US"/>
        </w:rPr>
        <w:t>Australia continued</w:t>
      </w:r>
      <w:r>
        <w:rPr>
          <w:rFonts w:asciiTheme="minorHAnsi" w:eastAsiaTheme="minorHAnsi" w:hAnsiTheme="minorHAnsi" w:cstheme="minorBidi"/>
          <w:color w:val="44546A" w:themeColor="text2"/>
          <w:sz w:val="22"/>
          <w:szCs w:val="22"/>
          <w:lang w:val="en-GB" w:eastAsia="en-US"/>
        </w:rPr>
        <w:t xml:space="preserve"> to</w:t>
      </w:r>
      <w:r w:rsidRPr="00695580">
        <w:rPr>
          <w:rFonts w:asciiTheme="minorHAnsi" w:eastAsiaTheme="minorHAnsi" w:hAnsiTheme="minorHAnsi" w:cstheme="minorBidi"/>
          <w:color w:val="44546A" w:themeColor="text2"/>
          <w:sz w:val="22"/>
          <w:szCs w:val="22"/>
          <w:lang w:val="en-GB" w:eastAsia="en-US"/>
        </w:rPr>
        <w:t xml:space="preserve"> support</w:t>
      </w:r>
      <w:r>
        <w:rPr>
          <w:rFonts w:asciiTheme="minorHAnsi" w:eastAsiaTheme="minorHAnsi" w:hAnsiTheme="minorHAnsi" w:cstheme="minorBidi"/>
          <w:color w:val="44546A" w:themeColor="text2"/>
          <w:sz w:val="22"/>
          <w:szCs w:val="22"/>
          <w:lang w:val="en-GB" w:eastAsia="en-US"/>
        </w:rPr>
        <w:t xml:space="preserve"> Pacific electoral management b</w:t>
      </w:r>
      <w:r w:rsidRPr="003C15CD">
        <w:rPr>
          <w:rFonts w:asciiTheme="minorHAnsi" w:eastAsiaTheme="minorHAnsi" w:hAnsiTheme="minorHAnsi" w:cstheme="minorBidi"/>
          <w:color w:val="44546A" w:themeColor="text2"/>
          <w:sz w:val="22"/>
          <w:szCs w:val="22"/>
          <w:lang w:val="en-GB" w:eastAsia="en-US"/>
        </w:rPr>
        <w:t xml:space="preserve">odies </w:t>
      </w:r>
      <w:r>
        <w:rPr>
          <w:rFonts w:asciiTheme="minorHAnsi" w:eastAsiaTheme="minorHAnsi" w:hAnsiTheme="minorHAnsi" w:cstheme="minorBidi"/>
          <w:color w:val="44546A" w:themeColor="text2"/>
          <w:sz w:val="22"/>
          <w:szCs w:val="22"/>
          <w:lang w:val="en-GB" w:eastAsia="en-US"/>
        </w:rPr>
        <w:t xml:space="preserve">via the </w:t>
      </w:r>
      <w:r w:rsidRPr="005326D8">
        <w:rPr>
          <w:rFonts w:asciiTheme="minorHAnsi" w:eastAsiaTheme="minorHAnsi" w:hAnsiTheme="minorHAnsi" w:cstheme="minorBidi"/>
          <w:color w:val="44546A" w:themeColor="text2"/>
          <w:sz w:val="22"/>
          <w:szCs w:val="22"/>
          <w:lang w:val="en-GB" w:eastAsia="en-US"/>
        </w:rPr>
        <w:t>Pacific Islands, Australia and New Zealand Electoral Administrators Network</w:t>
      </w:r>
      <w:r>
        <w:rPr>
          <w:rFonts w:asciiTheme="minorHAnsi" w:eastAsiaTheme="minorHAnsi" w:hAnsiTheme="minorHAnsi" w:cstheme="minorBidi"/>
          <w:color w:val="44546A" w:themeColor="text2"/>
          <w:sz w:val="22"/>
          <w:szCs w:val="22"/>
          <w:lang w:val="en-GB" w:eastAsia="en-US"/>
        </w:rPr>
        <w:t xml:space="preserve"> (</w:t>
      </w:r>
      <w:r w:rsidRPr="00695580">
        <w:rPr>
          <w:rFonts w:asciiTheme="minorHAnsi" w:eastAsiaTheme="minorHAnsi" w:hAnsiTheme="minorHAnsi" w:cstheme="minorBidi"/>
          <w:color w:val="44546A" w:themeColor="text2"/>
          <w:sz w:val="22"/>
          <w:szCs w:val="22"/>
          <w:lang w:val="en-GB" w:eastAsia="en-US"/>
        </w:rPr>
        <w:t>PIANZEA</w:t>
      </w:r>
      <w:r>
        <w:rPr>
          <w:rFonts w:asciiTheme="minorHAnsi" w:eastAsiaTheme="minorHAnsi" w:hAnsiTheme="minorHAnsi" w:cstheme="minorBidi"/>
          <w:color w:val="44546A" w:themeColor="text2"/>
          <w:sz w:val="22"/>
          <w:szCs w:val="22"/>
          <w:lang w:val="en-GB" w:eastAsia="en-US"/>
        </w:rPr>
        <w:t xml:space="preserve">).  PIANZEA provided </w:t>
      </w:r>
      <w:r w:rsidRPr="00695580">
        <w:rPr>
          <w:rFonts w:asciiTheme="minorHAnsi" w:eastAsiaTheme="minorHAnsi" w:hAnsiTheme="minorHAnsi" w:cstheme="minorBidi"/>
          <w:color w:val="44546A" w:themeColor="text2"/>
          <w:sz w:val="22"/>
          <w:szCs w:val="22"/>
          <w:lang w:val="en-GB" w:eastAsia="en-US"/>
        </w:rPr>
        <w:t>training, conferences, exchanges</w:t>
      </w:r>
      <w:r>
        <w:rPr>
          <w:rFonts w:asciiTheme="minorHAnsi" w:eastAsiaTheme="minorHAnsi" w:hAnsiTheme="minorHAnsi" w:cstheme="minorBidi"/>
          <w:color w:val="44546A" w:themeColor="text2"/>
          <w:sz w:val="22"/>
          <w:szCs w:val="22"/>
          <w:lang w:val="en-GB" w:eastAsia="en-US"/>
        </w:rPr>
        <w:t>,</w:t>
      </w:r>
      <w:r w:rsidRPr="00695580">
        <w:rPr>
          <w:rFonts w:asciiTheme="minorHAnsi" w:eastAsiaTheme="minorHAnsi" w:hAnsiTheme="minorHAnsi" w:cstheme="minorBidi"/>
          <w:color w:val="44546A" w:themeColor="text2"/>
          <w:sz w:val="22"/>
          <w:szCs w:val="22"/>
          <w:lang w:val="en-GB" w:eastAsia="en-US"/>
        </w:rPr>
        <w:t xml:space="preserve"> technical support and advice. </w:t>
      </w:r>
      <w:r>
        <w:rPr>
          <w:rFonts w:asciiTheme="minorHAnsi" w:eastAsiaTheme="minorHAnsi" w:hAnsiTheme="minorHAnsi" w:cstheme="minorBidi"/>
          <w:color w:val="44546A" w:themeColor="text2"/>
          <w:sz w:val="22"/>
          <w:szCs w:val="22"/>
          <w:lang w:val="en-GB" w:eastAsia="en-US"/>
        </w:rPr>
        <w:t xml:space="preserve"> PIANZEA strengthened the integrity of elections through election visitor programs; a regional boundary delimitations workshop; and electoral operations training across the Pacific.</w:t>
      </w:r>
    </w:p>
    <w:p w:rsidR="00C25AD7" w:rsidRPr="00695580" w:rsidRDefault="00C25AD7" w:rsidP="00C25AD7">
      <w:pPr>
        <w:pStyle w:val="ListBullet"/>
        <w:numPr>
          <w:ilvl w:val="0"/>
          <w:numId w:val="17"/>
        </w:numPr>
        <w:tabs>
          <w:tab w:val="clear" w:pos="284"/>
        </w:tabs>
        <w:ind w:left="357" w:hanging="357"/>
        <w:rPr>
          <w:rFonts w:asciiTheme="minorHAnsi" w:hAnsiTheme="minorHAnsi" w:cstheme="minorBidi"/>
          <w:color w:val="44546A" w:themeColor="text2"/>
          <w:sz w:val="22"/>
          <w:szCs w:val="22"/>
          <w:lang w:val="en-GB"/>
        </w:rPr>
      </w:pPr>
      <w:r w:rsidRPr="00695580">
        <w:rPr>
          <w:rFonts w:asciiTheme="minorHAnsi" w:eastAsiaTheme="minorHAnsi" w:hAnsiTheme="minorHAnsi" w:cstheme="minorBidi"/>
          <w:color w:val="44546A" w:themeColor="text2"/>
          <w:sz w:val="22"/>
          <w:szCs w:val="22"/>
          <w:lang w:val="en-GB" w:eastAsia="en-US"/>
        </w:rPr>
        <w:t xml:space="preserve">In June 2017, DFAT’s Pacific Media Assistance Scheme (PACMAS) completed Phase 2 of the media development program (2011-2017). </w:t>
      </w:r>
      <w:r>
        <w:rPr>
          <w:rFonts w:asciiTheme="minorHAnsi" w:eastAsiaTheme="minorHAnsi" w:hAnsiTheme="minorHAnsi" w:cstheme="minorBidi"/>
          <w:color w:val="44546A" w:themeColor="text2"/>
          <w:sz w:val="22"/>
          <w:szCs w:val="22"/>
          <w:lang w:val="en-GB" w:eastAsia="en-US"/>
        </w:rPr>
        <w:t xml:space="preserve"> </w:t>
      </w:r>
      <w:r w:rsidRPr="00695580">
        <w:rPr>
          <w:rFonts w:asciiTheme="minorHAnsi" w:eastAsiaTheme="minorHAnsi" w:hAnsiTheme="minorHAnsi" w:cstheme="minorBidi"/>
          <w:color w:val="44546A" w:themeColor="text2"/>
          <w:sz w:val="22"/>
          <w:szCs w:val="22"/>
          <w:lang w:val="en-GB" w:eastAsia="en-US"/>
        </w:rPr>
        <w:t xml:space="preserve">Key 2016-17 </w:t>
      </w:r>
      <w:r>
        <w:rPr>
          <w:rFonts w:asciiTheme="minorHAnsi" w:eastAsiaTheme="minorHAnsi" w:hAnsiTheme="minorHAnsi" w:cstheme="minorBidi"/>
          <w:color w:val="44546A" w:themeColor="text2"/>
          <w:sz w:val="22"/>
          <w:szCs w:val="22"/>
          <w:lang w:val="en-GB" w:eastAsia="en-US"/>
        </w:rPr>
        <w:t>outcomes</w:t>
      </w:r>
      <w:r w:rsidRPr="00695580">
        <w:rPr>
          <w:rFonts w:asciiTheme="minorHAnsi" w:eastAsiaTheme="minorHAnsi" w:hAnsiTheme="minorHAnsi" w:cstheme="minorBidi"/>
          <w:color w:val="44546A" w:themeColor="text2"/>
          <w:sz w:val="22"/>
          <w:szCs w:val="22"/>
          <w:lang w:val="en-GB" w:eastAsia="en-US"/>
        </w:rPr>
        <w:t xml:space="preserve"> include </w:t>
      </w:r>
      <w:r>
        <w:rPr>
          <w:rFonts w:asciiTheme="minorHAnsi" w:eastAsiaTheme="minorHAnsi" w:hAnsiTheme="minorHAnsi" w:cstheme="minorBidi"/>
          <w:color w:val="44546A" w:themeColor="text2"/>
          <w:sz w:val="22"/>
          <w:szCs w:val="22"/>
          <w:lang w:val="en-GB" w:eastAsia="en-US"/>
        </w:rPr>
        <w:t xml:space="preserve">the delivery of </w:t>
      </w:r>
      <w:r w:rsidRPr="00695580">
        <w:rPr>
          <w:rFonts w:asciiTheme="minorHAnsi" w:eastAsiaTheme="minorHAnsi" w:hAnsiTheme="minorHAnsi" w:cstheme="minorBidi"/>
          <w:color w:val="44546A" w:themeColor="text2"/>
          <w:sz w:val="22"/>
          <w:szCs w:val="22"/>
          <w:lang w:val="en-GB" w:eastAsia="en-US"/>
        </w:rPr>
        <w:t xml:space="preserve">needs based training to media practitioners resulting in sector wide </w:t>
      </w:r>
      <w:r>
        <w:rPr>
          <w:rFonts w:asciiTheme="minorHAnsi" w:eastAsiaTheme="minorHAnsi" w:hAnsiTheme="minorHAnsi" w:cstheme="minorBidi"/>
          <w:color w:val="44546A" w:themeColor="text2"/>
          <w:sz w:val="22"/>
          <w:szCs w:val="22"/>
          <w:lang w:val="en-GB" w:eastAsia="en-US"/>
        </w:rPr>
        <w:t>improvements</w:t>
      </w:r>
      <w:r w:rsidRPr="00695580">
        <w:rPr>
          <w:rFonts w:asciiTheme="minorHAnsi" w:eastAsiaTheme="minorHAnsi" w:hAnsiTheme="minorHAnsi" w:cstheme="minorBidi"/>
          <w:color w:val="44546A" w:themeColor="text2"/>
          <w:sz w:val="22"/>
          <w:szCs w:val="22"/>
          <w:lang w:val="en-GB" w:eastAsia="en-US"/>
        </w:rPr>
        <w:t>; support to the Melanesian Spearhead Group</w:t>
      </w:r>
      <w:r>
        <w:rPr>
          <w:rFonts w:asciiTheme="minorHAnsi" w:eastAsiaTheme="minorHAnsi" w:hAnsiTheme="minorHAnsi" w:cstheme="minorBidi"/>
          <w:color w:val="44546A" w:themeColor="text2"/>
          <w:sz w:val="22"/>
          <w:szCs w:val="22"/>
          <w:lang w:val="en-GB" w:eastAsia="en-US"/>
        </w:rPr>
        <w:t xml:space="preserve">’s </w:t>
      </w:r>
      <w:r w:rsidRPr="00695580">
        <w:rPr>
          <w:rFonts w:asciiTheme="minorHAnsi" w:eastAsiaTheme="minorHAnsi" w:hAnsiTheme="minorHAnsi" w:cstheme="minorBidi"/>
          <w:color w:val="44546A" w:themeColor="text2"/>
          <w:sz w:val="22"/>
          <w:szCs w:val="22"/>
          <w:lang w:val="en-GB" w:eastAsia="en-US"/>
        </w:rPr>
        <w:t xml:space="preserve">new communication policy and strategy; </w:t>
      </w:r>
      <w:r>
        <w:rPr>
          <w:rFonts w:asciiTheme="minorHAnsi" w:eastAsiaTheme="minorHAnsi" w:hAnsiTheme="minorHAnsi" w:cstheme="minorBidi"/>
          <w:color w:val="44546A" w:themeColor="text2"/>
          <w:sz w:val="22"/>
          <w:szCs w:val="22"/>
          <w:lang w:val="en-GB" w:eastAsia="en-US"/>
        </w:rPr>
        <w:t>d</w:t>
      </w:r>
      <w:r w:rsidRPr="00695580">
        <w:rPr>
          <w:rFonts w:asciiTheme="minorHAnsi" w:eastAsiaTheme="minorHAnsi" w:hAnsiTheme="minorHAnsi" w:cstheme="minorBidi"/>
          <w:color w:val="44546A" w:themeColor="text2"/>
          <w:sz w:val="22"/>
          <w:szCs w:val="22"/>
          <w:lang w:val="en-GB" w:eastAsia="en-US"/>
        </w:rPr>
        <w:t xml:space="preserve">evelopment and adoption of </w:t>
      </w:r>
      <w:r>
        <w:rPr>
          <w:rFonts w:asciiTheme="minorHAnsi" w:eastAsiaTheme="minorHAnsi" w:hAnsiTheme="minorHAnsi" w:cstheme="minorBidi"/>
          <w:color w:val="44546A" w:themeColor="text2"/>
          <w:sz w:val="22"/>
          <w:szCs w:val="22"/>
          <w:lang w:val="en-GB" w:eastAsia="en-US"/>
        </w:rPr>
        <w:t>Samoa’s new</w:t>
      </w:r>
      <w:r w:rsidRPr="00695580">
        <w:rPr>
          <w:rFonts w:asciiTheme="minorHAnsi" w:eastAsiaTheme="minorHAnsi" w:hAnsiTheme="minorHAnsi" w:cstheme="minorBidi"/>
          <w:color w:val="44546A" w:themeColor="text2"/>
          <w:sz w:val="22"/>
          <w:szCs w:val="22"/>
          <w:lang w:val="en-GB" w:eastAsia="en-US"/>
        </w:rPr>
        <w:t xml:space="preserve"> media Code of Practice,</w:t>
      </w:r>
      <w:r>
        <w:rPr>
          <w:rFonts w:asciiTheme="minorHAnsi" w:eastAsiaTheme="minorHAnsi" w:hAnsiTheme="minorHAnsi" w:cstheme="minorBidi"/>
          <w:color w:val="44546A" w:themeColor="text2"/>
          <w:sz w:val="22"/>
          <w:szCs w:val="22"/>
          <w:lang w:val="en-GB" w:eastAsia="en-US"/>
        </w:rPr>
        <w:t xml:space="preserve"> and</w:t>
      </w:r>
      <w:r w:rsidRPr="00695580">
        <w:rPr>
          <w:rFonts w:asciiTheme="minorHAnsi" w:eastAsiaTheme="minorHAnsi" w:hAnsiTheme="minorHAnsi" w:cstheme="minorBidi"/>
          <w:color w:val="44546A" w:themeColor="text2"/>
          <w:sz w:val="22"/>
          <w:szCs w:val="22"/>
          <w:lang w:val="en-GB" w:eastAsia="en-US"/>
        </w:rPr>
        <w:t xml:space="preserve"> technical support for nine Pacific </w:t>
      </w:r>
      <w:r>
        <w:rPr>
          <w:rFonts w:asciiTheme="minorHAnsi" w:eastAsiaTheme="minorHAnsi" w:hAnsiTheme="minorHAnsi" w:cstheme="minorBidi"/>
          <w:color w:val="44546A" w:themeColor="text2"/>
          <w:sz w:val="22"/>
          <w:szCs w:val="22"/>
          <w:lang w:val="en-GB" w:eastAsia="en-US"/>
        </w:rPr>
        <w:t xml:space="preserve">island </w:t>
      </w:r>
      <w:r w:rsidRPr="00695580">
        <w:rPr>
          <w:rFonts w:asciiTheme="minorHAnsi" w:eastAsiaTheme="minorHAnsi" w:hAnsiTheme="minorHAnsi" w:cstheme="minorBidi"/>
          <w:color w:val="44546A" w:themeColor="text2"/>
          <w:sz w:val="22"/>
          <w:szCs w:val="22"/>
          <w:lang w:val="en-GB" w:eastAsia="en-US"/>
        </w:rPr>
        <w:t>countries to develop and test their disaster broadcasting plans.</w:t>
      </w:r>
    </w:p>
    <w:p w:rsidR="00C25AD7" w:rsidRPr="00196A67" w:rsidRDefault="00C25AD7" w:rsidP="00C25AD7">
      <w:pPr>
        <w:pStyle w:val="ListParagraph"/>
        <w:numPr>
          <w:ilvl w:val="0"/>
          <w:numId w:val="17"/>
        </w:numPr>
        <w:spacing w:after="120" w:line="280" w:lineRule="exact"/>
        <w:ind w:left="357" w:hanging="357"/>
        <w:rPr>
          <w:color w:val="auto"/>
          <w:lang w:val="en-US"/>
        </w:rPr>
      </w:pPr>
      <w:r w:rsidRPr="00121AFD">
        <w:rPr>
          <w:lang w:val="en-US"/>
        </w:rPr>
        <w:lastRenderedPageBreak/>
        <w:t xml:space="preserve">Pacific Financial Technical Assistance Centre (PFTAC) has helped improve legislation: credit union oversight (Fiji, Tonga, Vanuatu); financial management (Fiji, Nauru); and revenue (Fiji income tax, Nauru business tax). </w:t>
      </w:r>
      <w:r>
        <w:rPr>
          <w:lang w:val="en-US"/>
        </w:rPr>
        <w:t xml:space="preserve"> </w:t>
      </w:r>
      <w:r w:rsidRPr="00121AFD">
        <w:rPr>
          <w:lang w:val="en-US"/>
        </w:rPr>
        <w:t xml:space="preserve">Tax administration is now functionally structured in Niue, Palau, Tonga, and Vanuatu for better revenue and compliance outcomes.  </w:t>
      </w:r>
      <w:r>
        <w:rPr>
          <w:lang w:val="en-US"/>
        </w:rPr>
        <w:t xml:space="preserve"> </w:t>
      </w:r>
      <w:r w:rsidRPr="00121AFD">
        <w:rPr>
          <w:lang w:val="en-US"/>
        </w:rPr>
        <w:t xml:space="preserve">Fiji now prepares quarterly GDP data and National Accounts are more easily compiled in Tonga and PNG using tax and administrative data. </w:t>
      </w:r>
      <w:r>
        <w:rPr>
          <w:lang w:val="en-US"/>
        </w:rPr>
        <w:t xml:space="preserve"> </w:t>
      </w:r>
      <w:r w:rsidRPr="00121AFD">
        <w:rPr>
          <w:lang w:val="en-US"/>
        </w:rPr>
        <w:t xml:space="preserve">With PFTAC assistance, Vanuatu and Micronesia now have stronger macroeconomic modeling and forecasting </w:t>
      </w:r>
      <w:r w:rsidRPr="00FF1BB6">
        <w:t>capacity.</w:t>
      </w:r>
    </w:p>
    <w:p w:rsidR="00C25AD7" w:rsidRPr="00196A67" w:rsidRDefault="00C25AD7" w:rsidP="00C25AD7">
      <w:pPr>
        <w:pStyle w:val="ListBullet"/>
        <w:numPr>
          <w:ilvl w:val="0"/>
          <w:numId w:val="17"/>
        </w:numPr>
        <w:tabs>
          <w:tab w:val="clear" w:pos="284"/>
        </w:tabs>
        <w:rPr>
          <w:lang w:val="en-GB"/>
        </w:rPr>
      </w:pPr>
      <w:r w:rsidRPr="00E730F0">
        <w:rPr>
          <w:rFonts w:asciiTheme="minorHAnsi" w:eastAsiaTheme="minorHAnsi" w:hAnsiTheme="minorHAnsi" w:cstheme="minorBidi"/>
          <w:color w:val="44546A" w:themeColor="text2"/>
          <w:sz w:val="22"/>
          <w:szCs w:val="22"/>
          <w:lang w:val="en-GB" w:eastAsia="en-US"/>
        </w:rPr>
        <w:t>In 2016</w:t>
      </w:r>
      <w:r w:rsidRPr="00A62A82">
        <w:rPr>
          <w:rFonts w:asciiTheme="minorHAnsi" w:eastAsiaTheme="minorHAnsi" w:hAnsiTheme="minorHAnsi" w:cstheme="minorBidi"/>
          <w:color w:val="44546A" w:themeColor="text2"/>
          <w:sz w:val="22"/>
          <w:szCs w:val="22"/>
          <w:lang w:val="en-GB" w:eastAsia="en-US"/>
        </w:rPr>
        <w:t>-17, the Pacific Association of Supreme Audit Institutions (</w:t>
      </w:r>
      <w:r w:rsidRPr="00E730F0">
        <w:rPr>
          <w:rFonts w:asciiTheme="minorHAnsi" w:eastAsiaTheme="minorHAnsi" w:hAnsiTheme="minorHAnsi" w:cstheme="minorBidi"/>
          <w:color w:val="44546A" w:themeColor="text2"/>
          <w:sz w:val="22"/>
          <w:szCs w:val="22"/>
          <w:lang w:val="en-GB" w:eastAsia="en-US"/>
        </w:rPr>
        <w:t>PASAI</w:t>
      </w:r>
      <w:r w:rsidRPr="00A62A82">
        <w:rPr>
          <w:rFonts w:asciiTheme="minorHAnsi" w:eastAsiaTheme="minorHAnsi" w:hAnsiTheme="minorHAnsi" w:cstheme="minorBidi"/>
          <w:color w:val="44546A" w:themeColor="text2"/>
          <w:sz w:val="22"/>
          <w:szCs w:val="22"/>
          <w:lang w:val="en-GB" w:eastAsia="en-US"/>
        </w:rPr>
        <w:t>)</w:t>
      </w:r>
      <w:r w:rsidRPr="00E730F0">
        <w:rPr>
          <w:rFonts w:asciiTheme="minorHAnsi" w:eastAsiaTheme="minorHAnsi" w:hAnsiTheme="minorHAnsi" w:cstheme="minorBidi"/>
          <w:color w:val="44546A" w:themeColor="text2"/>
          <w:sz w:val="22"/>
          <w:szCs w:val="22"/>
          <w:lang w:val="en-GB" w:eastAsia="en-US"/>
        </w:rPr>
        <w:t xml:space="preserve"> actively engaged with Legislative Committees, government entities and stakeholders of Pohnpei-Federated Stat</w:t>
      </w:r>
      <w:r>
        <w:rPr>
          <w:rFonts w:asciiTheme="minorHAnsi" w:eastAsiaTheme="minorHAnsi" w:hAnsiTheme="minorHAnsi" w:cstheme="minorBidi"/>
          <w:color w:val="44546A" w:themeColor="text2"/>
          <w:sz w:val="22"/>
          <w:szCs w:val="22"/>
          <w:lang w:val="en-GB" w:eastAsia="en-US"/>
        </w:rPr>
        <w:t>es</w:t>
      </w:r>
      <w:r w:rsidRPr="00E730F0">
        <w:rPr>
          <w:rFonts w:asciiTheme="minorHAnsi" w:eastAsiaTheme="minorHAnsi" w:hAnsiTheme="minorHAnsi" w:cstheme="minorBidi"/>
          <w:color w:val="44546A" w:themeColor="text2"/>
          <w:sz w:val="22"/>
          <w:szCs w:val="22"/>
          <w:lang w:val="en-GB" w:eastAsia="en-US"/>
        </w:rPr>
        <w:t xml:space="preserve"> of Micronesia and Tonga to strengthen the capacity of standing committee on Finance to provide support to public scrutiny of government finances on behalf of its citizens.</w:t>
      </w:r>
    </w:p>
    <w:p w:rsidR="00C25AD7" w:rsidRPr="004C501A" w:rsidRDefault="00C25AD7" w:rsidP="00C25AD7">
      <w:pPr>
        <w:pStyle w:val="ListBullet"/>
        <w:numPr>
          <w:ilvl w:val="0"/>
          <w:numId w:val="17"/>
        </w:numPr>
        <w:tabs>
          <w:tab w:val="clear" w:pos="284"/>
        </w:tabs>
        <w:rPr>
          <w:lang w:val="en-US"/>
        </w:rPr>
      </w:pPr>
      <w:r w:rsidRPr="00695580">
        <w:rPr>
          <w:rFonts w:asciiTheme="minorHAnsi" w:hAnsiTheme="minorHAnsi" w:cstheme="minorBidi"/>
          <w:color w:val="44546A" w:themeColor="text2"/>
          <w:sz w:val="22"/>
          <w:szCs w:val="22"/>
          <w:lang w:val="en-GB"/>
        </w:rPr>
        <w:t xml:space="preserve">In the financial year 2016-17, PACTAM2 engaged 65 advisers </w:t>
      </w:r>
      <w:r>
        <w:rPr>
          <w:rFonts w:asciiTheme="minorHAnsi" w:hAnsiTheme="minorHAnsi" w:cstheme="minorBidi"/>
          <w:color w:val="44546A" w:themeColor="text2"/>
          <w:sz w:val="22"/>
          <w:szCs w:val="22"/>
          <w:lang w:val="en-GB"/>
        </w:rPr>
        <w:t>to work in</w:t>
      </w:r>
      <w:r w:rsidRPr="00695580">
        <w:rPr>
          <w:rFonts w:asciiTheme="minorHAnsi" w:hAnsiTheme="minorHAnsi" w:cstheme="minorBidi"/>
          <w:color w:val="44546A" w:themeColor="text2"/>
          <w:sz w:val="22"/>
          <w:szCs w:val="22"/>
          <w:lang w:val="en-GB"/>
        </w:rPr>
        <w:t xml:space="preserve"> nine Pacific island countries in the areas of health, governance, infrastructure, finance, tax, education, environment, climate change and water, sanitation and hygiene</w:t>
      </w:r>
      <w:r>
        <w:rPr>
          <w:rFonts w:asciiTheme="minorHAnsi" w:eastAsiaTheme="minorHAnsi" w:hAnsiTheme="minorHAnsi" w:cstheme="minorBidi"/>
          <w:color w:val="44546A" w:themeColor="text2"/>
          <w:sz w:val="22"/>
          <w:szCs w:val="22"/>
          <w:lang w:val="en-GB" w:eastAsia="en-US"/>
        </w:rPr>
        <w:t xml:space="preserve">.  </w:t>
      </w:r>
      <w:r w:rsidRPr="00695580">
        <w:rPr>
          <w:rFonts w:asciiTheme="minorHAnsi" w:hAnsiTheme="minorHAnsi" w:cstheme="minorBidi"/>
          <w:color w:val="44546A" w:themeColor="text2"/>
          <w:sz w:val="22"/>
          <w:szCs w:val="22"/>
          <w:lang w:val="en-GB"/>
        </w:rPr>
        <w:t xml:space="preserve">In May 2016, a Pacific Technical Assistance Mechanism (Phase 2) Rapid Management Review assessed PACTAM2 to be an efficient and effective mechanism for providing technical assistance in the Pacific. </w:t>
      </w:r>
    </w:p>
    <w:p w:rsidR="00C25AD7" w:rsidRPr="004C501A" w:rsidRDefault="00C25AD7" w:rsidP="00C25AD7">
      <w:pPr>
        <w:pStyle w:val="ListBullet"/>
        <w:numPr>
          <w:ilvl w:val="0"/>
          <w:numId w:val="17"/>
        </w:numPr>
        <w:tabs>
          <w:tab w:val="clear" w:pos="284"/>
        </w:tabs>
        <w:rPr>
          <w:lang w:val="en-GB"/>
        </w:rPr>
      </w:pPr>
      <w:r>
        <w:rPr>
          <w:rFonts w:asciiTheme="minorHAnsi" w:eastAsiaTheme="minorHAnsi" w:hAnsiTheme="minorHAnsi" w:cstheme="minorBidi"/>
          <w:color w:val="44546A" w:themeColor="text2"/>
          <w:sz w:val="22"/>
          <w:szCs w:val="22"/>
          <w:lang w:val="en-GB" w:eastAsia="en-US"/>
        </w:rPr>
        <w:t>The</w:t>
      </w:r>
      <w:r w:rsidRPr="004C501A">
        <w:rPr>
          <w:rFonts w:asciiTheme="minorHAnsi" w:eastAsiaTheme="minorHAnsi" w:hAnsiTheme="minorHAnsi" w:cstheme="minorBidi"/>
          <w:color w:val="44546A" w:themeColor="text2"/>
          <w:sz w:val="22"/>
          <w:szCs w:val="22"/>
          <w:lang w:val="en-GB" w:eastAsia="en-US"/>
        </w:rPr>
        <w:t xml:space="preserve"> Pacific Leadership Program Phase 3 supported collective action led by Pacific Island leaders and coalitions in pursuit of policy and institutional changes and reforms.  Key achievements include: passing of the Right to Information Bill by the Vanuatu Parliament following extensive community engagement by Transparency International Vanuatu; the first Public Private Dialogue in Tonga hosted by the Tonga Chamber of Commerce and Industry resulted in a Cabinet approved concept paper and a Green Growth Dialogue with over 100 participants; and training provided by the Women in Shared Decision Making coalition and the Department of Women's Affairs helped support the election of a woman as Deputy Mayor of Luganville.</w:t>
      </w:r>
    </w:p>
    <w:p w:rsidR="00C25AD7" w:rsidRPr="004C501A" w:rsidRDefault="00C25AD7" w:rsidP="00C25AD7">
      <w:pPr>
        <w:pStyle w:val="ListBullet"/>
        <w:numPr>
          <w:ilvl w:val="0"/>
          <w:numId w:val="17"/>
        </w:numPr>
        <w:tabs>
          <w:tab w:val="clear" w:pos="284"/>
        </w:tabs>
        <w:rPr>
          <w:lang w:val="en-GB"/>
        </w:rPr>
      </w:pPr>
      <w:r w:rsidRPr="004C501A">
        <w:rPr>
          <w:rFonts w:asciiTheme="minorHAnsi" w:eastAsiaTheme="minorHAnsi" w:hAnsiTheme="minorHAnsi" w:cstheme="minorBidi"/>
          <w:color w:val="44546A" w:themeColor="text2"/>
          <w:sz w:val="22"/>
          <w:szCs w:val="22"/>
          <w:lang w:val="en-GB" w:eastAsia="en-US"/>
        </w:rPr>
        <w:t xml:space="preserve">High-quality research strengthens the evidence base on which sound policy-making and program design rests.  It is valuable for policy-making and program design and delivery by Australia, the Pacific and partners around the world.  During 2016-17 DFAT, through the State, Society and Governance in Melanesia Program at the Australian National University, supported substantive research collaborations between Australian research institutions and academia, civil society and government partners across the region, including a major study of the 2017 PNG National Election involving over 250 Papua New Guinean researchers. </w:t>
      </w:r>
    </w:p>
    <w:p w:rsidR="00C25AD7" w:rsidRDefault="00C25AD7" w:rsidP="00C25AD7">
      <w:pPr>
        <w:pStyle w:val="ListBullet"/>
        <w:numPr>
          <w:ilvl w:val="0"/>
          <w:numId w:val="17"/>
        </w:numPr>
        <w:rPr>
          <w:rFonts w:asciiTheme="minorHAnsi" w:eastAsiaTheme="minorHAnsi" w:hAnsiTheme="minorHAnsi" w:cstheme="minorBidi"/>
          <w:color w:val="44546A" w:themeColor="text2"/>
          <w:sz w:val="22"/>
          <w:szCs w:val="22"/>
          <w:lang w:val="en-GB" w:eastAsia="en-US"/>
        </w:rPr>
      </w:pPr>
      <w:r w:rsidRPr="00E57D5D">
        <w:rPr>
          <w:rFonts w:asciiTheme="minorHAnsi" w:eastAsiaTheme="minorHAnsi" w:hAnsiTheme="minorHAnsi" w:cstheme="minorBidi"/>
          <w:color w:val="44546A" w:themeColor="text2"/>
          <w:sz w:val="22"/>
          <w:szCs w:val="22"/>
          <w:lang w:val="en-GB" w:eastAsia="en-US"/>
        </w:rPr>
        <w:t>Through the Cyber-Safety Pas</w:t>
      </w:r>
      <w:r>
        <w:rPr>
          <w:rFonts w:asciiTheme="minorHAnsi" w:eastAsiaTheme="minorHAnsi" w:hAnsiTheme="minorHAnsi" w:cstheme="minorBidi"/>
          <w:color w:val="44546A" w:themeColor="text2"/>
          <w:sz w:val="22"/>
          <w:szCs w:val="22"/>
          <w:lang w:val="en-GB" w:eastAsia="en-US"/>
        </w:rPr>
        <w:t xml:space="preserve">ifika (CSP) program the AFP has </w:t>
      </w:r>
    </w:p>
    <w:p w:rsidR="00C25AD7" w:rsidRDefault="00C25AD7" w:rsidP="00C25AD7">
      <w:pPr>
        <w:pStyle w:val="ListBullet"/>
        <w:numPr>
          <w:ilvl w:val="1"/>
          <w:numId w:val="27"/>
        </w:numPr>
        <w:rPr>
          <w:rFonts w:asciiTheme="minorHAnsi" w:eastAsiaTheme="minorHAnsi" w:hAnsiTheme="minorHAnsi" w:cstheme="minorBidi"/>
          <w:color w:val="44546A" w:themeColor="text2"/>
          <w:sz w:val="22"/>
          <w:szCs w:val="22"/>
          <w:lang w:val="en-GB" w:eastAsia="en-US"/>
        </w:rPr>
      </w:pPr>
      <w:r>
        <w:rPr>
          <w:rFonts w:asciiTheme="minorHAnsi" w:eastAsiaTheme="minorHAnsi" w:hAnsiTheme="minorHAnsi" w:cstheme="minorBidi"/>
          <w:color w:val="44546A" w:themeColor="text2"/>
          <w:sz w:val="22"/>
          <w:szCs w:val="22"/>
          <w:lang w:val="en-GB" w:eastAsia="en-US"/>
        </w:rPr>
        <w:t>t</w:t>
      </w:r>
      <w:r w:rsidRPr="00E57D5D">
        <w:rPr>
          <w:rFonts w:asciiTheme="minorHAnsi" w:eastAsiaTheme="minorHAnsi" w:hAnsiTheme="minorHAnsi" w:cstheme="minorBidi"/>
          <w:color w:val="44546A" w:themeColor="text2"/>
          <w:sz w:val="22"/>
          <w:szCs w:val="22"/>
          <w:lang w:val="en-GB" w:eastAsia="en-US"/>
        </w:rPr>
        <w:t>rained 13 Pacific Police Officers from nine countries to ensure the ongoing delivery of the Cyber Awareness program to children and vulnerable communitie</w:t>
      </w:r>
      <w:r>
        <w:rPr>
          <w:rFonts w:asciiTheme="minorHAnsi" w:eastAsiaTheme="minorHAnsi" w:hAnsiTheme="minorHAnsi" w:cstheme="minorBidi"/>
          <w:color w:val="44546A" w:themeColor="text2"/>
          <w:sz w:val="22"/>
          <w:szCs w:val="22"/>
          <w:lang w:val="en-GB" w:eastAsia="en-US"/>
        </w:rPr>
        <w:t>s in their respective countries</w:t>
      </w:r>
    </w:p>
    <w:p w:rsidR="00C25AD7" w:rsidRDefault="00C25AD7" w:rsidP="00C25AD7">
      <w:pPr>
        <w:pStyle w:val="ListBullet"/>
        <w:numPr>
          <w:ilvl w:val="1"/>
          <w:numId w:val="27"/>
        </w:numPr>
        <w:rPr>
          <w:rFonts w:asciiTheme="minorHAnsi" w:eastAsiaTheme="minorHAnsi" w:hAnsiTheme="minorHAnsi" w:cstheme="minorBidi"/>
          <w:color w:val="44546A" w:themeColor="text2"/>
          <w:sz w:val="22"/>
          <w:szCs w:val="22"/>
          <w:lang w:val="en-GB" w:eastAsia="en-US"/>
        </w:rPr>
      </w:pPr>
      <w:r>
        <w:rPr>
          <w:rFonts w:asciiTheme="minorHAnsi" w:eastAsiaTheme="minorHAnsi" w:hAnsiTheme="minorHAnsi" w:cstheme="minorBidi"/>
          <w:color w:val="44546A" w:themeColor="text2"/>
          <w:sz w:val="22"/>
          <w:szCs w:val="22"/>
          <w:lang w:val="en-GB" w:eastAsia="en-US"/>
        </w:rPr>
        <w:t>r</w:t>
      </w:r>
      <w:r w:rsidRPr="00E57D5D">
        <w:rPr>
          <w:rFonts w:asciiTheme="minorHAnsi" w:eastAsiaTheme="minorHAnsi" w:hAnsiTheme="minorHAnsi" w:cstheme="minorBidi"/>
          <w:color w:val="44546A" w:themeColor="text2"/>
          <w:sz w:val="22"/>
          <w:szCs w:val="22"/>
          <w:lang w:val="en-GB" w:eastAsia="en-US"/>
        </w:rPr>
        <w:t xml:space="preserve">eviewed cyber based legislation in Pacific Island countries in partnership with the Australian Attorney General's Department; and  </w:t>
      </w:r>
    </w:p>
    <w:p w:rsidR="00C25AD7" w:rsidRPr="00A1560D" w:rsidRDefault="00C25AD7" w:rsidP="00C25AD7">
      <w:pPr>
        <w:pStyle w:val="ListBullet"/>
        <w:numPr>
          <w:ilvl w:val="1"/>
          <w:numId w:val="27"/>
        </w:numPr>
        <w:rPr>
          <w:rFonts w:asciiTheme="minorHAnsi" w:eastAsiaTheme="minorHAnsi" w:hAnsiTheme="minorHAnsi" w:cstheme="minorBidi"/>
          <w:color w:val="44546A" w:themeColor="text2"/>
          <w:sz w:val="22"/>
          <w:szCs w:val="22"/>
          <w:lang w:val="en-GB" w:eastAsia="en-US"/>
        </w:rPr>
      </w:pPr>
      <w:r w:rsidRPr="00E57D5D">
        <w:rPr>
          <w:rFonts w:asciiTheme="minorHAnsi" w:eastAsiaTheme="minorHAnsi" w:hAnsiTheme="minorHAnsi" w:cstheme="minorBidi"/>
          <w:color w:val="44546A" w:themeColor="text2"/>
          <w:sz w:val="22"/>
          <w:szCs w:val="22"/>
          <w:lang w:val="en-GB" w:eastAsia="en-US"/>
        </w:rPr>
        <w:t>Delivered a basic cyber related investigations program to 20 Pacific Police to provide them with appropriate knowledge and skills to investigate these crimes.</w:t>
      </w:r>
    </w:p>
    <w:p w:rsidR="00C25AD7" w:rsidRPr="008F00AA" w:rsidRDefault="00C25AD7" w:rsidP="00C25AD7">
      <w:pPr>
        <w:pStyle w:val="ListBullet"/>
        <w:numPr>
          <w:ilvl w:val="0"/>
          <w:numId w:val="17"/>
        </w:numPr>
        <w:tabs>
          <w:tab w:val="clear" w:pos="284"/>
        </w:tabs>
      </w:pPr>
      <w:r w:rsidRPr="008F00AA">
        <w:rPr>
          <w:rFonts w:asciiTheme="minorHAnsi" w:eastAsiaTheme="minorHAnsi" w:hAnsiTheme="minorHAnsi" w:cstheme="minorBidi"/>
          <w:color w:val="44546A" w:themeColor="text2"/>
          <w:sz w:val="22"/>
          <w:szCs w:val="22"/>
          <w:lang w:val="en-GB" w:eastAsia="en-US"/>
        </w:rPr>
        <w:t>AGD supported the Pacific Islands Law Officers Network (PILON) to strengthen collaboration, coordination and cooperation between Pacific law and justice agencies to progress regional law and justice priorities</w:t>
      </w:r>
      <w:r>
        <w:rPr>
          <w:rFonts w:asciiTheme="minorHAnsi" w:eastAsiaTheme="minorHAnsi" w:hAnsiTheme="minorHAnsi" w:cstheme="minorBidi"/>
          <w:color w:val="44546A" w:themeColor="text2"/>
          <w:sz w:val="22"/>
          <w:szCs w:val="22"/>
          <w:lang w:val="en-GB" w:eastAsia="en-US"/>
        </w:rPr>
        <w:t xml:space="preserve">.  </w:t>
      </w:r>
      <w:r w:rsidRPr="008F00AA">
        <w:rPr>
          <w:rFonts w:asciiTheme="minorHAnsi" w:eastAsiaTheme="minorHAnsi" w:hAnsiTheme="minorHAnsi" w:cstheme="minorBidi"/>
          <w:color w:val="44546A" w:themeColor="text2"/>
          <w:sz w:val="22"/>
          <w:szCs w:val="22"/>
          <w:lang w:val="en-GB" w:eastAsia="en-US"/>
        </w:rPr>
        <w:t>PILON</w:t>
      </w:r>
      <w:r>
        <w:rPr>
          <w:rFonts w:asciiTheme="minorHAnsi" w:eastAsiaTheme="minorHAnsi" w:hAnsiTheme="minorHAnsi" w:cstheme="minorBidi"/>
          <w:color w:val="44546A" w:themeColor="text2"/>
          <w:sz w:val="22"/>
          <w:szCs w:val="22"/>
          <w:lang w:val="en-GB" w:eastAsia="en-US"/>
        </w:rPr>
        <w:t>’s</w:t>
      </w:r>
      <w:r w:rsidRPr="008F00AA">
        <w:rPr>
          <w:rFonts w:asciiTheme="minorHAnsi" w:eastAsiaTheme="minorHAnsi" w:hAnsiTheme="minorHAnsi" w:cstheme="minorBidi"/>
          <w:color w:val="44546A" w:themeColor="text2"/>
          <w:sz w:val="22"/>
          <w:szCs w:val="22"/>
          <w:lang w:val="en-GB" w:eastAsia="en-US"/>
        </w:rPr>
        <w:t xml:space="preserve"> priority areas of sexual and gender based violence, cybercrime and environmental crime and corruption.  </w:t>
      </w:r>
      <w:r>
        <w:rPr>
          <w:rFonts w:asciiTheme="minorHAnsi" w:eastAsiaTheme="minorHAnsi" w:hAnsiTheme="minorHAnsi" w:cstheme="minorBidi"/>
          <w:color w:val="44546A" w:themeColor="text2"/>
          <w:sz w:val="22"/>
          <w:szCs w:val="22"/>
          <w:lang w:val="en-GB" w:eastAsia="en-US"/>
        </w:rPr>
        <w:t>A</w:t>
      </w:r>
      <w:r w:rsidRPr="008F00AA">
        <w:rPr>
          <w:rFonts w:asciiTheme="minorHAnsi" w:eastAsiaTheme="minorHAnsi" w:hAnsiTheme="minorHAnsi" w:cstheme="minorBidi"/>
          <w:color w:val="44546A" w:themeColor="text2"/>
          <w:sz w:val="22"/>
          <w:szCs w:val="22"/>
          <w:lang w:val="en-GB" w:eastAsia="en-US"/>
        </w:rPr>
        <w:t>t the request of PICP, AGD produced an overview of Pacific cybercrime legislation and a paper on information sharing in relation to criminal deportees.</w:t>
      </w:r>
      <w:r>
        <w:rPr>
          <w:rFonts w:asciiTheme="minorHAnsi" w:eastAsiaTheme="minorHAnsi" w:hAnsiTheme="minorHAnsi" w:cstheme="minorBidi"/>
          <w:color w:val="44546A" w:themeColor="text2"/>
          <w:sz w:val="22"/>
          <w:szCs w:val="22"/>
          <w:lang w:val="en-GB" w:eastAsia="en-US"/>
        </w:rPr>
        <w:t xml:space="preserve">  </w:t>
      </w:r>
    </w:p>
    <w:p w:rsidR="00C25AD7" w:rsidRPr="008F00AA" w:rsidRDefault="00C25AD7" w:rsidP="00C25AD7">
      <w:pPr>
        <w:pStyle w:val="ListBullet"/>
        <w:numPr>
          <w:ilvl w:val="0"/>
          <w:numId w:val="17"/>
        </w:numPr>
        <w:tabs>
          <w:tab w:val="clear" w:pos="284"/>
        </w:tabs>
      </w:pPr>
      <w:r w:rsidRPr="008F00AA">
        <w:rPr>
          <w:rFonts w:asciiTheme="minorHAnsi" w:eastAsiaTheme="minorHAnsi" w:hAnsiTheme="minorHAnsi" w:cstheme="minorBidi"/>
          <w:color w:val="44546A" w:themeColor="text2"/>
          <w:sz w:val="22"/>
          <w:szCs w:val="22"/>
          <w:lang w:val="en-GB" w:eastAsia="en-US"/>
        </w:rPr>
        <w:t xml:space="preserve">AGD continued to focus on building Pacific legal policy development and law reform capacity, through its two month Pacific Policy Twinning Program, this year hosting officers from Fiji, Solomon Islands, Papua New Guinea and Vanuatu. AGD also hosted seven Pacific law and justice officials for its Pacific Policy Champions Course. The participants reported an increase in their knowledge and skill base in legal policy development after they completed the respective programs. As a result of AGD’s programs, 162 Pacific Island officials were trained or mentored during 2016/17 (77 females; 80 males; 5 gender unspecified). </w:t>
      </w:r>
    </w:p>
    <w:p w:rsidR="00C25AD7" w:rsidRPr="002F4B2C" w:rsidRDefault="00C25AD7" w:rsidP="00C25AD7">
      <w:pPr>
        <w:pStyle w:val="BodyText"/>
        <w:rPr>
          <w:rFonts w:asciiTheme="minorHAnsi" w:eastAsiaTheme="minorHAnsi" w:hAnsiTheme="minorHAnsi" w:cstheme="minorBidi"/>
          <w:b/>
          <w:color w:val="44546A" w:themeColor="text2"/>
          <w:sz w:val="22"/>
          <w:szCs w:val="22"/>
          <w:lang w:val="en-GB" w:eastAsia="en-US"/>
        </w:rPr>
      </w:pPr>
      <w:r w:rsidRPr="002F4B2C">
        <w:rPr>
          <w:rFonts w:asciiTheme="minorHAnsi" w:eastAsiaTheme="minorHAnsi" w:hAnsiTheme="minorHAnsi" w:cstheme="minorBidi"/>
          <w:b/>
          <w:color w:val="44546A" w:themeColor="text2"/>
          <w:sz w:val="22"/>
          <w:szCs w:val="22"/>
          <w:lang w:val="en-GB" w:eastAsia="en-US"/>
        </w:rPr>
        <w:lastRenderedPageBreak/>
        <w:t>Factors affecting progress and future actions:</w:t>
      </w:r>
    </w:p>
    <w:p w:rsidR="00C25AD7" w:rsidRDefault="00C25AD7" w:rsidP="00C25AD7">
      <w:pPr>
        <w:spacing w:after="160" w:line="280" w:lineRule="exact"/>
      </w:pPr>
      <w:r w:rsidRPr="00363D14">
        <w:t>In 201</w:t>
      </w:r>
      <w:r>
        <w:t>6-17</w:t>
      </w:r>
      <w:r w:rsidRPr="00363D14">
        <w:t xml:space="preserve">, DFAT continued to rationalise </w:t>
      </w:r>
      <w:r>
        <w:t xml:space="preserve">regional </w:t>
      </w:r>
      <w:r w:rsidRPr="00363D14">
        <w:t xml:space="preserve">governance activities to </w:t>
      </w:r>
      <w:r>
        <w:t xml:space="preserve">allow expansion of other priorities.  Consolidation over the last year helped </w:t>
      </w:r>
      <w:r w:rsidRPr="00363D14">
        <w:t xml:space="preserve">to reduce transaction </w:t>
      </w:r>
      <w:r>
        <w:t>across our governance portfolio.</w:t>
      </w:r>
    </w:p>
    <w:p w:rsidR="00C25AD7" w:rsidRDefault="00C25AD7" w:rsidP="00C25AD7">
      <w:pPr>
        <w:spacing w:before="360" w:after="120" w:line="280" w:lineRule="exact"/>
        <w:rPr>
          <w:rFonts w:ascii="Calibri" w:eastAsia="Times New Roman" w:hAnsi="Calibri" w:cs="Times New Roman"/>
          <w:caps/>
          <w:color w:val="495965"/>
          <w:sz w:val="38"/>
          <w:szCs w:val="26"/>
        </w:rPr>
      </w:pPr>
    </w:p>
    <w:p w:rsidR="00C25AD7" w:rsidRPr="00677438" w:rsidRDefault="00C25AD7" w:rsidP="00C25AD7">
      <w:pPr>
        <w:spacing w:before="360" w:after="120" w:line="280" w:lineRule="exact"/>
        <w:rPr>
          <w:rFonts w:ascii="Calibri" w:eastAsia="Times New Roman" w:hAnsi="Calibri" w:cs="Times New Roman"/>
          <w:caps/>
          <w:color w:val="495965"/>
          <w:sz w:val="38"/>
          <w:szCs w:val="26"/>
        </w:rPr>
      </w:pPr>
      <w:r w:rsidRPr="00677438">
        <w:rPr>
          <w:rFonts w:ascii="Calibri" w:eastAsia="Times New Roman" w:hAnsi="Calibri" w:cs="Times New Roman"/>
          <w:caps/>
          <w:color w:val="495965"/>
          <w:sz w:val="38"/>
          <w:szCs w:val="26"/>
        </w:rPr>
        <w:t>Objective 3: Healthy and resilient communities</w:t>
      </w:r>
    </w:p>
    <w:p w:rsidR="00C25AD7" w:rsidRDefault="00C25AD7" w:rsidP="00C25AD7">
      <w:pPr>
        <w:spacing w:after="120" w:line="240" w:lineRule="auto"/>
        <w:rPr>
          <w:rFonts w:ascii="Calibri Light" w:eastAsia="Calibri Light" w:hAnsi="Calibri Light" w:cs="Times New Roman"/>
          <w:color w:val="495965"/>
        </w:rPr>
      </w:pPr>
      <w:r>
        <w:rPr>
          <w:rFonts w:asciiTheme="majorHAnsi" w:eastAsiaTheme="majorEastAsia" w:hAnsiTheme="majorHAnsi" w:cstheme="majorBidi"/>
          <w:caps/>
          <w:noProof/>
          <w:sz w:val="38"/>
          <w:szCs w:val="26"/>
          <w:lang w:val="en-AU" w:eastAsia="en-AU"/>
        </w:rPr>
        <w:drawing>
          <wp:inline distT="0" distB="0" distL="0" distR="0" wp14:anchorId="1A36C66D" wp14:editId="4266FDE4">
            <wp:extent cx="1136739" cy="845389"/>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6">
                      <a:extLst>
                        <a:ext uri="{28A0092B-C50C-407E-A947-70E740481C1C}">
                          <a14:useLocalDpi xmlns:a14="http://schemas.microsoft.com/office/drawing/2010/main" val="0"/>
                        </a:ext>
                      </a:extLst>
                    </a:blip>
                    <a:stretch>
                      <a:fillRect/>
                    </a:stretch>
                  </pic:blipFill>
                  <pic:spPr>
                    <a:xfrm>
                      <a:off x="0" y="0"/>
                      <a:ext cx="1141167" cy="848682"/>
                    </a:xfrm>
                    <a:prstGeom prst="rect">
                      <a:avLst/>
                    </a:prstGeom>
                  </pic:spPr>
                </pic:pic>
              </a:graphicData>
            </a:graphic>
          </wp:inline>
        </w:drawing>
      </w:r>
      <w:r>
        <w:rPr>
          <w:rFonts w:ascii="Calibri Light" w:eastAsia="Calibri Light" w:hAnsi="Calibri Light" w:cs="Times New Roman"/>
          <w:color w:val="495965"/>
        </w:rPr>
        <w:tab/>
      </w:r>
      <w:r>
        <w:rPr>
          <w:noProof/>
          <w:lang w:val="en-AU" w:eastAsia="en-AU"/>
        </w:rPr>
        <w:drawing>
          <wp:inline distT="0" distB="0" distL="0" distR="0" wp14:anchorId="0426F9CF" wp14:editId="664A35D7">
            <wp:extent cx="612000" cy="612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Pr>
          <w:rFonts w:ascii="Calibri Light" w:eastAsia="Calibri Light" w:hAnsi="Calibri Light" w:cs="Times New Roman"/>
          <w:color w:val="495965"/>
        </w:rPr>
        <w:tab/>
      </w:r>
      <w:r>
        <w:rPr>
          <w:noProof/>
          <w:lang w:val="en-AU" w:eastAsia="en-AU"/>
        </w:rPr>
        <w:drawing>
          <wp:inline distT="0" distB="0" distL="0" distR="0" wp14:anchorId="4800696C" wp14:editId="52D938CA">
            <wp:extent cx="612000" cy="612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Pr>
          <w:rFonts w:ascii="Calibri Light" w:eastAsia="Calibri Light" w:hAnsi="Calibri Light" w:cs="Times New Roman"/>
          <w:color w:val="495965"/>
        </w:rPr>
        <w:t xml:space="preserve"> </w:t>
      </w:r>
    </w:p>
    <w:p w:rsidR="00C25AD7" w:rsidRDefault="00C25AD7" w:rsidP="00C25AD7">
      <w:pPr>
        <w:spacing w:after="120" w:line="240" w:lineRule="auto"/>
        <w:rPr>
          <w:rFonts w:ascii="Calibri Light" w:eastAsia="Calibri Light" w:hAnsi="Calibri Light" w:cs="Times New Roman"/>
          <w:color w:val="495965"/>
        </w:rPr>
      </w:pPr>
      <w:r>
        <w:rPr>
          <w:rFonts w:ascii="Calibri Light" w:eastAsia="Calibri Light" w:hAnsi="Calibri Light" w:cs="Times New Roman"/>
          <w:color w:val="495965"/>
        </w:rPr>
        <w:t xml:space="preserve">Reflecting the Aid Investment Program objective, this section covers our investments in the health sector, as well as our support to strengthen resilience to the impacts of climate change. </w:t>
      </w:r>
      <w:r w:rsidRPr="006F4484">
        <w:rPr>
          <w:rFonts w:ascii="Calibri Light" w:eastAsia="Calibri Light" w:hAnsi="Calibri Light" w:cs="Times New Roman"/>
          <w:color w:val="495965"/>
        </w:rPr>
        <w:t>The rating for this objective will remain at amber this year</w:t>
      </w:r>
      <w:r>
        <w:rPr>
          <w:rFonts w:ascii="Calibri Light" w:eastAsia="Calibri Light" w:hAnsi="Calibri Light" w:cs="Times New Roman"/>
          <w:color w:val="495965"/>
        </w:rPr>
        <w:t xml:space="preserve">.  There have been improvements across investments, but further work is required to strengthen coordination.  </w:t>
      </w:r>
      <w:r w:rsidRPr="00594B81">
        <w:rPr>
          <w:rFonts w:ascii="Calibri Light" w:eastAsia="Calibri Light" w:hAnsi="Calibri Light" w:cs="Times New Roman"/>
          <w:color w:val="495965"/>
        </w:rPr>
        <w:t>Performance benchmarks were partially met while at the investment level activities performed well across AQC ratings, with the exception of gender.</w:t>
      </w:r>
      <w:r>
        <w:rPr>
          <w:rFonts w:ascii="Calibri Light" w:eastAsia="Calibri Light" w:hAnsi="Calibri Light" w:cs="Times New Roman"/>
          <w:color w:val="495965"/>
        </w:rPr>
        <w:t xml:space="preserve">  </w:t>
      </w:r>
      <w:r w:rsidRPr="00B36F54">
        <w:rPr>
          <w:rFonts w:ascii="Calibri Light" w:eastAsia="Calibri Light" w:hAnsi="Calibri Light" w:cs="Times New Roman"/>
          <w:color w:val="495965"/>
        </w:rPr>
        <w:t>This work contributes to SDG Goal 3 (Ensure healthy lives and promote well-being for all at all ages</w:t>
      </w:r>
      <w:r>
        <w:rPr>
          <w:rFonts w:ascii="Calibri Light" w:eastAsia="Calibri Light" w:hAnsi="Calibri Light" w:cs="Times New Roman"/>
          <w:color w:val="495965"/>
        </w:rPr>
        <w:t xml:space="preserve">) and </w:t>
      </w:r>
      <w:r w:rsidRPr="00B36F54">
        <w:rPr>
          <w:rFonts w:ascii="Calibri Light" w:eastAsia="Calibri Light" w:hAnsi="Calibri Light" w:cs="Times New Roman"/>
          <w:color w:val="495965"/>
        </w:rPr>
        <w:t>Goal 13</w:t>
      </w:r>
      <w:r>
        <w:rPr>
          <w:rFonts w:ascii="Calibri Light" w:eastAsia="Calibri Light" w:hAnsi="Calibri Light" w:cs="Times New Roman"/>
          <w:color w:val="495965"/>
        </w:rPr>
        <w:t xml:space="preserve"> (</w:t>
      </w:r>
      <w:r w:rsidRPr="00B36F54">
        <w:rPr>
          <w:rFonts w:ascii="Calibri Light" w:eastAsia="Calibri Light" w:hAnsi="Calibri Light" w:cs="Times New Roman"/>
          <w:color w:val="495965"/>
        </w:rPr>
        <w:t>Take urgent action to combat climate change and its impacts</w:t>
      </w:r>
      <w:r>
        <w:rPr>
          <w:rFonts w:ascii="Calibri Light" w:eastAsia="Calibri Light" w:hAnsi="Calibri Light" w:cs="Times New Roman"/>
          <w:color w:val="495965"/>
        </w:rPr>
        <w:t>).</w:t>
      </w:r>
    </w:p>
    <w:p w:rsidR="00C25AD7" w:rsidRDefault="00C25AD7" w:rsidP="00C25AD7">
      <w:r w:rsidRPr="00A75F21">
        <w:t xml:space="preserve">In health and disability support, we </w:t>
      </w:r>
      <w:r>
        <w:t xml:space="preserve">are </w:t>
      </w:r>
      <w:r w:rsidRPr="00A75F21">
        <w:t xml:space="preserve">committed to helping Pacific island countries strengthen regional health governance and promote regional norms and standards. We work with countries to strengthen regional health security; address non-communicable diseases; improve clinical services; increase access to sexual and reproductive health services; and promote disability-inclusive development.  </w:t>
      </w:r>
    </w:p>
    <w:p w:rsidR="00C25AD7" w:rsidRDefault="00C25AD7" w:rsidP="00C25AD7">
      <w:r w:rsidRPr="00B36F54">
        <w:t xml:space="preserve">In September 2016, Forum island leaders endorsed the Pacific Regional Framework on the Rights of Persons with Disabilities (PFRPD).  The PFRPD was advocated for and submitted by PDF to the leaders through the Pacific Framework for Regionalism process.  The PFRPD builds on the experiences with the Pacific Regional Strategy on Disability, supports PIC governments to promote and protect the rights of people with disabilities, and provides a regional modality to strengthen the coordination of regional interventions and partners to support national initiatives.    </w:t>
      </w:r>
    </w:p>
    <w:p w:rsidR="00C25AD7" w:rsidRDefault="00C25AD7" w:rsidP="00C25AD7">
      <w:pPr>
        <w:rPr>
          <w:rFonts w:ascii="Calibri Light" w:eastAsia="Calibri Light" w:hAnsi="Calibri Light" w:cs="Times New Roman"/>
          <w:color w:val="495965"/>
        </w:rPr>
      </w:pPr>
      <w:r w:rsidRPr="00594B81">
        <w:rPr>
          <w:rFonts w:ascii="Calibri Light" w:eastAsia="Calibri Light" w:hAnsi="Calibri Light" w:cs="Times New Roman"/>
          <w:color w:val="495965"/>
        </w:rPr>
        <w:t xml:space="preserve">At the September 2016 PIF Leader’s Meeting, the Prime Minister announced that Australia would spend $300 million over four years on climate change and resilience support to the Pacific, comprising $225 million of climate-smart investments in country and regional programs, and $75 million in disaster </w:t>
      </w:r>
      <w:r>
        <w:rPr>
          <w:rFonts w:ascii="Calibri Light" w:eastAsia="Calibri Light" w:hAnsi="Calibri Light" w:cs="Times New Roman"/>
          <w:color w:val="495965"/>
        </w:rPr>
        <w:t>resilience</w:t>
      </w:r>
      <w:r w:rsidRPr="006F4484">
        <w:rPr>
          <w:rFonts w:ascii="Calibri Light" w:eastAsia="Calibri Light" w:hAnsi="Calibri Light" w:cs="Times New Roman"/>
          <w:color w:val="495965"/>
        </w:rPr>
        <w:t xml:space="preserve">. </w:t>
      </w:r>
      <w:r w:rsidRPr="00594B81">
        <w:rPr>
          <w:rFonts w:ascii="Calibri Light" w:eastAsia="Calibri Light" w:hAnsi="Calibri Light" w:cs="Times New Roman"/>
          <w:color w:val="495965"/>
        </w:rPr>
        <w:t>This builds on our commitment to assist the region to implement the outcomes of the (July) 2015 PIF Foreign Ministers’ Meeting on Disaster Management and the Sendai Framework for Disaster Risk Reduction</w:t>
      </w:r>
      <w:r>
        <w:rPr>
          <w:rFonts w:ascii="Calibri Light" w:eastAsia="Calibri Light" w:hAnsi="Calibri Light" w:cs="Times New Roman"/>
          <w:color w:val="495965"/>
        </w:rPr>
        <w:t xml:space="preserve">. Australia also committed to </w:t>
      </w:r>
      <w:r w:rsidRPr="00594B81">
        <w:rPr>
          <w:rFonts w:ascii="Calibri Light" w:eastAsia="Calibri Light" w:hAnsi="Calibri Light" w:cs="Times New Roman"/>
          <w:color w:val="495965"/>
        </w:rPr>
        <w:t xml:space="preserve">help PICs to access the Green Climate Fund (GCF).  </w:t>
      </w:r>
    </w:p>
    <w:p w:rsidR="00C25AD7" w:rsidRPr="009630EA" w:rsidRDefault="00C25AD7" w:rsidP="00C25AD7">
      <w:pPr>
        <w:pStyle w:val="BodyText"/>
        <w:rPr>
          <w:rFonts w:asciiTheme="minorHAnsi" w:eastAsiaTheme="minorHAnsi" w:hAnsiTheme="minorHAnsi" w:cstheme="minorBidi"/>
          <w:b/>
          <w:color w:val="44546A" w:themeColor="text2"/>
          <w:sz w:val="22"/>
          <w:szCs w:val="22"/>
          <w:lang w:val="en-GB" w:eastAsia="en-US"/>
        </w:rPr>
      </w:pPr>
      <w:r w:rsidRPr="009630EA">
        <w:rPr>
          <w:rFonts w:asciiTheme="minorHAnsi" w:eastAsiaTheme="minorHAnsi" w:hAnsiTheme="minorHAnsi" w:cstheme="minorBidi"/>
          <w:b/>
          <w:color w:val="44546A" w:themeColor="text2"/>
          <w:sz w:val="22"/>
          <w:szCs w:val="22"/>
          <w:lang w:val="en-GB" w:eastAsia="en-US"/>
        </w:rPr>
        <w:t xml:space="preserve">Pacific Regional Health </w:t>
      </w:r>
    </w:p>
    <w:p w:rsidR="00C25AD7" w:rsidRPr="006B0DEB" w:rsidRDefault="00C25AD7" w:rsidP="00C25AD7">
      <w:pPr>
        <w:tabs>
          <w:tab w:val="left" w:pos="284"/>
        </w:tabs>
        <w:spacing w:after="120" w:line="280" w:lineRule="exact"/>
      </w:pPr>
      <w:r w:rsidRPr="006B0DEB">
        <w:t xml:space="preserve">Australia’s health and disability support helps women, men and children to lead long, healthy and productive lives. Our focus on supporting regional organisations, dialogue and cooperation accompanies country-level efforts to promote leadership on priority health and disability issues. </w:t>
      </w:r>
    </w:p>
    <w:p w:rsidR="00C25AD7" w:rsidRPr="009630EA" w:rsidRDefault="00C25AD7" w:rsidP="00C25AD7">
      <w:pPr>
        <w:tabs>
          <w:tab w:val="left" w:pos="284"/>
        </w:tabs>
        <w:spacing w:after="120" w:line="280" w:lineRule="exact"/>
      </w:pPr>
      <w:r w:rsidRPr="009630EA">
        <w:t xml:space="preserve">Addressing health challenges is central to helping the Pacific region remain stable while prospering economically.  At country level, a strong primary health care system that delivers both prevention and early treatment to individuals and communities supports poverty reduction, productivity and women’s empowerment. </w:t>
      </w:r>
    </w:p>
    <w:p w:rsidR="00C25AD7" w:rsidRPr="009630EA" w:rsidRDefault="00C25AD7" w:rsidP="00C25AD7">
      <w:pPr>
        <w:tabs>
          <w:tab w:val="left" w:pos="284"/>
        </w:tabs>
        <w:spacing w:after="120" w:line="280" w:lineRule="exact"/>
      </w:pPr>
      <w:r w:rsidRPr="009630EA">
        <w:t xml:space="preserve">The Pacific regional health program complements national health </w:t>
      </w:r>
      <w:r>
        <w:t>investm</w:t>
      </w:r>
      <w:r w:rsidRPr="009630EA">
        <w:t>ents by focusing on challenges that benefit from a regional approach.  This includes strengthening regional health governance and policy, and supporting those regional health functions that help countries to deliver quality and cost-effective health services. For example:</w:t>
      </w:r>
    </w:p>
    <w:p w:rsidR="00C25AD7" w:rsidRPr="009630EA" w:rsidRDefault="00C25AD7" w:rsidP="00C25AD7">
      <w:pPr>
        <w:pStyle w:val="ListBullet"/>
        <w:numPr>
          <w:ilvl w:val="0"/>
          <w:numId w:val="17"/>
        </w:numPr>
        <w:tabs>
          <w:tab w:val="clear" w:pos="284"/>
        </w:tabs>
        <w:rPr>
          <w:rFonts w:asciiTheme="minorHAnsi" w:hAnsiTheme="minorHAnsi" w:cstheme="minorBidi"/>
          <w:color w:val="44546A" w:themeColor="text2"/>
          <w:sz w:val="22"/>
          <w:szCs w:val="22"/>
          <w:lang w:val="en-GB"/>
        </w:rPr>
      </w:pPr>
      <w:r w:rsidRPr="009630EA">
        <w:rPr>
          <w:rFonts w:asciiTheme="minorHAnsi" w:hAnsiTheme="minorHAnsi" w:cstheme="minorBidi"/>
          <w:color w:val="44546A" w:themeColor="text2"/>
          <w:sz w:val="22"/>
          <w:szCs w:val="22"/>
          <w:lang w:val="en-GB"/>
        </w:rPr>
        <w:t xml:space="preserve">Regional testing laboratories support national efforts to identify and respond to infectious disease outbreaks; </w:t>
      </w:r>
    </w:p>
    <w:p w:rsidR="00C25AD7" w:rsidRPr="009630EA" w:rsidRDefault="00C25AD7" w:rsidP="00C25AD7">
      <w:pPr>
        <w:pStyle w:val="ListBullet"/>
        <w:numPr>
          <w:ilvl w:val="0"/>
          <w:numId w:val="17"/>
        </w:numPr>
        <w:tabs>
          <w:tab w:val="clear" w:pos="284"/>
        </w:tabs>
        <w:rPr>
          <w:rFonts w:asciiTheme="minorHAnsi" w:hAnsiTheme="minorHAnsi" w:cstheme="minorBidi"/>
          <w:color w:val="44546A" w:themeColor="text2"/>
          <w:sz w:val="22"/>
          <w:szCs w:val="22"/>
          <w:lang w:val="en-GB"/>
        </w:rPr>
      </w:pPr>
      <w:r w:rsidRPr="009630EA">
        <w:rPr>
          <w:rFonts w:asciiTheme="minorHAnsi" w:hAnsiTheme="minorHAnsi" w:cstheme="minorBidi"/>
          <w:color w:val="44546A" w:themeColor="text2"/>
          <w:sz w:val="22"/>
          <w:szCs w:val="22"/>
          <w:lang w:val="en-GB"/>
        </w:rPr>
        <w:lastRenderedPageBreak/>
        <w:t>Specialised technical assistance (not available locally) supports countries to amend tax and regulatory frameworks as part of their NCD control efforts;</w:t>
      </w:r>
    </w:p>
    <w:p w:rsidR="00C25AD7" w:rsidRPr="009630EA" w:rsidRDefault="00C25AD7" w:rsidP="00C25AD7">
      <w:pPr>
        <w:pStyle w:val="ListBullet"/>
        <w:numPr>
          <w:ilvl w:val="0"/>
          <w:numId w:val="17"/>
        </w:numPr>
        <w:tabs>
          <w:tab w:val="clear" w:pos="284"/>
        </w:tabs>
        <w:rPr>
          <w:rFonts w:asciiTheme="minorHAnsi" w:hAnsiTheme="minorHAnsi" w:cstheme="minorBidi"/>
          <w:color w:val="44546A" w:themeColor="text2"/>
          <w:sz w:val="22"/>
          <w:szCs w:val="22"/>
          <w:lang w:val="en-GB"/>
        </w:rPr>
      </w:pPr>
      <w:r w:rsidRPr="009630EA">
        <w:rPr>
          <w:rFonts w:asciiTheme="minorHAnsi" w:hAnsiTheme="minorHAnsi" w:cstheme="minorBidi"/>
          <w:color w:val="44546A" w:themeColor="text2"/>
          <w:sz w:val="22"/>
          <w:szCs w:val="22"/>
          <w:lang w:val="en-GB"/>
        </w:rPr>
        <w:t>Regional providers of clinical services support small countries where it is not cost effective or feasible to provide the full range of hospital services, or train the full range of specialised health personnel.</w:t>
      </w:r>
    </w:p>
    <w:p w:rsidR="00C25AD7" w:rsidRDefault="00C25AD7" w:rsidP="00C25AD7">
      <w:pPr>
        <w:pStyle w:val="ListBullet"/>
        <w:numPr>
          <w:ilvl w:val="0"/>
          <w:numId w:val="17"/>
        </w:numPr>
        <w:tabs>
          <w:tab w:val="clear" w:pos="284"/>
        </w:tabs>
        <w:rPr>
          <w:rFonts w:asciiTheme="minorHAnsi" w:hAnsiTheme="minorHAnsi" w:cstheme="minorBidi"/>
          <w:color w:val="44546A" w:themeColor="text2"/>
          <w:sz w:val="22"/>
          <w:szCs w:val="22"/>
          <w:lang w:val="en-GB"/>
        </w:rPr>
      </w:pPr>
      <w:r w:rsidRPr="009630EA">
        <w:rPr>
          <w:rFonts w:asciiTheme="minorHAnsi" w:hAnsiTheme="minorHAnsi" w:cstheme="minorBidi"/>
          <w:color w:val="44546A" w:themeColor="text2"/>
          <w:sz w:val="22"/>
          <w:szCs w:val="22"/>
          <w:lang w:val="en-GB"/>
        </w:rPr>
        <w:t>Regional support and advocacy to improve access to sexual and reproductive health services creates momentum to accelerate national efforts.</w:t>
      </w:r>
    </w:p>
    <w:p w:rsidR="00C25AD7" w:rsidRPr="00D528BC" w:rsidRDefault="00C25AD7" w:rsidP="00C25AD7">
      <w:pPr>
        <w:spacing w:line="280" w:lineRule="exact"/>
        <w:rPr>
          <w:rFonts w:asciiTheme="majorHAnsi" w:hAnsiTheme="majorHAnsi" w:cs="Arial"/>
          <w:b/>
        </w:rPr>
      </w:pPr>
      <w:r w:rsidRPr="00D528BC">
        <w:rPr>
          <w:rFonts w:asciiTheme="majorHAnsi" w:hAnsiTheme="majorHAnsi" w:cs="Arial"/>
          <w:b/>
        </w:rPr>
        <w:t>Key results:</w:t>
      </w:r>
    </w:p>
    <w:p w:rsidR="00C25AD7" w:rsidRPr="009630EA" w:rsidRDefault="00C25AD7" w:rsidP="00C25AD7">
      <w:pPr>
        <w:pStyle w:val="ListBullet"/>
        <w:numPr>
          <w:ilvl w:val="0"/>
          <w:numId w:val="17"/>
        </w:numPr>
        <w:tabs>
          <w:tab w:val="clear" w:pos="284"/>
        </w:tabs>
        <w:rPr>
          <w:rFonts w:asciiTheme="minorHAnsi" w:hAnsiTheme="minorHAnsi" w:cstheme="minorBidi"/>
          <w:color w:val="44546A" w:themeColor="text2"/>
          <w:sz w:val="22"/>
          <w:szCs w:val="22"/>
          <w:lang w:val="en-GB"/>
        </w:rPr>
      </w:pPr>
      <w:r w:rsidRPr="009630EA">
        <w:rPr>
          <w:rFonts w:asciiTheme="minorHAnsi" w:hAnsiTheme="minorHAnsi" w:cstheme="minorBidi"/>
          <w:color w:val="44546A" w:themeColor="text2"/>
          <w:sz w:val="22"/>
          <w:szCs w:val="22"/>
          <w:lang w:val="en-GB"/>
        </w:rPr>
        <w:t xml:space="preserve">Strengthening regional health security:  Australia supported the Pacific Community (SPC) to coordinate the Pacific Public Health Surveillance Network (PPHSN).  In 2016, SPC reported an increase from 90 to 100 per cent of Pacific laboratories referring outbreak-prone disease samples to regional reference laboratories, ensuring more accurate reporting of infectious disease outbreaks across the region.  </w:t>
      </w:r>
    </w:p>
    <w:p w:rsidR="00C25AD7" w:rsidRPr="009630EA" w:rsidRDefault="00C25AD7" w:rsidP="00C25AD7">
      <w:pPr>
        <w:pStyle w:val="ListBullet"/>
        <w:numPr>
          <w:ilvl w:val="0"/>
          <w:numId w:val="17"/>
        </w:numPr>
        <w:tabs>
          <w:tab w:val="clear" w:pos="284"/>
        </w:tabs>
        <w:rPr>
          <w:rFonts w:asciiTheme="minorHAnsi" w:hAnsiTheme="minorHAnsi" w:cstheme="minorBidi"/>
          <w:color w:val="44546A" w:themeColor="text2"/>
          <w:sz w:val="22"/>
          <w:szCs w:val="22"/>
          <w:lang w:val="en-GB"/>
        </w:rPr>
      </w:pPr>
      <w:r w:rsidRPr="009630EA">
        <w:rPr>
          <w:rFonts w:asciiTheme="minorHAnsi" w:hAnsiTheme="minorHAnsi" w:cstheme="minorBidi"/>
          <w:color w:val="44546A" w:themeColor="text2"/>
          <w:sz w:val="22"/>
          <w:szCs w:val="22"/>
          <w:lang w:val="en-GB"/>
        </w:rPr>
        <w:t xml:space="preserve">Strengthening the response to </w:t>
      </w:r>
      <w:r>
        <w:rPr>
          <w:rFonts w:asciiTheme="minorHAnsi" w:hAnsiTheme="minorHAnsi" w:cstheme="minorBidi"/>
          <w:color w:val="44546A" w:themeColor="text2"/>
          <w:sz w:val="22"/>
          <w:szCs w:val="22"/>
          <w:lang w:val="en-GB"/>
        </w:rPr>
        <w:t>NCDs</w:t>
      </w:r>
      <w:r w:rsidRPr="009630EA">
        <w:rPr>
          <w:rFonts w:asciiTheme="minorHAnsi" w:hAnsiTheme="minorHAnsi" w:cstheme="minorBidi"/>
          <w:color w:val="44546A" w:themeColor="text2"/>
          <w:sz w:val="22"/>
          <w:szCs w:val="22"/>
          <w:lang w:val="en-GB"/>
        </w:rPr>
        <w:t>: SPC is working with countries to reduce the consumption of sugar-sweetened beverages (SSBs) which are recognised as a major contributor to the epidemic of obesity, which in turn drives the rise in NCDs. In 2016, five countries increased SSBs taxation</w:t>
      </w:r>
      <w:r>
        <w:rPr>
          <w:rFonts w:asciiTheme="minorHAnsi" w:hAnsiTheme="minorHAnsi" w:cstheme="minorBidi"/>
          <w:color w:val="44546A" w:themeColor="text2"/>
          <w:sz w:val="22"/>
          <w:szCs w:val="22"/>
          <w:lang w:val="en-GB"/>
        </w:rPr>
        <w:t xml:space="preserve"> with SPC’s support.</w:t>
      </w:r>
    </w:p>
    <w:p w:rsidR="00C25AD7" w:rsidRPr="009630EA" w:rsidRDefault="00C25AD7" w:rsidP="00C25AD7">
      <w:pPr>
        <w:pStyle w:val="ListBullet"/>
        <w:numPr>
          <w:ilvl w:val="0"/>
          <w:numId w:val="17"/>
        </w:numPr>
        <w:tabs>
          <w:tab w:val="clear" w:pos="284"/>
        </w:tabs>
        <w:rPr>
          <w:rFonts w:asciiTheme="minorHAnsi" w:hAnsiTheme="minorHAnsi" w:cstheme="minorBidi"/>
          <w:color w:val="44546A" w:themeColor="text2"/>
          <w:sz w:val="22"/>
          <w:szCs w:val="22"/>
          <w:lang w:val="en-GB"/>
        </w:rPr>
      </w:pPr>
      <w:r w:rsidRPr="009630EA">
        <w:rPr>
          <w:rFonts w:asciiTheme="minorHAnsi" w:hAnsiTheme="minorHAnsi" w:cstheme="minorBidi"/>
          <w:color w:val="44546A" w:themeColor="text2"/>
          <w:sz w:val="22"/>
          <w:szCs w:val="22"/>
          <w:lang w:val="en-GB"/>
        </w:rPr>
        <w:t xml:space="preserve">Providing clinical services:  Under Australia’s new Pacific Regional Clinical Services and Workforce Improvement Program, the Royal Australasian College of Surgeons (RACS) deployed visiting medical teams to 10 Pacific countries in 12 specialised areas (e.g. anaesthesiology, cardiology, and gastroenterology). These teams conducted 884 consultations and 162 operations, and supported capacity building for 231 Pacific island health professionals. </w:t>
      </w:r>
    </w:p>
    <w:p w:rsidR="00C25AD7" w:rsidRPr="009630EA" w:rsidRDefault="00C25AD7" w:rsidP="00C25AD7">
      <w:pPr>
        <w:pStyle w:val="ListBullet"/>
        <w:numPr>
          <w:ilvl w:val="0"/>
          <w:numId w:val="17"/>
        </w:numPr>
        <w:tabs>
          <w:tab w:val="clear" w:pos="284"/>
        </w:tabs>
        <w:rPr>
          <w:rFonts w:asciiTheme="minorHAnsi" w:hAnsiTheme="minorHAnsi" w:cstheme="minorBidi"/>
          <w:color w:val="44546A" w:themeColor="text2"/>
          <w:sz w:val="22"/>
          <w:szCs w:val="22"/>
          <w:lang w:val="en-GB"/>
        </w:rPr>
      </w:pPr>
      <w:r w:rsidRPr="009630EA">
        <w:rPr>
          <w:rFonts w:asciiTheme="minorHAnsi" w:hAnsiTheme="minorHAnsi" w:cstheme="minorBidi"/>
          <w:color w:val="44546A" w:themeColor="text2"/>
          <w:sz w:val="22"/>
          <w:szCs w:val="22"/>
          <w:lang w:val="en-GB"/>
        </w:rPr>
        <w:t xml:space="preserve">Health workforce development:  Australia provided core support to the College of Medicine, Nursing and Health Sciences at the Fiji National University, which produced 680 graduates, and accredited 5 postgraduate training sites in 2016 (Fiji, Kiribati, Samoa, Solomon Islands and Tonga).  </w:t>
      </w:r>
    </w:p>
    <w:p w:rsidR="00C25AD7" w:rsidRPr="009630EA" w:rsidRDefault="00C25AD7" w:rsidP="00C25AD7">
      <w:pPr>
        <w:pStyle w:val="ListBullet"/>
        <w:numPr>
          <w:ilvl w:val="0"/>
          <w:numId w:val="17"/>
        </w:numPr>
        <w:tabs>
          <w:tab w:val="clear" w:pos="284"/>
        </w:tabs>
        <w:rPr>
          <w:rFonts w:asciiTheme="minorHAnsi" w:hAnsiTheme="minorHAnsi" w:cstheme="minorBidi"/>
          <w:color w:val="44546A" w:themeColor="text2"/>
          <w:sz w:val="22"/>
          <w:szCs w:val="22"/>
          <w:lang w:val="en-GB"/>
        </w:rPr>
      </w:pPr>
      <w:r w:rsidRPr="009630EA">
        <w:rPr>
          <w:rFonts w:asciiTheme="minorHAnsi" w:hAnsiTheme="minorHAnsi" w:cstheme="minorBidi"/>
          <w:color w:val="44546A" w:themeColor="text2"/>
          <w:sz w:val="22"/>
          <w:szCs w:val="22"/>
          <w:lang w:val="en-GB"/>
        </w:rPr>
        <w:t>Improving sexual and reproductive health: Australia’s support to the International Planned Parenthood Federation (IPPF) enabled women and girls in eight Pacific countries to access sexual and reproductive health services.  IPPF delivered 201,487 contraceptive services in 2016, with a focus on rural, remote, poor and marginalised communities.</w:t>
      </w:r>
    </w:p>
    <w:p w:rsidR="00C25AD7" w:rsidRDefault="00C25AD7" w:rsidP="00C25AD7">
      <w:pPr>
        <w:pStyle w:val="ListBullet"/>
        <w:numPr>
          <w:ilvl w:val="0"/>
          <w:numId w:val="17"/>
        </w:numPr>
        <w:tabs>
          <w:tab w:val="clear" w:pos="284"/>
        </w:tabs>
        <w:rPr>
          <w:rFonts w:asciiTheme="minorHAnsi" w:hAnsiTheme="minorHAnsi" w:cstheme="minorBidi"/>
          <w:color w:val="44546A" w:themeColor="text2"/>
          <w:sz w:val="22"/>
          <w:szCs w:val="22"/>
          <w:lang w:val="en-GB"/>
        </w:rPr>
      </w:pPr>
      <w:r w:rsidRPr="00BC4AD5">
        <w:rPr>
          <w:rFonts w:asciiTheme="minorHAnsi" w:hAnsiTheme="minorHAnsi" w:cstheme="minorBidi"/>
          <w:color w:val="44546A" w:themeColor="text2"/>
          <w:sz w:val="22"/>
          <w:szCs w:val="22"/>
          <w:lang w:val="en-GB"/>
        </w:rPr>
        <w:t>Strengthening regional health governance:  Establishing effective arrangements for delivering regional public goods and shared services in health is essential in the Pacific, where some health services will never be available at a country level and/or there are economies of scale for regional provision.  SPC and WHO jointly convene the annual ‘Heads of Health’ meeting of senior officials which aims to facilitate engagement on priority regional health issues, development of common positions and standards, and effective regional cooperation.  The meeting reviewed the indicators in the Healthy Islands Monitoring Framework, discussed regional issues including Zika and NCDs, and prepared for the Pacific Health Ministers’ Meeting.</w:t>
      </w:r>
      <w:r>
        <w:rPr>
          <w:rFonts w:asciiTheme="minorHAnsi" w:hAnsiTheme="minorHAnsi" w:cstheme="minorBidi"/>
          <w:color w:val="44546A" w:themeColor="text2"/>
          <w:sz w:val="22"/>
          <w:szCs w:val="22"/>
          <w:lang w:val="en-GB"/>
        </w:rPr>
        <w:t xml:space="preserve">  DFAT’s core funding to SPC contributes to this meeting.</w:t>
      </w:r>
    </w:p>
    <w:p w:rsidR="00C25AD7" w:rsidRPr="00242B19" w:rsidRDefault="00C25AD7" w:rsidP="00C25AD7">
      <w:pPr>
        <w:pStyle w:val="ListBullet"/>
        <w:numPr>
          <w:ilvl w:val="0"/>
          <w:numId w:val="17"/>
        </w:numPr>
        <w:tabs>
          <w:tab w:val="clear" w:pos="284"/>
        </w:tabs>
        <w:rPr>
          <w:rFonts w:asciiTheme="minorHAnsi" w:hAnsiTheme="minorHAnsi" w:cstheme="minorBidi"/>
          <w:color w:val="44546A" w:themeColor="text2"/>
          <w:sz w:val="22"/>
          <w:szCs w:val="22"/>
          <w:lang w:val="en-GB"/>
        </w:rPr>
      </w:pPr>
      <w:r w:rsidRPr="00242B19">
        <w:rPr>
          <w:rFonts w:asciiTheme="minorHAnsi" w:hAnsiTheme="minorHAnsi" w:cstheme="minorBidi"/>
          <w:color w:val="44546A" w:themeColor="text2"/>
          <w:sz w:val="22"/>
          <w:szCs w:val="22"/>
          <w:lang w:val="en-GB"/>
        </w:rPr>
        <w:t xml:space="preserve">Promoting regional norms and standards: Australia supported the World Health Organization (WHO) to establish the Healthy Islands Monitoring Framework and its first baseline report, which allows a standardised and comparable approach to measuring performance in the health sector.   </w:t>
      </w:r>
    </w:p>
    <w:p w:rsidR="00C25AD7" w:rsidRDefault="00C25AD7" w:rsidP="00C25AD7">
      <w:pPr>
        <w:pStyle w:val="ListBullet"/>
        <w:numPr>
          <w:ilvl w:val="0"/>
          <w:numId w:val="17"/>
        </w:numPr>
        <w:tabs>
          <w:tab w:val="clear" w:pos="284"/>
        </w:tabs>
        <w:rPr>
          <w:rFonts w:asciiTheme="minorHAnsi" w:hAnsiTheme="minorHAnsi" w:cstheme="minorBidi"/>
          <w:color w:val="44546A" w:themeColor="text2"/>
          <w:sz w:val="22"/>
          <w:szCs w:val="22"/>
          <w:lang w:val="en-GB"/>
        </w:rPr>
      </w:pPr>
      <w:r w:rsidRPr="00BC4AD5">
        <w:rPr>
          <w:rFonts w:asciiTheme="minorHAnsi" w:hAnsiTheme="minorHAnsi" w:cstheme="minorBidi"/>
          <w:color w:val="44546A" w:themeColor="text2"/>
          <w:sz w:val="22"/>
          <w:szCs w:val="22"/>
          <w:lang w:val="en-GB"/>
        </w:rPr>
        <w:t xml:space="preserve">The Royal Australasian College of Surgeons Pacific Islands Program provides specialised clinical services and support for national health sector capacity to prevent and reduce the incidence of disability (such as clubfoot, hearing loss, cleft lips/palates).  For example, clubfoot is a congenital deformity that occurs in about one in every 1,000 live births. Without any treatment, a child's clubfoot will result in severe functional disability. National clinicians in Vanuatu are now trained to conduct clubfoot procedures and non-surgical management independently and adequately, and the Ni-Van community no longer needs to wait for the annual visiting medical teams to receive treatment. </w:t>
      </w:r>
    </w:p>
    <w:p w:rsidR="00C25AD7" w:rsidRPr="009630EA" w:rsidRDefault="00C25AD7" w:rsidP="00C25AD7">
      <w:pPr>
        <w:pStyle w:val="ListBullet"/>
        <w:tabs>
          <w:tab w:val="clear" w:pos="284"/>
        </w:tabs>
        <w:rPr>
          <w:rFonts w:asciiTheme="minorHAnsi" w:hAnsiTheme="minorHAnsi" w:cstheme="minorBidi"/>
          <w:color w:val="44546A" w:themeColor="text2"/>
          <w:sz w:val="22"/>
          <w:szCs w:val="22"/>
          <w:lang w:val="en-GB"/>
        </w:rPr>
      </w:pPr>
      <w:r w:rsidRPr="009630EA">
        <w:rPr>
          <w:rFonts w:asciiTheme="minorHAnsi" w:eastAsiaTheme="minorHAnsi" w:hAnsiTheme="minorHAnsi" w:cstheme="minorBidi"/>
          <w:b/>
          <w:color w:val="44546A" w:themeColor="text2"/>
          <w:sz w:val="22"/>
          <w:szCs w:val="22"/>
          <w:lang w:val="en-GB" w:eastAsia="en-US"/>
        </w:rPr>
        <w:t xml:space="preserve">Disability </w:t>
      </w:r>
      <w:r>
        <w:rPr>
          <w:rFonts w:asciiTheme="minorHAnsi" w:eastAsiaTheme="minorHAnsi" w:hAnsiTheme="minorHAnsi" w:cstheme="minorBidi"/>
          <w:b/>
          <w:color w:val="44546A" w:themeColor="text2"/>
          <w:sz w:val="22"/>
          <w:szCs w:val="22"/>
          <w:lang w:val="en-GB" w:eastAsia="en-US"/>
        </w:rPr>
        <w:t>Inclusion</w:t>
      </w:r>
    </w:p>
    <w:p w:rsidR="00C25AD7" w:rsidRDefault="00C25AD7" w:rsidP="00C25AD7">
      <w:pPr>
        <w:tabs>
          <w:tab w:val="left" w:pos="284"/>
        </w:tabs>
        <w:spacing w:after="120" w:line="280" w:lineRule="exact"/>
      </w:pPr>
      <w:r w:rsidRPr="009630EA">
        <w:lastRenderedPageBreak/>
        <w:t>Australia is committed to disability inclusive development and provides regional support through partnerships with key regional organisations such as Pacific Disability Forum, Pacific Islands Forum Secretariat and Pacific Community.</w:t>
      </w:r>
      <w:r>
        <w:t xml:space="preserve">  This is complemented by efforts to ensure bilateral programs are inclusive of and deliver benefits equally to people with disability.</w:t>
      </w:r>
    </w:p>
    <w:p w:rsidR="00C25AD7" w:rsidRPr="009630EA" w:rsidRDefault="00C25AD7" w:rsidP="00C25AD7">
      <w:pPr>
        <w:tabs>
          <w:tab w:val="left" w:pos="284"/>
        </w:tabs>
        <w:spacing w:after="120" w:line="280" w:lineRule="exact"/>
      </w:pPr>
      <w:r w:rsidRPr="007E150F">
        <w:t xml:space="preserve">DFAT has funded the Pacific Disability Forum (PDF) since 2012 to strengthen the voices of disabled peoples organisations (DPOs) advocating for the needs of people with disabilities at national, regional and international levels.  This support has seen DPOs engaging in policy dialogue resulting in several PICs developing disability specific policies and the record number of PICs ratifying the CRPD (13 PICs at 30 June 2017).  </w:t>
      </w:r>
    </w:p>
    <w:p w:rsidR="00C25AD7" w:rsidRPr="003D02C1" w:rsidRDefault="00C25AD7" w:rsidP="00C25AD7">
      <w:pPr>
        <w:spacing w:line="280" w:lineRule="exact"/>
        <w:rPr>
          <w:rFonts w:asciiTheme="majorHAnsi" w:hAnsiTheme="majorHAnsi" w:cs="Arial"/>
          <w:b/>
        </w:rPr>
      </w:pPr>
      <w:r w:rsidRPr="003D02C1">
        <w:rPr>
          <w:rFonts w:asciiTheme="majorHAnsi" w:hAnsiTheme="majorHAnsi" w:cs="Arial"/>
          <w:b/>
        </w:rPr>
        <w:t>Key results:</w:t>
      </w:r>
    </w:p>
    <w:p w:rsidR="00C25AD7" w:rsidRPr="00242B19" w:rsidRDefault="00C25AD7" w:rsidP="00C25AD7">
      <w:pPr>
        <w:pStyle w:val="ListBullet"/>
        <w:numPr>
          <w:ilvl w:val="0"/>
          <w:numId w:val="17"/>
        </w:numPr>
        <w:tabs>
          <w:tab w:val="clear" w:pos="284"/>
        </w:tabs>
        <w:rPr>
          <w:rFonts w:asciiTheme="minorHAnsi" w:hAnsiTheme="minorHAnsi" w:cstheme="minorBidi"/>
          <w:color w:val="44546A" w:themeColor="text2"/>
          <w:sz w:val="22"/>
          <w:szCs w:val="22"/>
          <w:lang w:val="en-GB"/>
        </w:rPr>
      </w:pPr>
      <w:r w:rsidRPr="00242B19">
        <w:rPr>
          <w:rFonts w:asciiTheme="minorHAnsi" w:hAnsiTheme="minorHAnsi" w:cstheme="minorBidi"/>
          <w:color w:val="44546A" w:themeColor="text2"/>
          <w:sz w:val="22"/>
          <w:szCs w:val="22"/>
          <w:lang w:val="en-GB"/>
        </w:rPr>
        <w:t xml:space="preserve">Australia provided financial support to the Pacific Disability Forum to provide training to its member organisations, the </w:t>
      </w:r>
      <w:r>
        <w:rPr>
          <w:rFonts w:asciiTheme="minorHAnsi" w:hAnsiTheme="minorHAnsi" w:cstheme="minorBidi"/>
          <w:color w:val="44546A" w:themeColor="text2"/>
          <w:sz w:val="22"/>
          <w:szCs w:val="22"/>
          <w:lang w:val="en-GB"/>
        </w:rPr>
        <w:t>national</w:t>
      </w:r>
      <w:r w:rsidRPr="00242B19">
        <w:rPr>
          <w:rFonts w:asciiTheme="minorHAnsi" w:hAnsiTheme="minorHAnsi" w:cstheme="minorBidi"/>
          <w:color w:val="44546A" w:themeColor="text2"/>
          <w:sz w:val="22"/>
          <w:szCs w:val="22"/>
          <w:lang w:val="en-GB"/>
        </w:rPr>
        <w:t xml:space="preserve"> Disabled </w:t>
      </w:r>
      <w:r>
        <w:rPr>
          <w:rFonts w:asciiTheme="minorHAnsi" w:hAnsiTheme="minorHAnsi" w:cstheme="minorBidi"/>
          <w:color w:val="44546A" w:themeColor="text2"/>
          <w:sz w:val="22"/>
          <w:szCs w:val="22"/>
          <w:lang w:val="en-GB"/>
        </w:rPr>
        <w:t>People’s Organisations (DPOs)</w:t>
      </w:r>
      <w:r w:rsidRPr="00242B19">
        <w:rPr>
          <w:rFonts w:asciiTheme="minorHAnsi" w:hAnsiTheme="minorHAnsi" w:cstheme="minorBidi"/>
          <w:color w:val="44546A" w:themeColor="text2"/>
          <w:sz w:val="22"/>
          <w:szCs w:val="22"/>
          <w:lang w:val="en-GB"/>
        </w:rPr>
        <w:t xml:space="preserve">.  A 2016 evaluation found that Australian support has increased DPO capacity, and over five years this has contributed to substantial changes in awareness, political commitment and policy development in 22 Pacific Island countries.  Support has contributed to an additional eight countries ratifying the Convention on the Rights of Persons with Disability </w:t>
      </w:r>
      <w:r>
        <w:rPr>
          <w:rFonts w:asciiTheme="minorHAnsi" w:hAnsiTheme="minorHAnsi" w:cstheme="minorBidi"/>
          <w:color w:val="44546A" w:themeColor="text2"/>
          <w:sz w:val="22"/>
          <w:szCs w:val="22"/>
          <w:lang w:val="en-GB"/>
        </w:rPr>
        <w:t>(CRPD)</w:t>
      </w:r>
      <w:r w:rsidRPr="00242B19">
        <w:rPr>
          <w:rFonts w:asciiTheme="minorHAnsi" w:hAnsiTheme="minorHAnsi" w:cstheme="minorBidi"/>
          <w:color w:val="44546A" w:themeColor="text2"/>
          <w:sz w:val="22"/>
          <w:szCs w:val="22"/>
          <w:lang w:val="en-GB"/>
        </w:rPr>
        <w:t xml:space="preserve"> since 2010, including Fiji in June 2017.</w:t>
      </w:r>
    </w:p>
    <w:p w:rsidR="00C25AD7" w:rsidRDefault="00C25AD7" w:rsidP="00C25AD7">
      <w:pPr>
        <w:pStyle w:val="ListBullet"/>
        <w:numPr>
          <w:ilvl w:val="0"/>
          <w:numId w:val="17"/>
        </w:numPr>
        <w:tabs>
          <w:tab w:val="clear" w:pos="284"/>
        </w:tabs>
        <w:rPr>
          <w:rFonts w:asciiTheme="minorHAnsi" w:hAnsiTheme="minorHAnsi" w:cstheme="minorBidi"/>
          <w:color w:val="44546A" w:themeColor="text2"/>
          <w:sz w:val="22"/>
          <w:szCs w:val="22"/>
          <w:lang w:val="en-GB"/>
        </w:rPr>
      </w:pPr>
      <w:r w:rsidRPr="00242B19">
        <w:rPr>
          <w:rFonts w:asciiTheme="minorHAnsi" w:hAnsiTheme="minorHAnsi" w:cstheme="minorBidi"/>
          <w:color w:val="44546A" w:themeColor="text2"/>
          <w:sz w:val="22"/>
          <w:szCs w:val="22"/>
          <w:lang w:val="en-GB"/>
        </w:rPr>
        <w:t>Australia supported the development or review of CRPD-compliant legislation in four countries (Marshall Islands, Nauru, Vanuatu and Federated States of Micronesia).</w:t>
      </w:r>
    </w:p>
    <w:p w:rsidR="00C25AD7" w:rsidRDefault="00C25AD7" w:rsidP="00C25AD7">
      <w:pPr>
        <w:pStyle w:val="ListBullet"/>
        <w:numPr>
          <w:ilvl w:val="0"/>
          <w:numId w:val="17"/>
        </w:numPr>
        <w:tabs>
          <w:tab w:val="clear" w:pos="284"/>
        </w:tabs>
        <w:rPr>
          <w:rFonts w:asciiTheme="minorHAnsi" w:hAnsiTheme="minorHAnsi" w:cstheme="minorBidi"/>
          <w:color w:val="44546A" w:themeColor="text2"/>
          <w:sz w:val="22"/>
          <w:szCs w:val="22"/>
          <w:lang w:val="en-GB"/>
        </w:rPr>
      </w:pPr>
      <w:r w:rsidRPr="00D437FB">
        <w:rPr>
          <w:rFonts w:asciiTheme="minorHAnsi" w:hAnsiTheme="minorHAnsi" w:cstheme="minorBidi"/>
          <w:color w:val="44546A" w:themeColor="text2"/>
          <w:sz w:val="22"/>
          <w:szCs w:val="22"/>
          <w:lang w:val="en-GB"/>
        </w:rPr>
        <w:t>In 2017, DFAT funded the Fifth Pacific Regional Conference on Disability, held in Apia on 24 February,</w:t>
      </w:r>
      <w:r>
        <w:t xml:space="preserve"> </w:t>
      </w:r>
      <w:r w:rsidRPr="00D437FB">
        <w:rPr>
          <w:rFonts w:asciiTheme="minorHAnsi" w:hAnsiTheme="minorHAnsi" w:cstheme="minorBidi"/>
          <w:color w:val="44546A" w:themeColor="text2"/>
          <w:sz w:val="22"/>
          <w:szCs w:val="22"/>
          <w:lang w:val="en-GB"/>
        </w:rPr>
        <w:t>which integrated consideration of women, and disability as a concurrent theme. </w:t>
      </w:r>
    </w:p>
    <w:p w:rsidR="00C25AD7" w:rsidRDefault="00C25AD7" w:rsidP="00C25AD7">
      <w:pPr>
        <w:pStyle w:val="ListBullet"/>
        <w:numPr>
          <w:ilvl w:val="0"/>
          <w:numId w:val="17"/>
        </w:numPr>
        <w:tabs>
          <w:tab w:val="clear" w:pos="284"/>
        </w:tabs>
        <w:rPr>
          <w:rFonts w:asciiTheme="minorHAnsi" w:hAnsiTheme="minorHAnsi" w:cstheme="minorBidi"/>
          <w:color w:val="44546A" w:themeColor="text2"/>
          <w:sz w:val="22"/>
          <w:szCs w:val="22"/>
          <w:lang w:val="en-GB"/>
        </w:rPr>
      </w:pPr>
      <w:r w:rsidRPr="00BC4AD5">
        <w:rPr>
          <w:rFonts w:asciiTheme="minorHAnsi" w:hAnsiTheme="minorHAnsi" w:cstheme="minorBidi"/>
          <w:color w:val="44546A" w:themeColor="text2"/>
          <w:sz w:val="22"/>
          <w:szCs w:val="22"/>
          <w:lang w:val="en-GB"/>
        </w:rPr>
        <w:t>Disability inclusive sexual and reproductive health and rights (SRHR) services is a key deliverable of IPPF’s Partnerships for Health and Rights program.  This includes the expansion of services to reach people with disabilities, and enhancing clinic infrastructure to be disability friendly.  Training in disability inclusion and planning is being rolled out across Pacific countries.</w:t>
      </w:r>
    </w:p>
    <w:p w:rsidR="00C25AD7" w:rsidRPr="0041219F" w:rsidRDefault="00C25AD7" w:rsidP="00C25AD7">
      <w:pPr>
        <w:pStyle w:val="BodyText"/>
        <w:rPr>
          <w:rFonts w:asciiTheme="minorHAnsi" w:eastAsiaTheme="minorHAnsi" w:hAnsiTheme="minorHAnsi" w:cstheme="minorBidi"/>
          <w:b/>
          <w:color w:val="44546A" w:themeColor="text2"/>
          <w:sz w:val="22"/>
          <w:szCs w:val="22"/>
          <w:lang w:val="en-GB" w:eastAsia="en-US"/>
        </w:rPr>
      </w:pPr>
      <w:r w:rsidRPr="0041219F">
        <w:rPr>
          <w:rFonts w:asciiTheme="minorHAnsi" w:eastAsiaTheme="minorHAnsi" w:hAnsiTheme="minorHAnsi" w:cstheme="minorBidi"/>
          <w:b/>
          <w:color w:val="44546A" w:themeColor="text2"/>
          <w:sz w:val="22"/>
          <w:szCs w:val="22"/>
          <w:lang w:val="en-GB" w:eastAsia="en-US"/>
        </w:rPr>
        <w:t>Factors affecting progress and future actions:</w:t>
      </w:r>
    </w:p>
    <w:p w:rsidR="00C25AD7" w:rsidRDefault="00C25AD7" w:rsidP="00C25AD7">
      <w:pPr>
        <w:tabs>
          <w:tab w:val="left" w:pos="284"/>
        </w:tabs>
        <w:spacing w:after="120" w:line="280" w:lineRule="exact"/>
      </w:pPr>
      <w:r>
        <w:t xml:space="preserve">Despite very high levels of unmet need for family planning across the region, and little improvement over a decade, sexual and reproductive health fails to attract sufficient resources or attention at national level. There is a growing momentum to tackle non-communicable diseases and improve health security, yet progress at country level remains slow. Only one country (Palau) has increased tobacco taxation to the level recommended by WHO. In global terms, Pacific countries are leading on the introduction of measures to reduce consumption of unhealthy food and drink, such as ‘sugar taxes’, however evidence of the impact on these measures - on consumption and on health status – remains scarce. </w:t>
      </w:r>
    </w:p>
    <w:p w:rsidR="00C25AD7" w:rsidRDefault="00C25AD7" w:rsidP="00C25AD7">
      <w:pPr>
        <w:tabs>
          <w:tab w:val="left" w:pos="284"/>
        </w:tabs>
        <w:spacing w:after="120" w:line="280" w:lineRule="exact"/>
      </w:pPr>
      <w:r w:rsidRPr="00242B19">
        <w:t>In 2017-18, Australia will enhance coherence between bilateral, regional and global investments through the roll-out of a new DFAT Pacific Health Strategy (2018-30). We will support the planned scale up in DFAT’s health security investments through working with PIC governments and technical partners to develop the Pacific Health Security Coordination Plan</w:t>
      </w:r>
      <w:r>
        <w:t xml:space="preserve"> and through our continuing investments in</w:t>
      </w:r>
      <w:r w:rsidRPr="009630EA">
        <w:t xml:space="preserve"> the Pacific Public Health Surveillance Network (PPHSN</w:t>
      </w:r>
      <w:r>
        <w:t>) through the Pacific Community (SPC). Together, these investments will strengthen Pacific countries’ ability to meet the IHR core capacities</w:t>
      </w:r>
      <w:r w:rsidRPr="00242B19">
        <w:t xml:space="preserve">.  </w:t>
      </w:r>
    </w:p>
    <w:p w:rsidR="00C25AD7" w:rsidRPr="00242B19" w:rsidRDefault="00C25AD7" w:rsidP="00C25AD7">
      <w:pPr>
        <w:tabs>
          <w:tab w:val="left" w:pos="284"/>
        </w:tabs>
        <w:spacing w:after="120" w:line="280" w:lineRule="exact"/>
      </w:pPr>
      <w:r w:rsidRPr="00242B19">
        <w:t>We will focus on strengthening regional health governance for issues that require regional collaboration</w:t>
      </w:r>
      <w:r w:rsidRPr="00CB6273">
        <w:t xml:space="preserve"> </w:t>
      </w:r>
      <w:r>
        <w:t>through our support to the Heads of Health meeting</w:t>
      </w:r>
      <w:r w:rsidRPr="00242B19">
        <w:t xml:space="preserve"> and will scale up our assistance to countries to make health systems more efficient through public financial management support. </w:t>
      </w:r>
      <w:r>
        <w:t>We will look to continue our support to sexual and reproductive health, complementing DFAT global programs in health and gender and ensuring a strong focus on advocacy. In NCDs, we will continue to align our support behind the “NCD Road Map” agreed in 2014, and advocate for strengthened monitoring of progress towards it.</w:t>
      </w:r>
    </w:p>
    <w:p w:rsidR="00C25AD7" w:rsidRDefault="00C25AD7" w:rsidP="00C25AD7">
      <w:pPr>
        <w:tabs>
          <w:tab w:val="left" w:pos="284"/>
        </w:tabs>
        <w:spacing w:after="120" w:line="280" w:lineRule="exact"/>
      </w:pPr>
      <w:r w:rsidRPr="00242B19">
        <w:t xml:space="preserve">The 2016 evaluation of Australia’s regional support for disability inclusion in the Pacific noted significant achievements by DPOs in the region.  </w:t>
      </w:r>
      <w:r>
        <w:t xml:space="preserve">DFAT’s Office for Development Effectiveness (ODE) is evaluating disability </w:t>
      </w:r>
      <w:r>
        <w:lastRenderedPageBreak/>
        <w:t xml:space="preserve">inclusion in Australian aid.  The evaluation is assessing the effectiveness of our international policy influence and integration of disability inclusion in aid programming.  </w:t>
      </w:r>
      <w:r w:rsidRPr="00242B19">
        <w:t>Together with costing of an implementation plan, the</w:t>
      </w:r>
      <w:r>
        <w:t>se</w:t>
      </w:r>
      <w:r w:rsidRPr="00242B19">
        <w:t xml:space="preserve"> evaluation</w:t>
      </w:r>
      <w:r>
        <w:t>s</w:t>
      </w:r>
      <w:r w:rsidRPr="00242B19">
        <w:t xml:space="preserve"> will be used to guide any future support for the Pacific Framework for the Rights of Persons with Disabilities 2016-2025, which was endorsed at the 2016 Forum Leaders meeting.</w:t>
      </w:r>
    </w:p>
    <w:p w:rsidR="00C25AD7" w:rsidRDefault="00C25AD7" w:rsidP="00C25AD7">
      <w:pPr>
        <w:rPr>
          <w:rFonts w:ascii="Calibri Light" w:eastAsia="Calibri Light" w:hAnsi="Calibri Light" w:cs="Times New Roman"/>
          <w:b/>
          <w:color w:val="495965"/>
          <w:sz w:val="21"/>
          <w:szCs w:val="21"/>
        </w:rPr>
      </w:pPr>
    </w:p>
    <w:p w:rsidR="00C25AD7" w:rsidRDefault="00C25AD7" w:rsidP="00C25AD7">
      <w:pPr>
        <w:rPr>
          <w:rFonts w:ascii="Calibri Light" w:eastAsia="Calibri Light" w:hAnsi="Calibri Light" w:cs="Times New Roman"/>
          <w:b/>
          <w:color w:val="495965"/>
          <w:sz w:val="21"/>
          <w:szCs w:val="21"/>
        </w:rPr>
      </w:pPr>
    </w:p>
    <w:p w:rsidR="00C25AD7" w:rsidRPr="00E235C5" w:rsidRDefault="00C25AD7" w:rsidP="00C25AD7">
      <w:pPr>
        <w:rPr>
          <w:rFonts w:ascii="Calibri Light" w:eastAsia="Calibri Light" w:hAnsi="Calibri Light" w:cs="Times New Roman"/>
          <w:b/>
          <w:color w:val="495965"/>
          <w:sz w:val="21"/>
          <w:szCs w:val="21"/>
        </w:rPr>
      </w:pPr>
      <w:r w:rsidRPr="00E235C5">
        <w:rPr>
          <w:rFonts w:ascii="Calibri Light" w:eastAsia="Calibri Light" w:hAnsi="Calibri Light" w:cs="Times New Roman"/>
          <w:b/>
          <w:color w:val="495965"/>
          <w:sz w:val="21"/>
          <w:szCs w:val="21"/>
        </w:rPr>
        <w:t>Climate change adaptation and disaster risk reduction</w:t>
      </w:r>
    </w:p>
    <w:p w:rsidR="00C25AD7" w:rsidRPr="00CE6B87" w:rsidRDefault="00C25AD7" w:rsidP="00C25AD7">
      <w:pPr>
        <w:pStyle w:val="BodyText"/>
        <w:rPr>
          <w:rFonts w:asciiTheme="minorHAnsi" w:eastAsiaTheme="minorHAnsi" w:hAnsiTheme="minorHAnsi" w:cstheme="minorBidi"/>
          <w:color w:val="44546A" w:themeColor="text2"/>
          <w:sz w:val="22"/>
          <w:szCs w:val="22"/>
          <w:lang w:val="en-GB" w:eastAsia="en-US"/>
        </w:rPr>
      </w:pPr>
      <w:r w:rsidRPr="00CE6B87">
        <w:rPr>
          <w:rFonts w:asciiTheme="minorHAnsi" w:eastAsiaTheme="minorHAnsi" w:hAnsiTheme="minorHAnsi" w:cstheme="minorBidi"/>
          <w:color w:val="44546A" w:themeColor="text2"/>
          <w:sz w:val="22"/>
          <w:szCs w:val="22"/>
          <w:lang w:val="en-GB" w:eastAsia="en-US"/>
        </w:rPr>
        <w:t xml:space="preserve">Pacific island countries are particularly vulnerable to the effects of climate change, which exacerbate broader development challenges and heighten vulnerability to shocks. Fiji’s appointment as President of the United National Framework Convention on Climate Change (UNFCCC) 23rd Conference of Parties (COP23) will provide the opportunity to highlight the progress and particular challenges of the Pacific region. Australia provided $6 million to support Fiji’s Presidency of COP23, of which $2 million was earmarked for regional consultations. </w:t>
      </w:r>
    </w:p>
    <w:p w:rsidR="00C25AD7" w:rsidRPr="00150392" w:rsidRDefault="00C25AD7" w:rsidP="00C25AD7">
      <w:pPr>
        <w:pStyle w:val="BodyText"/>
        <w:rPr>
          <w:rFonts w:asciiTheme="minorHAnsi" w:eastAsiaTheme="minorHAnsi" w:hAnsiTheme="minorHAnsi" w:cstheme="minorBidi"/>
          <w:b/>
          <w:color w:val="44546A" w:themeColor="text2"/>
          <w:sz w:val="22"/>
          <w:szCs w:val="22"/>
          <w:lang w:val="en-GB" w:eastAsia="en-US"/>
        </w:rPr>
      </w:pPr>
      <w:r w:rsidRPr="00150392">
        <w:rPr>
          <w:rFonts w:asciiTheme="minorHAnsi" w:eastAsiaTheme="minorHAnsi" w:hAnsiTheme="minorHAnsi" w:cstheme="minorBidi"/>
          <w:b/>
          <w:color w:val="44546A" w:themeColor="text2"/>
          <w:sz w:val="22"/>
          <w:szCs w:val="22"/>
          <w:lang w:val="en-GB" w:eastAsia="en-US"/>
        </w:rPr>
        <w:t>Key results:</w:t>
      </w:r>
    </w:p>
    <w:p w:rsidR="00C25AD7" w:rsidRPr="00150392" w:rsidRDefault="00C25AD7" w:rsidP="00C25AD7">
      <w:pPr>
        <w:pStyle w:val="ListBullet"/>
        <w:numPr>
          <w:ilvl w:val="0"/>
          <w:numId w:val="17"/>
        </w:numPr>
        <w:tabs>
          <w:tab w:val="clear" w:pos="284"/>
        </w:tabs>
        <w:rPr>
          <w:rFonts w:asciiTheme="minorHAnsi" w:hAnsiTheme="minorHAnsi" w:cstheme="minorBidi"/>
          <w:color w:val="44546A" w:themeColor="text2"/>
          <w:sz w:val="22"/>
          <w:szCs w:val="22"/>
          <w:lang w:val="en-GB"/>
        </w:rPr>
      </w:pPr>
      <w:r w:rsidRPr="00150392">
        <w:rPr>
          <w:rFonts w:asciiTheme="minorHAnsi" w:hAnsiTheme="minorHAnsi" w:cstheme="minorBidi"/>
          <w:color w:val="44546A" w:themeColor="text2"/>
          <w:sz w:val="22"/>
          <w:szCs w:val="22"/>
          <w:lang w:val="en-GB"/>
        </w:rPr>
        <w:t>In 2016-17, the GCF approved a further four projects in the Pacific, with a total value of $184 million. This brings the total of approved Pacific projects to US$251, which is 11 percent of the Fund’s project portfolio. Australia has worked to actively increase the Pacific’s engagement with the Fund. In 2016 we co-hosted a GCF Pacific Regional Meeting in Fiji, as well as the 15th GCF Board meeting in Samoa, which was the largest climate finance meeting in the Pacific to date.</w:t>
      </w:r>
    </w:p>
    <w:p w:rsidR="00C25AD7" w:rsidRPr="00930529" w:rsidRDefault="00C25AD7" w:rsidP="00C25AD7">
      <w:pPr>
        <w:pStyle w:val="ListBullet"/>
        <w:numPr>
          <w:ilvl w:val="0"/>
          <w:numId w:val="17"/>
        </w:numPr>
        <w:tabs>
          <w:tab w:val="clear" w:pos="284"/>
        </w:tabs>
        <w:rPr>
          <w:rFonts w:asciiTheme="minorHAnsi" w:hAnsiTheme="minorHAnsi" w:cstheme="minorBidi"/>
          <w:color w:val="44546A" w:themeColor="text2"/>
          <w:sz w:val="22"/>
          <w:szCs w:val="22"/>
          <w:lang w:val="en-GB"/>
        </w:rPr>
      </w:pPr>
      <w:r w:rsidRPr="00150392">
        <w:rPr>
          <w:rFonts w:asciiTheme="minorHAnsi" w:hAnsiTheme="minorHAnsi" w:cstheme="minorBidi"/>
          <w:color w:val="44546A" w:themeColor="text2"/>
          <w:sz w:val="22"/>
          <w:szCs w:val="22"/>
          <w:lang w:val="en-GB"/>
        </w:rPr>
        <w:t>Delivery on the 2015 PIF commitments on disaster management includes the Climate Risk and Early Warning System (CREWS) Steering Committee adopting a Pacific Regional project to strengthen the Regional Specialised Meteorological Centre based in Fiji. The Centre will also provide services to the Cook Islands, Kiribati, Nauru, Niue, Tokelau and Tuvalu.</w:t>
      </w:r>
      <w:r>
        <w:rPr>
          <w:rFonts w:asciiTheme="minorHAnsi" w:hAnsiTheme="minorHAnsi" w:cstheme="minorBidi"/>
          <w:color w:val="44546A" w:themeColor="text2"/>
          <w:sz w:val="22"/>
          <w:szCs w:val="22"/>
          <w:lang w:val="en-GB"/>
        </w:rPr>
        <w:t xml:space="preserve">  In addition, </w:t>
      </w:r>
      <w:r w:rsidRPr="00D67C55">
        <w:rPr>
          <w:rFonts w:asciiTheme="minorHAnsi" w:hAnsiTheme="minorHAnsi" w:cstheme="minorBidi"/>
          <w:color w:val="44546A" w:themeColor="text2"/>
          <w:sz w:val="22"/>
          <w:szCs w:val="22"/>
          <w:lang w:val="en-GB"/>
        </w:rPr>
        <w:t xml:space="preserve">Australia provides funding to Australian and International NGOs </w:t>
      </w:r>
      <w:r>
        <w:rPr>
          <w:rFonts w:asciiTheme="minorHAnsi" w:hAnsiTheme="minorHAnsi" w:cstheme="minorBidi"/>
          <w:color w:val="44546A" w:themeColor="text2"/>
          <w:sz w:val="22"/>
          <w:szCs w:val="22"/>
          <w:lang w:val="en-GB"/>
        </w:rPr>
        <w:t>which</w:t>
      </w:r>
      <w:r w:rsidRPr="00D67C55">
        <w:rPr>
          <w:rFonts w:asciiTheme="minorHAnsi" w:hAnsiTheme="minorHAnsi" w:cstheme="minorBidi"/>
          <w:color w:val="44546A" w:themeColor="text2"/>
          <w:sz w:val="22"/>
          <w:szCs w:val="22"/>
          <w:lang w:val="en-GB"/>
        </w:rPr>
        <w:t xml:space="preserve"> support and work with local and national actors to implement preparedness and response activities. The Australian Humanitarian Partnership (AHP) is a new five-year (2017-2022), $50 million partnership with six Australian NGOs and their consortium partners, to strengthen the ability of local communities and organisations in the Pacific to prepare for and respond to crises.</w:t>
      </w:r>
    </w:p>
    <w:p w:rsidR="00C25AD7" w:rsidRPr="00150392" w:rsidRDefault="00C25AD7" w:rsidP="00C25AD7">
      <w:pPr>
        <w:pStyle w:val="ListBullet"/>
        <w:numPr>
          <w:ilvl w:val="0"/>
          <w:numId w:val="17"/>
        </w:numPr>
        <w:tabs>
          <w:tab w:val="clear" w:pos="284"/>
        </w:tabs>
        <w:rPr>
          <w:rFonts w:asciiTheme="minorHAnsi" w:hAnsiTheme="minorHAnsi" w:cstheme="minorBidi"/>
          <w:color w:val="44546A" w:themeColor="text2"/>
          <w:sz w:val="22"/>
          <w:szCs w:val="22"/>
          <w:lang w:val="en-GB"/>
        </w:rPr>
      </w:pPr>
      <w:r w:rsidRPr="00150392">
        <w:rPr>
          <w:rFonts w:asciiTheme="minorHAnsi" w:hAnsiTheme="minorHAnsi" w:cstheme="minorBidi"/>
          <w:color w:val="44546A" w:themeColor="text2"/>
          <w:sz w:val="22"/>
          <w:szCs w:val="22"/>
          <w:lang w:val="en-GB"/>
        </w:rPr>
        <w:t xml:space="preserve">With strong regional ownership of meteorological services and increasing capacity within regional organisations, the Climate and Oceans Support Program in the Pacific (COSPPac) has started to transfer the delivery of National Meteorological Services </w:t>
      </w:r>
      <w:r>
        <w:rPr>
          <w:rFonts w:asciiTheme="minorHAnsi" w:hAnsiTheme="minorHAnsi" w:cstheme="minorBidi"/>
          <w:color w:val="44546A" w:themeColor="text2"/>
          <w:sz w:val="22"/>
          <w:szCs w:val="22"/>
          <w:lang w:val="en-GB"/>
        </w:rPr>
        <w:t xml:space="preserve">(NMS) </w:t>
      </w:r>
      <w:r w:rsidRPr="00150392">
        <w:rPr>
          <w:rFonts w:asciiTheme="minorHAnsi" w:hAnsiTheme="minorHAnsi" w:cstheme="minorBidi"/>
          <w:color w:val="44546A" w:themeColor="text2"/>
          <w:sz w:val="22"/>
          <w:szCs w:val="22"/>
          <w:lang w:val="en-GB"/>
        </w:rPr>
        <w:t xml:space="preserve">and products to the region. The Bureau of Meteorology (BoM) has signed RoUs with the Pacific Community (SPC) and SPREP. NMSs have valued the continuation of service delivery during the transition time. </w:t>
      </w:r>
    </w:p>
    <w:p w:rsidR="00C25AD7" w:rsidRPr="00150392" w:rsidRDefault="00C25AD7" w:rsidP="00C25AD7">
      <w:pPr>
        <w:pStyle w:val="ListBullet"/>
        <w:numPr>
          <w:ilvl w:val="0"/>
          <w:numId w:val="17"/>
        </w:numPr>
        <w:tabs>
          <w:tab w:val="clear" w:pos="284"/>
        </w:tabs>
        <w:rPr>
          <w:rFonts w:asciiTheme="minorHAnsi" w:hAnsiTheme="minorHAnsi" w:cstheme="minorBidi"/>
          <w:color w:val="44546A" w:themeColor="text2"/>
          <w:sz w:val="22"/>
          <w:szCs w:val="22"/>
          <w:lang w:val="en-GB"/>
        </w:rPr>
      </w:pPr>
      <w:r w:rsidRPr="00150392">
        <w:rPr>
          <w:rFonts w:asciiTheme="minorHAnsi" w:hAnsiTheme="minorHAnsi" w:cstheme="minorBidi"/>
          <w:color w:val="44546A" w:themeColor="text2"/>
          <w:sz w:val="22"/>
          <w:szCs w:val="22"/>
          <w:lang w:val="en-GB"/>
        </w:rPr>
        <w:t>The Pacific Risk Resilience Program (PRRP) has allowed development planners (at all levels) to access and use climate and disaster information, such as user-friendly risk maps that translate complex climate and disaster data into tailored</w:t>
      </w:r>
      <w:r>
        <w:rPr>
          <w:rFonts w:asciiTheme="minorHAnsi" w:hAnsiTheme="minorHAnsi" w:cstheme="minorBidi"/>
          <w:color w:val="44546A" w:themeColor="text2"/>
          <w:sz w:val="22"/>
          <w:szCs w:val="22"/>
          <w:lang w:val="en-GB"/>
        </w:rPr>
        <w:t xml:space="preserve"> user friendly products. In </w:t>
      </w:r>
      <w:r w:rsidRPr="00150392">
        <w:rPr>
          <w:rFonts w:asciiTheme="minorHAnsi" w:hAnsiTheme="minorHAnsi" w:cstheme="minorBidi"/>
          <w:color w:val="44546A" w:themeColor="text2"/>
          <w:sz w:val="22"/>
          <w:szCs w:val="22"/>
          <w:lang w:val="en-GB"/>
        </w:rPr>
        <w:t>Solomon Islands, a new</w:t>
      </w:r>
      <w:r>
        <w:rPr>
          <w:rFonts w:asciiTheme="minorHAnsi" w:hAnsiTheme="minorHAnsi" w:cstheme="minorBidi"/>
          <w:color w:val="44546A" w:themeColor="text2"/>
          <w:sz w:val="22"/>
          <w:szCs w:val="22"/>
          <w:lang w:val="en-GB"/>
        </w:rPr>
        <w:t xml:space="preserve"> Geographical Information System(</w:t>
      </w:r>
      <w:r w:rsidRPr="00150392">
        <w:rPr>
          <w:rFonts w:asciiTheme="minorHAnsi" w:hAnsiTheme="minorHAnsi" w:cstheme="minorBidi"/>
          <w:color w:val="44546A" w:themeColor="text2"/>
          <w:sz w:val="22"/>
          <w:szCs w:val="22"/>
          <w:lang w:val="en-GB"/>
        </w:rPr>
        <w:t xml:space="preserve"> GIS</w:t>
      </w:r>
      <w:r>
        <w:rPr>
          <w:rFonts w:asciiTheme="minorHAnsi" w:hAnsiTheme="minorHAnsi" w:cstheme="minorBidi"/>
          <w:color w:val="44546A" w:themeColor="text2"/>
          <w:sz w:val="22"/>
          <w:szCs w:val="22"/>
          <w:lang w:val="en-GB"/>
        </w:rPr>
        <w:t>)</w:t>
      </w:r>
      <w:r w:rsidRPr="00150392">
        <w:rPr>
          <w:rFonts w:asciiTheme="minorHAnsi" w:hAnsiTheme="minorHAnsi" w:cstheme="minorBidi"/>
          <w:color w:val="44546A" w:themeColor="text2"/>
          <w:sz w:val="22"/>
          <w:szCs w:val="22"/>
          <w:lang w:val="en-GB"/>
        </w:rPr>
        <w:t xml:space="preserve"> post and Risk Information Unit have used risk maps to inform planning of a number of projects, including drought recovery and community development planning in Guadalcanal province, and preparedness work (mapping of available water sources) for future El Nino events. In addition, Fiji’s Ministry of Agriculture and the Food Security and Livelihood Cluster used data on vulnerability to climate change and food security to inform the delivery of their TC Winston recovery effort.</w:t>
      </w:r>
    </w:p>
    <w:p w:rsidR="00C25AD7" w:rsidRPr="00150392" w:rsidRDefault="00C25AD7" w:rsidP="00C25AD7">
      <w:pPr>
        <w:pStyle w:val="ListBullet"/>
        <w:numPr>
          <w:ilvl w:val="0"/>
          <w:numId w:val="17"/>
        </w:numPr>
        <w:tabs>
          <w:tab w:val="clear" w:pos="284"/>
        </w:tabs>
        <w:rPr>
          <w:rFonts w:asciiTheme="minorHAnsi" w:hAnsiTheme="minorHAnsi" w:cstheme="minorBidi"/>
          <w:color w:val="44546A" w:themeColor="text2"/>
          <w:sz w:val="22"/>
          <w:szCs w:val="22"/>
          <w:lang w:val="en-GB"/>
        </w:rPr>
      </w:pPr>
      <w:r w:rsidRPr="00150392">
        <w:rPr>
          <w:rFonts w:asciiTheme="minorHAnsi" w:hAnsiTheme="minorHAnsi" w:cstheme="minorBidi"/>
          <w:color w:val="44546A" w:themeColor="text2"/>
          <w:sz w:val="22"/>
          <w:szCs w:val="22"/>
          <w:lang w:val="en-GB"/>
        </w:rPr>
        <w:t>The Interim Climate Change Support Unit (ISU) completed a review of regional and bilateral programs to identify investments related to climate change in the Pacific. The review showed that we are largely on track to meet the commitment of $300 million over four years, and there is room for improvement in terms of the quality of climate change integration. The ISU worked with Pacific Posts to develop and commence implementation of a work plan for integrating climate change into bilateral activities.</w:t>
      </w:r>
    </w:p>
    <w:p w:rsidR="00C25AD7" w:rsidRPr="00B36F54" w:rsidRDefault="00C25AD7" w:rsidP="00C25AD7">
      <w:pPr>
        <w:pStyle w:val="ListBullet"/>
        <w:numPr>
          <w:ilvl w:val="0"/>
          <w:numId w:val="17"/>
        </w:numPr>
        <w:tabs>
          <w:tab w:val="clear" w:pos="284"/>
        </w:tabs>
        <w:rPr>
          <w:rFonts w:asciiTheme="minorHAnsi" w:hAnsiTheme="minorHAnsi" w:cstheme="minorBidi"/>
          <w:color w:val="44546A" w:themeColor="text2"/>
          <w:sz w:val="22"/>
          <w:szCs w:val="22"/>
          <w:lang w:val="en-GB"/>
        </w:rPr>
      </w:pPr>
      <w:r w:rsidRPr="00150392">
        <w:rPr>
          <w:rFonts w:asciiTheme="minorHAnsi" w:hAnsiTheme="minorHAnsi" w:cstheme="minorBidi"/>
          <w:color w:val="44546A" w:themeColor="text2"/>
          <w:sz w:val="22"/>
          <w:szCs w:val="22"/>
          <w:lang w:val="en-GB"/>
        </w:rPr>
        <w:t xml:space="preserve">DFAT has supported workshops for Pacific Women Climate Change Negotiators in partnership with the Women’s Environment Development Organisation (WEDO). Workshop activities focus on developing </w:t>
      </w:r>
      <w:r w:rsidRPr="00150392">
        <w:rPr>
          <w:rFonts w:asciiTheme="minorHAnsi" w:hAnsiTheme="minorHAnsi" w:cstheme="minorBidi"/>
          <w:color w:val="44546A" w:themeColor="text2"/>
          <w:sz w:val="22"/>
          <w:szCs w:val="22"/>
          <w:lang w:val="en-GB"/>
        </w:rPr>
        <w:lastRenderedPageBreak/>
        <w:t>negotiation, communication and leadership skills with the aim of strengthening participants’ capacity to effectively engage in UNFCCC processes.</w:t>
      </w:r>
    </w:p>
    <w:p w:rsidR="00C25AD7" w:rsidRPr="00926623" w:rsidRDefault="00C25AD7" w:rsidP="00C25AD7">
      <w:pPr>
        <w:pStyle w:val="BodyText"/>
        <w:rPr>
          <w:rFonts w:asciiTheme="minorHAnsi" w:eastAsiaTheme="minorHAnsi" w:hAnsiTheme="minorHAnsi" w:cstheme="minorBidi"/>
          <w:b/>
          <w:color w:val="44546A" w:themeColor="text2"/>
          <w:sz w:val="22"/>
          <w:szCs w:val="22"/>
          <w:lang w:val="en-GB" w:eastAsia="en-US"/>
        </w:rPr>
      </w:pPr>
      <w:r w:rsidRPr="00926623">
        <w:rPr>
          <w:rFonts w:asciiTheme="minorHAnsi" w:eastAsiaTheme="minorHAnsi" w:hAnsiTheme="minorHAnsi" w:cstheme="minorBidi"/>
          <w:b/>
          <w:color w:val="44546A" w:themeColor="text2"/>
          <w:sz w:val="22"/>
          <w:szCs w:val="22"/>
          <w:lang w:val="en-GB" w:eastAsia="en-US"/>
        </w:rPr>
        <w:t>Factors affecting progress and future actions</w:t>
      </w:r>
      <w:r>
        <w:rPr>
          <w:rFonts w:asciiTheme="minorHAnsi" w:eastAsiaTheme="minorHAnsi" w:hAnsiTheme="minorHAnsi" w:cstheme="minorBidi"/>
          <w:b/>
          <w:color w:val="44546A" w:themeColor="text2"/>
          <w:sz w:val="22"/>
          <w:szCs w:val="22"/>
          <w:lang w:val="en-GB" w:eastAsia="en-US"/>
        </w:rPr>
        <w:t>:</w:t>
      </w:r>
    </w:p>
    <w:p w:rsidR="00C25AD7" w:rsidRDefault="00C25AD7" w:rsidP="00C25AD7">
      <w:pPr>
        <w:tabs>
          <w:tab w:val="left" w:pos="284"/>
        </w:tabs>
        <w:spacing w:after="120" w:line="280" w:lineRule="exact"/>
      </w:pPr>
      <w:r>
        <w:t xml:space="preserve">In 2016-17, DFAT commenced design of a new regional Australia Pacific Climate Change Action program, informed by consultations across the region. The related gender and social inclusion analysis found that the differential impacts of climate change are insufficiently addressed in our investments in the Pacific. The new program will provide targeted support to address gender mainstreaming in our climate change activities.  </w:t>
      </w:r>
    </w:p>
    <w:p w:rsidR="00C25AD7" w:rsidRPr="006B0DEB" w:rsidRDefault="00C25AD7" w:rsidP="00C25AD7">
      <w:pPr>
        <w:tabs>
          <w:tab w:val="left" w:pos="284"/>
        </w:tabs>
        <w:spacing w:after="120" w:line="280" w:lineRule="exact"/>
      </w:pPr>
      <w:r>
        <w:t>As Co-Chair of the GCF (until late 2017) and Board member, Australia has continued to uses its leadership role to advocate the particular needs of the Pacific region, and for approval of Pacific projects. In July 2017 Australia will co-host a GCF Pacific Regional Structured Dialogue in Tonga, to bring together Pacific ministers, GCF focal points, implementing entities, civil society and the private sector to help PICs build their internal capacity to access the GCF. PICs have criticised the slow disbursement of funds for approved GCF projects, which is related to finalisation of the necessary legal agreements with implementing partners.</w:t>
      </w:r>
    </w:p>
    <w:p w:rsidR="00C25AD7" w:rsidRDefault="00C25AD7" w:rsidP="00C25AD7">
      <w:pPr>
        <w:tabs>
          <w:tab w:val="left" w:pos="284"/>
        </w:tabs>
        <w:spacing w:after="120" w:line="280" w:lineRule="exact"/>
      </w:pPr>
      <w:r w:rsidRPr="006B0DEB">
        <w:t xml:space="preserve">Australia supported regional organisations, including the SPC and SPREP, to develop a </w:t>
      </w:r>
      <w:r>
        <w:t>F</w:t>
      </w:r>
      <w:r w:rsidRPr="006B0DEB">
        <w:t xml:space="preserve">ramework for Disaster and Climate Resilient Development that was endorsed in 2016. In 2017-18 </w:t>
      </w:r>
      <w:r>
        <w:t xml:space="preserve">we </w:t>
      </w:r>
      <w:r w:rsidRPr="006B0DEB">
        <w:t xml:space="preserve">will </w:t>
      </w:r>
      <w:r>
        <w:t>support</w:t>
      </w:r>
      <w:r w:rsidRPr="006B0DEB">
        <w:t xml:space="preserve"> implement</w:t>
      </w:r>
      <w:r>
        <w:t>ation</w:t>
      </w:r>
      <w:r w:rsidRPr="006B0DEB">
        <w:t>.</w:t>
      </w:r>
    </w:p>
    <w:p w:rsidR="00C25AD7" w:rsidRPr="009630EA" w:rsidRDefault="00C25AD7" w:rsidP="00C25AD7">
      <w:pPr>
        <w:pStyle w:val="BodyText"/>
        <w:rPr>
          <w:rFonts w:asciiTheme="minorHAnsi" w:eastAsiaTheme="minorHAnsi" w:hAnsiTheme="minorHAnsi" w:cstheme="minorBidi"/>
          <w:b/>
          <w:color w:val="44546A" w:themeColor="text2"/>
          <w:sz w:val="22"/>
          <w:szCs w:val="22"/>
          <w:lang w:val="en-GB" w:eastAsia="en-US"/>
        </w:rPr>
      </w:pPr>
      <w:r w:rsidRPr="001C14B0">
        <w:rPr>
          <w:rFonts w:asciiTheme="minorHAnsi" w:eastAsiaTheme="minorHAnsi" w:hAnsiTheme="minorHAnsi" w:cstheme="minorBidi"/>
          <w:b/>
          <w:color w:val="44546A" w:themeColor="text2"/>
          <w:sz w:val="22"/>
          <w:szCs w:val="22"/>
          <w:lang w:val="en-GB" w:eastAsia="en-US"/>
        </w:rPr>
        <w:t xml:space="preserve">Sustainable fisheries </w:t>
      </w:r>
      <w:r>
        <w:rPr>
          <w:rFonts w:asciiTheme="minorHAnsi" w:eastAsiaTheme="minorHAnsi" w:hAnsiTheme="minorHAnsi" w:cstheme="minorBidi"/>
          <w:b/>
          <w:color w:val="44546A" w:themeColor="text2"/>
          <w:sz w:val="22"/>
          <w:szCs w:val="22"/>
          <w:lang w:val="en-GB" w:eastAsia="en-US"/>
        </w:rPr>
        <w:t>for food security and nutrition</w:t>
      </w:r>
    </w:p>
    <w:p w:rsidR="00C25AD7" w:rsidRPr="00E03B23" w:rsidRDefault="00C25AD7" w:rsidP="00C25AD7">
      <w:pPr>
        <w:tabs>
          <w:tab w:val="left" w:pos="284"/>
        </w:tabs>
        <w:spacing w:after="120" w:line="280" w:lineRule="exact"/>
      </w:pPr>
      <w:r w:rsidRPr="000D77E8">
        <w:t>The increasing demand for coastal fisheries resources from growing populations, combined with a d</w:t>
      </w:r>
      <w:r>
        <w:t xml:space="preserve">ecline in fish from overfishing, </w:t>
      </w:r>
      <w:r w:rsidRPr="000D77E8">
        <w:t>habitat destruction</w:t>
      </w:r>
      <w:r>
        <w:t xml:space="preserve"> and climate change impacts</w:t>
      </w:r>
      <w:r w:rsidRPr="000D77E8">
        <w:t xml:space="preserve">, is creating a food security crisis. Within 15 years, an additional 100,000+ tonnes of fish per year will be needed across the region for good nutrition. Without changes in practice, </w:t>
      </w:r>
      <w:r>
        <w:t xml:space="preserve">up to </w:t>
      </w:r>
      <w:r w:rsidRPr="000D77E8">
        <w:t>75</w:t>
      </w:r>
      <w:r>
        <w:t xml:space="preserve"> per cent </w:t>
      </w:r>
      <w:r w:rsidRPr="000D77E8">
        <w:t>of Pacific communities will not be able to meet their food security needs from coastal fisheries by 2030</w:t>
      </w:r>
      <w:r>
        <w:t xml:space="preserve">. Through partnership with SPC FAME ($2.4 million annually), Australia helps scale up and coordinate </w:t>
      </w:r>
      <w:r w:rsidRPr="0008258B">
        <w:t xml:space="preserve">regional efforts to improve coastal fisheries conservation and management </w:t>
      </w:r>
      <w:r>
        <w:t xml:space="preserve">in line with the region’s </w:t>
      </w:r>
      <w:r w:rsidRPr="00744AEB">
        <w:rPr>
          <w:i/>
        </w:rPr>
        <w:t>New Song for Coastal Fisheries</w:t>
      </w:r>
      <w:r>
        <w:rPr>
          <w:i/>
        </w:rPr>
        <w:t xml:space="preserve"> </w:t>
      </w:r>
      <w:r>
        <w:t>(2015)</w:t>
      </w:r>
      <w:r w:rsidRPr="0008258B">
        <w:t xml:space="preserve">. </w:t>
      </w:r>
      <w:r>
        <w:t>T</w:t>
      </w:r>
      <w:r w:rsidRPr="00B51FF7">
        <w:t xml:space="preserve">he importance of coastal fisheries </w:t>
      </w:r>
      <w:r>
        <w:t xml:space="preserve">to food security, communities and health issues, particularly non-communicable disease, </w:t>
      </w:r>
      <w:r w:rsidRPr="00B51FF7">
        <w:t>was highlighted at the PIF Leaders meeting in September 2016</w:t>
      </w:r>
      <w:r>
        <w:t xml:space="preserve">. </w:t>
      </w:r>
    </w:p>
    <w:p w:rsidR="00C25AD7" w:rsidRDefault="00C25AD7" w:rsidP="00C25AD7">
      <w:pPr>
        <w:tabs>
          <w:tab w:val="left" w:pos="284"/>
        </w:tabs>
        <w:spacing w:after="120" w:line="280" w:lineRule="exact"/>
      </w:pPr>
      <w:r>
        <w:t xml:space="preserve">Australia, through the </w:t>
      </w:r>
      <w:r w:rsidRPr="00E03B23">
        <w:t>Australian Centre for International Agricultural Research (ACIAR)</w:t>
      </w:r>
      <w:r>
        <w:t xml:space="preserve">, is working to help implement the </w:t>
      </w:r>
      <w:r w:rsidRPr="00744AEB">
        <w:rPr>
          <w:i/>
        </w:rPr>
        <w:t>New Song for Coastal Fisheries</w:t>
      </w:r>
      <w:r>
        <w:t xml:space="preserve"> through </w:t>
      </w:r>
      <w:r w:rsidRPr="00E03B23">
        <w:t xml:space="preserve">funding for </w:t>
      </w:r>
      <w:r>
        <w:t xml:space="preserve">a </w:t>
      </w:r>
      <w:r w:rsidRPr="00E03B23">
        <w:t>community-based fisheries management (CBFM</w:t>
      </w:r>
      <w:r>
        <w:t>, Phase I</w:t>
      </w:r>
      <w:r w:rsidRPr="00E03B23">
        <w:t>) project</w:t>
      </w:r>
      <w:r>
        <w:t xml:space="preserve">. Through this project, we are helping </w:t>
      </w:r>
      <w:r w:rsidRPr="00E03B23">
        <w:t xml:space="preserve">communities in Kiribati, Solomon Islands and Vanuatu to manage their inshore fish resources sustainably. An independent evaluation of the CBFM </w:t>
      </w:r>
      <w:r>
        <w:t xml:space="preserve">Phase I </w:t>
      </w:r>
      <w:r w:rsidRPr="00E03B23">
        <w:t xml:space="preserve">project will be </w:t>
      </w:r>
      <w:r>
        <w:t xml:space="preserve">included </w:t>
      </w:r>
      <w:r w:rsidRPr="00E03B23">
        <w:t>in the 2017-18 APPR.</w:t>
      </w:r>
      <w:r>
        <w:t xml:space="preserve"> The project will be scaled-up (in terms of geographic coverage and depth) through CBFM Phase II ($6 million, 2017-2021), with a focus on stronger development and gender outcomes.</w:t>
      </w:r>
    </w:p>
    <w:p w:rsidR="00C25AD7" w:rsidRPr="00E03B23" w:rsidRDefault="00C25AD7" w:rsidP="00C25AD7">
      <w:pPr>
        <w:spacing w:line="280" w:lineRule="exact"/>
        <w:rPr>
          <w:rFonts w:asciiTheme="majorHAnsi" w:hAnsiTheme="majorHAnsi" w:cs="Arial"/>
          <w:b/>
        </w:rPr>
      </w:pPr>
      <w:r w:rsidRPr="00E03B23">
        <w:rPr>
          <w:rFonts w:asciiTheme="majorHAnsi" w:hAnsiTheme="majorHAnsi" w:cs="Arial"/>
          <w:b/>
        </w:rPr>
        <w:t>Key result</w:t>
      </w:r>
      <w:r>
        <w:rPr>
          <w:rFonts w:asciiTheme="majorHAnsi" w:hAnsiTheme="majorHAnsi" w:cs="Arial"/>
          <w:b/>
        </w:rPr>
        <w:t>s</w:t>
      </w:r>
    </w:p>
    <w:p w:rsidR="00C25AD7" w:rsidRDefault="00C25AD7" w:rsidP="00C25AD7">
      <w:pPr>
        <w:pStyle w:val="ListBullet"/>
        <w:numPr>
          <w:ilvl w:val="0"/>
          <w:numId w:val="17"/>
        </w:numPr>
        <w:tabs>
          <w:tab w:val="clear" w:pos="284"/>
          <w:tab w:val="left" w:pos="720"/>
        </w:tabs>
        <w:rPr>
          <w:rFonts w:asciiTheme="minorHAnsi" w:hAnsiTheme="minorHAnsi" w:cstheme="minorBidi"/>
          <w:color w:val="44546A" w:themeColor="text2"/>
          <w:sz w:val="22"/>
          <w:szCs w:val="22"/>
          <w:lang w:val="en-GB"/>
        </w:rPr>
      </w:pPr>
      <w:r w:rsidRPr="00B51FF7">
        <w:rPr>
          <w:rFonts w:asciiTheme="minorHAnsi" w:hAnsiTheme="minorHAnsi" w:cstheme="minorBidi"/>
          <w:color w:val="44546A" w:themeColor="text2"/>
          <w:sz w:val="22"/>
          <w:szCs w:val="22"/>
          <w:lang w:val="en-GB"/>
        </w:rPr>
        <w:t xml:space="preserve">PIF Leaders tasked SPC </w:t>
      </w:r>
      <w:r>
        <w:rPr>
          <w:rFonts w:asciiTheme="minorHAnsi" w:hAnsiTheme="minorHAnsi" w:cstheme="minorBidi"/>
          <w:color w:val="44546A" w:themeColor="text2"/>
          <w:sz w:val="22"/>
          <w:szCs w:val="22"/>
          <w:lang w:val="en-GB"/>
        </w:rPr>
        <w:t xml:space="preserve">(September 2016) </w:t>
      </w:r>
      <w:r w:rsidRPr="00B51FF7">
        <w:rPr>
          <w:rFonts w:asciiTheme="minorHAnsi" w:hAnsiTheme="minorHAnsi" w:cstheme="minorBidi"/>
          <w:color w:val="44546A" w:themeColor="text2"/>
          <w:sz w:val="22"/>
          <w:szCs w:val="22"/>
          <w:lang w:val="en-GB"/>
        </w:rPr>
        <w:t>to coordinate with National Fisheries Agencies, regional agencies and community groups, to strengthen support and resourcing for coastal fisheries management. Th</w:t>
      </w:r>
      <w:r>
        <w:rPr>
          <w:rFonts w:asciiTheme="minorHAnsi" w:hAnsiTheme="minorHAnsi" w:cstheme="minorBidi"/>
          <w:color w:val="44546A" w:themeColor="text2"/>
          <w:sz w:val="22"/>
          <w:szCs w:val="22"/>
          <w:lang w:val="en-GB"/>
        </w:rPr>
        <w:t xml:space="preserve">e 10th Heads of Fisheries </w:t>
      </w:r>
      <w:r w:rsidRPr="00B51FF7">
        <w:rPr>
          <w:rFonts w:asciiTheme="minorHAnsi" w:hAnsiTheme="minorHAnsi" w:cstheme="minorBidi"/>
          <w:color w:val="44546A" w:themeColor="text2"/>
          <w:sz w:val="22"/>
          <w:szCs w:val="22"/>
          <w:lang w:val="en-GB"/>
        </w:rPr>
        <w:t>meeting (March 2017)</w:t>
      </w:r>
      <w:r>
        <w:rPr>
          <w:rFonts w:asciiTheme="minorHAnsi" w:hAnsiTheme="minorHAnsi" w:cstheme="minorBidi"/>
          <w:color w:val="44546A" w:themeColor="text2"/>
          <w:sz w:val="22"/>
          <w:szCs w:val="22"/>
          <w:lang w:val="en-GB"/>
        </w:rPr>
        <w:t xml:space="preserve"> and 102</w:t>
      </w:r>
      <w:r w:rsidRPr="00744AEB">
        <w:rPr>
          <w:rFonts w:asciiTheme="minorHAnsi" w:hAnsiTheme="minorHAnsi" w:cstheme="minorBidi"/>
          <w:color w:val="44546A" w:themeColor="text2"/>
          <w:sz w:val="22"/>
          <w:szCs w:val="22"/>
          <w:vertAlign w:val="superscript"/>
          <w:lang w:val="en-GB"/>
        </w:rPr>
        <w:t>nd</w:t>
      </w:r>
      <w:r>
        <w:rPr>
          <w:rFonts w:asciiTheme="minorHAnsi" w:hAnsiTheme="minorHAnsi" w:cstheme="minorBidi"/>
          <w:color w:val="44546A" w:themeColor="text2"/>
          <w:sz w:val="22"/>
          <w:szCs w:val="22"/>
          <w:lang w:val="en-GB"/>
        </w:rPr>
        <w:t xml:space="preserve"> Forum Fisheries Committee Officials meeting (May 2017)</w:t>
      </w:r>
      <w:r w:rsidRPr="00B51FF7">
        <w:rPr>
          <w:rFonts w:asciiTheme="minorHAnsi" w:hAnsiTheme="minorHAnsi" w:cstheme="minorBidi"/>
          <w:color w:val="44546A" w:themeColor="text2"/>
          <w:sz w:val="22"/>
          <w:szCs w:val="22"/>
          <w:lang w:val="en-GB"/>
        </w:rPr>
        <w:t xml:space="preserve"> endorsed the establishment of a Coastal Fisheries Working Group to promote proactive engagement, cooperation and effective use of resources for coastal fisheries management at the national, sub-national and community levels. </w:t>
      </w:r>
    </w:p>
    <w:p w:rsidR="00C25AD7" w:rsidRDefault="00C25AD7" w:rsidP="00C25AD7">
      <w:pPr>
        <w:pStyle w:val="ListBullet"/>
        <w:numPr>
          <w:ilvl w:val="0"/>
          <w:numId w:val="17"/>
        </w:numPr>
        <w:tabs>
          <w:tab w:val="clear" w:pos="284"/>
          <w:tab w:val="left" w:pos="720"/>
        </w:tabs>
        <w:rPr>
          <w:rFonts w:asciiTheme="minorHAnsi" w:hAnsiTheme="minorHAnsi" w:cstheme="minorBidi"/>
          <w:color w:val="44546A" w:themeColor="text2"/>
          <w:sz w:val="22"/>
          <w:szCs w:val="22"/>
          <w:lang w:val="en-GB"/>
        </w:rPr>
      </w:pPr>
      <w:r w:rsidRPr="00BC678A">
        <w:rPr>
          <w:rFonts w:asciiTheme="minorHAnsi" w:hAnsiTheme="minorHAnsi" w:cstheme="minorBidi"/>
          <w:color w:val="44546A" w:themeColor="text2"/>
          <w:sz w:val="22"/>
          <w:szCs w:val="22"/>
          <w:lang w:val="en-GB"/>
        </w:rPr>
        <w:t xml:space="preserve">Coastal fisheries and ecosystem data management systems were utilised by 10 </w:t>
      </w:r>
      <w:r>
        <w:rPr>
          <w:rFonts w:asciiTheme="minorHAnsi" w:hAnsiTheme="minorHAnsi" w:cstheme="minorBidi"/>
          <w:color w:val="44546A" w:themeColor="text2"/>
          <w:sz w:val="22"/>
          <w:szCs w:val="22"/>
          <w:lang w:val="en-GB"/>
        </w:rPr>
        <w:t xml:space="preserve">Pacific island countries and territories </w:t>
      </w:r>
      <w:r w:rsidRPr="00BC678A">
        <w:rPr>
          <w:rFonts w:asciiTheme="minorHAnsi" w:hAnsiTheme="minorHAnsi" w:cstheme="minorBidi"/>
          <w:color w:val="44546A" w:themeColor="text2"/>
          <w:sz w:val="22"/>
          <w:szCs w:val="22"/>
          <w:lang w:val="en-GB"/>
        </w:rPr>
        <w:t>to enter and manage their coastal data. Pacific Fisheries Minister</w:t>
      </w:r>
      <w:r>
        <w:rPr>
          <w:rFonts w:asciiTheme="minorHAnsi" w:hAnsiTheme="minorHAnsi" w:cstheme="minorBidi"/>
          <w:color w:val="44546A" w:themeColor="text2"/>
          <w:sz w:val="22"/>
          <w:szCs w:val="22"/>
          <w:lang w:val="en-GB"/>
        </w:rPr>
        <w:t>s</w:t>
      </w:r>
      <w:r w:rsidRPr="00BC678A">
        <w:rPr>
          <w:rFonts w:asciiTheme="minorHAnsi" w:hAnsiTheme="minorHAnsi" w:cstheme="minorBidi"/>
          <w:color w:val="44546A" w:themeColor="text2"/>
          <w:sz w:val="22"/>
          <w:szCs w:val="22"/>
          <w:lang w:val="en-GB"/>
        </w:rPr>
        <w:t xml:space="preserve"> endorsed the 2017 Coastal Fisheries Report Card </w:t>
      </w:r>
      <w:r>
        <w:rPr>
          <w:rFonts w:asciiTheme="minorHAnsi" w:hAnsiTheme="minorHAnsi" w:cstheme="minorBidi"/>
          <w:color w:val="44546A" w:themeColor="text2"/>
          <w:sz w:val="22"/>
          <w:szCs w:val="22"/>
          <w:lang w:val="en-GB"/>
        </w:rPr>
        <w:t xml:space="preserve">(July 2017), </w:t>
      </w:r>
      <w:r w:rsidRPr="00BC678A">
        <w:rPr>
          <w:rFonts w:asciiTheme="minorHAnsi" w:hAnsiTheme="minorHAnsi" w:cstheme="minorBidi"/>
          <w:color w:val="44546A" w:themeColor="text2"/>
          <w:sz w:val="22"/>
          <w:szCs w:val="22"/>
          <w:lang w:val="en-GB"/>
        </w:rPr>
        <w:t xml:space="preserve">which has been amended to harmonise regional reporting on </w:t>
      </w:r>
      <w:r>
        <w:rPr>
          <w:rFonts w:asciiTheme="minorHAnsi" w:hAnsiTheme="minorHAnsi" w:cstheme="minorBidi"/>
          <w:color w:val="44546A" w:themeColor="text2"/>
          <w:sz w:val="22"/>
          <w:szCs w:val="22"/>
          <w:lang w:val="en-GB"/>
        </w:rPr>
        <w:t xml:space="preserve">the coastal fisheries </w:t>
      </w:r>
      <w:r w:rsidRPr="00BC678A">
        <w:rPr>
          <w:rFonts w:asciiTheme="minorHAnsi" w:hAnsiTheme="minorHAnsi" w:cstheme="minorBidi"/>
          <w:color w:val="44546A" w:themeColor="text2"/>
          <w:sz w:val="22"/>
          <w:szCs w:val="22"/>
          <w:lang w:val="en-GB"/>
        </w:rPr>
        <w:t>goals and objectives</w:t>
      </w:r>
      <w:r>
        <w:rPr>
          <w:rFonts w:asciiTheme="minorHAnsi" w:hAnsiTheme="minorHAnsi" w:cstheme="minorBidi"/>
          <w:color w:val="44546A" w:themeColor="text2"/>
          <w:sz w:val="22"/>
          <w:szCs w:val="22"/>
          <w:lang w:val="en-GB"/>
        </w:rPr>
        <w:t xml:space="preserve"> in the </w:t>
      </w:r>
      <w:r w:rsidRPr="00744AEB">
        <w:rPr>
          <w:rFonts w:asciiTheme="minorHAnsi" w:hAnsiTheme="minorHAnsi" w:cstheme="minorBidi"/>
          <w:i/>
          <w:color w:val="44546A" w:themeColor="text2"/>
          <w:sz w:val="22"/>
          <w:szCs w:val="22"/>
          <w:lang w:val="en-GB"/>
        </w:rPr>
        <w:t>New Song for Coastal Fisheries</w:t>
      </w:r>
      <w:r>
        <w:rPr>
          <w:rFonts w:asciiTheme="minorHAnsi" w:hAnsiTheme="minorHAnsi" w:cstheme="minorBidi"/>
          <w:color w:val="44546A" w:themeColor="text2"/>
          <w:sz w:val="22"/>
          <w:szCs w:val="22"/>
          <w:lang w:val="en-GB"/>
        </w:rPr>
        <w:t xml:space="preserve"> and the </w:t>
      </w:r>
      <w:r w:rsidRPr="00744AEB">
        <w:rPr>
          <w:rFonts w:asciiTheme="minorHAnsi" w:hAnsiTheme="minorHAnsi" w:cstheme="minorBidi"/>
          <w:i/>
          <w:color w:val="44546A" w:themeColor="text2"/>
          <w:sz w:val="22"/>
          <w:szCs w:val="22"/>
          <w:lang w:val="en-GB"/>
        </w:rPr>
        <w:t>Regional Roadmap for Sustainable Pacific Fisheries</w:t>
      </w:r>
      <w:r w:rsidRPr="00BC678A">
        <w:rPr>
          <w:rFonts w:asciiTheme="minorHAnsi" w:hAnsiTheme="minorHAnsi" w:cstheme="minorBidi"/>
          <w:color w:val="44546A" w:themeColor="text2"/>
          <w:sz w:val="22"/>
          <w:szCs w:val="22"/>
          <w:lang w:val="en-GB"/>
        </w:rPr>
        <w:t xml:space="preserve">.  </w:t>
      </w:r>
    </w:p>
    <w:p w:rsidR="00C25AD7" w:rsidRDefault="00C25AD7" w:rsidP="00C25AD7">
      <w:pPr>
        <w:pStyle w:val="ListBullet"/>
        <w:numPr>
          <w:ilvl w:val="0"/>
          <w:numId w:val="17"/>
        </w:numPr>
        <w:tabs>
          <w:tab w:val="clear" w:pos="284"/>
          <w:tab w:val="left" w:pos="720"/>
        </w:tabs>
        <w:rPr>
          <w:rFonts w:asciiTheme="minorHAnsi" w:hAnsiTheme="minorHAnsi" w:cstheme="minorBidi"/>
          <w:color w:val="44546A" w:themeColor="text2"/>
          <w:sz w:val="22"/>
          <w:szCs w:val="22"/>
          <w:lang w:val="en-GB"/>
        </w:rPr>
      </w:pPr>
      <w:r w:rsidRPr="00B51FF7">
        <w:rPr>
          <w:rFonts w:asciiTheme="minorHAnsi" w:eastAsiaTheme="minorHAnsi" w:hAnsiTheme="minorHAnsi" w:cstheme="minorBidi"/>
          <w:color w:val="44546A" w:themeColor="text2"/>
          <w:sz w:val="22"/>
          <w:szCs w:val="22"/>
          <w:lang w:val="en-GB" w:eastAsia="en-US"/>
        </w:rPr>
        <w:lastRenderedPageBreak/>
        <w:t xml:space="preserve">In partnership with ACIAR, we supported 28 villages and 7400 people in community based fisheries management (CBFM) pilot sites in Kiribati, Vanuatu and Solomon Islands to strengthen inshore fisheries management for food security and livelihoods. </w:t>
      </w:r>
      <w:r w:rsidRPr="00B51FF7">
        <w:rPr>
          <w:rFonts w:asciiTheme="minorHAnsi" w:hAnsiTheme="minorHAnsi" w:cstheme="minorBidi"/>
          <w:color w:val="44546A" w:themeColor="text2"/>
          <w:sz w:val="22"/>
          <w:szCs w:val="22"/>
          <w:lang w:val="en-GB"/>
        </w:rPr>
        <w:t>To date, 21 high quality documents were produced for use by regional and national agencies</w:t>
      </w:r>
      <w:r>
        <w:rPr>
          <w:rFonts w:asciiTheme="minorHAnsi" w:hAnsiTheme="minorHAnsi" w:cstheme="minorBidi"/>
          <w:color w:val="44546A" w:themeColor="text2"/>
          <w:sz w:val="22"/>
          <w:szCs w:val="22"/>
          <w:lang w:val="en-GB"/>
        </w:rPr>
        <w:t xml:space="preserve"> to enhance fish identification and sustainable management by communities (e.g.</w:t>
      </w:r>
      <w:r w:rsidRPr="00B51FF7">
        <w:rPr>
          <w:rFonts w:asciiTheme="minorHAnsi" w:hAnsiTheme="minorHAnsi" w:cstheme="minorBidi"/>
          <w:color w:val="44546A" w:themeColor="text2"/>
          <w:sz w:val="22"/>
          <w:szCs w:val="22"/>
          <w:lang w:val="en-GB"/>
        </w:rPr>
        <w:t xml:space="preserve"> fish identification books designed for community reference and use</w:t>
      </w:r>
      <w:r>
        <w:rPr>
          <w:rFonts w:asciiTheme="minorHAnsi" w:hAnsiTheme="minorHAnsi" w:cstheme="minorBidi"/>
          <w:color w:val="44546A" w:themeColor="text2"/>
          <w:sz w:val="22"/>
          <w:szCs w:val="22"/>
          <w:lang w:val="en-GB"/>
        </w:rPr>
        <w:t>).</w:t>
      </w:r>
    </w:p>
    <w:p w:rsidR="00C25AD7" w:rsidRPr="008B1A4C" w:rsidRDefault="00C25AD7" w:rsidP="00C25AD7">
      <w:pPr>
        <w:pStyle w:val="BodyText"/>
        <w:rPr>
          <w:b/>
        </w:rPr>
      </w:pPr>
      <w:r w:rsidRPr="00744AEB">
        <w:rPr>
          <w:rFonts w:asciiTheme="minorHAnsi" w:eastAsiaTheme="minorHAnsi" w:hAnsiTheme="minorHAnsi"/>
          <w:b/>
          <w:color w:val="44546A" w:themeColor="text2"/>
          <w:sz w:val="22"/>
          <w:lang w:val="en-GB"/>
        </w:rPr>
        <w:t>Factors affecting progress and future actions:</w:t>
      </w:r>
    </w:p>
    <w:p w:rsidR="00C25AD7" w:rsidRDefault="00C25AD7" w:rsidP="00C25AD7">
      <w:pPr>
        <w:pStyle w:val="ListBullet"/>
        <w:tabs>
          <w:tab w:val="clear" w:pos="284"/>
          <w:tab w:val="left" w:pos="720"/>
        </w:tabs>
        <w:rPr>
          <w:rFonts w:asciiTheme="majorHAnsi" w:eastAsiaTheme="majorEastAsia" w:hAnsiTheme="majorHAnsi" w:cstheme="majorBidi"/>
          <w:caps/>
          <w:sz w:val="38"/>
          <w:szCs w:val="26"/>
        </w:rPr>
      </w:pPr>
      <w:r w:rsidRPr="001969C7">
        <w:rPr>
          <w:rFonts w:asciiTheme="minorHAnsi" w:eastAsiaTheme="minorHAnsi" w:hAnsiTheme="minorHAnsi" w:cstheme="minorBidi"/>
          <w:color w:val="44546A" w:themeColor="text2"/>
          <w:sz w:val="22"/>
          <w:szCs w:val="22"/>
          <w:lang w:val="en-GB" w:eastAsia="en-US"/>
        </w:rPr>
        <w:t xml:space="preserve">Population growth, </w:t>
      </w:r>
      <w:r>
        <w:rPr>
          <w:rFonts w:asciiTheme="minorHAnsi" w:eastAsiaTheme="minorHAnsi" w:hAnsiTheme="minorHAnsi" w:cstheme="minorBidi"/>
          <w:color w:val="44546A" w:themeColor="text2"/>
          <w:sz w:val="22"/>
          <w:szCs w:val="22"/>
          <w:lang w:val="en-GB" w:eastAsia="en-US"/>
        </w:rPr>
        <w:t xml:space="preserve">overfishing and climate change impacts </w:t>
      </w:r>
      <w:r w:rsidRPr="001969C7">
        <w:rPr>
          <w:rFonts w:asciiTheme="minorHAnsi" w:eastAsiaTheme="minorHAnsi" w:hAnsiTheme="minorHAnsi" w:cstheme="minorBidi"/>
          <w:color w:val="44546A" w:themeColor="text2"/>
          <w:sz w:val="22"/>
          <w:szCs w:val="22"/>
          <w:lang w:val="en-GB" w:eastAsia="en-US"/>
        </w:rPr>
        <w:t>threaten inshore fisheries</w:t>
      </w:r>
      <w:r>
        <w:rPr>
          <w:rFonts w:asciiTheme="minorHAnsi" w:eastAsiaTheme="minorHAnsi" w:hAnsiTheme="minorHAnsi" w:cstheme="minorBidi"/>
          <w:color w:val="44546A" w:themeColor="text2"/>
          <w:sz w:val="22"/>
          <w:szCs w:val="22"/>
          <w:lang w:val="en-GB" w:eastAsia="en-US"/>
        </w:rPr>
        <w:t>. T</w:t>
      </w:r>
      <w:r w:rsidRPr="001969C7">
        <w:rPr>
          <w:rFonts w:asciiTheme="minorHAnsi" w:eastAsiaTheme="minorHAnsi" w:hAnsiTheme="minorHAnsi" w:cstheme="minorBidi"/>
          <w:color w:val="44546A" w:themeColor="text2"/>
          <w:sz w:val="22"/>
          <w:szCs w:val="22"/>
          <w:lang w:val="en-GB" w:eastAsia="en-US"/>
        </w:rPr>
        <w:t>he sector struggles to secure funding</w:t>
      </w:r>
      <w:r>
        <w:rPr>
          <w:rFonts w:asciiTheme="minorHAnsi" w:eastAsiaTheme="minorHAnsi" w:hAnsiTheme="minorHAnsi" w:cstheme="minorBidi"/>
          <w:color w:val="44546A" w:themeColor="text2"/>
          <w:sz w:val="22"/>
          <w:szCs w:val="22"/>
          <w:lang w:val="en-GB" w:eastAsia="en-US"/>
        </w:rPr>
        <w:t xml:space="preserve"> for development and management of coastal resources, compared to the lucrative offshore fishing industry</w:t>
      </w:r>
      <w:r w:rsidRPr="001969C7">
        <w:rPr>
          <w:rFonts w:asciiTheme="minorHAnsi" w:eastAsiaTheme="minorHAnsi" w:hAnsiTheme="minorHAnsi" w:cstheme="minorBidi"/>
          <w:color w:val="44546A" w:themeColor="text2"/>
          <w:sz w:val="22"/>
          <w:szCs w:val="22"/>
          <w:lang w:val="en-GB" w:eastAsia="en-US"/>
        </w:rPr>
        <w:t xml:space="preserve">. In 2017-18, Australia will work with regional partners to help implement the </w:t>
      </w:r>
      <w:r w:rsidRPr="00744AEB">
        <w:rPr>
          <w:rFonts w:asciiTheme="minorHAnsi" w:eastAsiaTheme="minorHAnsi" w:hAnsiTheme="minorHAnsi" w:cstheme="minorBidi"/>
          <w:i/>
          <w:color w:val="44546A" w:themeColor="text2"/>
          <w:sz w:val="22"/>
          <w:szCs w:val="22"/>
          <w:lang w:val="en-GB" w:eastAsia="en-US"/>
        </w:rPr>
        <w:t>New Song</w:t>
      </w:r>
      <w:r w:rsidRPr="001969C7">
        <w:rPr>
          <w:rFonts w:asciiTheme="minorHAnsi" w:eastAsiaTheme="minorHAnsi" w:hAnsiTheme="minorHAnsi" w:cstheme="minorBidi"/>
          <w:color w:val="44546A" w:themeColor="text2"/>
          <w:sz w:val="22"/>
          <w:szCs w:val="22"/>
          <w:lang w:val="en-GB" w:eastAsia="en-US"/>
        </w:rPr>
        <w:t xml:space="preserve"> </w:t>
      </w:r>
      <w:r>
        <w:rPr>
          <w:rFonts w:asciiTheme="minorHAnsi" w:eastAsiaTheme="minorHAnsi" w:hAnsiTheme="minorHAnsi" w:cstheme="minorBidi"/>
          <w:color w:val="44546A" w:themeColor="text2"/>
          <w:sz w:val="22"/>
          <w:szCs w:val="22"/>
          <w:lang w:val="en-GB" w:eastAsia="en-US"/>
        </w:rPr>
        <w:t xml:space="preserve">to enhance coordination and </w:t>
      </w:r>
      <w:r w:rsidRPr="001969C7">
        <w:rPr>
          <w:rFonts w:asciiTheme="minorHAnsi" w:eastAsiaTheme="minorHAnsi" w:hAnsiTheme="minorHAnsi" w:cstheme="minorBidi"/>
          <w:color w:val="44546A" w:themeColor="text2"/>
          <w:sz w:val="22"/>
          <w:szCs w:val="22"/>
          <w:lang w:val="en-GB" w:eastAsia="en-US"/>
        </w:rPr>
        <w:t xml:space="preserve">sustainability in </w:t>
      </w:r>
      <w:r>
        <w:rPr>
          <w:rFonts w:asciiTheme="minorHAnsi" w:eastAsiaTheme="minorHAnsi" w:hAnsiTheme="minorHAnsi" w:cstheme="minorBidi"/>
          <w:color w:val="44546A" w:themeColor="text2"/>
          <w:sz w:val="22"/>
          <w:szCs w:val="22"/>
          <w:lang w:val="en-GB" w:eastAsia="en-US"/>
        </w:rPr>
        <w:t xml:space="preserve">the </w:t>
      </w:r>
      <w:r w:rsidRPr="001969C7">
        <w:rPr>
          <w:rFonts w:asciiTheme="minorHAnsi" w:eastAsiaTheme="minorHAnsi" w:hAnsiTheme="minorHAnsi" w:cstheme="minorBidi"/>
          <w:color w:val="44546A" w:themeColor="text2"/>
          <w:sz w:val="22"/>
          <w:szCs w:val="22"/>
          <w:lang w:val="en-GB" w:eastAsia="en-US"/>
        </w:rPr>
        <w:t xml:space="preserve">inshore fisheries sector. The increased incidence of Vietnamese vessels fishing illegally bêche-de-mer and other </w:t>
      </w:r>
      <w:r>
        <w:rPr>
          <w:rFonts w:asciiTheme="minorHAnsi" w:eastAsiaTheme="minorHAnsi" w:hAnsiTheme="minorHAnsi" w:cstheme="minorBidi"/>
          <w:color w:val="44546A" w:themeColor="text2"/>
          <w:sz w:val="22"/>
          <w:szCs w:val="22"/>
          <w:lang w:val="en-GB" w:eastAsia="en-US"/>
        </w:rPr>
        <w:t xml:space="preserve">species in FFA members’ waters </w:t>
      </w:r>
      <w:r w:rsidRPr="001969C7">
        <w:rPr>
          <w:rFonts w:asciiTheme="minorHAnsi" w:eastAsiaTheme="minorHAnsi" w:hAnsiTheme="minorHAnsi" w:cstheme="minorBidi"/>
          <w:color w:val="44546A" w:themeColor="text2"/>
          <w:sz w:val="22"/>
          <w:szCs w:val="22"/>
          <w:lang w:val="en-GB" w:eastAsia="en-US"/>
        </w:rPr>
        <w:t>will requir</w:t>
      </w:r>
      <w:r>
        <w:rPr>
          <w:rFonts w:asciiTheme="minorHAnsi" w:eastAsiaTheme="minorHAnsi" w:hAnsiTheme="minorHAnsi" w:cstheme="minorBidi"/>
          <w:color w:val="44546A" w:themeColor="text2"/>
          <w:sz w:val="22"/>
          <w:szCs w:val="22"/>
          <w:lang w:val="en-GB" w:eastAsia="en-US"/>
        </w:rPr>
        <w:t>e stronger coastal monitoring and surveillance</w:t>
      </w:r>
      <w:r w:rsidRPr="001969C7">
        <w:rPr>
          <w:rFonts w:asciiTheme="minorHAnsi" w:eastAsiaTheme="minorHAnsi" w:hAnsiTheme="minorHAnsi" w:cstheme="minorBidi"/>
          <w:color w:val="44546A" w:themeColor="text2"/>
          <w:sz w:val="22"/>
          <w:szCs w:val="22"/>
          <w:lang w:val="en-GB" w:eastAsia="en-US"/>
        </w:rPr>
        <w:t xml:space="preserve"> systems.</w:t>
      </w:r>
      <w:r>
        <w:rPr>
          <w:rFonts w:asciiTheme="minorHAnsi" w:eastAsiaTheme="minorHAnsi" w:hAnsiTheme="minorHAnsi" w:cstheme="minorBidi"/>
          <w:color w:val="44546A" w:themeColor="text2"/>
          <w:sz w:val="22"/>
          <w:szCs w:val="22"/>
          <w:lang w:val="en-GB" w:eastAsia="en-US"/>
        </w:rPr>
        <w:t xml:space="preserve"> </w:t>
      </w:r>
    </w:p>
    <w:p w:rsidR="00C25AD7" w:rsidRDefault="00C25AD7" w:rsidP="00C25AD7">
      <w:pPr>
        <w:pStyle w:val="ListBullet"/>
        <w:tabs>
          <w:tab w:val="clear" w:pos="284"/>
          <w:tab w:val="left" w:pos="720"/>
        </w:tabs>
        <w:rPr>
          <w:rFonts w:asciiTheme="majorHAnsi" w:eastAsiaTheme="majorEastAsia" w:hAnsiTheme="majorHAnsi" w:cstheme="majorBidi"/>
          <w:caps/>
          <w:sz w:val="38"/>
          <w:szCs w:val="26"/>
        </w:rPr>
      </w:pPr>
    </w:p>
    <w:p w:rsidR="00C25AD7" w:rsidRDefault="00C25AD7" w:rsidP="00C25AD7">
      <w:pPr>
        <w:pStyle w:val="ListBullet"/>
        <w:tabs>
          <w:tab w:val="clear" w:pos="284"/>
          <w:tab w:val="left" w:pos="720"/>
        </w:tabs>
        <w:rPr>
          <w:rFonts w:asciiTheme="majorHAnsi" w:eastAsiaTheme="majorEastAsia" w:hAnsiTheme="majorHAnsi" w:cstheme="majorBidi"/>
          <w:caps/>
          <w:sz w:val="38"/>
          <w:szCs w:val="26"/>
        </w:rPr>
      </w:pPr>
      <w:r w:rsidRPr="00612C97">
        <w:rPr>
          <w:rFonts w:asciiTheme="majorHAnsi" w:eastAsiaTheme="majorEastAsia" w:hAnsiTheme="majorHAnsi" w:cstheme="majorBidi"/>
          <w:caps/>
          <w:sz w:val="38"/>
          <w:szCs w:val="26"/>
        </w:rPr>
        <w:t>objective 4: empowering women and girls</w:t>
      </w:r>
    </w:p>
    <w:p w:rsidR="00C25AD7" w:rsidRPr="00BC4460" w:rsidRDefault="00C25AD7" w:rsidP="00C25AD7">
      <w:pPr>
        <w:suppressAutoHyphens w:val="0"/>
        <w:spacing w:before="0" w:after="120" w:line="240" w:lineRule="auto"/>
        <w:rPr>
          <w:rFonts w:asciiTheme="majorHAnsi" w:eastAsiaTheme="majorEastAsia" w:hAnsiTheme="majorHAnsi" w:cstheme="majorBidi"/>
          <w:caps/>
          <w:sz w:val="38"/>
          <w:szCs w:val="26"/>
        </w:rPr>
      </w:pPr>
      <w:r>
        <w:rPr>
          <w:rFonts w:asciiTheme="majorHAnsi" w:eastAsiaTheme="majorEastAsia" w:hAnsiTheme="majorHAnsi" w:cstheme="majorBidi"/>
          <w:caps/>
          <w:noProof/>
          <w:sz w:val="38"/>
          <w:szCs w:val="26"/>
          <w:lang w:val="en-AU" w:eastAsia="en-AU"/>
        </w:rPr>
        <w:drawing>
          <wp:inline distT="0" distB="0" distL="0" distR="0" wp14:anchorId="72646E14" wp14:editId="11DFE729">
            <wp:extent cx="1137600" cy="720000"/>
            <wp:effectExtent l="0" t="0" r="5715"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6">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r>
        <w:rPr>
          <w:rFonts w:asciiTheme="majorHAnsi" w:eastAsiaTheme="majorEastAsia" w:hAnsiTheme="majorHAnsi" w:cstheme="majorBidi"/>
          <w:caps/>
          <w:sz w:val="38"/>
          <w:szCs w:val="26"/>
        </w:rPr>
        <w:tab/>
      </w:r>
      <w:r>
        <w:rPr>
          <w:noProof/>
          <w:lang w:val="en-AU" w:eastAsia="en-AU"/>
        </w:rPr>
        <w:drawing>
          <wp:inline distT="0" distB="0" distL="0" distR="0" wp14:anchorId="55B3C6F7" wp14:editId="6CE4DEF9">
            <wp:extent cx="612000" cy="612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p w:rsidR="00C25AD7" w:rsidRDefault="00C25AD7" w:rsidP="00C25AD7">
      <w:pPr>
        <w:pStyle w:val="BodyText"/>
        <w:rPr>
          <w:rFonts w:asciiTheme="minorHAnsi" w:eastAsiaTheme="minorHAnsi" w:hAnsiTheme="minorHAnsi" w:cstheme="minorBidi"/>
          <w:color w:val="44546A" w:themeColor="text2"/>
          <w:sz w:val="22"/>
          <w:szCs w:val="22"/>
          <w:lang w:val="en-GB" w:eastAsia="en-US"/>
        </w:rPr>
      </w:pPr>
      <w:r w:rsidRPr="006213F5">
        <w:rPr>
          <w:rFonts w:asciiTheme="minorHAnsi" w:eastAsiaTheme="minorHAnsi" w:hAnsiTheme="minorHAnsi" w:cstheme="minorBidi"/>
          <w:color w:val="44546A" w:themeColor="text2"/>
          <w:sz w:val="22"/>
          <w:szCs w:val="22"/>
          <w:lang w:val="en-GB" w:eastAsia="en-US"/>
        </w:rPr>
        <w:t xml:space="preserve">Under this objective, we are </w:t>
      </w:r>
      <w:r>
        <w:rPr>
          <w:rFonts w:asciiTheme="minorHAnsi" w:eastAsiaTheme="minorHAnsi" w:hAnsiTheme="minorHAnsi" w:cstheme="minorBidi"/>
          <w:color w:val="44546A" w:themeColor="text2"/>
          <w:sz w:val="22"/>
          <w:szCs w:val="22"/>
          <w:lang w:val="en-GB" w:eastAsia="en-US"/>
        </w:rPr>
        <w:t xml:space="preserve">primarily </w:t>
      </w:r>
      <w:r w:rsidRPr="006213F5">
        <w:rPr>
          <w:rFonts w:asciiTheme="minorHAnsi" w:eastAsiaTheme="minorHAnsi" w:hAnsiTheme="minorHAnsi" w:cstheme="minorBidi"/>
          <w:color w:val="44546A" w:themeColor="text2"/>
          <w:sz w:val="22"/>
          <w:szCs w:val="22"/>
          <w:lang w:val="en-GB" w:eastAsia="en-US"/>
        </w:rPr>
        <w:t>reporting on Pacific Women Shaping Pacific Development</w:t>
      </w:r>
      <w:r>
        <w:rPr>
          <w:rFonts w:asciiTheme="minorHAnsi" w:eastAsiaTheme="minorHAnsi" w:hAnsiTheme="minorHAnsi" w:cstheme="minorBidi"/>
          <w:color w:val="44546A" w:themeColor="text2"/>
          <w:sz w:val="22"/>
          <w:szCs w:val="22"/>
          <w:lang w:val="en-GB" w:eastAsia="en-US"/>
        </w:rPr>
        <w:t xml:space="preserve"> (</w:t>
      </w:r>
      <w:r w:rsidRPr="00E8470D">
        <w:rPr>
          <w:rFonts w:asciiTheme="minorHAnsi" w:eastAsiaTheme="minorHAnsi" w:hAnsiTheme="minorHAnsi" w:cstheme="minorBidi"/>
          <w:i/>
          <w:color w:val="44546A" w:themeColor="text2"/>
          <w:sz w:val="22"/>
          <w:szCs w:val="22"/>
          <w:lang w:val="en-GB" w:eastAsia="en-US"/>
        </w:rPr>
        <w:t>Pacific Women</w:t>
      </w:r>
      <w:r>
        <w:rPr>
          <w:rFonts w:asciiTheme="minorHAnsi" w:eastAsiaTheme="minorHAnsi" w:hAnsiTheme="minorHAnsi" w:cstheme="minorBidi"/>
          <w:color w:val="44546A" w:themeColor="text2"/>
          <w:sz w:val="22"/>
          <w:szCs w:val="22"/>
          <w:lang w:val="en-GB" w:eastAsia="en-US"/>
        </w:rPr>
        <w:t>) which is</w:t>
      </w:r>
      <w:r w:rsidRPr="006213F5">
        <w:rPr>
          <w:rFonts w:asciiTheme="minorHAnsi" w:eastAsiaTheme="minorHAnsi" w:hAnsiTheme="minorHAnsi" w:cstheme="minorBidi"/>
          <w:color w:val="44546A" w:themeColor="text2"/>
          <w:sz w:val="22"/>
          <w:szCs w:val="22"/>
          <w:lang w:val="en-GB" w:eastAsia="en-US"/>
        </w:rPr>
        <w:t xml:space="preserve"> DFAT’s largest gender equality program</w:t>
      </w:r>
      <w:r>
        <w:rPr>
          <w:rFonts w:asciiTheme="minorHAnsi" w:eastAsiaTheme="minorHAnsi" w:hAnsiTheme="minorHAnsi" w:cstheme="minorBidi"/>
          <w:color w:val="44546A" w:themeColor="text2"/>
          <w:sz w:val="22"/>
          <w:szCs w:val="22"/>
          <w:lang w:val="en-GB" w:eastAsia="en-US"/>
        </w:rPr>
        <w:t xml:space="preserve">.  However we have included </w:t>
      </w:r>
      <w:r w:rsidRPr="006213F5">
        <w:rPr>
          <w:rFonts w:asciiTheme="minorHAnsi" w:eastAsiaTheme="minorHAnsi" w:hAnsiTheme="minorHAnsi" w:cstheme="minorBidi"/>
          <w:color w:val="44546A" w:themeColor="text2"/>
          <w:sz w:val="22"/>
          <w:szCs w:val="22"/>
          <w:lang w:val="en-GB" w:eastAsia="en-US"/>
        </w:rPr>
        <w:t>results achieved through other sectoral programs</w:t>
      </w:r>
      <w:r>
        <w:rPr>
          <w:rFonts w:asciiTheme="minorHAnsi" w:eastAsiaTheme="minorHAnsi" w:hAnsiTheme="minorHAnsi" w:cstheme="minorBidi"/>
          <w:color w:val="44546A" w:themeColor="text2"/>
          <w:sz w:val="22"/>
          <w:szCs w:val="22"/>
          <w:lang w:val="en-GB" w:eastAsia="en-US"/>
        </w:rPr>
        <w:t xml:space="preserve"> in recognition of the whole of aid program response, through both mainstreamed and gender-specific work</w:t>
      </w:r>
      <w:r w:rsidRPr="006213F5">
        <w:rPr>
          <w:rFonts w:asciiTheme="minorHAnsi" w:eastAsiaTheme="minorHAnsi" w:hAnsiTheme="minorHAnsi" w:cstheme="minorBidi"/>
          <w:color w:val="44546A" w:themeColor="text2"/>
          <w:sz w:val="22"/>
          <w:szCs w:val="22"/>
          <w:lang w:val="en-GB" w:eastAsia="en-US"/>
        </w:rPr>
        <w:t xml:space="preserve">.  </w:t>
      </w:r>
      <w:r>
        <w:rPr>
          <w:rFonts w:asciiTheme="minorHAnsi" w:eastAsiaTheme="minorHAnsi" w:hAnsiTheme="minorHAnsi" w:cstheme="minorBidi"/>
          <w:color w:val="44546A" w:themeColor="text2"/>
          <w:sz w:val="22"/>
          <w:szCs w:val="22"/>
          <w:lang w:val="en-GB" w:eastAsia="en-US"/>
        </w:rPr>
        <w:t xml:space="preserve">In addition, </w:t>
      </w:r>
      <w:r w:rsidRPr="006213F5">
        <w:rPr>
          <w:rFonts w:asciiTheme="minorHAnsi" w:eastAsiaTheme="minorHAnsi" w:hAnsiTheme="minorHAnsi" w:cstheme="minorBidi"/>
          <w:color w:val="44546A" w:themeColor="text2"/>
          <w:sz w:val="22"/>
          <w:szCs w:val="22"/>
          <w:lang w:val="en-GB" w:eastAsia="en-US"/>
        </w:rPr>
        <w:t>DFAT is implementing a comprehensive response to gender inequality across the Pacific through all elements of the Department’s work:  foreign and strategic policy; economic diplomacy and trade; and the aid program</w:t>
      </w:r>
      <w:r>
        <w:t xml:space="preserve">.  </w:t>
      </w:r>
      <w:r w:rsidRPr="006213F5">
        <w:rPr>
          <w:rFonts w:asciiTheme="minorHAnsi" w:eastAsiaTheme="minorHAnsi" w:hAnsiTheme="minorHAnsi" w:cstheme="minorBidi"/>
          <w:color w:val="44546A" w:themeColor="text2"/>
          <w:sz w:val="22"/>
          <w:szCs w:val="22"/>
          <w:lang w:val="en-GB" w:eastAsia="en-US"/>
        </w:rPr>
        <w:t xml:space="preserve">  </w:t>
      </w:r>
    </w:p>
    <w:p w:rsidR="00C25AD7" w:rsidRDefault="00C25AD7" w:rsidP="00C25AD7">
      <w:pPr>
        <w:pStyle w:val="BodyText"/>
        <w:rPr>
          <w:rFonts w:asciiTheme="minorHAnsi" w:eastAsiaTheme="minorHAnsi" w:hAnsiTheme="minorHAnsi" w:cstheme="minorBidi"/>
          <w:color w:val="44546A" w:themeColor="text2"/>
          <w:sz w:val="22"/>
          <w:szCs w:val="22"/>
          <w:lang w:val="en-GB" w:eastAsia="en-US"/>
        </w:rPr>
      </w:pPr>
      <w:r>
        <w:rPr>
          <w:rFonts w:asciiTheme="minorHAnsi" w:eastAsiaTheme="minorHAnsi" w:hAnsiTheme="minorHAnsi" w:cstheme="minorBidi"/>
          <w:color w:val="44546A" w:themeColor="text2"/>
          <w:sz w:val="22"/>
          <w:szCs w:val="22"/>
          <w:lang w:val="en-GB" w:eastAsia="en-US"/>
        </w:rPr>
        <w:t xml:space="preserve">We continue </w:t>
      </w:r>
      <w:r w:rsidRPr="00E57D5D">
        <w:rPr>
          <w:rFonts w:asciiTheme="minorHAnsi" w:eastAsiaTheme="minorHAnsi" w:hAnsiTheme="minorHAnsi" w:cstheme="minorBidi"/>
          <w:color w:val="44546A" w:themeColor="text2"/>
          <w:sz w:val="22"/>
          <w:szCs w:val="22"/>
          <w:lang w:val="en-GB" w:eastAsia="en-US"/>
        </w:rPr>
        <w:t xml:space="preserve">to work to reduce violence against women and increase access to justice and support services for survivors of violence, help to increase women’s leadership and decision-making opportunities; </w:t>
      </w:r>
      <w:r>
        <w:rPr>
          <w:rFonts w:asciiTheme="minorHAnsi" w:eastAsiaTheme="minorHAnsi" w:hAnsiTheme="minorHAnsi" w:cstheme="minorBidi"/>
          <w:color w:val="44546A" w:themeColor="text2"/>
          <w:sz w:val="22"/>
          <w:szCs w:val="22"/>
          <w:lang w:val="en-GB" w:eastAsia="en-US"/>
        </w:rPr>
        <w:t xml:space="preserve">expand women’s economic opportunities; and </w:t>
      </w:r>
      <w:r w:rsidRPr="00E57D5D">
        <w:rPr>
          <w:rFonts w:asciiTheme="minorHAnsi" w:eastAsiaTheme="minorHAnsi" w:hAnsiTheme="minorHAnsi" w:cstheme="minorBidi"/>
          <w:color w:val="44546A" w:themeColor="text2"/>
          <w:sz w:val="22"/>
          <w:szCs w:val="22"/>
          <w:lang w:val="en-GB" w:eastAsia="en-US"/>
        </w:rPr>
        <w:t xml:space="preserve">work with Pacific communities and organisations to change the legal and social environment to enable women’s empowerment and child protection. </w:t>
      </w:r>
      <w:r w:rsidRPr="009503A0">
        <w:rPr>
          <w:rFonts w:asciiTheme="minorHAnsi" w:eastAsiaTheme="minorHAnsi" w:hAnsiTheme="minorHAnsi" w:cstheme="minorBidi"/>
          <w:color w:val="44546A" w:themeColor="text2"/>
          <w:sz w:val="22"/>
          <w:szCs w:val="22"/>
          <w:lang w:val="en-GB" w:eastAsia="en-US"/>
        </w:rPr>
        <w:t xml:space="preserve">This work contributes to </w:t>
      </w:r>
      <w:r>
        <w:rPr>
          <w:rFonts w:asciiTheme="minorHAnsi" w:eastAsiaTheme="minorHAnsi" w:hAnsiTheme="minorHAnsi" w:cstheme="minorBidi"/>
          <w:color w:val="44546A" w:themeColor="text2"/>
          <w:sz w:val="22"/>
          <w:szCs w:val="22"/>
          <w:lang w:val="en-GB" w:eastAsia="en-US"/>
        </w:rPr>
        <w:t>SDG</w:t>
      </w:r>
      <w:r w:rsidRPr="009503A0">
        <w:rPr>
          <w:rFonts w:asciiTheme="minorHAnsi" w:eastAsiaTheme="minorHAnsi" w:hAnsiTheme="minorHAnsi" w:cstheme="minorBidi"/>
          <w:color w:val="44546A" w:themeColor="text2"/>
          <w:sz w:val="22"/>
          <w:szCs w:val="22"/>
          <w:lang w:val="en-GB" w:eastAsia="en-US"/>
        </w:rPr>
        <w:t xml:space="preserve"> 5 (</w:t>
      </w:r>
      <w:r w:rsidRPr="004E042B">
        <w:rPr>
          <w:rFonts w:asciiTheme="minorHAnsi" w:eastAsiaTheme="minorHAnsi" w:hAnsiTheme="minorHAnsi" w:cstheme="minorBidi"/>
          <w:color w:val="44546A" w:themeColor="text2"/>
          <w:sz w:val="22"/>
          <w:szCs w:val="22"/>
          <w:lang w:val="en-GB" w:eastAsia="en-US"/>
        </w:rPr>
        <w:t>Achieve gender equality and empower all women and girls</w:t>
      </w:r>
      <w:r w:rsidRPr="009503A0">
        <w:rPr>
          <w:rFonts w:asciiTheme="minorHAnsi" w:eastAsiaTheme="minorHAnsi" w:hAnsiTheme="minorHAnsi" w:cstheme="minorBidi"/>
          <w:color w:val="44546A" w:themeColor="text2"/>
          <w:sz w:val="22"/>
          <w:szCs w:val="22"/>
          <w:lang w:val="en-GB" w:eastAsia="en-US"/>
        </w:rPr>
        <w:t>).</w:t>
      </w:r>
    </w:p>
    <w:p w:rsidR="00C25AD7" w:rsidRPr="00011477" w:rsidRDefault="00C25AD7" w:rsidP="00C25AD7">
      <w:pPr>
        <w:pStyle w:val="ListBullet"/>
        <w:tabs>
          <w:tab w:val="clear" w:pos="284"/>
        </w:tabs>
      </w:pPr>
      <w:r>
        <w:rPr>
          <w:rFonts w:asciiTheme="minorHAnsi" w:eastAsiaTheme="minorHAnsi" w:hAnsiTheme="minorHAnsi" w:cstheme="minorBidi"/>
          <w:color w:val="44546A" w:themeColor="text2"/>
          <w:sz w:val="22"/>
          <w:szCs w:val="22"/>
          <w:lang w:val="en-GB" w:eastAsia="en-US"/>
        </w:rPr>
        <w:t>In addition to DFAT, t</w:t>
      </w:r>
      <w:r w:rsidRPr="00E57D5D">
        <w:rPr>
          <w:rFonts w:asciiTheme="minorHAnsi" w:eastAsiaTheme="minorHAnsi" w:hAnsiTheme="minorHAnsi" w:cstheme="minorBidi"/>
          <w:color w:val="44546A" w:themeColor="text2"/>
          <w:sz w:val="22"/>
          <w:szCs w:val="22"/>
          <w:lang w:val="en-GB" w:eastAsia="en-US"/>
        </w:rPr>
        <w:t>he AFP seeks to actively improve gender outcomes across the Pacific Police Development Program Reg</w:t>
      </w:r>
      <w:r>
        <w:rPr>
          <w:rFonts w:asciiTheme="minorHAnsi" w:eastAsiaTheme="minorHAnsi" w:hAnsiTheme="minorHAnsi" w:cstheme="minorBidi"/>
          <w:color w:val="44546A" w:themeColor="text2"/>
          <w:sz w:val="22"/>
          <w:szCs w:val="22"/>
          <w:lang w:val="en-GB" w:eastAsia="en-US"/>
        </w:rPr>
        <w:t xml:space="preserve">ional (PPDP-R) program by </w:t>
      </w:r>
      <w:r>
        <w:rPr>
          <w:rFonts w:asciiTheme="minorHAnsi" w:hAnsiTheme="minorHAnsi" w:cstheme="minorBidi"/>
          <w:color w:val="44546A" w:themeColor="text2"/>
          <w:sz w:val="22"/>
          <w:szCs w:val="22"/>
          <w:lang w:val="en-GB"/>
        </w:rPr>
        <w:t>m</w:t>
      </w:r>
      <w:r w:rsidRPr="00E57D5D">
        <w:rPr>
          <w:rFonts w:asciiTheme="minorHAnsi" w:hAnsiTheme="minorHAnsi" w:cstheme="minorBidi"/>
          <w:color w:val="44546A" w:themeColor="text2"/>
          <w:sz w:val="22"/>
          <w:szCs w:val="22"/>
          <w:lang w:val="en-GB"/>
        </w:rPr>
        <w:t xml:space="preserve">ainstreaming gender in operational policing; </w:t>
      </w:r>
      <w:r>
        <w:rPr>
          <w:rFonts w:asciiTheme="minorHAnsi" w:hAnsiTheme="minorHAnsi" w:cstheme="minorBidi"/>
          <w:color w:val="44546A" w:themeColor="text2"/>
          <w:sz w:val="22"/>
          <w:szCs w:val="22"/>
          <w:lang w:val="en-GB"/>
        </w:rPr>
        <w:t>s</w:t>
      </w:r>
      <w:r w:rsidRPr="00E57D5D">
        <w:rPr>
          <w:rFonts w:asciiTheme="minorHAnsi" w:hAnsiTheme="minorHAnsi" w:cstheme="minorBidi"/>
          <w:color w:val="44546A" w:themeColor="text2"/>
          <w:sz w:val="22"/>
          <w:szCs w:val="22"/>
          <w:lang w:val="en-GB"/>
        </w:rPr>
        <w:t xml:space="preserve">upporting women in policing in the Pacific Region; and </w:t>
      </w:r>
      <w:r>
        <w:rPr>
          <w:rFonts w:asciiTheme="minorHAnsi" w:hAnsiTheme="minorHAnsi" w:cstheme="minorBidi"/>
          <w:color w:val="44546A" w:themeColor="text2"/>
          <w:sz w:val="22"/>
          <w:szCs w:val="22"/>
          <w:lang w:val="en-GB"/>
        </w:rPr>
        <w:t>s</w:t>
      </w:r>
      <w:r w:rsidRPr="00E57D5D">
        <w:rPr>
          <w:rFonts w:asciiTheme="minorHAnsi" w:hAnsiTheme="minorHAnsi" w:cstheme="minorBidi"/>
          <w:color w:val="44546A" w:themeColor="text2"/>
          <w:sz w:val="22"/>
          <w:szCs w:val="22"/>
          <w:lang w:val="en-GB"/>
        </w:rPr>
        <w:t>upporting the elimination of violence against women.</w:t>
      </w:r>
      <w:r>
        <w:rPr>
          <w:rFonts w:asciiTheme="minorHAnsi" w:hAnsiTheme="minorHAnsi" w:cstheme="minorBidi"/>
          <w:color w:val="44546A" w:themeColor="text2"/>
          <w:sz w:val="22"/>
          <w:szCs w:val="22"/>
          <w:lang w:val="en-GB"/>
        </w:rPr>
        <w:t xml:space="preserve">  </w:t>
      </w:r>
      <w:r w:rsidRPr="00E57D5D">
        <w:rPr>
          <w:rFonts w:asciiTheme="minorHAnsi" w:hAnsiTheme="minorHAnsi" w:cstheme="minorBidi"/>
          <w:color w:val="44546A" w:themeColor="text2"/>
          <w:sz w:val="22"/>
          <w:szCs w:val="22"/>
          <w:lang w:val="en-GB"/>
        </w:rPr>
        <w:t>Conducting gender analysis of Pacific Police agencies and of the AFP PPDP-R program and mainstreaming gender across all PPDP-R program activities has produced a more gender</w:t>
      </w:r>
      <w:r>
        <w:rPr>
          <w:rFonts w:asciiTheme="minorHAnsi" w:hAnsiTheme="minorHAnsi" w:cstheme="minorBidi"/>
          <w:color w:val="44546A" w:themeColor="text2"/>
          <w:sz w:val="22"/>
          <w:szCs w:val="22"/>
          <w:lang w:val="en-GB"/>
        </w:rPr>
        <w:t xml:space="preserve"> balanced participation rate.  </w:t>
      </w:r>
      <w:r w:rsidRPr="00251991">
        <w:rPr>
          <w:rFonts w:asciiTheme="minorHAnsi" w:hAnsiTheme="minorHAnsi" w:cstheme="minorBidi"/>
          <w:color w:val="44546A" w:themeColor="text2"/>
          <w:sz w:val="22"/>
          <w:szCs w:val="22"/>
          <w:lang w:val="en-GB"/>
        </w:rPr>
        <w:t>AGD also played an active role as a member of the PILON Sexual and Gender Based Violence Working Group by supporting PILON in the development of principles for dealing with vulnerable witnesses and victims of sexual and gender based violence</w:t>
      </w:r>
      <w:r w:rsidRPr="008F00AA">
        <w:rPr>
          <w:rFonts w:asciiTheme="minorHAnsi" w:eastAsiaTheme="minorHAnsi" w:hAnsiTheme="minorHAnsi" w:cstheme="minorBidi"/>
          <w:color w:val="44546A" w:themeColor="text2"/>
          <w:sz w:val="22"/>
          <w:szCs w:val="22"/>
          <w:lang w:val="en-GB" w:eastAsia="en-US"/>
        </w:rPr>
        <w:t>, and monitoring and evaluation frameworks for sexual and gender based violence legislation.</w:t>
      </w:r>
    </w:p>
    <w:p w:rsidR="00C25AD7" w:rsidRPr="00612C97" w:rsidRDefault="00C25AD7" w:rsidP="00C25AD7">
      <w:pPr>
        <w:pStyle w:val="BodyText"/>
        <w:rPr>
          <w:rFonts w:asciiTheme="minorHAnsi" w:eastAsiaTheme="minorHAnsi" w:hAnsiTheme="minorHAnsi" w:cstheme="minorBidi"/>
          <w:b/>
          <w:color w:val="44546A" w:themeColor="text2"/>
          <w:sz w:val="22"/>
          <w:szCs w:val="22"/>
          <w:lang w:val="en-GB" w:eastAsia="en-US"/>
        </w:rPr>
      </w:pPr>
      <w:r w:rsidRPr="00612C97">
        <w:rPr>
          <w:rFonts w:asciiTheme="minorHAnsi" w:eastAsiaTheme="minorHAnsi" w:hAnsiTheme="minorHAnsi" w:cstheme="minorBidi"/>
          <w:b/>
          <w:color w:val="44546A" w:themeColor="text2"/>
          <w:sz w:val="22"/>
          <w:szCs w:val="22"/>
          <w:lang w:val="en-GB" w:eastAsia="en-US"/>
        </w:rPr>
        <w:t>Key results:</w:t>
      </w:r>
    </w:p>
    <w:p w:rsidR="00C25AD7" w:rsidRPr="00612C97" w:rsidRDefault="00C25AD7" w:rsidP="00C25AD7">
      <w:pPr>
        <w:pStyle w:val="ListBullet"/>
        <w:numPr>
          <w:ilvl w:val="0"/>
          <w:numId w:val="17"/>
        </w:numPr>
        <w:tabs>
          <w:tab w:val="clear" w:pos="284"/>
        </w:tabs>
        <w:rPr>
          <w:rFonts w:asciiTheme="minorHAnsi" w:hAnsiTheme="minorHAnsi" w:cstheme="minorBidi"/>
          <w:color w:val="44546A" w:themeColor="text2"/>
          <w:sz w:val="22"/>
          <w:szCs w:val="22"/>
          <w:lang w:val="en-GB"/>
        </w:rPr>
      </w:pPr>
      <w:r w:rsidRPr="00612C97">
        <w:rPr>
          <w:rFonts w:asciiTheme="minorHAnsi" w:hAnsiTheme="minorHAnsi" w:cstheme="minorBidi"/>
          <w:color w:val="44546A" w:themeColor="text2"/>
          <w:sz w:val="22"/>
          <w:szCs w:val="22"/>
          <w:lang w:val="en-GB"/>
        </w:rPr>
        <w:t>In December 2016, DFAT supported a Pacific Regional Consultation on Prevention of Violence against Women and Girls with forty-two participants from seven countries</w:t>
      </w:r>
      <w:r>
        <w:rPr>
          <w:rFonts w:asciiTheme="minorHAnsi" w:hAnsiTheme="minorHAnsi" w:cstheme="minorBidi"/>
          <w:color w:val="44546A" w:themeColor="text2"/>
          <w:sz w:val="22"/>
          <w:szCs w:val="22"/>
          <w:lang w:val="en-GB"/>
        </w:rPr>
        <w:t>, including a representative from the Pacific Disability Forum</w:t>
      </w:r>
      <w:r w:rsidRPr="00612C97">
        <w:rPr>
          <w:rFonts w:asciiTheme="minorHAnsi" w:hAnsiTheme="minorHAnsi" w:cstheme="minorBidi"/>
          <w:color w:val="44546A" w:themeColor="text2"/>
          <w:sz w:val="22"/>
          <w:szCs w:val="22"/>
          <w:lang w:val="en-GB"/>
        </w:rPr>
        <w:t>.  The outcome was agreement of six principles to underpin efforts in the region to ensure best practice approaches to prevention of violence against women and girls.</w:t>
      </w:r>
    </w:p>
    <w:p w:rsidR="00C25AD7" w:rsidRPr="00612C97" w:rsidRDefault="00C25AD7" w:rsidP="00C25AD7">
      <w:pPr>
        <w:pStyle w:val="ListBullet"/>
        <w:numPr>
          <w:ilvl w:val="0"/>
          <w:numId w:val="17"/>
        </w:numPr>
        <w:tabs>
          <w:tab w:val="clear" w:pos="284"/>
        </w:tabs>
        <w:rPr>
          <w:rFonts w:asciiTheme="minorHAnsi" w:hAnsiTheme="minorHAnsi" w:cstheme="minorBidi"/>
          <w:color w:val="44546A" w:themeColor="text2"/>
          <w:sz w:val="22"/>
          <w:szCs w:val="22"/>
          <w:lang w:val="en-GB"/>
        </w:rPr>
      </w:pPr>
      <w:r w:rsidRPr="00612C97">
        <w:rPr>
          <w:rFonts w:asciiTheme="minorHAnsi" w:hAnsiTheme="minorHAnsi" w:cstheme="minorBidi"/>
          <w:color w:val="44546A" w:themeColor="text2"/>
          <w:sz w:val="22"/>
          <w:szCs w:val="22"/>
          <w:lang w:val="en-GB"/>
        </w:rPr>
        <w:t xml:space="preserve">Numerous Pacific faith-based organisations are using the DFAT-funded Uniting World Gender Equality Theology approach within communities in Fiji, Solomon Islands, Vanuatu and PNG.  This approach works with churches and communities to reinterpret biblical passages, which have been used to justify women’s lower </w:t>
      </w:r>
      <w:r w:rsidRPr="00612C97">
        <w:rPr>
          <w:rFonts w:asciiTheme="minorHAnsi" w:hAnsiTheme="minorHAnsi" w:cstheme="minorBidi"/>
          <w:color w:val="44546A" w:themeColor="text2"/>
          <w:sz w:val="22"/>
          <w:szCs w:val="22"/>
          <w:lang w:val="en-GB"/>
        </w:rPr>
        <w:lastRenderedPageBreak/>
        <w:t xml:space="preserve">position in the family, and the community.  This sharing of resources and a common approach to biblical messaging shows great potential, not just for faith-based organisations but women’s organisations across the region. </w:t>
      </w:r>
    </w:p>
    <w:p w:rsidR="00C25AD7" w:rsidRPr="00612C97" w:rsidRDefault="00C25AD7" w:rsidP="00C25AD7">
      <w:pPr>
        <w:pStyle w:val="ListBullet"/>
        <w:numPr>
          <w:ilvl w:val="0"/>
          <w:numId w:val="17"/>
        </w:numPr>
        <w:tabs>
          <w:tab w:val="clear" w:pos="284"/>
        </w:tabs>
        <w:rPr>
          <w:rFonts w:asciiTheme="minorHAnsi" w:hAnsiTheme="minorHAnsi" w:cstheme="minorBidi"/>
          <w:color w:val="44546A" w:themeColor="text2"/>
          <w:sz w:val="22"/>
          <w:szCs w:val="22"/>
          <w:lang w:val="en-GB"/>
        </w:rPr>
      </w:pPr>
      <w:r w:rsidRPr="00612C97">
        <w:rPr>
          <w:rFonts w:asciiTheme="minorHAnsi" w:hAnsiTheme="minorHAnsi" w:cstheme="minorBidi"/>
          <w:color w:val="44546A" w:themeColor="text2"/>
          <w:sz w:val="22"/>
          <w:szCs w:val="22"/>
          <w:lang w:val="en-GB"/>
        </w:rPr>
        <w:t xml:space="preserve">Research on the ability of women and girls to meet their menstrual hygiene needs was completed in Fiji, Solomon Islands and Papua New Guinea.  As a result of the community consultations in Solomon Islands, a woman-owned business was established in Honiara to produce and distribute reusable sanitary pads.  </w:t>
      </w:r>
    </w:p>
    <w:p w:rsidR="00C25AD7" w:rsidRPr="00612C97" w:rsidRDefault="00C25AD7" w:rsidP="00C25AD7">
      <w:pPr>
        <w:pStyle w:val="ListBullet"/>
        <w:numPr>
          <w:ilvl w:val="0"/>
          <w:numId w:val="17"/>
        </w:numPr>
        <w:tabs>
          <w:tab w:val="clear" w:pos="284"/>
        </w:tabs>
        <w:rPr>
          <w:rFonts w:asciiTheme="minorHAnsi" w:hAnsiTheme="minorHAnsi" w:cstheme="minorBidi"/>
          <w:color w:val="44546A" w:themeColor="text2"/>
          <w:sz w:val="22"/>
          <w:szCs w:val="22"/>
          <w:lang w:val="en-GB"/>
        </w:rPr>
      </w:pPr>
      <w:r w:rsidRPr="00612C97">
        <w:rPr>
          <w:rFonts w:asciiTheme="minorHAnsi" w:hAnsiTheme="minorHAnsi" w:cstheme="minorBidi"/>
          <w:color w:val="44546A" w:themeColor="text2"/>
          <w:sz w:val="22"/>
          <w:szCs w:val="22"/>
          <w:lang w:val="en-GB"/>
        </w:rPr>
        <w:t>Twenty seven Pacific Clerks and senior parliamentary staff from 13 Pacific Islands Countries and Territories and from the Autonomous Region of Bougainville attended a Facilitators Workshop in November 2016 to prepare them to deliver the “Outrigger – Navigating Gender Equality Through Pacific Parliaments” training program in their own parliaments.  Some Pacific Clerks have indicated a potential role in their civics education and community outreach programs for the Outrigger because of its focus on gender equality and parliament.  A closed Facebook Group for the Outrigger has been created to support parliamentary staff to share their progress.</w:t>
      </w:r>
    </w:p>
    <w:p w:rsidR="00C25AD7" w:rsidRPr="00612C97" w:rsidRDefault="00C25AD7" w:rsidP="00C25AD7">
      <w:pPr>
        <w:pStyle w:val="ListBullet"/>
        <w:numPr>
          <w:ilvl w:val="0"/>
          <w:numId w:val="17"/>
        </w:numPr>
        <w:tabs>
          <w:tab w:val="clear" w:pos="284"/>
        </w:tabs>
        <w:rPr>
          <w:rFonts w:asciiTheme="minorHAnsi" w:hAnsiTheme="minorHAnsi" w:cstheme="minorBidi"/>
          <w:color w:val="44546A" w:themeColor="text2"/>
          <w:sz w:val="22"/>
          <w:szCs w:val="22"/>
          <w:lang w:val="en-GB"/>
        </w:rPr>
      </w:pPr>
      <w:r w:rsidRPr="00612C97">
        <w:rPr>
          <w:rFonts w:asciiTheme="minorHAnsi" w:hAnsiTheme="minorHAnsi" w:cstheme="minorBidi"/>
          <w:color w:val="44546A" w:themeColor="text2"/>
          <w:sz w:val="22"/>
          <w:szCs w:val="22"/>
          <w:lang w:val="en-GB"/>
        </w:rPr>
        <w:t xml:space="preserve">Through the We Rise Coalition, </w:t>
      </w:r>
      <w:r>
        <w:rPr>
          <w:rFonts w:asciiTheme="minorHAnsi" w:hAnsiTheme="minorHAnsi" w:cstheme="minorBidi"/>
          <w:color w:val="44546A" w:themeColor="text2"/>
          <w:sz w:val="22"/>
          <w:szCs w:val="22"/>
          <w:lang w:val="en-GB"/>
        </w:rPr>
        <w:t xml:space="preserve">DFAT through </w:t>
      </w:r>
      <w:r w:rsidRPr="007E150F">
        <w:rPr>
          <w:rFonts w:asciiTheme="minorHAnsi" w:hAnsiTheme="minorHAnsi" w:cstheme="minorBidi"/>
          <w:i/>
          <w:color w:val="44546A" w:themeColor="text2"/>
          <w:sz w:val="22"/>
          <w:szCs w:val="22"/>
          <w:lang w:val="en-GB"/>
        </w:rPr>
        <w:t>Pacific Women</w:t>
      </w:r>
      <w:r w:rsidRPr="00612C97">
        <w:rPr>
          <w:rFonts w:asciiTheme="minorHAnsi" w:hAnsiTheme="minorHAnsi" w:cstheme="minorBidi"/>
          <w:color w:val="44546A" w:themeColor="text2"/>
          <w:sz w:val="22"/>
          <w:szCs w:val="22"/>
          <w:lang w:val="en-GB"/>
        </w:rPr>
        <w:t xml:space="preserve"> is supporting coalitions for change that are inclusive of girls, young women, lesbian, bisexual and transgender women, as well as women with disabilities. The inaugural Pacific Feminist Forum hosted by We Rise brought together 130 women of diversity from across 13 countries. The forum marked a key contribution to regional movement building and resulted in unanimous endorsement of the first Pacific Feminists Charter for Change. This charter sets a framework for feminist organising, movements and policy work on key gender equality challenges in the Pacific. </w:t>
      </w:r>
    </w:p>
    <w:p w:rsidR="00C25AD7" w:rsidRPr="00612C97" w:rsidRDefault="00C25AD7" w:rsidP="00C25AD7">
      <w:pPr>
        <w:pStyle w:val="ListBullet"/>
        <w:numPr>
          <w:ilvl w:val="0"/>
          <w:numId w:val="17"/>
        </w:numPr>
        <w:tabs>
          <w:tab w:val="clear" w:pos="284"/>
        </w:tabs>
        <w:rPr>
          <w:rFonts w:asciiTheme="minorHAnsi" w:hAnsiTheme="minorHAnsi" w:cstheme="minorBidi"/>
          <w:color w:val="44546A" w:themeColor="text2"/>
          <w:sz w:val="22"/>
          <w:szCs w:val="22"/>
          <w:lang w:val="en-GB"/>
        </w:rPr>
      </w:pPr>
      <w:r w:rsidRPr="00612C97">
        <w:rPr>
          <w:rFonts w:asciiTheme="minorHAnsi" w:hAnsiTheme="minorHAnsi" w:cstheme="minorBidi"/>
          <w:color w:val="44546A" w:themeColor="text2"/>
          <w:sz w:val="22"/>
          <w:szCs w:val="22"/>
          <w:lang w:val="en-GB"/>
        </w:rPr>
        <w:t xml:space="preserve">Business advisory support provided by the Pacific Business Investment Facility for women owned/managed businesses has far exceeded targets, making up 41 per cent of the PBIF services (double the target of 20%).  Two women owned/managed businesses were supported to access commercial finance.  </w:t>
      </w:r>
    </w:p>
    <w:p w:rsidR="00C25AD7" w:rsidRPr="00612C97" w:rsidRDefault="00C25AD7" w:rsidP="00C25AD7">
      <w:pPr>
        <w:pStyle w:val="ListBullet"/>
        <w:numPr>
          <w:ilvl w:val="0"/>
          <w:numId w:val="17"/>
        </w:numPr>
        <w:tabs>
          <w:tab w:val="clear" w:pos="284"/>
        </w:tabs>
        <w:rPr>
          <w:rFonts w:asciiTheme="minorHAnsi" w:hAnsiTheme="minorHAnsi" w:cstheme="minorBidi"/>
          <w:color w:val="44546A" w:themeColor="text2"/>
          <w:sz w:val="22"/>
          <w:szCs w:val="22"/>
          <w:lang w:val="en-GB"/>
        </w:rPr>
      </w:pPr>
      <w:r w:rsidRPr="00612C97">
        <w:rPr>
          <w:rFonts w:asciiTheme="minorHAnsi" w:hAnsiTheme="minorHAnsi" w:cstheme="minorBidi"/>
          <w:color w:val="44546A" w:themeColor="text2"/>
          <w:sz w:val="22"/>
          <w:szCs w:val="22"/>
          <w:lang w:val="en-GB"/>
        </w:rPr>
        <w:t>The Pacific Leadership Program’s support for coalitions for change continues to yield results for women in the Pacific, with a record number of women contesting seats in recent local government elections in Tonga following training and accompaniment by the Women in Leadership coalition. Two women candidates were successfully elected, including the first ever woman District Officer in Tonga.</w:t>
      </w:r>
    </w:p>
    <w:p w:rsidR="00C25AD7" w:rsidRPr="00E57D5D" w:rsidRDefault="00C25AD7" w:rsidP="00C25AD7">
      <w:pPr>
        <w:pStyle w:val="ListBullet"/>
        <w:numPr>
          <w:ilvl w:val="0"/>
          <w:numId w:val="17"/>
        </w:numPr>
        <w:tabs>
          <w:tab w:val="clear" w:pos="284"/>
        </w:tabs>
        <w:rPr>
          <w:rFonts w:asciiTheme="minorHAnsi" w:hAnsiTheme="minorHAnsi" w:cstheme="minorBidi"/>
          <w:color w:val="44546A" w:themeColor="text2"/>
          <w:sz w:val="22"/>
          <w:szCs w:val="22"/>
          <w:lang w:val="en-GB"/>
        </w:rPr>
      </w:pPr>
      <w:r w:rsidRPr="00E57D5D">
        <w:rPr>
          <w:rFonts w:asciiTheme="minorHAnsi" w:hAnsiTheme="minorHAnsi" w:cstheme="minorBidi"/>
          <w:color w:val="44546A" w:themeColor="text2"/>
          <w:sz w:val="22"/>
          <w:szCs w:val="22"/>
          <w:lang w:val="en-GB"/>
        </w:rPr>
        <w:t>With funding from the AFP, the Fiji Women’s Crisis Centre has designed and delivered four Gender &amp; Human Rights training programs for Pacific police at all levels. In total 20 men and 24 women have been trained.</w:t>
      </w:r>
      <w:r>
        <w:rPr>
          <w:rFonts w:asciiTheme="minorHAnsi" w:hAnsiTheme="minorHAnsi" w:cstheme="minorBidi"/>
          <w:color w:val="44546A" w:themeColor="text2"/>
          <w:sz w:val="22"/>
          <w:szCs w:val="22"/>
          <w:lang w:val="en-GB"/>
        </w:rPr>
        <w:t xml:space="preserve">  </w:t>
      </w:r>
    </w:p>
    <w:p w:rsidR="00C25AD7" w:rsidRPr="00251991" w:rsidRDefault="00C25AD7" w:rsidP="00C25AD7">
      <w:pPr>
        <w:pStyle w:val="ListBullet"/>
        <w:numPr>
          <w:ilvl w:val="0"/>
          <w:numId w:val="17"/>
        </w:numPr>
        <w:tabs>
          <w:tab w:val="clear" w:pos="284"/>
        </w:tabs>
        <w:rPr>
          <w:rFonts w:asciiTheme="minorHAnsi" w:hAnsiTheme="minorHAnsi" w:cstheme="minorBidi"/>
          <w:color w:val="44546A" w:themeColor="text2"/>
          <w:sz w:val="22"/>
          <w:szCs w:val="22"/>
          <w:lang w:val="en-GB"/>
        </w:rPr>
      </w:pPr>
      <w:r w:rsidRPr="00251991">
        <w:rPr>
          <w:rFonts w:asciiTheme="minorHAnsi" w:hAnsiTheme="minorHAnsi" w:cstheme="minorBidi"/>
          <w:color w:val="44546A" w:themeColor="text2"/>
          <w:sz w:val="22"/>
          <w:szCs w:val="22"/>
          <w:lang w:val="en-GB"/>
        </w:rPr>
        <w:t xml:space="preserve">The AFP also encourages the nomination of female representatives when selecting members for PPDP-R activities. This aims to provide females with the opportunity to further develop their skills/careers. This has resulted in gender targets being exceeded for females on the majority of the activities throughout the year.  </w:t>
      </w:r>
    </w:p>
    <w:p w:rsidR="00C25AD7" w:rsidRPr="00251991" w:rsidRDefault="00C25AD7" w:rsidP="00C25AD7">
      <w:pPr>
        <w:pStyle w:val="ListBullet"/>
        <w:numPr>
          <w:ilvl w:val="0"/>
          <w:numId w:val="17"/>
        </w:numPr>
        <w:tabs>
          <w:tab w:val="clear" w:pos="284"/>
        </w:tabs>
        <w:rPr>
          <w:rFonts w:asciiTheme="minorHAnsi" w:hAnsiTheme="minorHAnsi" w:cstheme="minorBidi"/>
          <w:color w:val="44546A" w:themeColor="text2"/>
          <w:sz w:val="22"/>
          <w:szCs w:val="22"/>
          <w:lang w:val="en-GB"/>
        </w:rPr>
      </w:pPr>
      <w:r w:rsidRPr="00251991">
        <w:rPr>
          <w:rFonts w:asciiTheme="minorHAnsi" w:hAnsiTheme="minorHAnsi" w:cstheme="minorBidi"/>
          <w:color w:val="44546A" w:themeColor="text2"/>
          <w:sz w:val="22"/>
          <w:szCs w:val="22"/>
          <w:lang w:val="en-GB"/>
        </w:rPr>
        <w:t>AFP provides to the Pacific Islands Chiefs of Police (PICP) to support their Women’s Advisory Network (WAN). In 2016-17 AFP supported Pacific female police officers to participate in and contribute to the  PICP Women’s Advisory Network including: PICP WAN Seconded Project Officer 2016 &amp; 2017; WAN Chairs Workshop 2016; WAN Conference 2017; PICP WAN members attendance at the Australian Council for Women and Policing (ACWAP) Awards 2016; and International Women's Law Enforcement Conference and follow up mentoring 2017.</w:t>
      </w:r>
    </w:p>
    <w:p w:rsidR="00C25AD7" w:rsidRPr="00612C97" w:rsidRDefault="00C25AD7" w:rsidP="00C25AD7">
      <w:pPr>
        <w:pStyle w:val="ListBullet"/>
        <w:tabs>
          <w:tab w:val="clear" w:pos="284"/>
        </w:tabs>
        <w:spacing w:after="0"/>
        <w:ind w:left="360"/>
        <w:rPr>
          <w:rFonts w:asciiTheme="minorHAnsi" w:hAnsiTheme="minorHAnsi" w:cstheme="minorBidi"/>
          <w:color w:val="44546A" w:themeColor="text2"/>
          <w:sz w:val="22"/>
          <w:szCs w:val="22"/>
          <w:lang w:val="en-GB"/>
        </w:rPr>
      </w:pPr>
    </w:p>
    <w:p w:rsidR="00C25AD7" w:rsidRPr="00612C97" w:rsidRDefault="00C25AD7" w:rsidP="00C25AD7">
      <w:pPr>
        <w:pStyle w:val="BodyText"/>
        <w:rPr>
          <w:rFonts w:asciiTheme="minorHAnsi" w:eastAsiaTheme="minorHAnsi" w:hAnsiTheme="minorHAnsi" w:cstheme="minorBidi"/>
          <w:b/>
          <w:color w:val="44546A" w:themeColor="text2"/>
          <w:sz w:val="22"/>
          <w:szCs w:val="22"/>
          <w:lang w:val="en-GB" w:eastAsia="en-US"/>
        </w:rPr>
      </w:pPr>
      <w:r w:rsidRPr="00612C97">
        <w:rPr>
          <w:rFonts w:asciiTheme="minorHAnsi" w:eastAsiaTheme="minorHAnsi" w:hAnsiTheme="minorHAnsi" w:cstheme="minorBidi"/>
          <w:b/>
          <w:color w:val="44546A" w:themeColor="text2"/>
          <w:sz w:val="22"/>
          <w:szCs w:val="22"/>
          <w:lang w:val="en-GB" w:eastAsia="en-US"/>
        </w:rPr>
        <w:t>Factors affecting progress and future actions</w:t>
      </w:r>
    </w:p>
    <w:p w:rsidR="00C25AD7" w:rsidRDefault="00C25AD7" w:rsidP="00C25AD7">
      <w:pPr>
        <w:pStyle w:val="BodyText"/>
        <w:rPr>
          <w:rFonts w:asciiTheme="minorHAnsi" w:eastAsiaTheme="minorHAnsi" w:hAnsiTheme="minorHAnsi" w:cstheme="minorBidi"/>
          <w:color w:val="44546A" w:themeColor="text2"/>
          <w:sz w:val="22"/>
          <w:szCs w:val="22"/>
          <w:lang w:val="en-GB" w:eastAsia="en-US"/>
        </w:rPr>
      </w:pPr>
      <w:r w:rsidRPr="00242B19">
        <w:rPr>
          <w:rFonts w:asciiTheme="minorHAnsi" w:eastAsiaTheme="minorHAnsi" w:hAnsiTheme="minorHAnsi" w:cstheme="minorBidi"/>
          <w:color w:val="44546A" w:themeColor="text2"/>
          <w:sz w:val="22"/>
          <w:szCs w:val="22"/>
          <w:lang w:val="en-GB" w:eastAsia="en-US"/>
        </w:rPr>
        <w:t xml:space="preserve">Working towards women’s equality and empowerment is a highly complex, challenging and long-term process.  Concerted effort is required due to the entrenched nature of gender inequality in the Pacific; the multiple social, legal and economic barriers to women’s empowerment; the potential for backlash against Pacific women and the need to build the capacity of Pacific implementation partners.  Greater focus is needed to reach the most marginalised and vulnerable populations, including women with disabilities; younger and older women; </w:t>
      </w:r>
      <w:r>
        <w:rPr>
          <w:rFonts w:asciiTheme="minorHAnsi" w:eastAsiaTheme="minorHAnsi" w:hAnsiTheme="minorHAnsi" w:cstheme="minorBidi"/>
          <w:color w:val="44546A" w:themeColor="text2"/>
          <w:sz w:val="22"/>
          <w:szCs w:val="22"/>
          <w:lang w:val="en-GB" w:eastAsia="en-US"/>
        </w:rPr>
        <w:t xml:space="preserve">people with varied </w:t>
      </w:r>
      <w:r w:rsidRPr="00757486">
        <w:rPr>
          <w:rFonts w:asciiTheme="minorHAnsi" w:eastAsiaTheme="minorHAnsi" w:hAnsiTheme="minorHAnsi" w:cstheme="minorBidi"/>
          <w:color w:val="44546A" w:themeColor="text2"/>
          <w:sz w:val="22"/>
          <w:szCs w:val="22"/>
          <w:lang w:val="en-GB" w:eastAsia="en-US"/>
        </w:rPr>
        <w:t>sexua</w:t>
      </w:r>
      <w:r>
        <w:rPr>
          <w:rFonts w:asciiTheme="minorHAnsi" w:eastAsiaTheme="minorHAnsi" w:hAnsiTheme="minorHAnsi" w:cstheme="minorBidi"/>
          <w:color w:val="44546A" w:themeColor="text2"/>
          <w:sz w:val="22"/>
          <w:szCs w:val="22"/>
          <w:lang w:val="en-GB" w:eastAsia="en-US"/>
        </w:rPr>
        <w:t>l orientation or gender identities</w:t>
      </w:r>
      <w:r w:rsidRPr="00757486">
        <w:rPr>
          <w:rFonts w:asciiTheme="minorHAnsi" w:eastAsiaTheme="minorHAnsi" w:hAnsiTheme="minorHAnsi" w:cstheme="minorBidi"/>
          <w:color w:val="44546A" w:themeColor="text2"/>
          <w:sz w:val="22"/>
          <w:szCs w:val="22"/>
          <w:lang w:val="en-GB" w:eastAsia="en-US"/>
        </w:rPr>
        <w:t>.</w:t>
      </w:r>
      <w:r w:rsidRPr="00242B19">
        <w:rPr>
          <w:rFonts w:asciiTheme="minorHAnsi" w:eastAsiaTheme="minorHAnsi" w:hAnsiTheme="minorHAnsi" w:cstheme="minorBidi"/>
          <w:color w:val="44546A" w:themeColor="text2"/>
          <w:sz w:val="22"/>
          <w:szCs w:val="22"/>
          <w:lang w:val="en-GB" w:eastAsia="en-US"/>
        </w:rPr>
        <w:t xml:space="preserve">  </w:t>
      </w:r>
      <w:r>
        <w:rPr>
          <w:rFonts w:asciiTheme="minorHAnsi" w:eastAsiaTheme="minorHAnsi" w:hAnsiTheme="minorHAnsi" w:cstheme="minorBidi"/>
          <w:color w:val="44546A" w:themeColor="text2"/>
          <w:sz w:val="22"/>
          <w:szCs w:val="22"/>
          <w:lang w:val="en-GB" w:eastAsia="en-US"/>
        </w:rPr>
        <w:t xml:space="preserve"> </w:t>
      </w:r>
      <w:r w:rsidRPr="00242B19">
        <w:rPr>
          <w:rFonts w:asciiTheme="minorHAnsi" w:eastAsiaTheme="minorHAnsi" w:hAnsiTheme="minorHAnsi" w:cstheme="minorBidi"/>
          <w:color w:val="44546A" w:themeColor="text2"/>
          <w:sz w:val="22"/>
          <w:szCs w:val="22"/>
          <w:lang w:val="en-GB" w:eastAsia="en-US"/>
        </w:rPr>
        <w:t xml:space="preserve">In recognition of the increased vulnerability of women and </w:t>
      </w:r>
      <w:r w:rsidRPr="00242B19">
        <w:rPr>
          <w:rFonts w:asciiTheme="minorHAnsi" w:eastAsiaTheme="minorHAnsi" w:hAnsiTheme="minorHAnsi" w:cstheme="minorBidi"/>
          <w:color w:val="44546A" w:themeColor="text2"/>
          <w:sz w:val="22"/>
          <w:szCs w:val="22"/>
          <w:lang w:val="en-GB" w:eastAsia="en-US"/>
        </w:rPr>
        <w:lastRenderedPageBreak/>
        <w:t xml:space="preserve">girls with disability, DFAT drafted disability inclusion guidance for Pacific Women investments, and commenced a trial of the Washington Group Set of Questions as part of service provision for </w:t>
      </w:r>
      <w:r>
        <w:rPr>
          <w:rFonts w:asciiTheme="minorHAnsi" w:eastAsiaTheme="minorHAnsi" w:hAnsiTheme="minorHAnsi" w:cstheme="minorBidi"/>
          <w:color w:val="44546A" w:themeColor="text2"/>
          <w:sz w:val="22"/>
          <w:szCs w:val="22"/>
          <w:lang w:val="en-GB" w:eastAsia="en-US"/>
        </w:rPr>
        <w:t>survivors of violence in Tonga.</w:t>
      </w:r>
    </w:p>
    <w:p w:rsidR="00C25AD7" w:rsidRDefault="00C25AD7" w:rsidP="00C25AD7">
      <w:pPr>
        <w:pStyle w:val="BodyText"/>
        <w:rPr>
          <w:rFonts w:asciiTheme="minorHAnsi" w:eastAsiaTheme="minorHAnsi" w:hAnsiTheme="minorHAnsi" w:cstheme="minorBidi"/>
          <w:color w:val="44546A" w:themeColor="text2"/>
          <w:sz w:val="22"/>
          <w:szCs w:val="22"/>
          <w:lang w:val="en-GB" w:eastAsia="en-US"/>
        </w:rPr>
      </w:pPr>
      <w:r>
        <w:rPr>
          <w:rFonts w:asciiTheme="minorHAnsi" w:eastAsiaTheme="minorHAnsi" w:hAnsiTheme="minorHAnsi" w:cstheme="minorBidi"/>
          <w:color w:val="44546A" w:themeColor="text2"/>
          <w:sz w:val="22"/>
          <w:szCs w:val="22"/>
          <w:lang w:val="en-GB" w:eastAsia="en-US"/>
        </w:rPr>
        <w:t xml:space="preserve">Much of the expenditure through the regional component of </w:t>
      </w:r>
      <w:r w:rsidRPr="00E8470D">
        <w:rPr>
          <w:rFonts w:asciiTheme="minorHAnsi" w:eastAsiaTheme="minorHAnsi" w:hAnsiTheme="minorHAnsi" w:cstheme="minorBidi"/>
          <w:i/>
          <w:color w:val="44546A" w:themeColor="text2"/>
          <w:sz w:val="22"/>
          <w:szCs w:val="22"/>
          <w:lang w:val="en-GB" w:eastAsia="en-US"/>
        </w:rPr>
        <w:t>Pacific Women</w:t>
      </w:r>
      <w:r>
        <w:rPr>
          <w:rFonts w:asciiTheme="minorHAnsi" w:eastAsiaTheme="minorHAnsi" w:hAnsiTheme="minorHAnsi" w:cstheme="minorBidi"/>
          <w:color w:val="44546A" w:themeColor="text2"/>
          <w:sz w:val="22"/>
          <w:szCs w:val="22"/>
          <w:lang w:val="en-GB" w:eastAsia="en-US"/>
        </w:rPr>
        <w:t xml:space="preserve"> has delivered an improved legal environment through support to legislative reform and training for duty officers; strengthened policy frameworks through working with governments to develop gender policies and budgets; improved coordination, voice and capacity of civil society organisations through convening meetings and training; and funding research to better understand the causes, consequences and effective responses to gender inequality.  This outcomes and impacts of this foundation work can be difficult to quantify, and much of the benefit is reaped by the bilateral programs which have improved environments for their activities.    </w:t>
      </w:r>
    </w:p>
    <w:p w:rsidR="00C25AD7" w:rsidRDefault="00C25AD7" w:rsidP="00C25AD7">
      <w:pPr>
        <w:pStyle w:val="BodyText"/>
        <w:rPr>
          <w:rFonts w:asciiTheme="minorHAnsi" w:eastAsiaTheme="minorHAnsi" w:hAnsiTheme="minorHAnsi" w:cstheme="minorBidi"/>
          <w:color w:val="44546A" w:themeColor="text2"/>
          <w:sz w:val="22"/>
          <w:szCs w:val="22"/>
          <w:lang w:val="en-GB" w:eastAsia="en-US"/>
        </w:rPr>
      </w:pPr>
      <w:r>
        <w:rPr>
          <w:rFonts w:asciiTheme="minorHAnsi" w:eastAsiaTheme="minorHAnsi" w:hAnsiTheme="minorHAnsi" w:cstheme="minorBidi"/>
          <w:color w:val="44546A" w:themeColor="text2"/>
          <w:sz w:val="22"/>
          <w:szCs w:val="22"/>
          <w:lang w:val="en-GB" w:eastAsia="en-US"/>
        </w:rPr>
        <w:t xml:space="preserve">The three year evaluation of </w:t>
      </w:r>
      <w:r w:rsidRPr="00E8470D">
        <w:rPr>
          <w:rFonts w:asciiTheme="minorHAnsi" w:eastAsiaTheme="minorHAnsi" w:hAnsiTheme="minorHAnsi" w:cstheme="minorBidi"/>
          <w:i/>
          <w:color w:val="44546A" w:themeColor="text2"/>
          <w:sz w:val="22"/>
          <w:szCs w:val="22"/>
          <w:lang w:val="en-GB" w:eastAsia="en-US"/>
        </w:rPr>
        <w:t>Pacific Women</w:t>
      </w:r>
      <w:r>
        <w:rPr>
          <w:rFonts w:asciiTheme="minorHAnsi" w:eastAsiaTheme="minorHAnsi" w:hAnsiTheme="minorHAnsi" w:cstheme="minorBidi"/>
          <w:color w:val="44546A" w:themeColor="text2"/>
          <w:sz w:val="22"/>
          <w:szCs w:val="22"/>
          <w:lang w:val="en-GB" w:eastAsia="en-US"/>
        </w:rPr>
        <w:t xml:space="preserve"> found that </w:t>
      </w:r>
      <w:r w:rsidRPr="00E8470D">
        <w:rPr>
          <w:rFonts w:asciiTheme="minorHAnsi" w:eastAsiaTheme="minorHAnsi" w:hAnsiTheme="minorHAnsi" w:cstheme="minorBidi"/>
          <w:color w:val="44546A" w:themeColor="text2"/>
          <w:sz w:val="22"/>
          <w:szCs w:val="22"/>
          <w:lang w:val="en-GB" w:eastAsia="en-US"/>
        </w:rPr>
        <w:t>the program is achieving overall good progress towards the year 3 objective “By the end of the first thre</w:t>
      </w:r>
      <w:r>
        <w:rPr>
          <w:rFonts w:asciiTheme="minorHAnsi" w:eastAsiaTheme="minorHAnsi" w:hAnsiTheme="minorHAnsi" w:cstheme="minorBidi"/>
          <w:color w:val="44546A" w:themeColor="text2"/>
          <w:sz w:val="22"/>
          <w:szCs w:val="22"/>
          <w:lang w:val="en-GB" w:eastAsia="en-US"/>
        </w:rPr>
        <w:t xml:space="preserve">e years of the program, the capacity, resources and </w:t>
      </w:r>
      <w:r w:rsidRPr="00E8470D">
        <w:rPr>
          <w:rFonts w:asciiTheme="minorHAnsi" w:eastAsiaTheme="minorHAnsi" w:hAnsiTheme="minorHAnsi" w:cstheme="minorBidi"/>
          <w:color w:val="44546A" w:themeColor="text2"/>
          <w:sz w:val="22"/>
          <w:szCs w:val="22"/>
          <w:lang w:val="en-GB" w:eastAsia="en-US"/>
        </w:rPr>
        <w:t>relati</w:t>
      </w:r>
      <w:r>
        <w:rPr>
          <w:rFonts w:asciiTheme="minorHAnsi" w:eastAsiaTheme="minorHAnsi" w:hAnsiTheme="minorHAnsi" w:cstheme="minorBidi"/>
          <w:color w:val="44546A" w:themeColor="text2"/>
          <w:sz w:val="22"/>
          <w:szCs w:val="22"/>
          <w:lang w:val="en-GB" w:eastAsia="en-US"/>
        </w:rPr>
        <w:t xml:space="preserve">onships are established and </w:t>
      </w:r>
      <w:r w:rsidRPr="00E8470D">
        <w:rPr>
          <w:rFonts w:asciiTheme="minorHAnsi" w:eastAsiaTheme="minorHAnsi" w:hAnsiTheme="minorHAnsi" w:cstheme="minorBidi"/>
          <w:color w:val="44546A" w:themeColor="text2"/>
          <w:sz w:val="22"/>
          <w:szCs w:val="22"/>
          <w:lang w:val="en-GB" w:eastAsia="en-US"/>
        </w:rPr>
        <w:t>action in key result areas is evident across the country and regional program activities”. Good groundwork has been achieved across the program in generating capacity and in generating knowledge and understanding</w:t>
      </w:r>
      <w:r>
        <w:rPr>
          <w:rFonts w:asciiTheme="minorHAnsi" w:eastAsiaTheme="minorHAnsi" w:hAnsiTheme="minorHAnsi" w:cstheme="minorBidi"/>
          <w:color w:val="44546A" w:themeColor="text2"/>
          <w:sz w:val="22"/>
          <w:szCs w:val="22"/>
          <w:lang w:val="en-GB" w:eastAsia="en-US"/>
        </w:rPr>
        <w:t xml:space="preserve"> of gender inequalities</w:t>
      </w:r>
      <w:r w:rsidRPr="00E8470D">
        <w:rPr>
          <w:rFonts w:asciiTheme="minorHAnsi" w:eastAsiaTheme="minorHAnsi" w:hAnsiTheme="minorHAnsi" w:cstheme="minorBidi"/>
          <w:color w:val="44546A" w:themeColor="text2"/>
          <w:sz w:val="22"/>
          <w:szCs w:val="22"/>
          <w:lang w:val="en-GB" w:eastAsia="en-US"/>
        </w:rPr>
        <w:t xml:space="preserve"> but gaps remain</w:t>
      </w:r>
      <w:r>
        <w:rPr>
          <w:rFonts w:asciiTheme="minorHAnsi" w:eastAsiaTheme="minorHAnsi" w:hAnsiTheme="minorHAnsi" w:cstheme="minorBidi"/>
          <w:color w:val="44546A" w:themeColor="text2"/>
          <w:sz w:val="22"/>
          <w:szCs w:val="22"/>
          <w:lang w:val="en-GB" w:eastAsia="en-US"/>
        </w:rPr>
        <w:t>,</w:t>
      </w:r>
      <w:r w:rsidRPr="00E8470D">
        <w:rPr>
          <w:rFonts w:asciiTheme="minorHAnsi" w:eastAsiaTheme="minorHAnsi" w:hAnsiTheme="minorHAnsi" w:cstheme="minorBidi"/>
          <w:color w:val="44546A" w:themeColor="text2"/>
          <w:sz w:val="22"/>
          <w:szCs w:val="22"/>
          <w:lang w:val="en-GB" w:eastAsia="en-US"/>
        </w:rPr>
        <w:t xml:space="preserve"> especially in how to approach </w:t>
      </w:r>
      <w:r>
        <w:rPr>
          <w:rFonts w:asciiTheme="minorHAnsi" w:eastAsiaTheme="minorHAnsi" w:hAnsiTheme="minorHAnsi" w:cstheme="minorBidi"/>
          <w:color w:val="44546A" w:themeColor="text2"/>
          <w:sz w:val="22"/>
          <w:szCs w:val="22"/>
          <w:lang w:val="en-GB" w:eastAsia="en-US"/>
        </w:rPr>
        <w:t xml:space="preserve">women’s economic empowerment and inclusive leadership and decision making.  More needs to be </w:t>
      </w:r>
      <w:r w:rsidRPr="00E8470D">
        <w:rPr>
          <w:rFonts w:asciiTheme="minorHAnsi" w:eastAsiaTheme="minorHAnsi" w:hAnsiTheme="minorHAnsi" w:cstheme="minorBidi"/>
          <w:color w:val="44546A" w:themeColor="text2"/>
          <w:sz w:val="22"/>
          <w:szCs w:val="22"/>
          <w:lang w:val="en-GB" w:eastAsia="en-US"/>
        </w:rPr>
        <w:t>done to ensure all capacity support, is focused on transferr</w:t>
      </w:r>
      <w:r>
        <w:rPr>
          <w:rFonts w:asciiTheme="minorHAnsi" w:eastAsiaTheme="minorHAnsi" w:hAnsiTheme="minorHAnsi" w:cstheme="minorBidi"/>
          <w:color w:val="44546A" w:themeColor="text2"/>
          <w:sz w:val="22"/>
          <w:szCs w:val="22"/>
          <w:lang w:val="en-GB" w:eastAsia="en-US"/>
        </w:rPr>
        <w:t>ing skills into Pacific organisations and individuals. I</w:t>
      </w:r>
      <w:r w:rsidRPr="00E8470D">
        <w:rPr>
          <w:rFonts w:asciiTheme="minorHAnsi" w:eastAsiaTheme="minorHAnsi" w:hAnsiTheme="minorHAnsi" w:cstheme="minorBidi"/>
          <w:color w:val="44546A" w:themeColor="text2"/>
          <w:sz w:val="22"/>
          <w:szCs w:val="22"/>
          <w:lang w:val="en-GB" w:eastAsia="en-US"/>
        </w:rPr>
        <w:t xml:space="preserve">n all outcome areas, the ability of the program to provide sufficient coverage to lead to lasting change is a </w:t>
      </w:r>
      <w:r>
        <w:rPr>
          <w:rFonts w:asciiTheme="minorHAnsi" w:eastAsiaTheme="minorHAnsi" w:hAnsiTheme="minorHAnsi" w:cstheme="minorBidi"/>
          <w:color w:val="44546A" w:themeColor="text2"/>
          <w:sz w:val="22"/>
          <w:szCs w:val="22"/>
          <w:lang w:val="en-GB" w:eastAsia="en-US"/>
        </w:rPr>
        <w:t>major</w:t>
      </w:r>
      <w:r w:rsidRPr="00E8470D">
        <w:rPr>
          <w:rFonts w:asciiTheme="minorHAnsi" w:eastAsiaTheme="minorHAnsi" w:hAnsiTheme="minorHAnsi" w:cstheme="minorBidi"/>
          <w:color w:val="44546A" w:themeColor="text2"/>
          <w:sz w:val="22"/>
          <w:szCs w:val="22"/>
          <w:lang w:val="en-GB" w:eastAsia="en-US"/>
        </w:rPr>
        <w:t xml:space="preserve"> challenge.</w:t>
      </w:r>
    </w:p>
    <w:p w:rsidR="00C25AD7" w:rsidRDefault="00C25AD7" w:rsidP="00C25AD7">
      <w:pPr>
        <w:pStyle w:val="BodyText"/>
        <w:rPr>
          <w:rFonts w:asciiTheme="minorHAnsi" w:eastAsiaTheme="minorHAnsi" w:hAnsiTheme="minorHAnsi" w:cstheme="minorBidi"/>
          <w:color w:val="44546A" w:themeColor="text2"/>
          <w:sz w:val="22"/>
          <w:szCs w:val="22"/>
          <w:lang w:val="en-GB" w:eastAsia="en-US"/>
        </w:rPr>
      </w:pPr>
      <w:r>
        <w:rPr>
          <w:rFonts w:asciiTheme="minorHAnsi" w:eastAsiaTheme="minorHAnsi" w:hAnsiTheme="minorHAnsi" w:cstheme="minorBidi"/>
          <w:color w:val="44546A" w:themeColor="text2"/>
          <w:sz w:val="22"/>
          <w:szCs w:val="22"/>
          <w:lang w:val="en-GB" w:eastAsia="en-US"/>
        </w:rPr>
        <w:t xml:space="preserve">Evaluations undertaken of two programs funded by </w:t>
      </w:r>
      <w:r w:rsidRPr="00EB23C6">
        <w:rPr>
          <w:rFonts w:asciiTheme="minorHAnsi" w:eastAsiaTheme="minorHAnsi" w:hAnsiTheme="minorHAnsi" w:cstheme="minorBidi"/>
          <w:i/>
          <w:color w:val="44546A" w:themeColor="text2"/>
          <w:sz w:val="22"/>
          <w:szCs w:val="22"/>
          <w:lang w:val="en-GB" w:eastAsia="en-US"/>
        </w:rPr>
        <w:t>Pacific Women</w:t>
      </w:r>
      <w:r>
        <w:rPr>
          <w:rFonts w:asciiTheme="minorHAnsi" w:eastAsiaTheme="minorHAnsi" w:hAnsiTheme="minorHAnsi" w:cstheme="minorBidi"/>
          <w:color w:val="44546A" w:themeColor="text2"/>
          <w:sz w:val="22"/>
          <w:szCs w:val="22"/>
          <w:lang w:val="en-GB" w:eastAsia="en-US"/>
        </w:rPr>
        <w:t xml:space="preserve"> – the Pacific Women Parliamentary Partnerships Program and the SPC implemented Progressing Gender Equality in Pacific Island countries and Territories – will inform new phases of support to women’s formal leadership and our partnership with SPC.   </w:t>
      </w:r>
    </w:p>
    <w:p w:rsidR="00C25AD7" w:rsidRDefault="00C25AD7" w:rsidP="00C25AD7">
      <w:pPr>
        <w:pStyle w:val="BodyText"/>
        <w:rPr>
          <w:rFonts w:asciiTheme="minorHAnsi" w:eastAsiaTheme="minorHAnsi" w:hAnsiTheme="minorHAnsi" w:cstheme="minorBidi"/>
          <w:color w:val="44546A" w:themeColor="text2"/>
          <w:sz w:val="22"/>
          <w:szCs w:val="22"/>
          <w:lang w:val="en-GB" w:eastAsia="en-US"/>
        </w:rPr>
      </w:pPr>
      <w:r w:rsidRPr="00E57D5D">
        <w:rPr>
          <w:rFonts w:asciiTheme="minorHAnsi" w:eastAsiaTheme="minorHAnsi" w:hAnsiTheme="minorHAnsi" w:cstheme="minorBidi"/>
          <w:color w:val="44546A" w:themeColor="text2"/>
          <w:sz w:val="22"/>
          <w:szCs w:val="22"/>
          <w:lang w:val="en-GB" w:eastAsia="en-US"/>
        </w:rPr>
        <w:t xml:space="preserve">We will use research results through </w:t>
      </w:r>
      <w:r w:rsidRPr="009C5CE5">
        <w:rPr>
          <w:rFonts w:asciiTheme="minorHAnsi" w:eastAsiaTheme="minorHAnsi" w:hAnsiTheme="minorHAnsi" w:cstheme="minorBidi"/>
          <w:i/>
          <w:color w:val="44546A" w:themeColor="text2"/>
          <w:sz w:val="22"/>
          <w:szCs w:val="22"/>
          <w:lang w:val="en-GB" w:eastAsia="en-US"/>
        </w:rPr>
        <w:t>Pacific Women</w:t>
      </w:r>
      <w:r w:rsidRPr="00E57D5D">
        <w:rPr>
          <w:rFonts w:asciiTheme="minorHAnsi" w:eastAsiaTheme="minorHAnsi" w:hAnsiTheme="minorHAnsi" w:cstheme="minorBidi"/>
          <w:color w:val="44546A" w:themeColor="text2"/>
          <w:sz w:val="22"/>
          <w:szCs w:val="22"/>
          <w:lang w:val="en-GB" w:eastAsia="en-US"/>
        </w:rPr>
        <w:t xml:space="preserve"> to improve access to appropriately trained counsellors, and counselling services in the region.</w:t>
      </w:r>
      <w:r w:rsidRPr="00D27997">
        <w:rPr>
          <w:rStyle w:val="FootnoteReference"/>
          <w:rFonts w:eastAsiaTheme="minorHAnsi"/>
          <w:lang w:val="en-GB" w:eastAsia="en-US"/>
        </w:rPr>
        <w:footnoteReference w:id="18"/>
      </w:r>
      <w:r w:rsidRPr="00D27997">
        <w:rPr>
          <w:rStyle w:val="FootnoteReference"/>
          <w:rFonts w:eastAsiaTheme="minorHAnsi"/>
        </w:rPr>
        <w:t xml:space="preserve"> </w:t>
      </w:r>
      <w:r w:rsidRPr="00E57D5D">
        <w:rPr>
          <w:rFonts w:asciiTheme="minorHAnsi" w:eastAsiaTheme="minorHAnsi" w:hAnsiTheme="minorHAnsi" w:cstheme="minorBidi"/>
          <w:color w:val="44546A" w:themeColor="text2"/>
          <w:sz w:val="22"/>
          <w:szCs w:val="22"/>
          <w:lang w:val="en-GB" w:eastAsia="en-US"/>
        </w:rPr>
        <w:t xml:space="preserve">This will provide opportunities to work with the education </w:t>
      </w:r>
      <w:r>
        <w:rPr>
          <w:rFonts w:asciiTheme="minorHAnsi" w:eastAsiaTheme="minorHAnsi" w:hAnsiTheme="minorHAnsi" w:cstheme="minorBidi"/>
          <w:color w:val="44546A" w:themeColor="text2"/>
          <w:sz w:val="22"/>
          <w:szCs w:val="22"/>
          <w:lang w:val="en-GB" w:eastAsia="en-US"/>
        </w:rPr>
        <w:t xml:space="preserve">and health </w:t>
      </w:r>
      <w:r w:rsidRPr="00E57D5D">
        <w:rPr>
          <w:rFonts w:asciiTheme="minorHAnsi" w:eastAsiaTheme="minorHAnsi" w:hAnsiTheme="minorHAnsi" w:cstheme="minorBidi"/>
          <w:color w:val="44546A" w:themeColor="text2"/>
          <w:sz w:val="22"/>
          <w:szCs w:val="22"/>
          <w:lang w:val="en-GB" w:eastAsia="en-US"/>
        </w:rPr>
        <w:t>program</w:t>
      </w:r>
      <w:r>
        <w:rPr>
          <w:rFonts w:asciiTheme="minorHAnsi" w:eastAsiaTheme="minorHAnsi" w:hAnsiTheme="minorHAnsi" w:cstheme="minorBidi"/>
          <w:color w:val="44546A" w:themeColor="text2"/>
          <w:sz w:val="22"/>
          <w:szCs w:val="22"/>
          <w:lang w:val="en-GB" w:eastAsia="en-US"/>
        </w:rPr>
        <w:t>s</w:t>
      </w:r>
      <w:r w:rsidRPr="00E57D5D">
        <w:rPr>
          <w:rFonts w:asciiTheme="minorHAnsi" w:eastAsiaTheme="minorHAnsi" w:hAnsiTheme="minorHAnsi" w:cstheme="minorBidi"/>
          <w:color w:val="44546A" w:themeColor="text2"/>
          <w:sz w:val="22"/>
          <w:szCs w:val="22"/>
          <w:lang w:val="en-GB" w:eastAsia="en-US"/>
        </w:rPr>
        <w:t xml:space="preserve"> towards improve the level of training provided in the Pacific to women.</w:t>
      </w:r>
      <w:r>
        <w:rPr>
          <w:rFonts w:asciiTheme="minorHAnsi" w:eastAsiaTheme="minorHAnsi" w:hAnsiTheme="minorHAnsi" w:cstheme="minorBidi"/>
          <w:color w:val="44546A" w:themeColor="text2"/>
          <w:sz w:val="22"/>
          <w:szCs w:val="22"/>
          <w:lang w:val="en-GB" w:eastAsia="en-US"/>
        </w:rPr>
        <w:t xml:space="preserve">  </w:t>
      </w:r>
      <w:r w:rsidRPr="001367BF">
        <w:rPr>
          <w:rFonts w:asciiTheme="minorHAnsi" w:eastAsiaTheme="minorHAnsi" w:hAnsiTheme="minorHAnsi" w:cstheme="minorBidi"/>
          <w:color w:val="44546A" w:themeColor="text2"/>
          <w:sz w:val="22"/>
          <w:szCs w:val="22"/>
          <w:lang w:val="en-GB" w:eastAsia="en-US"/>
        </w:rPr>
        <w:t>A paper on the legal barriers to gender equality in the Pacific is in the final stages of preparation, and will be used to support advocacy on legal reform.</w:t>
      </w:r>
    </w:p>
    <w:p w:rsidR="00C25AD7" w:rsidRDefault="00C25AD7" w:rsidP="00C25AD7">
      <w:pPr>
        <w:pStyle w:val="ListBullet"/>
        <w:tabs>
          <w:tab w:val="left" w:pos="720"/>
        </w:tabs>
        <w:spacing w:before="240"/>
        <w:rPr>
          <w:rFonts w:asciiTheme="majorHAnsi" w:eastAsiaTheme="majorEastAsia" w:hAnsiTheme="majorHAnsi" w:cstheme="majorBidi"/>
          <w:caps/>
          <w:color w:val="44546A" w:themeColor="text2"/>
          <w:sz w:val="38"/>
          <w:szCs w:val="26"/>
          <w:lang w:val="en-GB" w:eastAsia="en-US"/>
        </w:rPr>
      </w:pPr>
      <w:r>
        <w:rPr>
          <w:rFonts w:asciiTheme="majorHAnsi" w:eastAsiaTheme="majorEastAsia" w:hAnsiTheme="majorHAnsi" w:cstheme="majorBidi"/>
          <w:caps/>
          <w:color w:val="44546A" w:themeColor="text2"/>
          <w:sz w:val="38"/>
          <w:szCs w:val="26"/>
          <w:lang w:val="en-GB" w:eastAsia="en-US"/>
        </w:rPr>
        <w:t>Performance Benchmarks</w:t>
      </w:r>
    </w:p>
    <w:p w:rsidR="00C25AD7" w:rsidRPr="006373B4" w:rsidRDefault="00C25AD7" w:rsidP="00C25AD7">
      <w:pPr>
        <w:spacing w:after="120" w:line="280" w:lineRule="exact"/>
      </w:pPr>
      <w:r>
        <w:t xml:space="preserve">The Pacific Regional program achieved </w:t>
      </w:r>
      <w:r w:rsidRPr="002C080E">
        <w:t>six of the seven</w:t>
      </w:r>
      <w:r w:rsidRPr="003E6B46">
        <w:rPr>
          <w:color w:val="auto"/>
        </w:rPr>
        <w:t xml:space="preserve"> </w:t>
      </w:r>
      <w:r>
        <w:t>benchmarks outlined in the 2015-16 Pacific Regional Aid Investment Plan. Economic Growth benchmarks were exceeded for fishing revenue, APTC graduates, and private sector investment. While only partially achieving the benchmark on management of climate finance, a further $184 million in funding was allocated to the Pacific under the Green Climate Fund. The partial achievement is based on monitoring and governments to inform decision-making and risk management do still not use evaluation in 2016, which identified that climate data</w:t>
      </w:r>
      <w:r w:rsidRPr="00A24644">
        <w:t>.</w:t>
      </w:r>
    </w:p>
    <w:p w:rsidR="00C25AD7" w:rsidRDefault="00C25AD7" w:rsidP="00C25AD7">
      <w:pPr>
        <w:spacing w:after="120" w:line="280" w:lineRule="exact"/>
      </w:pPr>
      <w:r>
        <w:t xml:space="preserve">In 2016-17, all benchmarks were reviewed in response to the 2015-16 Office of Development Effectiveness (ODE) Quality Review of the </w:t>
      </w:r>
      <w:r>
        <w:rPr>
          <w:i/>
        </w:rPr>
        <w:t>Pacific Regional Aid Program Performance Review</w:t>
      </w:r>
      <w:r>
        <w:t xml:space="preserve"> </w:t>
      </w:r>
      <w:r>
        <w:rPr>
          <w:i/>
        </w:rPr>
        <w:t>2015-16</w:t>
      </w:r>
      <w:r>
        <w:t xml:space="preserve">. Investment managers reviewed each benchmark’s; level of ambition, strategic relevance against the four Aid Investment Program objectives, integration of a gender dimension – including disaggregation, clarity and capacity to be measured. This has resulted in a more detailed contextual explanation of progress at Annex B, and the addition of new benchmarks relating to Objective 2: Effective Regional Organisations. </w:t>
      </w:r>
    </w:p>
    <w:p w:rsidR="00C25AD7" w:rsidRDefault="00C25AD7" w:rsidP="00C25AD7">
      <w:pPr>
        <w:spacing w:after="120" w:line="280" w:lineRule="exact"/>
      </w:pPr>
      <w:r>
        <w:t xml:space="preserve">These changes will enable the benchmarks to better correspond to the outcomes and indicators of Partner Regional Organisations including the Pacific Community (SPC) and the Pacific Islands Forum Secretariat (PIFS) Performance Assessment Framework. We consider using them in the APPR will better align our reporting processes. </w:t>
      </w:r>
    </w:p>
    <w:p w:rsidR="00C25AD7" w:rsidRDefault="00C25AD7" w:rsidP="00C25AD7">
      <w:pPr>
        <w:spacing w:after="120" w:line="280" w:lineRule="exact"/>
      </w:pPr>
      <w:r>
        <w:t>The following table provides benchmarks for the years up to 2018-19.</w:t>
      </w:r>
    </w:p>
    <w:p w:rsidR="00C25AD7" w:rsidRPr="008C2F58" w:rsidRDefault="00C25AD7" w:rsidP="00C25AD7">
      <w:pPr>
        <w:pStyle w:val="Caption"/>
        <w:rPr>
          <w:sz w:val="24"/>
        </w:rPr>
      </w:pPr>
      <w:r w:rsidRPr="008C2F58">
        <w:rPr>
          <w:sz w:val="24"/>
        </w:rPr>
        <w:lastRenderedPageBreak/>
        <w:t xml:space="preserve">Performance Benchmarks 2016-17 to 2018-19 </w:t>
      </w:r>
    </w:p>
    <w:tbl>
      <w:tblPr>
        <w:tblStyle w:val="DFATTable"/>
        <w:tblW w:w="4706" w:type="pct"/>
        <w:tblLook w:val="04A0" w:firstRow="1" w:lastRow="0" w:firstColumn="1" w:lastColumn="0" w:noHBand="0" w:noVBand="1"/>
      </w:tblPr>
      <w:tblGrid>
        <w:gridCol w:w="451"/>
        <w:gridCol w:w="2551"/>
        <w:gridCol w:w="1996"/>
        <w:gridCol w:w="1224"/>
        <w:gridCol w:w="246"/>
        <w:gridCol w:w="129"/>
        <w:gridCol w:w="1348"/>
        <w:gridCol w:w="115"/>
        <w:gridCol w:w="718"/>
        <w:gridCol w:w="826"/>
      </w:tblGrid>
      <w:tr w:rsidR="00C25AD7" w:rsidRPr="00F3555F" w:rsidTr="002F4ABA">
        <w:trPr>
          <w:trHeight w:val="331"/>
        </w:trPr>
        <w:tc>
          <w:tcPr>
            <w:tcW w:w="235" w:type="pct"/>
            <w:tcBorders>
              <w:top w:val="single" w:sz="12" w:space="0" w:color="auto"/>
              <w:left w:val="nil"/>
              <w:bottom w:val="nil"/>
              <w:right w:val="nil"/>
            </w:tcBorders>
          </w:tcPr>
          <w:p w:rsidR="00C25AD7" w:rsidRPr="00F3555F" w:rsidRDefault="00C25AD7" w:rsidP="002F4ABA">
            <w:pPr>
              <w:pStyle w:val="TableHeading1"/>
              <w:spacing w:line="240" w:lineRule="auto"/>
              <w:rPr>
                <w:rFonts w:asciiTheme="minorHAnsi" w:hAnsiTheme="minorHAnsi"/>
                <w:sz w:val="16"/>
                <w:szCs w:val="16"/>
              </w:rPr>
            </w:pPr>
          </w:p>
        </w:tc>
        <w:tc>
          <w:tcPr>
            <w:tcW w:w="1328" w:type="pct"/>
            <w:tcBorders>
              <w:top w:val="single" w:sz="12" w:space="0" w:color="auto"/>
              <w:left w:val="nil"/>
              <w:bottom w:val="nil"/>
              <w:right w:val="nil"/>
            </w:tcBorders>
          </w:tcPr>
          <w:p w:rsidR="00C25AD7" w:rsidRPr="00F3555F" w:rsidRDefault="00C25AD7" w:rsidP="002F4ABA">
            <w:pPr>
              <w:pStyle w:val="TableHeading1"/>
              <w:spacing w:line="240" w:lineRule="auto"/>
              <w:rPr>
                <w:rFonts w:asciiTheme="minorHAnsi" w:hAnsiTheme="minorHAnsi"/>
                <w:sz w:val="16"/>
                <w:szCs w:val="16"/>
              </w:rPr>
            </w:pPr>
          </w:p>
        </w:tc>
        <w:tc>
          <w:tcPr>
            <w:tcW w:w="1039" w:type="pct"/>
            <w:tcBorders>
              <w:top w:val="single" w:sz="12" w:space="0" w:color="auto"/>
              <w:left w:val="nil"/>
              <w:bottom w:val="nil"/>
              <w:right w:val="nil"/>
            </w:tcBorders>
          </w:tcPr>
          <w:p w:rsidR="00C25AD7" w:rsidRPr="00F3555F" w:rsidRDefault="00C25AD7" w:rsidP="002F4ABA">
            <w:pPr>
              <w:pStyle w:val="TableHeading1"/>
              <w:spacing w:line="240" w:lineRule="auto"/>
              <w:rPr>
                <w:rFonts w:asciiTheme="minorHAnsi" w:hAnsiTheme="minorHAnsi"/>
                <w:sz w:val="16"/>
                <w:szCs w:val="16"/>
              </w:rPr>
            </w:pPr>
          </w:p>
        </w:tc>
        <w:tc>
          <w:tcPr>
            <w:tcW w:w="765" w:type="pct"/>
            <w:gridSpan w:val="2"/>
            <w:tcBorders>
              <w:top w:val="single" w:sz="12" w:space="0" w:color="auto"/>
              <w:left w:val="nil"/>
              <w:bottom w:val="nil"/>
              <w:right w:val="nil"/>
            </w:tcBorders>
            <w:hideMark/>
          </w:tcPr>
          <w:p w:rsidR="00C25AD7" w:rsidRPr="00F3555F" w:rsidRDefault="00C25AD7" w:rsidP="002F4ABA">
            <w:pPr>
              <w:pStyle w:val="TableHeading1"/>
              <w:spacing w:line="240" w:lineRule="auto"/>
              <w:jc w:val="center"/>
              <w:rPr>
                <w:rFonts w:asciiTheme="minorHAnsi" w:hAnsiTheme="minorHAnsi"/>
                <w:sz w:val="16"/>
                <w:szCs w:val="16"/>
              </w:rPr>
            </w:pPr>
            <w:r w:rsidRPr="00F3555F">
              <w:rPr>
                <w:rFonts w:asciiTheme="minorHAnsi" w:hAnsiTheme="minorHAnsi"/>
                <w:sz w:val="16"/>
                <w:szCs w:val="16"/>
              </w:rPr>
              <w:t>2016-17</w:t>
            </w:r>
          </w:p>
        </w:tc>
        <w:tc>
          <w:tcPr>
            <w:tcW w:w="829" w:type="pct"/>
            <w:gridSpan w:val="3"/>
            <w:tcBorders>
              <w:top w:val="single" w:sz="12" w:space="0" w:color="auto"/>
              <w:left w:val="nil"/>
              <w:bottom w:val="nil"/>
              <w:right w:val="nil"/>
            </w:tcBorders>
            <w:hideMark/>
          </w:tcPr>
          <w:p w:rsidR="00C25AD7" w:rsidRPr="00F3555F" w:rsidRDefault="00C25AD7" w:rsidP="002F4ABA">
            <w:pPr>
              <w:pStyle w:val="TableHeading1"/>
              <w:spacing w:line="240" w:lineRule="auto"/>
              <w:jc w:val="center"/>
              <w:rPr>
                <w:rFonts w:asciiTheme="minorHAnsi" w:hAnsiTheme="minorHAnsi"/>
                <w:sz w:val="16"/>
                <w:szCs w:val="16"/>
              </w:rPr>
            </w:pPr>
            <w:r w:rsidRPr="00F3555F">
              <w:rPr>
                <w:rFonts w:asciiTheme="minorHAnsi" w:hAnsiTheme="minorHAnsi"/>
                <w:sz w:val="16"/>
                <w:szCs w:val="16"/>
              </w:rPr>
              <w:t>2017-18</w:t>
            </w:r>
          </w:p>
        </w:tc>
        <w:tc>
          <w:tcPr>
            <w:tcW w:w="804" w:type="pct"/>
            <w:gridSpan w:val="2"/>
            <w:tcBorders>
              <w:top w:val="single" w:sz="12" w:space="0" w:color="auto"/>
              <w:left w:val="nil"/>
              <w:bottom w:val="nil"/>
              <w:right w:val="nil"/>
            </w:tcBorders>
            <w:hideMark/>
          </w:tcPr>
          <w:p w:rsidR="00C25AD7" w:rsidRPr="00F3555F" w:rsidRDefault="00C25AD7" w:rsidP="002F4ABA">
            <w:pPr>
              <w:pStyle w:val="TableHeading1"/>
              <w:spacing w:line="240" w:lineRule="auto"/>
              <w:ind w:firstLine="32"/>
              <w:jc w:val="center"/>
              <w:rPr>
                <w:rFonts w:asciiTheme="minorHAnsi" w:hAnsiTheme="minorHAnsi"/>
                <w:sz w:val="16"/>
                <w:szCs w:val="16"/>
              </w:rPr>
            </w:pPr>
            <w:r w:rsidRPr="00F3555F">
              <w:rPr>
                <w:rFonts w:asciiTheme="minorHAnsi" w:hAnsiTheme="minorHAnsi"/>
                <w:sz w:val="16"/>
                <w:szCs w:val="16"/>
              </w:rPr>
              <w:t>2018-19</w:t>
            </w:r>
          </w:p>
        </w:tc>
      </w:tr>
      <w:tr w:rsidR="00C25AD7" w:rsidRPr="00F3555F" w:rsidTr="002F4ABA">
        <w:trPr>
          <w:gridAfter w:val="1"/>
          <w:wAfter w:w="431" w:type="pct"/>
          <w:trHeight w:val="425"/>
        </w:trPr>
        <w:tc>
          <w:tcPr>
            <w:tcW w:w="235" w:type="pct"/>
            <w:tcBorders>
              <w:top w:val="nil"/>
              <w:left w:val="nil"/>
              <w:bottom w:val="nil"/>
              <w:right w:val="nil"/>
            </w:tcBorders>
          </w:tcPr>
          <w:p w:rsidR="00C25AD7" w:rsidRPr="00F3555F" w:rsidRDefault="00C25AD7" w:rsidP="002F4ABA">
            <w:pPr>
              <w:pStyle w:val="TableHeading1"/>
              <w:spacing w:line="240" w:lineRule="auto"/>
              <w:rPr>
                <w:rFonts w:asciiTheme="minorHAnsi" w:hAnsiTheme="minorHAnsi"/>
                <w:sz w:val="16"/>
                <w:szCs w:val="16"/>
              </w:rPr>
            </w:pPr>
          </w:p>
        </w:tc>
        <w:tc>
          <w:tcPr>
            <w:tcW w:w="1328" w:type="pct"/>
            <w:tcBorders>
              <w:top w:val="nil"/>
              <w:left w:val="nil"/>
              <w:bottom w:val="nil"/>
              <w:right w:val="nil"/>
            </w:tcBorders>
            <w:hideMark/>
          </w:tcPr>
          <w:p w:rsidR="00C25AD7" w:rsidRPr="00F3555F" w:rsidRDefault="00C25AD7" w:rsidP="002F4ABA">
            <w:pPr>
              <w:pStyle w:val="TableHeading1"/>
              <w:spacing w:line="240" w:lineRule="auto"/>
              <w:rPr>
                <w:rFonts w:asciiTheme="minorHAnsi" w:hAnsiTheme="minorHAnsi"/>
                <w:i/>
                <w:color w:val="808080" w:themeColor="background1" w:themeShade="80"/>
                <w:sz w:val="16"/>
                <w:szCs w:val="16"/>
              </w:rPr>
            </w:pPr>
            <w:r w:rsidRPr="00F3555F">
              <w:rPr>
                <w:rFonts w:asciiTheme="minorHAnsi" w:hAnsiTheme="minorHAnsi"/>
                <w:sz w:val="16"/>
                <w:szCs w:val="16"/>
              </w:rPr>
              <w:t>Objective 1: Economic Growth</w:t>
            </w:r>
          </w:p>
        </w:tc>
        <w:tc>
          <w:tcPr>
            <w:tcW w:w="3007" w:type="pct"/>
            <w:gridSpan w:val="7"/>
            <w:tcBorders>
              <w:top w:val="nil"/>
              <w:left w:val="nil"/>
              <w:bottom w:val="nil"/>
            </w:tcBorders>
            <w:hideMark/>
          </w:tcPr>
          <w:p w:rsidR="00C25AD7" w:rsidRPr="00F3555F" w:rsidRDefault="00C25AD7" w:rsidP="002F4ABA">
            <w:pPr>
              <w:pStyle w:val="TableTextEntries"/>
              <w:spacing w:line="240" w:lineRule="auto"/>
              <w:ind w:firstLine="32"/>
              <w:rPr>
                <w:rFonts w:asciiTheme="minorHAnsi" w:hAnsiTheme="minorHAnsi"/>
                <w:i/>
                <w:color w:val="808080" w:themeColor="background1" w:themeShade="80"/>
                <w:sz w:val="16"/>
                <w:szCs w:val="16"/>
              </w:rPr>
            </w:pPr>
          </w:p>
        </w:tc>
      </w:tr>
      <w:tr w:rsidR="00C25AD7" w:rsidRPr="00F3555F" w:rsidTr="002F4ABA">
        <w:trPr>
          <w:trHeight w:val="984"/>
        </w:trPr>
        <w:tc>
          <w:tcPr>
            <w:tcW w:w="235" w:type="pct"/>
            <w:tcBorders>
              <w:top w:val="nil"/>
              <w:left w:val="nil"/>
              <w:bottom w:val="nil"/>
              <w:right w:val="nil"/>
            </w:tcBorders>
          </w:tcPr>
          <w:p w:rsidR="00C25AD7" w:rsidRPr="00F3555F" w:rsidRDefault="00C25AD7" w:rsidP="002F4ABA">
            <w:pPr>
              <w:pStyle w:val="TableTextEntries"/>
              <w:spacing w:line="240" w:lineRule="auto"/>
              <w:ind w:firstLine="32"/>
              <w:rPr>
                <w:rFonts w:ascii="Helvetica" w:eastAsiaTheme="minorHAnsi" w:hAnsi="Helvetica" w:cstheme="minorBidi"/>
                <w:i/>
                <w:iCs w:val="0"/>
                <w:color w:val="808080"/>
                <w:sz w:val="16"/>
                <w:szCs w:val="16"/>
                <w:lang w:val="en-GB"/>
              </w:rPr>
            </w:pPr>
            <w:r>
              <w:rPr>
                <w:rFonts w:ascii="Helvetica" w:eastAsiaTheme="minorHAnsi" w:hAnsi="Helvetica" w:cstheme="minorBidi"/>
                <w:i/>
                <w:iCs w:val="0"/>
                <w:color w:val="808080"/>
                <w:sz w:val="16"/>
                <w:szCs w:val="16"/>
                <w:lang w:val="en-GB"/>
              </w:rPr>
              <w:t>1.</w:t>
            </w:r>
          </w:p>
        </w:tc>
        <w:tc>
          <w:tcPr>
            <w:tcW w:w="1328" w:type="pct"/>
            <w:tcBorders>
              <w:top w:val="nil"/>
              <w:left w:val="nil"/>
              <w:bottom w:val="nil"/>
              <w:right w:val="nil"/>
            </w:tcBorders>
            <w:hideMark/>
          </w:tcPr>
          <w:p w:rsidR="00C25AD7" w:rsidRPr="00F3555F" w:rsidRDefault="00C25AD7" w:rsidP="002F4ABA">
            <w:pPr>
              <w:pStyle w:val="TableTextEntries"/>
              <w:spacing w:line="240" w:lineRule="auto"/>
              <w:ind w:firstLine="32"/>
              <w:rPr>
                <w:rFonts w:ascii="Helvetica" w:eastAsiaTheme="minorHAnsi" w:hAnsi="Helvetica" w:cstheme="minorBidi"/>
                <w:i/>
                <w:iCs w:val="0"/>
                <w:color w:val="808080"/>
                <w:sz w:val="16"/>
                <w:szCs w:val="16"/>
                <w:lang w:val="en-GB"/>
              </w:rPr>
            </w:pPr>
            <w:r w:rsidRPr="00F3555F">
              <w:rPr>
                <w:rFonts w:ascii="Helvetica" w:eastAsiaTheme="minorHAnsi" w:hAnsi="Helvetica" w:cstheme="minorBidi"/>
                <w:i/>
                <w:iCs w:val="0"/>
                <w:color w:val="808080"/>
                <w:sz w:val="16"/>
                <w:szCs w:val="16"/>
                <w:lang w:val="en-GB"/>
              </w:rPr>
              <w:t xml:space="preserve">Collective action managing regional resources delivers economic benefits to Pacific governments </w:t>
            </w:r>
          </w:p>
          <w:p w:rsidR="00C25AD7" w:rsidRPr="00F3555F" w:rsidRDefault="00C25AD7" w:rsidP="002F4ABA">
            <w:pPr>
              <w:pStyle w:val="TableHeading1"/>
              <w:spacing w:line="240" w:lineRule="auto"/>
              <w:rPr>
                <w:rFonts w:asciiTheme="minorHAnsi" w:hAnsiTheme="minorHAnsi"/>
                <w:i/>
                <w:color w:val="808080" w:themeColor="background1" w:themeShade="80"/>
                <w:sz w:val="16"/>
                <w:szCs w:val="16"/>
              </w:rPr>
            </w:pPr>
          </w:p>
        </w:tc>
        <w:tc>
          <w:tcPr>
            <w:tcW w:w="1039" w:type="pct"/>
            <w:tcBorders>
              <w:top w:val="nil"/>
              <w:left w:val="nil"/>
              <w:bottom w:val="nil"/>
              <w:right w:val="nil"/>
            </w:tcBorders>
            <w:hideMark/>
          </w:tcPr>
          <w:p w:rsidR="00C25AD7" w:rsidRPr="00F3555F" w:rsidRDefault="00C25AD7" w:rsidP="002F4ABA">
            <w:pPr>
              <w:spacing w:after="120" w:line="240" w:lineRule="auto"/>
              <w:rPr>
                <w:rFonts w:asciiTheme="minorHAnsi" w:hAnsiTheme="minorHAnsi"/>
                <w:i/>
                <w:color w:val="808080" w:themeColor="background1" w:themeShade="80"/>
                <w:sz w:val="16"/>
                <w:szCs w:val="16"/>
                <w:lang w:eastAsia="en-US"/>
              </w:rPr>
            </w:pPr>
            <w:r w:rsidRPr="00F3555F">
              <w:rPr>
                <w:i/>
                <w:color w:val="808080"/>
                <w:sz w:val="16"/>
                <w:szCs w:val="16"/>
              </w:rPr>
              <w:t>5% annual increase in revenue flowing to Forum Fisheries Agency Pacific island member governments from offshore tuna fisheries (draft Roadmap aim $475 million by 2020-21)</w:t>
            </w:r>
          </w:p>
        </w:tc>
        <w:tc>
          <w:tcPr>
            <w:tcW w:w="637" w:type="pct"/>
            <w:tcBorders>
              <w:top w:val="nil"/>
              <w:left w:val="nil"/>
              <w:bottom w:val="nil"/>
              <w:right w:val="nil"/>
            </w:tcBorders>
            <w:hideMark/>
          </w:tcPr>
          <w:p w:rsidR="00C25AD7" w:rsidRDefault="00C25AD7" w:rsidP="002F4ABA">
            <w:pPr>
              <w:spacing w:line="240" w:lineRule="auto"/>
              <w:jc w:val="center"/>
              <w:rPr>
                <w:i/>
                <w:color w:val="808080"/>
                <w:sz w:val="16"/>
                <w:szCs w:val="16"/>
              </w:rPr>
            </w:pPr>
            <w:r>
              <w:rPr>
                <w:i/>
                <w:color w:val="808080"/>
                <w:sz w:val="16"/>
                <w:szCs w:val="16"/>
              </w:rPr>
              <w:t>US$</w:t>
            </w:r>
            <w:r w:rsidRPr="00F3555F">
              <w:rPr>
                <w:i/>
                <w:color w:val="808080"/>
                <w:sz w:val="16"/>
                <w:szCs w:val="16"/>
              </w:rPr>
              <w:t>400 million</w:t>
            </w:r>
          </w:p>
          <w:p w:rsidR="00C25AD7" w:rsidRPr="00F3555F" w:rsidRDefault="00C25AD7" w:rsidP="002F4ABA">
            <w:pPr>
              <w:spacing w:line="240" w:lineRule="auto"/>
              <w:jc w:val="center"/>
              <w:rPr>
                <w:rFonts w:asciiTheme="minorHAnsi" w:hAnsiTheme="minorHAnsi"/>
                <w:i/>
                <w:color w:val="808080" w:themeColor="background1" w:themeShade="80"/>
                <w:sz w:val="16"/>
                <w:szCs w:val="16"/>
                <w:lang w:eastAsia="en-US"/>
              </w:rPr>
            </w:pPr>
            <w:r>
              <w:rPr>
                <w:i/>
                <w:color w:val="808080"/>
                <w:sz w:val="16"/>
                <w:szCs w:val="16"/>
              </w:rPr>
              <w:t>(A$528 million)</w:t>
            </w:r>
          </w:p>
        </w:tc>
        <w:tc>
          <w:tcPr>
            <w:tcW w:w="897" w:type="pct"/>
            <w:gridSpan w:val="3"/>
            <w:tcBorders>
              <w:top w:val="nil"/>
              <w:left w:val="nil"/>
              <w:bottom w:val="nil"/>
              <w:right w:val="nil"/>
            </w:tcBorders>
            <w:hideMark/>
          </w:tcPr>
          <w:p w:rsidR="00C25AD7" w:rsidRDefault="00C25AD7" w:rsidP="002F4ABA">
            <w:pPr>
              <w:spacing w:line="240" w:lineRule="auto"/>
              <w:jc w:val="center"/>
              <w:rPr>
                <w:i/>
                <w:color w:val="808080"/>
                <w:sz w:val="16"/>
                <w:szCs w:val="16"/>
              </w:rPr>
            </w:pPr>
            <w:r>
              <w:rPr>
                <w:i/>
                <w:color w:val="808080"/>
                <w:sz w:val="16"/>
                <w:szCs w:val="16"/>
              </w:rPr>
              <w:t>US$</w:t>
            </w:r>
            <w:r w:rsidRPr="00F3555F">
              <w:rPr>
                <w:i/>
                <w:color w:val="808080"/>
                <w:sz w:val="16"/>
                <w:szCs w:val="16"/>
              </w:rPr>
              <w:t>420 million</w:t>
            </w:r>
          </w:p>
          <w:p w:rsidR="00C25AD7" w:rsidRPr="00F3555F" w:rsidRDefault="00C25AD7" w:rsidP="002F4ABA">
            <w:pPr>
              <w:spacing w:line="240" w:lineRule="auto"/>
              <w:jc w:val="center"/>
              <w:rPr>
                <w:rFonts w:asciiTheme="minorHAnsi" w:hAnsiTheme="minorHAnsi"/>
                <w:i/>
                <w:color w:val="808080" w:themeColor="background1" w:themeShade="80"/>
                <w:sz w:val="16"/>
                <w:szCs w:val="16"/>
                <w:lang w:eastAsia="en-US"/>
              </w:rPr>
            </w:pPr>
            <w:r>
              <w:rPr>
                <w:i/>
                <w:color w:val="808080"/>
                <w:sz w:val="16"/>
                <w:szCs w:val="16"/>
              </w:rPr>
              <w:t>(A$555 million)</w:t>
            </w:r>
          </w:p>
        </w:tc>
        <w:tc>
          <w:tcPr>
            <w:tcW w:w="864" w:type="pct"/>
            <w:gridSpan w:val="3"/>
            <w:tcBorders>
              <w:top w:val="nil"/>
              <w:left w:val="nil"/>
              <w:bottom w:val="nil"/>
              <w:right w:val="nil"/>
            </w:tcBorders>
            <w:hideMark/>
          </w:tcPr>
          <w:p w:rsidR="00C25AD7" w:rsidRDefault="00C25AD7" w:rsidP="002F4ABA">
            <w:pPr>
              <w:spacing w:line="240" w:lineRule="auto"/>
              <w:jc w:val="center"/>
              <w:rPr>
                <w:i/>
                <w:color w:val="808080"/>
                <w:sz w:val="16"/>
                <w:szCs w:val="16"/>
              </w:rPr>
            </w:pPr>
            <w:r>
              <w:rPr>
                <w:i/>
                <w:color w:val="808080"/>
                <w:sz w:val="16"/>
                <w:szCs w:val="16"/>
              </w:rPr>
              <w:t>US$</w:t>
            </w:r>
            <w:r w:rsidRPr="00F3555F">
              <w:rPr>
                <w:i/>
                <w:color w:val="808080"/>
                <w:sz w:val="16"/>
                <w:szCs w:val="16"/>
              </w:rPr>
              <w:t>440 million</w:t>
            </w:r>
          </w:p>
          <w:p w:rsidR="00C25AD7" w:rsidRPr="00F3555F" w:rsidRDefault="00C25AD7" w:rsidP="002F4ABA">
            <w:pPr>
              <w:spacing w:line="240" w:lineRule="auto"/>
              <w:jc w:val="center"/>
              <w:rPr>
                <w:rFonts w:asciiTheme="minorHAnsi" w:hAnsiTheme="minorHAnsi"/>
                <w:i/>
                <w:color w:val="808080" w:themeColor="background1" w:themeShade="80"/>
                <w:sz w:val="16"/>
                <w:szCs w:val="16"/>
                <w:lang w:eastAsia="en-US"/>
              </w:rPr>
            </w:pPr>
            <w:r>
              <w:rPr>
                <w:i/>
                <w:color w:val="808080"/>
                <w:sz w:val="16"/>
                <w:szCs w:val="16"/>
              </w:rPr>
              <w:t>(A$580 million)</w:t>
            </w:r>
          </w:p>
        </w:tc>
      </w:tr>
      <w:tr w:rsidR="00C25AD7" w:rsidRPr="00F3555F" w:rsidTr="002F4ABA">
        <w:trPr>
          <w:trHeight w:val="984"/>
        </w:trPr>
        <w:tc>
          <w:tcPr>
            <w:tcW w:w="235" w:type="pct"/>
            <w:tcBorders>
              <w:top w:val="nil"/>
              <w:left w:val="nil"/>
              <w:bottom w:val="nil"/>
              <w:right w:val="nil"/>
            </w:tcBorders>
          </w:tcPr>
          <w:p w:rsidR="00C25AD7" w:rsidRPr="00F3555F" w:rsidRDefault="00C25AD7" w:rsidP="002F4ABA">
            <w:pPr>
              <w:pStyle w:val="TableTextEntries"/>
              <w:spacing w:line="240" w:lineRule="auto"/>
              <w:ind w:firstLine="32"/>
              <w:rPr>
                <w:rFonts w:ascii="Helvetica" w:eastAsiaTheme="minorHAnsi" w:hAnsi="Helvetica" w:cstheme="minorBidi"/>
                <w:i/>
                <w:iCs w:val="0"/>
                <w:color w:val="808080"/>
                <w:sz w:val="16"/>
                <w:szCs w:val="16"/>
                <w:lang w:val="en-GB"/>
              </w:rPr>
            </w:pPr>
            <w:r>
              <w:rPr>
                <w:rFonts w:ascii="Helvetica" w:eastAsiaTheme="minorHAnsi" w:hAnsi="Helvetica" w:cstheme="minorBidi"/>
                <w:i/>
                <w:iCs w:val="0"/>
                <w:color w:val="808080"/>
                <w:sz w:val="16"/>
                <w:szCs w:val="16"/>
                <w:lang w:val="en-GB"/>
              </w:rPr>
              <w:t>2</w:t>
            </w:r>
          </w:p>
        </w:tc>
        <w:tc>
          <w:tcPr>
            <w:tcW w:w="1328" w:type="pct"/>
            <w:tcBorders>
              <w:top w:val="nil"/>
              <w:left w:val="nil"/>
              <w:bottom w:val="nil"/>
              <w:right w:val="nil"/>
            </w:tcBorders>
          </w:tcPr>
          <w:p w:rsidR="00C25AD7" w:rsidRPr="00F3555F" w:rsidRDefault="00C25AD7" w:rsidP="002F4ABA">
            <w:pPr>
              <w:pStyle w:val="TableTextEntries"/>
              <w:spacing w:line="240" w:lineRule="auto"/>
              <w:ind w:firstLine="32"/>
              <w:rPr>
                <w:rFonts w:ascii="Helvetica" w:eastAsiaTheme="minorHAnsi" w:hAnsi="Helvetica" w:cstheme="minorBidi"/>
                <w:i/>
                <w:iCs w:val="0"/>
                <w:color w:val="808080"/>
                <w:sz w:val="16"/>
                <w:szCs w:val="16"/>
                <w:lang w:val="en-GB"/>
              </w:rPr>
            </w:pPr>
            <w:r w:rsidRPr="00F3555F">
              <w:rPr>
                <w:rFonts w:ascii="Helvetica" w:eastAsiaTheme="minorHAnsi" w:hAnsi="Helvetica" w:cstheme="minorBidi"/>
                <w:i/>
                <w:iCs w:val="0"/>
                <w:color w:val="808080"/>
                <w:sz w:val="16"/>
                <w:szCs w:val="16"/>
                <w:lang w:val="en-GB"/>
              </w:rPr>
              <w:t>Australia Pacific technical College (APTC) provides more Pacific Islanders with internationally recognised qualifications in areas of demonstrated labour market demand.</w:t>
            </w:r>
          </w:p>
        </w:tc>
        <w:tc>
          <w:tcPr>
            <w:tcW w:w="1039" w:type="pct"/>
            <w:tcBorders>
              <w:top w:val="nil"/>
              <w:left w:val="nil"/>
              <w:bottom w:val="nil"/>
              <w:right w:val="nil"/>
            </w:tcBorders>
          </w:tcPr>
          <w:p w:rsidR="00C25AD7" w:rsidRPr="00F3555F" w:rsidRDefault="00C25AD7" w:rsidP="002F4ABA">
            <w:pPr>
              <w:spacing w:after="120" w:line="240" w:lineRule="auto"/>
              <w:rPr>
                <w:i/>
                <w:color w:val="808080"/>
                <w:sz w:val="16"/>
                <w:szCs w:val="16"/>
              </w:rPr>
            </w:pPr>
            <w:r w:rsidRPr="00F3555F">
              <w:rPr>
                <w:i/>
                <w:color w:val="808080"/>
                <w:sz w:val="16"/>
                <w:szCs w:val="16"/>
              </w:rPr>
              <w:t>Additional 1000 Pacific islander graduates per year with internationally recognised qualifications.</w:t>
            </w:r>
          </w:p>
        </w:tc>
        <w:tc>
          <w:tcPr>
            <w:tcW w:w="832" w:type="pct"/>
            <w:gridSpan w:val="3"/>
            <w:tcBorders>
              <w:top w:val="nil"/>
              <w:left w:val="nil"/>
              <w:bottom w:val="nil"/>
              <w:right w:val="nil"/>
            </w:tcBorders>
          </w:tcPr>
          <w:p w:rsidR="00C25AD7" w:rsidRPr="00F3555F" w:rsidRDefault="00C25AD7" w:rsidP="002F4ABA">
            <w:pPr>
              <w:spacing w:line="240" w:lineRule="auto"/>
              <w:jc w:val="center"/>
              <w:rPr>
                <w:i/>
                <w:color w:val="808080"/>
                <w:sz w:val="16"/>
                <w:szCs w:val="16"/>
              </w:rPr>
            </w:pPr>
            <w:r w:rsidRPr="00F3555F">
              <w:rPr>
                <w:i/>
                <w:color w:val="808080"/>
                <w:sz w:val="16"/>
                <w:szCs w:val="16"/>
              </w:rPr>
              <w:t>1,000 graduates</w:t>
            </w:r>
          </w:p>
        </w:tc>
        <w:tc>
          <w:tcPr>
            <w:tcW w:w="702" w:type="pct"/>
            <w:tcBorders>
              <w:top w:val="nil"/>
              <w:left w:val="nil"/>
              <w:bottom w:val="nil"/>
              <w:right w:val="nil"/>
            </w:tcBorders>
          </w:tcPr>
          <w:p w:rsidR="00C25AD7" w:rsidRPr="00F3555F" w:rsidRDefault="00C25AD7" w:rsidP="002F4ABA">
            <w:pPr>
              <w:spacing w:line="240" w:lineRule="auto"/>
              <w:jc w:val="center"/>
              <w:rPr>
                <w:i/>
                <w:color w:val="808080"/>
                <w:sz w:val="16"/>
                <w:szCs w:val="16"/>
              </w:rPr>
            </w:pPr>
            <w:r w:rsidRPr="00F3555F">
              <w:rPr>
                <w:i/>
                <w:color w:val="808080"/>
                <w:sz w:val="16"/>
                <w:szCs w:val="16"/>
              </w:rPr>
              <w:t>1,000 graduates</w:t>
            </w:r>
          </w:p>
        </w:tc>
        <w:tc>
          <w:tcPr>
            <w:tcW w:w="864" w:type="pct"/>
            <w:gridSpan w:val="3"/>
            <w:tcBorders>
              <w:top w:val="nil"/>
              <w:left w:val="nil"/>
              <w:bottom w:val="nil"/>
              <w:right w:val="nil"/>
            </w:tcBorders>
          </w:tcPr>
          <w:p w:rsidR="00C25AD7" w:rsidRPr="00F3555F" w:rsidRDefault="00C25AD7" w:rsidP="002F4ABA">
            <w:pPr>
              <w:spacing w:line="240" w:lineRule="auto"/>
              <w:jc w:val="center"/>
              <w:rPr>
                <w:i/>
                <w:color w:val="808080"/>
                <w:sz w:val="16"/>
                <w:szCs w:val="16"/>
              </w:rPr>
            </w:pPr>
            <w:r w:rsidRPr="00F3555F">
              <w:rPr>
                <w:i/>
                <w:color w:val="808080"/>
                <w:sz w:val="16"/>
                <w:szCs w:val="16"/>
              </w:rPr>
              <w:t>1,000 graduates</w:t>
            </w:r>
          </w:p>
        </w:tc>
      </w:tr>
      <w:tr w:rsidR="00C25AD7" w:rsidRPr="00F3555F" w:rsidTr="002F4ABA">
        <w:trPr>
          <w:trHeight w:val="984"/>
        </w:trPr>
        <w:tc>
          <w:tcPr>
            <w:tcW w:w="235" w:type="pct"/>
            <w:tcBorders>
              <w:top w:val="nil"/>
              <w:left w:val="nil"/>
              <w:bottom w:val="nil"/>
              <w:right w:val="nil"/>
            </w:tcBorders>
          </w:tcPr>
          <w:p w:rsidR="00C25AD7" w:rsidRDefault="00C25AD7" w:rsidP="002F4ABA">
            <w:pPr>
              <w:pStyle w:val="TableTextEntries"/>
              <w:spacing w:line="240" w:lineRule="auto"/>
              <w:ind w:firstLine="32"/>
              <w:rPr>
                <w:rFonts w:ascii="Helvetica" w:eastAsiaTheme="minorHAnsi" w:hAnsi="Helvetica" w:cstheme="minorBidi"/>
                <w:i/>
                <w:iCs w:val="0"/>
                <w:color w:val="808080"/>
                <w:sz w:val="16"/>
                <w:szCs w:val="16"/>
                <w:lang w:val="en-GB"/>
              </w:rPr>
            </w:pPr>
          </w:p>
          <w:p w:rsidR="00C25AD7" w:rsidRDefault="00C25AD7" w:rsidP="002F4ABA">
            <w:pPr>
              <w:pStyle w:val="TableTextEntries"/>
              <w:spacing w:line="240" w:lineRule="auto"/>
              <w:ind w:firstLine="32"/>
              <w:rPr>
                <w:rFonts w:ascii="Helvetica" w:eastAsiaTheme="minorHAnsi" w:hAnsi="Helvetica" w:cstheme="minorBidi"/>
                <w:i/>
                <w:iCs w:val="0"/>
                <w:color w:val="808080"/>
                <w:sz w:val="16"/>
                <w:szCs w:val="16"/>
                <w:lang w:val="en-GB"/>
              </w:rPr>
            </w:pPr>
            <w:r>
              <w:rPr>
                <w:rFonts w:ascii="Helvetica" w:eastAsiaTheme="minorHAnsi" w:hAnsi="Helvetica" w:cstheme="minorBidi"/>
                <w:i/>
                <w:iCs w:val="0"/>
                <w:color w:val="808080"/>
                <w:sz w:val="16"/>
                <w:szCs w:val="16"/>
                <w:lang w:val="en-GB"/>
              </w:rPr>
              <w:t>3</w:t>
            </w:r>
          </w:p>
        </w:tc>
        <w:tc>
          <w:tcPr>
            <w:tcW w:w="1328" w:type="pct"/>
            <w:tcBorders>
              <w:top w:val="nil"/>
              <w:left w:val="nil"/>
              <w:bottom w:val="nil"/>
              <w:right w:val="nil"/>
            </w:tcBorders>
          </w:tcPr>
          <w:p w:rsidR="00C25AD7" w:rsidRDefault="00C25AD7" w:rsidP="002F4ABA">
            <w:pPr>
              <w:pStyle w:val="TableTextEntries"/>
              <w:spacing w:line="240" w:lineRule="auto"/>
              <w:ind w:firstLine="32"/>
              <w:rPr>
                <w:rFonts w:ascii="Helvetica" w:eastAsiaTheme="minorHAnsi" w:hAnsi="Helvetica" w:cstheme="minorBidi"/>
                <w:i/>
                <w:iCs w:val="0"/>
                <w:color w:val="808080"/>
                <w:sz w:val="16"/>
                <w:szCs w:val="16"/>
                <w:lang w:val="en-GB"/>
              </w:rPr>
            </w:pPr>
          </w:p>
          <w:p w:rsidR="00C25AD7" w:rsidRDefault="00C25AD7" w:rsidP="002F4ABA">
            <w:pPr>
              <w:pStyle w:val="TableTextEntries"/>
              <w:spacing w:line="240" w:lineRule="auto"/>
              <w:ind w:firstLine="32"/>
              <w:rPr>
                <w:rFonts w:ascii="Helvetica" w:eastAsiaTheme="minorHAnsi" w:hAnsi="Helvetica" w:cstheme="minorBidi"/>
                <w:i/>
                <w:iCs w:val="0"/>
                <w:color w:val="808080"/>
                <w:sz w:val="16"/>
                <w:szCs w:val="16"/>
                <w:lang w:val="en-GB"/>
              </w:rPr>
            </w:pPr>
            <w:r w:rsidRPr="00F3555F">
              <w:rPr>
                <w:rFonts w:ascii="Helvetica" w:eastAsiaTheme="minorHAnsi" w:hAnsi="Helvetica" w:cstheme="minorBidi"/>
                <w:i/>
                <w:iCs w:val="0"/>
                <w:color w:val="808080"/>
                <w:sz w:val="16"/>
                <w:szCs w:val="16"/>
                <w:lang w:val="en-GB"/>
              </w:rPr>
              <w:t>Aid program attracts new private sector investment that contributes to Pacific development outcomes.</w:t>
            </w:r>
          </w:p>
          <w:p w:rsidR="00C25AD7" w:rsidRDefault="00C25AD7" w:rsidP="002F4ABA">
            <w:pPr>
              <w:pStyle w:val="TableTextEntries"/>
              <w:spacing w:line="240" w:lineRule="auto"/>
              <w:ind w:firstLine="32"/>
              <w:rPr>
                <w:rFonts w:ascii="Helvetica" w:eastAsiaTheme="minorHAnsi" w:hAnsi="Helvetica" w:cstheme="minorBidi"/>
                <w:i/>
                <w:iCs w:val="0"/>
                <w:color w:val="808080"/>
                <w:sz w:val="16"/>
                <w:szCs w:val="16"/>
                <w:lang w:val="en-GB"/>
              </w:rPr>
            </w:pPr>
          </w:p>
          <w:p w:rsidR="00C25AD7" w:rsidRDefault="00C25AD7" w:rsidP="002F4ABA">
            <w:pPr>
              <w:pStyle w:val="TableTextEntries"/>
              <w:spacing w:line="240" w:lineRule="auto"/>
              <w:ind w:firstLine="32"/>
              <w:rPr>
                <w:rFonts w:ascii="Helvetica" w:eastAsiaTheme="minorHAnsi" w:hAnsi="Helvetica" w:cstheme="minorBidi"/>
                <w:i/>
                <w:iCs w:val="0"/>
                <w:color w:val="808080"/>
                <w:sz w:val="16"/>
                <w:szCs w:val="16"/>
                <w:lang w:val="en-GB"/>
              </w:rPr>
            </w:pPr>
          </w:p>
          <w:p w:rsidR="00C25AD7" w:rsidRPr="00F3555F" w:rsidRDefault="00C25AD7" w:rsidP="002F4ABA">
            <w:pPr>
              <w:pStyle w:val="TableTextEntries"/>
              <w:spacing w:line="240" w:lineRule="auto"/>
              <w:ind w:firstLine="32"/>
              <w:rPr>
                <w:i/>
                <w:iCs w:val="0"/>
                <w:sz w:val="16"/>
                <w:szCs w:val="16"/>
              </w:rPr>
            </w:pPr>
          </w:p>
        </w:tc>
        <w:tc>
          <w:tcPr>
            <w:tcW w:w="1039" w:type="pct"/>
            <w:tcBorders>
              <w:top w:val="nil"/>
              <w:left w:val="nil"/>
              <w:bottom w:val="nil"/>
              <w:right w:val="nil"/>
            </w:tcBorders>
          </w:tcPr>
          <w:p w:rsidR="00C25AD7" w:rsidRDefault="00C25AD7" w:rsidP="002F4ABA">
            <w:pPr>
              <w:spacing w:after="120" w:line="240" w:lineRule="auto"/>
              <w:rPr>
                <w:i/>
                <w:color w:val="808080"/>
                <w:sz w:val="16"/>
                <w:szCs w:val="16"/>
              </w:rPr>
            </w:pPr>
          </w:p>
          <w:p w:rsidR="00C25AD7" w:rsidRPr="00F3555F" w:rsidRDefault="00C25AD7" w:rsidP="002F4ABA">
            <w:pPr>
              <w:spacing w:after="120" w:line="240" w:lineRule="auto"/>
              <w:rPr>
                <w:i/>
                <w:color w:val="808080"/>
                <w:sz w:val="16"/>
                <w:szCs w:val="16"/>
              </w:rPr>
            </w:pPr>
            <w:r w:rsidRPr="00F3555F">
              <w:rPr>
                <w:i/>
                <w:color w:val="808080"/>
                <w:sz w:val="16"/>
                <w:szCs w:val="16"/>
              </w:rPr>
              <w:t>Private sector investment leveraged.</w:t>
            </w:r>
          </w:p>
        </w:tc>
        <w:tc>
          <w:tcPr>
            <w:tcW w:w="765" w:type="pct"/>
            <w:gridSpan w:val="2"/>
            <w:tcBorders>
              <w:top w:val="nil"/>
              <w:left w:val="nil"/>
              <w:bottom w:val="nil"/>
              <w:right w:val="nil"/>
            </w:tcBorders>
          </w:tcPr>
          <w:p w:rsidR="00C25AD7" w:rsidRDefault="00C25AD7" w:rsidP="002F4ABA">
            <w:pPr>
              <w:spacing w:line="240" w:lineRule="auto"/>
              <w:jc w:val="center"/>
              <w:rPr>
                <w:i/>
                <w:color w:val="808080"/>
                <w:sz w:val="16"/>
                <w:szCs w:val="16"/>
              </w:rPr>
            </w:pPr>
          </w:p>
          <w:p w:rsidR="00C25AD7" w:rsidRDefault="00C25AD7" w:rsidP="002F4ABA">
            <w:pPr>
              <w:spacing w:line="240" w:lineRule="auto"/>
              <w:jc w:val="center"/>
              <w:rPr>
                <w:i/>
                <w:color w:val="808080"/>
                <w:sz w:val="16"/>
                <w:szCs w:val="16"/>
              </w:rPr>
            </w:pPr>
            <w:r>
              <w:rPr>
                <w:i/>
                <w:color w:val="808080"/>
                <w:sz w:val="16"/>
                <w:szCs w:val="16"/>
              </w:rPr>
              <w:t>US</w:t>
            </w:r>
            <w:r w:rsidRPr="00F3555F">
              <w:rPr>
                <w:i/>
                <w:color w:val="808080"/>
                <w:sz w:val="16"/>
                <w:szCs w:val="16"/>
              </w:rPr>
              <w:t>$400 million</w:t>
            </w:r>
          </w:p>
          <w:p w:rsidR="00C25AD7" w:rsidRPr="00F3555F" w:rsidRDefault="00C25AD7" w:rsidP="002F4ABA">
            <w:pPr>
              <w:spacing w:line="240" w:lineRule="auto"/>
              <w:jc w:val="center"/>
              <w:rPr>
                <w:i/>
                <w:color w:val="808080"/>
                <w:sz w:val="16"/>
                <w:szCs w:val="16"/>
              </w:rPr>
            </w:pPr>
            <w:r>
              <w:rPr>
                <w:i/>
                <w:color w:val="808080"/>
                <w:sz w:val="16"/>
                <w:szCs w:val="16"/>
              </w:rPr>
              <w:t>(A$528 million)</w:t>
            </w:r>
          </w:p>
        </w:tc>
        <w:tc>
          <w:tcPr>
            <w:tcW w:w="769" w:type="pct"/>
            <w:gridSpan w:val="2"/>
            <w:tcBorders>
              <w:top w:val="nil"/>
              <w:left w:val="nil"/>
              <w:bottom w:val="nil"/>
              <w:right w:val="nil"/>
            </w:tcBorders>
          </w:tcPr>
          <w:p w:rsidR="00C25AD7" w:rsidRDefault="00C25AD7" w:rsidP="002F4ABA">
            <w:pPr>
              <w:spacing w:line="240" w:lineRule="auto"/>
              <w:jc w:val="center"/>
              <w:rPr>
                <w:i/>
                <w:color w:val="808080"/>
                <w:sz w:val="16"/>
                <w:szCs w:val="16"/>
              </w:rPr>
            </w:pPr>
          </w:p>
          <w:p w:rsidR="00C25AD7" w:rsidRDefault="00C25AD7" w:rsidP="002F4ABA">
            <w:pPr>
              <w:spacing w:line="240" w:lineRule="auto"/>
              <w:jc w:val="center"/>
              <w:rPr>
                <w:i/>
                <w:color w:val="808080"/>
                <w:sz w:val="16"/>
                <w:szCs w:val="16"/>
              </w:rPr>
            </w:pPr>
            <w:r>
              <w:rPr>
                <w:i/>
                <w:color w:val="808080"/>
                <w:sz w:val="16"/>
                <w:szCs w:val="16"/>
              </w:rPr>
              <w:t>US</w:t>
            </w:r>
            <w:r w:rsidRPr="00F3555F">
              <w:rPr>
                <w:i/>
                <w:color w:val="808080"/>
                <w:sz w:val="16"/>
                <w:szCs w:val="16"/>
              </w:rPr>
              <w:t>$450 million</w:t>
            </w:r>
          </w:p>
          <w:p w:rsidR="00C25AD7" w:rsidRPr="00F3555F" w:rsidRDefault="00C25AD7" w:rsidP="002F4ABA">
            <w:pPr>
              <w:spacing w:line="240" w:lineRule="auto"/>
              <w:jc w:val="center"/>
              <w:rPr>
                <w:i/>
                <w:color w:val="808080"/>
                <w:sz w:val="16"/>
                <w:szCs w:val="16"/>
              </w:rPr>
            </w:pPr>
            <w:r>
              <w:rPr>
                <w:i/>
                <w:color w:val="808080"/>
                <w:sz w:val="16"/>
                <w:szCs w:val="16"/>
              </w:rPr>
              <w:t>(A$594 million)</w:t>
            </w:r>
          </w:p>
        </w:tc>
        <w:tc>
          <w:tcPr>
            <w:tcW w:w="864" w:type="pct"/>
            <w:gridSpan w:val="3"/>
            <w:tcBorders>
              <w:top w:val="nil"/>
              <w:left w:val="nil"/>
              <w:bottom w:val="nil"/>
              <w:right w:val="nil"/>
            </w:tcBorders>
          </w:tcPr>
          <w:p w:rsidR="00C25AD7" w:rsidRDefault="00C25AD7" w:rsidP="002F4ABA">
            <w:pPr>
              <w:spacing w:line="240" w:lineRule="auto"/>
              <w:jc w:val="center"/>
              <w:rPr>
                <w:i/>
                <w:color w:val="808080"/>
                <w:sz w:val="16"/>
                <w:szCs w:val="16"/>
              </w:rPr>
            </w:pPr>
          </w:p>
          <w:p w:rsidR="00C25AD7" w:rsidRDefault="00C25AD7" w:rsidP="002F4ABA">
            <w:pPr>
              <w:spacing w:line="240" w:lineRule="auto"/>
              <w:jc w:val="center"/>
              <w:rPr>
                <w:i/>
                <w:color w:val="808080"/>
                <w:sz w:val="16"/>
                <w:szCs w:val="16"/>
              </w:rPr>
            </w:pPr>
            <w:r>
              <w:rPr>
                <w:i/>
                <w:color w:val="808080"/>
                <w:sz w:val="16"/>
                <w:szCs w:val="16"/>
              </w:rPr>
              <w:t>US</w:t>
            </w:r>
            <w:r w:rsidRPr="00F3555F">
              <w:rPr>
                <w:i/>
                <w:color w:val="808080"/>
                <w:sz w:val="16"/>
                <w:szCs w:val="16"/>
              </w:rPr>
              <w:t>$500 million</w:t>
            </w:r>
          </w:p>
          <w:p w:rsidR="00C25AD7" w:rsidRPr="00F3555F" w:rsidRDefault="00C25AD7" w:rsidP="002F4ABA">
            <w:pPr>
              <w:spacing w:line="240" w:lineRule="auto"/>
              <w:jc w:val="center"/>
              <w:rPr>
                <w:i/>
                <w:color w:val="808080"/>
                <w:sz w:val="16"/>
                <w:szCs w:val="16"/>
              </w:rPr>
            </w:pPr>
            <w:r>
              <w:rPr>
                <w:i/>
                <w:color w:val="808080"/>
                <w:sz w:val="16"/>
                <w:szCs w:val="16"/>
              </w:rPr>
              <w:t>(A$660 million)</w:t>
            </w:r>
          </w:p>
        </w:tc>
      </w:tr>
      <w:tr w:rsidR="00C25AD7" w:rsidRPr="00F3555F" w:rsidTr="002F4ABA">
        <w:trPr>
          <w:trHeight w:val="614"/>
        </w:trPr>
        <w:tc>
          <w:tcPr>
            <w:tcW w:w="235" w:type="pct"/>
            <w:tcBorders>
              <w:top w:val="nil"/>
              <w:left w:val="nil"/>
              <w:bottom w:val="nil"/>
              <w:right w:val="nil"/>
            </w:tcBorders>
          </w:tcPr>
          <w:p w:rsidR="00C25AD7" w:rsidRPr="00F3555F" w:rsidRDefault="00C25AD7" w:rsidP="002F4ABA">
            <w:pPr>
              <w:keepLines/>
              <w:spacing w:before="40" w:after="40" w:line="240" w:lineRule="auto"/>
              <w:rPr>
                <w:rFonts w:eastAsia="Times New Roman" w:cs="Times New Roman"/>
                <w:b/>
                <w:iCs/>
                <w:color w:val="auto"/>
                <w:sz w:val="16"/>
                <w:szCs w:val="16"/>
                <w:lang w:val="en-AU"/>
              </w:rPr>
            </w:pPr>
          </w:p>
        </w:tc>
        <w:tc>
          <w:tcPr>
            <w:tcW w:w="1328" w:type="pct"/>
            <w:tcBorders>
              <w:top w:val="nil"/>
              <w:left w:val="nil"/>
              <w:bottom w:val="nil"/>
              <w:right w:val="nil"/>
            </w:tcBorders>
            <w:hideMark/>
          </w:tcPr>
          <w:p w:rsidR="00C25AD7" w:rsidRPr="00F3555F" w:rsidRDefault="00C25AD7" w:rsidP="002F4ABA">
            <w:pPr>
              <w:keepLines/>
              <w:spacing w:before="40" w:after="40" w:line="240" w:lineRule="auto"/>
              <w:rPr>
                <w:rFonts w:asciiTheme="minorHAnsi" w:eastAsia="Times New Roman" w:hAnsiTheme="minorHAnsi"/>
                <w:b/>
                <w:iCs/>
                <w:sz w:val="16"/>
                <w:szCs w:val="16"/>
                <w:lang w:eastAsia="en-US"/>
              </w:rPr>
            </w:pPr>
            <w:r w:rsidRPr="00F3555F">
              <w:rPr>
                <w:rFonts w:asciiTheme="minorHAnsi" w:eastAsia="Times New Roman" w:hAnsiTheme="minorHAnsi" w:cs="Times New Roman"/>
                <w:b/>
                <w:iCs/>
                <w:color w:val="auto"/>
                <w:sz w:val="16"/>
                <w:szCs w:val="16"/>
                <w:lang w:val="en-AU"/>
              </w:rPr>
              <w:t>Objective</w:t>
            </w:r>
            <w:r>
              <w:rPr>
                <w:rFonts w:asciiTheme="minorHAnsi" w:eastAsia="Times New Roman" w:hAnsiTheme="minorHAnsi" w:cs="Times New Roman"/>
                <w:b/>
                <w:iCs/>
                <w:color w:val="auto"/>
                <w:sz w:val="16"/>
                <w:szCs w:val="16"/>
                <w:lang w:val="en-AU"/>
              </w:rPr>
              <w:t xml:space="preserve"> </w:t>
            </w:r>
            <w:r w:rsidRPr="00F3555F">
              <w:rPr>
                <w:rFonts w:asciiTheme="minorHAnsi" w:eastAsia="Times New Roman" w:hAnsiTheme="minorHAnsi" w:cs="Times New Roman"/>
                <w:b/>
                <w:iCs/>
                <w:color w:val="auto"/>
                <w:sz w:val="16"/>
                <w:szCs w:val="16"/>
                <w:lang w:val="en-AU"/>
              </w:rPr>
              <w:t>2: Effective regional institutions</w:t>
            </w:r>
            <w:r w:rsidRPr="00F3555F">
              <w:rPr>
                <w:rFonts w:asciiTheme="minorHAnsi" w:eastAsia="Times New Roman" w:hAnsiTheme="minorHAnsi"/>
                <w:b/>
                <w:iCs/>
                <w:sz w:val="16"/>
                <w:szCs w:val="16"/>
                <w:lang w:eastAsia="en-US"/>
              </w:rPr>
              <w:t xml:space="preserve"> </w:t>
            </w:r>
          </w:p>
        </w:tc>
        <w:tc>
          <w:tcPr>
            <w:tcW w:w="1039" w:type="pct"/>
            <w:tcBorders>
              <w:top w:val="nil"/>
              <w:left w:val="nil"/>
              <w:bottom w:val="nil"/>
              <w:right w:val="nil"/>
            </w:tcBorders>
          </w:tcPr>
          <w:p w:rsidR="00C25AD7" w:rsidRPr="00F3555F" w:rsidRDefault="00C25AD7" w:rsidP="002F4ABA">
            <w:pPr>
              <w:spacing w:after="120" w:line="240" w:lineRule="auto"/>
              <w:rPr>
                <w:rFonts w:asciiTheme="minorHAnsi" w:hAnsiTheme="minorHAnsi"/>
                <w:i/>
                <w:color w:val="808080" w:themeColor="background1" w:themeShade="80"/>
                <w:sz w:val="16"/>
                <w:szCs w:val="16"/>
                <w:lang w:eastAsia="en-US"/>
              </w:rPr>
            </w:pPr>
          </w:p>
        </w:tc>
        <w:tc>
          <w:tcPr>
            <w:tcW w:w="765" w:type="pct"/>
            <w:gridSpan w:val="2"/>
            <w:tcBorders>
              <w:top w:val="nil"/>
              <w:left w:val="nil"/>
              <w:bottom w:val="nil"/>
              <w:right w:val="nil"/>
            </w:tcBorders>
          </w:tcPr>
          <w:p w:rsidR="00C25AD7" w:rsidRPr="00F3555F" w:rsidRDefault="00C25AD7" w:rsidP="002F4ABA">
            <w:pPr>
              <w:spacing w:after="120" w:line="240" w:lineRule="auto"/>
              <w:jc w:val="center"/>
              <w:rPr>
                <w:rFonts w:asciiTheme="minorHAnsi" w:hAnsiTheme="minorHAnsi"/>
                <w:i/>
                <w:color w:val="808080" w:themeColor="background1" w:themeShade="80"/>
                <w:sz w:val="16"/>
                <w:szCs w:val="16"/>
                <w:lang w:eastAsia="en-US"/>
              </w:rPr>
            </w:pPr>
          </w:p>
        </w:tc>
        <w:tc>
          <w:tcPr>
            <w:tcW w:w="769" w:type="pct"/>
            <w:gridSpan w:val="2"/>
            <w:tcBorders>
              <w:top w:val="nil"/>
              <w:left w:val="nil"/>
              <w:bottom w:val="nil"/>
              <w:right w:val="nil"/>
            </w:tcBorders>
          </w:tcPr>
          <w:p w:rsidR="00C25AD7" w:rsidRPr="00F3555F" w:rsidRDefault="00C25AD7" w:rsidP="002F4ABA">
            <w:pPr>
              <w:spacing w:after="120" w:line="240" w:lineRule="auto"/>
              <w:jc w:val="center"/>
              <w:rPr>
                <w:rFonts w:asciiTheme="minorHAnsi" w:hAnsiTheme="minorHAnsi"/>
                <w:i/>
                <w:color w:val="808080" w:themeColor="background1" w:themeShade="80"/>
                <w:sz w:val="16"/>
                <w:szCs w:val="16"/>
                <w:lang w:eastAsia="en-US"/>
              </w:rPr>
            </w:pPr>
          </w:p>
        </w:tc>
        <w:tc>
          <w:tcPr>
            <w:tcW w:w="864" w:type="pct"/>
            <w:gridSpan w:val="3"/>
            <w:tcBorders>
              <w:top w:val="nil"/>
              <w:left w:val="nil"/>
              <w:bottom w:val="nil"/>
              <w:right w:val="nil"/>
            </w:tcBorders>
          </w:tcPr>
          <w:p w:rsidR="00C25AD7" w:rsidRPr="00F3555F" w:rsidRDefault="00C25AD7" w:rsidP="002F4ABA">
            <w:pPr>
              <w:spacing w:after="120" w:line="240" w:lineRule="auto"/>
              <w:ind w:firstLine="32"/>
              <w:jc w:val="center"/>
              <w:rPr>
                <w:rFonts w:asciiTheme="minorHAnsi" w:hAnsiTheme="minorHAnsi"/>
                <w:i/>
                <w:color w:val="808080" w:themeColor="background1" w:themeShade="80"/>
                <w:sz w:val="16"/>
                <w:szCs w:val="16"/>
                <w:lang w:eastAsia="en-US"/>
              </w:rPr>
            </w:pPr>
          </w:p>
        </w:tc>
      </w:tr>
      <w:tr w:rsidR="00C25AD7" w:rsidRPr="00F3555F" w:rsidTr="002F4ABA">
        <w:trPr>
          <w:trHeight w:val="614"/>
        </w:trPr>
        <w:tc>
          <w:tcPr>
            <w:tcW w:w="235" w:type="pct"/>
            <w:tcBorders>
              <w:top w:val="nil"/>
              <w:left w:val="nil"/>
              <w:bottom w:val="nil"/>
              <w:right w:val="nil"/>
            </w:tcBorders>
          </w:tcPr>
          <w:p w:rsidR="00C25AD7" w:rsidRPr="00F3555F" w:rsidRDefault="00C25AD7" w:rsidP="002F4ABA">
            <w:pPr>
              <w:keepLines/>
              <w:spacing w:before="40" w:after="40" w:line="240" w:lineRule="auto"/>
              <w:rPr>
                <w:i/>
                <w:color w:val="808080"/>
                <w:sz w:val="16"/>
                <w:szCs w:val="16"/>
              </w:rPr>
            </w:pPr>
            <w:r>
              <w:rPr>
                <w:i/>
                <w:color w:val="808080"/>
                <w:sz w:val="16"/>
                <w:szCs w:val="16"/>
              </w:rPr>
              <w:t>4</w:t>
            </w:r>
          </w:p>
        </w:tc>
        <w:tc>
          <w:tcPr>
            <w:tcW w:w="1328" w:type="pct"/>
            <w:tcBorders>
              <w:top w:val="nil"/>
              <w:left w:val="nil"/>
              <w:bottom w:val="nil"/>
              <w:right w:val="nil"/>
            </w:tcBorders>
          </w:tcPr>
          <w:p w:rsidR="00C25AD7" w:rsidRPr="00F3555F" w:rsidRDefault="00C25AD7" w:rsidP="002F4ABA">
            <w:pPr>
              <w:keepLines/>
              <w:spacing w:before="40" w:after="40" w:line="240" w:lineRule="auto"/>
              <w:rPr>
                <w:i/>
                <w:color w:val="808080"/>
                <w:sz w:val="16"/>
                <w:szCs w:val="16"/>
              </w:rPr>
            </w:pPr>
            <w:r w:rsidRPr="00F3555F">
              <w:rPr>
                <w:i/>
                <w:color w:val="808080"/>
                <w:sz w:val="16"/>
                <w:szCs w:val="16"/>
              </w:rPr>
              <w:t>Collective ownership of regional organisations by Pacific island country members.</w:t>
            </w:r>
          </w:p>
        </w:tc>
        <w:tc>
          <w:tcPr>
            <w:tcW w:w="1039" w:type="pct"/>
            <w:tcBorders>
              <w:top w:val="nil"/>
              <w:left w:val="nil"/>
              <w:bottom w:val="nil"/>
              <w:right w:val="nil"/>
            </w:tcBorders>
          </w:tcPr>
          <w:p w:rsidR="00C25AD7" w:rsidRPr="00F3555F" w:rsidRDefault="00C25AD7" w:rsidP="002F4ABA">
            <w:pPr>
              <w:spacing w:after="120" w:line="240" w:lineRule="auto"/>
              <w:rPr>
                <w:i/>
                <w:color w:val="808080"/>
                <w:sz w:val="16"/>
                <w:szCs w:val="16"/>
              </w:rPr>
            </w:pPr>
            <w:r w:rsidRPr="00F3555F">
              <w:rPr>
                <w:i/>
                <w:color w:val="808080"/>
                <w:sz w:val="16"/>
                <w:szCs w:val="16"/>
              </w:rPr>
              <w:t>Pacific island country members engaged in decision-making at Pacific Regional Organisation governing body meetings</w:t>
            </w:r>
          </w:p>
        </w:tc>
        <w:tc>
          <w:tcPr>
            <w:tcW w:w="765" w:type="pct"/>
            <w:gridSpan w:val="2"/>
            <w:tcBorders>
              <w:top w:val="nil"/>
              <w:left w:val="nil"/>
              <w:bottom w:val="nil"/>
              <w:right w:val="nil"/>
            </w:tcBorders>
          </w:tcPr>
          <w:p w:rsidR="00C25AD7" w:rsidRPr="00F3555F" w:rsidRDefault="00C25AD7" w:rsidP="002F4ABA">
            <w:pPr>
              <w:spacing w:after="120" w:line="240" w:lineRule="auto"/>
              <w:jc w:val="center"/>
              <w:rPr>
                <w:i/>
                <w:color w:val="808080"/>
                <w:sz w:val="16"/>
                <w:szCs w:val="16"/>
              </w:rPr>
            </w:pPr>
            <w:r w:rsidRPr="00F3555F">
              <w:rPr>
                <w:i/>
                <w:color w:val="808080"/>
                <w:sz w:val="16"/>
                <w:szCs w:val="16"/>
              </w:rPr>
              <w:t>50%</w:t>
            </w:r>
          </w:p>
        </w:tc>
        <w:tc>
          <w:tcPr>
            <w:tcW w:w="769" w:type="pct"/>
            <w:gridSpan w:val="2"/>
            <w:tcBorders>
              <w:top w:val="nil"/>
              <w:left w:val="nil"/>
              <w:bottom w:val="nil"/>
              <w:right w:val="nil"/>
            </w:tcBorders>
          </w:tcPr>
          <w:p w:rsidR="00C25AD7" w:rsidRPr="00F3555F" w:rsidRDefault="00C25AD7" w:rsidP="002F4ABA">
            <w:pPr>
              <w:spacing w:after="120" w:line="240" w:lineRule="auto"/>
              <w:jc w:val="center"/>
              <w:rPr>
                <w:i/>
                <w:color w:val="808080"/>
                <w:sz w:val="16"/>
                <w:szCs w:val="16"/>
              </w:rPr>
            </w:pPr>
            <w:r w:rsidRPr="00F3555F">
              <w:rPr>
                <w:i/>
                <w:color w:val="808080"/>
                <w:sz w:val="16"/>
                <w:szCs w:val="16"/>
              </w:rPr>
              <w:t>55%</w:t>
            </w:r>
          </w:p>
        </w:tc>
        <w:tc>
          <w:tcPr>
            <w:tcW w:w="864" w:type="pct"/>
            <w:gridSpan w:val="3"/>
            <w:tcBorders>
              <w:top w:val="nil"/>
              <w:left w:val="nil"/>
              <w:bottom w:val="nil"/>
              <w:right w:val="nil"/>
            </w:tcBorders>
          </w:tcPr>
          <w:p w:rsidR="00C25AD7" w:rsidRPr="00F3555F" w:rsidRDefault="00C25AD7" w:rsidP="002F4ABA">
            <w:pPr>
              <w:spacing w:after="120" w:line="240" w:lineRule="auto"/>
              <w:ind w:firstLine="32"/>
              <w:jc w:val="center"/>
              <w:rPr>
                <w:i/>
                <w:color w:val="808080"/>
                <w:sz w:val="16"/>
                <w:szCs w:val="16"/>
              </w:rPr>
            </w:pPr>
            <w:r w:rsidRPr="00F3555F">
              <w:rPr>
                <w:i/>
                <w:color w:val="808080"/>
                <w:sz w:val="16"/>
                <w:szCs w:val="16"/>
              </w:rPr>
              <w:t>60%</w:t>
            </w:r>
          </w:p>
        </w:tc>
      </w:tr>
      <w:tr w:rsidR="00C25AD7" w:rsidRPr="00F3555F" w:rsidTr="002F4ABA">
        <w:trPr>
          <w:trHeight w:val="614"/>
        </w:trPr>
        <w:tc>
          <w:tcPr>
            <w:tcW w:w="235" w:type="pct"/>
            <w:tcBorders>
              <w:top w:val="nil"/>
              <w:left w:val="nil"/>
              <w:bottom w:val="nil"/>
              <w:right w:val="nil"/>
            </w:tcBorders>
          </w:tcPr>
          <w:p w:rsidR="00C25AD7" w:rsidRDefault="00C25AD7" w:rsidP="002F4ABA">
            <w:pPr>
              <w:keepLines/>
              <w:spacing w:before="40" w:after="40" w:line="240" w:lineRule="auto"/>
              <w:rPr>
                <w:i/>
                <w:color w:val="808080"/>
                <w:sz w:val="16"/>
                <w:szCs w:val="16"/>
                <w:highlight w:val="yellow"/>
              </w:rPr>
            </w:pPr>
          </w:p>
          <w:p w:rsidR="00C25AD7" w:rsidRDefault="00C25AD7" w:rsidP="002F4ABA">
            <w:pPr>
              <w:keepLines/>
              <w:spacing w:before="40" w:after="40" w:line="240" w:lineRule="auto"/>
              <w:rPr>
                <w:i/>
                <w:color w:val="808080"/>
                <w:sz w:val="16"/>
                <w:szCs w:val="16"/>
                <w:highlight w:val="yellow"/>
              </w:rPr>
            </w:pPr>
          </w:p>
          <w:p w:rsidR="00C25AD7" w:rsidRPr="005B7EB5" w:rsidRDefault="00C25AD7" w:rsidP="002F4ABA">
            <w:pPr>
              <w:keepLines/>
              <w:spacing w:before="40" w:after="40" w:line="240" w:lineRule="auto"/>
              <w:rPr>
                <w:i/>
                <w:color w:val="808080"/>
                <w:sz w:val="16"/>
                <w:szCs w:val="16"/>
                <w:highlight w:val="yellow"/>
              </w:rPr>
            </w:pPr>
            <w:r w:rsidRPr="005229D0">
              <w:rPr>
                <w:i/>
                <w:color w:val="808080"/>
                <w:sz w:val="16"/>
                <w:szCs w:val="16"/>
              </w:rPr>
              <w:t>5</w:t>
            </w:r>
          </w:p>
        </w:tc>
        <w:tc>
          <w:tcPr>
            <w:tcW w:w="1328" w:type="pct"/>
            <w:tcBorders>
              <w:top w:val="nil"/>
              <w:left w:val="nil"/>
              <w:bottom w:val="nil"/>
              <w:right w:val="nil"/>
            </w:tcBorders>
          </w:tcPr>
          <w:p w:rsidR="00C25AD7" w:rsidRDefault="00C25AD7" w:rsidP="002F4ABA">
            <w:pPr>
              <w:keepLines/>
              <w:rPr>
                <w:rFonts w:ascii="Franklin Gothic Book" w:hAnsi="Franklin Gothic Book"/>
                <w:i/>
                <w:iCs/>
                <w:szCs w:val="17"/>
              </w:rPr>
            </w:pPr>
          </w:p>
          <w:p w:rsidR="00C25AD7" w:rsidRPr="00146E84" w:rsidRDefault="00C25AD7" w:rsidP="002F4ABA">
            <w:pPr>
              <w:keepLines/>
              <w:spacing w:line="240" w:lineRule="auto"/>
              <w:rPr>
                <w:rFonts w:ascii="Franklin Gothic Book" w:hAnsi="Franklin Gothic Book"/>
                <w:i/>
                <w:iCs/>
                <w:szCs w:val="17"/>
              </w:rPr>
            </w:pPr>
            <w:r w:rsidRPr="00146E84">
              <w:rPr>
                <w:rFonts w:ascii="Franklin Gothic Book" w:hAnsi="Franklin Gothic Book"/>
                <w:i/>
                <w:iCs/>
                <w:szCs w:val="17"/>
              </w:rPr>
              <w:t xml:space="preserve">Regional organisations have prioritised and consolidated programs focused on their comparative advantages </w:t>
            </w:r>
          </w:p>
          <w:p w:rsidR="00C25AD7" w:rsidRPr="005B7EB5" w:rsidRDefault="00C25AD7" w:rsidP="002F4ABA">
            <w:pPr>
              <w:keepLines/>
              <w:spacing w:before="40" w:after="40" w:line="240" w:lineRule="auto"/>
              <w:rPr>
                <w:i/>
                <w:color w:val="808080"/>
                <w:sz w:val="16"/>
                <w:szCs w:val="16"/>
                <w:highlight w:val="yellow"/>
              </w:rPr>
            </w:pPr>
          </w:p>
          <w:p w:rsidR="00C25AD7" w:rsidRPr="005B7EB5" w:rsidRDefault="00C25AD7" w:rsidP="002F4ABA">
            <w:pPr>
              <w:keepLines/>
              <w:spacing w:before="40" w:after="40" w:line="240" w:lineRule="auto"/>
              <w:rPr>
                <w:i/>
                <w:color w:val="808080"/>
                <w:sz w:val="16"/>
                <w:szCs w:val="16"/>
                <w:highlight w:val="yellow"/>
              </w:rPr>
            </w:pPr>
            <w:r w:rsidRPr="005B7EB5">
              <w:rPr>
                <w:i/>
                <w:color w:val="808080"/>
                <w:sz w:val="16"/>
                <w:szCs w:val="16"/>
                <w:highlight w:val="yellow"/>
              </w:rPr>
              <w:t xml:space="preserve"> </w:t>
            </w:r>
          </w:p>
        </w:tc>
        <w:tc>
          <w:tcPr>
            <w:tcW w:w="1039" w:type="pct"/>
            <w:tcBorders>
              <w:top w:val="nil"/>
              <w:left w:val="nil"/>
              <w:bottom w:val="nil"/>
              <w:right w:val="nil"/>
            </w:tcBorders>
          </w:tcPr>
          <w:p w:rsidR="00C25AD7" w:rsidRPr="00242B19" w:rsidRDefault="00C25AD7" w:rsidP="002F4ABA">
            <w:pPr>
              <w:spacing w:after="120" w:line="240" w:lineRule="auto"/>
              <w:rPr>
                <w:i/>
                <w:color w:val="808080"/>
                <w:sz w:val="16"/>
                <w:szCs w:val="16"/>
              </w:rPr>
            </w:pPr>
          </w:p>
          <w:p w:rsidR="00C25AD7" w:rsidRPr="00242B19" w:rsidRDefault="00C25AD7" w:rsidP="002F4ABA">
            <w:pPr>
              <w:spacing w:after="120" w:line="240" w:lineRule="auto"/>
              <w:rPr>
                <w:i/>
                <w:color w:val="808080"/>
                <w:sz w:val="16"/>
                <w:szCs w:val="16"/>
              </w:rPr>
            </w:pPr>
            <w:r w:rsidRPr="00242B19">
              <w:rPr>
                <w:i/>
                <w:color w:val="808080"/>
                <w:sz w:val="16"/>
                <w:szCs w:val="16"/>
              </w:rPr>
              <w:t xml:space="preserve">Regional organisations have defined clear, sensible priorities for the organisation </w:t>
            </w:r>
          </w:p>
          <w:p w:rsidR="00C25AD7" w:rsidRPr="00242B19" w:rsidRDefault="00C25AD7" w:rsidP="002F4ABA">
            <w:pPr>
              <w:spacing w:after="120" w:line="240" w:lineRule="auto"/>
              <w:rPr>
                <w:i/>
                <w:color w:val="808080"/>
                <w:sz w:val="16"/>
                <w:szCs w:val="16"/>
              </w:rPr>
            </w:pPr>
          </w:p>
          <w:p w:rsidR="00C25AD7" w:rsidRPr="00242B19" w:rsidRDefault="00C25AD7" w:rsidP="002F4ABA">
            <w:pPr>
              <w:spacing w:after="120" w:line="240" w:lineRule="auto"/>
              <w:rPr>
                <w:i/>
                <w:color w:val="808080"/>
                <w:sz w:val="16"/>
                <w:szCs w:val="16"/>
              </w:rPr>
            </w:pPr>
            <w:r w:rsidRPr="00242B19">
              <w:rPr>
                <w:i/>
                <w:color w:val="808080"/>
                <w:sz w:val="16"/>
                <w:szCs w:val="16"/>
              </w:rPr>
              <w:t>The predicted budgets of regional organisations compare well to expected expenditure</w:t>
            </w:r>
          </w:p>
          <w:p w:rsidR="00C25AD7" w:rsidRPr="006373B4" w:rsidRDefault="00C25AD7" w:rsidP="002F4ABA">
            <w:pPr>
              <w:spacing w:after="120" w:line="240" w:lineRule="auto"/>
              <w:rPr>
                <w:i/>
                <w:color w:val="808080"/>
                <w:sz w:val="16"/>
                <w:szCs w:val="16"/>
                <w:highlight w:val="yellow"/>
              </w:rPr>
            </w:pPr>
          </w:p>
        </w:tc>
        <w:tc>
          <w:tcPr>
            <w:tcW w:w="765" w:type="pct"/>
            <w:gridSpan w:val="2"/>
            <w:tcBorders>
              <w:top w:val="nil"/>
              <w:left w:val="nil"/>
              <w:bottom w:val="nil"/>
              <w:right w:val="nil"/>
            </w:tcBorders>
          </w:tcPr>
          <w:p w:rsidR="00C25AD7" w:rsidRPr="00242B19" w:rsidRDefault="00C25AD7" w:rsidP="002F4ABA">
            <w:pPr>
              <w:spacing w:after="120" w:line="240" w:lineRule="auto"/>
              <w:jc w:val="center"/>
              <w:rPr>
                <w:i/>
                <w:color w:val="808080"/>
                <w:sz w:val="16"/>
                <w:szCs w:val="16"/>
              </w:rPr>
            </w:pPr>
          </w:p>
          <w:p w:rsidR="00C25AD7" w:rsidRPr="00242B19" w:rsidRDefault="00C25AD7" w:rsidP="002F4ABA">
            <w:pPr>
              <w:spacing w:after="120" w:line="240" w:lineRule="auto"/>
              <w:jc w:val="center"/>
              <w:rPr>
                <w:i/>
                <w:color w:val="808080"/>
                <w:sz w:val="16"/>
                <w:szCs w:val="16"/>
              </w:rPr>
            </w:pPr>
            <w:r w:rsidRPr="00242B19">
              <w:rPr>
                <w:i/>
                <w:color w:val="808080"/>
                <w:sz w:val="16"/>
                <w:szCs w:val="16"/>
              </w:rPr>
              <w:t>n/a</w:t>
            </w:r>
          </w:p>
          <w:p w:rsidR="00C25AD7" w:rsidRPr="00242B19" w:rsidRDefault="00C25AD7" w:rsidP="002F4ABA">
            <w:pPr>
              <w:spacing w:after="120" w:line="240" w:lineRule="auto"/>
              <w:jc w:val="center"/>
              <w:rPr>
                <w:i/>
                <w:color w:val="808080"/>
                <w:sz w:val="16"/>
                <w:szCs w:val="16"/>
              </w:rPr>
            </w:pPr>
          </w:p>
          <w:p w:rsidR="00C25AD7" w:rsidRPr="00242B19" w:rsidRDefault="00C25AD7" w:rsidP="002F4ABA">
            <w:pPr>
              <w:spacing w:after="120" w:line="240" w:lineRule="auto"/>
              <w:jc w:val="center"/>
              <w:rPr>
                <w:i/>
                <w:color w:val="808080"/>
                <w:sz w:val="16"/>
                <w:szCs w:val="16"/>
              </w:rPr>
            </w:pPr>
          </w:p>
          <w:p w:rsidR="00C25AD7" w:rsidRPr="00242B19" w:rsidRDefault="00C25AD7" w:rsidP="002F4ABA">
            <w:pPr>
              <w:spacing w:after="120" w:line="240" w:lineRule="auto"/>
              <w:jc w:val="center"/>
              <w:rPr>
                <w:i/>
                <w:color w:val="808080"/>
                <w:sz w:val="16"/>
                <w:szCs w:val="16"/>
              </w:rPr>
            </w:pPr>
          </w:p>
          <w:p w:rsidR="00C25AD7" w:rsidRPr="005B7EB5" w:rsidRDefault="00C25AD7" w:rsidP="002F4ABA">
            <w:pPr>
              <w:spacing w:after="120" w:line="240" w:lineRule="auto"/>
              <w:jc w:val="center"/>
              <w:rPr>
                <w:i/>
                <w:color w:val="808080"/>
                <w:sz w:val="16"/>
                <w:szCs w:val="16"/>
                <w:highlight w:val="yellow"/>
              </w:rPr>
            </w:pPr>
            <w:r w:rsidRPr="00242B19">
              <w:rPr>
                <w:i/>
                <w:color w:val="808080"/>
                <w:sz w:val="16"/>
                <w:szCs w:val="16"/>
              </w:rPr>
              <w:t>n/a</w:t>
            </w:r>
          </w:p>
        </w:tc>
        <w:tc>
          <w:tcPr>
            <w:tcW w:w="769" w:type="pct"/>
            <w:gridSpan w:val="2"/>
            <w:tcBorders>
              <w:top w:val="nil"/>
              <w:left w:val="nil"/>
              <w:bottom w:val="nil"/>
              <w:right w:val="nil"/>
            </w:tcBorders>
          </w:tcPr>
          <w:p w:rsidR="00C25AD7" w:rsidRPr="005B7EB5" w:rsidRDefault="00C25AD7" w:rsidP="002F4ABA">
            <w:pPr>
              <w:spacing w:after="120" w:line="240" w:lineRule="auto"/>
              <w:jc w:val="center"/>
              <w:rPr>
                <w:i/>
                <w:color w:val="808080"/>
                <w:sz w:val="16"/>
                <w:szCs w:val="16"/>
                <w:highlight w:val="yellow"/>
              </w:rPr>
            </w:pPr>
          </w:p>
          <w:p w:rsidR="00C25AD7" w:rsidRPr="005B7EB5" w:rsidRDefault="00C25AD7" w:rsidP="002F4ABA">
            <w:pPr>
              <w:spacing w:after="120" w:line="240" w:lineRule="auto"/>
              <w:rPr>
                <w:i/>
                <w:color w:val="808080"/>
                <w:sz w:val="16"/>
                <w:szCs w:val="16"/>
                <w:highlight w:val="yellow"/>
              </w:rPr>
            </w:pPr>
          </w:p>
          <w:p w:rsidR="00C25AD7" w:rsidRPr="005B7EB5" w:rsidRDefault="00C25AD7" w:rsidP="002F4ABA">
            <w:pPr>
              <w:spacing w:after="120" w:line="240" w:lineRule="auto"/>
              <w:jc w:val="center"/>
              <w:rPr>
                <w:i/>
                <w:color w:val="808080"/>
                <w:sz w:val="16"/>
                <w:szCs w:val="16"/>
                <w:highlight w:val="yellow"/>
              </w:rPr>
            </w:pPr>
          </w:p>
        </w:tc>
        <w:tc>
          <w:tcPr>
            <w:tcW w:w="864" w:type="pct"/>
            <w:gridSpan w:val="3"/>
            <w:tcBorders>
              <w:top w:val="nil"/>
              <w:left w:val="nil"/>
              <w:bottom w:val="nil"/>
              <w:right w:val="nil"/>
            </w:tcBorders>
          </w:tcPr>
          <w:p w:rsidR="00C25AD7" w:rsidRPr="005B7EB5" w:rsidRDefault="00C25AD7" w:rsidP="002F4ABA">
            <w:pPr>
              <w:spacing w:after="120" w:line="240" w:lineRule="auto"/>
              <w:ind w:firstLine="32"/>
              <w:jc w:val="center"/>
              <w:rPr>
                <w:i/>
                <w:color w:val="808080"/>
                <w:sz w:val="16"/>
                <w:szCs w:val="16"/>
                <w:highlight w:val="yellow"/>
              </w:rPr>
            </w:pPr>
          </w:p>
          <w:p w:rsidR="00C25AD7" w:rsidRPr="005B7EB5" w:rsidRDefault="00C25AD7" w:rsidP="002F4ABA">
            <w:pPr>
              <w:spacing w:after="120" w:line="240" w:lineRule="auto"/>
              <w:ind w:firstLine="32"/>
              <w:jc w:val="center"/>
              <w:rPr>
                <w:i/>
                <w:color w:val="808080"/>
                <w:sz w:val="16"/>
                <w:szCs w:val="16"/>
                <w:highlight w:val="yellow"/>
              </w:rPr>
            </w:pPr>
          </w:p>
        </w:tc>
      </w:tr>
      <w:tr w:rsidR="00C25AD7" w:rsidRPr="00F3555F" w:rsidTr="002F4ABA">
        <w:trPr>
          <w:trHeight w:val="614"/>
        </w:trPr>
        <w:tc>
          <w:tcPr>
            <w:tcW w:w="235" w:type="pct"/>
            <w:tcBorders>
              <w:top w:val="nil"/>
              <w:left w:val="nil"/>
              <w:bottom w:val="nil"/>
              <w:right w:val="nil"/>
            </w:tcBorders>
          </w:tcPr>
          <w:p w:rsidR="00C25AD7" w:rsidRPr="00F3555F" w:rsidRDefault="00C25AD7" w:rsidP="002F4ABA">
            <w:pPr>
              <w:pStyle w:val="TableHeading1"/>
              <w:spacing w:line="240" w:lineRule="auto"/>
              <w:rPr>
                <w:rFonts w:asciiTheme="minorHAnsi" w:hAnsiTheme="minorHAnsi"/>
                <w:sz w:val="16"/>
                <w:szCs w:val="16"/>
              </w:rPr>
            </w:pPr>
          </w:p>
        </w:tc>
        <w:tc>
          <w:tcPr>
            <w:tcW w:w="1328" w:type="pct"/>
            <w:tcBorders>
              <w:top w:val="nil"/>
              <w:left w:val="nil"/>
              <w:bottom w:val="nil"/>
              <w:right w:val="nil"/>
            </w:tcBorders>
          </w:tcPr>
          <w:p w:rsidR="00C25AD7" w:rsidRPr="00F3555F" w:rsidRDefault="00C25AD7" w:rsidP="002F4ABA">
            <w:pPr>
              <w:pStyle w:val="TableHeading1"/>
              <w:spacing w:line="240" w:lineRule="auto"/>
              <w:rPr>
                <w:rFonts w:asciiTheme="minorHAnsi" w:hAnsiTheme="minorHAnsi"/>
                <w:sz w:val="16"/>
                <w:szCs w:val="16"/>
              </w:rPr>
            </w:pPr>
            <w:r w:rsidRPr="00F3555F">
              <w:rPr>
                <w:rFonts w:asciiTheme="minorHAnsi" w:hAnsiTheme="minorHAnsi"/>
                <w:sz w:val="16"/>
                <w:szCs w:val="16"/>
              </w:rPr>
              <w:t>Objective 3: Health</w:t>
            </w:r>
            <w:r>
              <w:rPr>
                <w:rFonts w:asciiTheme="minorHAnsi" w:hAnsiTheme="minorHAnsi"/>
                <w:sz w:val="16"/>
                <w:szCs w:val="16"/>
              </w:rPr>
              <w:t>y</w:t>
            </w:r>
            <w:r w:rsidRPr="00F3555F">
              <w:rPr>
                <w:rFonts w:asciiTheme="minorHAnsi" w:hAnsiTheme="minorHAnsi"/>
                <w:sz w:val="16"/>
                <w:szCs w:val="16"/>
              </w:rPr>
              <w:t xml:space="preserve"> and resilient communities</w:t>
            </w:r>
          </w:p>
        </w:tc>
        <w:tc>
          <w:tcPr>
            <w:tcW w:w="1039" w:type="pct"/>
            <w:tcBorders>
              <w:top w:val="nil"/>
              <w:left w:val="nil"/>
              <w:bottom w:val="nil"/>
              <w:right w:val="nil"/>
            </w:tcBorders>
          </w:tcPr>
          <w:p w:rsidR="00C25AD7" w:rsidRPr="00F3555F" w:rsidRDefault="00C25AD7" w:rsidP="002F4ABA">
            <w:pPr>
              <w:spacing w:after="120" w:line="240" w:lineRule="auto"/>
              <w:rPr>
                <w:i/>
                <w:color w:val="808080" w:themeColor="background1" w:themeShade="80"/>
                <w:sz w:val="16"/>
                <w:szCs w:val="16"/>
              </w:rPr>
            </w:pPr>
          </w:p>
        </w:tc>
        <w:tc>
          <w:tcPr>
            <w:tcW w:w="765" w:type="pct"/>
            <w:gridSpan w:val="2"/>
            <w:tcBorders>
              <w:top w:val="nil"/>
              <w:left w:val="nil"/>
              <w:bottom w:val="nil"/>
              <w:right w:val="nil"/>
            </w:tcBorders>
          </w:tcPr>
          <w:p w:rsidR="00C25AD7" w:rsidRPr="00F3555F" w:rsidRDefault="00C25AD7" w:rsidP="002F4ABA">
            <w:pPr>
              <w:spacing w:after="120" w:line="240" w:lineRule="auto"/>
              <w:jc w:val="center"/>
              <w:rPr>
                <w:i/>
                <w:color w:val="808080" w:themeColor="background1" w:themeShade="80"/>
                <w:sz w:val="16"/>
                <w:szCs w:val="16"/>
              </w:rPr>
            </w:pPr>
          </w:p>
        </w:tc>
        <w:tc>
          <w:tcPr>
            <w:tcW w:w="769" w:type="pct"/>
            <w:gridSpan w:val="2"/>
            <w:tcBorders>
              <w:top w:val="nil"/>
              <w:left w:val="nil"/>
              <w:bottom w:val="nil"/>
              <w:right w:val="nil"/>
            </w:tcBorders>
          </w:tcPr>
          <w:p w:rsidR="00C25AD7" w:rsidRPr="00F3555F" w:rsidRDefault="00C25AD7" w:rsidP="002F4ABA">
            <w:pPr>
              <w:spacing w:after="120" w:line="240" w:lineRule="auto"/>
              <w:jc w:val="center"/>
              <w:rPr>
                <w:i/>
                <w:color w:val="808080" w:themeColor="background1" w:themeShade="80"/>
                <w:sz w:val="16"/>
                <w:szCs w:val="16"/>
              </w:rPr>
            </w:pPr>
          </w:p>
        </w:tc>
        <w:tc>
          <w:tcPr>
            <w:tcW w:w="864" w:type="pct"/>
            <w:gridSpan w:val="3"/>
            <w:tcBorders>
              <w:top w:val="nil"/>
              <w:left w:val="nil"/>
              <w:bottom w:val="nil"/>
              <w:right w:val="nil"/>
            </w:tcBorders>
          </w:tcPr>
          <w:p w:rsidR="00C25AD7" w:rsidRPr="00F3555F" w:rsidRDefault="00C25AD7" w:rsidP="002F4ABA">
            <w:pPr>
              <w:spacing w:after="120" w:line="240" w:lineRule="auto"/>
              <w:ind w:firstLine="32"/>
              <w:jc w:val="center"/>
              <w:rPr>
                <w:i/>
                <w:color w:val="808080" w:themeColor="background1" w:themeShade="80"/>
                <w:sz w:val="16"/>
                <w:szCs w:val="16"/>
              </w:rPr>
            </w:pPr>
          </w:p>
        </w:tc>
      </w:tr>
      <w:tr w:rsidR="00C25AD7" w:rsidRPr="00F3555F" w:rsidTr="002F4ABA">
        <w:trPr>
          <w:trHeight w:val="614"/>
        </w:trPr>
        <w:tc>
          <w:tcPr>
            <w:tcW w:w="235" w:type="pct"/>
            <w:tcBorders>
              <w:top w:val="nil"/>
              <w:left w:val="nil"/>
              <w:bottom w:val="nil"/>
              <w:right w:val="nil"/>
            </w:tcBorders>
          </w:tcPr>
          <w:p w:rsidR="00C25AD7" w:rsidRDefault="00C25AD7" w:rsidP="002F4ABA">
            <w:pPr>
              <w:pStyle w:val="TableTextEntries"/>
              <w:spacing w:line="240" w:lineRule="auto"/>
              <w:ind w:firstLine="32"/>
              <w:rPr>
                <w:rFonts w:ascii="Helvetica" w:eastAsiaTheme="minorHAnsi" w:hAnsi="Helvetica" w:cstheme="minorBidi"/>
                <w:i/>
                <w:iCs w:val="0"/>
                <w:color w:val="808080"/>
                <w:sz w:val="16"/>
                <w:szCs w:val="16"/>
                <w:lang w:val="en-GB"/>
              </w:rPr>
            </w:pPr>
            <w:r>
              <w:rPr>
                <w:rFonts w:ascii="Helvetica" w:eastAsiaTheme="minorHAnsi" w:hAnsi="Helvetica" w:cstheme="minorBidi"/>
                <w:i/>
                <w:iCs w:val="0"/>
                <w:color w:val="808080"/>
                <w:sz w:val="16"/>
                <w:szCs w:val="16"/>
                <w:lang w:val="en-GB"/>
              </w:rPr>
              <w:t>6.</w:t>
            </w:r>
          </w:p>
          <w:p w:rsidR="00C25AD7" w:rsidRPr="00F3555F" w:rsidRDefault="00C25AD7" w:rsidP="002F4ABA">
            <w:pPr>
              <w:pStyle w:val="TableTextEntries"/>
              <w:spacing w:line="240" w:lineRule="auto"/>
              <w:rPr>
                <w:rFonts w:ascii="Helvetica" w:eastAsiaTheme="minorHAnsi" w:hAnsi="Helvetica" w:cstheme="minorBidi"/>
                <w:i/>
                <w:iCs w:val="0"/>
                <w:color w:val="808080"/>
                <w:sz w:val="16"/>
                <w:szCs w:val="16"/>
                <w:lang w:val="en-GB"/>
              </w:rPr>
            </w:pPr>
          </w:p>
        </w:tc>
        <w:tc>
          <w:tcPr>
            <w:tcW w:w="1328" w:type="pct"/>
            <w:tcBorders>
              <w:top w:val="nil"/>
              <w:left w:val="nil"/>
              <w:bottom w:val="nil"/>
              <w:right w:val="nil"/>
            </w:tcBorders>
          </w:tcPr>
          <w:p w:rsidR="00C25AD7" w:rsidRPr="00F3555F" w:rsidRDefault="00C25AD7" w:rsidP="002F4ABA">
            <w:pPr>
              <w:pStyle w:val="TableTextEntries"/>
              <w:spacing w:line="240" w:lineRule="auto"/>
              <w:ind w:firstLine="32"/>
              <w:rPr>
                <w:rFonts w:asciiTheme="minorHAnsi" w:hAnsiTheme="minorHAnsi"/>
                <w:sz w:val="16"/>
                <w:szCs w:val="16"/>
              </w:rPr>
            </w:pPr>
            <w:r w:rsidRPr="00F3555F">
              <w:rPr>
                <w:rFonts w:ascii="Helvetica" w:eastAsiaTheme="minorHAnsi" w:hAnsi="Helvetica" w:cstheme="minorBidi"/>
                <w:i/>
                <w:iCs w:val="0"/>
                <w:color w:val="808080"/>
                <w:sz w:val="16"/>
                <w:szCs w:val="16"/>
                <w:lang w:val="en-GB"/>
              </w:rPr>
              <w:t>Pacific island countries are able to meet the challenge of climate change and risk reduction</w:t>
            </w:r>
          </w:p>
        </w:tc>
        <w:tc>
          <w:tcPr>
            <w:tcW w:w="1039" w:type="pct"/>
            <w:tcBorders>
              <w:top w:val="nil"/>
              <w:left w:val="nil"/>
              <w:bottom w:val="nil"/>
              <w:right w:val="nil"/>
            </w:tcBorders>
          </w:tcPr>
          <w:p w:rsidR="00C25AD7" w:rsidRDefault="00C25AD7" w:rsidP="002F4ABA">
            <w:pPr>
              <w:spacing w:after="120" w:line="240" w:lineRule="auto"/>
              <w:rPr>
                <w:i/>
                <w:color w:val="808080"/>
                <w:sz w:val="16"/>
                <w:szCs w:val="16"/>
              </w:rPr>
            </w:pPr>
            <w:r w:rsidRPr="00F3555F">
              <w:rPr>
                <w:i/>
                <w:color w:val="808080"/>
                <w:sz w:val="16"/>
                <w:szCs w:val="16"/>
              </w:rPr>
              <w:t>Pacific governments are able to access and use information on climate change impacts in national planning</w:t>
            </w:r>
          </w:p>
          <w:p w:rsidR="00C25AD7" w:rsidRDefault="00C25AD7" w:rsidP="002F4ABA">
            <w:pPr>
              <w:spacing w:after="120" w:line="240" w:lineRule="auto"/>
              <w:rPr>
                <w:i/>
                <w:color w:val="808080"/>
                <w:sz w:val="16"/>
                <w:szCs w:val="16"/>
              </w:rPr>
            </w:pPr>
          </w:p>
          <w:p w:rsidR="00C25AD7" w:rsidRDefault="00C25AD7" w:rsidP="002F4ABA">
            <w:pPr>
              <w:spacing w:after="120" w:line="240" w:lineRule="auto"/>
              <w:rPr>
                <w:i/>
                <w:color w:val="808080"/>
                <w:sz w:val="16"/>
                <w:szCs w:val="16"/>
              </w:rPr>
            </w:pPr>
          </w:p>
          <w:p w:rsidR="00C25AD7" w:rsidRPr="00F3555F" w:rsidRDefault="00C25AD7" w:rsidP="002F4ABA">
            <w:pPr>
              <w:spacing w:after="120" w:line="240" w:lineRule="auto"/>
              <w:rPr>
                <w:i/>
                <w:color w:val="808080"/>
                <w:sz w:val="16"/>
                <w:szCs w:val="16"/>
              </w:rPr>
            </w:pPr>
          </w:p>
        </w:tc>
        <w:tc>
          <w:tcPr>
            <w:tcW w:w="765" w:type="pct"/>
            <w:gridSpan w:val="2"/>
            <w:tcBorders>
              <w:top w:val="nil"/>
              <w:left w:val="nil"/>
              <w:bottom w:val="nil"/>
              <w:right w:val="nil"/>
            </w:tcBorders>
          </w:tcPr>
          <w:p w:rsidR="00C25AD7" w:rsidRPr="00F3555F" w:rsidRDefault="00C25AD7" w:rsidP="002F4ABA">
            <w:pPr>
              <w:spacing w:after="120" w:line="240" w:lineRule="auto"/>
              <w:rPr>
                <w:i/>
                <w:color w:val="808080"/>
                <w:sz w:val="16"/>
                <w:szCs w:val="16"/>
              </w:rPr>
            </w:pPr>
            <w:r w:rsidRPr="00F3555F">
              <w:rPr>
                <w:i/>
                <w:color w:val="808080"/>
                <w:sz w:val="16"/>
                <w:szCs w:val="16"/>
              </w:rPr>
              <w:t>SPREP successfully hosts seasonal climate outlook software and resources 14 member countries.</w:t>
            </w:r>
          </w:p>
        </w:tc>
        <w:tc>
          <w:tcPr>
            <w:tcW w:w="769" w:type="pct"/>
            <w:gridSpan w:val="2"/>
            <w:tcBorders>
              <w:top w:val="nil"/>
              <w:left w:val="nil"/>
              <w:bottom w:val="nil"/>
              <w:right w:val="nil"/>
            </w:tcBorders>
          </w:tcPr>
          <w:p w:rsidR="00C25AD7" w:rsidRDefault="00C25AD7" w:rsidP="002F4ABA">
            <w:pPr>
              <w:spacing w:after="120" w:line="240" w:lineRule="auto"/>
              <w:rPr>
                <w:i/>
                <w:color w:val="808080"/>
                <w:sz w:val="16"/>
                <w:szCs w:val="16"/>
              </w:rPr>
            </w:pPr>
            <w:r w:rsidRPr="008929FE">
              <w:rPr>
                <w:i/>
                <w:color w:val="808080"/>
                <w:sz w:val="16"/>
                <w:szCs w:val="16"/>
              </w:rPr>
              <w:t xml:space="preserve">Climate change </w:t>
            </w:r>
            <w:r w:rsidRPr="001D5E9E">
              <w:rPr>
                <w:i/>
                <w:color w:val="808080"/>
                <w:sz w:val="16"/>
                <w:szCs w:val="16"/>
              </w:rPr>
              <w:t xml:space="preserve">and disaster resilience </w:t>
            </w:r>
            <w:r w:rsidRPr="008929FE">
              <w:rPr>
                <w:i/>
                <w:color w:val="808080"/>
                <w:sz w:val="16"/>
                <w:szCs w:val="16"/>
              </w:rPr>
              <w:t>integration plans developed for 9 Pacific Country programs</w:t>
            </w:r>
            <w:r>
              <w:rPr>
                <w:b/>
                <w:bCs/>
                <w:color w:val="1F497D"/>
              </w:rPr>
              <w:t>.</w:t>
            </w:r>
          </w:p>
          <w:p w:rsidR="00C25AD7" w:rsidRPr="00F3555F" w:rsidRDefault="00C25AD7" w:rsidP="002F4ABA">
            <w:pPr>
              <w:spacing w:after="120" w:line="240" w:lineRule="auto"/>
              <w:rPr>
                <w:i/>
                <w:color w:val="808080"/>
                <w:sz w:val="16"/>
                <w:szCs w:val="16"/>
              </w:rPr>
            </w:pPr>
          </w:p>
        </w:tc>
        <w:tc>
          <w:tcPr>
            <w:tcW w:w="864" w:type="pct"/>
            <w:gridSpan w:val="3"/>
            <w:tcBorders>
              <w:top w:val="nil"/>
              <w:left w:val="nil"/>
              <w:bottom w:val="nil"/>
              <w:right w:val="nil"/>
            </w:tcBorders>
          </w:tcPr>
          <w:p w:rsidR="00C25AD7" w:rsidRPr="00F3555F" w:rsidRDefault="00C25AD7" w:rsidP="002F4ABA">
            <w:pPr>
              <w:suppressAutoHyphens w:val="0"/>
              <w:spacing w:before="0" w:after="0" w:line="240" w:lineRule="auto"/>
              <w:rPr>
                <w:i/>
                <w:color w:val="808080"/>
                <w:sz w:val="16"/>
                <w:szCs w:val="16"/>
              </w:rPr>
            </w:pPr>
          </w:p>
          <w:p w:rsidR="00C25AD7" w:rsidRPr="00F3555F" w:rsidRDefault="00C25AD7" w:rsidP="002F4ABA">
            <w:pPr>
              <w:suppressAutoHyphens w:val="0"/>
              <w:spacing w:before="0" w:after="0" w:line="240" w:lineRule="auto"/>
              <w:rPr>
                <w:i/>
                <w:color w:val="808080"/>
                <w:sz w:val="16"/>
                <w:szCs w:val="16"/>
              </w:rPr>
            </w:pPr>
            <w:r w:rsidRPr="008929FE">
              <w:rPr>
                <w:i/>
                <w:color w:val="808080"/>
                <w:sz w:val="16"/>
                <w:szCs w:val="16"/>
              </w:rPr>
              <w:t xml:space="preserve">9 Pacific Island Country programs have commenced implementation of integration plans, as evidenced by the number of new investments addressing climate </w:t>
            </w:r>
            <w:r w:rsidRPr="001D5E9E">
              <w:rPr>
                <w:i/>
                <w:color w:val="808080"/>
                <w:sz w:val="16"/>
                <w:szCs w:val="16"/>
              </w:rPr>
              <w:t xml:space="preserve">and other disaster </w:t>
            </w:r>
            <w:r w:rsidRPr="008929FE">
              <w:rPr>
                <w:i/>
                <w:color w:val="808080"/>
                <w:sz w:val="16"/>
                <w:szCs w:val="16"/>
              </w:rPr>
              <w:t>risks and resilience</w:t>
            </w:r>
          </w:p>
        </w:tc>
      </w:tr>
      <w:tr w:rsidR="00C25AD7" w:rsidRPr="00F3555F" w:rsidTr="002F4ABA">
        <w:trPr>
          <w:trHeight w:val="614"/>
        </w:trPr>
        <w:tc>
          <w:tcPr>
            <w:tcW w:w="235" w:type="pct"/>
            <w:tcBorders>
              <w:top w:val="nil"/>
              <w:left w:val="nil"/>
              <w:bottom w:val="nil"/>
              <w:right w:val="nil"/>
            </w:tcBorders>
          </w:tcPr>
          <w:p w:rsidR="00C25AD7" w:rsidRPr="00F3555F" w:rsidRDefault="00C25AD7" w:rsidP="002F4ABA">
            <w:pPr>
              <w:pStyle w:val="TableTextEntries"/>
              <w:spacing w:line="240" w:lineRule="auto"/>
              <w:ind w:firstLine="32"/>
              <w:rPr>
                <w:rFonts w:ascii="Helvetica" w:eastAsiaTheme="minorHAnsi" w:hAnsi="Helvetica" w:cstheme="minorBidi"/>
                <w:i/>
                <w:iCs w:val="0"/>
                <w:color w:val="808080"/>
                <w:sz w:val="16"/>
                <w:szCs w:val="16"/>
                <w:lang w:val="en-GB"/>
              </w:rPr>
            </w:pPr>
            <w:r>
              <w:rPr>
                <w:rFonts w:ascii="Helvetica" w:eastAsiaTheme="minorHAnsi" w:hAnsi="Helvetica" w:cstheme="minorBidi"/>
                <w:i/>
                <w:iCs w:val="0"/>
                <w:color w:val="808080"/>
                <w:sz w:val="16"/>
                <w:szCs w:val="16"/>
                <w:lang w:val="en-GB"/>
              </w:rPr>
              <w:lastRenderedPageBreak/>
              <w:t>7.</w:t>
            </w:r>
          </w:p>
        </w:tc>
        <w:tc>
          <w:tcPr>
            <w:tcW w:w="1328" w:type="pct"/>
            <w:tcBorders>
              <w:top w:val="nil"/>
              <w:left w:val="nil"/>
              <w:bottom w:val="nil"/>
              <w:right w:val="nil"/>
            </w:tcBorders>
          </w:tcPr>
          <w:p w:rsidR="00C25AD7" w:rsidRPr="00F3555F" w:rsidRDefault="00C25AD7" w:rsidP="002F4ABA">
            <w:pPr>
              <w:pStyle w:val="TableTextEntries"/>
              <w:spacing w:line="240" w:lineRule="auto"/>
              <w:ind w:firstLine="32"/>
              <w:rPr>
                <w:rFonts w:ascii="Helvetica" w:eastAsiaTheme="minorHAnsi" w:hAnsi="Helvetica" w:cstheme="minorBidi"/>
                <w:i/>
                <w:iCs w:val="0"/>
                <w:color w:val="808080"/>
                <w:sz w:val="16"/>
                <w:szCs w:val="16"/>
                <w:lang w:val="en-GB"/>
              </w:rPr>
            </w:pPr>
            <w:r w:rsidRPr="00F3555F">
              <w:rPr>
                <w:rFonts w:ascii="Helvetica" w:eastAsiaTheme="minorHAnsi" w:hAnsi="Helvetica" w:cstheme="minorBidi"/>
                <w:i/>
                <w:iCs w:val="0"/>
                <w:color w:val="808080"/>
                <w:sz w:val="16"/>
                <w:szCs w:val="16"/>
                <w:lang w:val="en-GB"/>
              </w:rPr>
              <w:t>Collective action managing regional fisheries resources delivers economic benefits to Pacific countries</w:t>
            </w:r>
          </w:p>
        </w:tc>
        <w:tc>
          <w:tcPr>
            <w:tcW w:w="1039" w:type="pct"/>
            <w:tcBorders>
              <w:top w:val="nil"/>
              <w:left w:val="nil"/>
              <w:bottom w:val="nil"/>
              <w:right w:val="nil"/>
            </w:tcBorders>
          </w:tcPr>
          <w:p w:rsidR="00C25AD7" w:rsidRPr="00F3555F" w:rsidRDefault="00C25AD7" w:rsidP="002F4ABA">
            <w:pPr>
              <w:spacing w:after="120" w:line="240" w:lineRule="auto"/>
              <w:rPr>
                <w:i/>
                <w:color w:val="808080"/>
                <w:sz w:val="16"/>
                <w:szCs w:val="16"/>
              </w:rPr>
            </w:pPr>
            <w:r w:rsidRPr="00F3555F">
              <w:rPr>
                <w:i/>
                <w:color w:val="808080"/>
                <w:sz w:val="16"/>
                <w:szCs w:val="16"/>
              </w:rPr>
              <w:t>Pacific governments provide more resources (financial and human resources) to holistic community-based fisheries management approaches.</w:t>
            </w:r>
          </w:p>
        </w:tc>
        <w:tc>
          <w:tcPr>
            <w:tcW w:w="765" w:type="pct"/>
            <w:gridSpan w:val="2"/>
            <w:tcBorders>
              <w:top w:val="nil"/>
              <w:left w:val="nil"/>
              <w:bottom w:val="nil"/>
              <w:right w:val="nil"/>
            </w:tcBorders>
          </w:tcPr>
          <w:p w:rsidR="00C25AD7" w:rsidRPr="00F3555F" w:rsidRDefault="00C25AD7" w:rsidP="002F4ABA">
            <w:pPr>
              <w:spacing w:after="120" w:line="240" w:lineRule="auto"/>
              <w:jc w:val="center"/>
              <w:rPr>
                <w:i/>
                <w:color w:val="808080"/>
                <w:sz w:val="16"/>
                <w:szCs w:val="16"/>
              </w:rPr>
            </w:pPr>
            <w:r w:rsidRPr="00F3555F">
              <w:rPr>
                <w:i/>
                <w:color w:val="808080"/>
                <w:sz w:val="16"/>
                <w:szCs w:val="16"/>
              </w:rPr>
              <w:t>28 villages (7400 people) benefit from holistic community-based fisheries management approach</w:t>
            </w:r>
          </w:p>
        </w:tc>
        <w:tc>
          <w:tcPr>
            <w:tcW w:w="769" w:type="pct"/>
            <w:gridSpan w:val="2"/>
            <w:tcBorders>
              <w:top w:val="nil"/>
              <w:left w:val="nil"/>
              <w:bottom w:val="nil"/>
              <w:right w:val="nil"/>
            </w:tcBorders>
          </w:tcPr>
          <w:p w:rsidR="00C25AD7" w:rsidRPr="00F3555F" w:rsidRDefault="00C25AD7" w:rsidP="002F4ABA">
            <w:pPr>
              <w:spacing w:after="120" w:line="240" w:lineRule="auto"/>
              <w:jc w:val="center"/>
              <w:rPr>
                <w:i/>
                <w:color w:val="808080"/>
                <w:sz w:val="16"/>
                <w:szCs w:val="16"/>
              </w:rPr>
            </w:pPr>
            <w:r w:rsidRPr="00F3555F">
              <w:rPr>
                <w:i/>
                <w:color w:val="808080"/>
                <w:sz w:val="16"/>
                <w:szCs w:val="16"/>
              </w:rPr>
              <w:t>Pacific governments report on monitoring and evaluation indicators under the A New Song for Coastal Fisheries</w:t>
            </w:r>
          </w:p>
        </w:tc>
        <w:tc>
          <w:tcPr>
            <w:tcW w:w="864" w:type="pct"/>
            <w:gridSpan w:val="3"/>
            <w:tcBorders>
              <w:top w:val="nil"/>
              <w:left w:val="nil"/>
              <w:bottom w:val="nil"/>
              <w:right w:val="nil"/>
            </w:tcBorders>
          </w:tcPr>
          <w:p w:rsidR="00C25AD7" w:rsidRPr="00F3555F" w:rsidRDefault="00C25AD7" w:rsidP="002F4ABA">
            <w:pPr>
              <w:spacing w:after="120" w:line="240" w:lineRule="auto"/>
              <w:ind w:firstLine="32"/>
              <w:rPr>
                <w:i/>
                <w:color w:val="808080"/>
                <w:sz w:val="16"/>
                <w:szCs w:val="16"/>
              </w:rPr>
            </w:pPr>
            <w:r w:rsidRPr="00F3555F">
              <w:rPr>
                <w:i/>
                <w:color w:val="808080"/>
                <w:sz w:val="16"/>
                <w:szCs w:val="16"/>
              </w:rPr>
              <w:t>ACIAR provides evidence of holistic community-based fisheries management approach in at least 3 countries.</w:t>
            </w:r>
          </w:p>
        </w:tc>
      </w:tr>
      <w:tr w:rsidR="00C25AD7" w:rsidRPr="00F3555F" w:rsidTr="002F4ABA">
        <w:trPr>
          <w:trHeight w:val="614"/>
        </w:trPr>
        <w:tc>
          <w:tcPr>
            <w:tcW w:w="235" w:type="pct"/>
            <w:tcBorders>
              <w:top w:val="nil"/>
              <w:left w:val="nil"/>
              <w:bottom w:val="nil"/>
              <w:right w:val="nil"/>
            </w:tcBorders>
          </w:tcPr>
          <w:p w:rsidR="00C25AD7" w:rsidRPr="00F3555F" w:rsidRDefault="00C25AD7" w:rsidP="002F4ABA">
            <w:pPr>
              <w:pStyle w:val="TableTextEntries"/>
              <w:spacing w:line="240" w:lineRule="auto"/>
              <w:ind w:firstLine="32"/>
              <w:rPr>
                <w:rFonts w:ascii="Helvetica" w:eastAsiaTheme="minorHAnsi" w:hAnsi="Helvetica" w:cstheme="minorBidi"/>
                <w:i/>
                <w:iCs w:val="0"/>
                <w:color w:val="808080"/>
                <w:sz w:val="16"/>
                <w:szCs w:val="16"/>
                <w:lang w:val="en-GB"/>
              </w:rPr>
            </w:pPr>
            <w:r>
              <w:rPr>
                <w:rFonts w:ascii="Helvetica" w:eastAsiaTheme="minorHAnsi" w:hAnsi="Helvetica" w:cstheme="minorBidi"/>
                <w:i/>
                <w:iCs w:val="0"/>
                <w:color w:val="808080"/>
                <w:sz w:val="16"/>
                <w:szCs w:val="16"/>
                <w:lang w:val="en-GB"/>
              </w:rPr>
              <w:t>8.</w:t>
            </w:r>
          </w:p>
        </w:tc>
        <w:tc>
          <w:tcPr>
            <w:tcW w:w="1328" w:type="pct"/>
            <w:tcBorders>
              <w:top w:val="nil"/>
              <w:left w:val="nil"/>
              <w:bottom w:val="nil"/>
              <w:right w:val="nil"/>
            </w:tcBorders>
          </w:tcPr>
          <w:p w:rsidR="00C25AD7" w:rsidRPr="00F3555F" w:rsidRDefault="00C25AD7" w:rsidP="002F4ABA">
            <w:pPr>
              <w:pStyle w:val="TableTextEntries"/>
              <w:spacing w:line="240" w:lineRule="auto"/>
              <w:ind w:firstLine="32"/>
              <w:rPr>
                <w:rFonts w:ascii="Helvetica" w:eastAsiaTheme="minorHAnsi" w:hAnsi="Helvetica" w:cstheme="minorBidi"/>
                <w:i/>
                <w:iCs w:val="0"/>
                <w:color w:val="808080"/>
                <w:sz w:val="16"/>
                <w:szCs w:val="16"/>
                <w:lang w:val="en-GB"/>
              </w:rPr>
            </w:pPr>
            <w:r w:rsidRPr="00F3555F">
              <w:rPr>
                <w:rFonts w:ascii="Helvetica" w:eastAsiaTheme="minorHAnsi" w:hAnsi="Helvetica" w:cstheme="minorBidi"/>
                <w:i/>
                <w:iCs w:val="0"/>
                <w:color w:val="808080"/>
                <w:sz w:val="16"/>
                <w:szCs w:val="16"/>
                <w:lang w:val="en-GB"/>
              </w:rPr>
              <w:t>Pacific island government national surveillance systems effectively monitor outbreaks of infectious diseases</w:t>
            </w:r>
          </w:p>
        </w:tc>
        <w:tc>
          <w:tcPr>
            <w:tcW w:w="1039" w:type="pct"/>
            <w:tcBorders>
              <w:top w:val="nil"/>
              <w:left w:val="nil"/>
              <w:bottom w:val="nil"/>
              <w:right w:val="nil"/>
            </w:tcBorders>
          </w:tcPr>
          <w:p w:rsidR="00C25AD7" w:rsidRPr="00F3555F" w:rsidRDefault="00C25AD7" w:rsidP="002F4ABA">
            <w:pPr>
              <w:spacing w:after="120" w:line="240" w:lineRule="auto"/>
              <w:rPr>
                <w:i/>
                <w:color w:val="808080"/>
                <w:sz w:val="16"/>
                <w:szCs w:val="16"/>
              </w:rPr>
            </w:pPr>
            <w:r w:rsidRPr="00F3555F">
              <w:rPr>
                <w:i/>
                <w:color w:val="808080"/>
                <w:sz w:val="16"/>
                <w:szCs w:val="16"/>
              </w:rPr>
              <w:t>Number of Pacific island countries meeting all seven International Health Regulation core capacities.* (Currently 9 out of 14). Our aim is to maintain or increase this number each year.</w:t>
            </w:r>
          </w:p>
        </w:tc>
        <w:tc>
          <w:tcPr>
            <w:tcW w:w="765" w:type="pct"/>
            <w:gridSpan w:val="2"/>
            <w:tcBorders>
              <w:top w:val="nil"/>
              <w:left w:val="nil"/>
              <w:bottom w:val="nil"/>
              <w:right w:val="nil"/>
            </w:tcBorders>
          </w:tcPr>
          <w:p w:rsidR="00C25AD7" w:rsidRPr="00F3555F" w:rsidRDefault="00C25AD7" w:rsidP="002F4ABA">
            <w:pPr>
              <w:spacing w:after="120" w:line="240" w:lineRule="auto"/>
              <w:jc w:val="center"/>
              <w:rPr>
                <w:i/>
                <w:color w:val="808080" w:themeColor="background1" w:themeShade="80"/>
                <w:sz w:val="16"/>
                <w:szCs w:val="16"/>
              </w:rPr>
            </w:pPr>
            <w:r w:rsidRPr="00F3555F">
              <w:rPr>
                <w:i/>
                <w:color w:val="808080" w:themeColor="background1" w:themeShade="80"/>
                <w:sz w:val="16"/>
                <w:szCs w:val="16"/>
              </w:rPr>
              <w:t>9+</w:t>
            </w:r>
          </w:p>
        </w:tc>
        <w:tc>
          <w:tcPr>
            <w:tcW w:w="769" w:type="pct"/>
            <w:gridSpan w:val="2"/>
            <w:tcBorders>
              <w:top w:val="nil"/>
              <w:left w:val="nil"/>
              <w:bottom w:val="nil"/>
              <w:right w:val="nil"/>
            </w:tcBorders>
          </w:tcPr>
          <w:p w:rsidR="00C25AD7" w:rsidRPr="00F3555F" w:rsidRDefault="00C25AD7" w:rsidP="002F4ABA">
            <w:pPr>
              <w:spacing w:after="120" w:line="240" w:lineRule="auto"/>
              <w:jc w:val="center"/>
              <w:rPr>
                <w:i/>
                <w:color w:val="808080" w:themeColor="background1" w:themeShade="80"/>
                <w:sz w:val="16"/>
                <w:szCs w:val="16"/>
              </w:rPr>
            </w:pPr>
            <w:r w:rsidRPr="00F3555F">
              <w:rPr>
                <w:i/>
                <w:color w:val="808080" w:themeColor="background1" w:themeShade="80"/>
                <w:sz w:val="16"/>
                <w:szCs w:val="16"/>
              </w:rPr>
              <w:t>9+</w:t>
            </w:r>
          </w:p>
        </w:tc>
        <w:tc>
          <w:tcPr>
            <w:tcW w:w="864" w:type="pct"/>
            <w:gridSpan w:val="3"/>
            <w:tcBorders>
              <w:top w:val="nil"/>
              <w:left w:val="nil"/>
              <w:bottom w:val="nil"/>
              <w:right w:val="nil"/>
            </w:tcBorders>
          </w:tcPr>
          <w:p w:rsidR="00C25AD7" w:rsidRPr="00F3555F" w:rsidRDefault="00C25AD7" w:rsidP="002F4ABA">
            <w:pPr>
              <w:spacing w:after="120" w:line="240" w:lineRule="auto"/>
              <w:ind w:firstLine="32"/>
              <w:jc w:val="center"/>
              <w:rPr>
                <w:i/>
                <w:color w:val="808080" w:themeColor="background1" w:themeShade="80"/>
                <w:sz w:val="16"/>
                <w:szCs w:val="16"/>
              </w:rPr>
            </w:pPr>
            <w:r w:rsidRPr="00F3555F">
              <w:rPr>
                <w:i/>
                <w:color w:val="808080" w:themeColor="background1" w:themeShade="80"/>
                <w:sz w:val="16"/>
                <w:szCs w:val="16"/>
              </w:rPr>
              <w:t>9+</w:t>
            </w:r>
          </w:p>
        </w:tc>
      </w:tr>
      <w:tr w:rsidR="00C25AD7" w:rsidRPr="00F3555F" w:rsidTr="002F4ABA">
        <w:trPr>
          <w:trHeight w:val="614"/>
        </w:trPr>
        <w:tc>
          <w:tcPr>
            <w:tcW w:w="235" w:type="pct"/>
            <w:tcBorders>
              <w:top w:val="nil"/>
              <w:left w:val="nil"/>
              <w:bottom w:val="nil"/>
              <w:right w:val="nil"/>
            </w:tcBorders>
          </w:tcPr>
          <w:p w:rsidR="00C25AD7" w:rsidRPr="00F3555F" w:rsidRDefault="00C25AD7" w:rsidP="002F4ABA">
            <w:pPr>
              <w:pStyle w:val="TableHeading1"/>
              <w:spacing w:line="240" w:lineRule="auto"/>
              <w:rPr>
                <w:rFonts w:asciiTheme="minorHAnsi" w:hAnsiTheme="minorHAnsi"/>
                <w:sz w:val="16"/>
                <w:szCs w:val="16"/>
              </w:rPr>
            </w:pPr>
          </w:p>
        </w:tc>
        <w:tc>
          <w:tcPr>
            <w:tcW w:w="1328" w:type="pct"/>
            <w:tcBorders>
              <w:top w:val="nil"/>
              <w:left w:val="nil"/>
              <w:bottom w:val="nil"/>
              <w:right w:val="nil"/>
            </w:tcBorders>
          </w:tcPr>
          <w:p w:rsidR="00C25AD7" w:rsidRPr="00F3555F" w:rsidRDefault="00C25AD7" w:rsidP="002F4ABA">
            <w:pPr>
              <w:pStyle w:val="TableHeading1"/>
              <w:spacing w:line="240" w:lineRule="auto"/>
              <w:rPr>
                <w:rFonts w:asciiTheme="minorHAnsi" w:hAnsiTheme="minorHAnsi"/>
                <w:sz w:val="16"/>
                <w:szCs w:val="16"/>
              </w:rPr>
            </w:pPr>
            <w:r w:rsidRPr="00F3555F">
              <w:rPr>
                <w:rFonts w:asciiTheme="minorHAnsi" w:hAnsiTheme="minorHAnsi"/>
                <w:sz w:val="16"/>
                <w:szCs w:val="16"/>
              </w:rPr>
              <w:t>Objective 4: Empowering women and girls</w:t>
            </w:r>
          </w:p>
        </w:tc>
        <w:tc>
          <w:tcPr>
            <w:tcW w:w="1039" w:type="pct"/>
            <w:tcBorders>
              <w:top w:val="nil"/>
              <w:left w:val="nil"/>
              <w:bottom w:val="nil"/>
              <w:right w:val="nil"/>
            </w:tcBorders>
          </w:tcPr>
          <w:p w:rsidR="00C25AD7" w:rsidRPr="00F3555F" w:rsidRDefault="00C25AD7" w:rsidP="002F4ABA">
            <w:pPr>
              <w:spacing w:after="120" w:line="240" w:lineRule="auto"/>
              <w:rPr>
                <w:i/>
                <w:color w:val="808080" w:themeColor="background1" w:themeShade="80"/>
                <w:sz w:val="16"/>
                <w:szCs w:val="16"/>
              </w:rPr>
            </w:pPr>
          </w:p>
        </w:tc>
        <w:tc>
          <w:tcPr>
            <w:tcW w:w="765" w:type="pct"/>
            <w:gridSpan w:val="2"/>
            <w:tcBorders>
              <w:top w:val="nil"/>
              <w:left w:val="nil"/>
              <w:bottom w:val="nil"/>
              <w:right w:val="nil"/>
            </w:tcBorders>
          </w:tcPr>
          <w:p w:rsidR="00C25AD7" w:rsidRPr="00F3555F" w:rsidRDefault="00C25AD7" w:rsidP="002F4ABA">
            <w:pPr>
              <w:spacing w:after="120" w:line="240" w:lineRule="auto"/>
              <w:jc w:val="center"/>
              <w:rPr>
                <w:i/>
                <w:color w:val="808080" w:themeColor="background1" w:themeShade="80"/>
                <w:sz w:val="16"/>
                <w:szCs w:val="16"/>
              </w:rPr>
            </w:pPr>
          </w:p>
        </w:tc>
        <w:tc>
          <w:tcPr>
            <w:tcW w:w="769" w:type="pct"/>
            <w:gridSpan w:val="2"/>
            <w:tcBorders>
              <w:top w:val="nil"/>
              <w:left w:val="nil"/>
              <w:bottom w:val="nil"/>
              <w:right w:val="nil"/>
            </w:tcBorders>
          </w:tcPr>
          <w:p w:rsidR="00C25AD7" w:rsidRPr="00F3555F" w:rsidRDefault="00C25AD7" w:rsidP="002F4ABA">
            <w:pPr>
              <w:spacing w:after="120" w:line="240" w:lineRule="auto"/>
              <w:jc w:val="center"/>
              <w:rPr>
                <w:i/>
                <w:color w:val="808080" w:themeColor="background1" w:themeShade="80"/>
                <w:sz w:val="16"/>
                <w:szCs w:val="16"/>
              </w:rPr>
            </w:pPr>
          </w:p>
        </w:tc>
        <w:tc>
          <w:tcPr>
            <w:tcW w:w="864" w:type="pct"/>
            <w:gridSpan w:val="3"/>
            <w:tcBorders>
              <w:top w:val="nil"/>
              <w:left w:val="nil"/>
              <w:bottom w:val="nil"/>
              <w:right w:val="nil"/>
            </w:tcBorders>
          </w:tcPr>
          <w:p w:rsidR="00C25AD7" w:rsidRPr="00F3555F" w:rsidRDefault="00C25AD7" w:rsidP="002F4ABA">
            <w:pPr>
              <w:spacing w:after="120" w:line="240" w:lineRule="auto"/>
              <w:ind w:firstLine="32"/>
              <w:jc w:val="center"/>
              <w:rPr>
                <w:i/>
                <w:color w:val="808080" w:themeColor="background1" w:themeShade="80"/>
                <w:sz w:val="16"/>
                <w:szCs w:val="16"/>
              </w:rPr>
            </w:pPr>
          </w:p>
        </w:tc>
      </w:tr>
      <w:tr w:rsidR="00C25AD7" w:rsidRPr="00F3555F" w:rsidTr="002F4ABA">
        <w:trPr>
          <w:trHeight w:val="614"/>
        </w:trPr>
        <w:tc>
          <w:tcPr>
            <w:tcW w:w="235" w:type="pct"/>
            <w:tcBorders>
              <w:top w:val="nil"/>
              <w:left w:val="nil"/>
              <w:bottom w:val="single" w:sz="12" w:space="0" w:color="auto"/>
              <w:right w:val="nil"/>
            </w:tcBorders>
          </w:tcPr>
          <w:p w:rsidR="00C25AD7" w:rsidRPr="00F3555F" w:rsidRDefault="00C25AD7" w:rsidP="002F4ABA">
            <w:pPr>
              <w:pStyle w:val="TableHeading1"/>
              <w:spacing w:line="240" w:lineRule="auto"/>
              <w:rPr>
                <w:rFonts w:ascii="Helvetica" w:eastAsiaTheme="minorHAnsi" w:hAnsi="Helvetica" w:cstheme="minorBidi"/>
                <w:b w:val="0"/>
                <w:i/>
                <w:iCs w:val="0"/>
                <w:color w:val="808080"/>
                <w:sz w:val="16"/>
                <w:szCs w:val="16"/>
                <w:lang w:val="en-GB"/>
              </w:rPr>
            </w:pPr>
            <w:r>
              <w:rPr>
                <w:rFonts w:ascii="Helvetica" w:eastAsiaTheme="minorHAnsi" w:hAnsi="Helvetica" w:cstheme="minorBidi"/>
                <w:b w:val="0"/>
                <w:i/>
                <w:iCs w:val="0"/>
                <w:color w:val="808080"/>
                <w:sz w:val="16"/>
                <w:szCs w:val="16"/>
                <w:lang w:val="en-GB"/>
              </w:rPr>
              <w:t>9.</w:t>
            </w:r>
          </w:p>
        </w:tc>
        <w:tc>
          <w:tcPr>
            <w:tcW w:w="1328" w:type="pct"/>
            <w:tcBorders>
              <w:top w:val="nil"/>
              <w:left w:val="nil"/>
              <w:bottom w:val="single" w:sz="12" w:space="0" w:color="auto"/>
              <w:right w:val="nil"/>
            </w:tcBorders>
          </w:tcPr>
          <w:p w:rsidR="00C25AD7" w:rsidRPr="00F3555F" w:rsidRDefault="00C25AD7" w:rsidP="002F4ABA">
            <w:pPr>
              <w:pStyle w:val="TableHeading1"/>
              <w:spacing w:line="240" w:lineRule="auto"/>
              <w:rPr>
                <w:rFonts w:asciiTheme="minorHAnsi" w:hAnsiTheme="minorHAnsi"/>
                <w:b w:val="0"/>
                <w:sz w:val="16"/>
                <w:szCs w:val="16"/>
              </w:rPr>
            </w:pPr>
            <w:r w:rsidRPr="00F3555F">
              <w:rPr>
                <w:rFonts w:ascii="Helvetica" w:eastAsiaTheme="minorHAnsi" w:hAnsi="Helvetica" w:cstheme="minorBidi"/>
                <w:b w:val="0"/>
                <w:i/>
                <w:iCs w:val="0"/>
                <w:color w:val="808080"/>
                <w:sz w:val="16"/>
                <w:szCs w:val="16"/>
                <w:lang w:val="en-GB"/>
              </w:rPr>
              <w:t>Improved participation in decision making for women in the Pacific.</w:t>
            </w:r>
          </w:p>
        </w:tc>
        <w:tc>
          <w:tcPr>
            <w:tcW w:w="1039" w:type="pct"/>
            <w:tcBorders>
              <w:top w:val="nil"/>
              <w:left w:val="nil"/>
              <w:bottom w:val="single" w:sz="12" w:space="0" w:color="auto"/>
              <w:right w:val="nil"/>
            </w:tcBorders>
          </w:tcPr>
          <w:p w:rsidR="00C25AD7" w:rsidRPr="00F3555F" w:rsidRDefault="00C25AD7" w:rsidP="002F4ABA">
            <w:pPr>
              <w:spacing w:after="120" w:line="240" w:lineRule="auto"/>
              <w:rPr>
                <w:i/>
                <w:color w:val="808080" w:themeColor="background1" w:themeShade="80"/>
                <w:sz w:val="16"/>
                <w:szCs w:val="16"/>
              </w:rPr>
            </w:pPr>
            <w:r w:rsidRPr="00F3555F">
              <w:rPr>
                <w:i/>
                <w:color w:val="808080" w:themeColor="background1" w:themeShade="80"/>
                <w:sz w:val="16"/>
                <w:szCs w:val="16"/>
              </w:rPr>
              <w:t>Number of women supported to take on leadership roles at the community, provincial and national level.</w:t>
            </w:r>
          </w:p>
        </w:tc>
        <w:tc>
          <w:tcPr>
            <w:tcW w:w="765" w:type="pct"/>
            <w:gridSpan w:val="2"/>
            <w:tcBorders>
              <w:top w:val="nil"/>
              <w:left w:val="nil"/>
              <w:bottom w:val="single" w:sz="12" w:space="0" w:color="auto"/>
              <w:right w:val="nil"/>
            </w:tcBorders>
          </w:tcPr>
          <w:p w:rsidR="00C25AD7" w:rsidRPr="00F3555F" w:rsidRDefault="00C25AD7" w:rsidP="002F4ABA">
            <w:pPr>
              <w:spacing w:after="120" w:line="240" w:lineRule="auto"/>
              <w:jc w:val="center"/>
              <w:rPr>
                <w:i/>
                <w:color w:val="808080" w:themeColor="background1" w:themeShade="80"/>
                <w:sz w:val="16"/>
                <w:szCs w:val="16"/>
              </w:rPr>
            </w:pPr>
            <w:r w:rsidRPr="00F3555F">
              <w:rPr>
                <w:i/>
                <w:color w:val="808080" w:themeColor="background1" w:themeShade="80"/>
                <w:sz w:val="16"/>
                <w:szCs w:val="16"/>
              </w:rPr>
              <w:t>5,000</w:t>
            </w:r>
          </w:p>
        </w:tc>
        <w:tc>
          <w:tcPr>
            <w:tcW w:w="769" w:type="pct"/>
            <w:gridSpan w:val="2"/>
            <w:tcBorders>
              <w:top w:val="nil"/>
              <w:left w:val="nil"/>
              <w:bottom w:val="single" w:sz="12" w:space="0" w:color="auto"/>
              <w:right w:val="nil"/>
            </w:tcBorders>
          </w:tcPr>
          <w:p w:rsidR="00C25AD7" w:rsidRPr="00F3555F" w:rsidRDefault="00C25AD7" w:rsidP="002F4ABA">
            <w:pPr>
              <w:spacing w:after="120" w:line="240" w:lineRule="auto"/>
              <w:jc w:val="center"/>
              <w:rPr>
                <w:i/>
                <w:color w:val="808080" w:themeColor="background1" w:themeShade="80"/>
                <w:sz w:val="16"/>
                <w:szCs w:val="16"/>
              </w:rPr>
            </w:pPr>
            <w:r w:rsidRPr="00F3555F">
              <w:rPr>
                <w:i/>
                <w:color w:val="808080" w:themeColor="background1" w:themeShade="80"/>
                <w:sz w:val="16"/>
                <w:szCs w:val="16"/>
              </w:rPr>
              <w:t>5,500</w:t>
            </w:r>
          </w:p>
        </w:tc>
        <w:tc>
          <w:tcPr>
            <w:tcW w:w="864" w:type="pct"/>
            <w:gridSpan w:val="3"/>
            <w:tcBorders>
              <w:top w:val="nil"/>
              <w:left w:val="nil"/>
              <w:bottom w:val="single" w:sz="12" w:space="0" w:color="auto"/>
              <w:right w:val="nil"/>
            </w:tcBorders>
          </w:tcPr>
          <w:p w:rsidR="00C25AD7" w:rsidRPr="00F3555F" w:rsidRDefault="00C25AD7" w:rsidP="002F4ABA">
            <w:pPr>
              <w:spacing w:after="120" w:line="240" w:lineRule="auto"/>
              <w:ind w:firstLine="32"/>
              <w:jc w:val="center"/>
              <w:rPr>
                <w:i/>
                <w:color w:val="808080" w:themeColor="background1" w:themeShade="80"/>
                <w:sz w:val="16"/>
                <w:szCs w:val="16"/>
              </w:rPr>
            </w:pPr>
            <w:r w:rsidRPr="00F3555F">
              <w:rPr>
                <w:i/>
                <w:color w:val="808080" w:themeColor="background1" w:themeShade="80"/>
                <w:sz w:val="16"/>
                <w:szCs w:val="16"/>
              </w:rPr>
              <w:t>6,000</w:t>
            </w:r>
          </w:p>
        </w:tc>
      </w:tr>
    </w:tbl>
    <w:p w:rsidR="00C25AD7" w:rsidRDefault="00C25AD7" w:rsidP="00C25AD7">
      <w:pPr>
        <w:rPr>
          <w:rFonts w:eastAsia="Malgun Gothic"/>
          <w:sz w:val="16"/>
          <w:szCs w:val="16"/>
          <w:lang w:eastAsia="ko-KR"/>
        </w:rPr>
      </w:pPr>
      <w:r w:rsidRPr="007A6D79">
        <w:rPr>
          <w:rFonts w:eastAsia="Malgun Gothic"/>
          <w:sz w:val="16"/>
          <w:szCs w:val="16"/>
          <w:lang w:eastAsia="ko-KR"/>
        </w:rPr>
        <w:t>*</w:t>
      </w:r>
      <w:r>
        <w:rPr>
          <w:rFonts w:eastAsia="Malgun Gothic"/>
          <w:sz w:val="16"/>
          <w:szCs w:val="16"/>
          <w:lang w:eastAsia="ko-KR"/>
        </w:rPr>
        <w:t xml:space="preserve">See </w:t>
      </w:r>
      <w:hyperlink r:id="rId24" w:history="1">
        <w:r w:rsidRPr="0058153D">
          <w:rPr>
            <w:rStyle w:val="Hyperlink"/>
            <w:rFonts w:eastAsia="Malgun Gothic"/>
            <w:sz w:val="16"/>
            <w:szCs w:val="16"/>
            <w:lang w:eastAsia="ko-KR"/>
          </w:rPr>
          <w:t>www.who.int/topics/international_health_regulations/en/</w:t>
        </w:r>
      </w:hyperlink>
    </w:p>
    <w:p w:rsidR="00C25AD7" w:rsidRDefault="00C25AD7" w:rsidP="00C25AD7">
      <w:pPr>
        <w:pStyle w:val="Heading2"/>
        <w:spacing w:before="240"/>
      </w:pPr>
      <w:r>
        <w:t>Mutual obligations</w:t>
      </w:r>
    </w:p>
    <w:p w:rsidR="00C25AD7" w:rsidRDefault="00C25AD7" w:rsidP="00C25AD7">
      <w:pPr>
        <w:spacing w:after="120" w:line="280" w:lineRule="exact"/>
        <w:rPr>
          <w:shd w:val="clear" w:color="auto" w:fill="FFFF00"/>
        </w:rPr>
      </w:pPr>
      <w:r w:rsidRPr="00096F6E">
        <w:t xml:space="preserve">Under the Pacific Regional program, Australia has a set of mutual obligations through its multi-year partnerships with major Pacific regional </w:t>
      </w:r>
      <w:r w:rsidRPr="00250015">
        <w:t xml:space="preserve">organisations. These are specified in the </w:t>
      </w:r>
      <w:r w:rsidRPr="005C0331">
        <w:t xml:space="preserve">performance assessment frameworks attached to the Partnership Agreements. Australia holds regular High Level Consultations with relevant regional organisations to track performance against the Partnership and mutually agree future actions. Australia also works closely with other members to strengthen </w:t>
      </w:r>
      <w:r w:rsidRPr="00096F6E">
        <w:t>governance, corporate administration and performance assessment capability</w:t>
      </w:r>
      <w:r>
        <w:t xml:space="preserve"> of regional organisations </w:t>
      </w:r>
      <w:r w:rsidRPr="00096F6E">
        <w:t>to improve their effectiveness, efficiency and</w:t>
      </w:r>
      <w:r>
        <w:t xml:space="preserve"> ability to report on outcomes. We remain focused on </w:t>
      </w:r>
      <w:r w:rsidRPr="00096F6E">
        <w:t xml:space="preserve">improving the accountability of regional organisations to all members and giving particular </w:t>
      </w:r>
      <w:r>
        <w:t>recognition</w:t>
      </w:r>
      <w:r w:rsidRPr="00096F6E">
        <w:t xml:space="preserve"> </w:t>
      </w:r>
      <w:r>
        <w:t>of</w:t>
      </w:r>
      <w:r w:rsidRPr="00096F6E">
        <w:t xml:space="preserve"> the needs of small</w:t>
      </w:r>
      <w:r>
        <w:t>er</w:t>
      </w:r>
      <w:r w:rsidRPr="00096F6E">
        <w:t xml:space="preserve"> island states</w:t>
      </w:r>
      <w:r>
        <w:t>.</w:t>
      </w:r>
    </w:p>
    <w:p w:rsidR="00C25AD7" w:rsidRDefault="00C25AD7" w:rsidP="00C25AD7">
      <w:pPr>
        <w:spacing w:after="120" w:line="280" w:lineRule="exact"/>
      </w:pPr>
      <w:r w:rsidRPr="00096F6E">
        <w:t xml:space="preserve">In 2016-17, Australia has continued to consolidate and strengthen these partnerships. We have provided consistent and reliable core funding. We have actively contributed to strategic planning and prioritisation including the development of new multi-year strategic plans for PIFS, SPC and SPREP. </w:t>
      </w:r>
      <w:r>
        <w:t>DFAT</w:t>
      </w:r>
      <w:r w:rsidRPr="00096F6E">
        <w:t xml:space="preserve"> provided flexible, specialist support to regional organisations to progress key issues including the development of results frameworks, monitoring and evaluation and review of regional meetings. The first evaluation of the SPC – Australia Partnership Agreement has been published. We will take the opportunity with current Funding Agreements ending in the next year for the PIFS, SPC, USP, FFA, and SPREP, to further leverage improved performance and development results in a consistent manner.</w:t>
      </w:r>
      <w:r w:rsidRPr="00372306">
        <w:t xml:space="preserve"> </w:t>
      </w:r>
    </w:p>
    <w:p w:rsidR="00C25AD7" w:rsidRDefault="00C25AD7" w:rsidP="00C25AD7">
      <w:pPr>
        <w:suppressAutoHyphens w:val="0"/>
        <w:spacing w:before="0" w:after="120" w:line="440" w:lineRule="atLeast"/>
        <w:rPr>
          <w:rFonts w:asciiTheme="majorHAnsi" w:eastAsiaTheme="majorEastAsia" w:hAnsiTheme="majorHAnsi" w:cstheme="majorBidi"/>
          <w:caps/>
          <w:sz w:val="38"/>
          <w:szCs w:val="26"/>
        </w:rPr>
      </w:pPr>
      <w:r>
        <w:br w:type="page"/>
      </w:r>
    </w:p>
    <w:p w:rsidR="00C25AD7" w:rsidRPr="002A51CA" w:rsidRDefault="00C25AD7" w:rsidP="00C25AD7">
      <w:pPr>
        <w:pStyle w:val="Heading2"/>
      </w:pPr>
      <w:r w:rsidRPr="002A51CA">
        <w:lastRenderedPageBreak/>
        <w:t xml:space="preserve">Program Quality and Partner Performance </w:t>
      </w:r>
    </w:p>
    <w:p w:rsidR="00C25AD7" w:rsidRPr="00D72D03" w:rsidRDefault="00C25AD7" w:rsidP="00C25AD7">
      <w:pPr>
        <w:rPr>
          <w:b/>
          <w:sz w:val="28"/>
          <w:szCs w:val="28"/>
          <w:lang w:eastAsia="zh-CN"/>
        </w:rPr>
      </w:pPr>
      <w:r w:rsidRPr="00D72D03">
        <w:rPr>
          <w:b/>
          <w:sz w:val="28"/>
          <w:szCs w:val="28"/>
          <w:lang w:eastAsia="zh-CN"/>
        </w:rPr>
        <w:t>Overview</w:t>
      </w:r>
    </w:p>
    <w:p w:rsidR="00C25AD7" w:rsidRDefault="00C25AD7" w:rsidP="00C25AD7">
      <w:pPr>
        <w:spacing w:after="120" w:line="280" w:lineRule="exact"/>
        <w:rPr>
          <w:rFonts w:eastAsia="Times New Roman"/>
        </w:rPr>
      </w:pPr>
      <w:r>
        <w:rPr>
          <w:rFonts w:eastAsia="Times New Roman"/>
        </w:rPr>
        <w:t>To ensure our investments are working effectively and achieving value for money, 11 evaluations were undertaken in 2016-17 see Annex C).</w:t>
      </w:r>
      <w:r w:rsidRPr="00F306BD">
        <w:rPr>
          <w:rFonts w:eastAsia="Times New Roman"/>
        </w:rPr>
        <w:t xml:space="preserve"> </w:t>
      </w:r>
      <w:r>
        <w:rPr>
          <w:rFonts w:eastAsia="Times New Roman"/>
        </w:rPr>
        <w:t>These were undertaken in the economic growth, fisheries, risk resilience, education, and gender equality sectors. F</w:t>
      </w:r>
      <w:r w:rsidRPr="00117082">
        <w:rPr>
          <w:rFonts w:eastAsia="Times New Roman"/>
        </w:rPr>
        <w:t>our</w:t>
      </w:r>
      <w:r>
        <w:rPr>
          <w:rFonts w:eastAsia="Times New Roman"/>
        </w:rPr>
        <w:t xml:space="preserve"> evaluations are scheduled for 2017-18 in gender equality and agriculture.</w:t>
      </w:r>
    </w:p>
    <w:p w:rsidR="00C25AD7" w:rsidRDefault="00C25AD7" w:rsidP="00C25AD7">
      <w:pPr>
        <w:spacing w:after="120" w:line="280" w:lineRule="exact"/>
        <w:rPr>
          <w:rFonts w:eastAsia="Times New Roman"/>
        </w:rPr>
      </w:pPr>
      <w:r>
        <w:rPr>
          <w:rFonts w:eastAsia="Times New Roman"/>
        </w:rPr>
        <w:t xml:space="preserve">Substantial progress has been made with consolidation to maximise efficiency of the Pacific Regional program. </w:t>
      </w:r>
      <w:r>
        <w:t xml:space="preserve">Consolidation of the Pacific Regional program into a smaller number of larger and more effective investments has continued.  We will continue to manage the </w:t>
      </w:r>
      <w:r>
        <w:rPr>
          <w:rFonts w:eastAsia="Times New Roman"/>
        </w:rPr>
        <w:t>program to ensure that we can respond to new government priorities particularly in trade, climate change, private sector development and gender equality.</w:t>
      </w:r>
    </w:p>
    <w:p w:rsidR="00C25AD7" w:rsidRPr="00D72D03" w:rsidRDefault="00C25AD7" w:rsidP="00C25AD7">
      <w:pPr>
        <w:rPr>
          <w:b/>
          <w:sz w:val="28"/>
          <w:szCs w:val="28"/>
          <w:lang w:eastAsia="zh-CN"/>
        </w:rPr>
      </w:pPr>
      <w:r w:rsidRPr="00D72D03">
        <w:rPr>
          <w:b/>
          <w:sz w:val="28"/>
          <w:szCs w:val="28"/>
          <w:lang w:eastAsia="zh-CN"/>
        </w:rPr>
        <w:t>Analysis of Aid Quality Checks (</w:t>
      </w:r>
      <w:r w:rsidRPr="00181251">
        <w:rPr>
          <w:b/>
          <w:sz w:val="28"/>
          <w:szCs w:val="28"/>
          <w:lang w:eastAsia="zh-CN"/>
        </w:rPr>
        <w:t>AQC</w:t>
      </w:r>
      <w:r w:rsidRPr="00D72D03">
        <w:rPr>
          <w:b/>
          <w:sz w:val="28"/>
          <w:szCs w:val="28"/>
          <w:lang w:eastAsia="zh-CN"/>
        </w:rPr>
        <w:t>s)</w:t>
      </w:r>
    </w:p>
    <w:p w:rsidR="00C25AD7" w:rsidRDefault="00C25AD7" w:rsidP="00C25AD7">
      <w:r w:rsidRPr="00A74CA2">
        <w:t>Aid Quality Check (AQC) satisfactory ratings for effectiveness increased from 84 per cent of investments in 2016 to 87 per cent in 2017, rebounding slightly from the downwards pressure on investments in 2016 towards more robust</w:t>
      </w:r>
      <w:r>
        <w:t xml:space="preserve"> scoring</w:t>
      </w:r>
      <w:r w:rsidRPr="00A74CA2">
        <w:t xml:space="preserve">.  Efficiency and monitoring and evaluation scores </w:t>
      </w:r>
      <w:r>
        <w:t xml:space="preserve">dropped from 82 to 77 per cent, </w:t>
      </w:r>
      <w:r w:rsidRPr="00A74CA2">
        <w:t>and from 73 to 68 per cent respectively. Sustainability saw the most encouraging gains increasing from 85 to 91 per cent</w:t>
      </w:r>
      <w:r>
        <w:t>, however this score needs to be closely monitored in the 2018 ACQ process given the challenges to sustainability in the Pacific</w:t>
      </w:r>
      <w:r w:rsidRPr="00A74CA2">
        <w:t xml:space="preserve">. Gender remains the poorest performing criteria, with a continued downwards slide dropping a further </w:t>
      </w:r>
      <w:r>
        <w:t>nine</w:t>
      </w:r>
      <w:r w:rsidRPr="00A74CA2">
        <w:t xml:space="preserve"> percentage points from 78 to 67 per cent. </w:t>
      </w:r>
    </w:p>
    <w:p w:rsidR="00C25AD7" w:rsidRDefault="00C25AD7" w:rsidP="00C25AD7">
      <w:pPr>
        <w:rPr>
          <w:rFonts w:eastAsia="Times New Roman"/>
        </w:rPr>
      </w:pPr>
      <w:r w:rsidRPr="001D7510">
        <w:rPr>
          <w:rFonts w:eastAsia="Times New Roman"/>
        </w:rPr>
        <w:t>Value for money continues to be achieved in the Pacific Regional program</w:t>
      </w:r>
      <w:r>
        <w:rPr>
          <w:rFonts w:eastAsia="Times New Roman"/>
        </w:rPr>
        <w:t xml:space="preserve"> through strong continued achievement of effectiveness and efficiency ratings</w:t>
      </w:r>
      <w:r w:rsidRPr="001D7510">
        <w:rPr>
          <w:rFonts w:eastAsia="Times New Roman"/>
        </w:rPr>
        <w:t xml:space="preserve">. The Pacific Regional program has successfully exceeded the strategic target for value for money demonstrating effectiveness and efficiency in more than 85 per cent of investments. </w:t>
      </w:r>
    </w:p>
    <w:p w:rsidR="00C25AD7" w:rsidRPr="001D7510" w:rsidRDefault="00C25AD7" w:rsidP="00C25AD7">
      <w:pPr>
        <w:rPr>
          <w:rFonts w:eastAsia="Times New Roman"/>
        </w:rPr>
      </w:pPr>
      <w:r w:rsidRPr="001D7510">
        <w:rPr>
          <w:rFonts w:eastAsia="Times New Roman"/>
        </w:rPr>
        <w:t>Between 2016 and 2017, the proportion of satisfactory ratings for gender deteriorated from 78 per cent to 67 per cent</w:t>
      </w:r>
      <w:r>
        <w:rPr>
          <w:rFonts w:eastAsia="Times New Roman"/>
        </w:rPr>
        <w:t>.  This suggests greater attention is needed to</w:t>
      </w:r>
      <w:r w:rsidRPr="001D7510">
        <w:rPr>
          <w:rFonts w:eastAsia="Times New Roman"/>
        </w:rPr>
        <w:t xml:space="preserve"> meet the ‘empowering women and girls’ strategic target of 80 per cent</w:t>
      </w:r>
      <w:r>
        <w:rPr>
          <w:rFonts w:eastAsia="Times New Roman"/>
        </w:rPr>
        <w:t>, but also identifies the need to improve monitoring and evaluation</w:t>
      </w:r>
      <w:r w:rsidRPr="001D7510">
        <w:rPr>
          <w:rFonts w:eastAsia="Times New Roman"/>
        </w:rPr>
        <w:t>.</w:t>
      </w:r>
      <w:r>
        <w:rPr>
          <w:rFonts w:eastAsia="Times New Roman"/>
        </w:rPr>
        <w:t xml:space="preserve"> Often investments do not have sex disaggregated data or evidence of the benefits of their programs to women and girls.  </w:t>
      </w:r>
      <w:r>
        <w:t>In 2017-18, we will consider how to better account for the multiple variations in results we see in performance on gender depending on whether reporting is against AQCs, benchmarks, objectives or overall gender outcomes across the Aid Program.</w:t>
      </w:r>
    </w:p>
    <w:p w:rsidR="00C25AD7" w:rsidRPr="00D72D03" w:rsidRDefault="00C25AD7" w:rsidP="00C25AD7">
      <w:pPr>
        <w:rPr>
          <w:b/>
          <w:sz w:val="28"/>
          <w:szCs w:val="28"/>
          <w:lang w:eastAsia="zh-CN"/>
        </w:rPr>
      </w:pPr>
      <w:r w:rsidRPr="00D72D03">
        <w:rPr>
          <w:b/>
          <w:sz w:val="28"/>
          <w:szCs w:val="28"/>
          <w:lang w:eastAsia="zh-CN"/>
        </w:rPr>
        <w:t>Performance of key delivery partners</w:t>
      </w:r>
    </w:p>
    <w:p w:rsidR="00C25AD7" w:rsidRPr="006E34C5" w:rsidRDefault="00C25AD7" w:rsidP="00C25AD7">
      <w:r w:rsidRPr="004D4ED1">
        <w:t>The Pacific Regional program conducted 15 Partner Performance Assessments</w:t>
      </w:r>
      <w:r>
        <w:t xml:space="preserve"> (PPAs) in 2017</w:t>
      </w:r>
      <w:r w:rsidRPr="004D4ED1">
        <w:t>, which assessed the performa</w:t>
      </w:r>
      <w:r>
        <w:t>nce of partners in more than $450</w:t>
      </w:r>
      <w:r w:rsidRPr="004D4ED1">
        <w:t xml:space="preserve"> million in contracts. Overwhelmingly, it was demonstrated the performance of partners in the Pacific Regional program was strong. In particular, our partner</w:t>
      </w:r>
      <w:r>
        <w:t>s</w:t>
      </w:r>
      <w:r w:rsidRPr="004D4ED1">
        <w:t xml:space="preserve"> were assessed as </w:t>
      </w:r>
      <w:r>
        <w:t>having activities with</w:t>
      </w:r>
      <w:r w:rsidRPr="004D4ED1">
        <w:t xml:space="preserve"> strong policy alignment and approach to risk management. In all fiv</w:t>
      </w:r>
      <w:r>
        <w:t>e criteria, each receiving a rating between 1 and 6, the 10</w:t>
      </w:r>
      <w:r w:rsidRPr="004D4ED1">
        <w:t xml:space="preserve"> PPA</w:t>
      </w:r>
      <w:r>
        <w:t>’s scores averaged more than 4.6</w:t>
      </w:r>
      <w:r w:rsidRPr="004D4ED1">
        <w:t xml:space="preserve"> in every criterion</w:t>
      </w:r>
      <w:r>
        <w:t>, increasing from 4.4 in 2016</w:t>
      </w:r>
      <w:r w:rsidRPr="004D4ED1">
        <w:t>. No partner receiv</w:t>
      </w:r>
      <w:r>
        <w:t xml:space="preserve">ed a score of less than four </w:t>
      </w:r>
      <w:r w:rsidRPr="004D4ED1">
        <w:t>in any criterion</w:t>
      </w:r>
      <w:r>
        <w:t>, increasing from a minimum score of three in 2016. 10 of the 15</w:t>
      </w:r>
      <w:r w:rsidRPr="004D4ED1">
        <w:t xml:space="preserve"> PPAs conducted were of multilateral organisations, such as </w:t>
      </w:r>
      <w:r>
        <w:t xml:space="preserve">UNDP (three), UN Women (two), UNICEF (two), </w:t>
      </w:r>
      <w:r w:rsidRPr="004D4ED1">
        <w:t xml:space="preserve">the ADB (two), </w:t>
      </w:r>
      <w:r>
        <w:t>and World Bank (two), and the other five were commercial suppliers or international NGOs</w:t>
      </w:r>
      <w:r w:rsidRPr="004D4ED1">
        <w:t>. The assessments of these partners’ performance were consistent with the a</w:t>
      </w:r>
      <w:r>
        <w:t>verage of the Pacific Regional p</w:t>
      </w:r>
      <w:r w:rsidRPr="004D4ED1">
        <w:t>rogram.</w:t>
      </w:r>
      <w:r>
        <w:t xml:space="preserve"> There have been some </w:t>
      </w:r>
      <w:r w:rsidRPr="00626C9D">
        <w:t>issues with the quality and timeliness of partner deliverables. The low level of responsiveness to DFAT requests by some investments identified in 2015-16 has improved in the 2016-17 year.</w:t>
      </w:r>
    </w:p>
    <w:p w:rsidR="00C25AD7" w:rsidRDefault="00C25AD7" w:rsidP="00C25AD7">
      <w:pPr>
        <w:rPr>
          <w:b/>
          <w:sz w:val="28"/>
          <w:szCs w:val="28"/>
          <w:lang w:eastAsia="zh-CN"/>
        </w:rPr>
      </w:pPr>
      <w:r>
        <w:rPr>
          <w:b/>
          <w:sz w:val="28"/>
          <w:szCs w:val="28"/>
          <w:lang w:eastAsia="zh-CN"/>
        </w:rPr>
        <w:t>Risks</w:t>
      </w:r>
    </w:p>
    <w:p w:rsidR="00C25AD7" w:rsidRDefault="00C25AD7" w:rsidP="00C25AD7">
      <w:r>
        <w:t>The 2015-16 APPR Quality Review identified the need to strengthen the quality of risk descriptions and to link significant risks to the achievement of aid objectives. Instead of generic risks, they have been revised to address the significant risks to the achievement of objectives.</w:t>
      </w:r>
    </w:p>
    <w:p w:rsidR="00C25AD7" w:rsidRPr="00CA3DA8" w:rsidRDefault="00C25AD7" w:rsidP="00C25AD7">
      <w:r>
        <w:lastRenderedPageBreak/>
        <w:t>Over 2016-17 program managers attended risk management training and were required to regularly discuss risks with their stakeholders. Better records have been retained and these discussions have resulted in issues raised being dealt with in a timely manner.</w:t>
      </w:r>
    </w:p>
    <w:p w:rsidR="00C25AD7" w:rsidRPr="00060AB0" w:rsidRDefault="00C25AD7" w:rsidP="00C25AD7">
      <w:pPr>
        <w:rPr>
          <w:b/>
          <w:sz w:val="28"/>
          <w:szCs w:val="28"/>
          <w:lang w:eastAsia="zh-CN"/>
        </w:rPr>
      </w:pPr>
    </w:p>
    <w:tbl>
      <w:tblPr>
        <w:tblStyle w:val="APPR"/>
        <w:tblW w:w="5000" w:type="pct"/>
        <w:tblLook w:val="0600" w:firstRow="0" w:lastRow="0" w:firstColumn="0" w:lastColumn="0" w:noHBand="1" w:noVBand="1"/>
      </w:tblPr>
      <w:tblGrid>
        <w:gridCol w:w="2387"/>
        <w:gridCol w:w="2638"/>
        <w:gridCol w:w="2697"/>
        <w:gridCol w:w="2482"/>
      </w:tblGrid>
      <w:tr w:rsidR="00C25AD7" w:rsidRPr="00C61187" w:rsidTr="002F4ABA">
        <w:tc>
          <w:tcPr>
            <w:tcW w:w="2213" w:type="dxa"/>
            <w:hideMark/>
          </w:tcPr>
          <w:p w:rsidR="00C25AD7" w:rsidRPr="0026751C" w:rsidRDefault="00C25AD7" w:rsidP="002F4ABA">
            <w:pPr>
              <w:keepLines/>
              <w:spacing w:before="80" w:after="80" w:line="200" w:lineRule="atLeast"/>
              <w:rPr>
                <w:rFonts w:asciiTheme="minorHAnsi" w:eastAsia="Times New Roman" w:hAnsiTheme="minorHAnsi"/>
                <w:b/>
                <w:iCs/>
                <w:szCs w:val="17"/>
                <w:lang w:eastAsia="en-US"/>
              </w:rPr>
            </w:pPr>
            <w:r w:rsidRPr="0026751C">
              <w:rPr>
                <w:rFonts w:asciiTheme="minorHAnsi" w:eastAsia="Times New Roman" w:hAnsiTheme="minorHAnsi"/>
                <w:b/>
                <w:iCs/>
                <w:szCs w:val="17"/>
                <w:lang w:eastAsia="en-US"/>
              </w:rPr>
              <w:t>Key risks</w:t>
            </w:r>
          </w:p>
        </w:tc>
        <w:tc>
          <w:tcPr>
            <w:tcW w:w="2463" w:type="dxa"/>
          </w:tcPr>
          <w:p w:rsidR="00C25AD7" w:rsidRPr="0026751C" w:rsidRDefault="00C25AD7" w:rsidP="002F4ABA">
            <w:pPr>
              <w:keepLines/>
              <w:spacing w:before="80" w:after="80" w:line="200" w:lineRule="atLeast"/>
              <w:rPr>
                <w:rFonts w:asciiTheme="minorHAnsi" w:eastAsia="Times New Roman" w:hAnsiTheme="minorHAnsi"/>
                <w:b/>
                <w:iCs/>
                <w:szCs w:val="17"/>
                <w:lang w:eastAsia="en-US"/>
              </w:rPr>
            </w:pPr>
            <w:r w:rsidRPr="0026751C">
              <w:rPr>
                <w:rFonts w:asciiTheme="minorHAnsi" w:eastAsia="Times New Roman" w:hAnsiTheme="minorHAnsi"/>
                <w:b/>
                <w:iCs/>
                <w:szCs w:val="17"/>
                <w:lang w:eastAsia="en-US"/>
              </w:rPr>
              <w:t>What actions were taken to manage the risks over the past year?</w:t>
            </w:r>
          </w:p>
        </w:tc>
        <w:tc>
          <w:tcPr>
            <w:tcW w:w="2519" w:type="dxa"/>
          </w:tcPr>
          <w:p w:rsidR="00C25AD7" w:rsidRPr="0026751C" w:rsidRDefault="00C25AD7" w:rsidP="002F4ABA">
            <w:pPr>
              <w:keepLines/>
              <w:spacing w:before="80" w:after="80" w:line="200" w:lineRule="atLeast"/>
              <w:rPr>
                <w:rFonts w:asciiTheme="minorHAnsi" w:eastAsia="Times New Roman" w:hAnsiTheme="minorHAnsi"/>
                <w:b/>
                <w:iCs/>
                <w:szCs w:val="17"/>
                <w:lang w:eastAsia="en-US"/>
              </w:rPr>
            </w:pPr>
            <w:r w:rsidRPr="0026751C">
              <w:rPr>
                <w:rFonts w:asciiTheme="minorHAnsi" w:eastAsia="Times New Roman" w:hAnsiTheme="minorHAnsi"/>
                <w:b/>
                <w:iCs/>
                <w:szCs w:val="17"/>
                <w:lang w:eastAsia="en-US"/>
              </w:rPr>
              <w:t>What further actions will be taken to manage the risks in the coming year?</w:t>
            </w:r>
          </w:p>
        </w:tc>
        <w:tc>
          <w:tcPr>
            <w:tcW w:w="2303" w:type="dxa"/>
          </w:tcPr>
          <w:p w:rsidR="00C25AD7" w:rsidRPr="0026751C" w:rsidRDefault="00C25AD7" w:rsidP="002F4ABA">
            <w:pPr>
              <w:keepLines/>
              <w:spacing w:before="80" w:after="80" w:line="200" w:lineRule="atLeast"/>
              <w:rPr>
                <w:rFonts w:asciiTheme="minorHAnsi" w:eastAsia="Times New Roman" w:hAnsiTheme="minorHAnsi"/>
                <w:b/>
                <w:iCs/>
                <w:szCs w:val="17"/>
                <w:lang w:eastAsia="en-US"/>
              </w:rPr>
            </w:pPr>
            <w:r w:rsidRPr="0026751C">
              <w:rPr>
                <w:rFonts w:asciiTheme="minorHAnsi" w:eastAsia="Times New Roman" w:hAnsiTheme="minorHAnsi"/>
                <w:b/>
                <w:iCs/>
                <w:szCs w:val="17"/>
                <w:lang w:eastAsia="en-US"/>
              </w:rPr>
              <w:t>For emerging/ongoing risks provide a Risk Rating (low, medium, high, very high)</w:t>
            </w:r>
          </w:p>
        </w:tc>
      </w:tr>
      <w:tr w:rsidR="00C25AD7" w:rsidRPr="00C61187" w:rsidTr="002F4ABA">
        <w:tc>
          <w:tcPr>
            <w:tcW w:w="2213" w:type="dxa"/>
          </w:tcPr>
          <w:p w:rsidR="00C25AD7" w:rsidRPr="0026751C" w:rsidRDefault="00C25AD7" w:rsidP="002F4ABA">
            <w:pPr>
              <w:keepLines/>
              <w:spacing w:before="40" w:after="40" w:line="200" w:lineRule="atLeast"/>
              <w:rPr>
                <w:rFonts w:asciiTheme="minorHAnsi" w:eastAsia="Times New Roman" w:hAnsiTheme="minorHAnsi"/>
                <w:sz w:val="16"/>
                <w:szCs w:val="16"/>
              </w:rPr>
            </w:pPr>
            <w:r w:rsidRPr="004F6988">
              <w:rPr>
                <w:rFonts w:asciiTheme="minorHAnsi" w:eastAsia="Times New Roman" w:hAnsiTheme="minorHAnsi"/>
                <w:sz w:val="16"/>
                <w:szCs w:val="16"/>
              </w:rPr>
              <w:t>Continued pressure on the Pacific regional budget resulting from the increasing number of policy commitments, for example, climate change, PACER Plus implementation, and promotion of labour mobility.</w:t>
            </w:r>
          </w:p>
        </w:tc>
        <w:tc>
          <w:tcPr>
            <w:tcW w:w="2463" w:type="dxa"/>
          </w:tcPr>
          <w:p w:rsidR="00C25AD7" w:rsidRPr="004F6988" w:rsidRDefault="00C25AD7" w:rsidP="002F4ABA">
            <w:pPr>
              <w:keepLines/>
              <w:spacing w:before="40" w:after="40" w:line="200" w:lineRule="atLeast"/>
              <w:rPr>
                <w:rFonts w:asciiTheme="minorHAnsi" w:eastAsia="Times New Roman" w:hAnsiTheme="minorHAnsi"/>
                <w:sz w:val="16"/>
                <w:szCs w:val="16"/>
              </w:rPr>
            </w:pPr>
            <w:r w:rsidRPr="004F6988">
              <w:rPr>
                <w:rFonts w:asciiTheme="minorHAnsi" w:eastAsia="Times New Roman" w:hAnsiTheme="minorHAnsi"/>
                <w:sz w:val="16"/>
                <w:szCs w:val="16"/>
              </w:rPr>
              <w:t>Savings have been identified in existing and new investments.</w:t>
            </w:r>
          </w:p>
        </w:tc>
        <w:tc>
          <w:tcPr>
            <w:tcW w:w="2519" w:type="dxa"/>
          </w:tcPr>
          <w:p w:rsidR="00C25AD7" w:rsidRPr="004F6988" w:rsidRDefault="00C25AD7" w:rsidP="002F4ABA">
            <w:pPr>
              <w:keepLines/>
              <w:spacing w:before="40" w:after="40" w:line="200" w:lineRule="atLeast"/>
              <w:rPr>
                <w:rFonts w:asciiTheme="minorHAnsi" w:eastAsia="Times New Roman" w:hAnsiTheme="minorHAnsi"/>
                <w:sz w:val="16"/>
                <w:szCs w:val="16"/>
              </w:rPr>
            </w:pPr>
            <w:r w:rsidRPr="004F6988">
              <w:rPr>
                <w:rFonts w:asciiTheme="minorHAnsi" w:eastAsia="Times New Roman" w:hAnsiTheme="minorHAnsi"/>
                <w:sz w:val="16"/>
                <w:szCs w:val="16"/>
              </w:rPr>
              <w:t>Further savings will be identified and other options such as alternative funding sources and adjusting the scheduling of implementation of some investments will be investigated.</w:t>
            </w:r>
          </w:p>
        </w:tc>
        <w:tc>
          <w:tcPr>
            <w:tcW w:w="2303" w:type="dxa"/>
          </w:tcPr>
          <w:p w:rsidR="00C25AD7" w:rsidRPr="004F6988" w:rsidRDefault="00C25AD7" w:rsidP="002F4ABA">
            <w:pPr>
              <w:keepLines/>
              <w:spacing w:before="40" w:after="40" w:line="200" w:lineRule="atLeast"/>
              <w:rPr>
                <w:rFonts w:asciiTheme="minorHAnsi" w:eastAsia="Times New Roman" w:hAnsiTheme="minorHAnsi"/>
                <w:sz w:val="16"/>
                <w:szCs w:val="16"/>
              </w:rPr>
            </w:pPr>
            <w:r w:rsidRPr="004F6988">
              <w:rPr>
                <w:rFonts w:asciiTheme="minorHAnsi" w:eastAsia="Times New Roman" w:hAnsiTheme="minorHAnsi"/>
                <w:sz w:val="16"/>
                <w:szCs w:val="16"/>
              </w:rPr>
              <w:t>Medium</w:t>
            </w:r>
          </w:p>
        </w:tc>
      </w:tr>
      <w:tr w:rsidR="00C25AD7" w:rsidRPr="00C61187" w:rsidTr="002F4ABA">
        <w:tc>
          <w:tcPr>
            <w:tcW w:w="2213" w:type="dxa"/>
            <w:hideMark/>
          </w:tcPr>
          <w:p w:rsidR="00C25AD7" w:rsidRPr="00CB749D" w:rsidRDefault="00C25AD7" w:rsidP="002F4ABA">
            <w:pPr>
              <w:keepLines/>
              <w:spacing w:before="40" w:after="40" w:line="200" w:lineRule="atLeast"/>
              <w:rPr>
                <w:rFonts w:eastAsia="Times New Roman"/>
                <w:iCs/>
                <w:szCs w:val="17"/>
                <w:lang w:eastAsia="en-US"/>
              </w:rPr>
            </w:pPr>
            <w:r>
              <w:rPr>
                <w:rFonts w:asciiTheme="minorHAnsi" w:eastAsia="Times New Roman" w:hAnsiTheme="minorHAnsi"/>
                <w:sz w:val="16"/>
                <w:szCs w:val="16"/>
              </w:rPr>
              <w:t xml:space="preserve">Failure of </w:t>
            </w:r>
            <w:r w:rsidRPr="00CB749D">
              <w:rPr>
                <w:rFonts w:asciiTheme="minorHAnsi" w:eastAsia="Times New Roman" w:hAnsiTheme="minorHAnsi"/>
                <w:sz w:val="16"/>
                <w:szCs w:val="16"/>
              </w:rPr>
              <w:t>Pacific Regional Organisations and mu</w:t>
            </w:r>
            <w:r>
              <w:rPr>
                <w:rFonts w:asciiTheme="minorHAnsi" w:eastAsia="Times New Roman" w:hAnsiTheme="minorHAnsi"/>
                <w:sz w:val="16"/>
                <w:szCs w:val="16"/>
              </w:rPr>
              <w:t xml:space="preserve">ltilateral organisations to </w:t>
            </w:r>
            <w:r w:rsidRPr="00CB749D">
              <w:rPr>
                <w:rFonts w:asciiTheme="minorHAnsi" w:eastAsia="Times New Roman" w:hAnsiTheme="minorHAnsi"/>
                <w:sz w:val="16"/>
                <w:szCs w:val="16"/>
              </w:rPr>
              <w:t>implement reforms and improve effectiveness</w:t>
            </w:r>
            <w:r>
              <w:rPr>
                <w:rFonts w:asciiTheme="minorHAnsi" w:eastAsia="Times New Roman" w:hAnsiTheme="minorHAnsi"/>
                <w:sz w:val="16"/>
                <w:szCs w:val="16"/>
              </w:rPr>
              <w:t xml:space="preserve"> affects program implementation.</w:t>
            </w:r>
          </w:p>
        </w:tc>
        <w:tc>
          <w:tcPr>
            <w:tcW w:w="2463" w:type="dxa"/>
          </w:tcPr>
          <w:p w:rsidR="00C25AD7" w:rsidRPr="00CB749D" w:rsidRDefault="00C25AD7" w:rsidP="002F4ABA">
            <w:pPr>
              <w:keepLines/>
              <w:spacing w:before="40" w:after="40" w:line="200" w:lineRule="atLeast"/>
              <w:rPr>
                <w:rFonts w:eastAsia="Times New Roman"/>
                <w:iCs/>
                <w:szCs w:val="17"/>
                <w:lang w:eastAsia="en-US"/>
              </w:rPr>
            </w:pPr>
            <w:r>
              <w:rPr>
                <w:rFonts w:asciiTheme="minorHAnsi" w:eastAsia="Times New Roman" w:hAnsiTheme="minorHAnsi"/>
                <w:sz w:val="16"/>
                <w:szCs w:val="16"/>
              </w:rPr>
              <w:t>Strong p</w:t>
            </w:r>
            <w:r w:rsidRPr="00CB749D">
              <w:rPr>
                <w:rFonts w:asciiTheme="minorHAnsi" w:eastAsia="Times New Roman" w:hAnsiTheme="minorHAnsi"/>
                <w:sz w:val="16"/>
                <w:szCs w:val="16"/>
              </w:rPr>
              <w:t>articipation in working groups and provision of</w:t>
            </w:r>
            <w:r>
              <w:rPr>
                <w:rFonts w:asciiTheme="minorHAnsi" w:eastAsia="Times New Roman" w:hAnsiTheme="minorHAnsi"/>
                <w:sz w:val="16"/>
                <w:szCs w:val="16"/>
              </w:rPr>
              <w:t xml:space="preserve"> tailored technical assistance to support reform efforts.</w:t>
            </w:r>
            <w:r w:rsidRPr="00CB749D">
              <w:t xml:space="preserve">  </w:t>
            </w:r>
          </w:p>
        </w:tc>
        <w:tc>
          <w:tcPr>
            <w:tcW w:w="2519" w:type="dxa"/>
          </w:tcPr>
          <w:p w:rsidR="00C25AD7" w:rsidRPr="00CB749D" w:rsidRDefault="00C25AD7" w:rsidP="002F4ABA">
            <w:pPr>
              <w:keepLines/>
              <w:spacing w:before="40" w:after="40" w:line="200" w:lineRule="atLeast"/>
              <w:rPr>
                <w:rFonts w:asciiTheme="minorHAnsi" w:eastAsia="Times New Roman" w:hAnsiTheme="minorHAnsi"/>
                <w:sz w:val="16"/>
                <w:szCs w:val="16"/>
              </w:rPr>
            </w:pPr>
            <w:r>
              <w:rPr>
                <w:rFonts w:asciiTheme="minorHAnsi" w:eastAsia="Times New Roman" w:hAnsiTheme="minorHAnsi"/>
                <w:sz w:val="16"/>
                <w:szCs w:val="16"/>
              </w:rPr>
              <w:t xml:space="preserve">Pacific Regional Governance and Organisations Branch </w:t>
            </w:r>
            <w:r w:rsidRPr="00CB749D">
              <w:rPr>
                <w:rFonts w:asciiTheme="minorHAnsi" w:eastAsia="Times New Roman" w:hAnsiTheme="minorHAnsi"/>
                <w:sz w:val="16"/>
                <w:szCs w:val="16"/>
              </w:rPr>
              <w:t>will explore incentives for institutional reform</w:t>
            </w:r>
            <w:r>
              <w:rPr>
                <w:rFonts w:asciiTheme="minorHAnsi" w:eastAsia="Times New Roman" w:hAnsiTheme="minorHAnsi"/>
                <w:sz w:val="16"/>
                <w:szCs w:val="16"/>
              </w:rPr>
              <w:t>.</w:t>
            </w:r>
          </w:p>
        </w:tc>
        <w:tc>
          <w:tcPr>
            <w:tcW w:w="2303" w:type="dxa"/>
          </w:tcPr>
          <w:p w:rsidR="00C25AD7" w:rsidRPr="00CB749D" w:rsidRDefault="00C25AD7" w:rsidP="002F4ABA">
            <w:pPr>
              <w:keepLines/>
              <w:spacing w:before="40" w:after="40" w:line="200" w:lineRule="atLeast"/>
              <w:rPr>
                <w:rFonts w:asciiTheme="minorHAnsi" w:eastAsia="Times New Roman" w:hAnsiTheme="minorHAnsi"/>
                <w:sz w:val="16"/>
                <w:szCs w:val="16"/>
              </w:rPr>
            </w:pPr>
            <w:r w:rsidRPr="00CB749D">
              <w:rPr>
                <w:rFonts w:asciiTheme="minorHAnsi" w:eastAsia="Times New Roman" w:hAnsiTheme="minorHAnsi"/>
                <w:sz w:val="16"/>
                <w:szCs w:val="16"/>
              </w:rPr>
              <w:t>High. Australia alone cannot direct outcomes in the regional organisations and progress so far has been slow.</w:t>
            </w:r>
          </w:p>
        </w:tc>
      </w:tr>
      <w:tr w:rsidR="00C25AD7" w:rsidRPr="00C61187" w:rsidTr="002F4ABA">
        <w:trPr>
          <w:trHeight w:val="56"/>
        </w:trPr>
        <w:tc>
          <w:tcPr>
            <w:tcW w:w="2213" w:type="dxa"/>
          </w:tcPr>
          <w:p w:rsidR="00C25AD7" w:rsidRDefault="00C25AD7" w:rsidP="002F4ABA">
            <w:pPr>
              <w:keepLines/>
              <w:spacing w:before="40" w:after="40" w:line="200" w:lineRule="atLeast"/>
            </w:pPr>
            <w:r>
              <w:rPr>
                <w:rFonts w:asciiTheme="minorHAnsi" w:eastAsia="Times New Roman" w:hAnsiTheme="minorHAnsi"/>
                <w:sz w:val="16"/>
                <w:szCs w:val="16"/>
              </w:rPr>
              <w:t>Poor cooperation between r</w:t>
            </w:r>
            <w:r w:rsidRPr="00CB749D">
              <w:rPr>
                <w:rFonts w:asciiTheme="minorHAnsi" w:eastAsia="Times New Roman" w:hAnsiTheme="minorHAnsi"/>
                <w:sz w:val="16"/>
                <w:szCs w:val="16"/>
              </w:rPr>
              <w:t>egional and bilateral programs</w:t>
            </w:r>
            <w:r w:rsidRPr="0026751C">
              <w:rPr>
                <w:rFonts w:asciiTheme="minorHAnsi" w:eastAsia="Times New Roman" w:hAnsiTheme="minorHAnsi"/>
                <w:sz w:val="16"/>
                <w:szCs w:val="16"/>
              </w:rPr>
              <w:t xml:space="preserve"> </w:t>
            </w:r>
            <w:r>
              <w:rPr>
                <w:rFonts w:asciiTheme="minorHAnsi" w:eastAsia="Times New Roman" w:hAnsiTheme="minorHAnsi"/>
                <w:sz w:val="16"/>
                <w:szCs w:val="16"/>
              </w:rPr>
              <w:t>reduced effectiveness in Pacific Regional program.</w:t>
            </w:r>
            <w:r>
              <w:t xml:space="preserve"> </w:t>
            </w:r>
          </w:p>
          <w:p w:rsidR="00C25AD7" w:rsidRDefault="00C25AD7" w:rsidP="002F4ABA">
            <w:pPr>
              <w:keepLines/>
              <w:spacing w:before="40" w:after="40" w:line="200" w:lineRule="atLeast"/>
              <w:rPr>
                <w:rFonts w:asciiTheme="minorHAnsi" w:eastAsia="Times New Roman" w:hAnsiTheme="minorHAnsi"/>
                <w:sz w:val="16"/>
                <w:szCs w:val="16"/>
              </w:rPr>
            </w:pPr>
          </w:p>
          <w:p w:rsidR="00C25AD7" w:rsidRDefault="00C25AD7" w:rsidP="002F4ABA">
            <w:pPr>
              <w:keepLines/>
              <w:spacing w:before="40" w:after="40" w:line="200" w:lineRule="atLeast"/>
              <w:rPr>
                <w:rFonts w:asciiTheme="minorHAnsi" w:eastAsia="Times New Roman" w:hAnsiTheme="minorHAnsi"/>
                <w:sz w:val="16"/>
                <w:szCs w:val="16"/>
              </w:rPr>
            </w:pPr>
          </w:p>
          <w:p w:rsidR="00C25AD7" w:rsidRDefault="00C25AD7" w:rsidP="002F4ABA">
            <w:pPr>
              <w:keepLines/>
              <w:spacing w:before="40" w:after="40" w:line="200" w:lineRule="atLeast"/>
              <w:rPr>
                <w:rFonts w:asciiTheme="minorHAnsi" w:eastAsia="Times New Roman" w:hAnsiTheme="minorHAnsi"/>
                <w:sz w:val="16"/>
                <w:szCs w:val="16"/>
              </w:rPr>
            </w:pPr>
            <w:r>
              <w:rPr>
                <w:rFonts w:asciiTheme="minorHAnsi" w:eastAsia="Times New Roman" w:hAnsiTheme="minorHAnsi"/>
                <w:sz w:val="16"/>
                <w:szCs w:val="16"/>
              </w:rPr>
              <w:t>H</w:t>
            </w:r>
            <w:r w:rsidRPr="00930529">
              <w:rPr>
                <w:rFonts w:asciiTheme="minorHAnsi" w:eastAsia="Times New Roman" w:hAnsiTheme="minorHAnsi"/>
                <w:sz w:val="16"/>
                <w:szCs w:val="16"/>
              </w:rPr>
              <w:t>umanitarian emergencie</w:t>
            </w:r>
            <w:r>
              <w:rPr>
                <w:rFonts w:asciiTheme="minorHAnsi" w:eastAsia="Times New Roman" w:hAnsiTheme="minorHAnsi"/>
                <w:sz w:val="16"/>
                <w:szCs w:val="16"/>
              </w:rPr>
              <w:t>s and disasters disrupt programs</w:t>
            </w:r>
          </w:p>
          <w:p w:rsidR="00C25AD7" w:rsidRPr="00CB749D" w:rsidRDefault="00C25AD7" w:rsidP="002F4ABA">
            <w:pPr>
              <w:keepLines/>
              <w:spacing w:before="40" w:after="40" w:line="200" w:lineRule="atLeast"/>
              <w:rPr>
                <w:rFonts w:asciiTheme="minorHAnsi" w:eastAsia="Times New Roman" w:hAnsiTheme="minorHAnsi"/>
                <w:sz w:val="16"/>
                <w:szCs w:val="16"/>
              </w:rPr>
            </w:pPr>
          </w:p>
        </w:tc>
        <w:tc>
          <w:tcPr>
            <w:tcW w:w="2463" w:type="dxa"/>
          </w:tcPr>
          <w:p w:rsidR="00C25AD7" w:rsidRDefault="00C25AD7" w:rsidP="002F4ABA">
            <w:pPr>
              <w:keepLines/>
              <w:spacing w:before="40" w:after="40" w:line="200" w:lineRule="atLeast"/>
              <w:rPr>
                <w:rFonts w:asciiTheme="minorHAnsi" w:eastAsia="Times New Roman" w:hAnsiTheme="minorHAnsi"/>
                <w:sz w:val="16"/>
                <w:szCs w:val="16"/>
              </w:rPr>
            </w:pPr>
            <w:r w:rsidRPr="00CB749D">
              <w:rPr>
                <w:rFonts w:asciiTheme="minorHAnsi" w:eastAsia="Times New Roman" w:hAnsiTheme="minorHAnsi"/>
                <w:sz w:val="16"/>
                <w:szCs w:val="16"/>
              </w:rPr>
              <w:t>Worked to ensure bilateral Aid Investment Plans reflected regional contributions to development relationships.</w:t>
            </w:r>
          </w:p>
          <w:p w:rsidR="00C25AD7" w:rsidRDefault="00C25AD7" w:rsidP="002F4ABA">
            <w:pPr>
              <w:keepLines/>
              <w:spacing w:before="40" w:after="40" w:line="200" w:lineRule="atLeast"/>
              <w:rPr>
                <w:rFonts w:asciiTheme="minorHAnsi" w:eastAsia="Times New Roman" w:hAnsiTheme="minorHAnsi"/>
                <w:sz w:val="16"/>
                <w:szCs w:val="16"/>
              </w:rPr>
            </w:pPr>
          </w:p>
          <w:p w:rsidR="00C25AD7" w:rsidRDefault="00C25AD7" w:rsidP="002F4ABA">
            <w:pPr>
              <w:keepLines/>
              <w:spacing w:before="40" w:after="40" w:line="200" w:lineRule="atLeast"/>
              <w:rPr>
                <w:rFonts w:asciiTheme="minorHAnsi" w:eastAsia="Times New Roman" w:hAnsiTheme="minorHAnsi"/>
                <w:sz w:val="16"/>
                <w:szCs w:val="16"/>
              </w:rPr>
            </w:pPr>
          </w:p>
          <w:p w:rsidR="00C25AD7" w:rsidRPr="00CB749D" w:rsidRDefault="00C25AD7" w:rsidP="002F4ABA">
            <w:pPr>
              <w:keepLines/>
              <w:spacing w:before="40" w:after="40" w:line="200" w:lineRule="atLeast"/>
              <w:rPr>
                <w:rFonts w:asciiTheme="minorHAnsi" w:eastAsia="Times New Roman" w:hAnsiTheme="minorHAnsi"/>
                <w:sz w:val="16"/>
                <w:szCs w:val="16"/>
              </w:rPr>
            </w:pPr>
            <w:r>
              <w:rPr>
                <w:rFonts w:asciiTheme="minorHAnsi" w:eastAsia="Times New Roman" w:hAnsiTheme="minorHAnsi"/>
                <w:sz w:val="16"/>
                <w:szCs w:val="16"/>
              </w:rPr>
              <w:t>New Risk</w:t>
            </w:r>
          </w:p>
        </w:tc>
        <w:tc>
          <w:tcPr>
            <w:tcW w:w="2519" w:type="dxa"/>
          </w:tcPr>
          <w:p w:rsidR="00C25AD7" w:rsidRDefault="00C25AD7" w:rsidP="002F4ABA">
            <w:pPr>
              <w:keepLines/>
              <w:spacing w:before="40" w:after="40" w:line="200" w:lineRule="atLeast"/>
              <w:rPr>
                <w:rFonts w:asciiTheme="minorHAnsi" w:eastAsia="Times New Roman" w:hAnsiTheme="minorHAnsi"/>
                <w:sz w:val="16"/>
                <w:szCs w:val="16"/>
              </w:rPr>
            </w:pPr>
            <w:r>
              <w:rPr>
                <w:rFonts w:asciiTheme="minorHAnsi" w:eastAsia="Times New Roman" w:hAnsiTheme="minorHAnsi"/>
                <w:sz w:val="16"/>
                <w:szCs w:val="16"/>
              </w:rPr>
              <w:t>Pacific Performance and Quality Section</w:t>
            </w:r>
            <w:r w:rsidRPr="00CB749D">
              <w:rPr>
                <w:rFonts w:asciiTheme="minorHAnsi" w:eastAsia="Times New Roman" w:hAnsiTheme="minorHAnsi"/>
                <w:sz w:val="16"/>
                <w:szCs w:val="16"/>
              </w:rPr>
              <w:t xml:space="preserve"> will </w:t>
            </w:r>
            <w:r>
              <w:rPr>
                <w:rFonts w:asciiTheme="minorHAnsi" w:eastAsia="Times New Roman" w:hAnsiTheme="minorHAnsi"/>
                <w:sz w:val="16"/>
                <w:szCs w:val="16"/>
              </w:rPr>
              <w:t>carry out an independent</w:t>
            </w:r>
            <w:r w:rsidRPr="00CB749D">
              <w:rPr>
                <w:rFonts w:asciiTheme="minorHAnsi" w:eastAsia="Times New Roman" w:hAnsiTheme="minorHAnsi"/>
                <w:sz w:val="16"/>
                <w:szCs w:val="16"/>
              </w:rPr>
              <w:t xml:space="preserve"> knowledge m</w:t>
            </w:r>
            <w:r>
              <w:rPr>
                <w:rFonts w:asciiTheme="minorHAnsi" w:eastAsia="Times New Roman" w:hAnsiTheme="minorHAnsi"/>
                <w:sz w:val="16"/>
                <w:szCs w:val="16"/>
              </w:rPr>
              <w:t>anagement audit to improve cooperation and knowledge sharing.</w:t>
            </w:r>
          </w:p>
          <w:p w:rsidR="00C25AD7" w:rsidRDefault="00C25AD7" w:rsidP="002F4ABA">
            <w:pPr>
              <w:keepLines/>
              <w:spacing w:before="40" w:after="40" w:line="200" w:lineRule="atLeast"/>
              <w:rPr>
                <w:rFonts w:asciiTheme="minorHAnsi" w:eastAsia="Times New Roman" w:hAnsiTheme="minorHAnsi"/>
                <w:sz w:val="16"/>
                <w:szCs w:val="16"/>
              </w:rPr>
            </w:pPr>
          </w:p>
          <w:p w:rsidR="00C25AD7" w:rsidRPr="00CB749D" w:rsidRDefault="00C25AD7" w:rsidP="002F4ABA">
            <w:pPr>
              <w:keepLines/>
              <w:spacing w:before="40" w:after="40" w:line="200" w:lineRule="atLeast"/>
              <w:rPr>
                <w:rFonts w:asciiTheme="minorHAnsi" w:eastAsia="Times New Roman" w:hAnsiTheme="minorHAnsi"/>
                <w:sz w:val="16"/>
                <w:szCs w:val="16"/>
              </w:rPr>
            </w:pPr>
            <w:r w:rsidRPr="001D5E9E">
              <w:rPr>
                <w:rFonts w:asciiTheme="minorHAnsi" w:eastAsia="Times New Roman" w:hAnsiTheme="minorHAnsi"/>
                <w:sz w:val="16"/>
                <w:szCs w:val="16"/>
              </w:rPr>
              <w:t>Climate change and disaster resilience built into aid programs (managing climate and other disaster risks), scenario planning and disaster response plans.</w:t>
            </w:r>
          </w:p>
        </w:tc>
        <w:tc>
          <w:tcPr>
            <w:tcW w:w="2303" w:type="dxa"/>
          </w:tcPr>
          <w:p w:rsidR="00C25AD7" w:rsidRDefault="00C25AD7" w:rsidP="002F4ABA">
            <w:pPr>
              <w:keepLines/>
              <w:spacing w:before="40" w:after="40" w:line="200" w:lineRule="atLeast"/>
              <w:rPr>
                <w:rFonts w:asciiTheme="minorHAnsi" w:eastAsia="Times New Roman" w:hAnsiTheme="minorHAnsi"/>
                <w:sz w:val="16"/>
                <w:szCs w:val="16"/>
              </w:rPr>
            </w:pPr>
            <w:r w:rsidRPr="00CB749D">
              <w:rPr>
                <w:rFonts w:asciiTheme="minorHAnsi" w:eastAsia="Times New Roman" w:hAnsiTheme="minorHAnsi"/>
                <w:sz w:val="16"/>
                <w:szCs w:val="16"/>
              </w:rPr>
              <w:t>Medium. It remains difficult to coordinate across the full range of programs.</w:t>
            </w:r>
          </w:p>
          <w:p w:rsidR="00C25AD7" w:rsidRDefault="00C25AD7" w:rsidP="002F4ABA">
            <w:pPr>
              <w:keepLines/>
              <w:spacing w:before="40" w:after="40" w:line="200" w:lineRule="atLeast"/>
              <w:rPr>
                <w:rFonts w:asciiTheme="minorHAnsi" w:eastAsia="Times New Roman" w:hAnsiTheme="minorHAnsi"/>
                <w:sz w:val="16"/>
                <w:szCs w:val="16"/>
              </w:rPr>
            </w:pPr>
          </w:p>
          <w:p w:rsidR="00C25AD7" w:rsidRDefault="00C25AD7" w:rsidP="002F4ABA">
            <w:pPr>
              <w:keepLines/>
              <w:spacing w:before="40" w:after="40" w:line="200" w:lineRule="atLeast"/>
              <w:rPr>
                <w:rFonts w:asciiTheme="minorHAnsi" w:eastAsia="Times New Roman" w:hAnsiTheme="minorHAnsi"/>
                <w:sz w:val="16"/>
                <w:szCs w:val="16"/>
              </w:rPr>
            </w:pPr>
          </w:p>
          <w:p w:rsidR="00C25AD7" w:rsidRDefault="00C25AD7" w:rsidP="002F4ABA">
            <w:pPr>
              <w:keepLines/>
              <w:spacing w:before="40" w:after="40" w:line="200" w:lineRule="atLeast"/>
              <w:rPr>
                <w:rFonts w:asciiTheme="minorHAnsi" w:eastAsia="Times New Roman" w:hAnsiTheme="minorHAnsi"/>
                <w:sz w:val="16"/>
                <w:szCs w:val="16"/>
              </w:rPr>
            </w:pPr>
          </w:p>
          <w:p w:rsidR="00C25AD7" w:rsidRPr="00CB749D" w:rsidRDefault="00C25AD7" w:rsidP="002F4ABA">
            <w:pPr>
              <w:keepLines/>
              <w:spacing w:before="40" w:after="40" w:line="200" w:lineRule="atLeast"/>
              <w:rPr>
                <w:rFonts w:asciiTheme="minorHAnsi" w:eastAsia="Times New Roman" w:hAnsiTheme="minorHAnsi"/>
                <w:sz w:val="16"/>
                <w:szCs w:val="16"/>
              </w:rPr>
            </w:pPr>
            <w:r>
              <w:rPr>
                <w:rFonts w:asciiTheme="minorHAnsi" w:eastAsia="Times New Roman" w:hAnsiTheme="minorHAnsi"/>
                <w:sz w:val="16"/>
                <w:szCs w:val="16"/>
              </w:rPr>
              <w:t>Medium - High</w:t>
            </w:r>
          </w:p>
        </w:tc>
      </w:tr>
    </w:tbl>
    <w:p w:rsidR="00C25AD7" w:rsidRPr="002A51CA" w:rsidRDefault="00C25AD7" w:rsidP="00C25AD7">
      <w:pPr>
        <w:pStyle w:val="Heading2"/>
      </w:pPr>
      <w:r>
        <w:t>Management Responses</w:t>
      </w:r>
    </w:p>
    <w:p w:rsidR="00C25AD7" w:rsidRDefault="00C25AD7" w:rsidP="00C25AD7">
      <w:pPr>
        <w:rPr>
          <w:rFonts w:eastAsia="Times New Roman"/>
        </w:rPr>
      </w:pPr>
      <w:r>
        <w:t>Four of the six</w:t>
      </w:r>
      <w:r w:rsidRPr="00F213FD">
        <w:t xml:space="preserve"> management responses identified in the 2015-16 APPR were achieved in 2016-17. We achieved </w:t>
      </w:r>
      <w:r>
        <w:t xml:space="preserve">our responses related to </w:t>
      </w:r>
      <w:r w:rsidRPr="00F213FD">
        <w:t xml:space="preserve">consolidation, ensured our investments met the test for regionalism, carried out spot checks on AQC ratings and </w:t>
      </w:r>
      <w:r>
        <w:t>delivery of evaluations.</w:t>
      </w:r>
    </w:p>
    <w:p w:rsidR="00C25AD7" w:rsidRPr="00F427C0" w:rsidRDefault="00C25AD7" w:rsidP="00C25AD7">
      <w:pPr>
        <w:spacing w:after="120" w:line="280" w:lineRule="exact"/>
      </w:pPr>
      <w:r w:rsidRPr="00F427C0">
        <w:t>There is no Performance Assessment Framework (PAF) for the Pacific Regional program.  We decided to shift our focus to better support and provide input into the soon to be relea</w:t>
      </w:r>
      <w:r>
        <w:t>sed Foreign Policy White Paper and s</w:t>
      </w:r>
      <w:r w:rsidRPr="00F427C0">
        <w:t>tep</w:t>
      </w:r>
      <w:r>
        <w:t>-u</w:t>
      </w:r>
      <w:r w:rsidRPr="00F427C0">
        <w:t xml:space="preserve">p in Pacific </w:t>
      </w:r>
      <w:r>
        <w:t>e</w:t>
      </w:r>
      <w:r w:rsidRPr="00F427C0">
        <w:t xml:space="preserve">ngagement </w:t>
      </w:r>
      <w:r>
        <w:t>p</w:t>
      </w:r>
      <w:r w:rsidRPr="00F427C0">
        <w:t>olic</w:t>
      </w:r>
      <w:r>
        <w:t>y</w:t>
      </w:r>
      <w:r w:rsidRPr="00F427C0">
        <w:t xml:space="preserve">. These will reshape our benchmarks and targets for 2018-19 and beyond. </w:t>
      </w:r>
      <w:r w:rsidRPr="00F427C0">
        <w:rPr>
          <w:rFonts w:eastAsia="Times New Roman"/>
          <w:iCs/>
          <w:szCs w:val="17"/>
        </w:rPr>
        <w:t xml:space="preserve">We will </w:t>
      </w:r>
      <w:r>
        <w:rPr>
          <w:rFonts w:eastAsia="Times New Roman"/>
          <w:iCs/>
          <w:szCs w:val="17"/>
        </w:rPr>
        <w:t xml:space="preserve">then be in a better position to consider a </w:t>
      </w:r>
      <w:r w:rsidRPr="00F427C0">
        <w:rPr>
          <w:rFonts w:eastAsia="Times New Roman"/>
          <w:iCs/>
          <w:szCs w:val="17"/>
        </w:rPr>
        <w:t>PAF</w:t>
      </w:r>
      <w:r>
        <w:rPr>
          <w:rFonts w:eastAsia="Times New Roman"/>
          <w:iCs/>
          <w:szCs w:val="17"/>
        </w:rPr>
        <w:t>.</w:t>
      </w:r>
    </w:p>
    <w:p w:rsidR="00C25AD7" w:rsidRDefault="00C25AD7" w:rsidP="00C25AD7">
      <w:r w:rsidRPr="00E57D5D">
        <w:t xml:space="preserve">In 2017-18 as the </w:t>
      </w:r>
      <w:r>
        <w:t>Pacific Regional p</w:t>
      </w:r>
      <w:r w:rsidRPr="00E57D5D">
        <w:t xml:space="preserve">rogram shifts to implement new </w:t>
      </w:r>
      <w:r>
        <w:t xml:space="preserve">Aid policies and priorities, DFAT </w:t>
      </w:r>
      <w:r w:rsidRPr="00E57D5D">
        <w:t xml:space="preserve">will </w:t>
      </w:r>
      <w:r>
        <w:t>continue to identify</w:t>
      </w:r>
      <w:r w:rsidRPr="00E57D5D">
        <w:t xml:space="preserve"> opportunities to better integrate gender and </w:t>
      </w:r>
      <w:r>
        <w:t>disability i</w:t>
      </w:r>
      <w:r w:rsidRPr="00E57D5D">
        <w:t>nto</w:t>
      </w:r>
      <w:r>
        <w:t xml:space="preserve"> all investments, with a particular focus on</w:t>
      </w:r>
      <w:r w:rsidRPr="00E57D5D">
        <w:t xml:space="preserve"> economic growth investments</w:t>
      </w:r>
      <w:r>
        <w:t>, including through the scale up of investments by the multilateral development banks</w:t>
      </w:r>
      <w:r w:rsidRPr="00E57D5D">
        <w:t xml:space="preserve">. </w:t>
      </w:r>
    </w:p>
    <w:p w:rsidR="00C25AD7" w:rsidRDefault="00C25AD7" w:rsidP="00C25AD7">
      <w:r>
        <w:t>We will continue to focus on strengthening the coherence between regional and bilateral programs and strengthen the alignment and complementarity of activities.</w:t>
      </w:r>
    </w:p>
    <w:p w:rsidR="00C25AD7" w:rsidRDefault="00C25AD7" w:rsidP="00C25AD7">
      <w:r>
        <w:br w:type="page"/>
      </w:r>
    </w:p>
    <w:p w:rsidR="00C25AD7" w:rsidRDefault="00C25AD7" w:rsidP="00C25AD7">
      <w:pPr>
        <w:sectPr w:rsidR="00C25AD7" w:rsidSect="002F4ABA">
          <w:headerReference w:type="even" r:id="rId25"/>
          <w:headerReference w:type="default" r:id="rId26"/>
          <w:headerReference w:type="first" r:id="rId27"/>
          <w:footerReference w:type="first" r:id="rId28"/>
          <w:footnotePr>
            <w:numRestart w:val="eachPage"/>
          </w:footnotePr>
          <w:pgSz w:w="11906" w:h="16838" w:code="9"/>
          <w:pgMar w:top="1814" w:right="851" w:bottom="851" w:left="851" w:header="709" w:footer="232" w:gutter="0"/>
          <w:cols w:space="708"/>
          <w:titlePg/>
          <w:docGrid w:linePitch="360"/>
        </w:sectPr>
      </w:pPr>
    </w:p>
    <w:p w:rsidR="00C25AD7" w:rsidRPr="00400B0F" w:rsidRDefault="00C25AD7" w:rsidP="00C25AD7">
      <w:pPr>
        <w:pStyle w:val="Subtitle"/>
        <w:numPr>
          <w:ilvl w:val="0"/>
          <w:numId w:val="0"/>
        </w:numPr>
      </w:pPr>
      <w:r w:rsidRPr="00400B0F">
        <w:lastRenderedPageBreak/>
        <w:t>Annex A - Progress in Addressing Management Responses</w:t>
      </w:r>
    </w:p>
    <w:p w:rsidR="00C25AD7" w:rsidRPr="00C61187" w:rsidRDefault="00C25AD7" w:rsidP="00C25AD7">
      <w:r w:rsidRPr="00C61187">
        <w:t>Describe progress made again</w:t>
      </w:r>
      <w:r>
        <w:t>st management responses in 2015-16</w:t>
      </w:r>
      <w:r w:rsidRPr="00C61187">
        <w:t xml:space="preserve"> report</w:t>
      </w:r>
      <w:r>
        <w:t xml:space="preserve"> </w:t>
      </w:r>
    </w:p>
    <w:tbl>
      <w:tblPr>
        <w:tblStyle w:val="APPR"/>
        <w:tblpPr w:leftFromText="180" w:rightFromText="180" w:vertAnchor="text" w:horzAnchor="margin" w:tblpY="130"/>
        <w:tblW w:w="5003" w:type="pct"/>
        <w:tblLayout w:type="fixed"/>
        <w:tblLook w:val="0000" w:firstRow="0" w:lastRow="0" w:firstColumn="0" w:lastColumn="0" w:noHBand="0" w:noVBand="0"/>
      </w:tblPr>
      <w:tblGrid>
        <w:gridCol w:w="6391"/>
        <w:gridCol w:w="1256"/>
        <w:gridCol w:w="6535"/>
      </w:tblGrid>
      <w:tr w:rsidR="00C25AD7" w:rsidRPr="00A427C6" w:rsidTr="002F4ABA">
        <w:trPr>
          <w:cnfStyle w:val="000000010000" w:firstRow="0" w:lastRow="0" w:firstColumn="0" w:lastColumn="0" w:oddVBand="0" w:evenVBand="0" w:oddHBand="0" w:evenHBand="1" w:firstRowFirstColumn="0" w:firstRowLastColumn="0" w:lastRowFirstColumn="0" w:lastRowLastColumn="0"/>
        </w:trPr>
        <w:tc>
          <w:tcPr>
            <w:tcW w:w="6349" w:type="dxa"/>
          </w:tcPr>
          <w:p w:rsidR="00C25AD7" w:rsidRPr="00A427C6" w:rsidRDefault="00C25AD7" w:rsidP="002F4ABA">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Manageme</w:t>
            </w:r>
            <w:r>
              <w:rPr>
                <w:rFonts w:asciiTheme="minorHAnsi" w:eastAsia="Times New Roman" w:hAnsiTheme="minorHAnsi"/>
                <w:b/>
                <w:iCs/>
                <w:szCs w:val="17"/>
                <w:lang w:eastAsia="en-US"/>
              </w:rPr>
              <w:t>nt responses identified in 20</w:t>
            </w:r>
            <w:r w:rsidRPr="00A427C6">
              <w:rPr>
                <w:rFonts w:asciiTheme="minorHAnsi" w:eastAsia="Times New Roman" w:hAnsiTheme="minorHAnsi"/>
                <w:b/>
                <w:iCs/>
                <w:szCs w:val="17"/>
                <w:lang w:eastAsia="en-US"/>
              </w:rPr>
              <w:t>15</w:t>
            </w:r>
            <w:r>
              <w:rPr>
                <w:rFonts w:asciiTheme="minorHAnsi" w:eastAsia="Times New Roman" w:hAnsiTheme="minorHAnsi"/>
                <w:b/>
                <w:iCs/>
                <w:szCs w:val="17"/>
                <w:lang w:eastAsia="en-US"/>
              </w:rPr>
              <w:t>-16</w:t>
            </w:r>
            <w:r w:rsidRPr="00A427C6">
              <w:rPr>
                <w:rFonts w:asciiTheme="minorHAnsi" w:eastAsia="Times New Roman" w:hAnsiTheme="minorHAnsi"/>
                <w:b/>
                <w:iCs/>
                <w:szCs w:val="17"/>
                <w:lang w:eastAsia="en-US"/>
              </w:rPr>
              <w:t xml:space="preserve"> APPR</w:t>
            </w:r>
            <w:r w:rsidRPr="00A427C6">
              <w:rPr>
                <w:rFonts w:asciiTheme="minorHAnsi" w:eastAsia="Times New Roman" w:hAnsiTheme="minorHAnsi"/>
                <w:b/>
                <w:iCs/>
                <w:szCs w:val="17"/>
                <w:lang w:eastAsia="en-US"/>
              </w:rPr>
              <w:tab/>
            </w:r>
          </w:p>
        </w:tc>
        <w:tc>
          <w:tcPr>
            <w:tcW w:w="1228" w:type="dxa"/>
          </w:tcPr>
          <w:p w:rsidR="00C25AD7" w:rsidRPr="00A427C6" w:rsidRDefault="00C25AD7" w:rsidP="002F4ABA">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Rating</w:t>
            </w:r>
          </w:p>
        </w:tc>
        <w:tc>
          <w:tcPr>
            <w:tcW w:w="6493" w:type="dxa"/>
          </w:tcPr>
          <w:p w:rsidR="00C25AD7" w:rsidRPr="00A427C6" w:rsidRDefault="00C25AD7" w:rsidP="002F4ABA">
            <w:pPr>
              <w:keepLines/>
              <w:spacing w:before="80" w:after="80" w:line="200" w:lineRule="atLeast"/>
              <w:jc w:val="center"/>
              <w:rPr>
                <w:rFonts w:asciiTheme="minorHAnsi" w:eastAsia="Times New Roman" w:hAnsiTheme="minorHAnsi"/>
                <w:b/>
                <w:iCs/>
                <w:szCs w:val="17"/>
                <w:lang w:eastAsia="en-US"/>
              </w:rPr>
            </w:pPr>
            <w:r>
              <w:rPr>
                <w:rFonts w:asciiTheme="minorHAnsi" w:eastAsia="Times New Roman" w:hAnsiTheme="minorHAnsi"/>
                <w:b/>
                <w:iCs/>
                <w:szCs w:val="17"/>
                <w:lang w:eastAsia="en-US"/>
              </w:rPr>
              <w:t>Progress made in 20</w:t>
            </w:r>
            <w:r w:rsidRPr="00A427C6">
              <w:rPr>
                <w:rFonts w:asciiTheme="minorHAnsi" w:eastAsia="Times New Roman" w:hAnsiTheme="minorHAnsi"/>
                <w:b/>
                <w:iCs/>
                <w:szCs w:val="17"/>
                <w:lang w:eastAsia="en-US"/>
              </w:rPr>
              <w:t>16</w:t>
            </w:r>
            <w:r>
              <w:rPr>
                <w:rFonts w:asciiTheme="minorHAnsi" w:eastAsia="Times New Roman" w:hAnsiTheme="minorHAnsi"/>
                <w:b/>
                <w:iCs/>
                <w:szCs w:val="17"/>
                <w:lang w:eastAsia="en-US"/>
              </w:rPr>
              <w:t>-17</w:t>
            </w:r>
          </w:p>
        </w:tc>
      </w:tr>
      <w:tr w:rsidR="00C25AD7" w:rsidRPr="00A427C6" w:rsidTr="002F4ABA">
        <w:trPr>
          <w:cnfStyle w:val="000000010000" w:firstRow="0" w:lastRow="0" w:firstColumn="0" w:lastColumn="0" w:oddVBand="0" w:evenVBand="0" w:oddHBand="0" w:evenHBand="1" w:firstRowFirstColumn="0" w:firstRowLastColumn="0" w:lastRowFirstColumn="0" w:lastRowLastColumn="0"/>
        </w:trPr>
        <w:tc>
          <w:tcPr>
            <w:tcW w:w="6349" w:type="dxa"/>
          </w:tcPr>
          <w:p w:rsidR="00C25AD7" w:rsidRPr="00A427C6" w:rsidRDefault="00C25AD7" w:rsidP="002F4ABA">
            <w:pPr>
              <w:rPr>
                <w:rFonts w:asciiTheme="minorHAnsi" w:eastAsia="Times New Roman" w:hAnsiTheme="minorHAnsi"/>
                <w:iCs/>
                <w:szCs w:val="17"/>
                <w:lang w:eastAsia="en-US"/>
              </w:rPr>
            </w:pPr>
            <w:r w:rsidRPr="001E30BA">
              <w:rPr>
                <w:rFonts w:asciiTheme="minorHAnsi" w:eastAsia="Times New Roman" w:hAnsiTheme="minorHAnsi"/>
                <w:iCs/>
                <w:szCs w:val="17"/>
                <w:lang w:eastAsia="en-US"/>
              </w:rPr>
              <w:t xml:space="preserve">In 2016-17, we will continue with our work to consolidate the number of activities in order to improve effectiveness and efficiency of the Pacific regional program. This will involve reducing investments as some come to completion as well as transitioning our support for some activities to new management arrangements and funding support. This is required to make further funding available for new and emerging priorities of the government, including </w:t>
            </w:r>
            <w:r>
              <w:rPr>
                <w:rFonts w:asciiTheme="minorHAnsi" w:eastAsia="Times New Roman" w:hAnsiTheme="minorHAnsi"/>
                <w:iCs/>
                <w:szCs w:val="17"/>
                <w:lang w:eastAsia="en-US"/>
              </w:rPr>
              <w:t>the implementation of the Pacific</w:t>
            </w:r>
            <w:r w:rsidRPr="001E30BA">
              <w:rPr>
                <w:rFonts w:asciiTheme="minorHAnsi" w:eastAsia="Times New Roman" w:hAnsiTheme="minorHAnsi"/>
                <w:iCs/>
                <w:szCs w:val="17"/>
                <w:lang w:eastAsia="en-US"/>
              </w:rPr>
              <w:t>.</w:t>
            </w:r>
          </w:p>
        </w:tc>
        <w:tc>
          <w:tcPr>
            <w:tcW w:w="1228" w:type="dxa"/>
            <w:shd w:val="clear" w:color="auto" w:fill="92D050"/>
          </w:tcPr>
          <w:p w:rsidR="00C25AD7" w:rsidRPr="00A427C6" w:rsidRDefault="00C25AD7" w:rsidP="002F4ABA">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Achieved</w:t>
            </w:r>
          </w:p>
        </w:tc>
        <w:tc>
          <w:tcPr>
            <w:tcW w:w="6493" w:type="dxa"/>
          </w:tcPr>
          <w:p w:rsidR="00C25AD7" w:rsidRPr="001977BC" w:rsidRDefault="00C25AD7" w:rsidP="002F4ABA">
            <w:pPr>
              <w:rPr>
                <w:rFonts w:asciiTheme="minorHAnsi" w:eastAsia="Times New Roman" w:hAnsiTheme="minorHAnsi"/>
                <w:iCs/>
                <w:szCs w:val="17"/>
                <w:lang w:eastAsia="en-US"/>
              </w:rPr>
            </w:pPr>
            <w:r>
              <w:rPr>
                <w:rFonts w:asciiTheme="minorHAnsi" w:eastAsia="Times New Roman" w:hAnsiTheme="minorHAnsi"/>
                <w:iCs/>
                <w:szCs w:val="17"/>
                <w:lang w:eastAsia="en-US"/>
              </w:rPr>
              <w:t>DFAT has continued</w:t>
            </w:r>
            <w:r w:rsidRPr="001977BC">
              <w:rPr>
                <w:rFonts w:asciiTheme="minorHAnsi" w:eastAsia="Times New Roman" w:hAnsiTheme="minorHAnsi"/>
                <w:iCs/>
                <w:szCs w:val="17"/>
                <w:lang w:eastAsia="en-US"/>
              </w:rPr>
              <w:t xml:space="preserve"> to consolidate and reduce Pacific regional governance activities to improve</w:t>
            </w:r>
            <w:r>
              <w:rPr>
                <w:rFonts w:asciiTheme="minorHAnsi" w:eastAsia="Times New Roman" w:hAnsiTheme="minorHAnsi"/>
                <w:iCs/>
                <w:szCs w:val="17"/>
                <w:lang w:eastAsia="en-US"/>
              </w:rPr>
              <w:t xml:space="preserve"> effectiveness and efficiency. </w:t>
            </w:r>
            <w:r>
              <w:t xml:space="preserve"> </w:t>
            </w:r>
            <w:r w:rsidRPr="001B635C">
              <w:rPr>
                <w:rFonts w:asciiTheme="minorHAnsi" w:eastAsia="Times New Roman" w:hAnsiTheme="minorHAnsi"/>
                <w:iCs/>
                <w:szCs w:val="17"/>
                <w:lang w:eastAsia="en-US"/>
              </w:rPr>
              <w:t>Consolidation of the Pacific Regional program has continued with the number of investments in 2016 17 reduced to 66 from a July 2013 baseline of 98.</w:t>
            </w:r>
            <w:r>
              <w:rPr>
                <w:rStyle w:val="FootnoteReference"/>
                <w:rFonts w:asciiTheme="minorHAnsi" w:eastAsia="Times New Roman" w:hAnsiTheme="minorHAnsi"/>
                <w:iCs/>
                <w:szCs w:val="17"/>
                <w:lang w:eastAsia="en-US"/>
              </w:rPr>
              <w:footnoteReference w:id="19"/>
            </w:r>
            <w:r w:rsidRPr="001B635C">
              <w:rPr>
                <w:rFonts w:asciiTheme="minorHAnsi" w:eastAsia="Times New Roman" w:hAnsiTheme="minorHAnsi"/>
                <w:iCs/>
                <w:szCs w:val="17"/>
                <w:lang w:eastAsia="en-US"/>
              </w:rPr>
              <w:t xml:space="preserve"> This is a 33 per cent reduction.</w:t>
            </w:r>
          </w:p>
        </w:tc>
      </w:tr>
      <w:tr w:rsidR="00C25AD7" w:rsidRPr="00A427C6" w:rsidTr="002F4ABA">
        <w:trPr>
          <w:cnfStyle w:val="000000010000" w:firstRow="0" w:lastRow="0" w:firstColumn="0" w:lastColumn="0" w:oddVBand="0" w:evenVBand="0" w:oddHBand="0" w:evenHBand="1" w:firstRowFirstColumn="0" w:firstRowLastColumn="0" w:lastRowFirstColumn="0" w:lastRowLastColumn="0"/>
        </w:trPr>
        <w:tc>
          <w:tcPr>
            <w:tcW w:w="6349" w:type="dxa"/>
          </w:tcPr>
          <w:p w:rsidR="00C25AD7" w:rsidRPr="00A427C6" w:rsidRDefault="00C25AD7" w:rsidP="002F4ABA">
            <w:pPr>
              <w:keepLines/>
              <w:spacing w:before="40" w:after="40" w:line="200" w:lineRule="atLeast"/>
              <w:rPr>
                <w:rFonts w:asciiTheme="minorHAnsi" w:eastAsia="Times New Roman" w:hAnsiTheme="minorHAnsi"/>
                <w:iCs/>
                <w:szCs w:val="17"/>
                <w:lang w:eastAsia="en-US"/>
              </w:rPr>
            </w:pPr>
            <w:r w:rsidRPr="001E30BA">
              <w:rPr>
                <w:rFonts w:asciiTheme="minorHAnsi" w:eastAsia="Times New Roman" w:hAnsiTheme="minorHAnsi"/>
                <w:iCs/>
                <w:szCs w:val="17"/>
                <w:lang w:eastAsia="en-US"/>
              </w:rPr>
              <w:t xml:space="preserve">We will ensure that our future investments in the regional program are consistent with the Framework for Pacific Regionalism. </w:t>
            </w:r>
          </w:p>
        </w:tc>
        <w:tc>
          <w:tcPr>
            <w:tcW w:w="1228" w:type="dxa"/>
            <w:shd w:val="clear" w:color="auto" w:fill="92D050"/>
          </w:tcPr>
          <w:p w:rsidR="00C25AD7" w:rsidRPr="00A427C6" w:rsidRDefault="00C25AD7" w:rsidP="002F4ABA">
            <w:pPr>
              <w:keepLines/>
              <w:spacing w:before="40" w:after="40" w:line="200" w:lineRule="atLeast"/>
              <w:jc w:val="center"/>
              <w:rPr>
                <w:rFonts w:asciiTheme="minorHAnsi" w:eastAsia="Times New Roman" w:hAnsiTheme="minorHAnsi"/>
                <w:iCs/>
                <w:color w:val="FFFFFF" w:themeColor="background1"/>
                <w:szCs w:val="17"/>
                <w:lang w:eastAsia="en-US"/>
              </w:rPr>
            </w:pPr>
            <w:r>
              <w:rPr>
                <w:rFonts w:eastAsia="Times New Roman"/>
                <w:iCs/>
                <w:color w:val="FFFFFF" w:themeColor="background1"/>
                <w:szCs w:val="17"/>
              </w:rPr>
              <w:t>Achieved</w:t>
            </w:r>
            <w:r w:rsidRPr="00A427C6">
              <w:rPr>
                <w:rFonts w:eastAsia="Times New Roman"/>
                <w:iCs/>
                <w:color w:val="FFFFFF" w:themeColor="background1"/>
                <w:szCs w:val="17"/>
              </w:rPr>
              <w:fldChar w:fldCharType="begin"/>
            </w:r>
            <w:r w:rsidRPr="00A427C6">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Pr="00A427C6">
              <w:rPr>
                <w:rFonts w:eastAsia="Times New Roman"/>
                <w:iCs/>
                <w:color w:val="FFFFFF" w:themeColor="background1"/>
                <w:szCs w:val="17"/>
              </w:rPr>
              <w:fldChar w:fldCharType="end"/>
            </w:r>
          </w:p>
        </w:tc>
        <w:tc>
          <w:tcPr>
            <w:tcW w:w="6493" w:type="dxa"/>
          </w:tcPr>
          <w:p w:rsidR="00C25AD7" w:rsidRDefault="00C25AD7" w:rsidP="002F4ABA">
            <w:pPr>
              <w:keepLines/>
              <w:spacing w:before="40" w:after="40" w:line="200" w:lineRule="atLeast"/>
              <w:rPr>
                <w:rFonts w:asciiTheme="minorHAnsi" w:eastAsia="Times New Roman" w:hAnsiTheme="minorHAnsi"/>
                <w:iCs/>
                <w:szCs w:val="17"/>
                <w:lang w:eastAsia="en-US"/>
              </w:rPr>
            </w:pPr>
            <w:r w:rsidRPr="001977BC">
              <w:rPr>
                <w:rFonts w:asciiTheme="minorHAnsi" w:eastAsia="Times New Roman" w:hAnsiTheme="minorHAnsi"/>
                <w:iCs/>
                <w:szCs w:val="17"/>
                <w:lang w:eastAsia="en-US"/>
              </w:rPr>
              <w:t xml:space="preserve">DFAT reduced funding for and scaled down the objectives of regional governance programs to better align the programs with the Government’s strategic priorities.  For example, the Pacific Media Assistance Scheme (PACMAS) Phase 3 (2017-2019) design prescribes the four thematic activity pillars to reflect the APPR’s key objectives (and government strategic priorities): 1) Increased economic growth; 2) Healthy and resilient communities; 3) More efficient regional institutions and 4)  Empowerment of women and girls. </w:t>
            </w:r>
          </w:p>
          <w:p w:rsidR="00C25AD7" w:rsidRPr="001977BC" w:rsidRDefault="00C25AD7" w:rsidP="002F4ABA">
            <w:pPr>
              <w:keepLines/>
              <w:spacing w:before="40" w:after="40" w:line="200" w:lineRule="atLeast"/>
              <w:rPr>
                <w:rFonts w:asciiTheme="minorHAnsi" w:eastAsia="Times New Roman" w:hAnsiTheme="minorHAnsi"/>
                <w:iCs/>
                <w:szCs w:val="17"/>
                <w:lang w:eastAsia="en-US"/>
              </w:rPr>
            </w:pPr>
          </w:p>
          <w:p w:rsidR="00C25AD7" w:rsidRPr="001977BC" w:rsidRDefault="00C25AD7" w:rsidP="002F4ABA">
            <w:pPr>
              <w:keepLines/>
              <w:spacing w:before="40" w:after="40" w:line="200" w:lineRule="atLeast"/>
              <w:rPr>
                <w:rFonts w:asciiTheme="minorHAnsi" w:eastAsia="Times New Roman" w:hAnsiTheme="minorHAnsi"/>
                <w:iCs/>
                <w:szCs w:val="17"/>
                <w:lang w:eastAsia="en-US"/>
              </w:rPr>
            </w:pPr>
            <w:r w:rsidRPr="001977BC">
              <w:rPr>
                <w:rFonts w:asciiTheme="minorHAnsi" w:eastAsia="Times New Roman" w:hAnsiTheme="minorHAnsi"/>
                <w:iCs/>
                <w:szCs w:val="17"/>
                <w:lang w:eastAsia="en-US"/>
              </w:rPr>
              <w:t>DFAT has consulted the Framework For Pacific Regionalism Test in the d</w:t>
            </w:r>
            <w:r>
              <w:rPr>
                <w:rFonts w:asciiTheme="minorHAnsi" w:eastAsia="Times New Roman" w:hAnsiTheme="minorHAnsi"/>
                <w:iCs/>
                <w:szCs w:val="17"/>
                <w:lang w:eastAsia="en-US"/>
              </w:rPr>
              <w:t>esign of new activities, including</w:t>
            </w:r>
            <w:r w:rsidRPr="001977BC">
              <w:rPr>
                <w:rFonts w:asciiTheme="minorHAnsi" w:eastAsia="Times New Roman" w:hAnsiTheme="minorHAnsi"/>
                <w:iCs/>
                <w:szCs w:val="17"/>
                <w:lang w:eastAsia="en-US"/>
              </w:rPr>
              <w:t xml:space="preserve"> the Pacific Islands, Australia and New Zealand Electoral Administration Network (PIANZEA), the Pacific Community’s Regional Rights Resource Team (RRRT), the International Monetary Fund’s Pacific Technical Assistance Center (PFTAC) and the Pacific Media Assistance Scheme.</w:t>
            </w:r>
          </w:p>
        </w:tc>
      </w:tr>
      <w:tr w:rsidR="00C25AD7" w:rsidRPr="00A427C6" w:rsidTr="002F4ABA">
        <w:trPr>
          <w:cnfStyle w:val="000000010000" w:firstRow="0" w:lastRow="0" w:firstColumn="0" w:lastColumn="0" w:oddVBand="0" w:evenVBand="0" w:oddHBand="0" w:evenHBand="1" w:firstRowFirstColumn="0" w:firstRowLastColumn="0" w:lastRowFirstColumn="0" w:lastRowLastColumn="0"/>
        </w:trPr>
        <w:tc>
          <w:tcPr>
            <w:tcW w:w="6349" w:type="dxa"/>
          </w:tcPr>
          <w:p w:rsidR="00C25AD7" w:rsidRPr="00A427C6" w:rsidRDefault="00C25AD7" w:rsidP="002F4ABA">
            <w:pPr>
              <w:keepLines/>
              <w:spacing w:before="40" w:after="40" w:line="200" w:lineRule="atLeast"/>
              <w:rPr>
                <w:rFonts w:asciiTheme="minorHAnsi" w:eastAsia="Times New Roman" w:hAnsiTheme="minorHAnsi"/>
                <w:iCs/>
                <w:szCs w:val="17"/>
                <w:lang w:eastAsia="en-US"/>
              </w:rPr>
            </w:pPr>
            <w:r w:rsidRPr="001E30BA">
              <w:rPr>
                <w:rFonts w:asciiTheme="minorHAnsi" w:eastAsia="Times New Roman" w:hAnsiTheme="minorHAnsi"/>
                <w:iCs/>
                <w:szCs w:val="17"/>
                <w:lang w:eastAsia="en-US"/>
              </w:rPr>
              <w:t>There is currently no Performance Assessment Framework for the Pacific Regional program.  We will consider developing one in 2016-17.</w:t>
            </w:r>
          </w:p>
        </w:tc>
        <w:tc>
          <w:tcPr>
            <w:tcW w:w="1228" w:type="dxa"/>
            <w:shd w:val="clear" w:color="auto" w:fill="FF0000"/>
          </w:tcPr>
          <w:p w:rsidR="00C25AD7" w:rsidRPr="00A427C6" w:rsidRDefault="00C25AD7" w:rsidP="002F4ABA">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Not achieved</w:t>
            </w:r>
          </w:p>
        </w:tc>
        <w:tc>
          <w:tcPr>
            <w:tcW w:w="6493" w:type="dxa"/>
          </w:tcPr>
          <w:p w:rsidR="00C25AD7" w:rsidRPr="00A427C6" w:rsidRDefault="00C25AD7" w:rsidP="002F4ABA">
            <w:pPr>
              <w:keepLines/>
              <w:spacing w:before="40" w:after="40" w:line="200" w:lineRule="atLeast"/>
              <w:rPr>
                <w:rFonts w:asciiTheme="minorHAnsi" w:eastAsia="Times New Roman" w:hAnsiTheme="minorHAnsi"/>
                <w:iCs/>
                <w:color w:val="92D050"/>
                <w:szCs w:val="17"/>
                <w:lang w:eastAsia="en-US"/>
              </w:rPr>
            </w:pPr>
            <w:r w:rsidRPr="00F427C0">
              <w:rPr>
                <w:rFonts w:asciiTheme="minorHAnsi" w:eastAsia="Times New Roman" w:hAnsiTheme="minorHAnsi"/>
                <w:iCs/>
                <w:szCs w:val="17"/>
                <w:lang w:eastAsia="en-US"/>
              </w:rPr>
              <w:t>There is no Performance Assessment Framework (PAF) for the Pacific Regional program.  We decided to shift our focus to better support and provide input into the soon to be released Foreign Policy White Paper</w:t>
            </w:r>
            <w:r>
              <w:rPr>
                <w:rFonts w:asciiTheme="minorHAnsi" w:eastAsia="Times New Roman" w:hAnsiTheme="minorHAnsi"/>
                <w:iCs/>
                <w:szCs w:val="17"/>
                <w:lang w:eastAsia="en-US"/>
              </w:rPr>
              <w:t xml:space="preserve"> </w:t>
            </w:r>
            <w:r w:rsidRPr="003B168F">
              <w:rPr>
                <w:rFonts w:asciiTheme="minorHAnsi" w:eastAsia="Times New Roman" w:hAnsiTheme="minorHAnsi"/>
                <w:iCs/>
                <w:szCs w:val="17"/>
                <w:lang w:eastAsia="en-US"/>
              </w:rPr>
              <w:t>and Australia’s step-up</w:t>
            </w:r>
            <w:r>
              <w:rPr>
                <w:rFonts w:asciiTheme="minorHAnsi" w:eastAsia="Times New Roman" w:hAnsiTheme="minorHAnsi"/>
                <w:iCs/>
                <w:szCs w:val="17"/>
                <w:lang w:eastAsia="en-US"/>
              </w:rPr>
              <w:t xml:space="preserve"> in engagement with the Pacific</w:t>
            </w:r>
            <w:r w:rsidRPr="00F427C0">
              <w:rPr>
                <w:rFonts w:asciiTheme="minorHAnsi" w:eastAsia="Times New Roman" w:hAnsiTheme="minorHAnsi"/>
                <w:iCs/>
                <w:szCs w:val="17"/>
                <w:lang w:eastAsia="en-US"/>
              </w:rPr>
              <w:t xml:space="preserve">. These will reshape our benchmarks and targets for 2018-19 and beyond. We will </w:t>
            </w:r>
            <w:r>
              <w:rPr>
                <w:rFonts w:asciiTheme="minorHAnsi" w:eastAsia="Times New Roman" w:hAnsiTheme="minorHAnsi"/>
                <w:iCs/>
                <w:szCs w:val="17"/>
                <w:lang w:eastAsia="en-US"/>
              </w:rPr>
              <w:t xml:space="preserve">then be in a better position to consider a </w:t>
            </w:r>
            <w:r w:rsidRPr="00F427C0">
              <w:rPr>
                <w:rFonts w:asciiTheme="minorHAnsi" w:eastAsia="Times New Roman" w:hAnsiTheme="minorHAnsi"/>
                <w:iCs/>
                <w:szCs w:val="17"/>
                <w:lang w:eastAsia="en-US"/>
              </w:rPr>
              <w:t>PAF</w:t>
            </w:r>
            <w:r>
              <w:rPr>
                <w:rFonts w:asciiTheme="minorHAnsi" w:eastAsia="Times New Roman" w:hAnsiTheme="minorHAnsi"/>
                <w:iCs/>
                <w:szCs w:val="17"/>
                <w:lang w:eastAsia="en-US"/>
              </w:rPr>
              <w:t>.</w:t>
            </w:r>
          </w:p>
        </w:tc>
      </w:tr>
      <w:tr w:rsidR="00C25AD7" w:rsidRPr="00A427C6" w:rsidTr="002F4ABA">
        <w:trPr>
          <w:cnfStyle w:val="000000010000" w:firstRow="0" w:lastRow="0" w:firstColumn="0" w:lastColumn="0" w:oddVBand="0" w:evenVBand="0" w:oddHBand="0" w:evenHBand="1" w:firstRowFirstColumn="0" w:firstRowLastColumn="0" w:lastRowFirstColumn="0" w:lastRowLastColumn="0"/>
        </w:trPr>
        <w:tc>
          <w:tcPr>
            <w:tcW w:w="6349" w:type="dxa"/>
          </w:tcPr>
          <w:p w:rsidR="00C25AD7" w:rsidRPr="00A427C6" w:rsidRDefault="00C25AD7" w:rsidP="002F4ABA">
            <w:pPr>
              <w:rPr>
                <w:rFonts w:asciiTheme="minorHAnsi" w:eastAsia="Times New Roman" w:hAnsiTheme="minorHAnsi"/>
                <w:iCs/>
                <w:szCs w:val="17"/>
                <w:lang w:eastAsia="en-US"/>
              </w:rPr>
            </w:pPr>
            <w:r w:rsidRPr="001E30BA">
              <w:rPr>
                <w:rFonts w:asciiTheme="minorHAnsi" w:eastAsia="Times New Roman" w:hAnsiTheme="minorHAnsi"/>
                <w:iCs/>
                <w:szCs w:val="17"/>
                <w:lang w:eastAsia="en-US"/>
              </w:rPr>
              <w:t xml:space="preserve">In 2016-17, we will continue to make progress with the government’s strategic targets, in particular expenditure on aid for trade and empowering women and girls. We will complete an audit of gender equality in regional programs and make recommendations on actions for program improvement in order to meet the 80 per cent strategic target. </w:t>
            </w:r>
          </w:p>
        </w:tc>
        <w:tc>
          <w:tcPr>
            <w:tcW w:w="1228" w:type="dxa"/>
            <w:shd w:val="clear" w:color="auto" w:fill="FFC000"/>
          </w:tcPr>
          <w:p w:rsidR="00C25AD7" w:rsidRPr="00A427C6" w:rsidRDefault="00C25AD7" w:rsidP="002F4ABA">
            <w:pPr>
              <w:keepLines/>
              <w:spacing w:before="40" w:after="40" w:line="200" w:lineRule="atLeast"/>
              <w:jc w:val="center"/>
              <w:rPr>
                <w:rFonts w:asciiTheme="minorHAnsi" w:eastAsia="Times New Roman" w:hAnsiTheme="minorHAnsi"/>
                <w:iCs/>
                <w:color w:val="FFFFFF" w:themeColor="background1"/>
                <w:szCs w:val="17"/>
                <w:lang w:eastAsia="en-US"/>
              </w:rPr>
            </w:pPr>
            <w:r>
              <w:rPr>
                <w:rFonts w:eastAsia="Times New Roman"/>
                <w:iCs/>
                <w:color w:val="FFFFFF" w:themeColor="background1"/>
                <w:szCs w:val="17"/>
              </w:rPr>
              <w:t>Partially achieved</w:t>
            </w:r>
            <w:r w:rsidRPr="00A427C6">
              <w:rPr>
                <w:rFonts w:eastAsia="Times New Roman"/>
                <w:iCs/>
                <w:color w:val="FFFFFF" w:themeColor="background1"/>
                <w:szCs w:val="17"/>
              </w:rPr>
              <w:fldChar w:fldCharType="begin"/>
            </w:r>
            <w:r w:rsidRPr="00A427C6">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Pr="00A427C6">
              <w:rPr>
                <w:rFonts w:eastAsia="Times New Roman"/>
                <w:iCs/>
                <w:color w:val="FFFFFF" w:themeColor="background1"/>
                <w:szCs w:val="17"/>
              </w:rPr>
              <w:fldChar w:fldCharType="end"/>
            </w:r>
          </w:p>
        </w:tc>
        <w:tc>
          <w:tcPr>
            <w:tcW w:w="6493" w:type="dxa"/>
          </w:tcPr>
          <w:p w:rsidR="00C25AD7" w:rsidRPr="006F2334" w:rsidRDefault="00C25AD7" w:rsidP="002F4ABA">
            <w:pPr>
              <w:keepLines/>
              <w:spacing w:before="40" w:after="40" w:line="200" w:lineRule="atLeast"/>
              <w:rPr>
                <w:rFonts w:asciiTheme="minorHAnsi" w:eastAsia="Times New Roman" w:hAnsiTheme="minorHAnsi"/>
                <w:iCs/>
                <w:color w:val="auto"/>
                <w:szCs w:val="17"/>
                <w:lang w:eastAsia="en-US"/>
              </w:rPr>
            </w:pPr>
            <w:r w:rsidRPr="00096F6E">
              <w:rPr>
                <w:rFonts w:asciiTheme="minorHAnsi" w:eastAsia="Times New Roman" w:hAnsiTheme="minorHAnsi"/>
                <w:iCs/>
                <w:szCs w:val="17"/>
                <w:lang w:eastAsia="en-US"/>
              </w:rPr>
              <w:t>A gender audit of regional economic growth programs is underway and will be used to identify the extent to which they align with DFAT’s Gender Equality and Women’s Empowerment Strategy and identify entry points and actions that will strengthen gender equality outcomes within each program and the Economic Growth portfolio.</w:t>
            </w:r>
            <w:r w:rsidRPr="000163EE">
              <w:rPr>
                <w:rFonts w:asciiTheme="minorHAnsi" w:eastAsia="Times New Roman" w:hAnsiTheme="minorHAnsi"/>
                <w:iCs/>
                <w:color w:val="auto"/>
                <w:szCs w:val="17"/>
                <w:lang w:eastAsia="en-US"/>
              </w:rPr>
              <w:t xml:space="preserve">  </w:t>
            </w:r>
            <w:r>
              <w:rPr>
                <w:rFonts w:asciiTheme="minorHAnsi" w:eastAsia="Times New Roman" w:hAnsiTheme="minorHAnsi"/>
                <w:iCs/>
                <w:color w:val="auto"/>
                <w:szCs w:val="17"/>
                <w:lang w:eastAsia="en-US"/>
              </w:rPr>
              <w:t xml:space="preserve"> </w:t>
            </w:r>
          </w:p>
        </w:tc>
      </w:tr>
    </w:tbl>
    <w:p w:rsidR="00C25AD7" w:rsidRDefault="00C25AD7" w:rsidP="00C25AD7">
      <w:r>
        <w:br w:type="page"/>
      </w:r>
    </w:p>
    <w:tbl>
      <w:tblPr>
        <w:tblStyle w:val="APPR"/>
        <w:tblpPr w:leftFromText="180" w:rightFromText="180" w:vertAnchor="text" w:horzAnchor="margin" w:tblpY="130"/>
        <w:tblW w:w="5003" w:type="pct"/>
        <w:tblBorders>
          <w:bottom w:val="none" w:sz="0" w:space="0" w:color="auto"/>
        </w:tblBorders>
        <w:tblLayout w:type="fixed"/>
        <w:tblLook w:val="0000" w:firstRow="0" w:lastRow="0" w:firstColumn="0" w:lastColumn="0" w:noHBand="0" w:noVBand="0"/>
      </w:tblPr>
      <w:tblGrid>
        <w:gridCol w:w="6391"/>
        <w:gridCol w:w="1256"/>
        <w:gridCol w:w="6535"/>
      </w:tblGrid>
      <w:tr w:rsidR="00C25AD7" w:rsidRPr="00A427C6" w:rsidTr="00C33375">
        <w:trPr>
          <w:cnfStyle w:val="000000010000" w:firstRow="0" w:lastRow="0" w:firstColumn="0" w:lastColumn="0" w:oddVBand="0" w:evenVBand="0" w:oddHBand="0" w:evenHBand="1" w:firstRowFirstColumn="0" w:firstRowLastColumn="0" w:lastRowFirstColumn="0" w:lastRowLastColumn="0"/>
        </w:trPr>
        <w:tc>
          <w:tcPr>
            <w:tcW w:w="634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C25AD7" w:rsidRPr="001E30BA" w:rsidRDefault="00C25AD7" w:rsidP="002F4ABA">
            <w:pPr>
              <w:rPr>
                <w:rFonts w:eastAsia="Times New Roman"/>
                <w:iCs/>
                <w:szCs w:val="17"/>
              </w:rPr>
            </w:pPr>
            <w:r w:rsidRPr="001E30BA">
              <w:rPr>
                <w:rFonts w:asciiTheme="minorHAnsi" w:eastAsia="Times New Roman" w:hAnsiTheme="minorHAnsi"/>
                <w:iCs/>
                <w:szCs w:val="17"/>
                <w:lang w:eastAsia="en-US"/>
              </w:rPr>
              <w:lastRenderedPageBreak/>
              <w:t>We will also assess the robustness of 2016 AQC scores through a spot check, collaborating where possible with Office of Development Effectiveness’ Annual Spot Check of AQCs.</w:t>
            </w:r>
          </w:p>
        </w:tc>
        <w:tc>
          <w:tcPr>
            <w:tcW w:w="122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rsidR="00C25AD7" w:rsidRPr="00A427C6" w:rsidRDefault="00C25AD7" w:rsidP="002F4ABA">
            <w:pPr>
              <w:keepLines/>
              <w:spacing w:before="40" w:after="40" w:line="200" w:lineRule="atLeast"/>
              <w:jc w:val="center"/>
              <w:rPr>
                <w:rFonts w:eastAsia="Times New Roman"/>
                <w:iCs/>
                <w:color w:val="FFFFFF" w:themeColor="background1"/>
                <w:szCs w:val="17"/>
              </w:rPr>
            </w:pPr>
            <w:r>
              <w:rPr>
                <w:rFonts w:eastAsia="Times New Roman"/>
                <w:iCs/>
                <w:color w:val="FFFFFF" w:themeColor="background1"/>
                <w:szCs w:val="17"/>
              </w:rPr>
              <w:t>Achieved</w:t>
            </w:r>
          </w:p>
        </w:tc>
        <w:tc>
          <w:tcPr>
            <w:tcW w:w="649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C25AD7" w:rsidRPr="006F2334" w:rsidRDefault="00C25AD7" w:rsidP="002F4ABA">
            <w:pPr>
              <w:keepLines/>
              <w:spacing w:before="40" w:after="40" w:line="200" w:lineRule="atLeast"/>
              <w:rPr>
                <w:rFonts w:eastAsia="Times New Roman"/>
                <w:iCs/>
                <w:color w:val="auto"/>
                <w:szCs w:val="17"/>
              </w:rPr>
            </w:pPr>
            <w:r>
              <w:rPr>
                <w:rFonts w:asciiTheme="minorHAnsi" w:eastAsia="Times New Roman" w:hAnsiTheme="minorHAnsi"/>
                <w:iCs/>
                <w:szCs w:val="17"/>
                <w:lang w:eastAsia="en-US"/>
              </w:rPr>
              <w:t>We carried out</w:t>
            </w:r>
            <w:r w:rsidRPr="001E30BA">
              <w:rPr>
                <w:rFonts w:asciiTheme="minorHAnsi" w:eastAsia="Times New Roman" w:hAnsiTheme="minorHAnsi"/>
                <w:iCs/>
                <w:szCs w:val="17"/>
                <w:lang w:eastAsia="en-US"/>
              </w:rPr>
              <w:t xml:space="preserve"> a spot check, collaborating where possible with Office of Development Effectiveness’ Annual Spot Check of AQCs.</w:t>
            </w:r>
          </w:p>
        </w:tc>
      </w:tr>
      <w:tr w:rsidR="00C25AD7" w:rsidRPr="00A427C6" w:rsidTr="00C33375">
        <w:trPr>
          <w:cnfStyle w:val="000000010000" w:firstRow="0" w:lastRow="0" w:firstColumn="0" w:lastColumn="0" w:oddVBand="0" w:evenVBand="0" w:oddHBand="0" w:evenHBand="1" w:firstRowFirstColumn="0" w:firstRowLastColumn="0" w:lastRowFirstColumn="0" w:lastRowLastColumn="0"/>
        </w:trPr>
        <w:tc>
          <w:tcPr>
            <w:tcW w:w="6349" w:type="dxa"/>
            <w:tcBorders>
              <w:left w:val="none" w:sz="0" w:space="0" w:color="auto"/>
              <w:bottom w:val="single" w:sz="4" w:space="0" w:color="000000" w:themeColor="text1"/>
              <w:right w:val="none" w:sz="0" w:space="0" w:color="auto"/>
              <w:tl2br w:val="none" w:sz="0" w:space="0" w:color="auto"/>
              <w:tr2bl w:val="none" w:sz="0" w:space="0" w:color="auto"/>
            </w:tcBorders>
          </w:tcPr>
          <w:p w:rsidR="00C25AD7" w:rsidRPr="00A427C6" w:rsidRDefault="00C25AD7" w:rsidP="002F4ABA">
            <w:pPr>
              <w:rPr>
                <w:rFonts w:asciiTheme="minorHAnsi" w:eastAsia="Times New Roman" w:hAnsiTheme="minorHAnsi"/>
                <w:iCs/>
                <w:szCs w:val="17"/>
                <w:lang w:eastAsia="en-US"/>
              </w:rPr>
            </w:pPr>
            <w:r>
              <w:rPr>
                <w:rFonts w:asciiTheme="minorHAnsi" w:eastAsia="Times New Roman" w:hAnsiTheme="minorHAnsi"/>
                <w:iCs/>
                <w:szCs w:val="17"/>
                <w:lang w:eastAsia="en-US"/>
              </w:rPr>
              <w:t>W</w:t>
            </w:r>
            <w:r w:rsidRPr="001E30BA">
              <w:rPr>
                <w:rFonts w:asciiTheme="minorHAnsi" w:eastAsia="Times New Roman" w:hAnsiTheme="minorHAnsi"/>
                <w:iCs/>
                <w:szCs w:val="17"/>
                <w:lang w:eastAsia="en-US"/>
              </w:rPr>
              <w:t>e will deliver evaluations scheduled for 2016-17 in line with guidance from the Office of Development Effectiveness.  In addition, we will ensure management responses from the previous year’s evaluations are implemented.</w:t>
            </w:r>
          </w:p>
        </w:tc>
        <w:tc>
          <w:tcPr>
            <w:tcW w:w="1228" w:type="dxa"/>
            <w:tcBorders>
              <w:left w:val="none" w:sz="0" w:space="0" w:color="auto"/>
              <w:bottom w:val="single" w:sz="4" w:space="0" w:color="000000" w:themeColor="text1"/>
              <w:right w:val="none" w:sz="0" w:space="0" w:color="auto"/>
              <w:tl2br w:val="none" w:sz="0" w:space="0" w:color="auto"/>
              <w:tr2bl w:val="none" w:sz="0" w:space="0" w:color="auto"/>
            </w:tcBorders>
            <w:shd w:val="clear" w:color="auto" w:fill="92D050"/>
          </w:tcPr>
          <w:p w:rsidR="00C25AD7" w:rsidRPr="00A427C6" w:rsidRDefault="00C25AD7" w:rsidP="002F4ABA">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Achieved</w:t>
            </w:r>
          </w:p>
        </w:tc>
        <w:tc>
          <w:tcPr>
            <w:tcW w:w="6493" w:type="dxa"/>
            <w:tcBorders>
              <w:left w:val="none" w:sz="0" w:space="0" w:color="auto"/>
              <w:bottom w:val="single" w:sz="4" w:space="0" w:color="000000" w:themeColor="text1"/>
              <w:right w:val="none" w:sz="0" w:space="0" w:color="auto"/>
              <w:tl2br w:val="none" w:sz="0" w:space="0" w:color="auto"/>
              <w:tr2bl w:val="none" w:sz="0" w:space="0" w:color="auto"/>
            </w:tcBorders>
          </w:tcPr>
          <w:p w:rsidR="00C25AD7" w:rsidRPr="00A427C6" w:rsidRDefault="00C25AD7" w:rsidP="002F4ABA">
            <w:pPr>
              <w:rPr>
                <w:rFonts w:asciiTheme="minorHAnsi" w:eastAsia="Times New Roman" w:hAnsiTheme="minorHAnsi"/>
                <w:iCs/>
                <w:color w:val="70AD47" w:themeColor="accent6"/>
                <w:szCs w:val="17"/>
                <w:lang w:eastAsia="en-US"/>
              </w:rPr>
            </w:pPr>
            <w:r>
              <w:rPr>
                <w:rFonts w:asciiTheme="minorHAnsi" w:eastAsia="Times New Roman" w:hAnsiTheme="minorHAnsi"/>
                <w:iCs/>
                <w:szCs w:val="17"/>
                <w:lang w:eastAsia="en-US"/>
              </w:rPr>
              <w:t>W</w:t>
            </w:r>
            <w:r w:rsidRPr="001E30BA">
              <w:rPr>
                <w:rFonts w:asciiTheme="minorHAnsi" w:eastAsia="Times New Roman" w:hAnsiTheme="minorHAnsi"/>
                <w:iCs/>
                <w:szCs w:val="17"/>
                <w:lang w:eastAsia="en-US"/>
              </w:rPr>
              <w:t xml:space="preserve">e </w:t>
            </w:r>
            <w:r>
              <w:rPr>
                <w:rFonts w:asciiTheme="minorHAnsi" w:eastAsia="Times New Roman" w:hAnsiTheme="minorHAnsi"/>
                <w:iCs/>
                <w:szCs w:val="17"/>
                <w:lang w:eastAsia="en-US"/>
              </w:rPr>
              <w:t>delivered</w:t>
            </w:r>
            <w:r w:rsidRPr="001E30BA">
              <w:rPr>
                <w:rFonts w:asciiTheme="minorHAnsi" w:eastAsia="Times New Roman" w:hAnsiTheme="minorHAnsi"/>
                <w:iCs/>
                <w:szCs w:val="17"/>
                <w:lang w:eastAsia="en-US"/>
              </w:rPr>
              <w:t xml:space="preserve"> evaluations scheduled for 2016-17 in line with guidance from the Office</w:t>
            </w:r>
            <w:r>
              <w:rPr>
                <w:rFonts w:asciiTheme="minorHAnsi" w:eastAsia="Times New Roman" w:hAnsiTheme="minorHAnsi"/>
                <w:iCs/>
                <w:szCs w:val="17"/>
                <w:lang w:eastAsia="en-US"/>
              </w:rPr>
              <w:t xml:space="preserve"> of Development Effectiveness, and have implemented management responses</w:t>
            </w:r>
            <w:r w:rsidRPr="001E30BA">
              <w:rPr>
                <w:rFonts w:asciiTheme="minorHAnsi" w:eastAsia="Times New Roman" w:hAnsiTheme="minorHAnsi"/>
                <w:iCs/>
                <w:szCs w:val="17"/>
                <w:lang w:eastAsia="en-US"/>
              </w:rPr>
              <w:t>.</w:t>
            </w:r>
          </w:p>
        </w:tc>
      </w:tr>
    </w:tbl>
    <w:p w:rsidR="00C25AD7" w:rsidRPr="00A427C6" w:rsidRDefault="00C25AD7" w:rsidP="00C25AD7">
      <w:pPr>
        <w:spacing w:before="20" w:after="20" w:line="180" w:lineRule="atLeast"/>
        <w:jc w:val="both"/>
        <w:rPr>
          <w:rFonts w:eastAsia="Times New Roman"/>
          <w:b/>
          <w:sz w:val="16"/>
          <w:szCs w:val="14"/>
        </w:rPr>
      </w:pPr>
      <w:r w:rsidRPr="00A427C6">
        <w:rPr>
          <w:rFonts w:eastAsia="Times New Roman"/>
          <w:b/>
          <w:sz w:val="16"/>
          <w:szCs w:val="14"/>
        </w:rPr>
        <w:t xml:space="preserve">Note: </w:t>
      </w:r>
    </w:p>
    <w:p w:rsidR="00C25AD7" w:rsidRPr="00A427C6" w:rsidRDefault="00C25AD7" w:rsidP="00C25AD7">
      <w:pPr>
        <w:spacing w:before="20" w:after="20" w:line="180" w:lineRule="atLeast"/>
        <w:jc w:val="both"/>
        <w:rPr>
          <w:rFonts w:eastAsia="Times New Roman"/>
          <w:b/>
          <w:sz w:val="16"/>
          <w:szCs w:val="14"/>
        </w:rPr>
      </w:pPr>
      <w:r w:rsidRPr="00A427C6">
        <w:rPr>
          <w:rFonts w:eastAsia="Times New Roman"/>
          <w:b/>
          <w:color w:val="72AF2F"/>
          <w:sz w:val="16"/>
          <w:szCs w:val="14"/>
        </w:rPr>
        <w:sym w:font="Webdings" w:char="F067"/>
      </w:r>
      <w:r w:rsidRPr="00A427C6">
        <w:rPr>
          <w:rFonts w:eastAsia="Times New Roman"/>
          <w:b/>
          <w:sz w:val="16"/>
          <w:szCs w:val="14"/>
        </w:rPr>
        <w:t> </w:t>
      </w:r>
      <w:r w:rsidRPr="00A427C6">
        <w:rPr>
          <w:rFonts w:eastAsia="Times New Roman"/>
          <w:b/>
          <w:sz w:val="16"/>
          <w:szCs w:val="14"/>
        </w:rPr>
        <w:t xml:space="preserve"> Achieved.  Significant progress has been made in addressing the issue </w:t>
      </w:r>
    </w:p>
    <w:p w:rsidR="00C25AD7" w:rsidRPr="00A427C6" w:rsidRDefault="00C25AD7" w:rsidP="00C25AD7">
      <w:pPr>
        <w:spacing w:before="20" w:after="20" w:line="180" w:lineRule="atLeast"/>
        <w:jc w:val="both"/>
        <w:rPr>
          <w:rFonts w:eastAsia="Times New Roman"/>
          <w:b/>
          <w:sz w:val="16"/>
          <w:szCs w:val="14"/>
        </w:rPr>
      </w:pPr>
      <w:r w:rsidRPr="00A427C6">
        <w:rPr>
          <w:rFonts w:eastAsia="Times New Roman"/>
          <w:b/>
          <w:color w:val="E36C0A"/>
          <w:sz w:val="16"/>
          <w:szCs w:val="14"/>
        </w:rPr>
        <w:sym w:font="Webdings" w:char="F067"/>
      </w:r>
      <w:r w:rsidRPr="00A427C6">
        <w:rPr>
          <w:rFonts w:eastAsia="Times New Roman"/>
          <w:b/>
          <w:sz w:val="16"/>
          <w:szCs w:val="14"/>
        </w:rPr>
        <w:t> </w:t>
      </w:r>
      <w:r w:rsidRPr="00A427C6">
        <w:rPr>
          <w:rFonts w:eastAsia="Times New Roman"/>
          <w:b/>
          <w:sz w:val="16"/>
          <w:szCs w:val="14"/>
        </w:rPr>
        <w:t xml:space="preserve"> Partly achieved.  Some progress has been made in addressing the issue, but the issue has not been resolved </w:t>
      </w:r>
    </w:p>
    <w:p w:rsidR="00C25AD7" w:rsidRPr="00A427C6" w:rsidRDefault="00C25AD7" w:rsidP="00C25AD7">
      <w:pPr>
        <w:spacing w:before="20" w:after="20" w:line="180" w:lineRule="atLeast"/>
        <w:jc w:val="both"/>
        <w:rPr>
          <w:rFonts w:eastAsia="Times New Roman"/>
          <w:b/>
          <w:sz w:val="16"/>
          <w:szCs w:val="14"/>
        </w:rPr>
      </w:pPr>
      <w:r w:rsidRPr="00A427C6">
        <w:rPr>
          <w:rFonts w:eastAsia="Times New Roman"/>
          <w:b/>
          <w:color w:val="FF0000"/>
          <w:sz w:val="16"/>
          <w:szCs w:val="14"/>
        </w:rPr>
        <w:sym w:font="Webdings" w:char="F067"/>
      </w:r>
      <w:r w:rsidRPr="00A427C6">
        <w:rPr>
          <w:rFonts w:eastAsia="Times New Roman"/>
          <w:b/>
          <w:sz w:val="16"/>
          <w:szCs w:val="14"/>
        </w:rPr>
        <w:t> </w:t>
      </w:r>
      <w:r w:rsidRPr="00A427C6">
        <w:rPr>
          <w:rFonts w:eastAsia="Times New Roman"/>
          <w:b/>
          <w:sz w:val="16"/>
          <w:szCs w:val="14"/>
        </w:rPr>
        <w:t xml:space="preserve"> Not achieved. Progress in addressing the issue has been significantly below expectations</w:t>
      </w:r>
    </w:p>
    <w:p w:rsidR="00C25AD7" w:rsidRPr="00400B0F" w:rsidRDefault="00C25AD7" w:rsidP="00C25AD7">
      <w:pPr>
        <w:suppressAutoHyphens w:val="0"/>
        <w:spacing w:before="0" w:after="120" w:line="440" w:lineRule="atLeast"/>
      </w:pPr>
      <w:r>
        <w:rPr>
          <w:rFonts w:ascii="Franklin Gothic Book" w:hAnsi="Franklin Gothic Book"/>
          <w:sz w:val="21"/>
        </w:rPr>
        <w:br w:type="page"/>
      </w:r>
      <w:r w:rsidRPr="00C61187">
        <w:rPr>
          <w:rFonts w:ascii="Franklin Gothic Book" w:eastAsia="Times New Roman" w:hAnsi="Franklin Gothic Book"/>
          <w:sz w:val="21"/>
        </w:rPr>
        <w:lastRenderedPageBreak/>
        <w:t xml:space="preserve"> </w:t>
      </w:r>
      <w:r w:rsidRPr="00400B0F">
        <w:t>Annex B - Progress toward</w:t>
      </w:r>
      <w:r>
        <w:t>s Performance Benchmarks in 2016-17</w:t>
      </w:r>
    </w:p>
    <w:tbl>
      <w:tblPr>
        <w:tblStyle w:val="DFATTable"/>
        <w:tblpPr w:leftFromText="180" w:rightFromText="180" w:vertAnchor="text" w:tblpY="1"/>
        <w:tblOverlap w:val="never"/>
        <w:tblW w:w="5000" w:type="pct"/>
        <w:tblLook w:val="04A0" w:firstRow="1" w:lastRow="0" w:firstColumn="1" w:lastColumn="0" w:noHBand="0" w:noVBand="1"/>
      </w:tblPr>
      <w:tblGrid>
        <w:gridCol w:w="2211"/>
        <w:gridCol w:w="2211"/>
        <w:gridCol w:w="1332"/>
        <w:gridCol w:w="8419"/>
      </w:tblGrid>
      <w:tr w:rsidR="00C25AD7" w:rsidRPr="00A427C6" w:rsidTr="009F5BA4">
        <w:trPr>
          <w:tblHeader/>
        </w:trPr>
        <w:tc>
          <w:tcPr>
            <w:tcW w:w="780" w:type="pct"/>
            <w:tcBorders>
              <w:top w:val="single" w:sz="12" w:space="0" w:color="auto"/>
            </w:tcBorders>
            <w:tcMar>
              <w:top w:w="57" w:type="dxa"/>
              <w:bottom w:w="57" w:type="dxa"/>
            </w:tcMar>
          </w:tcPr>
          <w:p w:rsidR="00C25AD7" w:rsidRPr="00A427C6" w:rsidRDefault="00C25AD7" w:rsidP="002F4ABA">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Aid objective</w:t>
            </w:r>
          </w:p>
        </w:tc>
        <w:tc>
          <w:tcPr>
            <w:tcW w:w="780" w:type="pct"/>
            <w:tcBorders>
              <w:top w:val="single" w:sz="12" w:space="0" w:color="auto"/>
            </w:tcBorders>
          </w:tcPr>
          <w:p w:rsidR="00C25AD7" w:rsidRPr="00A427C6" w:rsidRDefault="00C25AD7" w:rsidP="002F4ABA">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2016-17</w:t>
            </w:r>
            <w:r w:rsidRPr="00A427C6">
              <w:rPr>
                <w:rFonts w:asciiTheme="minorHAnsi" w:eastAsia="Times New Roman" w:hAnsiTheme="minorHAnsi"/>
                <w:b/>
                <w:iCs/>
                <w:szCs w:val="17"/>
                <w:lang w:eastAsia="en-US"/>
              </w:rPr>
              <w:t xml:space="preserve"> benchmark </w:t>
            </w:r>
            <w:r>
              <w:rPr>
                <w:rFonts w:asciiTheme="minorHAnsi" w:eastAsia="Times New Roman" w:hAnsiTheme="minorHAnsi"/>
                <w:b/>
                <w:iCs/>
                <w:szCs w:val="17"/>
                <w:lang w:eastAsia="en-US"/>
              </w:rPr>
              <w:t>with 2017-18 updates</w:t>
            </w:r>
          </w:p>
        </w:tc>
        <w:tc>
          <w:tcPr>
            <w:tcW w:w="470" w:type="pct"/>
            <w:tcBorders>
              <w:top w:val="single" w:sz="12" w:space="0" w:color="auto"/>
            </w:tcBorders>
          </w:tcPr>
          <w:p w:rsidR="00C25AD7" w:rsidRPr="00A427C6" w:rsidRDefault="00C25AD7" w:rsidP="002F4ABA">
            <w:pPr>
              <w:keepLines/>
              <w:spacing w:before="80" w:after="80" w:line="200" w:lineRule="atLeast"/>
              <w:rPr>
                <w:rFonts w:asciiTheme="minorHAnsi" w:eastAsia="Times New Roman" w:hAnsiTheme="minorHAnsi"/>
                <w:b/>
                <w:iCs/>
                <w:szCs w:val="17"/>
                <w:lang w:eastAsia="en-US"/>
              </w:rPr>
            </w:pPr>
            <w:r w:rsidRPr="00A427C6">
              <w:rPr>
                <w:rFonts w:asciiTheme="minorHAnsi" w:eastAsia="Times New Roman" w:hAnsiTheme="minorHAnsi"/>
                <w:b/>
                <w:iCs/>
                <w:szCs w:val="17"/>
                <w:lang w:eastAsia="en-US"/>
              </w:rPr>
              <w:t>Rating</w:t>
            </w:r>
          </w:p>
        </w:tc>
        <w:tc>
          <w:tcPr>
            <w:tcW w:w="2970" w:type="pct"/>
            <w:tcBorders>
              <w:top w:val="single" w:sz="12" w:space="0" w:color="auto"/>
            </w:tcBorders>
          </w:tcPr>
          <w:p w:rsidR="00C25AD7" w:rsidRPr="00A427C6" w:rsidRDefault="00C25AD7" w:rsidP="002F4ABA">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Progress in 2017-18</w:t>
            </w:r>
          </w:p>
        </w:tc>
      </w:tr>
      <w:tr w:rsidR="00C25AD7" w:rsidRPr="00A427C6" w:rsidTr="009F5BA4">
        <w:tc>
          <w:tcPr>
            <w:tcW w:w="780" w:type="pct"/>
            <w:tcMar>
              <w:top w:w="57" w:type="dxa"/>
              <w:bottom w:w="57" w:type="dxa"/>
            </w:tcMar>
          </w:tcPr>
          <w:p w:rsidR="00C25AD7" w:rsidRPr="004A2DED" w:rsidRDefault="00C25AD7" w:rsidP="002F4ABA">
            <w:pPr>
              <w:keepLines/>
              <w:spacing w:before="40" w:after="40" w:line="200" w:lineRule="atLeast"/>
              <w:rPr>
                <w:rFonts w:asciiTheme="minorHAnsi" w:eastAsia="Times New Roman" w:hAnsiTheme="minorHAnsi"/>
                <w:b/>
                <w:iCs/>
                <w:szCs w:val="17"/>
                <w:lang w:eastAsia="en-US"/>
              </w:rPr>
            </w:pPr>
            <w:r w:rsidRPr="00CD0611">
              <w:rPr>
                <w:rFonts w:asciiTheme="minorHAnsi" w:eastAsia="Times New Roman" w:hAnsiTheme="minorHAnsi"/>
                <w:b/>
                <w:iCs/>
                <w:szCs w:val="17"/>
                <w:lang w:eastAsia="en-US"/>
              </w:rPr>
              <w:t>Objective 1: Economic Growth</w:t>
            </w:r>
          </w:p>
        </w:tc>
        <w:tc>
          <w:tcPr>
            <w:tcW w:w="780" w:type="pct"/>
          </w:tcPr>
          <w:p w:rsidR="00C25AD7" w:rsidRPr="00A427C6" w:rsidRDefault="00C25AD7" w:rsidP="002F4ABA">
            <w:pPr>
              <w:keepLines/>
              <w:spacing w:before="40" w:after="40" w:line="200" w:lineRule="atLeast"/>
              <w:rPr>
                <w:rFonts w:asciiTheme="minorHAnsi" w:eastAsia="Times New Roman" w:hAnsiTheme="minorHAnsi"/>
                <w:iCs/>
                <w:szCs w:val="17"/>
                <w:lang w:eastAsia="en-US"/>
              </w:rPr>
            </w:pPr>
          </w:p>
        </w:tc>
        <w:tc>
          <w:tcPr>
            <w:tcW w:w="470" w:type="pct"/>
            <w:tcBorders>
              <w:bottom w:val="nil"/>
            </w:tcBorders>
            <w:shd w:val="clear" w:color="auto" w:fill="auto"/>
          </w:tcPr>
          <w:p w:rsidR="00C25AD7" w:rsidRPr="00A427C6" w:rsidRDefault="00C25AD7" w:rsidP="002F4ABA">
            <w:pPr>
              <w:keepLines/>
              <w:spacing w:before="40" w:after="40" w:line="200" w:lineRule="atLeast"/>
              <w:jc w:val="center"/>
              <w:rPr>
                <w:rFonts w:asciiTheme="minorHAnsi" w:eastAsia="Times New Roman" w:hAnsiTheme="minorHAnsi"/>
                <w:iCs/>
                <w:color w:val="FFFFFF" w:themeColor="background1"/>
                <w:szCs w:val="17"/>
                <w:lang w:eastAsia="en-US"/>
              </w:rPr>
            </w:pPr>
            <w:r w:rsidRPr="00A427C6">
              <w:rPr>
                <w:rFonts w:asciiTheme="minorHAnsi" w:eastAsia="Times New Roman" w:hAnsiTheme="minorHAnsi"/>
                <w:iCs/>
                <w:color w:val="FFFFFF" w:themeColor="background1"/>
                <w:szCs w:val="17"/>
                <w:lang w:eastAsia="en-US"/>
              </w:rPr>
              <w:t>Achieved</w:t>
            </w:r>
          </w:p>
        </w:tc>
        <w:tc>
          <w:tcPr>
            <w:tcW w:w="2970" w:type="pct"/>
          </w:tcPr>
          <w:p w:rsidR="00C25AD7" w:rsidRPr="00A427C6" w:rsidRDefault="00C25AD7" w:rsidP="002F4ABA">
            <w:pPr>
              <w:keepLines/>
              <w:spacing w:before="40" w:after="40"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w:t>
            </w:r>
          </w:p>
        </w:tc>
      </w:tr>
      <w:tr w:rsidR="00C25AD7" w:rsidRPr="00A427C6" w:rsidTr="009F5BA4">
        <w:tc>
          <w:tcPr>
            <w:tcW w:w="780" w:type="pct"/>
            <w:tcMar>
              <w:top w:w="57" w:type="dxa"/>
              <w:bottom w:w="57" w:type="dxa"/>
            </w:tcMar>
          </w:tcPr>
          <w:p w:rsidR="00C25AD7" w:rsidRPr="00FC69CF" w:rsidRDefault="00C25AD7" w:rsidP="002F4ABA">
            <w:pPr>
              <w:keepLines/>
              <w:spacing w:before="40" w:after="40" w:line="200" w:lineRule="atLeast"/>
              <w:rPr>
                <w:rFonts w:eastAsia="Times New Roman"/>
                <w:iCs/>
                <w:szCs w:val="17"/>
              </w:rPr>
            </w:pPr>
            <w:r w:rsidRPr="00FC69CF">
              <w:rPr>
                <w:rFonts w:ascii="Franklin Gothic Book" w:hAnsi="Franklin Gothic Book"/>
                <w:i/>
                <w:iCs/>
                <w:szCs w:val="17"/>
              </w:rPr>
              <w:t>Collective action managing regional resources delivers economic benefits to Pacific governments</w:t>
            </w:r>
          </w:p>
        </w:tc>
        <w:tc>
          <w:tcPr>
            <w:tcW w:w="780" w:type="pct"/>
          </w:tcPr>
          <w:p w:rsidR="00C25AD7" w:rsidRPr="00A3217F" w:rsidRDefault="00C25AD7" w:rsidP="002F4ABA">
            <w:pPr>
              <w:spacing w:after="120" w:line="240" w:lineRule="auto"/>
              <w:rPr>
                <w:i/>
                <w:color w:val="808080"/>
                <w:sz w:val="16"/>
                <w:szCs w:val="16"/>
              </w:rPr>
            </w:pPr>
            <w:r w:rsidRPr="00F3555F">
              <w:rPr>
                <w:i/>
                <w:color w:val="808080"/>
                <w:sz w:val="16"/>
                <w:szCs w:val="16"/>
              </w:rPr>
              <w:t>5% annual increase in revenue flowing to Forum Fisheries Agency Pacific island member governments from offshore tuna fisheries (</w:t>
            </w:r>
            <w:r>
              <w:rPr>
                <w:i/>
                <w:color w:val="808080"/>
                <w:sz w:val="16"/>
                <w:szCs w:val="16"/>
              </w:rPr>
              <w:t>A$528 million</w:t>
            </w:r>
            <w:r w:rsidRPr="00F3555F">
              <w:rPr>
                <w:i/>
                <w:color w:val="808080"/>
                <w:sz w:val="16"/>
                <w:szCs w:val="16"/>
              </w:rPr>
              <w:t>)</w:t>
            </w:r>
          </w:p>
        </w:tc>
        <w:tc>
          <w:tcPr>
            <w:tcW w:w="470" w:type="pct"/>
            <w:tcBorders>
              <w:top w:val="nil"/>
              <w:bottom w:val="nil"/>
            </w:tcBorders>
            <w:shd w:val="clear" w:color="auto" w:fill="92D050"/>
          </w:tcPr>
          <w:p w:rsidR="00C25AD7" w:rsidRPr="003F62D2" w:rsidRDefault="00C25AD7" w:rsidP="002F4ABA">
            <w:pPr>
              <w:keepLines/>
              <w:spacing w:before="40" w:after="40" w:line="200" w:lineRule="atLeast"/>
              <w:jc w:val="center"/>
              <w:rPr>
                <w:rFonts w:eastAsia="Times New Roman"/>
                <w:iCs/>
                <w:color w:val="auto"/>
                <w:szCs w:val="17"/>
              </w:rPr>
            </w:pPr>
            <w:r w:rsidRPr="00CE3D07">
              <w:rPr>
                <w:rFonts w:ascii="Franklin Gothic Book" w:hAnsi="Franklin Gothic Book"/>
                <w:i/>
                <w:iCs/>
                <w:color w:val="FFFFFF" w:themeColor="background1"/>
                <w:szCs w:val="17"/>
              </w:rPr>
              <w:t>Achieved</w:t>
            </w:r>
          </w:p>
        </w:tc>
        <w:tc>
          <w:tcPr>
            <w:tcW w:w="2970" w:type="pct"/>
          </w:tcPr>
          <w:p w:rsidR="00C25AD7" w:rsidRDefault="00C25AD7" w:rsidP="002F4ABA">
            <w:pPr>
              <w:spacing w:before="40" w:after="40" w:line="200" w:lineRule="atLeast"/>
              <w:rPr>
                <w:rFonts w:ascii="Franklin Gothic Book" w:hAnsi="Franklin Gothic Book"/>
                <w:i/>
                <w:iCs/>
                <w:szCs w:val="17"/>
              </w:rPr>
            </w:pPr>
            <w:r>
              <w:rPr>
                <w:rFonts w:ascii="Franklin Gothic Book" w:hAnsi="Franklin Gothic Book"/>
                <w:i/>
                <w:iCs/>
                <w:szCs w:val="17"/>
              </w:rPr>
              <w:t>The</w:t>
            </w:r>
            <w:r w:rsidRPr="003F62D2">
              <w:rPr>
                <w:rFonts w:ascii="Franklin Gothic Book" w:hAnsi="Franklin Gothic Book"/>
                <w:i/>
                <w:iCs/>
                <w:szCs w:val="17"/>
              </w:rPr>
              <w:t xml:space="preserve"> </w:t>
            </w:r>
            <w:r>
              <w:rPr>
                <w:rFonts w:ascii="Franklin Gothic Book" w:hAnsi="Franklin Gothic Book"/>
                <w:i/>
                <w:iCs/>
                <w:szCs w:val="17"/>
              </w:rPr>
              <w:t>region significantly exceeded this performance benchmark despite lower fish prices. The value of access fees paid by foreign vessels to FFA members has risen sharply over recent years; from less than $100 million in 2010 to approximately USD450million in 2015, (the most recently available figure). The sharp increase has come from the dramatic rise in the number of days ships are given licences to fish in the region through the Vessel Day Scheme (VDS)</w:t>
            </w:r>
            <w:r w:rsidRPr="003E6B46">
              <w:rPr>
                <w:rFonts w:ascii="Franklin Gothic Book" w:hAnsi="Franklin Gothic Book"/>
                <w:i/>
                <w:iCs/>
                <w:szCs w:val="17"/>
              </w:rPr>
              <w:footnoteReference w:id="20"/>
            </w:r>
            <w:r>
              <w:rPr>
                <w:rFonts w:ascii="Franklin Gothic Book" w:hAnsi="Franklin Gothic Book"/>
                <w:i/>
                <w:iCs/>
                <w:szCs w:val="17"/>
              </w:rPr>
              <w:t xml:space="preserve">. </w:t>
            </w:r>
          </w:p>
          <w:p w:rsidR="00C25AD7" w:rsidRDefault="00C25AD7" w:rsidP="002F4ABA">
            <w:pPr>
              <w:spacing w:before="40" w:after="40" w:line="200" w:lineRule="atLeast"/>
              <w:rPr>
                <w:rFonts w:ascii="Franklin Gothic Book" w:hAnsi="Franklin Gothic Book"/>
                <w:i/>
                <w:iCs/>
                <w:szCs w:val="17"/>
              </w:rPr>
            </w:pPr>
          </w:p>
          <w:p w:rsidR="00C25AD7" w:rsidRPr="003D5460" w:rsidRDefault="00C25AD7" w:rsidP="002F4ABA">
            <w:pPr>
              <w:spacing w:before="40" w:after="40" w:line="200" w:lineRule="atLeast"/>
              <w:rPr>
                <w:rFonts w:ascii="Franklin Gothic Book" w:hAnsi="Franklin Gothic Book"/>
                <w:i/>
                <w:iCs/>
                <w:szCs w:val="17"/>
              </w:rPr>
            </w:pPr>
            <w:r>
              <w:rPr>
                <w:rFonts w:ascii="Franklin Gothic Book" w:hAnsi="Franklin Gothic Book"/>
                <w:i/>
                <w:iCs/>
                <w:szCs w:val="17"/>
              </w:rPr>
              <w:t>The Pacific Regional p</w:t>
            </w:r>
            <w:r w:rsidRPr="003D5460">
              <w:rPr>
                <w:rFonts w:ascii="Franklin Gothic Book" w:hAnsi="Franklin Gothic Book"/>
                <w:i/>
                <w:iCs/>
                <w:szCs w:val="17"/>
              </w:rPr>
              <w:t xml:space="preserve">rogram is aware of the challenges in attribution of increasing fisheries revenue to its investments in core funding to the Forum Fisheries Agency. Despite this, our core funding directly supports FFA members to establish the enabling environment to effectively manage and monitor the VDS. It is therefore of strategic relevance to the Aid Program Objectives outlined in the Aid Investment Plan. </w:t>
            </w:r>
          </w:p>
          <w:p w:rsidR="00C25AD7" w:rsidRDefault="00C25AD7" w:rsidP="002F4ABA">
            <w:pPr>
              <w:spacing w:before="40" w:after="40" w:line="200" w:lineRule="atLeast"/>
              <w:rPr>
                <w:rFonts w:ascii="Franklin Gothic Book" w:hAnsi="Franklin Gothic Book"/>
                <w:i/>
                <w:iCs/>
                <w:szCs w:val="17"/>
              </w:rPr>
            </w:pPr>
          </w:p>
          <w:p w:rsidR="00C25AD7" w:rsidRPr="003E6B46" w:rsidRDefault="00C25AD7" w:rsidP="002F4ABA">
            <w:pPr>
              <w:spacing w:before="40" w:after="40" w:line="200" w:lineRule="atLeast"/>
              <w:rPr>
                <w:rFonts w:ascii="Franklin Gothic Book" w:hAnsi="Franklin Gothic Book"/>
                <w:i/>
                <w:iCs/>
                <w:szCs w:val="17"/>
              </w:rPr>
            </w:pPr>
            <w:r w:rsidRPr="003D5460">
              <w:rPr>
                <w:rFonts w:ascii="Franklin Gothic Book" w:hAnsi="Franklin Gothic Book"/>
                <w:i/>
                <w:iCs/>
                <w:szCs w:val="17"/>
              </w:rPr>
              <w:t>Gender is incorporated in this benchmark by the establishment of FFA’s Gender Equity Framework, which is in the early stages of implementation.</w:t>
            </w:r>
          </w:p>
        </w:tc>
      </w:tr>
      <w:tr w:rsidR="00C25AD7" w:rsidRPr="00A427C6" w:rsidTr="009F5BA4">
        <w:tc>
          <w:tcPr>
            <w:tcW w:w="780" w:type="pct"/>
            <w:tcMar>
              <w:top w:w="57" w:type="dxa"/>
              <w:bottom w:w="57" w:type="dxa"/>
            </w:tcMar>
          </w:tcPr>
          <w:p w:rsidR="00C25AD7" w:rsidRPr="00FC69CF" w:rsidRDefault="00C25AD7" w:rsidP="002F4ABA">
            <w:pPr>
              <w:keepLines/>
              <w:spacing w:before="40" w:after="40" w:line="200" w:lineRule="atLeast"/>
              <w:rPr>
                <w:rFonts w:ascii="Franklin Gothic Book" w:hAnsi="Franklin Gothic Book"/>
                <w:i/>
                <w:iCs/>
                <w:szCs w:val="17"/>
              </w:rPr>
            </w:pPr>
            <w:r>
              <w:rPr>
                <w:rFonts w:ascii="Franklin Gothic Book" w:hAnsi="Franklin Gothic Book"/>
                <w:i/>
                <w:iCs/>
                <w:szCs w:val="17"/>
              </w:rPr>
              <w:t>Australia Pacific technical College (APTC) provides more Pacific Islanders with internationally recognised qualifications in areas of demonstrated labour market demand.</w:t>
            </w:r>
          </w:p>
        </w:tc>
        <w:tc>
          <w:tcPr>
            <w:tcW w:w="780" w:type="pct"/>
          </w:tcPr>
          <w:p w:rsidR="00C25AD7" w:rsidRPr="00F3555F" w:rsidRDefault="00C25AD7" w:rsidP="002F4ABA">
            <w:pPr>
              <w:spacing w:after="120" w:line="240" w:lineRule="auto"/>
              <w:rPr>
                <w:i/>
                <w:color w:val="808080"/>
                <w:sz w:val="16"/>
                <w:szCs w:val="16"/>
              </w:rPr>
            </w:pPr>
            <w:r w:rsidRPr="00F3555F">
              <w:rPr>
                <w:i/>
                <w:color w:val="808080"/>
                <w:sz w:val="16"/>
                <w:szCs w:val="16"/>
              </w:rPr>
              <w:t>Additional 1000 Pacific islander graduates per year with internationally recognised qualifications.</w:t>
            </w:r>
          </w:p>
        </w:tc>
        <w:tc>
          <w:tcPr>
            <w:tcW w:w="470" w:type="pct"/>
            <w:tcBorders>
              <w:top w:val="nil"/>
              <w:bottom w:val="nil"/>
            </w:tcBorders>
            <w:shd w:val="clear" w:color="auto" w:fill="92D050"/>
          </w:tcPr>
          <w:p w:rsidR="00C25AD7" w:rsidRDefault="00C25AD7" w:rsidP="002F4ABA">
            <w:pPr>
              <w:keepLines/>
              <w:spacing w:before="40" w:after="40" w:line="200" w:lineRule="atLeast"/>
              <w:jc w:val="center"/>
              <w:rPr>
                <w:rFonts w:ascii="Franklin Gothic Book" w:hAnsi="Franklin Gothic Book"/>
                <w:i/>
                <w:iCs/>
                <w:color w:val="FFFFFF" w:themeColor="background1"/>
                <w:szCs w:val="17"/>
              </w:rPr>
            </w:pPr>
            <w:r>
              <w:rPr>
                <w:rFonts w:ascii="Franklin Gothic Book" w:hAnsi="Franklin Gothic Book"/>
                <w:i/>
                <w:iCs/>
                <w:color w:val="FFFFFF" w:themeColor="background1"/>
                <w:szCs w:val="17"/>
              </w:rPr>
              <w:t>Achieved</w:t>
            </w:r>
          </w:p>
          <w:p w:rsidR="00C25AD7" w:rsidRDefault="00C25AD7" w:rsidP="002F4ABA">
            <w:pPr>
              <w:rPr>
                <w:rFonts w:ascii="Franklin Gothic Book" w:hAnsi="Franklin Gothic Book"/>
                <w:szCs w:val="17"/>
              </w:rPr>
            </w:pPr>
          </w:p>
          <w:p w:rsidR="00C25AD7" w:rsidRPr="00CE5A58" w:rsidRDefault="00C25AD7" w:rsidP="002F4ABA">
            <w:pPr>
              <w:rPr>
                <w:rFonts w:ascii="Franklin Gothic Book" w:hAnsi="Franklin Gothic Book"/>
                <w:szCs w:val="17"/>
              </w:rPr>
            </w:pPr>
          </w:p>
        </w:tc>
        <w:tc>
          <w:tcPr>
            <w:tcW w:w="2970" w:type="pct"/>
          </w:tcPr>
          <w:p w:rsidR="00C25AD7" w:rsidRPr="00832133" w:rsidRDefault="00C25AD7" w:rsidP="002F4ABA">
            <w:pPr>
              <w:spacing w:before="40" w:after="40" w:line="200" w:lineRule="atLeast"/>
              <w:rPr>
                <w:rFonts w:ascii="Franklin Gothic Book" w:hAnsi="Franklin Gothic Book"/>
                <w:i/>
                <w:iCs/>
                <w:szCs w:val="17"/>
              </w:rPr>
            </w:pPr>
            <w:r w:rsidRPr="00832133">
              <w:rPr>
                <w:rFonts w:ascii="Franklin Gothic Book" w:hAnsi="Franklin Gothic Book"/>
                <w:i/>
                <w:iCs/>
                <w:szCs w:val="17"/>
              </w:rPr>
              <w:t xml:space="preserve">In 2016-17 more than 1000, Pacific islanders graduated with internationally recognised qualifications, including over 40 per cent females. As skills, shortages dampen economic growth and the region’s ability to build healthy and resilient communities this benchmark remains of strategic relevance. </w:t>
            </w:r>
          </w:p>
          <w:p w:rsidR="00C25AD7" w:rsidRDefault="00C25AD7" w:rsidP="002F4ABA">
            <w:pPr>
              <w:spacing w:before="40" w:after="40" w:line="200" w:lineRule="atLeast"/>
              <w:rPr>
                <w:rFonts w:ascii="Franklin Gothic Book" w:hAnsi="Franklin Gothic Book"/>
                <w:i/>
                <w:iCs/>
                <w:szCs w:val="17"/>
              </w:rPr>
            </w:pPr>
          </w:p>
          <w:p w:rsidR="00C25AD7" w:rsidRPr="003135CB" w:rsidRDefault="00C25AD7" w:rsidP="002F4ABA">
            <w:pPr>
              <w:spacing w:before="40" w:after="40" w:line="200" w:lineRule="atLeast"/>
              <w:rPr>
                <w:rFonts w:ascii="Franklin Gothic Book" w:hAnsi="Franklin Gothic Book"/>
                <w:i/>
                <w:iCs/>
                <w:szCs w:val="17"/>
              </w:rPr>
            </w:pPr>
            <w:r>
              <w:rPr>
                <w:rFonts w:ascii="Franklin Gothic Book" w:hAnsi="Franklin Gothic Book"/>
                <w:i/>
                <w:iCs/>
                <w:szCs w:val="17"/>
              </w:rPr>
              <w:t>The targets for 2017-18 will continue to exceed 1000 graduates. We will also be moving into a transition phase to a third stage of the APTC, which will refocus the objectives, sectors and graduate targets.</w:t>
            </w:r>
          </w:p>
        </w:tc>
      </w:tr>
      <w:tr w:rsidR="00C25AD7" w:rsidRPr="00A427C6" w:rsidTr="009F5BA4">
        <w:tc>
          <w:tcPr>
            <w:tcW w:w="780" w:type="pct"/>
            <w:tcMar>
              <w:top w:w="57" w:type="dxa"/>
              <w:bottom w:w="57" w:type="dxa"/>
            </w:tcMar>
          </w:tcPr>
          <w:p w:rsidR="00C25AD7" w:rsidRDefault="00C25AD7" w:rsidP="002F4ABA">
            <w:pPr>
              <w:keepLines/>
              <w:spacing w:before="40" w:after="40" w:line="200" w:lineRule="atLeast"/>
              <w:rPr>
                <w:rFonts w:ascii="Franklin Gothic Book" w:hAnsi="Franklin Gothic Book"/>
                <w:i/>
                <w:iCs/>
                <w:szCs w:val="17"/>
              </w:rPr>
            </w:pPr>
            <w:r>
              <w:rPr>
                <w:rFonts w:ascii="Franklin Gothic Book" w:hAnsi="Franklin Gothic Book"/>
                <w:i/>
                <w:iCs/>
                <w:szCs w:val="17"/>
              </w:rPr>
              <w:t xml:space="preserve">Aid program attracts new </w:t>
            </w:r>
            <w:r w:rsidRPr="00F26967">
              <w:rPr>
                <w:rFonts w:ascii="Franklin Gothic Book" w:hAnsi="Franklin Gothic Book"/>
                <w:i/>
                <w:iCs/>
                <w:szCs w:val="17"/>
              </w:rPr>
              <w:t>private</w:t>
            </w:r>
            <w:r>
              <w:rPr>
                <w:rFonts w:ascii="Franklin Gothic Book" w:hAnsi="Franklin Gothic Book"/>
                <w:i/>
                <w:iCs/>
                <w:szCs w:val="17"/>
              </w:rPr>
              <w:t xml:space="preserve"> sector investment that contributes to Pacific development outcomes.</w:t>
            </w:r>
          </w:p>
        </w:tc>
        <w:tc>
          <w:tcPr>
            <w:tcW w:w="780" w:type="pct"/>
          </w:tcPr>
          <w:p w:rsidR="00C25AD7" w:rsidRPr="00F3555F" w:rsidRDefault="00C25AD7" w:rsidP="002F4ABA">
            <w:pPr>
              <w:spacing w:after="120" w:line="240" w:lineRule="auto"/>
              <w:rPr>
                <w:i/>
                <w:color w:val="808080"/>
                <w:sz w:val="16"/>
                <w:szCs w:val="16"/>
              </w:rPr>
            </w:pPr>
            <w:r>
              <w:rPr>
                <w:i/>
                <w:color w:val="808080"/>
                <w:sz w:val="16"/>
                <w:szCs w:val="16"/>
              </w:rPr>
              <w:t>A$528 million p</w:t>
            </w:r>
            <w:r w:rsidRPr="00F3555F">
              <w:rPr>
                <w:i/>
                <w:color w:val="808080"/>
                <w:sz w:val="16"/>
                <w:szCs w:val="16"/>
              </w:rPr>
              <w:t>rivate sector investment leveraged.</w:t>
            </w:r>
          </w:p>
        </w:tc>
        <w:tc>
          <w:tcPr>
            <w:tcW w:w="470" w:type="pct"/>
            <w:tcBorders>
              <w:top w:val="nil"/>
              <w:bottom w:val="nil"/>
            </w:tcBorders>
            <w:shd w:val="clear" w:color="auto" w:fill="92D050"/>
          </w:tcPr>
          <w:p w:rsidR="00C25AD7" w:rsidRDefault="00C25AD7" w:rsidP="002F4ABA">
            <w:pPr>
              <w:keepLines/>
              <w:spacing w:before="40" w:after="40" w:line="200" w:lineRule="atLeast"/>
              <w:jc w:val="center"/>
              <w:rPr>
                <w:rFonts w:eastAsia="Times New Roman"/>
                <w:iCs/>
                <w:color w:val="FFFFFF" w:themeColor="background1"/>
                <w:szCs w:val="17"/>
              </w:rPr>
            </w:pPr>
            <w:r>
              <w:rPr>
                <w:rFonts w:eastAsia="Times New Roman"/>
                <w:iCs/>
                <w:color w:val="FFFFFF" w:themeColor="background1"/>
                <w:szCs w:val="17"/>
              </w:rPr>
              <w:t>Achieved</w:t>
            </w:r>
          </w:p>
        </w:tc>
        <w:tc>
          <w:tcPr>
            <w:tcW w:w="2970" w:type="pct"/>
          </w:tcPr>
          <w:p w:rsidR="00C25AD7" w:rsidRDefault="00C25AD7" w:rsidP="002F4ABA">
            <w:pPr>
              <w:spacing w:before="40" w:after="40" w:line="200" w:lineRule="atLeast"/>
              <w:rPr>
                <w:rFonts w:ascii="Franklin Gothic Book" w:hAnsi="Franklin Gothic Book"/>
                <w:i/>
                <w:iCs/>
                <w:szCs w:val="17"/>
              </w:rPr>
            </w:pPr>
            <w:r>
              <w:rPr>
                <w:rFonts w:ascii="Franklin Gothic Book" w:hAnsi="Franklin Gothic Book"/>
                <w:i/>
                <w:iCs/>
                <w:szCs w:val="17"/>
              </w:rPr>
              <w:t>The Aid Program has to date leveraged $</w:t>
            </w:r>
            <w:r w:rsidRPr="00F257E0">
              <w:rPr>
                <w:rFonts w:ascii="Franklin Gothic Book" w:hAnsi="Franklin Gothic Book"/>
                <w:i/>
                <w:iCs/>
                <w:szCs w:val="17"/>
              </w:rPr>
              <w:t>565 m (rounded to nearest million dollars)</w:t>
            </w:r>
            <w:r>
              <w:rPr>
                <w:rFonts w:ascii="Franklin Gothic Book" w:hAnsi="Franklin Gothic Book"/>
                <w:i/>
                <w:iCs/>
                <w:szCs w:val="17"/>
              </w:rPr>
              <w:t xml:space="preserve"> in further investment. An additional 53.78 million has been leveraged in 2016 from</w:t>
            </w:r>
            <w:r w:rsidRPr="00F257E0">
              <w:rPr>
                <w:rFonts w:ascii="Franklin Gothic Book" w:hAnsi="Franklin Gothic Book"/>
                <w:i/>
                <w:iCs/>
                <w:szCs w:val="17"/>
              </w:rPr>
              <w:t xml:space="preserve"> the IFC </w:t>
            </w:r>
            <w:r>
              <w:rPr>
                <w:rFonts w:ascii="Franklin Gothic Book" w:hAnsi="Franklin Gothic Book"/>
                <w:i/>
                <w:iCs/>
                <w:szCs w:val="17"/>
              </w:rPr>
              <w:t>Pacific Partnership ($40.33m),</w:t>
            </w:r>
            <w:r w:rsidRPr="00F257E0">
              <w:rPr>
                <w:rFonts w:ascii="Franklin Gothic Book" w:hAnsi="Franklin Gothic Book"/>
                <w:i/>
                <w:iCs/>
                <w:szCs w:val="17"/>
              </w:rPr>
              <w:t xml:space="preserve"> the Pacific Business</w:t>
            </w:r>
            <w:r>
              <w:rPr>
                <w:rFonts w:ascii="Franklin Gothic Book" w:hAnsi="Franklin Gothic Book"/>
                <w:i/>
                <w:iCs/>
                <w:szCs w:val="17"/>
              </w:rPr>
              <w:t xml:space="preserve"> Investment Facility ($</w:t>
            </w:r>
            <w:r w:rsidRPr="00F257E0">
              <w:rPr>
                <w:rFonts w:ascii="Franklin Gothic Book" w:hAnsi="Franklin Gothic Book"/>
                <w:i/>
                <w:iCs/>
                <w:szCs w:val="17"/>
              </w:rPr>
              <w:t>5.06m)</w:t>
            </w:r>
            <w:r>
              <w:rPr>
                <w:rFonts w:ascii="Franklin Gothic Book" w:hAnsi="Franklin Gothic Book"/>
                <w:i/>
                <w:iCs/>
                <w:szCs w:val="17"/>
              </w:rPr>
              <w:t xml:space="preserve">, and </w:t>
            </w:r>
            <w:r w:rsidRPr="00F257E0">
              <w:rPr>
                <w:rFonts w:ascii="Franklin Gothic Book" w:hAnsi="Franklin Gothic Book"/>
                <w:i/>
                <w:iCs/>
                <w:szCs w:val="17"/>
              </w:rPr>
              <w:t>the funding for the Sydney office of Pacific Trade and Invest</w:t>
            </w:r>
            <w:r>
              <w:rPr>
                <w:rFonts w:ascii="Franklin Gothic Book" w:hAnsi="Franklin Gothic Book"/>
                <w:i/>
                <w:iCs/>
                <w:szCs w:val="17"/>
              </w:rPr>
              <w:t>.</w:t>
            </w:r>
          </w:p>
        </w:tc>
      </w:tr>
      <w:tr w:rsidR="00C25AD7" w:rsidRPr="00A427C6" w:rsidTr="002F4ABA">
        <w:tc>
          <w:tcPr>
            <w:tcW w:w="780" w:type="pct"/>
            <w:tcMar>
              <w:top w:w="57" w:type="dxa"/>
              <w:bottom w:w="57" w:type="dxa"/>
            </w:tcMar>
          </w:tcPr>
          <w:p w:rsidR="00C25AD7" w:rsidRPr="00D62919" w:rsidRDefault="00C25AD7" w:rsidP="002F4ABA">
            <w:pPr>
              <w:keepLines/>
              <w:spacing w:before="40" w:after="40" w:line="200" w:lineRule="atLeast"/>
              <w:rPr>
                <w:rFonts w:asciiTheme="minorHAnsi" w:eastAsia="Times New Roman" w:hAnsiTheme="minorHAnsi"/>
                <w:b/>
                <w:iCs/>
                <w:szCs w:val="17"/>
                <w:lang w:eastAsia="en-US"/>
              </w:rPr>
            </w:pPr>
            <w:r w:rsidRPr="00CD0611">
              <w:rPr>
                <w:rFonts w:asciiTheme="minorHAnsi" w:eastAsia="Times New Roman" w:hAnsiTheme="minorHAnsi"/>
                <w:b/>
                <w:iCs/>
                <w:szCs w:val="17"/>
                <w:lang w:eastAsia="en-US"/>
              </w:rPr>
              <w:t xml:space="preserve">Objective2: Effective regional institutions </w:t>
            </w:r>
          </w:p>
        </w:tc>
        <w:tc>
          <w:tcPr>
            <w:tcW w:w="780" w:type="pct"/>
          </w:tcPr>
          <w:p w:rsidR="00C25AD7" w:rsidRPr="00A3217F" w:rsidRDefault="00C25AD7" w:rsidP="002F4ABA">
            <w:pPr>
              <w:keepLines/>
              <w:spacing w:before="40" w:after="40" w:line="200" w:lineRule="atLeast"/>
              <w:rPr>
                <w:i/>
                <w:color w:val="808080"/>
                <w:sz w:val="16"/>
                <w:szCs w:val="16"/>
              </w:rPr>
            </w:pPr>
          </w:p>
        </w:tc>
        <w:tc>
          <w:tcPr>
            <w:tcW w:w="470" w:type="pct"/>
            <w:tcBorders>
              <w:top w:val="nil"/>
              <w:bottom w:val="nil"/>
            </w:tcBorders>
            <w:shd w:val="clear" w:color="auto" w:fill="auto"/>
          </w:tcPr>
          <w:p w:rsidR="00C25AD7" w:rsidRPr="00A427C6" w:rsidRDefault="00C25AD7" w:rsidP="002F4ABA">
            <w:pPr>
              <w:keepLines/>
              <w:spacing w:before="40" w:after="40" w:line="200" w:lineRule="atLeast"/>
              <w:jc w:val="center"/>
              <w:rPr>
                <w:rFonts w:asciiTheme="minorHAnsi" w:eastAsia="Times New Roman" w:hAnsiTheme="minorHAnsi"/>
                <w:iCs/>
                <w:szCs w:val="17"/>
                <w:lang w:eastAsia="en-US"/>
              </w:rPr>
            </w:pPr>
          </w:p>
        </w:tc>
        <w:tc>
          <w:tcPr>
            <w:tcW w:w="2970" w:type="pct"/>
          </w:tcPr>
          <w:p w:rsidR="00C25AD7" w:rsidRPr="003E6B46" w:rsidRDefault="00C25AD7" w:rsidP="002F4ABA">
            <w:pPr>
              <w:spacing w:before="40" w:after="40" w:line="200" w:lineRule="atLeast"/>
              <w:rPr>
                <w:rFonts w:ascii="Franklin Gothic Book" w:hAnsi="Franklin Gothic Book"/>
                <w:i/>
                <w:iCs/>
                <w:szCs w:val="17"/>
              </w:rPr>
            </w:pPr>
          </w:p>
        </w:tc>
      </w:tr>
      <w:tr w:rsidR="00C25AD7" w:rsidRPr="001D7510" w:rsidTr="002F4ABA">
        <w:tc>
          <w:tcPr>
            <w:tcW w:w="780" w:type="pct"/>
            <w:tcMar>
              <w:top w:w="57" w:type="dxa"/>
              <w:bottom w:w="57" w:type="dxa"/>
            </w:tcMar>
          </w:tcPr>
          <w:p w:rsidR="00C25AD7" w:rsidRPr="003C1A3D" w:rsidRDefault="00C25AD7" w:rsidP="002F4ABA">
            <w:pPr>
              <w:keepLines/>
              <w:spacing w:before="40" w:after="40" w:line="200" w:lineRule="atLeast"/>
              <w:rPr>
                <w:rFonts w:ascii="Franklin Gothic Book" w:hAnsi="Franklin Gothic Book"/>
                <w:i/>
                <w:iCs/>
                <w:szCs w:val="17"/>
                <w:highlight w:val="yellow"/>
              </w:rPr>
            </w:pPr>
            <w:r w:rsidRPr="000B1FD2">
              <w:rPr>
                <w:rFonts w:ascii="Franklin Gothic Book" w:hAnsi="Franklin Gothic Book"/>
                <w:i/>
                <w:iCs/>
                <w:szCs w:val="17"/>
              </w:rPr>
              <w:t>Collective ownership of regional organisations by Pacific island country members.</w:t>
            </w:r>
          </w:p>
        </w:tc>
        <w:tc>
          <w:tcPr>
            <w:tcW w:w="780" w:type="pct"/>
          </w:tcPr>
          <w:p w:rsidR="00C25AD7" w:rsidRPr="00A3217F" w:rsidRDefault="00C25AD7" w:rsidP="002F4ABA">
            <w:pPr>
              <w:keepLines/>
              <w:spacing w:before="40" w:after="40" w:line="200" w:lineRule="atLeast"/>
              <w:rPr>
                <w:i/>
                <w:color w:val="808080"/>
                <w:sz w:val="16"/>
                <w:szCs w:val="16"/>
              </w:rPr>
            </w:pPr>
            <w:r w:rsidRPr="00F3555F">
              <w:rPr>
                <w:i/>
                <w:color w:val="808080"/>
                <w:sz w:val="16"/>
                <w:szCs w:val="16"/>
              </w:rPr>
              <w:t>Pacific island country members engaged in decision-making at Pacific Regional Organisation governing body meetings</w:t>
            </w:r>
          </w:p>
        </w:tc>
        <w:tc>
          <w:tcPr>
            <w:tcW w:w="470" w:type="pct"/>
            <w:tcBorders>
              <w:bottom w:val="nil"/>
            </w:tcBorders>
            <w:shd w:val="clear" w:color="auto" w:fill="FF9900"/>
          </w:tcPr>
          <w:p w:rsidR="00C25AD7" w:rsidRPr="00790464" w:rsidRDefault="00C25AD7" w:rsidP="002F4ABA">
            <w:pPr>
              <w:keepLines/>
              <w:spacing w:before="40" w:after="40" w:line="200" w:lineRule="atLeast"/>
              <w:jc w:val="center"/>
              <w:rPr>
                <w:rFonts w:ascii="Franklin Gothic Book" w:hAnsi="Franklin Gothic Book"/>
                <w:i/>
                <w:iCs/>
                <w:szCs w:val="17"/>
                <w:highlight w:val="yellow"/>
              </w:rPr>
            </w:pPr>
            <w:r w:rsidRPr="00F36AC7">
              <w:rPr>
                <w:rFonts w:ascii="Franklin Gothic Book" w:hAnsi="Franklin Gothic Book"/>
                <w:iCs/>
                <w:color w:val="FFFFFF" w:themeColor="background1"/>
                <w:szCs w:val="17"/>
              </w:rPr>
              <w:t>Partly achieved</w:t>
            </w:r>
          </w:p>
        </w:tc>
        <w:tc>
          <w:tcPr>
            <w:tcW w:w="2970" w:type="pct"/>
          </w:tcPr>
          <w:p w:rsidR="00C25AD7" w:rsidRPr="001D7510" w:rsidRDefault="00C25AD7" w:rsidP="002F4ABA">
            <w:pPr>
              <w:spacing w:before="40" w:after="40" w:line="200" w:lineRule="atLeast"/>
              <w:rPr>
                <w:rFonts w:ascii="Franklin Gothic Book" w:hAnsi="Franklin Gothic Book"/>
                <w:i/>
                <w:iCs/>
                <w:szCs w:val="17"/>
              </w:rPr>
            </w:pPr>
            <w:r w:rsidRPr="001D7510">
              <w:rPr>
                <w:rFonts w:ascii="Franklin Gothic Book" w:hAnsi="Franklin Gothic Book"/>
                <w:i/>
                <w:iCs/>
                <w:szCs w:val="17"/>
              </w:rPr>
              <w:t>Member countries and territories of the Pacific Islands Forum (PIF) and the Pacific Community (SPC) have improved their strategic planning and engaged in prioritising their work.  Members generally sent senior representatives to regional meetings.  Engagement with decision-making processes, evidenced by member participation in regional meetings, included:</w:t>
            </w:r>
          </w:p>
          <w:p w:rsidR="00C25AD7" w:rsidRPr="001D7510" w:rsidRDefault="00C25AD7" w:rsidP="002F4ABA">
            <w:pPr>
              <w:spacing w:before="40" w:after="40" w:line="200" w:lineRule="atLeast"/>
              <w:rPr>
                <w:rFonts w:ascii="Franklin Gothic Book" w:hAnsi="Franklin Gothic Book"/>
                <w:i/>
                <w:iCs/>
                <w:szCs w:val="17"/>
              </w:rPr>
            </w:pPr>
            <w:r w:rsidRPr="001D7510">
              <w:rPr>
                <w:rFonts w:ascii="Franklin Gothic Book" w:hAnsi="Franklin Gothic Book"/>
                <w:i/>
                <w:iCs/>
                <w:szCs w:val="17"/>
              </w:rPr>
              <w:t>Forum Officials Committee meeting (16 of 16 members)</w:t>
            </w:r>
          </w:p>
          <w:p w:rsidR="00C25AD7" w:rsidRPr="001D7510" w:rsidRDefault="00C25AD7" w:rsidP="002F4ABA">
            <w:pPr>
              <w:spacing w:before="40" w:after="40" w:line="200" w:lineRule="atLeast"/>
              <w:rPr>
                <w:rFonts w:ascii="Franklin Gothic Book" w:hAnsi="Franklin Gothic Book"/>
                <w:i/>
                <w:iCs/>
                <w:szCs w:val="17"/>
              </w:rPr>
            </w:pPr>
            <w:r w:rsidRPr="001D7510">
              <w:rPr>
                <w:rFonts w:ascii="Franklin Gothic Book" w:hAnsi="Franklin Gothic Book"/>
                <w:i/>
                <w:iCs/>
                <w:szCs w:val="17"/>
              </w:rPr>
              <w:t>Forum Foreign Ministers’ Meeting (16 of 16 members)</w:t>
            </w:r>
          </w:p>
          <w:p w:rsidR="00C25AD7" w:rsidRPr="001D7510" w:rsidRDefault="00C25AD7" w:rsidP="002F4ABA">
            <w:pPr>
              <w:spacing w:before="40" w:after="40" w:line="200" w:lineRule="atLeast"/>
              <w:rPr>
                <w:rFonts w:ascii="Franklin Gothic Book" w:hAnsi="Franklin Gothic Book"/>
                <w:i/>
                <w:iCs/>
                <w:szCs w:val="17"/>
              </w:rPr>
            </w:pPr>
            <w:r w:rsidRPr="001D7510">
              <w:rPr>
                <w:rFonts w:ascii="Franklin Gothic Book" w:hAnsi="Franklin Gothic Book"/>
                <w:i/>
                <w:iCs/>
                <w:szCs w:val="17"/>
              </w:rPr>
              <w:lastRenderedPageBreak/>
              <w:t>PIF Leaders’ Meeting (16 of 16 members)</w:t>
            </w:r>
          </w:p>
          <w:p w:rsidR="00C25AD7" w:rsidRPr="001D7510" w:rsidRDefault="00C25AD7" w:rsidP="002F4ABA">
            <w:pPr>
              <w:spacing w:before="40" w:after="40" w:line="200" w:lineRule="atLeast"/>
              <w:rPr>
                <w:rFonts w:ascii="Franklin Gothic Book" w:hAnsi="Franklin Gothic Book"/>
                <w:i/>
                <w:iCs/>
                <w:szCs w:val="17"/>
              </w:rPr>
            </w:pPr>
            <w:r w:rsidRPr="001D7510">
              <w:rPr>
                <w:rFonts w:ascii="Franklin Gothic Book" w:hAnsi="Franklin Gothic Book"/>
                <w:i/>
                <w:iCs/>
                <w:szCs w:val="17"/>
              </w:rPr>
              <w:t xml:space="preserve">Committee of Representatives of Governments and Administrations Subcommittee on Strategic Plan Implementation (11 of 11 members) </w:t>
            </w:r>
            <w:r w:rsidRPr="001D7510">
              <w:rPr>
                <w:rFonts w:ascii="Franklin Gothic Book" w:hAnsi="Franklin Gothic Book"/>
                <w:i/>
                <w:iCs/>
                <w:szCs w:val="17"/>
              </w:rPr>
              <w:br/>
              <w:t>SPREP….</w:t>
            </w:r>
          </w:p>
          <w:p w:rsidR="00C25AD7" w:rsidRPr="001D7510" w:rsidRDefault="00C25AD7" w:rsidP="002F4ABA">
            <w:pPr>
              <w:spacing w:before="40" w:after="40" w:line="200" w:lineRule="atLeast"/>
              <w:rPr>
                <w:rFonts w:ascii="Franklin Gothic Book" w:hAnsi="Franklin Gothic Book"/>
                <w:i/>
                <w:iCs/>
                <w:szCs w:val="17"/>
              </w:rPr>
            </w:pPr>
            <w:r w:rsidRPr="001D7510">
              <w:rPr>
                <w:rFonts w:ascii="Franklin Gothic Book" w:hAnsi="Franklin Gothic Book"/>
                <w:i/>
                <w:iCs/>
                <w:szCs w:val="17"/>
              </w:rPr>
              <w:t>Forum Fisheries Committee Ministerial Meeting (17 of 17 members)</w:t>
            </w:r>
            <w:r w:rsidRPr="001D7510">
              <w:rPr>
                <w:rFonts w:ascii="Franklin Gothic Book" w:hAnsi="Franklin Gothic Book"/>
                <w:i/>
                <w:iCs/>
                <w:szCs w:val="17"/>
              </w:rPr>
              <w:br/>
              <w:t>83rd and 84th University of the South Pacific committee meetings (12 and 10 of 12 members respectively)</w:t>
            </w:r>
          </w:p>
          <w:p w:rsidR="00C25AD7" w:rsidRPr="001D7510" w:rsidRDefault="00C25AD7" w:rsidP="002F4ABA">
            <w:pPr>
              <w:spacing w:before="40" w:after="40" w:line="200" w:lineRule="atLeast"/>
              <w:rPr>
                <w:rFonts w:ascii="Franklin Gothic Book" w:hAnsi="Franklin Gothic Book"/>
                <w:i/>
                <w:iCs/>
                <w:szCs w:val="17"/>
              </w:rPr>
            </w:pPr>
          </w:p>
        </w:tc>
      </w:tr>
      <w:tr w:rsidR="00C25AD7" w:rsidRPr="001D7510" w:rsidTr="002F4ABA">
        <w:tc>
          <w:tcPr>
            <w:tcW w:w="780" w:type="pct"/>
            <w:tcMar>
              <w:top w:w="57" w:type="dxa"/>
              <w:bottom w:w="57" w:type="dxa"/>
            </w:tcMar>
          </w:tcPr>
          <w:p w:rsidR="00C25AD7" w:rsidRPr="00146E84" w:rsidRDefault="00C25AD7" w:rsidP="002F4ABA">
            <w:pPr>
              <w:keepLines/>
              <w:rPr>
                <w:rFonts w:ascii="Franklin Gothic Book" w:hAnsi="Franklin Gothic Book"/>
                <w:i/>
                <w:iCs/>
                <w:szCs w:val="17"/>
              </w:rPr>
            </w:pPr>
            <w:r w:rsidRPr="00146E84">
              <w:rPr>
                <w:rFonts w:ascii="Franklin Gothic Book" w:hAnsi="Franklin Gothic Book"/>
                <w:i/>
                <w:iCs/>
                <w:szCs w:val="17"/>
              </w:rPr>
              <w:lastRenderedPageBreak/>
              <w:t xml:space="preserve">Regional organisations have prioritised and consolidated programs focused on their comparative advantages </w:t>
            </w:r>
          </w:p>
          <w:p w:rsidR="00C25AD7" w:rsidRPr="000B1FD2" w:rsidRDefault="00C25AD7" w:rsidP="002F4ABA">
            <w:pPr>
              <w:keepLines/>
              <w:rPr>
                <w:rFonts w:ascii="Franklin Gothic Book" w:hAnsi="Franklin Gothic Book"/>
                <w:i/>
                <w:iCs/>
                <w:szCs w:val="17"/>
              </w:rPr>
            </w:pPr>
          </w:p>
        </w:tc>
        <w:tc>
          <w:tcPr>
            <w:tcW w:w="780" w:type="pct"/>
          </w:tcPr>
          <w:p w:rsidR="00C25AD7" w:rsidRPr="00A3217F" w:rsidRDefault="00C25AD7" w:rsidP="002F4ABA">
            <w:pPr>
              <w:spacing w:after="160" w:line="252" w:lineRule="auto"/>
              <w:contextualSpacing/>
              <w:rPr>
                <w:i/>
                <w:color w:val="808080"/>
                <w:sz w:val="16"/>
                <w:szCs w:val="16"/>
              </w:rPr>
            </w:pPr>
            <w:r w:rsidRPr="00A3217F">
              <w:rPr>
                <w:i/>
                <w:color w:val="808080"/>
                <w:sz w:val="16"/>
                <w:szCs w:val="16"/>
              </w:rPr>
              <w:t xml:space="preserve">Regional organisations have defined clear, sensible priorities for the organisation </w:t>
            </w:r>
          </w:p>
          <w:p w:rsidR="00C25AD7" w:rsidRPr="00A3217F" w:rsidRDefault="00C25AD7" w:rsidP="002F4ABA">
            <w:pPr>
              <w:spacing w:after="160" w:line="252" w:lineRule="auto"/>
              <w:contextualSpacing/>
              <w:rPr>
                <w:i/>
                <w:color w:val="808080"/>
                <w:sz w:val="16"/>
                <w:szCs w:val="16"/>
              </w:rPr>
            </w:pPr>
          </w:p>
          <w:p w:rsidR="00C25AD7" w:rsidRPr="00A3217F" w:rsidRDefault="00C25AD7" w:rsidP="002F4ABA">
            <w:pPr>
              <w:spacing w:after="160" w:line="252" w:lineRule="auto"/>
              <w:contextualSpacing/>
              <w:rPr>
                <w:i/>
                <w:color w:val="808080"/>
                <w:sz w:val="16"/>
                <w:szCs w:val="16"/>
              </w:rPr>
            </w:pPr>
            <w:r w:rsidRPr="00A3217F">
              <w:rPr>
                <w:i/>
                <w:color w:val="808080"/>
                <w:sz w:val="16"/>
                <w:szCs w:val="16"/>
              </w:rPr>
              <w:t>The predicted budgets of regional organisations compare well to expected expenditure</w:t>
            </w:r>
          </w:p>
          <w:p w:rsidR="00C25AD7" w:rsidRPr="00A3217F" w:rsidRDefault="00C25AD7" w:rsidP="002F4ABA">
            <w:pPr>
              <w:keepLines/>
              <w:spacing w:before="40" w:after="40" w:line="200" w:lineRule="atLeast"/>
              <w:rPr>
                <w:i/>
                <w:color w:val="808080"/>
                <w:sz w:val="16"/>
                <w:szCs w:val="16"/>
              </w:rPr>
            </w:pPr>
          </w:p>
          <w:p w:rsidR="00C25AD7" w:rsidRPr="00F3555F" w:rsidRDefault="00C25AD7" w:rsidP="002F4ABA">
            <w:pPr>
              <w:keepLines/>
              <w:rPr>
                <w:i/>
                <w:color w:val="808080"/>
                <w:sz w:val="16"/>
                <w:szCs w:val="16"/>
              </w:rPr>
            </w:pPr>
          </w:p>
        </w:tc>
        <w:tc>
          <w:tcPr>
            <w:tcW w:w="470" w:type="pct"/>
            <w:tcBorders>
              <w:bottom w:val="nil"/>
            </w:tcBorders>
            <w:shd w:val="clear" w:color="auto" w:fill="FF9900"/>
          </w:tcPr>
          <w:p w:rsidR="00C25AD7" w:rsidRPr="00F36AC7" w:rsidRDefault="00C25AD7" w:rsidP="002F4ABA">
            <w:pPr>
              <w:keepLines/>
              <w:spacing w:before="40" w:after="40" w:line="200" w:lineRule="atLeast"/>
              <w:jc w:val="center"/>
              <w:rPr>
                <w:rFonts w:ascii="Franklin Gothic Book" w:hAnsi="Franklin Gothic Book"/>
                <w:iCs/>
                <w:color w:val="FFFFFF" w:themeColor="background1"/>
                <w:szCs w:val="17"/>
              </w:rPr>
            </w:pPr>
            <w:r>
              <w:rPr>
                <w:rFonts w:ascii="Franklin Gothic Book" w:hAnsi="Franklin Gothic Book"/>
                <w:iCs/>
                <w:color w:val="FFFFFF" w:themeColor="background1"/>
                <w:szCs w:val="17"/>
              </w:rPr>
              <w:t>Partly Achieved</w:t>
            </w:r>
          </w:p>
        </w:tc>
        <w:tc>
          <w:tcPr>
            <w:tcW w:w="2970" w:type="pct"/>
          </w:tcPr>
          <w:p w:rsidR="00C25AD7" w:rsidRPr="001D7510" w:rsidRDefault="00C25AD7" w:rsidP="002F4ABA">
            <w:pPr>
              <w:spacing w:before="40" w:after="40" w:line="200" w:lineRule="atLeast"/>
              <w:rPr>
                <w:rFonts w:ascii="Franklin Gothic Book" w:hAnsi="Franklin Gothic Book"/>
                <w:i/>
                <w:iCs/>
                <w:szCs w:val="17"/>
              </w:rPr>
            </w:pPr>
            <w:r>
              <w:rPr>
                <w:rFonts w:ascii="Franklin Gothic Book" w:hAnsi="Franklin Gothic Book"/>
                <w:i/>
                <w:iCs/>
                <w:szCs w:val="17"/>
              </w:rPr>
              <w:t xml:space="preserve"> </w:t>
            </w:r>
          </w:p>
        </w:tc>
      </w:tr>
      <w:tr w:rsidR="00C25AD7" w:rsidRPr="00A427C6" w:rsidTr="002F4ABA">
        <w:tc>
          <w:tcPr>
            <w:tcW w:w="780" w:type="pct"/>
            <w:tcMar>
              <w:top w:w="57" w:type="dxa"/>
              <w:bottom w:w="57" w:type="dxa"/>
            </w:tcMar>
          </w:tcPr>
          <w:p w:rsidR="00C25AD7" w:rsidRPr="004A2DED" w:rsidRDefault="00C25AD7" w:rsidP="002F4ABA">
            <w:pPr>
              <w:keepLines/>
              <w:spacing w:before="40" w:after="40" w:line="200" w:lineRule="atLeast"/>
              <w:rPr>
                <w:rFonts w:asciiTheme="minorHAnsi" w:eastAsia="Times New Roman" w:hAnsiTheme="minorHAnsi"/>
                <w:b/>
                <w:iCs/>
                <w:szCs w:val="17"/>
                <w:lang w:eastAsia="en-US"/>
              </w:rPr>
            </w:pPr>
            <w:r w:rsidRPr="00CD0611">
              <w:rPr>
                <w:rFonts w:asciiTheme="minorHAnsi" w:eastAsia="Times New Roman" w:hAnsiTheme="minorHAnsi"/>
                <w:b/>
                <w:iCs/>
                <w:szCs w:val="17"/>
                <w:lang w:eastAsia="en-US"/>
              </w:rPr>
              <w:t>Objective 3: Health and resilient communities</w:t>
            </w:r>
          </w:p>
        </w:tc>
        <w:tc>
          <w:tcPr>
            <w:tcW w:w="780" w:type="pct"/>
          </w:tcPr>
          <w:p w:rsidR="00C25AD7" w:rsidRPr="00A3217F" w:rsidRDefault="00C25AD7" w:rsidP="002F4ABA">
            <w:pPr>
              <w:keepLines/>
              <w:spacing w:before="40" w:after="40" w:line="200" w:lineRule="atLeast"/>
              <w:rPr>
                <w:i/>
                <w:color w:val="808080"/>
                <w:sz w:val="16"/>
                <w:szCs w:val="16"/>
              </w:rPr>
            </w:pPr>
          </w:p>
        </w:tc>
        <w:tc>
          <w:tcPr>
            <w:tcW w:w="470" w:type="pct"/>
            <w:tcBorders>
              <w:top w:val="nil"/>
              <w:bottom w:val="nil"/>
            </w:tcBorders>
            <w:shd w:val="clear" w:color="auto" w:fill="FFFFFF" w:themeFill="background1"/>
          </w:tcPr>
          <w:p w:rsidR="00C25AD7" w:rsidRPr="00A427C6" w:rsidRDefault="00C25AD7" w:rsidP="002F4ABA">
            <w:pPr>
              <w:keepLines/>
              <w:spacing w:before="40" w:after="40" w:line="200" w:lineRule="atLeast"/>
              <w:jc w:val="center"/>
              <w:rPr>
                <w:rFonts w:asciiTheme="minorHAnsi" w:eastAsia="Times New Roman" w:hAnsiTheme="minorHAnsi"/>
                <w:iCs/>
                <w:szCs w:val="17"/>
                <w:lang w:eastAsia="en-US"/>
              </w:rPr>
            </w:pPr>
          </w:p>
        </w:tc>
        <w:tc>
          <w:tcPr>
            <w:tcW w:w="2970" w:type="pct"/>
          </w:tcPr>
          <w:p w:rsidR="00C25AD7" w:rsidRPr="003E6B46" w:rsidRDefault="00C25AD7" w:rsidP="002F4ABA">
            <w:pPr>
              <w:spacing w:before="40" w:after="40" w:line="200" w:lineRule="atLeast"/>
              <w:rPr>
                <w:rFonts w:ascii="Franklin Gothic Book" w:hAnsi="Franklin Gothic Book"/>
                <w:i/>
                <w:iCs/>
                <w:szCs w:val="17"/>
              </w:rPr>
            </w:pPr>
          </w:p>
        </w:tc>
      </w:tr>
      <w:tr w:rsidR="00C25AD7" w:rsidRPr="00A427C6" w:rsidTr="002F4ABA">
        <w:tc>
          <w:tcPr>
            <w:tcW w:w="780" w:type="pct"/>
            <w:tcMar>
              <w:top w:w="57" w:type="dxa"/>
              <w:bottom w:w="57" w:type="dxa"/>
            </w:tcMar>
          </w:tcPr>
          <w:p w:rsidR="00C25AD7" w:rsidRDefault="00C25AD7" w:rsidP="002F4ABA">
            <w:pPr>
              <w:keepLines/>
              <w:spacing w:before="40" w:after="40" w:line="200" w:lineRule="atLeast"/>
              <w:rPr>
                <w:rFonts w:eastAsia="Times New Roman"/>
                <w:iCs/>
                <w:szCs w:val="17"/>
              </w:rPr>
            </w:pPr>
            <w:r>
              <w:rPr>
                <w:rFonts w:ascii="Franklin Gothic Book" w:hAnsi="Franklin Gothic Book"/>
                <w:i/>
                <w:iCs/>
                <w:szCs w:val="17"/>
              </w:rPr>
              <w:t>Pacific island countries effectively manage global sources of climate finance</w:t>
            </w:r>
          </w:p>
        </w:tc>
        <w:tc>
          <w:tcPr>
            <w:tcW w:w="780" w:type="pct"/>
          </w:tcPr>
          <w:p w:rsidR="00C25AD7" w:rsidRPr="00A3217F" w:rsidRDefault="00C25AD7" w:rsidP="002F4ABA">
            <w:pPr>
              <w:keepLines/>
              <w:spacing w:before="40" w:after="40" w:line="200" w:lineRule="atLeast"/>
              <w:rPr>
                <w:i/>
                <w:color w:val="808080"/>
                <w:sz w:val="16"/>
                <w:szCs w:val="16"/>
              </w:rPr>
            </w:pPr>
            <w:r w:rsidRPr="00A3217F">
              <w:rPr>
                <w:i/>
                <w:color w:val="808080"/>
                <w:sz w:val="16"/>
                <w:szCs w:val="16"/>
              </w:rPr>
              <w:t xml:space="preserve">Pacific governments are able to access and use information on climate change impacts in national planning – </w:t>
            </w:r>
          </w:p>
          <w:p w:rsidR="00C25AD7" w:rsidRPr="00A3217F" w:rsidRDefault="00C25AD7" w:rsidP="002F4ABA">
            <w:pPr>
              <w:keepLines/>
              <w:spacing w:before="40" w:after="40" w:line="200" w:lineRule="atLeast"/>
              <w:rPr>
                <w:i/>
                <w:color w:val="808080"/>
                <w:sz w:val="16"/>
                <w:szCs w:val="16"/>
              </w:rPr>
            </w:pPr>
          </w:p>
          <w:p w:rsidR="00C25AD7" w:rsidRPr="00A3217F" w:rsidRDefault="00C25AD7" w:rsidP="002F4ABA">
            <w:pPr>
              <w:keepLines/>
              <w:spacing w:before="40" w:after="40" w:line="200" w:lineRule="atLeast"/>
              <w:rPr>
                <w:i/>
                <w:color w:val="808080"/>
                <w:sz w:val="16"/>
                <w:szCs w:val="16"/>
              </w:rPr>
            </w:pPr>
          </w:p>
          <w:p w:rsidR="00C25AD7" w:rsidRPr="00A3217F" w:rsidRDefault="00C25AD7" w:rsidP="002F4ABA">
            <w:pPr>
              <w:keepLines/>
              <w:spacing w:before="40" w:after="40" w:line="200" w:lineRule="atLeast"/>
              <w:rPr>
                <w:i/>
                <w:color w:val="808080"/>
                <w:sz w:val="16"/>
                <w:szCs w:val="16"/>
              </w:rPr>
            </w:pPr>
          </w:p>
          <w:p w:rsidR="00C25AD7" w:rsidRPr="00A3217F" w:rsidRDefault="00C25AD7" w:rsidP="002F4ABA">
            <w:pPr>
              <w:keepLines/>
              <w:spacing w:before="40" w:after="40" w:line="200" w:lineRule="atLeast"/>
              <w:rPr>
                <w:i/>
                <w:color w:val="808080"/>
                <w:sz w:val="16"/>
                <w:szCs w:val="16"/>
              </w:rPr>
            </w:pPr>
          </w:p>
          <w:p w:rsidR="00C25AD7" w:rsidRPr="00A3217F" w:rsidRDefault="00C25AD7" w:rsidP="002F4ABA">
            <w:pPr>
              <w:keepLines/>
              <w:spacing w:before="40" w:after="40" w:line="200" w:lineRule="atLeast"/>
              <w:rPr>
                <w:i/>
                <w:color w:val="808080"/>
                <w:sz w:val="16"/>
                <w:szCs w:val="16"/>
              </w:rPr>
            </w:pPr>
          </w:p>
          <w:p w:rsidR="00C25AD7" w:rsidRPr="00A3217F" w:rsidRDefault="00C25AD7" w:rsidP="002F4ABA">
            <w:pPr>
              <w:keepLines/>
              <w:spacing w:before="40" w:after="40" w:line="200" w:lineRule="atLeast"/>
              <w:rPr>
                <w:i/>
                <w:color w:val="808080"/>
                <w:sz w:val="16"/>
                <w:szCs w:val="16"/>
              </w:rPr>
            </w:pPr>
          </w:p>
          <w:p w:rsidR="00C25AD7" w:rsidRPr="00A3217F" w:rsidRDefault="00C25AD7" w:rsidP="002F4ABA">
            <w:pPr>
              <w:keepLines/>
              <w:spacing w:before="40" w:after="40" w:line="200" w:lineRule="atLeast"/>
              <w:rPr>
                <w:i/>
                <w:color w:val="808080"/>
                <w:sz w:val="16"/>
                <w:szCs w:val="16"/>
              </w:rPr>
            </w:pPr>
          </w:p>
          <w:p w:rsidR="00C25AD7" w:rsidRPr="00A3217F" w:rsidRDefault="00C25AD7" w:rsidP="002F4ABA">
            <w:pPr>
              <w:keepLines/>
              <w:spacing w:before="40" w:after="40" w:line="200" w:lineRule="atLeast"/>
              <w:rPr>
                <w:i/>
                <w:color w:val="808080"/>
                <w:sz w:val="16"/>
                <w:szCs w:val="16"/>
              </w:rPr>
            </w:pPr>
          </w:p>
          <w:p w:rsidR="00C25AD7" w:rsidRPr="00A3217F" w:rsidRDefault="00C25AD7" w:rsidP="002F4ABA">
            <w:pPr>
              <w:keepLines/>
              <w:spacing w:before="40" w:after="40" w:line="200" w:lineRule="atLeast"/>
              <w:rPr>
                <w:i/>
                <w:color w:val="808080"/>
                <w:sz w:val="16"/>
                <w:szCs w:val="16"/>
              </w:rPr>
            </w:pPr>
          </w:p>
          <w:p w:rsidR="00C25AD7" w:rsidRPr="00A3217F" w:rsidRDefault="00C25AD7" w:rsidP="002F4ABA">
            <w:pPr>
              <w:keepLines/>
              <w:spacing w:before="40" w:after="40" w:line="200" w:lineRule="atLeast"/>
              <w:rPr>
                <w:i/>
                <w:color w:val="808080"/>
                <w:sz w:val="16"/>
                <w:szCs w:val="16"/>
              </w:rPr>
            </w:pPr>
          </w:p>
          <w:p w:rsidR="00C25AD7" w:rsidRPr="00A3217F" w:rsidRDefault="00C25AD7" w:rsidP="002F4ABA">
            <w:pPr>
              <w:keepLines/>
              <w:spacing w:before="40" w:after="40" w:line="200" w:lineRule="atLeast"/>
              <w:rPr>
                <w:i/>
                <w:color w:val="808080"/>
                <w:sz w:val="16"/>
                <w:szCs w:val="16"/>
              </w:rPr>
            </w:pPr>
          </w:p>
          <w:p w:rsidR="00C25AD7" w:rsidRPr="00A3217F" w:rsidRDefault="00C25AD7" w:rsidP="002F4ABA">
            <w:pPr>
              <w:keepLines/>
              <w:spacing w:before="40" w:after="40" w:line="200" w:lineRule="atLeast"/>
              <w:rPr>
                <w:i/>
                <w:color w:val="808080"/>
                <w:sz w:val="16"/>
                <w:szCs w:val="16"/>
              </w:rPr>
            </w:pPr>
          </w:p>
          <w:p w:rsidR="00C25AD7" w:rsidRPr="00A3217F" w:rsidRDefault="00C25AD7" w:rsidP="002F4ABA">
            <w:pPr>
              <w:keepLines/>
              <w:spacing w:before="40" w:after="40" w:line="200" w:lineRule="atLeast"/>
              <w:rPr>
                <w:i/>
                <w:color w:val="808080"/>
                <w:sz w:val="16"/>
                <w:szCs w:val="16"/>
              </w:rPr>
            </w:pPr>
            <w:r w:rsidRPr="00A3217F">
              <w:rPr>
                <w:i/>
                <w:color w:val="808080"/>
                <w:sz w:val="16"/>
                <w:szCs w:val="16"/>
              </w:rPr>
              <w:t>SPREP successfully hosts seasonal climate outlook software and resources 14 member countries.</w:t>
            </w:r>
          </w:p>
        </w:tc>
        <w:tc>
          <w:tcPr>
            <w:tcW w:w="470" w:type="pct"/>
            <w:tcBorders>
              <w:top w:val="nil"/>
              <w:bottom w:val="nil"/>
            </w:tcBorders>
            <w:shd w:val="clear" w:color="auto" w:fill="FF9900"/>
          </w:tcPr>
          <w:p w:rsidR="00C25AD7" w:rsidRPr="00CE3D07" w:rsidRDefault="00C25AD7" w:rsidP="002F4ABA">
            <w:pPr>
              <w:keepLines/>
              <w:spacing w:before="40" w:after="40" w:line="200" w:lineRule="atLeast"/>
              <w:rPr>
                <w:rFonts w:eastAsia="Times New Roman"/>
                <w:i/>
                <w:iCs/>
                <w:color w:val="FFFFFF" w:themeColor="background1"/>
                <w:szCs w:val="17"/>
              </w:rPr>
            </w:pPr>
            <w:r w:rsidRPr="00CE3D07">
              <w:rPr>
                <w:rFonts w:eastAsia="Times New Roman"/>
                <w:i/>
                <w:iCs/>
                <w:color w:val="FFFFFF" w:themeColor="background1"/>
                <w:szCs w:val="17"/>
              </w:rPr>
              <w:t>Partially achieved</w:t>
            </w:r>
          </w:p>
          <w:p w:rsidR="00C25AD7" w:rsidRPr="00CE3D07" w:rsidRDefault="00C25AD7" w:rsidP="002F4ABA">
            <w:pPr>
              <w:keepLines/>
              <w:spacing w:before="40" w:after="40" w:line="200" w:lineRule="atLeast"/>
              <w:rPr>
                <w:rFonts w:eastAsia="Times New Roman"/>
                <w:i/>
                <w:iCs/>
                <w:color w:val="FFFFFF" w:themeColor="background1"/>
                <w:szCs w:val="17"/>
              </w:rPr>
            </w:pPr>
          </w:p>
          <w:p w:rsidR="00C25AD7" w:rsidRPr="00CE3D07" w:rsidRDefault="00C25AD7" w:rsidP="002F4ABA">
            <w:pPr>
              <w:keepLines/>
              <w:spacing w:before="40" w:after="40" w:line="200" w:lineRule="atLeast"/>
              <w:rPr>
                <w:rFonts w:eastAsia="Times New Roman"/>
                <w:i/>
                <w:iCs/>
                <w:color w:val="FFFFFF" w:themeColor="background1"/>
                <w:szCs w:val="17"/>
              </w:rPr>
            </w:pPr>
          </w:p>
          <w:p w:rsidR="00C25AD7" w:rsidRPr="00CE3D07" w:rsidRDefault="00C25AD7" w:rsidP="002F4ABA">
            <w:pPr>
              <w:keepLines/>
              <w:spacing w:before="40" w:after="40" w:line="200" w:lineRule="atLeast"/>
              <w:rPr>
                <w:rFonts w:eastAsia="Times New Roman"/>
                <w:i/>
                <w:iCs/>
                <w:color w:val="FFFFFF" w:themeColor="background1"/>
                <w:szCs w:val="17"/>
              </w:rPr>
            </w:pPr>
          </w:p>
          <w:p w:rsidR="00C25AD7" w:rsidRPr="00CE3D07" w:rsidRDefault="00C25AD7" w:rsidP="002F4ABA">
            <w:pPr>
              <w:keepLines/>
              <w:spacing w:before="40" w:after="40" w:line="200" w:lineRule="atLeast"/>
              <w:rPr>
                <w:rFonts w:eastAsia="Times New Roman"/>
                <w:i/>
                <w:iCs/>
                <w:color w:val="FFFFFF" w:themeColor="background1"/>
                <w:szCs w:val="17"/>
              </w:rPr>
            </w:pPr>
          </w:p>
          <w:p w:rsidR="00C25AD7" w:rsidRPr="00CE3D07" w:rsidRDefault="00C25AD7" w:rsidP="002F4ABA">
            <w:pPr>
              <w:keepLines/>
              <w:spacing w:before="40" w:after="40" w:line="200" w:lineRule="atLeast"/>
              <w:rPr>
                <w:rFonts w:eastAsia="Times New Roman"/>
                <w:i/>
                <w:iCs/>
                <w:color w:val="FFFFFF" w:themeColor="background1"/>
                <w:szCs w:val="17"/>
              </w:rPr>
            </w:pPr>
          </w:p>
          <w:p w:rsidR="00C25AD7" w:rsidRPr="00CE3D07" w:rsidRDefault="00C25AD7" w:rsidP="002F4ABA">
            <w:pPr>
              <w:keepLines/>
              <w:spacing w:before="40" w:after="40" w:line="200" w:lineRule="atLeast"/>
              <w:rPr>
                <w:rFonts w:eastAsia="Times New Roman"/>
                <w:i/>
                <w:iCs/>
                <w:color w:val="FFFFFF" w:themeColor="background1"/>
                <w:szCs w:val="17"/>
              </w:rPr>
            </w:pPr>
          </w:p>
          <w:p w:rsidR="00C25AD7" w:rsidRPr="00CE3D07" w:rsidRDefault="00C25AD7" w:rsidP="002F4ABA">
            <w:pPr>
              <w:keepLines/>
              <w:spacing w:before="40" w:after="40" w:line="200" w:lineRule="atLeast"/>
              <w:rPr>
                <w:rFonts w:eastAsia="Times New Roman"/>
                <w:i/>
                <w:iCs/>
                <w:color w:val="FFFFFF" w:themeColor="background1"/>
                <w:szCs w:val="17"/>
              </w:rPr>
            </w:pPr>
          </w:p>
          <w:p w:rsidR="00C25AD7" w:rsidRPr="00CE3D07" w:rsidRDefault="00C25AD7" w:rsidP="002F4ABA">
            <w:pPr>
              <w:keepLines/>
              <w:spacing w:before="40" w:after="40" w:line="200" w:lineRule="atLeast"/>
              <w:rPr>
                <w:rFonts w:eastAsia="Times New Roman"/>
                <w:i/>
                <w:iCs/>
                <w:color w:val="FFFFFF" w:themeColor="background1"/>
                <w:szCs w:val="17"/>
              </w:rPr>
            </w:pPr>
          </w:p>
          <w:p w:rsidR="00C25AD7" w:rsidRPr="00CE3D07" w:rsidRDefault="00C25AD7" w:rsidP="002F4ABA">
            <w:pPr>
              <w:keepLines/>
              <w:spacing w:before="40" w:after="40" w:line="200" w:lineRule="atLeast"/>
              <w:rPr>
                <w:rFonts w:eastAsia="Times New Roman"/>
                <w:i/>
                <w:iCs/>
                <w:color w:val="FFFFFF" w:themeColor="background1"/>
                <w:szCs w:val="17"/>
              </w:rPr>
            </w:pPr>
          </w:p>
          <w:p w:rsidR="00C25AD7" w:rsidRPr="00CE3D07" w:rsidRDefault="00C25AD7" w:rsidP="002F4ABA">
            <w:pPr>
              <w:keepLines/>
              <w:spacing w:before="40" w:after="40" w:line="200" w:lineRule="atLeast"/>
              <w:rPr>
                <w:rFonts w:eastAsia="Times New Roman"/>
                <w:i/>
                <w:iCs/>
                <w:color w:val="FFFFFF" w:themeColor="background1"/>
                <w:szCs w:val="17"/>
              </w:rPr>
            </w:pPr>
          </w:p>
          <w:p w:rsidR="00C25AD7" w:rsidRPr="00CE3D07" w:rsidRDefault="00C25AD7" w:rsidP="002F4ABA">
            <w:pPr>
              <w:keepLines/>
              <w:spacing w:before="40" w:after="40" w:line="200" w:lineRule="atLeast"/>
              <w:rPr>
                <w:rFonts w:eastAsia="Times New Roman"/>
                <w:i/>
                <w:iCs/>
                <w:color w:val="FFFFFF" w:themeColor="background1"/>
                <w:szCs w:val="17"/>
              </w:rPr>
            </w:pPr>
          </w:p>
          <w:p w:rsidR="00C25AD7" w:rsidRPr="00CE3D07" w:rsidRDefault="00C25AD7" w:rsidP="002F4ABA">
            <w:pPr>
              <w:keepLines/>
              <w:spacing w:before="40" w:after="40" w:line="200" w:lineRule="atLeast"/>
              <w:rPr>
                <w:rFonts w:eastAsia="Times New Roman"/>
                <w:i/>
                <w:iCs/>
                <w:color w:val="FFFFFF" w:themeColor="background1"/>
                <w:szCs w:val="17"/>
              </w:rPr>
            </w:pPr>
          </w:p>
          <w:p w:rsidR="00C25AD7" w:rsidRPr="00CE3D07" w:rsidRDefault="00C25AD7" w:rsidP="002F4ABA">
            <w:pPr>
              <w:keepLines/>
              <w:spacing w:before="40" w:after="40" w:line="200" w:lineRule="atLeast"/>
              <w:rPr>
                <w:rFonts w:eastAsia="Times New Roman"/>
                <w:i/>
                <w:iCs/>
                <w:color w:val="FFFFFF" w:themeColor="background1"/>
                <w:szCs w:val="17"/>
              </w:rPr>
            </w:pPr>
          </w:p>
          <w:p w:rsidR="00C25AD7" w:rsidRPr="00CE3D07" w:rsidRDefault="00C25AD7" w:rsidP="002F4ABA">
            <w:pPr>
              <w:keepLines/>
              <w:spacing w:before="40" w:after="40" w:line="200" w:lineRule="atLeast"/>
              <w:rPr>
                <w:rFonts w:eastAsia="Times New Roman"/>
                <w:i/>
                <w:iCs/>
                <w:color w:val="FFFFFF" w:themeColor="background1"/>
                <w:szCs w:val="17"/>
              </w:rPr>
            </w:pPr>
          </w:p>
          <w:p w:rsidR="00C25AD7" w:rsidRPr="00CE3D07" w:rsidRDefault="00C25AD7" w:rsidP="002F4ABA">
            <w:pPr>
              <w:keepLines/>
              <w:spacing w:before="40" w:after="40" w:line="200" w:lineRule="atLeast"/>
              <w:rPr>
                <w:rFonts w:eastAsia="Times New Roman"/>
                <w:i/>
                <w:iCs/>
                <w:color w:val="FFFFFF" w:themeColor="background1"/>
                <w:szCs w:val="17"/>
              </w:rPr>
            </w:pPr>
            <w:r w:rsidRPr="00CE3D07">
              <w:rPr>
                <w:rFonts w:eastAsia="Times New Roman"/>
                <w:i/>
                <w:iCs/>
                <w:color w:val="FFFFFF" w:themeColor="background1"/>
                <w:szCs w:val="17"/>
              </w:rPr>
              <w:t>Partially achieved</w:t>
            </w:r>
          </w:p>
        </w:tc>
        <w:tc>
          <w:tcPr>
            <w:tcW w:w="2970" w:type="pct"/>
          </w:tcPr>
          <w:p w:rsidR="00C25AD7" w:rsidRPr="003E6B46" w:rsidRDefault="00C25AD7" w:rsidP="002F4ABA">
            <w:pPr>
              <w:spacing w:before="40" w:after="40" w:line="200" w:lineRule="atLeast"/>
              <w:rPr>
                <w:rFonts w:ascii="Franklin Gothic Book" w:hAnsi="Franklin Gothic Book"/>
                <w:i/>
                <w:iCs/>
                <w:szCs w:val="17"/>
              </w:rPr>
            </w:pPr>
            <w:r w:rsidRPr="003E6B46">
              <w:rPr>
                <w:rFonts w:ascii="Franklin Gothic Book" w:hAnsi="Franklin Gothic Book"/>
                <w:i/>
                <w:iCs/>
                <w:szCs w:val="17"/>
              </w:rPr>
              <w:t>The Pacific Risk Resilience Program (PRRP) works with partner governments (communities and private sector) to mainstream climate change and disaster risk management in 4 Pacific countries (Fiji, Solomon Is, Tonga and Vanuatu).</w:t>
            </w:r>
          </w:p>
          <w:p w:rsidR="00C25AD7" w:rsidRPr="003E6B46" w:rsidRDefault="00C25AD7" w:rsidP="002F4ABA">
            <w:pPr>
              <w:spacing w:before="40" w:after="40" w:line="200" w:lineRule="atLeast"/>
              <w:rPr>
                <w:rFonts w:ascii="Franklin Gothic Book" w:hAnsi="Franklin Gothic Book"/>
                <w:i/>
                <w:iCs/>
                <w:szCs w:val="17"/>
              </w:rPr>
            </w:pPr>
            <w:r w:rsidRPr="003E6B46">
              <w:rPr>
                <w:rFonts w:ascii="Franklin Gothic Book" w:hAnsi="Franklin Gothic Book"/>
                <w:i/>
                <w:iCs/>
                <w:szCs w:val="17"/>
              </w:rPr>
              <w:t>In the Solomon Islands, PRRP has helped establish a new GIS risk mapping database and unit at the national level that provides climate and disaster risk maps to support decision making by development and disaster recovery planners (to identify low risk sites for development projects or to manage recovery needs following a disaster).</w:t>
            </w:r>
          </w:p>
          <w:p w:rsidR="00C25AD7" w:rsidRPr="003E6B46" w:rsidRDefault="00C25AD7" w:rsidP="002F4ABA">
            <w:pPr>
              <w:spacing w:before="40" w:after="40" w:line="200" w:lineRule="atLeast"/>
              <w:rPr>
                <w:rFonts w:ascii="Franklin Gothic Book" w:hAnsi="Franklin Gothic Book"/>
                <w:i/>
                <w:iCs/>
                <w:szCs w:val="17"/>
              </w:rPr>
            </w:pPr>
          </w:p>
          <w:p w:rsidR="00C25AD7" w:rsidRPr="003E6B46" w:rsidRDefault="00C25AD7" w:rsidP="002F4ABA">
            <w:pPr>
              <w:spacing w:before="40" w:after="40" w:line="200" w:lineRule="atLeast"/>
              <w:rPr>
                <w:rFonts w:ascii="Franklin Gothic Book" w:hAnsi="Franklin Gothic Book"/>
                <w:i/>
                <w:iCs/>
                <w:szCs w:val="17"/>
              </w:rPr>
            </w:pPr>
            <w:r w:rsidRPr="003E6B46">
              <w:rPr>
                <w:rFonts w:ascii="Franklin Gothic Book" w:hAnsi="Franklin Gothic Book"/>
                <w:i/>
                <w:iCs/>
                <w:szCs w:val="17"/>
              </w:rPr>
              <w:t xml:space="preserve">COSPPac supports Pacific Island National Meteorological Services </w:t>
            </w:r>
            <w:r>
              <w:rPr>
                <w:rFonts w:ascii="Franklin Gothic Book" w:hAnsi="Franklin Gothic Book"/>
                <w:i/>
                <w:iCs/>
                <w:szCs w:val="17"/>
              </w:rPr>
              <w:t xml:space="preserve">to collect and analyse data on </w:t>
            </w:r>
            <w:r w:rsidRPr="003E6B46">
              <w:rPr>
                <w:rFonts w:ascii="Franklin Gothic Book" w:hAnsi="Franklin Gothic Book"/>
                <w:i/>
                <w:iCs/>
                <w:szCs w:val="17"/>
              </w:rPr>
              <w:t>weather, climate and oceans, and communicate this information to Government agencies (as well as service providers, private sector, NGOs and communities). However, monitoring in 2016 found that the data is not sufficiently localised and connected to the specific risks and potential impacts of different PICs contexts, so is not well used by governments to inform decision-making and risk management.</w:t>
            </w:r>
          </w:p>
          <w:p w:rsidR="00C25AD7" w:rsidRPr="003E6B46" w:rsidRDefault="00C25AD7" w:rsidP="002F4ABA">
            <w:pPr>
              <w:spacing w:before="40" w:after="40" w:line="200" w:lineRule="atLeast"/>
              <w:rPr>
                <w:rFonts w:ascii="Franklin Gothic Book" w:hAnsi="Franklin Gothic Book"/>
                <w:i/>
                <w:iCs/>
                <w:szCs w:val="17"/>
              </w:rPr>
            </w:pPr>
          </w:p>
          <w:p w:rsidR="00C25AD7" w:rsidRPr="003E6B46" w:rsidRDefault="00C25AD7" w:rsidP="002F4ABA">
            <w:pPr>
              <w:spacing w:before="40" w:after="40" w:line="200" w:lineRule="atLeast"/>
              <w:rPr>
                <w:rFonts w:ascii="Franklin Gothic Book" w:hAnsi="Franklin Gothic Book"/>
                <w:i/>
                <w:iCs/>
                <w:szCs w:val="17"/>
              </w:rPr>
            </w:pPr>
            <w:r w:rsidRPr="003E6B46">
              <w:rPr>
                <w:rFonts w:ascii="Franklin Gothic Book" w:hAnsi="Franklin Gothic Book"/>
                <w:i/>
                <w:iCs/>
                <w:szCs w:val="17"/>
              </w:rPr>
              <w:t>There was a delay in recruiting the key position (COSPPac climatologist role) within SPREP.  Transition of the software (SCOPICv4)  commenced May 2017 (TBC)</w:t>
            </w:r>
          </w:p>
          <w:p w:rsidR="00C25AD7" w:rsidRPr="003E6B46" w:rsidRDefault="00C25AD7" w:rsidP="002F4ABA">
            <w:pPr>
              <w:spacing w:before="40" w:after="40" w:line="200" w:lineRule="atLeast"/>
              <w:rPr>
                <w:rFonts w:ascii="Franklin Gothic Book" w:hAnsi="Franklin Gothic Book"/>
                <w:i/>
                <w:iCs/>
                <w:szCs w:val="17"/>
              </w:rPr>
            </w:pPr>
          </w:p>
          <w:p w:rsidR="00C25AD7" w:rsidRPr="003E6B46" w:rsidRDefault="00C25AD7" w:rsidP="002F4ABA">
            <w:pPr>
              <w:pStyle w:val="TableTextEntries"/>
              <w:keepNext/>
              <w:rPr>
                <w:rFonts w:eastAsiaTheme="minorHAnsi" w:cstheme="minorBidi"/>
                <w:i/>
                <w:color w:val="44546A" w:themeColor="text2"/>
                <w:lang w:val="en-GB"/>
              </w:rPr>
            </w:pPr>
          </w:p>
        </w:tc>
      </w:tr>
      <w:tr w:rsidR="00C25AD7" w:rsidRPr="00A427C6" w:rsidTr="002F4ABA">
        <w:tc>
          <w:tcPr>
            <w:tcW w:w="780" w:type="pct"/>
            <w:tcMar>
              <w:top w:w="57" w:type="dxa"/>
              <w:bottom w:w="57" w:type="dxa"/>
            </w:tcMar>
          </w:tcPr>
          <w:p w:rsidR="00C25AD7" w:rsidRPr="000B1FD2" w:rsidRDefault="00C25AD7" w:rsidP="002F4ABA">
            <w:pPr>
              <w:keepLines/>
              <w:spacing w:before="40" w:after="40" w:line="200" w:lineRule="atLeast"/>
              <w:rPr>
                <w:rFonts w:ascii="Franklin Gothic Book" w:hAnsi="Franklin Gothic Book"/>
                <w:i/>
                <w:iCs/>
                <w:szCs w:val="17"/>
              </w:rPr>
            </w:pPr>
            <w:r w:rsidRPr="000B1FD2">
              <w:rPr>
                <w:rFonts w:ascii="Franklin Gothic Book" w:hAnsi="Franklin Gothic Book"/>
                <w:i/>
                <w:iCs/>
                <w:szCs w:val="17"/>
              </w:rPr>
              <w:lastRenderedPageBreak/>
              <w:t>Collective action managing regional fisheries resources delivers economic benefits to Pacific countries</w:t>
            </w:r>
          </w:p>
        </w:tc>
        <w:tc>
          <w:tcPr>
            <w:tcW w:w="780" w:type="pct"/>
          </w:tcPr>
          <w:p w:rsidR="00C25AD7" w:rsidRPr="00A3217F" w:rsidRDefault="00C25AD7" w:rsidP="002F4ABA">
            <w:pPr>
              <w:keepLines/>
              <w:spacing w:before="40" w:after="40" w:line="200" w:lineRule="atLeast"/>
              <w:rPr>
                <w:i/>
                <w:color w:val="808080"/>
                <w:sz w:val="16"/>
                <w:szCs w:val="16"/>
              </w:rPr>
            </w:pPr>
            <w:r w:rsidRPr="00A3217F">
              <w:rPr>
                <w:i/>
                <w:color w:val="808080"/>
                <w:sz w:val="16"/>
                <w:szCs w:val="16"/>
              </w:rPr>
              <w:t>Pacific governments provide more resources (financial and human resources) to holistic community-based fisheries management approaches - 28 villages (7400 people) benefit from holistic community-based fisheries management approach.</w:t>
            </w:r>
          </w:p>
        </w:tc>
        <w:tc>
          <w:tcPr>
            <w:tcW w:w="470" w:type="pct"/>
            <w:tcBorders>
              <w:top w:val="nil"/>
              <w:bottom w:val="nil"/>
            </w:tcBorders>
            <w:shd w:val="clear" w:color="auto" w:fill="92D050"/>
          </w:tcPr>
          <w:p w:rsidR="00C25AD7" w:rsidRPr="00CE3D07" w:rsidRDefault="00C25AD7" w:rsidP="002F4ABA">
            <w:pPr>
              <w:keepLines/>
              <w:spacing w:before="40" w:after="40" w:line="200" w:lineRule="atLeast"/>
              <w:rPr>
                <w:rFonts w:eastAsia="Times New Roman"/>
                <w:i/>
                <w:iCs/>
                <w:color w:val="FFFFFF" w:themeColor="background1"/>
                <w:szCs w:val="17"/>
              </w:rPr>
            </w:pPr>
            <w:r w:rsidRPr="00CE3D07">
              <w:rPr>
                <w:rFonts w:eastAsia="Times New Roman"/>
                <w:i/>
                <w:iCs/>
                <w:color w:val="FFFFFF" w:themeColor="background1"/>
                <w:szCs w:val="17"/>
              </w:rPr>
              <w:t>Achieved</w:t>
            </w:r>
          </w:p>
        </w:tc>
        <w:tc>
          <w:tcPr>
            <w:tcW w:w="2970" w:type="pct"/>
          </w:tcPr>
          <w:p w:rsidR="00C25AD7" w:rsidRPr="003E6B46" w:rsidRDefault="00C25AD7" w:rsidP="002F4ABA">
            <w:pPr>
              <w:spacing w:before="40" w:after="40" w:line="200" w:lineRule="atLeast"/>
              <w:rPr>
                <w:rFonts w:ascii="Franklin Gothic Book" w:hAnsi="Franklin Gothic Book"/>
                <w:i/>
                <w:iCs/>
                <w:szCs w:val="17"/>
              </w:rPr>
            </w:pPr>
            <w:r w:rsidRPr="003E6B46">
              <w:rPr>
                <w:rFonts w:ascii="Franklin Gothic Book" w:hAnsi="Franklin Gothic Book"/>
                <w:i/>
                <w:iCs/>
                <w:szCs w:val="17"/>
              </w:rPr>
              <w:t xml:space="preserve">28 villages (7400 people) benefit from holistic community-based fisheries management (CBFM) approach. Twenty-one high quality policy products were produced for use by regional and national agencies to improve understanding of approaches that have the greatest potential for sustainability and scaling up CBFM. Many of the building blocks are now in place and Australian world-class research is showing early signs of delivering deeper and more lasting social and ecological impacts. </w:t>
            </w:r>
          </w:p>
          <w:p w:rsidR="00C25AD7" w:rsidRPr="003E6B46" w:rsidRDefault="00C25AD7" w:rsidP="002F4ABA">
            <w:pPr>
              <w:spacing w:before="40" w:after="40" w:line="200" w:lineRule="atLeast"/>
              <w:rPr>
                <w:rFonts w:ascii="Franklin Gothic Book" w:hAnsi="Franklin Gothic Book"/>
                <w:i/>
                <w:iCs/>
                <w:szCs w:val="17"/>
              </w:rPr>
            </w:pPr>
          </w:p>
        </w:tc>
      </w:tr>
      <w:tr w:rsidR="00C25AD7" w:rsidRPr="00A427C6" w:rsidTr="002F4ABA">
        <w:trPr>
          <w:trHeight w:val="2514"/>
        </w:trPr>
        <w:tc>
          <w:tcPr>
            <w:tcW w:w="780" w:type="pct"/>
            <w:tcMar>
              <w:top w:w="57" w:type="dxa"/>
              <w:bottom w:w="57" w:type="dxa"/>
            </w:tcMar>
          </w:tcPr>
          <w:p w:rsidR="00C25AD7" w:rsidRDefault="00C25AD7" w:rsidP="002F4ABA">
            <w:pPr>
              <w:keepLines/>
              <w:spacing w:before="40" w:after="40" w:line="200" w:lineRule="atLeast"/>
              <w:rPr>
                <w:rFonts w:ascii="Franklin Gothic Book" w:hAnsi="Franklin Gothic Book"/>
                <w:i/>
                <w:iCs/>
                <w:szCs w:val="17"/>
              </w:rPr>
            </w:pPr>
            <w:r>
              <w:rPr>
                <w:rFonts w:ascii="Franklin Gothic Book" w:hAnsi="Franklin Gothic Book"/>
                <w:i/>
                <w:iCs/>
                <w:szCs w:val="17"/>
              </w:rPr>
              <w:t>Pacific island government national surveillance systems effectively monitor outbreaks of infectious diseases</w:t>
            </w:r>
          </w:p>
          <w:p w:rsidR="00C25AD7" w:rsidRDefault="00C25AD7" w:rsidP="002F4ABA">
            <w:pPr>
              <w:keepLines/>
              <w:spacing w:before="40" w:after="40" w:line="200" w:lineRule="atLeast"/>
              <w:rPr>
                <w:rFonts w:ascii="Franklin Gothic Book" w:hAnsi="Franklin Gothic Book"/>
                <w:i/>
                <w:iCs/>
                <w:szCs w:val="17"/>
              </w:rPr>
            </w:pPr>
          </w:p>
          <w:p w:rsidR="00C25AD7" w:rsidRDefault="00C25AD7" w:rsidP="002F4ABA">
            <w:pPr>
              <w:keepLines/>
              <w:spacing w:before="40" w:after="40" w:line="200" w:lineRule="atLeast"/>
              <w:rPr>
                <w:rFonts w:ascii="Franklin Gothic Book" w:hAnsi="Franklin Gothic Book"/>
                <w:i/>
                <w:iCs/>
                <w:szCs w:val="17"/>
              </w:rPr>
            </w:pPr>
          </w:p>
        </w:tc>
        <w:tc>
          <w:tcPr>
            <w:tcW w:w="780" w:type="pct"/>
          </w:tcPr>
          <w:p w:rsidR="00C25AD7" w:rsidRPr="00A3217F" w:rsidRDefault="00C25AD7" w:rsidP="002F4ABA">
            <w:pPr>
              <w:keepLines/>
              <w:spacing w:before="40" w:after="40" w:line="200" w:lineRule="atLeast"/>
              <w:rPr>
                <w:i/>
                <w:color w:val="808080"/>
                <w:sz w:val="16"/>
                <w:szCs w:val="16"/>
              </w:rPr>
            </w:pPr>
            <w:r w:rsidRPr="00A3217F">
              <w:rPr>
                <w:i/>
                <w:color w:val="808080"/>
                <w:sz w:val="16"/>
                <w:szCs w:val="16"/>
              </w:rPr>
              <w:t>Number of Pacific island countries meeting all seven International Health Regulation core capacities.* (Currently 9 out of 14). Our aim is to maintain or increase this number each year.</w:t>
            </w:r>
          </w:p>
          <w:p w:rsidR="00C25AD7" w:rsidRPr="00A3217F" w:rsidRDefault="00C25AD7" w:rsidP="002F4ABA">
            <w:pPr>
              <w:keepLines/>
              <w:spacing w:before="40" w:after="40" w:line="200" w:lineRule="atLeast"/>
              <w:rPr>
                <w:i/>
                <w:color w:val="808080"/>
                <w:sz w:val="16"/>
                <w:szCs w:val="16"/>
              </w:rPr>
            </w:pPr>
          </w:p>
          <w:p w:rsidR="00C25AD7" w:rsidRPr="00A3217F" w:rsidRDefault="00C25AD7" w:rsidP="002F4ABA">
            <w:pPr>
              <w:keepLines/>
              <w:spacing w:before="40" w:after="40" w:line="200" w:lineRule="atLeast"/>
              <w:rPr>
                <w:i/>
                <w:color w:val="808080"/>
                <w:sz w:val="16"/>
                <w:szCs w:val="16"/>
              </w:rPr>
            </w:pPr>
          </w:p>
          <w:p w:rsidR="00C25AD7" w:rsidRPr="00A3217F" w:rsidRDefault="00C25AD7" w:rsidP="002F4ABA">
            <w:pPr>
              <w:keepLines/>
              <w:spacing w:before="40" w:after="40" w:line="200" w:lineRule="atLeast"/>
              <w:rPr>
                <w:i/>
                <w:color w:val="808080"/>
                <w:sz w:val="16"/>
                <w:szCs w:val="16"/>
              </w:rPr>
            </w:pPr>
          </w:p>
        </w:tc>
        <w:tc>
          <w:tcPr>
            <w:tcW w:w="470" w:type="pct"/>
            <w:tcBorders>
              <w:top w:val="nil"/>
              <w:bottom w:val="nil"/>
            </w:tcBorders>
            <w:shd w:val="clear" w:color="auto" w:fill="92D050"/>
          </w:tcPr>
          <w:p w:rsidR="00C25AD7" w:rsidRPr="003135CB" w:rsidRDefault="00C25AD7" w:rsidP="002F4ABA">
            <w:pPr>
              <w:keepLines/>
              <w:spacing w:before="40" w:after="40" w:line="200" w:lineRule="atLeast"/>
              <w:jc w:val="center"/>
              <w:rPr>
                <w:rFonts w:eastAsia="Times New Roman"/>
                <w:i/>
                <w:iCs/>
                <w:color w:val="FFFFFF" w:themeColor="background1"/>
                <w:szCs w:val="17"/>
              </w:rPr>
            </w:pPr>
            <w:r w:rsidRPr="00CE3D07">
              <w:rPr>
                <w:rFonts w:eastAsia="Times New Roman"/>
                <w:i/>
                <w:iCs/>
                <w:color w:val="FFFFFF" w:themeColor="background1"/>
                <w:szCs w:val="17"/>
              </w:rPr>
              <w:t>Achieved</w:t>
            </w:r>
          </w:p>
        </w:tc>
        <w:tc>
          <w:tcPr>
            <w:tcW w:w="2970" w:type="pct"/>
          </w:tcPr>
          <w:p w:rsidR="00C25AD7" w:rsidRDefault="00C25AD7" w:rsidP="002F4ABA">
            <w:pPr>
              <w:spacing w:before="40" w:after="40" w:line="200" w:lineRule="atLeast"/>
              <w:rPr>
                <w:rFonts w:ascii="Franklin Gothic Book" w:hAnsi="Franklin Gothic Book"/>
                <w:i/>
                <w:iCs/>
                <w:szCs w:val="17"/>
              </w:rPr>
            </w:pPr>
            <w:r>
              <w:rPr>
                <w:rFonts w:ascii="Franklin Gothic Book" w:hAnsi="Franklin Gothic Book"/>
                <w:i/>
                <w:iCs/>
                <w:szCs w:val="17"/>
              </w:rPr>
              <w:t>The number of Pacific island countries meeting all seven International Health Regulation (IHR) core capacities remains at 9</w:t>
            </w:r>
            <w:r w:rsidRPr="003135CB">
              <w:rPr>
                <w:rFonts w:ascii="Franklin Gothic Book" w:hAnsi="Franklin Gothic Book"/>
                <w:i/>
                <w:iCs/>
                <w:szCs w:val="17"/>
              </w:rPr>
              <w:t xml:space="preserve"> of the 14 Pa</w:t>
            </w:r>
            <w:r>
              <w:rPr>
                <w:rFonts w:ascii="Franklin Gothic Book" w:hAnsi="Franklin Gothic Book"/>
                <w:i/>
                <w:iCs/>
                <w:szCs w:val="17"/>
              </w:rPr>
              <w:t xml:space="preserve">cific States Parties to the IHR. This is a self-assessment based on a questionnaire. </w:t>
            </w:r>
          </w:p>
          <w:p w:rsidR="00C25AD7" w:rsidRDefault="00C25AD7" w:rsidP="002F4ABA">
            <w:pPr>
              <w:spacing w:before="40" w:after="40" w:line="200" w:lineRule="atLeast"/>
              <w:rPr>
                <w:rFonts w:ascii="Franklin Gothic Book" w:hAnsi="Franklin Gothic Book"/>
                <w:i/>
                <w:iCs/>
                <w:szCs w:val="17"/>
              </w:rPr>
            </w:pPr>
          </w:p>
          <w:p w:rsidR="00C25AD7" w:rsidRPr="00FB0DBC" w:rsidRDefault="00C25AD7" w:rsidP="002F4ABA">
            <w:pPr>
              <w:spacing w:before="40" w:after="40" w:line="200" w:lineRule="atLeast"/>
              <w:rPr>
                <w:rFonts w:ascii="Franklin Gothic Book" w:hAnsi="Franklin Gothic Book"/>
                <w:i/>
                <w:iCs/>
                <w:szCs w:val="17"/>
              </w:rPr>
            </w:pPr>
            <w:r w:rsidRPr="00FB0DBC">
              <w:rPr>
                <w:rFonts w:ascii="Franklin Gothic Book" w:hAnsi="Franklin Gothic Book"/>
                <w:i/>
                <w:iCs/>
                <w:szCs w:val="17"/>
              </w:rPr>
              <w:t xml:space="preserve">Progress has been made in some of the core capacities however for the remaining PICs will require significant assistance by WHO and SPC to progress (and maintain) the capacities required to meet the IHR and national Infectious Diseases surveillance and response needs. </w:t>
            </w:r>
          </w:p>
          <w:p w:rsidR="00C25AD7" w:rsidRPr="00FB0DBC" w:rsidRDefault="00C25AD7" w:rsidP="002F4ABA">
            <w:pPr>
              <w:spacing w:before="40" w:after="40" w:line="200" w:lineRule="atLeast"/>
              <w:rPr>
                <w:rFonts w:ascii="Franklin Gothic Book" w:hAnsi="Franklin Gothic Book"/>
                <w:i/>
                <w:iCs/>
                <w:szCs w:val="17"/>
              </w:rPr>
            </w:pPr>
          </w:p>
          <w:p w:rsidR="00C25AD7" w:rsidRPr="003A0CE1" w:rsidRDefault="00C25AD7" w:rsidP="002F4ABA">
            <w:pPr>
              <w:spacing w:before="40" w:after="40" w:line="200" w:lineRule="atLeast"/>
              <w:rPr>
                <w:rFonts w:ascii="Franklin Gothic Book" w:hAnsi="Franklin Gothic Book"/>
                <w:i/>
                <w:iCs/>
                <w:szCs w:val="17"/>
              </w:rPr>
            </w:pPr>
            <w:r w:rsidRPr="00FB0DBC">
              <w:rPr>
                <w:rFonts w:ascii="Franklin Gothic Book" w:hAnsi="Franklin Gothic Book"/>
                <w:i/>
                <w:iCs/>
                <w:szCs w:val="17"/>
              </w:rPr>
              <w:t>Limited human and financial resources, high staff turnover and logistical challenges make achieving and sustaining the IHR core capacities without support from technical and development partners extremely challenging for some Pacific nations. High staff turnover and out-migration of skilled staff contribute to a chronic shortage of human resources with expertise in emerging diseases and public health emergencies, and efforts to maintain in-country expertise once health staff have been trained remain insufficient to the need.</w:t>
            </w:r>
          </w:p>
        </w:tc>
      </w:tr>
      <w:tr w:rsidR="00C25AD7" w:rsidRPr="00A427C6" w:rsidTr="002F4ABA">
        <w:trPr>
          <w:trHeight w:val="456"/>
        </w:trPr>
        <w:tc>
          <w:tcPr>
            <w:tcW w:w="780" w:type="pct"/>
            <w:tcMar>
              <w:top w:w="57" w:type="dxa"/>
              <w:bottom w:w="57" w:type="dxa"/>
            </w:tcMar>
          </w:tcPr>
          <w:p w:rsidR="00C25AD7" w:rsidRPr="00482C1B" w:rsidRDefault="00C25AD7" w:rsidP="002F4ABA">
            <w:pPr>
              <w:keepLines/>
              <w:spacing w:before="40" w:after="40" w:line="200" w:lineRule="atLeast"/>
              <w:rPr>
                <w:rFonts w:asciiTheme="minorHAnsi" w:eastAsia="Times New Roman" w:hAnsiTheme="minorHAnsi"/>
                <w:b/>
                <w:iCs/>
                <w:szCs w:val="17"/>
                <w:lang w:eastAsia="en-US"/>
              </w:rPr>
            </w:pPr>
            <w:r w:rsidRPr="00CD0611">
              <w:rPr>
                <w:rFonts w:asciiTheme="minorHAnsi" w:eastAsia="Times New Roman" w:hAnsiTheme="minorHAnsi"/>
                <w:b/>
                <w:iCs/>
                <w:szCs w:val="17"/>
                <w:lang w:eastAsia="en-US"/>
              </w:rPr>
              <w:t>Objective 4: Empowering women and girls</w:t>
            </w:r>
          </w:p>
        </w:tc>
        <w:tc>
          <w:tcPr>
            <w:tcW w:w="780" w:type="pct"/>
          </w:tcPr>
          <w:p w:rsidR="00C25AD7" w:rsidRPr="00A3217F" w:rsidRDefault="00C25AD7" w:rsidP="002F4ABA">
            <w:pPr>
              <w:keepLines/>
              <w:spacing w:before="40" w:after="40" w:line="200" w:lineRule="atLeast"/>
              <w:rPr>
                <w:i/>
                <w:color w:val="808080"/>
                <w:sz w:val="16"/>
                <w:szCs w:val="16"/>
              </w:rPr>
            </w:pPr>
          </w:p>
        </w:tc>
        <w:tc>
          <w:tcPr>
            <w:tcW w:w="470" w:type="pct"/>
            <w:tcBorders>
              <w:top w:val="nil"/>
              <w:bottom w:val="nil"/>
            </w:tcBorders>
            <w:shd w:val="clear" w:color="auto" w:fill="FFFFFF" w:themeFill="background1"/>
          </w:tcPr>
          <w:p w:rsidR="00C25AD7" w:rsidRPr="00A427C6" w:rsidRDefault="00C25AD7" w:rsidP="002F4ABA">
            <w:pPr>
              <w:keepLines/>
              <w:spacing w:before="40" w:after="40" w:line="200" w:lineRule="atLeast"/>
              <w:rPr>
                <w:rFonts w:eastAsia="Times New Roman"/>
                <w:iCs/>
                <w:color w:val="FFFFFF" w:themeColor="background1"/>
                <w:szCs w:val="17"/>
              </w:rPr>
            </w:pPr>
          </w:p>
        </w:tc>
        <w:tc>
          <w:tcPr>
            <w:tcW w:w="2970" w:type="pct"/>
          </w:tcPr>
          <w:p w:rsidR="00C25AD7" w:rsidRPr="00A427C6" w:rsidRDefault="00C25AD7" w:rsidP="002F4ABA">
            <w:pPr>
              <w:pStyle w:val="TableTextEntries"/>
              <w:keepNext/>
              <w:rPr>
                <w:rFonts w:asciiTheme="minorHAnsi" w:hAnsiTheme="minorHAnsi"/>
              </w:rPr>
            </w:pPr>
          </w:p>
        </w:tc>
      </w:tr>
      <w:tr w:rsidR="00C25AD7" w:rsidRPr="00A427C6" w:rsidTr="009F5BA4">
        <w:tc>
          <w:tcPr>
            <w:tcW w:w="780" w:type="pct"/>
            <w:tcBorders>
              <w:bottom w:val="single" w:sz="12" w:space="0" w:color="auto"/>
            </w:tcBorders>
            <w:tcMar>
              <w:top w:w="57" w:type="dxa"/>
              <w:bottom w:w="57" w:type="dxa"/>
            </w:tcMar>
          </w:tcPr>
          <w:p w:rsidR="00C25AD7" w:rsidRPr="004A2DED" w:rsidRDefault="00C25AD7" w:rsidP="002F4ABA">
            <w:pPr>
              <w:keepLines/>
              <w:spacing w:before="40" w:after="40" w:line="200" w:lineRule="atLeast"/>
              <w:rPr>
                <w:rFonts w:ascii="Franklin Gothic Book" w:hAnsi="Franklin Gothic Book"/>
                <w:i/>
                <w:iCs/>
                <w:szCs w:val="17"/>
              </w:rPr>
            </w:pPr>
            <w:r w:rsidRPr="004A2DED">
              <w:rPr>
                <w:rFonts w:ascii="Franklin Gothic Book" w:hAnsi="Franklin Gothic Book"/>
                <w:i/>
                <w:iCs/>
                <w:szCs w:val="17"/>
              </w:rPr>
              <w:t xml:space="preserve">Improved </w:t>
            </w:r>
            <w:r>
              <w:rPr>
                <w:rFonts w:ascii="Franklin Gothic Book" w:hAnsi="Franklin Gothic Book"/>
                <w:i/>
                <w:iCs/>
                <w:szCs w:val="17"/>
              </w:rPr>
              <w:t>economic opportunities for women in the Pacific.</w:t>
            </w:r>
          </w:p>
        </w:tc>
        <w:tc>
          <w:tcPr>
            <w:tcW w:w="780" w:type="pct"/>
            <w:tcBorders>
              <w:bottom w:val="single" w:sz="12" w:space="0" w:color="auto"/>
            </w:tcBorders>
          </w:tcPr>
          <w:p w:rsidR="00C25AD7" w:rsidRPr="00A3217F" w:rsidRDefault="00C25AD7" w:rsidP="002F4ABA">
            <w:pPr>
              <w:keepLines/>
              <w:spacing w:before="40" w:after="40" w:line="200" w:lineRule="atLeast"/>
              <w:rPr>
                <w:i/>
                <w:color w:val="808080"/>
                <w:sz w:val="16"/>
                <w:szCs w:val="16"/>
              </w:rPr>
            </w:pPr>
            <w:r w:rsidRPr="00A3217F">
              <w:rPr>
                <w:i/>
                <w:color w:val="808080"/>
                <w:sz w:val="16"/>
                <w:szCs w:val="16"/>
              </w:rPr>
              <w:t>Number of women (5,000) supported to take on leadership roles at the community, provincial and national level.</w:t>
            </w:r>
          </w:p>
        </w:tc>
        <w:tc>
          <w:tcPr>
            <w:tcW w:w="470" w:type="pct"/>
            <w:tcBorders>
              <w:top w:val="nil"/>
              <w:bottom w:val="single" w:sz="12" w:space="0" w:color="auto"/>
            </w:tcBorders>
            <w:shd w:val="clear" w:color="auto" w:fill="FF9900"/>
          </w:tcPr>
          <w:p w:rsidR="00C25AD7" w:rsidRPr="008D2369" w:rsidRDefault="00C25AD7" w:rsidP="002F4ABA">
            <w:pPr>
              <w:keepLines/>
              <w:spacing w:before="40" w:after="40" w:line="200" w:lineRule="atLeast"/>
              <w:jc w:val="center"/>
              <w:rPr>
                <w:rFonts w:ascii="Franklin Gothic Book" w:hAnsi="Franklin Gothic Book"/>
                <w:i/>
                <w:color w:val="FFC000"/>
                <w:szCs w:val="17"/>
              </w:rPr>
            </w:pPr>
            <w:r w:rsidRPr="00CE3D07">
              <w:rPr>
                <w:rFonts w:eastAsia="Times New Roman"/>
                <w:i/>
                <w:iCs/>
                <w:color w:val="FFFFFF" w:themeColor="background1"/>
                <w:szCs w:val="17"/>
              </w:rPr>
              <w:t>Partially achieved</w:t>
            </w:r>
          </w:p>
        </w:tc>
        <w:tc>
          <w:tcPr>
            <w:tcW w:w="2970" w:type="pct"/>
            <w:tcBorders>
              <w:bottom w:val="single" w:sz="12" w:space="0" w:color="auto"/>
            </w:tcBorders>
          </w:tcPr>
          <w:p w:rsidR="00C25AD7" w:rsidRPr="004A2DED" w:rsidRDefault="00C25AD7" w:rsidP="002F4ABA">
            <w:pPr>
              <w:pStyle w:val="TableTextEntries"/>
              <w:keepNext/>
              <w:rPr>
                <w:rFonts w:eastAsiaTheme="minorHAnsi" w:cstheme="minorBidi"/>
                <w:i/>
                <w:color w:val="44546A" w:themeColor="text2"/>
                <w:lang w:val="en-GB"/>
              </w:rPr>
            </w:pPr>
            <w:r>
              <w:rPr>
                <w:rFonts w:eastAsiaTheme="minorHAnsi" w:cstheme="minorBidi"/>
                <w:i/>
                <w:color w:val="44546A" w:themeColor="text2"/>
                <w:lang w:val="en-GB"/>
              </w:rPr>
              <w:t xml:space="preserve">2,778. This number only reflects women supported through Pacific Women.  In the next APPR we will work to capture data from other DFAT funded programs.  </w:t>
            </w:r>
          </w:p>
        </w:tc>
      </w:tr>
    </w:tbl>
    <w:p w:rsidR="00C25AD7" w:rsidRPr="00A427C6" w:rsidRDefault="00C25AD7" w:rsidP="00C25AD7">
      <w:pPr>
        <w:spacing w:before="20" w:after="20" w:line="180" w:lineRule="atLeast"/>
        <w:jc w:val="both"/>
        <w:rPr>
          <w:rFonts w:eastAsia="Times New Roman"/>
          <w:b/>
          <w:sz w:val="16"/>
          <w:szCs w:val="14"/>
        </w:rPr>
      </w:pPr>
      <w:r w:rsidRPr="00A427C6">
        <w:rPr>
          <w:rFonts w:eastAsia="Times New Roman"/>
          <w:b/>
          <w:sz w:val="16"/>
          <w:szCs w:val="14"/>
        </w:rPr>
        <w:t xml:space="preserve">Note: </w:t>
      </w:r>
    </w:p>
    <w:p w:rsidR="00C25AD7" w:rsidRPr="00A427C6" w:rsidRDefault="00C25AD7" w:rsidP="00C25AD7">
      <w:pPr>
        <w:spacing w:before="20" w:after="20" w:line="180" w:lineRule="atLeast"/>
        <w:jc w:val="both"/>
        <w:rPr>
          <w:rFonts w:eastAsia="Times New Roman"/>
          <w:b/>
          <w:sz w:val="16"/>
          <w:szCs w:val="14"/>
        </w:rPr>
      </w:pPr>
      <w:r w:rsidRPr="00A427C6">
        <w:rPr>
          <w:rFonts w:eastAsia="Times New Roman"/>
          <w:b/>
          <w:color w:val="72AF2F"/>
          <w:sz w:val="16"/>
          <w:szCs w:val="14"/>
        </w:rPr>
        <w:sym w:font="Webdings" w:char="F067"/>
      </w:r>
      <w:r w:rsidRPr="00A427C6">
        <w:rPr>
          <w:rFonts w:eastAsia="Times New Roman"/>
          <w:b/>
          <w:sz w:val="16"/>
          <w:szCs w:val="14"/>
        </w:rPr>
        <w:t> </w:t>
      </w:r>
      <w:r w:rsidRPr="00A427C6">
        <w:rPr>
          <w:rFonts w:eastAsia="Times New Roman"/>
          <w:b/>
          <w:sz w:val="16"/>
          <w:szCs w:val="14"/>
        </w:rPr>
        <w:t xml:space="preserve"> Achieved.  Significant progress has been made and the performance benchmark was achieved </w:t>
      </w:r>
    </w:p>
    <w:p w:rsidR="00C25AD7" w:rsidRPr="00A427C6" w:rsidRDefault="00C25AD7" w:rsidP="00C25AD7">
      <w:pPr>
        <w:spacing w:before="20" w:after="20" w:line="180" w:lineRule="atLeast"/>
        <w:jc w:val="both"/>
        <w:rPr>
          <w:rFonts w:eastAsia="Times New Roman"/>
          <w:b/>
          <w:sz w:val="16"/>
          <w:szCs w:val="14"/>
        </w:rPr>
      </w:pPr>
      <w:r w:rsidRPr="00A427C6">
        <w:rPr>
          <w:rFonts w:eastAsia="Times New Roman"/>
          <w:b/>
          <w:color w:val="E36C0A"/>
          <w:sz w:val="16"/>
          <w:szCs w:val="14"/>
        </w:rPr>
        <w:sym w:font="Webdings" w:char="F067"/>
      </w:r>
      <w:r w:rsidRPr="00A427C6">
        <w:rPr>
          <w:rFonts w:eastAsia="Times New Roman"/>
          <w:b/>
          <w:sz w:val="16"/>
          <w:szCs w:val="14"/>
        </w:rPr>
        <w:t> </w:t>
      </w:r>
      <w:r w:rsidRPr="00A427C6">
        <w:rPr>
          <w:rFonts w:eastAsia="Times New Roman"/>
          <w:b/>
          <w:sz w:val="16"/>
          <w:szCs w:val="14"/>
        </w:rPr>
        <w:t xml:space="preserve"> Partly achieved.  Some progress has been made towards achieving the performance benchmark, but progress was less than anticipated. </w:t>
      </w:r>
    </w:p>
    <w:p w:rsidR="00C25AD7" w:rsidRPr="00A427C6" w:rsidRDefault="00C25AD7" w:rsidP="00C25AD7">
      <w:pPr>
        <w:spacing w:before="20" w:after="20" w:line="180" w:lineRule="atLeast"/>
        <w:jc w:val="both"/>
        <w:rPr>
          <w:rFonts w:eastAsia="Times New Roman"/>
          <w:b/>
          <w:sz w:val="16"/>
          <w:szCs w:val="14"/>
        </w:rPr>
      </w:pPr>
      <w:r w:rsidRPr="00A427C6">
        <w:rPr>
          <w:rFonts w:eastAsia="Times New Roman"/>
          <w:b/>
          <w:color w:val="FF0000"/>
          <w:sz w:val="16"/>
          <w:szCs w:val="14"/>
        </w:rPr>
        <w:sym w:font="Webdings" w:char="F067"/>
      </w:r>
      <w:r w:rsidRPr="00A427C6">
        <w:rPr>
          <w:rFonts w:eastAsia="Times New Roman"/>
          <w:b/>
          <w:sz w:val="16"/>
          <w:szCs w:val="14"/>
        </w:rPr>
        <w:t> </w:t>
      </w:r>
      <w:r w:rsidRPr="00A427C6">
        <w:rPr>
          <w:rFonts w:eastAsia="Times New Roman"/>
          <w:b/>
          <w:sz w:val="16"/>
          <w:szCs w:val="14"/>
        </w:rPr>
        <w:t xml:space="preserve"> Not achieved. Progress towards the performance benchmark has been significantly below expectations</w:t>
      </w:r>
    </w:p>
    <w:p w:rsidR="00C25AD7" w:rsidRDefault="00C25AD7" w:rsidP="00C25AD7">
      <w:pPr>
        <w:suppressAutoHyphens w:val="0"/>
        <w:spacing w:before="0" w:after="120" w:line="440" w:lineRule="atLeast"/>
        <w:rPr>
          <w:rFonts w:ascii="Franklin Gothic Book" w:eastAsia="Times New Roman" w:hAnsi="Franklin Gothic Book"/>
          <w:sz w:val="21"/>
        </w:rPr>
      </w:pPr>
      <w:r>
        <w:rPr>
          <w:rFonts w:ascii="Franklin Gothic Book" w:eastAsia="Times New Roman" w:hAnsi="Franklin Gothic Book"/>
          <w:sz w:val="21"/>
        </w:rPr>
        <w:br w:type="page"/>
      </w:r>
    </w:p>
    <w:p w:rsidR="00C25AD7" w:rsidRPr="00784031" w:rsidRDefault="00C25AD7" w:rsidP="00C25AD7">
      <w:pPr>
        <w:pStyle w:val="Subtitle"/>
        <w:numPr>
          <w:ilvl w:val="0"/>
          <w:numId w:val="0"/>
        </w:numPr>
      </w:pPr>
      <w:r w:rsidRPr="00784031">
        <w:lastRenderedPageBreak/>
        <w:t>Annex C - Evaluation Planning</w:t>
      </w:r>
    </w:p>
    <w:p w:rsidR="00C25AD7" w:rsidRPr="008C2F58" w:rsidRDefault="00C25AD7" w:rsidP="00C25AD7">
      <w:pPr>
        <w:rPr>
          <w:b/>
          <w:sz w:val="24"/>
        </w:rPr>
      </w:pPr>
      <w:r w:rsidRPr="008C2F58">
        <w:rPr>
          <w:b/>
          <w:sz w:val="24"/>
        </w:rPr>
        <w:t xml:space="preserve">List of evaluations completed in the reporting period </w:t>
      </w:r>
    </w:p>
    <w:tbl>
      <w:tblPr>
        <w:tblStyle w:val="APPR"/>
        <w:tblW w:w="14461" w:type="dxa"/>
        <w:tblLayout w:type="fixed"/>
        <w:tblLook w:val="04A0" w:firstRow="1" w:lastRow="0" w:firstColumn="1" w:lastColumn="0" w:noHBand="0" w:noVBand="1"/>
      </w:tblPr>
      <w:tblGrid>
        <w:gridCol w:w="2268"/>
        <w:gridCol w:w="5245"/>
        <w:gridCol w:w="2127"/>
        <w:gridCol w:w="1559"/>
        <w:gridCol w:w="1699"/>
        <w:gridCol w:w="1563"/>
      </w:tblGrid>
      <w:tr w:rsidR="00C25AD7" w:rsidRPr="00C61187" w:rsidTr="002F4ABA">
        <w:trPr>
          <w:cnfStyle w:val="100000000000" w:firstRow="1" w:lastRow="0" w:firstColumn="0" w:lastColumn="0" w:oddVBand="0" w:evenVBand="0" w:oddHBand="0" w:evenHBand="0" w:firstRowFirstColumn="0" w:firstRowLastColumn="0" w:lastRowFirstColumn="0" w:lastRowLastColumn="0"/>
        </w:trPr>
        <w:tc>
          <w:tcPr>
            <w:tcW w:w="2226" w:type="dxa"/>
          </w:tcPr>
          <w:p w:rsidR="00C25AD7" w:rsidRPr="004D3AEB" w:rsidRDefault="00C25AD7" w:rsidP="002F4ABA">
            <w:pPr>
              <w:keepLines/>
              <w:spacing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Investment number and name</w:t>
            </w:r>
          </w:p>
        </w:tc>
        <w:tc>
          <w:tcPr>
            <w:tcW w:w="5217" w:type="dxa"/>
          </w:tcPr>
          <w:p w:rsidR="00C25AD7" w:rsidRPr="00A427C6" w:rsidRDefault="00C25AD7" w:rsidP="002F4ABA">
            <w:pPr>
              <w:keepLines/>
              <w:spacing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Name of evaluation</w:t>
            </w:r>
          </w:p>
        </w:tc>
        <w:tc>
          <w:tcPr>
            <w:tcW w:w="2099" w:type="dxa"/>
          </w:tcPr>
          <w:p w:rsidR="00C25AD7" w:rsidRPr="00A427C6" w:rsidRDefault="00C25AD7" w:rsidP="002F4ABA">
            <w:pPr>
              <w:keepLines/>
              <w:spacing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Date completed</w:t>
            </w:r>
          </w:p>
        </w:tc>
        <w:tc>
          <w:tcPr>
            <w:tcW w:w="1531" w:type="dxa"/>
          </w:tcPr>
          <w:p w:rsidR="00C25AD7" w:rsidRPr="00A427C6" w:rsidRDefault="00C25AD7" w:rsidP="002F4ABA">
            <w:pPr>
              <w:keepLines/>
              <w:spacing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Date Evaluation report Uploaded into AidWorks</w:t>
            </w:r>
          </w:p>
        </w:tc>
        <w:tc>
          <w:tcPr>
            <w:tcW w:w="1671" w:type="dxa"/>
          </w:tcPr>
          <w:p w:rsidR="00C25AD7" w:rsidRPr="00A427C6" w:rsidRDefault="00C25AD7" w:rsidP="002F4ABA">
            <w:pPr>
              <w:keepLines/>
              <w:spacing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Date Management response uploaded into AidWorks</w:t>
            </w:r>
          </w:p>
        </w:tc>
        <w:tc>
          <w:tcPr>
            <w:tcW w:w="1521" w:type="dxa"/>
          </w:tcPr>
          <w:p w:rsidR="00C25AD7" w:rsidRPr="00A427C6" w:rsidRDefault="00C25AD7" w:rsidP="002F4ABA">
            <w:pPr>
              <w:keepLines/>
              <w:spacing w:line="200" w:lineRule="atLeast"/>
              <w:rPr>
                <w:rFonts w:asciiTheme="minorHAnsi" w:eastAsia="Times New Roman" w:hAnsiTheme="minorHAnsi"/>
                <w:iCs/>
                <w:szCs w:val="17"/>
                <w:lang w:eastAsia="en-US"/>
              </w:rPr>
            </w:pPr>
            <w:r w:rsidRPr="00A427C6">
              <w:rPr>
                <w:rFonts w:asciiTheme="minorHAnsi" w:eastAsia="Times New Roman" w:hAnsiTheme="minorHAnsi"/>
                <w:iCs/>
                <w:szCs w:val="17"/>
                <w:lang w:eastAsia="en-US"/>
              </w:rPr>
              <w:t>Published on website</w:t>
            </w:r>
          </w:p>
        </w:tc>
      </w:tr>
      <w:tr w:rsidR="00C25AD7" w:rsidRPr="00C61187" w:rsidTr="002F4ABA">
        <w:trPr>
          <w:cnfStyle w:val="100000000000" w:firstRow="1" w:lastRow="0" w:firstColumn="0" w:lastColumn="0" w:oddVBand="0" w:evenVBand="0" w:oddHBand="0" w:evenHBand="0" w:firstRowFirstColumn="0" w:firstRowLastColumn="0" w:lastRowFirstColumn="0" w:lastRowLastColumn="0"/>
          <w:trHeight w:val="227"/>
        </w:trPr>
        <w:tc>
          <w:tcPr>
            <w:tcW w:w="2226" w:type="dxa"/>
          </w:tcPr>
          <w:p w:rsidR="00C25AD7" w:rsidRPr="00CF2296" w:rsidRDefault="00C25AD7" w:rsidP="002F4ABA">
            <w:pPr>
              <w:keepLines/>
              <w:spacing w:before="40" w:after="40" w:line="200" w:lineRule="atLeast"/>
              <w:rPr>
                <w:rFonts w:asciiTheme="minorHAnsi" w:eastAsia="Times New Roman" w:hAnsiTheme="minorHAnsi"/>
                <w:b w:val="0"/>
                <w:iCs/>
                <w:szCs w:val="17"/>
                <w:lang w:eastAsia="en-US"/>
              </w:rPr>
            </w:pPr>
            <w:r w:rsidRPr="00CF2296">
              <w:rPr>
                <w:rFonts w:asciiTheme="minorHAnsi" w:eastAsia="Times New Roman" w:hAnsiTheme="minorHAnsi"/>
                <w:b w:val="0"/>
                <w:iCs/>
                <w:szCs w:val="17"/>
                <w:lang w:eastAsia="en-US"/>
              </w:rPr>
              <w:t>Independent review</w:t>
            </w:r>
          </w:p>
        </w:tc>
        <w:tc>
          <w:tcPr>
            <w:tcW w:w="5217" w:type="dxa"/>
          </w:tcPr>
          <w:p w:rsidR="00C25AD7" w:rsidRPr="00CF2296" w:rsidRDefault="00C25AD7" w:rsidP="002F4ABA">
            <w:pPr>
              <w:keepLines/>
              <w:spacing w:before="40" w:after="40" w:line="200" w:lineRule="atLeast"/>
              <w:rPr>
                <w:rFonts w:asciiTheme="minorHAnsi" w:eastAsia="Times New Roman" w:hAnsiTheme="minorHAnsi"/>
                <w:b w:val="0"/>
                <w:iCs/>
                <w:szCs w:val="17"/>
                <w:lang w:eastAsia="en-US"/>
              </w:rPr>
            </w:pPr>
            <w:r w:rsidRPr="00CF2296">
              <w:rPr>
                <w:rFonts w:asciiTheme="minorHAnsi" w:eastAsia="Times New Roman" w:hAnsiTheme="minorHAnsi"/>
                <w:b w:val="0"/>
                <w:iCs/>
                <w:szCs w:val="17"/>
                <w:lang w:eastAsia="en-US"/>
              </w:rPr>
              <w:t>INI898 Pacific Financial Inclusion Program</w:t>
            </w:r>
          </w:p>
        </w:tc>
        <w:tc>
          <w:tcPr>
            <w:tcW w:w="2099"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May 2017</w:t>
            </w:r>
          </w:p>
        </w:tc>
        <w:tc>
          <w:tcPr>
            <w:tcW w:w="1531"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p>
        </w:tc>
        <w:tc>
          <w:tcPr>
            <w:tcW w:w="1671"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p>
        </w:tc>
        <w:tc>
          <w:tcPr>
            <w:tcW w:w="1521"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p>
        </w:tc>
      </w:tr>
      <w:tr w:rsidR="00C25AD7" w:rsidRPr="00C61187" w:rsidTr="002F4ABA">
        <w:trPr>
          <w:cnfStyle w:val="100000000000" w:firstRow="1" w:lastRow="0" w:firstColumn="0" w:lastColumn="0" w:oddVBand="0" w:evenVBand="0" w:oddHBand="0" w:evenHBand="0" w:firstRowFirstColumn="0" w:firstRowLastColumn="0" w:lastRowFirstColumn="0" w:lastRowLastColumn="0"/>
        </w:trPr>
        <w:tc>
          <w:tcPr>
            <w:tcW w:w="2226" w:type="dxa"/>
          </w:tcPr>
          <w:p w:rsidR="00C25AD7" w:rsidRPr="00CF2296" w:rsidRDefault="00C25AD7" w:rsidP="002F4ABA">
            <w:pPr>
              <w:keepLines/>
              <w:spacing w:before="40" w:after="40" w:line="200" w:lineRule="atLeast"/>
              <w:rPr>
                <w:rFonts w:asciiTheme="minorHAnsi" w:eastAsia="Times New Roman" w:hAnsiTheme="minorHAnsi"/>
                <w:b w:val="0"/>
                <w:iCs/>
                <w:szCs w:val="17"/>
                <w:lang w:eastAsia="en-US"/>
              </w:rPr>
            </w:pPr>
            <w:r w:rsidRPr="00CF2296">
              <w:rPr>
                <w:rFonts w:asciiTheme="minorHAnsi" w:eastAsia="Times New Roman" w:hAnsiTheme="minorHAnsi"/>
                <w:b w:val="0"/>
                <w:iCs/>
                <w:szCs w:val="17"/>
                <w:lang w:eastAsia="en-US"/>
              </w:rPr>
              <w:t xml:space="preserve">Mid-Term Review </w:t>
            </w:r>
          </w:p>
        </w:tc>
        <w:tc>
          <w:tcPr>
            <w:tcW w:w="5217" w:type="dxa"/>
          </w:tcPr>
          <w:p w:rsidR="00C25AD7" w:rsidRPr="00CF2296" w:rsidRDefault="00C25AD7" w:rsidP="002F4ABA">
            <w:pPr>
              <w:keepLines/>
              <w:spacing w:before="40" w:after="40" w:line="200" w:lineRule="atLeast"/>
              <w:rPr>
                <w:rFonts w:asciiTheme="minorHAnsi" w:eastAsia="Times New Roman" w:hAnsiTheme="minorHAnsi"/>
                <w:b w:val="0"/>
                <w:iCs/>
                <w:szCs w:val="17"/>
                <w:lang w:eastAsia="en-US"/>
              </w:rPr>
            </w:pPr>
            <w:r w:rsidRPr="00CF2296">
              <w:rPr>
                <w:rFonts w:asciiTheme="minorHAnsi" w:eastAsia="Times New Roman" w:hAnsiTheme="minorHAnsi"/>
                <w:b w:val="0"/>
                <w:iCs/>
                <w:szCs w:val="17"/>
                <w:lang w:eastAsia="en-US"/>
              </w:rPr>
              <w:t>INJ964 Pacific Risk Resilience Program</w:t>
            </w:r>
          </w:p>
        </w:tc>
        <w:tc>
          <w:tcPr>
            <w:tcW w:w="2099"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September 2016</w:t>
            </w:r>
          </w:p>
        </w:tc>
        <w:tc>
          <w:tcPr>
            <w:tcW w:w="1531"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December 2016</w:t>
            </w:r>
          </w:p>
        </w:tc>
        <w:tc>
          <w:tcPr>
            <w:tcW w:w="1671"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p>
        </w:tc>
        <w:tc>
          <w:tcPr>
            <w:tcW w:w="1521"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p>
        </w:tc>
      </w:tr>
      <w:tr w:rsidR="00C25AD7" w:rsidRPr="001C023C" w:rsidTr="002F4ABA">
        <w:trPr>
          <w:cnfStyle w:val="100000000000" w:firstRow="1" w:lastRow="0" w:firstColumn="0" w:lastColumn="0" w:oddVBand="0" w:evenVBand="0" w:oddHBand="0" w:evenHBand="0" w:firstRowFirstColumn="0" w:firstRowLastColumn="0" w:lastRowFirstColumn="0" w:lastRowLastColumn="0"/>
        </w:trPr>
        <w:tc>
          <w:tcPr>
            <w:tcW w:w="2226"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r w:rsidRPr="004D3AEB">
              <w:rPr>
                <w:rFonts w:asciiTheme="minorHAnsi" w:eastAsia="Times New Roman" w:hAnsiTheme="minorHAnsi"/>
                <w:b w:val="0"/>
                <w:iCs/>
                <w:szCs w:val="17"/>
                <w:lang w:eastAsia="en-US"/>
              </w:rPr>
              <w:t>Evaluation</w:t>
            </w:r>
          </w:p>
        </w:tc>
        <w:tc>
          <w:tcPr>
            <w:tcW w:w="5217"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r w:rsidRPr="004D3AEB">
              <w:rPr>
                <w:rFonts w:asciiTheme="minorHAnsi" w:eastAsia="Times New Roman" w:hAnsiTheme="minorHAnsi"/>
                <w:b w:val="0"/>
                <w:iCs/>
                <w:szCs w:val="17"/>
                <w:lang w:eastAsia="en-US"/>
              </w:rPr>
              <w:t>INK933 Partnerships for Health and Rights: Working for Sexual and Reproductive Health and Rights (International Planned Parenthood Federation)</w:t>
            </w:r>
          </w:p>
        </w:tc>
        <w:tc>
          <w:tcPr>
            <w:tcW w:w="2099" w:type="dxa"/>
            <w:shd w:val="clear" w:color="auto" w:fill="auto"/>
          </w:tcPr>
          <w:p w:rsidR="00C25AD7" w:rsidRPr="00CF2296" w:rsidRDefault="00C25AD7" w:rsidP="002F4ABA">
            <w:pPr>
              <w:keepLines/>
              <w:spacing w:before="40" w:after="40" w:line="200" w:lineRule="atLeast"/>
              <w:rPr>
                <w:rFonts w:asciiTheme="minorHAnsi" w:eastAsia="Times New Roman" w:hAnsiTheme="minorHAnsi"/>
                <w:b w:val="0"/>
                <w:iCs/>
                <w:szCs w:val="17"/>
                <w:highlight w:val="yellow"/>
                <w:lang w:eastAsia="en-US"/>
              </w:rPr>
            </w:pPr>
            <w:r w:rsidRPr="00FC51A4">
              <w:rPr>
                <w:rFonts w:asciiTheme="minorHAnsi" w:eastAsia="Times New Roman" w:hAnsiTheme="minorHAnsi"/>
                <w:b w:val="0"/>
                <w:iCs/>
                <w:szCs w:val="17"/>
                <w:lang w:eastAsia="en-US"/>
              </w:rPr>
              <w:t>Underway</w:t>
            </w:r>
          </w:p>
        </w:tc>
        <w:tc>
          <w:tcPr>
            <w:tcW w:w="1531" w:type="dxa"/>
          </w:tcPr>
          <w:p w:rsidR="00C25AD7" w:rsidRPr="00CF2296" w:rsidRDefault="00C25AD7" w:rsidP="002F4ABA">
            <w:pPr>
              <w:keepLines/>
              <w:spacing w:before="40" w:after="40" w:line="200" w:lineRule="atLeast"/>
              <w:rPr>
                <w:rFonts w:asciiTheme="minorHAnsi" w:eastAsia="Times New Roman" w:hAnsiTheme="minorHAnsi"/>
                <w:b w:val="0"/>
                <w:iCs/>
                <w:szCs w:val="17"/>
                <w:highlight w:val="yellow"/>
                <w:lang w:eastAsia="en-US"/>
              </w:rPr>
            </w:pPr>
          </w:p>
        </w:tc>
        <w:tc>
          <w:tcPr>
            <w:tcW w:w="1671"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p>
        </w:tc>
        <w:tc>
          <w:tcPr>
            <w:tcW w:w="1521"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p>
        </w:tc>
      </w:tr>
      <w:tr w:rsidR="00C25AD7" w:rsidRPr="004341D6" w:rsidTr="002F4ABA">
        <w:trPr>
          <w:cnfStyle w:val="100000000000" w:firstRow="1" w:lastRow="0" w:firstColumn="0" w:lastColumn="0" w:oddVBand="0" w:evenVBand="0" w:oddHBand="0" w:evenHBand="0" w:firstRowFirstColumn="0" w:firstRowLastColumn="0" w:lastRowFirstColumn="0" w:lastRowLastColumn="0"/>
        </w:trPr>
        <w:tc>
          <w:tcPr>
            <w:tcW w:w="2226"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r w:rsidRPr="004D3AEB">
              <w:rPr>
                <w:rFonts w:asciiTheme="minorHAnsi" w:eastAsia="Times New Roman" w:hAnsiTheme="minorHAnsi"/>
                <w:b w:val="0"/>
                <w:iCs/>
                <w:szCs w:val="17"/>
                <w:lang w:eastAsia="en-US"/>
              </w:rPr>
              <w:t>Evaluation</w:t>
            </w:r>
          </w:p>
        </w:tc>
        <w:tc>
          <w:tcPr>
            <w:tcW w:w="5217"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r w:rsidRPr="004D3AEB">
              <w:rPr>
                <w:rFonts w:asciiTheme="minorHAnsi" w:eastAsia="Times New Roman" w:hAnsiTheme="minorHAnsi"/>
                <w:b w:val="0"/>
                <w:iCs/>
                <w:szCs w:val="17"/>
                <w:lang w:eastAsia="en-US"/>
              </w:rPr>
              <w:t xml:space="preserve">INK496 Progressing Gender Equality in Pacific Island Countries and Territories </w:t>
            </w:r>
          </w:p>
        </w:tc>
        <w:tc>
          <w:tcPr>
            <w:tcW w:w="2099"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r w:rsidRPr="004D3AEB">
              <w:rPr>
                <w:rFonts w:asciiTheme="minorHAnsi" w:eastAsia="Times New Roman" w:hAnsiTheme="minorHAnsi"/>
                <w:b w:val="0"/>
                <w:iCs/>
                <w:szCs w:val="17"/>
                <w:lang w:eastAsia="en-US"/>
              </w:rPr>
              <w:t>15 February, 2017</w:t>
            </w:r>
          </w:p>
        </w:tc>
        <w:tc>
          <w:tcPr>
            <w:tcW w:w="1531"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r w:rsidRPr="004D3AEB">
              <w:rPr>
                <w:rFonts w:asciiTheme="minorHAnsi" w:eastAsia="Times New Roman" w:hAnsiTheme="minorHAnsi"/>
                <w:b w:val="0"/>
                <w:iCs/>
                <w:szCs w:val="17"/>
                <w:lang w:eastAsia="en-US"/>
              </w:rPr>
              <w:t>4 May 2017</w:t>
            </w:r>
          </w:p>
        </w:tc>
        <w:tc>
          <w:tcPr>
            <w:tcW w:w="1671"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r w:rsidRPr="004D3AEB">
              <w:rPr>
                <w:rFonts w:asciiTheme="minorHAnsi" w:eastAsia="Times New Roman" w:hAnsiTheme="minorHAnsi"/>
                <w:b w:val="0"/>
                <w:iCs/>
                <w:szCs w:val="17"/>
                <w:lang w:eastAsia="en-US"/>
              </w:rPr>
              <w:t>4 May 2017</w:t>
            </w:r>
          </w:p>
        </w:tc>
        <w:tc>
          <w:tcPr>
            <w:tcW w:w="1521"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r w:rsidRPr="004D3AEB">
              <w:rPr>
                <w:rFonts w:asciiTheme="minorHAnsi" w:eastAsia="Times New Roman" w:hAnsiTheme="minorHAnsi"/>
                <w:b w:val="0"/>
                <w:iCs/>
                <w:szCs w:val="17"/>
                <w:lang w:eastAsia="en-US"/>
              </w:rPr>
              <w:t>28 February 2017</w:t>
            </w:r>
          </w:p>
        </w:tc>
      </w:tr>
      <w:tr w:rsidR="00C25AD7" w:rsidRPr="004341D6" w:rsidTr="002F4ABA">
        <w:trPr>
          <w:cnfStyle w:val="100000000000" w:firstRow="1" w:lastRow="0" w:firstColumn="0" w:lastColumn="0" w:oddVBand="0" w:evenVBand="0" w:oddHBand="0" w:evenHBand="0" w:firstRowFirstColumn="0" w:firstRowLastColumn="0" w:lastRowFirstColumn="0" w:lastRowLastColumn="0"/>
        </w:trPr>
        <w:tc>
          <w:tcPr>
            <w:tcW w:w="2226"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r w:rsidRPr="004D3AEB">
              <w:rPr>
                <w:rFonts w:asciiTheme="minorHAnsi" w:eastAsia="Times New Roman" w:hAnsiTheme="minorHAnsi"/>
                <w:b w:val="0"/>
                <w:iCs/>
                <w:szCs w:val="17"/>
                <w:lang w:eastAsia="en-US"/>
              </w:rPr>
              <w:t>Evaluation</w:t>
            </w:r>
          </w:p>
        </w:tc>
        <w:tc>
          <w:tcPr>
            <w:tcW w:w="5217"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r w:rsidRPr="004D3AEB">
              <w:rPr>
                <w:rFonts w:asciiTheme="minorHAnsi" w:eastAsia="Times New Roman" w:hAnsiTheme="minorHAnsi"/>
                <w:b w:val="0"/>
                <w:iCs/>
                <w:szCs w:val="17"/>
                <w:lang w:eastAsia="en-US"/>
              </w:rPr>
              <w:t>INK496 Pacific Women Shaping Pacific Development</w:t>
            </w:r>
          </w:p>
        </w:tc>
        <w:tc>
          <w:tcPr>
            <w:tcW w:w="2099"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r w:rsidRPr="004D3AEB">
              <w:rPr>
                <w:rFonts w:asciiTheme="minorHAnsi" w:eastAsia="Times New Roman" w:hAnsiTheme="minorHAnsi"/>
                <w:b w:val="0"/>
                <w:iCs/>
                <w:szCs w:val="17"/>
                <w:lang w:eastAsia="en-US"/>
              </w:rPr>
              <w:t>8 June 2017</w:t>
            </w:r>
          </w:p>
        </w:tc>
        <w:tc>
          <w:tcPr>
            <w:tcW w:w="1531"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r w:rsidRPr="004D3AEB">
              <w:rPr>
                <w:rFonts w:asciiTheme="minorHAnsi" w:eastAsia="Times New Roman" w:hAnsiTheme="minorHAnsi"/>
                <w:b w:val="0"/>
                <w:iCs/>
                <w:szCs w:val="17"/>
                <w:lang w:eastAsia="en-US"/>
              </w:rPr>
              <w:t>26 July 2017</w:t>
            </w:r>
          </w:p>
        </w:tc>
        <w:tc>
          <w:tcPr>
            <w:tcW w:w="1671"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p>
        </w:tc>
        <w:tc>
          <w:tcPr>
            <w:tcW w:w="1521"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p>
        </w:tc>
      </w:tr>
      <w:tr w:rsidR="00C25AD7" w:rsidRPr="004341D6" w:rsidTr="002F4ABA">
        <w:trPr>
          <w:cnfStyle w:val="100000000000" w:firstRow="1" w:lastRow="0" w:firstColumn="0" w:lastColumn="0" w:oddVBand="0" w:evenVBand="0" w:oddHBand="0" w:evenHBand="0" w:firstRowFirstColumn="0" w:firstRowLastColumn="0" w:lastRowFirstColumn="0" w:lastRowLastColumn="0"/>
        </w:trPr>
        <w:tc>
          <w:tcPr>
            <w:tcW w:w="2226"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r w:rsidRPr="004D3AEB">
              <w:rPr>
                <w:rFonts w:asciiTheme="minorHAnsi" w:eastAsia="Times New Roman" w:hAnsiTheme="minorHAnsi"/>
                <w:b w:val="0"/>
                <w:iCs/>
                <w:szCs w:val="17"/>
                <w:lang w:eastAsia="en-US"/>
              </w:rPr>
              <w:t>Evaluation</w:t>
            </w:r>
          </w:p>
        </w:tc>
        <w:tc>
          <w:tcPr>
            <w:tcW w:w="5217"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r w:rsidRPr="004D3AEB">
              <w:rPr>
                <w:rFonts w:asciiTheme="minorHAnsi" w:eastAsia="Times New Roman" w:hAnsiTheme="minorHAnsi"/>
                <w:b w:val="0"/>
                <w:iCs/>
                <w:szCs w:val="17"/>
                <w:lang w:eastAsia="en-US"/>
              </w:rPr>
              <w:t>INK496 Pacific Women’s Parliamentary Partnerships</w:t>
            </w:r>
          </w:p>
        </w:tc>
        <w:tc>
          <w:tcPr>
            <w:tcW w:w="2099"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r w:rsidRPr="004D3AEB">
              <w:rPr>
                <w:rFonts w:asciiTheme="minorHAnsi" w:eastAsia="Times New Roman" w:hAnsiTheme="minorHAnsi"/>
                <w:b w:val="0"/>
                <w:iCs/>
                <w:szCs w:val="17"/>
                <w:lang w:eastAsia="en-US"/>
              </w:rPr>
              <w:t>28 March 2017</w:t>
            </w:r>
          </w:p>
        </w:tc>
        <w:tc>
          <w:tcPr>
            <w:tcW w:w="1531"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r w:rsidRPr="004D3AEB">
              <w:rPr>
                <w:rFonts w:asciiTheme="minorHAnsi" w:eastAsia="Times New Roman" w:hAnsiTheme="minorHAnsi"/>
                <w:b w:val="0"/>
                <w:iCs/>
                <w:szCs w:val="17"/>
                <w:lang w:eastAsia="en-US"/>
              </w:rPr>
              <w:t>-</w:t>
            </w:r>
          </w:p>
        </w:tc>
        <w:tc>
          <w:tcPr>
            <w:tcW w:w="1671"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r w:rsidRPr="004D3AEB">
              <w:rPr>
                <w:rFonts w:asciiTheme="minorHAnsi" w:eastAsia="Times New Roman" w:hAnsiTheme="minorHAnsi"/>
                <w:b w:val="0"/>
                <w:iCs/>
                <w:szCs w:val="17"/>
                <w:lang w:eastAsia="en-US"/>
              </w:rPr>
              <w:t>-</w:t>
            </w:r>
          </w:p>
        </w:tc>
        <w:tc>
          <w:tcPr>
            <w:tcW w:w="1521"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p>
        </w:tc>
      </w:tr>
      <w:tr w:rsidR="00C25AD7" w:rsidRPr="004341D6" w:rsidTr="002F4ABA">
        <w:trPr>
          <w:cnfStyle w:val="100000000000" w:firstRow="1" w:lastRow="0" w:firstColumn="0" w:lastColumn="0" w:oddVBand="0" w:evenVBand="0" w:oddHBand="0" w:evenHBand="0" w:firstRowFirstColumn="0" w:firstRowLastColumn="0" w:lastRowFirstColumn="0" w:lastRowLastColumn="0"/>
          <w:trHeight w:val="659"/>
        </w:trPr>
        <w:tc>
          <w:tcPr>
            <w:tcW w:w="2226"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r w:rsidRPr="004D3AEB">
              <w:rPr>
                <w:rFonts w:asciiTheme="minorHAnsi" w:eastAsia="Times New Roman" w:hAnsiTheme="minorHAnsi"/>
                <w:b w:val="0"/>
                <w:iCs/>
                <w:szCs w:val="17"/>
                <w:lang w:eastAsia="en-US"/>
              </w:rPr>
              <w:t>Evaluation</w:t>
            </w:r>
          </w:p>
        </w:tc>
        <w:tc>
          <w:tcPr>
            <w:tcW w:w="5217"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r w:rsidRPr="004D3AEB">
              <w:rPr>
                <w:rFonts w:asciiTheme="minorHAnsi" w:eastAsia="Times New Roman" w:hAnsiTheme="minorHAnsi"/>
                <w:b w:val="0"/>
                <w:iCs/>
                <w:szCs w:val="17"/>
                <w:lang w:eastAsia="en-US"/>
              </w:rPr>
              <w:t>NL322 The Pacific Community (SPC) – Government of Australia Partnership for Pacific Regionalism</w:t>
            </w:r>
          </w:p>
        </w:tc>
        <w:tc>
          <w:tcPr>
            <w:tcW w:w="2099"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23 June 2016</w:t>
            </w:r>
          </w:p>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r w:rsidRPr="004D3AEB">
              <w:rPr>
                <w:rFonts w:asciiTheme="minorHAnsi" w:eastAsia="Times New Roman" w:hAnsiTheme="minorHAnsi"/>
                <w:b w:val="0"/>
                <w:iCs/>
                <w:szCs w:val="17"/>
                <w:lang w:eastAsia="en-US"/>
              </w:rPr>
              <w:t>(but management response wasn’t completed until 2/8/16)</w:t>
            </w:r>
          </w:p>
        </w:tc>
        <w:tc>
          <w:tcPr>
            <w:tcW w:w="1531"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r w:rsidRPr="004D3AEB">
              <w:rPr>
                <w:rFonts w:asciiTheme="minorHAnsi" w:eastAsia="Times New Roman" w:hAnsiTheme="minorHAnsi"/>
                <w:b w:val="0"/>
                <w:iCs/>
                <w:szCs w:val="17"/>
                <w:lang w:eastAsia="en-US"/>
              </w:rPr>
              <w:t>15/3/2017</w:t>
            </w:r>
          </w:p>
        </w:tc>
        <w:tc>
          <w:tcPr>
            <w:tcW w:w="1671"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r w:rsidRPr="004D3AEB">
              <w:rPr>
                <w:rFonts w:asciiTheme="minorHAnsi" w:eastAsia="Times New Roman" w:hAnsiTheme="minorHAnsi"/>
                <w:b w:val="0"/>
                <w:iCs/>
                <w:szCs w:val="17"/>
                <w:lang w:eastAsia="en-US"/>
              </w:rPr>
              <w:t>15/3/2017</w:t>
            </w:r>
          </w:p>
        </w:tc>
        <w:tc>
          <w:tcPr>
            <w:tcW w:w="1521"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r w:rsidRPr="004D3AEB">
              <w:rPr>
                <w:rFonts w:asciiTheme="minorHAnsi" w:eastAsia="Times New Roman" w:hAnsiTheme="minorHAnsi"/>
                <w:b w:val="0"/>
                <w:iCs/>
                <w:szCs w:val="17"/>
                <w:lang w:eastAsia="en-US"/>
              </w:rPr>
              <w:t>5/9/2016</w:t>
            </w:r>
          </w:p>
        </w:tc>
      </w:tr>
      <w:tr w:rsidR="00C25AD7" w:rsidRPr="004341D6" w:rsidTr="002F4ABA">
        <w:trPr>
          <w:cnfStyle w:val="100000000000" w:firstRow="1" w:lastRow="0" w:firstColumn="0" w:lastColumn="0" w:oddVBand="0" w:evenVBand="0" w:oddHBand="0" w:evenHBand="0" w:firstRowFirstColumn="0" w:firstRowLastColumn="0" w:lastRowFirstColumn="0" w:lastRowLastColumn="0"/>
        </w:trPr>
        <w:tc>
          <w:tcPr>
            <w:tcW w:w="2226"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r w:rsidRPr="004D3AEB">
              <w:rPr>
                <w:rFonts w:asciiTheme="minorHAnsi" w:eastAsia="Times New Roman" w:hAnsiTheme="minorHAnsi"/>
                <w:b w:val="0"/>
                <w:iCs/>
                <w:szCs w:val="17"/>
                <w:lang w:eastAsia="en-US"/>
              </w:rPr>
              <w:t>Independent Progress Review</w:t>
            </w:r>
          </w:p>
        </w:tc>
        <w:tc>
          <w:tcPr>
            <w:tcW w:w="5217"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r w:rsidRPr="004D3AEB">
              <w:rPr>
                <w:rFonts w:asciiTheme="minorHAnsi" w:eastAsia="Times New Roman" w:hAnsiTheme="minorHAnsi"/>
                <w:b w:val="0"/>
                <w:iCs/>
                <w:szCs w:val="17"/>
                <w:lang w:eastAsia="en-US"/>
              </w:rPr>
              <w:t>INJ201 Forum Fisheries Agency (FFA) Core Funding Support</w:t>
            </w:r>
          </w:p>
        </w:tc>
        <w:tc>
          <w:tcPr>
            <w:tcW w:w="2099"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r w:rsidRPr="004D3AEB">
              <w:rPr>
                <w:rFonts w:asciiTheme="minorHAnsi" w:eastAsia="Times New Roman" w:hAnsiTheme="minorHAnsi"/>
                <w:b w:val="0"/>
                <w:iCs/>
                <w:szCs w:val="17"/>
                <w:lang w:eastAsia="en-US"/>
              </w:rPr>
              <w:t>May 2017</w:t>
            </w:r>
          </w:p>
        </w:tc>
        <w:tc>
          <w:tcPr>
            <w:tcW w:w="1531"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r w:rsidRPr="004D3AEB">
              <w:rPr>
                <w:rFonts w:asciiTheme="minorHAnsi" w:eastAsia="Times New Roman" w:hAnsiTheme="minorHAnsi"/>
                <w:b w:val="0"/>
                <w:iCs/>
                <w:szCs w:val="17"/>
                <w:lang w:eastAsia="en-US"/>
              </w:rPr>
              <w:t>25 July 2017</w:t>
            </w:r>
          </w:p>
        </w:tc>
        <w:tc>
          <w:tcPr>
            <w:tcW w:w="1671"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r w:rsidRPr="004D3AEB">
              <w:rPr>
                <w:rFonts w:asciiTheme="minorHAnsi" w:eastAsia="Times New Roman" w:hAnsiTheme="minorHAnsi"/>
                <w:b w:val="0"/>
                <w:iCs/>
                <w:szCs w:val="17"/>
                <w:lang w:eastAsia="en-US"/>
              </w:rPr>
              <w:t xml:space="preserve">NA </w:t>
            </w:r>
          </w:p>
        </w:tc>
        <w:tc>
          <w:tcPr>
            <w:tcW w:w="1521"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7 August 2017</w:t>
            </w:r>
          </w:p>
        </w:tc>
      </w:tr>
      <w:tr w:rsidR="00C25AD7" w:rsidRPr="004341D6" w:rsidTr="002F4ABA">
        <w:trPr>
          <w:cnfStyle w:val="100000000000" w:firstRow="1" w:lastRow="0" w:firstColumn="0" w:lastColumn="0" w:oddVBand="0" w:evenVBand="0" w:oddHBand="0" w:evenHBand="0" w:firstRowFirstColumn="0" w:firstRowLastColumn="0" w:lastRowFirstColumn="0" w:lastRowLastColumn="0"/>
        </w:trPr>
        <w:tc>
          <w:tcPr>
            <w:tcW w:w="2226"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r w:rsidRPr="004D3AEB">
              <w:rPr>
                <w:rFonts w:asciiTheme="minorHAnsi" w:eastAsia="Times New Roman" w:hAnsiTheme="minorHAnsi"/>
                <w:b w:val="0"/>
                <w:iCs/>
                <w:szCs w:val="17"/>
                <w:lang w:eastAsia="en-US"/>
              </w:rPr>
              <w:t>Mid Term Review</w:t>
            </w:r>
          </w:p>
        </w:tc>
        <w:tc>
          <w:tcPr>
            <w:tcW w:w="5217"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r w:rsidRPr="004D3AEB">
              <w:rPr>
                <w:rFonts w:asciiTheme="minorHAnsi" w:eastAsia="Times New Roman" w:hAnsiTheme="minorHAnsi"/>
                <w:b w:val="0"/>
                <w:iCs/>
                <w:szCs w:val="17"/>
                <w:lang w:eastAsia="en-US"/>
              </w:rPr>
              <w:t>INK578 Pacific Benchmarking Education Quality for Results</w:t>
            </w:r>
          </w:p>
        </w:tc>
        <w:tc>
          <w:tcPr>
            <w:tcW w:w="2099" w:type="dxa"/>
          </w:tcPr>
          <w:p w:rsidR="00C25AD7" w:rsidRPr="004D3AEB" w:rsidRDefault="00C25AD7" w:rsidP="002F4ABA">
            <w:pPr>
              <w:spacing w:before="40" w:after="40" w:line="200" w:lineRule="atLeast"/>
              <w:rPr>
                <w:rFonts w:asciiTheme="minorHAnsi" w:eastAsia="Times New Roman" w:hAnsiTheme="minorHAnsi"/>
                <w:b w:val="0"/>
                <w:iCs/>
                <w:szCs w:val="17"/>
                <w:lang w:eastAsia="en-US"/>
              </w:rPr>
            </w:pPr>
            <w:r w:rsidRPr="004D3AEB">
              <w:rPr>
                <w:rFonts w:asciiTheme="minorHAnsi" w:eastAsia="Times New Roman" w:hAnsiTheme="minorHAnsi"/>
                <w:b w:val="0"/>
                <w:iCs/>
                <w:szCs w:val="17"/>
                <w:lang w:eastAsia="en-US"/>
              </w:rPr>
              <w:t>23 May 16</w:t>
            </w:r>
          </w:p>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p>
        </w:tc>
        <w:tc>
          <w:tcPr>
            <w:tcW w:w="1531"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r w:rsidRPr="004D3AEB">
              <w:rPr>
                <w:rFonts w:asciiTheme="minorHAnsi" w:eastAsia="Times New Roman" w:hAnsiTheme="minorHAnsi"/>
                <w:b w:val="0"/>
                <w:iCs/>
                <w:szCs w:val="17"/>
                <w:lang w:eastAsia="en-US"/>
              </w:rPr>
              <w:t>10 January 2017</w:t>
            </w:r>
          </w:p>
        </w:tc>
        <w:tc>
          <w:tcPr>
            <w:tcW w:w="1671"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r w:rsidRPr="004D3AEB">
              <w:rPr>
                <w:rFonts w:asciiTheme="minorHAnsi" w:eastAsia="Times New Roman" w:hAnsiTheme="minorHAnsi"/>
                <w:b w:val="0"/>
                <w:iCs/>
                <w:szCs w:val="17"/>
                <w:lang w:eastAsia="en-US"/>
              </w:rPr>
              <w:t>10 January 2017</w:t>
            </w:r>
          </w:p>
        </w:tc>
        <w:tc>
          <w:tcPr>
            <w:tcW w:w="1521"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r w:rsidRPr="004D3AEB">
              <w:rPr>
                <w:rFonts w:asciiTheme="minorHAnsi" w:eastAsia="Times New Roman" w:hAnsiTheme="minorHAnsi"/>
                <w:b w:val="0"/>
                <w:iCs/>
                <w:szCs w:val="17"/>
                <w:lang w:eastAsia="en-US"/>
              </w:rPr>
              <w:t>17 October 2017</w:t>
            </w:r>
          </w:p>
        </w:tc>
      </w:tr>
      <w:tr w:rsidR="00C25AD7" w:rsidRPr="004341D6" w:rsidTr="002F4ABA">
        <w:trPr>
          <w:cnfStyle w:val="100000000000" w:firstRow="1" w:lastRow="0" w:firstColumn="0" w:lastColumn="0" w:oddVBand="0" w:evenVBand="0" w:oddHBand="0" w:evenHBand="0" w:firstRowFirstColumn="0" w:firstRowLastColumn="0" w:lastRowFirstColumn="0" w:lastRowLastColumn="0"/>
        </w:trPr>
        <w:tc>
          <w:tcPr>
            <w:tcW w:w="2226"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r w:rsidRPr="004D3AEB">
              <w:rPr>
                <w:rFonts w:asciiTheme="minorHAnsi" w:eastAsia="Times New Roman" w:hAnsiTheme="minorHAnsi"/>
                <w:b w:val="0"/>
                <w:iCs/>
                <w:szCs w:val="17"/>
                <w:lang w:eastAsia="en-US"/>
              </w:rPr>
              <w:t>Strategic Review</w:t>
            </w:r>
          </w:p>
        </w:tc>
        <w:tc>
          <w:tcPr>
            <w:tcW w:w="5217"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r w:rsidRPr="004D3AEB">
              <w:rPr>
                <w:rFonts w:asciiTheme="minorHAnsi" w:eastAsia="Times New Roman" w:hAnsiTheme="minorHAnsi"/>
                <w:b w:val="0"/>
                <w:iCs/>
                <w:szCs w:val="17"/>
                <w:lang w:eastAsia="en-US"/>
              </w:rPr>
              <w:t>INH852 SPBEA Regional Qualifications Register: Phases 2 - 6</w:t>
            </w:r>
          </w:p>
        </w:tc>
        <w:tc>
          <w:tcPr>
            <w:tcW w:w="2099"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r w:rsidRPr="004D3AEB">
              <w:rPr>
                <w:rFonts w:asciiTheme="minorHAnsi" w:eastAsia="Times New Roman" w:hAnsiTheme="minorHAnsi"/>
                <w:b w:val="0"/>
                <w:iCs/>
                <w:szCs w:val="17"/>
                <w:lang w:eastAsia="en-US"/>
              </w:rPr>
              <w:t>28 September 16</w:t>
            </w:r>
          </w:p>
        </w:tc>
        <w:tc>
          <w:tcPr>
            <w:tcW w:w="1531"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August 2017</w:t>
            </w:r>
          </w:p>
        </w:tc>
        <w:tc>
          <w:tcPr>
            <w:tcW w:w="1671"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August 2017</w:t>
            </w:r>
          </w:p>
        </w:tc>
        <w:tc>
          <w:tcPr>
            <w:tcW w:w="1521"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10 August 2017</w:t>
            </w:r>
          </w:p>
        </w:tc>
      </w:tr>
      <w:tr w:rsidR="00C25AD7" w:rsidRPr="004341D6" w:rsidTr="002F4ABA">
        <w:trPr>
          <w:cnfStyle w:val="100000000000" w:firstRow="1" w:lastRow="0" w:firstColumn="0" w:lastColumn="0" w:oddVBand="0" w:evenVBand="0" w:oddHBand="0" w:evenHBand="0" w:firstRowFirstColumn="0" w:firstRowLastColumn="0" w:lastRowFirstColumn="0" w:lastRowLastColumn="0"/>
        </w:trPr>
        <w:tc>
          <w:tcPr>
            <w:tcW w:w="2226"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r w:rsidRPr="004D3AEB">
              <w:rPr>
                <w:rFonts w:asciiTheme="minorHAnsi" w:eastAsia="Times New Roman" w:hAnsiTheme="minorHAnsi"/>
                <w:b w:val="0"/>
                <w:iCs/>
                <w:szCs w:val="17"/>
                <w:lang w:eastAsia="en-US"/>
              </w:rPr>
              <w:t>Rapid Management Review</w:t>
            </w:r>
          </w:p>
        </w:tc>
        <w:tc>
          <w:tcPr>
            <w:tcW w:w="5217"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r w:rsidRPr="004D3AEB">
              <w:rPr>
                <w:rFonts w:asciiTheme="minorHAnsi" w:eastAsia="Times New Roman" w:hAnsiTheme="minorHAnsi"/>
                <w:b w:val="0"/>
                <w:iCs/>
                <w:szCs w:val="17"/>
                <w:lang w:eastAsia="en-US"/>
              </w:rPr>
              <w:t>INK967 PACTAM Phase 2</w:t>
            </w:r>
          </w:p>
        </w:tc>
        <w:tc>
          <w:tcPr>
            <w:tcW w:w="2099"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 xml:space="preserve">26 May </w:t>
            </w:r>
            <w:r w:rsidRPr="004D3AEB">
              <w:rPr>
                <w:rFonts w:asciiTheme="minorHAnsi" w:eastAsia="Times New Roman" w:hAnsiTheme="minorHAnsi"/>
                <w:b w:val="0"/>
                <w:iCs/>
                <w:szCs w:val="17"/>
                <w:lang w:eastAsia="en-US"/>
              </w:rPr>
              <w:t>2017</w:t>
            </w:r>
          </w:p>
        </w:tc>
        <w:tc>
          <w:tcPr>
            <w:tcW w:w="1531"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31 July 2017</w:t>
            </w:r>
          </w:p>
        </w:tc>
        <w:tc>
          <w:tcPr>
            <w:tcW w:w="1671"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r w:rsidRPr="004D3AEB">
              <w:rPr>
                <w:rFonts w:asciiTheme="minorHAnsi" w:eastAsia="Times New Roman" w:hAnsiTheme="minorHAnsi"/>
                <w:b w:val="0"/>
                <w:iCs/>
                <w:szCs w:val="17"/>
                <w:lang w:eastAsia="en-US"/>
              </w:rPr>
              <w:t>Not required for Rapid Management Review</w:t>
            </w:r>
          </w:p>
        </w:tc>
        <w:tc>
          <w:tcPr>
            <w:tcW w:w="1521" w:type="dxa"/>
          </w:tcPr>
          <w:p w:rsidR="00C25AD7" w:rsidRPr="004D3AEB" w:rsidRDefault="00C25AD7" w:rsidP="002F4ABA">
            <w:pPr>
              <w:keepLines/>
              <w:spacing w:before="40" w:after="40" w:line="200" w:lineRule="atLeast"/>
              <w:rPr>
                <w:rFonts w:asciiTheme="minorHAnsi" w:eastAsia="Times New Roman" w:hAnsiTheme="minorHAnsi"/>
                <w:b w:val="0"/>
                <w:iCs/>
                <w:szCs w:val="17"/>
                <w:lang w:eastAsia="en-US"/>
              </w:rPr>
            </w:pPr>
            <w:r w:rsidRPr="004D3AEB">
              <w:rPr>
                <w:rFonts w:asciiTheme="minorHAnsi" w:eastAsia="Times New Roman" w:hAnsiTheme="minorHAnsi"/>
                <w:b w:val="0"/>
                <w:iCs/>
                <w:szCs w:val="17"/>
                <w:lang w:eastAsia="en-US"/>
              </w:rPr>
              <w:t>Not required for Rapid Management Review</w:t>
            </w:r>
          </w:p>
        </w:tc>
      </w:tr>
    </w:tbl>
    <w:p w:rsidR="00C25AD7" w:rsidRDefault="00C25AD7" w:rsidP="00C25AD7">
      <w:pPr>
        <w:suppressAutoHyphens w:val="0"/>
        <w:spacing w:before="0" w:after="120" w:line="440" w:lineRule="atLeast"/>
        <w:rPr>
          <w:b/>
          <w:sz w:val="24"/>
        </w:rPr>
      </w:pPr>
    </w:p>
    <w:p w:rsidR="00C25AD7" w:rsidRDefault="00C25AD7" w:rsidP="00C25AD7">
      <w:pPr>
        <w:rPr>
          <w:b/>
          <w:sz w:val="24"/>
        </w:rPr>
      </w:pPr>
    </w:p>
    <w:p w:rsidR="00C25AD7" w:rsidRDefault="00C25AD7" w:rsidP="00C25AD7">
      <w:pPr>
        <w:suppressAutoHyphens w:val="0"/>
        <w:spacing w:before="0" w:after="120" w:line="440" w:lineRule="atLeast"/>
        <w:rPr>
          <w:b/>
          <w:sz w:val="24"/>
        </w:rPr>
      </w:pPr>
      <w:r>
        <w:rPr>
          <w:b/>
          <w:sz w:val="24"/>
        </w:rPr>
        <w:br w:type="page"/>
      </w:r>
    </w:p>
    <w:p w:rsidR="00C25AD7" w:rsidRDefault="00C25AD7" w:rsidP="00C25AD7">
      <w:pPr>
        <w:rPr>
          <w:b/>
          <w:sz w:val="24"/>
        </w:rPr>
      </w:pPr>
    </w:p>
    <w:p w:rsidR="00C25AD7" w:rsidRPr="008C2F58" w:rsidRDefault="00C25AD7" w:rsidP="00C25AD7">
      <w:pPr>
        <w:rPr>
          <w:b/>
          <w:sz w:val="24"/>
        </w:rPr>
      </w:pPr>
      <w:r w:rsidRPr="008C2F58">
        <w:rPr>
          <w:b/>
          <w:sz w:val="24"/>
        </w:rPr>
        <w:t xml:space="preserve">List of program prioritised evaluations planned for the next 12 months </w:t>
      </w:r>
    </w:p>
    <w:tbl>
      <w:tblPr>
        <w:tblStyle w:val="APPR"/>
        <w:tblW w:w="0" w:type="auto"/>
        <w:tblLook w:val="0600" w:firstRow="0" w:lastRow="0" w:firstColumn="0" w:lastColumn="0" w:noHBand="1" w:noVBand="1"/>
      </w:tblPr>
      <w:tblGrid>
        <w:gridCol w:w="2459"/>
        <w:gridCol w:w="2359"/>
        <w:gridCol w:w="2447"/>
        <w:gridCol w:w="2216"/>
        <w:gridCol w:w="2334"/>
        <w:gridCol w:w="2358"/>
      </w:tblGrid>
      <w:tr w:rsidR="00C25AD7" w:rsidRPr="00C61187" w:rsidTr="002F4ABA">
        <w:tc>
          <w:tcPr>
            <w:tcW w:w="2417" w:type="dxa"/>
          </w:tcPr>
          <w:p w:rsidR="00C25AD7" w:rsidRPr="004D3AEB" w:rsidRDefault="00C25AD7" w:rsidP="002F4ABA">
            <w:pPr>
              <w:keepLines/>
              <w:spacing w:before="40" w:after="40" w:line="200" w:lineRule="atLeast"/>
              <w:rPr>
                <w:rFonts w:asciiTheme="minorHAnsi" w:eastAsia="Times New Roman" w:hAnsiTheme="minorHAnsi"/>
                <w:iCs/>
                <w:szCs w:val="17"/>
                <w:lang w:eastAsia="en-US"/>
              </w:rPr>
            </w:pPr>
            <w:r w:rsidRPr="004D3AEB">
              <w:rPr>
                <w:rFonts w:asciiTheme="minorHAnsi" w:eastAsia="Times New Roman" w:hAnsiTheme="minorHAnsi"/>
                <w:iCs/>
                <w:szCs w:val="17"/>
                <w:lang w:eastAsia="en-US"/>
              </w:rPr>
              <w:t>Evaluation title</w:t>
            </w:r>
          </w:p>
        </w:tc>
        <w:tc>
          <w:tcPr>
            <w:tcW w:w="2331" w:type="dxa"/>
          </w:tcPr>
          <w:p w:rsidR="00C25AD7" w:rsidRPr="004D3AEB" w:rsidRDefault="00C25AD7" w:rsidP="002F4ABA">
            <w:pPr>
              <w:keepLines/>
              <w:spacing w:before="40" w:after="40" w:line="200" w:lineRule="atLeast"/>
              <w:rPr>
                <w:rFonts w:asciiTheme="minorHAnsi" w:eastAsia="Times New Roman" w:hAnsiTheme="minorHAnsi"/>
                <w:iCs/>
                <w:szCs w:val="17"/>
                <w:lang w:eastAsia="en-US"/>
              </w:rPr>
            </w:pPr>
            <w:r w:rsidRPr="004D3AEB">
              <w:rPr>
                <w:rFonts w:asciiTheme="minorHAnsi" w:eastAsia="Times New Roman" w:hAnsiTheme="minorHAnsi"/>
                <w:iCs/>
                <w:szCs w:val="17"/>
                <w:lang w:eastAsia="en-US"/>
              </w:rPr>
              <w:t xml:space="preserve">Investment number and name (if applicable) </w:t>
            </w:r>
          </w:p>
        </w:tc>
        <w:tc>
          <w:tcPr>
            <w:tcW w:w="2419" w:type="dxa"/>
          </w:tcPr>
          <w:p w:rsidR="00C25AD7" w:rsidRPr="004D3AEB" w:rsidRDefault="00C25AD7" w:rsidP="002F4ABA">
            <w:pPr>
              <w:keepLines/>
              <w:spacing w:before="40" w:after="40" w:line="200" w:lineRule="atLeast"/>
              <w:rPr>
                <w:rFonts w:asciiTheme="minorHAnsi" w:eastAsia="Times New Roman" w:hAnsiTheme="minorHAnsi"/>
                <w:iCs/>
                <w:szCs w:val="17"/>
                <w:lang w:eastAsia="en-US"/>
              </w:rPr>
            </w:pPr>
            <w:r w:rsidRPr="004D3AEB">
              <w:rPr>
                <w:rFonts w:asciiTheme="minorHAnsi" w:eastAsia="Times New Roman" w:hAnsiTheme="minorHAnsi"/>
                <w:iCs/>
                <w:szCs w:val="17"/>
                <w:lang w:eastAsia="en-US"/>
              </w:rPr>
              <w:t>Date – planned commencement (month/year)</w:t>
            </w:r>
          </w:p>
        </w:tc>
        <w:tc>
          <w:tcPr>
            <w:tcW w:w="2188" w:type="dxa"/>
          </w:tcPr>
          <w:p w:rsidR="00C25AD7" w:rsidRPr="004D3AEB" w:rsidRDefault="00C25AD7" w:rsidP="002F4ABA">
            <w:pPr>
              <w:keepLines/>
              <w:spacing w:before="40" w:after="40" w:line="200" w:lineRule="atLeast"/>
              <w:rPr>
                <w:rFonts w:asciiTheme="minorHAnsi" w:eastAsia="Times New Roman" w:hAnsiTheme="minorHAnsi"/>
                <w:iCs/>
                <w:szCs w:val="17"/>
                <w:lang w:eastAsia="en-US"/>
              </w:rPr>
            </w:pPr>
            <w:r w:rsidRPr="004D3AEB">
              <w:rPr>
                <w:rFonts w:asciiTheme="minorHAnsi" w:eastAsia="Times New Roman" w:hAnsiTheme="minorHAnsi"/>
                <w:iCs/>
                <w:szCs w:val="17"/>
                <w:lang w:eastAsia="en-US"/>
              </w:rPr>
              <w:t>Date – planned completion (month/year)</w:t>
            </w:r>
          </w:p>
        </w:tc>
        <w:tc>
          <w:tcPr>
            <w:tcW w:w="2306" w:type="dxa"/>
          </w:tcPr>
          <w:p w:rsidR="00C25AD7" w:rsidRPr="004D3AEB" w:rsidRDefault="00C25AD7" w:rsidP="002F4ABA">
            <w:pPr>
              <w:keepLines/>
              <w:spacing w:before="40" w:after="40" w:line="200" w:lineRule="atLeast"/>
              <w:rPr>
                <w:rFonts w:asciiTheme="minorHAnsi" w:eastAsia="Times New Roman" w:hAnsiTheme="minorHAnsi"/>
                <w:iCs/>
                <w:szCs w:val="17"/>
                <w:lang w:eastAsia="en-US"/>
              </w:rPr>
            </w:pPr>
            <w:r w:rsidRPr="004D3AEB">
              <w:rPr>
                <w:rFonts w:asciiTheme="minorHAnsi" w:eastAsia="Times New Roman" w:hAnsiTheme="minorHAnsi"/>
                <w:iCs/>
                <w:szCs w:val="17"/>
                <w:lang w:eastAsia="en-US"/>
              </w:rPr>
              <w:t>Purpose of evaluation</w:t>
            </w:r>
          </w:p>
        </w:tc>
        <w:tc>
          <w:tcPr>
            <w:tcW w:w="2316" w:type="dxa"/>
          </w:tcPr>
          <w:p w:rsidR="00C25AD7" w:rsidRPr="004D3AEB" w:rsidRDefault="00C25AD7" w:rsidP="002F4ABA">
            <w:pPr>
              <w:keepLines/>
              <w:spacing w:before="40" w:after="40" w:line="200" w:lineRule="atLeast"/>
              <w:rPr>
                <w:rFonts w:asciiTheme="minorHAnsi" w:eastAsia="Times New Roman" w:hAnsiTheme="minorHAnsi"/>
                <w:iCs/>
                <w:szCs w:val="17"/>
                <w:lang w:eastAsia="en-US"/>
              </w:rPr>
            </w:pPr>
            <w:r w:rsidRPr="004D3AEB">
              <w:rPr>
                <w:rFonts w:asciiTheme="minorHAnsi" w:eastAsia="Times New Roman" w:hAnsiTheme="minorHAnsi"/>
                <w:iCs/>
                <w:szCs w:val="17"/>
                <w:lang w:eastAsia="en-US"/>
              </w:rPr>
              <w:t>Evaluation type</w:t>
            </w:r>
          </w:p>
        </w:tc>
      </w:tr>
      <w:tr w:rsidR="00C25AD7" w:rsidRPr="00C61187" w:rsidTr="002F4ABA">
        <w:tc>
          <w:tcPr>
            <w:tcW w:w="2417" w:type="dxa"/>
          </w:tcPr>
          <w:p w:rsidR="00C25AD7" w:rsidRPr="00CA2125" w:rsidRDefault="00C25AD7" w:rsidP="002F4ABA">
            <w:pPr>
              <w:keepLines/>
              <w:spacing w:before="40" w:after="40" w:line="200" w:lineRule="atLeast"/>
              <w:rPr>
                <w:rFonts w:asciiTheme="minorHAnsi" w:eastAsia="Times New Roman" w:hAnsiTheme="minorHAnsi"/>
                <w:iCs/>
                <w:szCs w:val="17"/>
                <w:lang w:eastAsia="en-US"/>
              </w:rPr>
            </w:pPr>
          </w:p>
        </w:tc>
        <w:tc>
          <w:tcPr>
            <w:tcW w:w="2331" w:type="dxa"/>
          </w:tcPr>
          <w:p w:rsidR="00C25AD7" w:rsidRPr="00CA2125" w:rsidRDefault="00C25AD7" w:rsidP="002F4ABA">
            <w:pPr>
              <w:keepLines/>
              <w:spacing w:before="40" w:after="40" w:line="200" w:lineRule="atLeast"/>
              <w:rPr>
                <w:rFonts w:asciiTheme="minorHAnsi" w:eastAsia="Times New Roman" w:hAnsiTheme="minorHAnsi"/>
                <w:iCs/>
                <w:szCs w:val="17"/>
                <w:lang w:eastAsia="en-US"/>
              </w:rPr>
            </w:pPr>
          </w:p>
        </w:tc>
        <w:tc>
          <w:tcPr>
            <w:tcW w:w="2419" w:type="dxa"/>
          </w:tcPr>
          <w:p w:rsidR="00C25AD7" w:rsidRPr="00CA2125" w:rsidRDefault="00C25AD7" w:rsidP="002F4ABA">
            <w:pPr>
              <w:keepLines/>
              <w:spacing w:before="40" w:after="40" w:line="200" w:lineRule="atLeast"/>
              <w:rPr>
                <w:rFonts w:asciiTheme="minorHAnsi" w:eastAsia="Times New Roman" w:hAnsiTheme="minorHAnsi"/>
                <w:iCs/>
                <w:szCs w:val="17"/>
                <w:lang w:eastAsia="en-US"/>
              </w:rPr>
            </w:pPr>
          </w:p>
        </w:tc>
        <w:tc>
          <w:tcPr>
            <w:tcW w:w="2188" w:type="dxa"/>
          </w:tcPr>
          <w:p w:rsidR="00C25AD7" w:rsidRPr="00CA2125" w:rsidRDefault="00C25AD7" w:rsidP="002F4ABA">
            <w:pPr>
              <w:keepLines/>
              <w:spacing w:before="40" w:after="40" w:line="200" w:lineRule="atLeast"/>
              <w:rPr>
                <w:rFonts w:asciiTheme="minorHAnsi" w:eastAsia="Times New Roman" w:hAnsiTheme="minorHAnsi"/>
                <w:iCs/>
                <w:szCs w:val="17"/>
                <w:lang w:eastAsia="en-US"/>
              </w:rPr>
            </w:pPr>
          </w:p>
        </w:tc>
        <w:tc>
          <w:tcPr>
            <w:tcW w:w="2306" w:type="dxa"/>
          </w:tcPr>
          <w:p w:rsidR="00C25AD7" w:rsidRPr="00CA2125" w:rsidRDefault="00C25AD7" w:rsidP="002F4ABA">
            <w:pPr>
              <w:keepLines/>
              <w:spacing w:before="40" w:after="40" w:line="200" w:lineRule="atLeast"/>
              <w:rPr>
                <w:rFonts w:asciiTheme="minorHAnsi" w:eastAsia="Times New Roman" w:hAnsiTheme="minorHAnsi"/>
                <w:iCs/>
                <w:szCs w:val="17"/>
                <w:lang w:eastAsia="en-US"/>
              </w:rPr>
            </w:pPr>
          </w:p>
        </w:tc>
        <w:tc>
          <w:tcPr>
            <w:tcW w:w="2316" w:type="dxa"/>
          </w:tcPr>
          <w:p w:rsidR="00C25AD7" w:rsidRPr="00CA2125" w:rsidRDefault="00C25AD7" w:rsidP="002F4ABA">
            <w:pPr>
              <w:keepLines/>
              <w:spacing w:before="40" w:after="40" w:line="200" w:lineRule="atLeast"/>
              <w:rPr>
                <w:rFonts w:asciiTheme="minorHAnsi" w:eastAsia="Times New Roman" w:hAnsiTheme="minorHAnsi"/>
                <w:iCs/>
                <w:szCs w:val="17"/>
                <w:lang w:eastAsia="en-US"/>
              </w:rPr>
            </w:pPr>
          </w:p>
        </w:tc>
      </w:tr>
      <w:tr w:rsidR="00C25AD7" w:rsidRPr="00C61187" w:rsidTr="002F4ABA">
        <w:tc>
          <w:tcPr>
            <w:tcW w:w="2417" w:type="dxa"/>
          </w:tcPr>
          <w:p w:rsidR="00C25AD7" w:rsidRPr="00A427C6" w:rsidRDefault="00C25AD7" w:rsidP="002F4ABA">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Pacific Women Support Unit</w:t>
            </w:r>
          </w:p>
        </w:tc>
        <w:tc>
          <w:tcPr>
            <w:tcW w:w="2331" w:type="dxa"/>
          </w:tcPr>
          <w:p w:rsidR="00C25AD7" w:rsidRPr="00A427C6" w:rsidRDefault="00C25AD7" w:rsidP="002F4ABA">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INK496</w:t>
            </w:r>
          </w:p>
        </w:tc>
        <w:tc>
          <w:tcPr>
            <w:tcW w:w="2419" w:type="dxa"/>
          </w:tcPr>
          <w:p w:rsidR="00C25AD7" w:rsidRPr="00A427C6" w:rsidRDefault="00C25AD7" w:rsidP="002F4ABA">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July 2017</w:t>
            </w:r>
          </w:p>
        </w:tc>
        <w:tc>
          <w:tcPr>
            <w:tcW w:w="2188" w:type="dxa"/>
          </w:tcPr>
          <w:p w:rsidR="00C25AD7" w:rsidRPr="00A427C6" w:rsidRDefault="00C25AD7" w:rsidP="002F4ABA">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September 2017</w:t>
            </w:r>
          </w:p>
        </w:tc>
        <w:tc>
          <w:tcPr>
            <w:tcW w:w="2306" w:type="dxa"/>
          </w:tcPr>
          <w:p w:rsidR="00C25AD7" w:rsidRPr="004D3AEB" w:rsidRDefault="00C25AD7" w:rsidP="002F4ABA">
            <w:pPr>
              <w:keepLines/>
              <w:spacing w:before="40" w:after="40" w:line="200" w:lineRule="atLeast"/>
              <w:rPr>
                <w:rFonts w:asciiTheme="minorHAnsi" w:eastAsia="Times New Roman" w:hAnsiTheme="minorHAnsi"/>
                <w:iCs/>
                <w:szCs w:val="17"/>
                <w:lang w:eastAsia="en-US"/>
              </w:rPr>
            </w:pPr>
            <w:r w:rsidRPr="00064B26">
              <w:rPr>
                <w:rFonts w:asciiTheme="minorHAnsi" w:eastAsia="Times New Roman" w:hAnsiTheme="minorHAnsi"/>
                <w:iCs/>
                <w:szCs w:val="17"/>
                <w:lang w:eastAsia="en-US"/>
              </w:rPr>
              <w:t>To determine whether to extend contract.</w:t>
            </w:r>
          </w:p>
        </w:tc>
        <w:tc>
          <w:tcPr>
            <w:tcW w:w="2316" w:type="dxa"/>
          </w:tcPr>
          <w:p w:rsidR="00C25AD7" w:rsidRPr="00A427C6" w:rsidRDefault="00C25AD7" w:rsidP="002F4ABA">
            <w:pPr>
              <w:keepLines/>
              <w:spacing w:before="40" w:after="40" w:line="200" w:lineRule="atLeast"/>
              <w:rPr>
                <w:rFonts w:asciiTheme="minorHAnsi" w:eastAsia="Times New Roman" w:hAnsiTheme="minorHAnsi"/>
                <w:iCs/>
                <w:szCs w:val="17"/>
                <w:lang w:eastAsia="en-US"/>
              </w:rPr>
            </w:pPr>
            <w:r w:rsidRPr="001C023C">
              <w:rPr>
                <w:rFonts w:asciiTheme="minorHAnsi" w:eastAsia="Times New Roman" w:hAnsiTheme="minorHAnsi"/>
                <w:iCs/>
                <w:szCs w:val="17"/>
                <w:lang w:eastAsia="en-US"/>
              </w:rPr>
              <w:t>Evaluation</w:t>
            </w:r>
          </w:p>
        </w:tc>
      </w:tr>
      <w:tr w:rsidR="00C25AD7" w:rsidRPr="00C61187" w:rsidTr="002F4ABA">
        <w:tc>
          <w:tcPr>
            <w:tcW w:w="2417" w:type="dxa"/>
          </w:tcPr>
          <w:p w:rsidR="00C25AD7" w:rsidRPr="00DC6FCA" w:rsidRDefault="00C25AD7" w:rsidP="002F4ABA">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UNICEF Child Protection Program</w:t>
            </w:r>
          </w:p>
        </w:tc>
        <w:tc>
          <w:tcPr>
            <w:tcW w:w="2331" w:type="dxa"/>
          </w:tcPr>
          <w:p w:rsidR="00C25AD7" w:rsidRPr="00DC6FCA" w:rsidRDefault="00C25AD7" w:rsidP="002F4ABA">
            <w:pPr>
              <w:keepLines/>
              <w:spacing w:before="40" w:after="40" w:line="200" w:lineRule="atLeast"/>
              <w:rPr>
                <w:rFonts w:asciiTheme="minorHAnsi" w:eastAsia="Times New Roman" w:hAnsiTheme="minorHAnsi"/>
                <w:iCs/>
                <w:szCs w:val="17"/>
                <w:lang w:eastAsia="en-US"/>
              </w:rPr>
            </w:pPr>
            <w:r w:rsidRPr="00064B26">
              <w:rPr>
                <w:rFonts w:asciiTheme="minorHAnsi" w:eastAsia="Times New Roman" w:hAnsiTheme="minorHAnsi"/>
                <w:iCs/>
                <w:szCs w:val="17"/>
                <w:lang w:eastAsia="en-US"/>
              </w:rPr>
              <w:t>INL449</w:t>
            </w:r>
          </w:p>
        </w:tc>
        <w:tc>
          <w:tcPr>
            <w:tcW w:w="2419" w:type="dxa"/>
          </w:tcPr>
          <w:p w:rsidR="00C25AD7" w:rsidRPr="00DC6FCA" w:rsidRDefault="00C25AD7" w:rsidP="002F4ABA">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August 2017</w:t>
            </w:r>
          </w:p>
        </w:tc>
        <w:tc>
          <w:tcPr>
            <w:tcW w:w="2188" w:type="dxa"/>
          </w:tcPr>
          <w:p w:rsidR="00C25AD7" w:rsidRPr="00DC6FCA" w:rsidRDefault="00C25AD7" w:rsidP="002F4ABA">
            <w:pPr>
              <w:keepLines/>
              <w:spacing w:before="40" w:after="40" w:line="200" w:lineRule="atLeast"/>
              <w:rPr>
                <w:rFonts w:asciiTheme="minorHAnsi" w:eastAsia="Times New Roman" w:hAnsiTheme="minorHAnsi"/>
                <w:iCs/>
                <w:szCs w:val="17"/>
                <w:lang w:eastAsia="en-US"/>
              </w:rPr>
            </w:pPr>
            <w:r w:rsidRPr="004D3AEB">
              <w:rPr>
                <w:rFonts w:asciiTheme="minorHAnsi" w:eastAsia="Times New Roman" w:hAnsiTheme="minorHAnsi"/>
                <w:iCs/>
                <w:szCs w:val="17"/>
                <w:lang w:eastAsia="en-US"/>
              </w:rPr>
              <w:t>November 2017</w:t>
            </w:r>
          </w:p>
        </w:tc>
        <w:tc>
          <w:tcPr>
            <w:tcW w:w="2306" w:type="dxa"/>
          </w:tcPr>
          <w:p w:rsidR="00C25AD7" w:rsidRPr="00DC6FCA" w:rsidRDefault="00C25AD7" w:rsidP="002F4ABA">
            <w:pPr>
              <w:keepLines/>
              <w:spacing w:before="40" w:after="40" w:line="200" w:lineRule="atLeast"/>
              <w:rPr>
                <w:rFonts w:asciiTheme="minorHAnsi" w:eastAsia="Times New Roman" w:hAnsiTheme="minorHAnsi"/>
                <w:iCs/>
                <w:szCs w:val="17"/>
                <w:lang w:eastAsia="en-US"/>
              </w:rPr>
            </w:pPr>
            <w:r w:rsidRPr="004D3AEB">
              <w:rPr>
                <w:rFonts w:asciiTheme="minorHAnsi" w:eastAsia="Times New Roman" w:hAnsiTheme="minorHAnsi"/>
                <w:iCs/>
                <w:szCs w:val="17"/>
                <w:lang w:eastAsia="en-US"/>
              </w:rPr>
              <w:t>To assess relevance, effectiveness, efficiency, sustainability, M&amp;E and impact of the program</w:t>
            </w:r>
          </w:p>
        </w:tc>
        <w:tc>
          <w:tcPr>
            <w:tcW w:w="2316" w:type="dxa"/>
          </w:tcPr>
          <w:p w:rsidR="00C25AD7" w:rsidRPr="00DC6FCA" w:rsidRDefault="00C25AD7" w:rsidP="002F4ABA">
            <w:pPr>
              <w:keepLines/>
              <w:spacing w:before="40" w:after="40" w:line="200" w:lineRule="atLeast"/>
              <w:rPr>
                <w:rFonts w:asciiTheme="minorHAnsi" w:eastAsia="Times New Roman" w:hAnsiTheme="minorHAnsi"/>
                <w:iCs/>
                <w:szCs w:val="17"/>
                <w:lang w:eastAsia="en-US"/>
              </w:rPr>
            </w:pPr>
            <w:r w:rsidRPr="00DC6FCA">
              <w:rPr>
                <w:rFonts w:asciiTheme="minorHAnsi" w:eastAsia="Times New Roman" w:hAnsiTheme="minorHAnsi"/>
                <w:iCs/>
                <w:szCs w:val="17"/>
                <w:lang w:eastAsia="en-US"/>
              </w:rPr>
              <w:t>Independent Review</w:t>
            </w:r>
          </w:p>
        </w:tc>
      </w:tr>
      <w:tr w:rsidR="00C25AD7" w:rsidRPr="001C023C" w:rsidTr="002F4ABA">
        <w:tc>
          <w:tcPr>
            <w:tcW w:w="2417" w:type="dxa"/>
          </w:tcPr>
          <w:p w:rsidR="00C25AD7" w:rsidRPr="001C023C" w:rsidRDefault="00C25AD7" w:rsidP="002F4ABA">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Markets for Change</w:t>
            </w:r>
          </w:p>
        </w:tc>
        <w:tc>
          <w:tcPr>
            <w:tcW w:w="2331" w:type="dxa"/>
          </w:tcPr>
          <w:p w:rsidR="00C25AD7" w:rsidRPr="001C023C" w:rsidRDefault="00C25AD7" w:rsidP="002F4ABA">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INK 496</w:t>
            </w:r>
          </w:p>
        </w:tc>
        <w:tc>
          <w:tcPr>
            <w:tcW w:w="2419" w:type="dxa"/>
          </w:tcPr>
          <w:p w:rsidR="00C25AD7" w:rsidRPr="001C023C" w:rsidRDefault="00C25AD7" w:rsidP="002F4ABA">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September 2017</w:t>
            </w:r>
          </w:p>
        </w:tc>
        <w:tc>
          <w:tcPr>
            <w:tcW w:w="2188" w:type="dxa"/>
          </w:tcPr>
          <w:p w:rsidR="00C25AD7" w:rsidRPr="001C023C" w:rsidRDefault="00C25AD7" w:rsidP="002F4ABA">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December 2017</w:t>
            </w:r>
          </w:p>
        </w:tc>
        <w:tc>
          <w:tcPr>
            <w:tcW w:w="2306" w:type="dxa"/>
          </w:tcPr>
          <w:p w:rsidR="00C25AD7" w:rsidRPr="001C023C" w:rsidRDefault="00C25AD7" w:rsidP="002F4ABA">
            <w:pPr>
              <w:keepLines/>
              <w:spacing w:before="40" w:after="40" w:line="200" w:lineRule="atLeast"/>
              <w:rPr>
                <w:rFonts w:asciiTheme="minorHAnsi" w:eastAsia="Times New Roman" w:hAnsiTheme="minorHAnsi"/>
                <w:iCs/>
                <w:szCs w:val="17"/>
                <w:lang w:eastAsia="en-US"/>
              </w:rPr>
            </w:pPr>
            <w:r w:rsidRPr="004D3AEB">
              <w:rPr>
                <w:rFonts w:asciiTheme="minorHAnsi" w:eastAsia="Times New Roman" w:hAnsiTheme="minorHAnsi"/>
                <w:iCs/>
                <w:szCs w:val="17"/>
                <w:lang w:eastAsia="en-US"/>
              </w:rPr>
              <w:t>To assess relevance, effectiveness, efficiency, sustainability, M&amp;E and impact of the program</w:t>
            </w:r>
          </w:p>
        </w:tc>
        <w:tc>
          <w:tcPr>
            <w:tcW w:w="2316" w:type="dxa"/>
          </w:tcPr>
          <w:p w:rsidR="00C25AD7" w:rsidRPr="001C023C" w:rsidRDefault="00C25AD7" w:rsidP="002F4ABA">
            <w:pPr>
              <w:keepLines/>
              <w:spacing w:before="40" w:after="40" w:line="200" w:lineRule="atLeast"/>
              <w:rPr>
                <w:rFonts w:asciiTheme="minorHAnsi" w:eastAsia="Times New Roman" w:hAnsiTheme="minorHAnsi"/>
                <w:iCs/>
                <w:szCs w:val="17"/>
                <w:lang w:eastAsia="en-US"/>
              </w:rPr>
            </w:pPr>
            <w:r w:rsidRPr="00DC6FCA">
              <w:rPr>
                <w:rFonts w:asciiTheme="minorHAnsi" w:eastAsia="Times New Roman" w:hAnsiTheme="minorHAnsi"/>
                <w:iCs/>
                <w:szCs w:val="17"/>
                <w:lang w:eastAsia="en-US"/>
              </w:rPr>
              <w:t>Independent Review</w:t>
            </w:r>
          </w:p>
        </w:tc>
      </w:tr>
      <w:tr w:rsidR="00C25AD7" w:rsidRPr="001C023C" w:rsidTr="002F4ABA">
        <w:tc>
          <w:tcPr>
            <w:tcW w:w="2417" w:type="dxa"/>
          </w:tcPr>
          <w:p w:rsidR="00C25AD7" w:rsidRPr="00DC6FCA" w:rsidRDefault="00C25AD7" w:rsidP="002F4ABA">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Improving Community Based Fisheries Management and Aquaculture in Pacific Countries and PNG</w:t>
            </w:r>
          </w:p>
        </w:tc>
        <w:tc>
          <w:tcPr>
            <w:tcW w:w="2331" w:type="dxa"/>
          </w:tcPr>
          <w:p w:rsidR="00C25AD7" w:rsidRPr="00DC6FCA" w:rsidRDefault="00C25AD7" w:rsidP="002F4ABA">
            <w:pPr>
              <w:keepLines/>
              <w:spacing w:before="40" w:after="40" w:line="200" w:lineRule="atLeast"/>
              <w:rPr>
                <w:rFonts w:asciiTheme="minorHAnsi" w:eastAsia="Times New Roman" w:hAnsiTheme="minorHAnsi"/>
                <w:iCs/>
                <w:szCs w:val="17"/>
                <w:lang w:eastAsia="en-US"/>
              </w:rPr>
            </w:pPr>
            <w:r w:rsidRPr="004D3AEB">
              <w:rPr>
                <w:rFonts w:asciiTheme="minorHAnsi" w:eastAsia="Times New Roman" w:hAnsiTheme="minorHAnsi"/>
                <w:iCs/>
                <w:szCs w:val="17"/>
                <w:lang w:eastAsia="en-US"/>
              </w:rPr>
              <w:t>I</w:t>
            </w:r>
            <w:r w:rsidRPr="00DC6FCA">
              <w:rPr>
                <w:rFonts w:asciiTheme="minorHAnsi" w:eastAsia="Times New Roman" w:hAnsiTheme="minorHAnsi"/>
                <w:iCs/>
                <w:szCs w:val="17"/>
                <w:lang w:eastAsia="en-US"/>
              </w:rPr>
              <w:t xml:space="preserve">NJ201 </w:t>
            </w:r>
          </w:p>
        </w:tc>
        <w:tc>
          <w:tcPr>
            <w:tcW w:w="2419" w:type="dxa"/>
          </w:tcPr>
          <w:p w:rsidR="00C25AD7" w:rsidRPr="00DC6FCA" w:rsidRDefault="00C25AD7" w:rsidP="002F4ABA">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March 2018</w:t>
            </w:r>
          </w:p>
        </w:tc>
        <w:tc>
          <w:tcPr>
            <w:tcW w:w="2188" w:type="dxa"/>
          </w:tcPr>
          <w:p w:rsidR="00C25AD7" w:rsidRPr="00DC6FCA" w:rsidRDefault="00C25AD7" w:rsidP="002F4ABA">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April 2018</w:t>
            </w:r>
          </w:p>
        </w:tc>
        <w:tc>
          <w:tcPr>
            <w:tcW w:w="2306" w:type="dxa"/>
          </w:tcPr>
          <w:p w:rsidR="00C25AD7" w:rsidRPr="00DC6FCA" w:rsidRDefault="00C25AD7" w:rsidP="002F4ABA">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Progress, implementation and inform future.</w:t>
            </w:r>
          </w:p>
        </w:tc>
        <w:tc>
          <w:tcPr>
            <w:tcW w:w="2316" w:type="dxa"/>
          </w:tcPr>
          <w:p w:rsidR="00C25AD7" w:rsidRPr="00DC6FCA" w:rsidRDefault="00C25AD7" w:rsidP="002F4ABA">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Independent Review</w:t>
            </w:r>
          </w:p>
        </w:tc>
      </w:tr>
    </w:tbl>
    <w:p w:rsidR="00C25AD7" w:rsidRDefault="00C25AD7" w:rsidP="00C25AD7">
      <w:pPr>
        <w:keepNext/>
        <w:tabs>
          <w:tab w:val="left" w:pos="1560"/>
        </w:tabs>
        <w:spacing w:before="360" w:after="120"/>
        <w:outlineLvl w:val="1"/>
        <w:rPr>
          <w:rFonts w:eastAsiaTheme="majorEastAsia" w:cstheme="majorBidi"/>
          <w:bCs/>
          <w:iCs/>
          <w:caps/>
          <w:spacing w:val="-10"/>
          <w:kern w:val="28"/>
          <w:sz w:val="38"/>
          <w:szCs w:val="24"/>
        </w:rPr>
        <w:sectPr w:rsidR="00C25AD7" w:rsidSect="002F4ABA">
          <w:headerReference w:type="default" r:id="rId29"/>
          <w:footnotePr>
            <w:numRestart w:val="eachPage"/>
          </w:footnotePr>
          <w:pgSz w:w="16838" w:h="11906" w:orient="landscape" w:code="9"/>
          <w:pgMar w:top="851" w:right="1814" w:bottom="851" w:left="851" w:header="709" w:footer="230" w:gutter="0"/>
          <w:cols w:space="708"/>
          <w:titlePg/>
          <w:docGrid w:linePitch="360"/>
        </w:sectPr>
      </w:pPr>
    </w:p>
    <w:p w:rsidR="00C25AD7" w:rsidRPr="00784031" w:rsidRDefault="00C25AD7" w:rsidP="00C25AD7">
      <w:pPr>
        <w:keepNext/>
        <w:tabs>
          <w:tab w:val="left" w:pos="1560"/>
        </w:tabs>
        <w:spacing w:before="360" w:after="120"/>
        <w:outlineLvl w:val="1"/>
        <w:rPr>
          <w:rFonts w:eastAsiaTheme="majorEastAsia" w:cstheme="majorBidi"/>
          <w:bCs/>
          <w:iCs/>
          <w:caps/>
          <w:spacing w:val="-10"/>
          <w:kern w:val="28"/>
          <w:sz w:val="38"/>
          <w:szCs w:val="24"/>
        </w:rPr>
      </w:pPr>
      <w:r w:rsidRPr="00784031">
        <w:rPr>
          <w:rFonts w:eastAsiaTheme="majorEastAsia" w:cstheme="majorBidi"/>
          <w:bCs/>
          <w:iCs/>
          <w:caps/>
          <w:spacing w:val="-10"/>
          <w:kern w:val="28"/>
          <w:sz w:val="38"/>
          <w:szCs w:val="24"/>
        </w:rPr>
        <w:lastRenderedPageBreak/>
        <w:t>Annex D - Aid Quality Check ratings</w:t>
      </w:r>
    </w:p>
    <w:p w:rsidR="00C25AD7" w:rsidRDefault="00C25AD7" w:rsidP="00C25AD7">
      <w:pPr>
        <w:keepNext/>
        <w:numPr>
          <w:ilvl w:val="2"/>
          <w:numId w:val="0"/>
        </w:numPr>
        <w:spacing w:before="240" w:after="120"/>
        <w:outlineLvl w:val="2"/>
        <w:rPr>
          <w:rFonts w:asciiTheme="majorHAnsi" w:eastAsiaTheme="majorEastAsia" w:hAnsiTheme="majorHAnsi" w:cstheme="majorBidi"/>
          <w:caps/>
          <w:sz w:val="38"/>
          <w:szCs w:val="26"/>
        </w:rPr>
      </w:pPr>
      <w:r w:rsidRPr="00784031">
        <w:rPr>
          <w:rFonts w:asciiTheme="majorHAnsi" w:eastAsiaTheme="majorEastAsia" w:hAnsiTheme="majorHAnsi" w:cstheme="majorBidi"/>
          <w:caps/>
          <w:sz w:val="38"/>
          <w:szCs w:val="26"/>
        </w:rPr>
        <w:t>AQC ratings</w:t>
      </w:r>
    </w:p>
    <w:tbl>
      <w:tblPr>
        <w:tblW w:w="13000" w:type="dxa"/>
        <w:jc w:val="center"/>
        <w:tblLook w:val="04A0" w:firstRow="1" w:lastRow="0" w:firstColumn="1" w:lastColumn="0" w:noHBand="0" w:noVBand="1"/>
      </w:tblPr>
      <w:tblGrid>
        <w:gridCol w:w="4520"/>
        <w:gridCol w:w="1760"/>
        <w:gridCol w:w="960"/>
        <w:gridCol w:w="960"/>
        <w:gridCol w:w="960"/>
        <w:gridCol w:w="960"/>
        <w:gridCol w:w="960"/>
        <w:gridCol w:w="960"/>
        <w:gridCol w:w="960"/>
      </w:tblGrid>
      <w:tr w:rsidR="002F4ABA" w:rsidRPr="002F4ABA" w:rsidTr="006349AF">
        <w:trPr>
          <w:trHeight w:val="1200"/>
          <w:jc w:val="center"/>
        </w:trPr>
        <w:tc>
          <w:tcPr>
            <w:tcW w:w="4520" w:type="dxa"/>
            <w:tcBorders>
              <w:top w:val="single" w:sz="12" w:space="0" w:color="000000"/>
              <w:left w:val="nil"/>
              <w:bottom w:val="single" w:sz="4" w:space="0" w:color="auto"/>
              <w:right w:val="nil"/>
            </w:tcBorders>
            <w:shd w:val="clear" w:color="auto" w:fill="auto"/>
            <w:vAlign w:val="center"/>
            <w:hideMark/>
          </w:tcPr>
          <w:p w:rsidR="002F4ABA" w:rsidRPr="002F4ABA" w:rsidRDefault="002F4ABA" w:rsidP="002F4ABA">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2F4ABA">
              <w:rPr>
                <w:rFonts w:ascii="Calibri Light" w:eastAsia="Times New Roman" w:hAnsi="Calibri Light" w:cs="Times New Roman"/>
                <w:b/>
                <w:bCs/>
                <w:iCs/>
                <w:noProof/>
                <w:color w:val="495965"/>
                <w:sz w:val="17"/>
                <w:szCs w:val="17"/>
                <w:lang w:val="en-AU" w:eastAsia="en-AU"/>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4619625" cy="228600"/>
                  <wp:effectExtent l="0" t="0" r="0" b="0"/>
                  <wp:wrapNone/>
                  <wp:docPr id="31" name="Picture 31" hidden="1"/>
                  <wp:cNvGraphicFramePr/>
                  <a:graphic xmlns:a="http://schemas.openxmlformats.org/drawingml/2006/main">
                    <a:graphicData uri="http://schemas.openxmlformats.org/drawingml/2006/picture">
                      <pic:pic xmlns:pic="http://schemas.openxmlformats.org/drawingml/2006/picture">
                        <pic:nvPicPr>
                          <pic:cNvPr id="3" name="Picture 6" hidden="1"/>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2F4ABA">
              <w:rPr>
                <w:rFonts w:ascii="Calibri Light" w:eastAsia="Times New Roman" w:hAnsi="Calibri Light" w:cs="Times New Roman"/>
                <w:b/>
                <w:bCs/>
                <w:iCs/>
                <w:color w:val="495965"/>
                <w:sz w:val="17"/>
                <w:szCs w:val="17"/>
                <w:lang w:eastAsia="en-AU"/>
              </w:rPr>
              <w:t>Investment name</w:t>
            </w:r>
          </w:p>
        </w:tc>
        <w:tc>
          <w:tcPr>
            <w:tcW w:w="1760" w:type="dxa"/>
            <w:tcBorders>
              <w:top w:val="single" w:sz="12" w:space="0" w:color="000000"/>
              <w:left w:val="nil"/>
              <w:bottom w:val="single" w:sz="4" w:space="0" w:color="auto"/>
              <w:right w:val="nil"/>
            </w:tcBorders>
            <w:shd w:val="clear" w:color="auto" w:fill="auto"/>
            <w:vAlign w:val="center"/>
            <w:hideMark/>
          </w:tcPr>
          <w:p w:rsidR="002F4ABA" w:rsidRPr="002F4ABA" w:rsidRDefault="002F4ABA" w:rsidP="002F4ABA">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2F4ABA">
              <w:rPr>
                <w:rFonts w:ascii="Calibri Light" w:eastAsia="Times New Roman" w:hAnsi="Calibri Light" w:cs="Times New Roman"/>
                <w:b/>
                <w:bCs/>
                <w:iCs/>
                <w:color w:val="495965"/>
                <w:sz w:val="17"/>
                <w:szCs w:val="17"/>
                <w:lang w:eastAsia="en-AU"/>
              </w:rPr>
              <w:t>Approved budget and duration</w:t>
            </w:r>
          </w:p>
        </w:tc>
        <w:tc>
          <w:tcPr>
            <w:tcW w:w="960" w:type="dxa"/>
            <w:tcBorders>
              <w:top w:val="single" w:sz="12" w:space="0" w:color="000000"/>
              <w:left w:val="nil"/>
              <w:bottom w:val="single" w:sz="4" w:space="0" w:color="auto"/>
              <w:right w:val="nil"/>
            </w:tcBorders>
            <w:shd w:val="clear" w:color="auto" w:fill="auto"/>
            <w:vAlign w:val="center"/>
            <w:hideMark/>
          </w:tcPr>
          <w:p w:rsidR="002F4ABA" w:rsidRPr="002F4ABA" w:rsidRDefault="002F4ABA" w:rsidP="002F4ABA">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2F4ABA">
              <w:rPr>
                <w:rFonts w:ascii="Calibri Light" w:eastAsia="Times New Roman" w:hAnsi="Calibri Light" w:cs="Times New Roman"/>
                <w:b/>
                <w:bCs/>
                <w:iCs/>
                <w:color w:val="495965"/>
                <w:sz w:val="17"/>
                <w:szCs w:val="17"/>
                <w:lang w:eastAsia="en-AU"/>
              </w:rPr>
              <w:t>year on year</w:t>
            </w:r>
          </w:p>
        </w:tc>
        <w:tc>
          <w:tcPr>
            <w:tcW w:w="960" w:type="dxa"/>
            <w:tcBorders>
              <w:top w:val="single" w:sz="12" w:space="0" w:color="000000"/>
              <w:left w:val="nil"/>
              <w:bottom w:val="single" w:sz="4" w:space="0" w:color="auto"/>
              <w:right w:val="nil"/>
            </w:tcBorders>
            <w:shd w:val="clear" w:color="auto" w:fill="auto"/>
            <w:textDirection w:val="btLr"/>
            <w:vAlign w:val="center"/>
            <w:hideMark/>
          </w:tcPr>
          <w:p w:rsidR="002F4ABA" w:rsidRPr="002F4ABA" w:rsidRDefault="002F4ABA" w:rsidP="002F4ABA">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2F4ABA">
              <w:rPr>
                <w:rFonts w:ascii="Calibri Light" w:eastAsia="Times New Roman" w:hAnsi="Calibri Light" w:cs="Times New Roman"/>
                <w:b/>
                <w:bCs/>
                <w:iCs/>
                <w:color w:val="495965"/>
                <w:sz w:val="17"/>
                <w:szCs w:val="17"/>
                <w:lang w:eastAsia="en-AU"/>
              </w:rPr>
              <w:t>Relevance</w:t>
            </w:r>
          </w:p>
        </w:tc>
        <w:tc>
          <w:tcPr>
            <w:tcW w:w="960" w:type="dxa"/>
            <w:tcBorders>
              <w:top w:val="single" w:sz="12" w:space="0" w:color="000000"/>
              <w:left w:val="nil"/>
              <w:bottom w:val="single" w:sz="4" w:space="0" w:color="auto"/>
              <w:right w:val="nil"/>
            </w:tcBorders>
            <w:shd w:val="clear" w:color="auto" w:fill="auto"/>
            <w:textDirection w:val="btLr"/>
            <w:vAlign w:val="center"/>
            <w:hideMark/>
          </w:tcPr>
          <w:p w:rsidR="002F4ABA" w:rsidRPr="002F4ABA" w:rsidRDefault="002F4ABA" w:rsidP="002F4ABA">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2F4ABA">
              <w:rPr>
                <w:rFonts w:ascii="Calibri Light" w:eastAsia="Times New Roman" w:hAnsi="Calibri Light" w:cs="Times New Roman"/>
                <w:b/>
                <w:bCs/>
                <w:iCs/>
                <w:color w:val="495965"/>
                <w:sz w:val="17"/>
                <w:szCs w:val="17"/>
                <w:lang w:eastAsia="en-AU"/>
              </w:rPr>
              <w:t>Effectiveness</w:t>
            </w:r>
          </w:p>
        </w:tc>
        <w:tc>
          <w:tcPr>
            <w:tcW w:w="960" w:type="dxa"/>
            <w:tcBorders>
              <w:top w:val="single" w:sz="12" w:space="0" w:color="000000"/>
              <w:left w:val="nil"/>
              <w:bottom w:val="single" w:sz="4" w:space="0" w:color="auto"/>
              <w:right w:val="nil"/>
            </w:tcBorders>
            <w:shd w:val="clear" w:color="auto" w:fill="auto"/>
            <w:textDirection w:val="btLr"/>
            <w:vAlign w:val="center"/>
            <w:hideMark/>
          </w:tcPr>
          <w:p w:rsidR="002F4ABA" w:rsidRPr="002F4ABA" w:rsidRDefault="002F4ABA" w:rsidP="002F4ABA">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2F4ABA">
              <w:rPr>
                <w:rFonts w:ascii="Calibri Light" w:eastAsia="Times New Roman" w:hAnsi="Calibri Light" w:cs="Times New Roman"/>
                <w:b/>
                <w:bCs/>
                <w:iCs/>
                <w:color w:val="495965"/>
                <w:sz w:val="17"/>
                <w:szCs w:val="17"/>
                <w:lang w:eastAsia="en-AU"/>
              </w:rPr>
              <w:t>Efficiency</w:t>
            </w:r>
          </w:p>
        </w:tc>
        <w:tc>
          <w:tcPr>
            <w:tcW w:w="960" w:type="dxa"/>
            <w:tcBorders>
              <w:top w:val="single" w:sz="12" w:space="0" w:color="000000"/>
              <w:left w:val="nil"/>
              <w:bottom w:val="single" w:sz="4" w:space="0" w:color="auto"/>
              <w:right w:val="nil"/>
            </w:tcBorders>
            <w:shd w:val="clear" w:color="auto" w:fill="auto"/>
            <w:textDirection w:val="btLr"/>
            <w:vAlign w:val="center"/>
            <w:hideMark/>
          </w:tcPr>
          <w:p w:rsidR="002F4ABA" w:rsidRPr="002F4ABA" w:rsidRDefault="002F4ABA" w:rsidP="002F4ABA">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2F4ABA">
              <w:rPr>
                <w:rFonts w:ascii="Calibri Light" w:eastAsia="Times New Roman" w:hAnsi="Calibri Light" w:cs="Times New Roman"/>
                <w:b/>
                <w:bCs/>
                <w:iCs/>
                <w:color w:val="495965"/>
                <w:sz w:val="17"/>
                <w:szCs w:val="17"/>
                <w:lang w:eastAsia="en-AU"/>
              </w:rPr>
              <w:t>Monitoring and Evaluation</w:t>
            </w:r>
          </w:p>
        </w:tc>
        <w:tc>
          <w:tcPr>
            <w:tcW w:w="960" w:type="dxa"/>
            <w:tcBorders>
              <w:top w:val="single" w:sz="12" w:space="0" w:color="000000"/>
              <w:left w:val="nil"/>
              <w:bottom w:val="single" w:sz="4" w:space="0" w:color="auto"/>
              <w:right w:val="nil"/>
            </w:tcBorders>
            <w:shd w:val="clear" w:color="auto" w:fill="auto"/>
            <w:textDirection w:val="btLr"/>
            <w:vAlign w:val="center"/>
            <w:hideMark/>
          </w:tcPr>
          <w:p w:rsidR="002F4ABA" w:rsidRPr="002F4ABA" w:rsidRDefault="002F4ABA" w:rsidP="002F4ABA">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2F4ABA">
              <w:rPr>
                <w:rFonts w:ascii="Calibri Light" w:eastAsia="Times New Roman" w:hAnsi="Calibri Light" w:cs="Times New Roman"/>
                <w:b/>
                <w:bCs/>
                <w:iCs/>
                <w:color w:val="495965"/>
                <w:sz w:val="17"/>
                <w:szCs w:val="17"/>
                <w:lang w:eastAsia="en-AU"/>
              </w:rPr>
              <w:t>Sustainability</w:t>
            </w:r>
          </w:p>
        </w:tc>
        <w:tc>
          <w:tcPr>
            <w:tcW w:w="960" w:type="dxa"/>
            <w:tcBorders>
              <w:top w:val="single" w:sz="12" w:space="0" w:color="000000"/>
              <w:left w:val="nil"/>
              <w:bottom w:val="single" w:sz="4" w:space="0" w:color="auto"/>
              <w:right w:val="nil"/>
            </w:tcBorders>
            <w:shd w:val="clear" w:color="auto" w:fill="auto"/>
            <w:textDirection w:val="btLr"/>
            <w:vAlign w:val="center"/>
            <w:hideMark/>
          </w:tcPr>
          <w:p w:rsidR="002F4ABA" w:rsidRPr="002F4ABA" w:rsidRDefault="002F4ABA" w:rsidP="002F4ABA">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2F4ABA">
              <w:rPr>
                <w:rFonts w:ascii="Calibri Light" w:eastAsia="Times New Roman" w:hAnsi="Calibri Light" w:cs="Times New Roman"/>
                <w:b/>
                <w:bCs/>
                <w:iCs/>
                <w:color w:val="495965"/>
                <w:sz w:val="17"/>
                <w:szCs w:val="17"/>
                <w:lang w:eastAsia="en-AU"/>
              </w:rPr>
              <w:t>Gender equality</w:t>
            </w:r>
          </w:p>
        </w:tc>
      </w:tr>
      <w:tr w:rsidR="002F4ABA" w:rsidRPr="002F4ABA" w:rsidTr="006349AF">
        <w:trPr>
          <w:trHeight w:val="300"/>
          <w:jc w:val="center"/>
        </w:trPr>
        <w:tc>
          <w:tcPr>
            <w:tcW w:w="452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State Society and Governance Melanesia</w:t>
            </w:r>
          </w:p>
        </w:tc>
        <w:tc>
          <w:tcPr>
            <w:tcW w:w="176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$32m </w:t>
            </w:r>
          </w:p>
        </w:tc>
        <w:tc>
          <w:tcPr>
            <w:tcW w:w="96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2017 AQC</w:t>
            </w:r>
          </w:p>
        </w:tc>
        <w:tc>
          <w:tcPr>
            <w:tcW w:w="960" w:type="dxa"/>
            <w:tcBorders>
              <w:top w:val="nil"/>
              <w:left w:val="nil"/>
              <w:bottom w:val="single" w:sz="4" w:space="0" w:color="FFFFFF"/>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6</w:t>
            </w:r>
          </w:p>
        </w:tc>
        <w:tc>
          <w:tcPr>
            <w:tcW w:w="960" w:type="dxa"/>
            <w:tcBorders>
              <w:top w:val="nil"/>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FF00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2</w:t>
            </w:r>
          </w:p>
        </w:tc>
        <w:tc>
          <w:tcPr>
            <w:tcW w:w="960" w:type="dxa"/>
            <w:tcBorders>
              <w:top w:val="nil"/>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r>
      <w:tr w:rsidR="002F4ABA" w:rsidRPr="002F4ABA" w:rsidTr="006349AF">
        <w:trPr>
          <w:trHeight w:val="315"/>
          <w:jc w:val="center"/>
        </w:trPr>
        <w:tc>
          <w:tcPr>
            <w:tcW w:w="452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 </w:t>
            </w:r>
          </w:p>
        </w:tc>
        <w:tc>
          <w:tcPr>
            <w:tcW w:w="176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1995-2017 </w:t>
            </w:r>
          </w:p>
        </w:tc>
        <w:tc>
          <w:tcPr>
            <w:tcW w:w="96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2016 AQC</w:t>
            </w:r>
          </w:p>
        </w:tc>
        <w:tc>
          <w:tcPr>
            <w:tcW w:w="960" w:type="dxa"/>
            <w:tcBorders>
              <w:top w:val="nil"/>
              <w:left w:val="nil"/>
              <w:bottom w:val="single" w:sz="8" w:space="0" w:color="auto"/>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8" w:space="0" w:color="auto"/>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8" w:space="0" w:color="auto"/>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3</w:t>
            </w:r>
          </w:p>
        </w:tc>
        <w:tc>
          <w:tcPr>
            <w:tcW w:w="960" w:type="dxa"/>
            <w:tcBorders>
              <w:top w:val="nil"/>
              <w:left w:val="nil"/>
              <w:bottom w:val="single" w:sz="8" w:space="0" w:color="auto"/>
              <w:right w:val="nil"/>
            </w:tcBorders>
            <w:shd w:val="clear" w:color="000000" w:fill="FFC0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3</w:t>
            </w:r>
          </w:p>
        </w:tc>
        <w:tc>
          <w:tcPr>
            <w:tcW w:w="960" w:type="dxa"/>
            <w:tcBorders>
              <w:top w:val="nil"/>
              <w:left w:val="nil"/>
              <w:bottom w:val="single" w:sz="8" w:space="0" w:color="auto"/>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8" w:space="0" w:color="auto"/>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r>
      <w:tr w:rsidR="002F4ABA" w:rsidRPr="002F4ABA" w:rsidTr="006349AF">
        <w:trPr>
          <w:trHeight w:val="300"/>
          <w:jc w:val="center"/>
        </w:trPr>
        <w:tc>
          <w:tcPr>
            <w:tcW w:w="452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UNDP Pacific Sub Regional Centre</w:t>
            </w:r>
          </w:p>
        </w:tc>
        <w:tc>
          <w:tcPr>
            <w:tcW w:w="176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$30m </w:t>
            </w:r>
          </w:p>
        </w:tc>
        <w:tc>
          <w:tcPr>
            <w:tcW w:w="96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2017 AQC</w:t>
            </w:r>
          </w:p>
        </w:tc>
        <w:tc>
          <w:tcPr>
            <w:tcW w:w="960" w:type="dxa"/>
            <w:tcBorders>
              <w:top w:val="nil"/>
              <w:left w:val="nil"/>
              <w:bottom w:val="single" w:sz="4" w:space="0" w:color="FFFFFF"/>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r>
      <w:tr w:rsidR="002F4ABA" w:rsidRPr="002F4ABA" w:rsidTr="006349AF">
        <w:trPr>
          <w:trHeight w:val="315"/>
          <w:jc w:val="center"/>
        </w:trPr>
        <w:tc>
          <w:tcPr>
            <w:tcW w:w="452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 </w:t>
            </w:r>
          </w:p>
        </w:tc>
        <w:tc>
          <w:tcPr>
            <w:tcW w:w="176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2006-18 </w:t>
            </w:r>
          </w:p>
        </w:tc>
        <w:tc>
          <w:tcPr>
            <w:tcW w:w="96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2016 AQC</w:t>
            </w:r>
          </w:p>
        </w:tc>
        <w:tc>
          <w:tcPr>
            <w:tcW w:w="960" w:type="dxa"/>
            <w:tcBorders>
              <w:top w:val="nil"/>
              <w:left w:val="nil"/>
              <w:bottom w:val="single" w:sz="8" w:space="0" w:color="auto"/>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8" w:space="0" w:color="auto"/>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8" w:space="0" w:color="auto"/>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8" w:space="0" w:color="auto"/>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8" w:space="0" w:color="auto"/>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r>
      <w:tr w:rsidR="002F4ABA" w:rsidRPr="002F4ABA" w:rsidTr="006349AF">
        <w:trPr>
          <w:trHeight w:val="300"/>
          <w:jc w:val="center"/>
        </w:trPr>
        <w:tc>
          <w:tcPr>
            <w:tcW w:w="452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 xml:space="preserve">Regional Rights Resource Team (RRRT) </w:t>
            </w:r>
          </w:p>
        </w:tc>
        <w:tc>
          <w:tcPr>
            <w:tcW w:w="176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$12m </w:t>
            </w:r>
          </w:p>
        </w:tc>
        <w:tc>
          <w:tcPr>
            <w:tcW w:w="96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2017 AQC</w:t>
            </w:r>
          </w:p>
        </w:tc>
        <w:tc>
          <w:tcPr>
            <w:tcW w:w="960" w:type="dxa"/>
            <w:tcBorders>
              <w:top w:val="nil"/>
              <w:left w:val="nil"/>
              <w:bottom w:val="single" w:sz="4" w:space="0" w:color="FFFFFF"/>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r>
      <w:tr w:rsidR="002F4ABA" w:rsidRPr="002F4ABA" w:rsidTr="006349AF">
        <w:trPr>
          <w:trHeight w:val="315"/>
          <w:jc w:val="center"/>
        </w:trPr>
        <w:tc>
          <w:tcPr>
            <w:tcW w:w="452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 </w:t>
            </w:r>
          </w:p>
        </w:tc>
        <w:tc>
          <w:tcPr>
            <w:tcW w:w="176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2006-17 </w:t>
            </w:r>
          </w:p>
        </w:tc>
        <w:tc>
          <w:tcPr>
            <w:tcW w:w="96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2016 AQC</w:t>
            </w:r>
          </w:p>
        </w:tc>
        <w:tc>
          <w:tcPr>
            <w:tcW w:w="960" w:type="dxa"/>
            <w:tcBorders>
              <w:top w:val="nil"/>
              <w:left w:val="nil"/>
              <w:bottom w:val="single" w:sz="8" w:space="0" w:color="auto"/>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8" w:space="0" w:color="auto"/>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8" w:space="0" w:color="auto"/>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8" w:space="0" w:color="auto"/>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r>
      <w:tr w:rsidR="002F4ABA" w:rsidRPr="002F4ABA" w:rsidTr="006349AF">
        <w:trPr>
          <w:trHeight w:val="300"/>
          <w:jc w:val="center"/>
        </w:trPr>
        <w:tc>
          <w:tcPr>
            <w:tcW w:w="452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PACER Plus Support</w:t>
            </w:r>
          </w:p>
        </w:tc>
        <w:tc>
          <w:tcPr>
            <w:tcW w:w="176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$12m </w:t>
            </w:r>
          </w:p>
        </w:tc>
        <w:tc>
          <w:tcPr>
            <w:tcW w:w="96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2017 AQC</w:t>
            </w:r>
          </w:p>
        </w:tc>
        <w:tc>
          <w:tcPr>
            <w:tcW w:w="960" w:type="dxa"/>
            <w:tcBorders>
              <w:top w:val="nil"/>
              <w:left w:val="nil"/>
              <w:bottom w:val="single" w:sz="4" w:space="0" w:color="FFFFFF"/>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FFC0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3</w:t>
            </w:r>
          </w:p>
        </w:tc>
        <w:tc>
          <w:tcPr>
            <w:tcW w:w="960" w:type="dxa"/>
            <w:tcBorders>
              <w:top w:val="nil"/>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FFC0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3</w:t>
            </w:r>
          </w:p>
        </w:tc>
      </w:tr>
      <w:tr w:rsidR="002F4ABA" w:rsidRPr="002F4ABA" w:rsidTr="006349AF">
        <w:trPr>
          <w:trHeight w:val="315"/>
          <w:jc w:val="center"/>
        </w:trPr>
        <w:tc>
          <w:tcPr>
            <w:tcW w:w="452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 </w:t>
            </w:r>
          </w:p>
        </w:tc>
        <w:tc>
          <w:tcPr>
            <w:tcW w:w="176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2007-18 </w:t>
            </w:r>
          </w:p>
        </w:tc>
        <w:tc>
          <w:tcPr>
            <w:tcW w:w="96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2016 AQC</w:t>
            </w:r>
          </w:p>
        </w:tc>
        <w:tc>
          <w:tcPr>
            <w:tcW w:w="960" w:type="dxa"/>
            <w:tcBorders>
              <w:top w:val="nil"/>
              <w:left w:val="nil"/>
              <w:bottom w:val="single" w:sz="8" w:space="0" w:color="auto"/>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6</w:t>
            </w:r>
          </w:p>
        </w:tc>
        <w:tc>
          <w:tcPr>
            <w:tcW w:w="960" w:type="dxa"/>
            <w:tcBorders>
              <w:top w:val="nil"/>
              <w:left w:val="nil"/>
              <w:bottom w:val="single" w:sz="8" w:space="0" w:color="auto"/>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r>
      <w:tr w:rsidR="002F4ABA" w:rsidRPr="002F4ABA" w:rsidTr="006349AF">
        <w:trPr>
          <w:trHeight w:val="300"/>
          <w:jc w:val="center"/>
        </w:trPr>
        <w:tc>
          <w:tcPr>
            <w:tcW w:w="452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Pacific Regional Agricultural Market Access</w:t>
            </w:r>
          </w:p>
        </w:tc>
        <w:tc>
          <w:tcPr>
            <w:tcW w:w="176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$41m </w:t>
            </w:r>
          </w:p>
        </w:tc>
        <w:tc>
          <w:tcPr>
            <w:tcW w:w="96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2017 AQC</w:t>
            </w:r>
          </w:p>
        </w:tc>
        <w:tc>
          <w:tcPr>
            <w:tcW w:w="960" w:type="dxa"/>
            <w:tcBorders>
              <w:top w:val="nil"/>
              <w:left w:val="nil"/>
              <w:bottom w:val="single" w:sz="4" w:space="0" w:color="FFFFFF"/>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6</w:t>
            </w:r>
          </w:p>
        </w:tc>
        <w:tc>
          <w:tcPr>
            <w:tcW w:w="960" w:type="dxa"/>
            <w:tcBorders>
              <w:top w:val="nil"/>
              <w:left w:val="nil"/>
              <w:bottom w:val="single" w:sz="4" w:space="0" w:color="FFFFFF"/>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r>
      <w:tr w:rsidR="002F4ABA" w:rsidRPr="002F4ABA" w:rsidTr="006349AF">
        <w:trPr>
          <w:trHeight w:val="315"/>
          <w:jc w:val="center"/>
        </w:trPr>
        <w:tc>
          <w:tcPr>
            <w:tcW w:w="452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 </w:t>
            </w:r>
          </w:p>
        </w:tc>
        <w:tc>
          <w:tcPr>
            <w:tcW w:w="176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2009-17 </w:t>
            </w:r>
          </w:p>
        </w:tc>
        <w:tc>
          <w:tcPr>
            <w:tcW w:w="96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2016 AQC</w:t>
            </w:r>
          </w:p>
        </w:tc>
        <w:tc>
          <w:tcPr>
            <w:tcW w:w="960" w:type="dxa"/>
            <w:tcBorders>
              <w:top w:val="nil"/>
              <w:left w:val="nil"/>
              <w:bottom w:val="single" w:sz="8" w:space="0" w:color="auto"/>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6</w:t>
            </w:r>
          </w:p>
        </w:tc>
        <w:tc>
          <w:tcPr>
            <w:tcW w:w="960" w:type="dxa"/>
            <w:tcBorders>
              <w:top w:val="nil"/>
              <w:left w:val="nil"/>
              <w:bottom w:val="single" w:sz="8" w:space="0" w:color="auto"/>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8" w:space="0" w:color="auto"/>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8" w:space="0" w:color="auto"/>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r>
      <w:tr w:rsidR="002F4ABA" w:rsidRPr="002F4ABA" w:rsidTr="006349AF">
        <w:trPr>
          <w:trHeight w:val="300"/>
          <w:jc w:val="center"/>
        </w:trPr>
        <w:tc>
          <w:tcPr>
            <w:tcW w:w="452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UNDP Pacific Financial Inclusion Programme</w:t>
            </w:r>
          </w:p>
        </w:tc>
        <w:tc>
          <w:tcPr>
            <w:tcW w:w="176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$19m </w:t>
            </w:r>
          </w:p>
        </w:tc>
        <w:tc>
          <w:tcPr>
            <w:tcW w:w="96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2017 AQC</w:t>
            </w:r>
          </w:p>
        </w:tc>
        <w:tc>
          <w:tcPr>
            <w:tcW w:w="960" w:type="dxa"/>
            <w:tcBorders>
              <w:top w:val="nil"/>
              <w:left w:val="nil"/>
              <w:bottom w:val="single" w:sz="4" w:space="0" w:color="FFFFFF"/>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6</w:t>
            </w:r>
          </w:p>
        </w:tc>
        <w:tc>
          <w:tcPr>
            <w:tcW w:w="960" w:type="dxa"/>
            <w:tcBorders>
              <w:top w:val="nil"/>
              <w:left w:val="nil"/>
              <w:bottom w:val="single" w:sz="4" w:space="0" w:color="FFFFFF"/>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4" w:space="0" w:color="FFFFFF"/>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4" w:space="0" w:color="FFFFFF"/>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4" w:space="0" w:color="FFFFFF"/>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r>
      <w:tr w:rsidR="002F4ABA" w:rsidRPr="002F4ABA" w:rsidTr="006349AF">
        <w:trPr>
          <w:trHeight w:val="315"/>
          <w:jc w:val="center"/>
        </w:trPr>
        <w:tc>
          <w:tcPr>
            <w:tcW w:w="452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 </w:t>
            </w:r>
          </w:p>
        </w:tc>
        <w:tc>
          <w:tcPr>
            <w:tcW w:w="176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2009-17 </w:t>
            </w:r>
          </w:p>
        </w:tc>
        <w:tc>
          <w:tcPr>
            <w:tcW w:w="96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2016 AQC</w:t>
            </w:r>
          </w:p>
        </w:tc>
        <w:tc>
          <w:tcPr>
            <w:tcW w:w="960" w:type="dxa"/>
            <w:tcBorders>
              <w:top w:val="nil"/>
              <w:left w:val="nil"/>
              <w:bottom w:val="single" w:sz="8" w:space="0" w:color="auto"/>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6</w:t>
            </w:r>
          </w:p>
        </w:tc>
        <w:tc>
          <w:tcPr>
            <w:tcW w:w="960" w:type="dxa"/>
            <w:tcBorders>
              <w:top w:val="nil"/>
              <w:left w:val="nil"/>
              <w:bottom w:val="single" w:sz="8" w:space="0" w:color="auto"/>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r>
      <w:tr w:rsidR="002F4ABA" w:rsidRPr="002F4ABA" w:rsidTr="006349AF">
        <w:trPr>
          <w:trHeight w:val="300"/>
          <w:jc w:val="center"/>
        </w:trPr>
        <w:tc>
          <w:tcPr>
            <w:tcW w:w="452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University of the South Pacific Partnership</w:t>
            </w:r>
          </w:p>
        </w:tc>
        <w:tc>
          <w:tcPr>
            <w:tcW w:w="176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$81m </w:t>
            </w:r>
          </w:p>
        </w:tc>
        <w:tc>
          <w:tcPr>
            <w:tcW w:w="96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2017 AQC</w:t>
            </w:r>
          </w:p>
        </w:tc>
        <w:tc>
          <w:tcPr>
            <w:tcW w:w="960" w:type="dxa"/>
            <w:tcBorders>
              <w:top w:val="nil"/>
              <w:left w:val="nil"/>
              <w:bottom w:val="single" w:sz="4" w:space="0" w:color="FFFFFF"/>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FFC0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3</w:t>
            </w:r>
          </w:p>
        </w:tc>
        <w:tc>
          <w:tcPr>
            <w:tcW w:w="960" w:type="dxa"/>
            <w:tcBorders>
              <w:top w:val="nil"/>
              <w:left w:val="nil"/>
              <w:bottom w:val="single" w:sz="4" w:space="0" w:color="FFFFFF"/>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r>
      <w:tr w:rsidR="002F4ABA" w:rsidRPr="002F4ABA" w:rsidTr="006349AF">
        <w:trPr>
          <w:trHeight w:val="315"/>
          <w:jc w:val="center"/>
        </w:trPr>
        <w:tc>
          <w:tcPr>
            <w:tcW w:w="452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 </w:t>
            </w:r>
          </w:p>
        </w:tc>
        <w:tc>
          <w:tcPr>
            <w:tcW w:w="176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2010-19 </w:t>
            </w:r>
          </w:p>
        </w:tc>
        <w:tc>
          <w:tcPr>
            <w:tcW w:w="96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2015 AQC</w:t>
            </w:r>
          </w:p>
        </w:tc>
        <w:tc>
          <w:tcPr>
            <w:tcW w:w="960" w:type="dxa"/>
            <w:tcBorders>
              <w:top w:val="nil"/>
              <w:left w:val="nil"/>
              <w:bottom w:val="single" w:sz="8" w:space="0" w:color="auto"/>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r>
      <w:tr w:rsidR="002F4ABA" w:rsidRPr="002F4ABA" w:rsidTr="006349AF">
        <w:trPr>
          <w:trHeight w:val="300"/>
          <w:jc w:val="center"/>
        </w:trPr>
        <w:tc>
          <w:tcPr>
            <w:tcW w:w="452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Fisheries Development Assistance in the Pacific</w:t>
            </w:r>
          </w:p>
        </w:tc>
        <w:tc>
          <w:tcPr>
            <w:tcW w:w="176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$68m </w:t>
            </w:r>
          </w:p>
        </w:tc>
        <w:tc>
          <w:tcPr>
            <w:tcW w:w="96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2017 AQC</w:t>
            </w:r>
          </w:p>
        </w:tc>
        <w:tc>
          <w:tcPr>
            <w:tcW w:w="960" w:type="dxa"/>
            <w:tcBorders>
              <w:top w:val="nil"/>
              <w:left w:val="nil"/>
              <w:bottom w:val="single" w:sz="4" w:space="0" w:color="FFFFFF"/>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r>
      <w:tr w:rsidR="002F4ABA" w:rsidRPr="002F4ABA" w:rsidTr="006349AF">
        <w:trPr>
          <w:trHeight w:val="315"/>
          <w:jc w:val="center"/>
        </w:trPr>
        <w:tc>
          <w:tcPr>
            <w:tcW w:w="452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 </w:t>
            </w:r>
          </w:p>
        </w:tc>
        <w:tc>
          <w:tcPr>
            <w:tcW w:w="176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2010-18 </w:t>
            </w:r>
          </w:p>
        </w:tc>
        <w:tc>
          <w:tcPr>
            <w:tcW w:w="96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2016 AQC</w:t>
            </w:r>
          </w:p>
        </w:tc>
        <w:tc>
          <w:tcPr>
            <w:tcW w:w="960" w:type="dxa"/>
            <w:tcBorders>
              <w:top w:val="nil"/>
              <w:left w:val="nil"/>
              <w:bottom w:val="single" w:sz="8" w:space="0" w:color="auto"/>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6</w:t>
            </w:r>
          </w:p>
        </w:tc>
        <w:tc>
          <w:tcPr>
            <w:tcW w:w="960" w:type="dxa"/>
            <w:tcBorders>
              <w:top w:val="nil"/>
              <w:left w:val="nil"/>
              <w:bottom w:val="single" w:sz="8" w:space="0" w:color="auto"/>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8" w:space="0" w:color="auto"/>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r>
      <w:tr w:rsidR="002F4ABA" w:rsidRPr="002F4ABA" w:rsidTr="006349AF">
        <w:trPr>
          <w:trHeight w:val="300"/>
          <w:jc w:val="center"/>
        </w:trPr>
        <w:tc>
          <w:tcPr>
            <w:tcW w:w="452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Scholarships French Collectivities ADS</w:t>
            </w:r>
          </w:p>
        </w:tc>
        <w:tc>
          <w:tcPr>
            <w:tcW w:w="176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$8m </w:t>
            </w:r>
          </w:p>
        </w:tc>
        <w:tc>
          <w:tcPr>
            <w:tcW w:w="96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2017 AQC</w:t>
            </w:r>
          </w:p>
        </w:tc>
        <w:tc>
          <w:tcPr>
            <w:tcW w:w="960" w:type="dxa"/>
            <w:tcBorders>
              <w:top w:val="nil"/>
              <w:left w:val="nil"/>
              <w:bottom w:val="nil"/>
              <w:right w:val="nil"/>
            </w:tcBorders>
            <w:shd w:val="clear" w:color="000000" w:fill="FFFFFF"/>
            <w:noWrap/>
            <w:vAlign w:val="center"/>
            <w:hideMark/>
          </w:tcPr>
          <w:p w:rsidR="002F4ABA" w:rsidRPr="002F4ABA" w:rsidRDefault="009F5BA4" w:rsidP="002F4ABA">
            <w:pPr>
              <w:suppressAutoHyphens w:val="0"/>
              <w:spacing w:before="0" w:after="0" w:line="240" w:lineRule="auto"/>
              <w:jc w:val="center"/>
              <w:rPr>
                <w:rFonts w:ascii="Arial" w:eastAsia="Times New Roman" w:hAnsi="Arial" w:cs="Arial"/>
                <w:color w:val="000000"/>
                <w:sz w:val="16"/>
                <w:szCs w:val="16"/>
                <w:lang w:val="en-AU" w:eastAsia="en-AU"/>
              </w:rPr>
            </w:pPr>
            <w:r>
              <w:rPr>
                <w:rFonts w:ascii="Arial" w:eastAsia="Times New Roman" w:hAnsi="Arial" w:cs="Arial"/>
                <w:color w:val="000000"/>
                <w:sz w:val="16"/>
                <w:szCs w:val="16"/>
                <w:lang w:eastAsia="en-AU"/>
              </w:rPr>
              <w:t>n/a</w:t>
            </w:r>
            <w:r w:rsidR="002F4ABA" w:rsidRPr="002F4ABA">
              <w:rPr>
                <w:rFonts w:ascii="Arial" w:eastAsia="Times New Roman" w:hAnsi="Arial" w:cs="Arial"/>
                <w:color w:val="000000"/>
                <w:sz w:val="16"/>
                <w:szCs w:val="16"/>
                <w:lang w:eastAsia="en-AU"/>
              </w:rPr>
              <w:t> </w:t>
            </w:r>
          </w:p>
        </w:tc>
        <w:tc>
          <w:tcPr>
            <w:tcW w:w="960" w:type="dxa"/>
            <w:tcBorders>
              <w:top w:val="nil"/>
              <w:left w:val="nil"/>
              <w:bottom w:val="nil"/>
              <w:right w:val="nil"/>
            </w:tcBorders>
            <w:shd w:val="clear" w:color="000000" w:fill="FFFFFF"/>
            <w:noWrap/>
            <w:vAlign w:val="center"/>
            <w:hideMark/>
          </w:tcPr>
          <w:p w:rsidR="002F4ABA" w:rsidRPr="002F4ABA" w:rsidRDefault="009F5BA4" w:rsidP="002F4ABA">
            <w:pPr>
              <w:suppressAutoHyphens w:val="0"/>
              <w:spacing w:before="0" w:after="0" w:line="240" w:lineRule="auto"/>
              <w:jc w:val="center"/>
              <w:rPr>
                <w:rFonts w:ascii="Arial" w:eastAsia="Times New Roman" w:hAnsi="Arial" w:cs="Arial"/>
                <w:color w:val="000000"/>
                <w:sz w:val="16"/>
                <w:szCs w:val="16"/>
                <w:lang w:val="en-AU" w:eastAsia="en-AU"/>
              </w:rPr>
            </w:pPr>
            <w:r>
              <w:rPr>
                <w:rFonts w:ascii="Arial" w:eastAsia="Times New Roman" w:hAnsi="Arial" w:cs="Arial"/>
                <w:color w:val="000000"/>
                <w:sz w:val="16"/>
                <w:szCs w:val="16"/>
                <w:lang w:eastAsia="en-AU"/>
              </w:rPr>
              <w:t>n/a</w:t>
            </w:r>
            <w:r w:rsidR="002F4ABA" w:rsidRPr="002F4ABA">
              <w:rPr>
                <w:rFonts w:ascii="Arial" w:eastAsia="Times New Roman" w:hAnsi="Arial" w:cs="Arial"/>
                <w:color w:val="000000"/>
                <w:sz w:val="16"/>
                <w:szCs w:val="16"/>
                <w:lang w:eastAsia="en-AU"/>
              </w:rPr>
              <w:t> </w:t>
            </w:r>
          </w:p>
        </w:tc>
        <w:tc>
          <w:tcPr>
            <w:tcW w:w="960" w:type="dxa"/>
            <w:tcBorders>
              <w:top w:val="nil"/>
              <w:left w:val="nil"/>
              <w:bottom w:val="nil"/>
              <w:right w:val="nil"/>
            </w:tcBorders>
            <w:shd w:val="clear" w:color="000000" w:fill="FFFFFF"/>
            <w:noWrap/>
            <w:vAlign w:val="center"/>
            <w:hideMark/>
          </w:tcPr>
          <w:p w:rsidR="002F4ABA" w:rsidRPr="002F4ABA" w:rsidRDefault="009F5BA4" w:rsidP="002F4ABA">
            <w:pPr>
              <w:suppressAutoHyphens w:val="0"/>
              <w:spacing w:before="0" w:after="0" w:line="240" w:lineRule="auto"/>
              <w:jc w:val="center"/>
              <w:rPr>
                <w:rFonts w:ascii="Arial" w:eastAsia="Times New Roman" w:hAnsi="Arial" w:cs="Arial"/>
                <w:color w:val="000000"/>
                <w:sz w:val="16"/>
                <w:szCs w:val="16"/>
                <w:lang w:val="en-AU" w:eastAsia="en-AU"/>
              </w:rPr>
            </w:pPr>
            <w:r>
              <w:rPr>
                <w:rFonts w:ascii="Arial" w:eastAsia="Times New Roman" w:hAnsi="Arial" w:cs="Arial"/>
                <w:color w:val="000000"/>
                <w:sz w:val="16"/>
                <w:szCs w:val="16"/>
                <w:lang w:eastAsia="en-AU"/>
              </w:rPr>
              <w:t>n/a</w:t>
            </w:r>
          </w:p>
        </w:tc>
        <w:tc>
          <w:tcPr>
            <w:tcW w:w="960" w:type="dxa"/>
            <w:tcBorders>
              <w:top w:val="nil"/>
              <w:left w:val="nil"/>
              <w:bottom w:val="nil"/>
              <w:right w:val="nil"/>
            </w:tcBorders>
            <w:shd w:val="clear" w:color="000000" w:fill="FFFFFF"/>
            <w:noWrap/>
            <w:vAlign w:val="center"/>
            <w:hideMark/>
          </w:tcPr>
          <w:p w:rsidR="002F4ABA" w:rsidRPr="002F4ABA" w:rsidRDefault="009F5BA4" w:rsidP="002F4ABA">
            <w:pPr>
              <w:suppressAutoHyphens w:val="0"/>
              <w:spacing w:before="0" w:after="0" w:line="240" w:lineRule="auto"/>
              <w:jc w:val="center"/>
              <w:rPr>
                <w:rFonts w:ascii="Arial" w:eastAsia="Times New Roman" w:hAnsi="Arial" w:cs="Arial"/>
                <w:color w:val="000000"/>
                <w:sz w:val="16"/>
                <w:szCs w:val="16"/>
                <w:lang w:val="en-AU" w:eastAsia="en-AU"/>
              </w:rPr>
            </w:pPr>
            <w:r>
              <w:rPr>
                <w:rFonts w:ascii="Arial" w:eastAsia="Times New Roman" w:hAnsi="Arial" w:cs="Arial"/>
                <w:color w:val="000000"/>
                <w:sz w:val="16"/>
                <w:szCs w:val="16"/>
                <w:lang w:eastAsia="en-AU"/>
              </w:rPr>
              <w:t>n/a</w:t>
            </w:r>
          </w:p>
        </w:tc>
        <w:tc>
          <w:tcPr>
            <w:tcW w:w="960" w:type="dxa"/>
            <w:tcBorders>
              <w:top w:val="nil"/>
              <w:left w:val="nil"/>
              <w:bottom w:val="nil"/>
              <w:right w:val="nil"/>
            </w:tcBorders>
            <w:shd w:val="clear" w:color="000000" w:fill="FFFFFF"/>
            <w:noWrap/>
            <w:vAlign w:val="center"/>
            <w:hideMark/>
          </w:tcPr>
          <w:p w:rsidR="002F4ABA" w:rsidRPr="002F4ABA" w:rsidRDefault="009F5BA4" w:rsidP="002F4ABA">
            <w:pPr>
              <w:suppressAutoHyphens w:val="0"/>
              <w:spacing w:before="0" w:after="0" w:line="240" w:lineRule="auto"/>
              <w:jc w:val="center"/>
              <w:rPr>
                <w:rFonts w:ascii="Arial" w:eastAsia="Times New Roman" w:hAnsi="Arial" w:cs="Arial"/>
                <w:color w:val="000000"/>
                <w:sz w:val="16"/>
                <w:szCs w:val="16"/>
                <w:lang w:val="en-AU" w:eastAsia="en-AU"/>
              </w:rPr>
            </w:pPr>
            <w:r>
              <w:rPr>
                <w:rFonts w:ascii="Arial" w:eastAsia="Times New Roman" w:hAnsi="Arial" w:cs="Arial"/>
                <w:color w:val="000000"/>
                <w:sz w:val="16"/>
                <w:szCs w:val="16"/>
                <w:lang w:eastAsia="en-AU"/>
              </w:rPr>
              <w:t>n/a</w:t>
            </w:r>
          </w:p>
        </w:tc>
        <w:tc>
          <w:tcPr>
            <w:tcW w:w="960" w:type="dxa"/>
            <w:tcBorders>
              <w:top w:val="nil"/>
              <w:left w:val="nil"/>
              <w:bottom w:val="nil"/>
              <w:right w:val="nil"/>
            </w:tcBorders>
            <w:shd w:val="clear" w:color="000000" w:fill="FFFFFF"/>
            <w:noWrap/>
            <w:vAlign w:val="center"/>
            <w:hideMark/>
          </w:tcPr>
          <w:p w:rsidR="002F4ABA" w:rsidRPr="002F4ABA" w:rsidRDefault="009F5BA4" w:rsidP="002F4ABA">
            <w:pPr>
              <w:suppressAutoHyphens w:val="0"/>
              <w:spacing w:before="0" w:after="0" w:line="240" w:lineRule="auto"/>
              <w:jc w:val="center"/>
              <w:rPr>
                <w:rFonts w:ascii="Arial" w:eastAsia="Times New Roman" w:hAnsi="Arial" w:cs="Arial"/>
                <w:color w:val="000000"/>
                <w:sz w:val="16"/>
                <w:szCs w:val="16"/>
                <w:lang w:val="en-AU" w:eastAsia="en-AU"/>
              </w:rPr>
            </w:pPr>
            <w:r>
              <w:rPr>
                <w:rFonts w:ascii="Arial" w:eastAsia="Times New Roman" w:hAnsi="Arial" w:cs="Arial"/>
                <w:color w:val="000000"/>
                <w:sz w:val="16"/>
                <w:szCs w:val="16"/>
                <w:lang w:eastAsia="en-AU"/>
              </w:rPr>
              <w:t>n/a</w:t>
            </w:r>
          </w:p>
        </w:tc>
      </w:tr>
      <w:tr w:rsidR="002F4ABA" w:rsidRPr="002F4ABA" w:rsidTr="006349AF">
        <w:trPr>
          <w:trHeight w:val="315"/>
          <w:jc w:val="center"/>
        </w:trPr>
        <w:tc>
          <w:tcPr>
            <w:tcW w:w="452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 </w:t>
            </w:r>
          </w:p>
        </w:tc>
        <w:tc>
          <w:tcPr>
            <w:tcW w:w="176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2010-18 </w:t>
            </w:r>
          </w:p>
        </w:tc>
        <w:tc>
          <w:tcPr>
            <w:tcW w:w="96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2016 AQC</w:t>
            </w:r>
          </w:p>
        </w:tc>
        <w:tc>
          <w:tcPr>
            <w:tcW w:w="960" w:type="dxa"/>
            <w:tcBorders>
              <w:top w:val="nil"/>
              <w:left w:val="nil"/>
              <w:bottom w:val="single" w:sz="8" w:space="0" w:color="auto"/>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3</w:t>
            </w:r>
          </w:p>
        </w:tc>
        <w:tc>
          <w:tcPr>
            <w:tcW w:w="960" w:type="dxa"/>
            <w:tcBorders>
              <w:top w:val="nil"/>
              <w:left w:val="nil"/>
              <w:bottom w:val="single" w:sz="8" w:space="0" w:color="auto"/>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8" w:space="0" w:color="auto"/>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3</w:t>
            </w:r>
          </w:p>
        </w:tc>
        <w:tc>
          <w:tcPr>
            <w:tcW w:w="960" w:type="dxa"/>
            <w:tcBorders>
              <w:top w:val="nil"/>
              <w:left w:val="nil"/>
              <w:bottom w:val="single" w:sz="8" w:space="0" w:color="auto"/>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8" w:space="0" w:color="auto"/>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r>
      <w:tr w:rsidR="002F4ABA" w:rsidRPr="002F4ABA" w:rsidTr="006349AF">
        <w:trPr>
          <w:trHeight w:val="300"/>
          <w:jc w:val="center"/>
        </w:trPr>
        <w:tc>
          <w:tcPr>
            <w:tcW w:w="452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Climate and Oceans Support Program in the Pacific</w:t>
            </w:r>
          </w:p>
        </w:tc>
        <w:tc>
          <w:tcPr>
            <w:tcW w:w="176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$34m </w:t>
            </w:r>
          </w:p>
        </w:tc>
        <w:tc>
          <w:tcPr>
            <w:tcW w:w="96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2017 AQC</w:t>
            </w:r>
          </w:p>
        </w:tc>
        <w:tc>
          <w:tcPr>
            <w:tcW w:w="960" w:type="dxa"/>
            <w:tcBorders>
              <w:top w:val="nil"/>
              <w:left w:val="nil"/>
              <w:bottom w:val="single" w:sz="4" w:space="0" w:color="FFFFFF"/>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r>
      <w:tr w:rsidR="002F4ABA" w:rsidRPr="002F4ABA" w:rsidTr="006349AF">
        <w:trPr>
          <w:trHeight w:val="315"/>
          <w:jc w:val="center"/>
        </w:trPr>
        <w:tc>
          <w:tcPr>
            <w:tcW w:w="452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 </w:t>
            </w:r>
          </w:p>
        </w:tc>
        <w:tc>
          <w:tcPr>
            <w:tcW w:w="176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2010-17 </w:t>
            </w:r>
          </w:p>
        </w:tc>
        <w:tc>
          <w:tcPr>
            <w:tcW w:w="96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2016 AQC</w:t>
            </w:r>
          </w:p>
        </w:tc>
        <w:tc>
          <w:tcPr>
            <w:tcW w:w="960" w:type="dxa"/>
            <w:tcBorders>
              <w:top w:val="nil"/>
              <w:left w:val="nil"/>
              <w:bottom w:val="single" w:sz="8" w:space="0" w:color="auto"/>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8" w:space="0" w:color="auto"/>
              <w:right w:val="nil"/>
            </w:tcBorders>
            <w:shd w:val="clear" w:color="000000" w:fill="FF00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2</w:t>
            </w:r>
          </w:p>
        </w:tc>
      </w:tr>
    </w:tbl>
    <w:p w:rsidR="00C25AD7" w:rsidRDefault="00C25AD7" w:rsidP="00C25AD7">
      <w:pPr>
        <w:keepNext/>
        <w:numPr>
          <w:ilvl w:val="2"/>
          <w:numId w:val="0"/>
        </w:numPr>
        <w:spacing w:before="240" w:after="120"/>
        <w:outlineLvl w:val="2"/>
        <w:rPr>
          <w:rFonts w:asciiTheme="majorHAnsi" w:eastAsiaTheme="majorEastAsia" w:hAnsiTheme="majorHAnsi" w:cstheme="majorBidi"/>
          <w:caps/>
          <w:sz w:val="38"/>
          <w:szCs w:val="26"/>
        </w:rPr>
      </w:pPr>
    </w:p>
    <w:tbl>
      <w:tblPr>
        <w:tblW w:w="13000" w:type="dxa"/>
        <w:jc w:val="center"/>
        <w:tblLook w:val="04A0" w:firstRow="1" w:lastRow="0" w:firstColumn="1" w:lastColumn="0" w:noHBand="0" w:noVBand="1"/>
      </w:tblPr>
      <w:tblGrid>
        <w:gridCol w:w="4520"/>
        <w:gridCol w:w="1760"/>
        <w:gridCol w:w="960"/>
        <w:gridCol w:w="960"/>
        <w:gridCol w:w="960"/>
        <w:gridCol w:w="960"/>
        <w:gridCol w:w="960"/>
        <w:gridCol w:w="960"/>
        <w:gridCol w:w="960"/>
      </w:tblGrid>
      <w:tr w:rsidR="002F4ABA" w:rsidRPr="002F4ABA" w:rsidTr="006349AF">
        <w:trPr>
          <w:trHeight w:val="1200"/>
          <w:jc w:val="center"/>
        </w:trPr>
        <w:tc>
          <w:tcPr>
            <w:tcW w:w="4520" w:type="dxa"/>
            <w:tcBorders>
              <w:top w:val="single" w:sz="12" w:space="0" w:color="000000"/>
              <w:left w:val="nil"/>
              <w:bottom w:val="single" w:sz="4" w:space="0" w:color="auto"/>
              <w:right w:val="nil"/>
            </w:tcBorders>
            <w:shd w:val="clear" w:color="auto" w:fill="auto"/>
            <w:vAlign w:val="center"/>
            <w:hideMark/>
          </w:tcPr>
          <w:p w:rsidR="002F4ABA" w:rsidRPr="002F4ABA" w:rsidRDefault="002F4ABA" w:rsidP="002F4ABA">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2F4ABA">
              <w:rPr>
                <w:rFonts w:ascii="Calibri Light" w:eastAsia="Times New Roman" w:hAnsi="Calibri Light" w:cs="Times New Roman"/>
                <w:b/>
                <w:bCs/>
                <w:iCs/>
                <w:noProof/>
                <w:color w:val="495965"/>
                <w:sz w:val="17"/>
                <w:szCs w:val="17"/>
                <w:lang w:val="en-AU" w:eastAsia="en-AU"/>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4619625" cy="228600"/>
                  <wp:effectExtent l="0" t="0" r="0" b="0"/>
                  <wp:wrapNone/>
                  <wp:docPr id="34" name="Picture 34" hidden="1"/>
                  <wp:cNvGraphicFramePr/>
                  <a:graphic xmlns:a="http://schemas.openxmlformats.org/drawingml/2006/main">
                    <a:graphicData uri="http://schemas.openxmlformats.org/drawingml/2006/picture">
                      <pic:pic xmlns:pic="http://schemas.openxmlformats.org/drawingml/2006/picture">
                        <pic:nvPicPr>
                          <pic:cNvPr id="3" name="Picture 6" hidden="1"/>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2F4ABA">
              <w:rPr>
                <w:rFonts w:ascii="Calibri Light" w:eastAsia="Times New Roman" w:hAnsi="Calibri Light" w:cs="Times New Roman"/>
                <w:b/>
                <w:bCs/>
                <w:iCs/>
                <w:color w:val="495965"/>
                <w:sz w:val="17"/>
                <w:szCs w:val="17"/>
                <w:lang w:eastAsia="en-AU"/>
              </w:rPr>
              <w:t>Investment name</w:t>
            </w:r>
          </w:p>
        </w:tc>
        <w:tc>
          <w:tcPr>
            <w:tcW w:w="1760" w:type="dxa"/>
            <w:tcBorders>
              <w:top w:val="single" w:sz="12" w:space="0" w:color="000000"/>
              <w:left w:val="nil"/>
              <w:bottom w:val="single" w:sz="4" w:space="0" w:color="auto"/>
              <w:right w:val="nil"/>
            </w:tcBorders>
            <w:shd w:val="clear" w:color="auto" w:fill="auto"/>
            <w:vAlign w:val="center"/>
            <w:hideMark/>
          </w:tcPr>
          <w:p w:rsidR="002F4ABA" w:rsidRPr="002F4ABA" w:rsidRDefault="002F4ABA" w:rsidP="002F4ABA">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2F4ABA">
              <w:rPr>
                <w:rFonts w:ascii="Calibri Light" w:eastAsia="Times New Roman" w:hAnsi="Calibri Light" w:cs="Times New Roman"/>
                <w:b/>
                <w:bCs/>
                <w:iCs/>
                <w:color w:val="495965"/>
                <w:sz w:val="17"/>
                <w:szCs w:val="17"/>
                <w:lang w:eastAsia="en-AU"/>
              </w:rPr>
              <w:t>Approved budget and duration</w:t>
            </w:r>
          </w:p>
        </w:tc>
        <w:tc>
          <w:tcPr>
            <w:tcW w:w="960" w:type="dxa"/>
            <w:tcBorders>
              <w:top w:val="single" w:sz="12" w:space="0" w:color="000000"/>
              <w:left w:val="nil"/>
              <w:bottom w:val="single" w:sz="4" w:space="0" w:color="auto"/>
              <w:right w:val="nil"/>
            </w:tcBorders>
            <w:shd w:val="clear" w:color="auto" w:fill="auto"/>
            <w:vAlign w:val="center"/>
            <w:hideMark/>
          </w:tcPr>
          <w:p w:rsidR="002F4ABA" w:rsidRPr="002F4ABA" w:rsidRDefault="002F4ABA" w:rsidP="002F4ABA">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2F4ABA">
              <w:rPr>
                <w:rFonts w:ascii="Calibri Light" w:eastAsia="Times New Roman" w:hAnsi="Calibri Light" w:cs="Times New Roman"/>
                <w:b/>
                <w:bCs/>
                <w:iCs/>
                <w:color w:val="495965"/>
                <w:sz w:val="17"/>
                <w:szCs w:val="17"/>
                <w:lang w:eastAsia="en-AU"/>
              </w:rPr>
              <w:t>year on year</w:t>
            </w:r>
          </w:p>
        </w:tc>
        <w:tc>
          <w:tcPr>
            <w:tcW w:w="960" w:type="dxa"/>
            <w:tcBorders>
              <w:top w:val="single" w:sz="12" w:space="0" w:color="000000"/>
              <w:left w:val="nil"/>
              <w:bottom w:val="single" w:sz="4" w:space="0" w:color="auto"/>
              <w:right w:val="nil"/>
            </w:tcBorders>
            <w:shd w:val="clear" w:color="auto" w:fill="auto"/>
            <w:textDirection w:val="btLr"/>
            <w:vAlign w:val="center"/>
            <w:hideMark/>
          </w:tcPr>
          <w:p w:rsidR="002F4ABA" w:rsidRPr="002F4ABA" w:rsidRDefault="002F4ABA" w:rsidP="002F4ABA">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2F4ABA">
              <w:rPr>
                <w:rFonts w:ascii="Calibri Light" w:eastAsia="Times New Roman" w:hAnsi="Calibri Light" w:cs="Times New Roman"/>
                <w:b/>
                <w:bCs/>
                <w:iCs/>
                <w:color w:val="495965"/>
                <w:sz w:val="17"/>
                <w:szCs w:val="17"/>
                <w:lang w:eastAsia="en-AU"/>
              </w:rPr>
              <w:t>Relevance</w:t>
            </w:r>
          </w:p>
        </w:tc>
        <w:tc>
          <w:tcPr>
            <w:tcW w:w="960" w:type="dxa"/>
            <w:tcBorders>
              <w:top w:val="single" w:sz="12" w:space="0" w:color="000000"/>
              <w:left w:val="nil"/>
              <w:bottom w:val="single" w:sz="4" w:space="0" w:color="auto"/>
              <w:right w:val="nil"/>
            </w:tcBorders>
            <w:shd w:val="clear" w:color="auto" w:fill="auto"/>
            <w:textDirection w:val="btLr"/>
            <w:vAlign w:val="center"/>
            <w:hideMark/>
          </w:tcPr>
          <w:p w:rsidR="002F4ABA" w:rsidRPr="002F4ABA" w:rsidRDefault="002F4ABA" w:rsidP="002F4ABA">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2F4ABA">
              <w:rPr>
                <w:rFonts w:ascii="Calibri Light" w:eastAsia="Times New Roman" w:hAnsi="Calibri Light" w:cs="Times New Roman"/>
                <w:b/>
                <w:bCs/>
                <w:iCs/>
                <w:color w:val="495965"/>
                <w:sz w:val="17"/>
                <w:szCs w:val="17"/>
                <w:lang w:eastAsia="en-AU"/>
              </w:rPr>
              <w:t>Effectiveness</w:t>
            </w:r>
          </w:p>
        </w:tc>
        <w:tc>
          <w:tcPr>
            <w:tcW w:w="960" w:type="dxa"/>
            <w:tcBorders>
              <w:top w:val="single" w:sz="12" w:space="0" w:color="000000"/>
              <w:left w:val="nil"/>
              <w:bottom w:val="single" w:sz="4" w:space="0" w:color="auto"/>
              <w:right w:val="nil"/>
            </w:tcBorders>
            <w:shd w:val="clear" w:color="auto" w:fill="auto"/>
            <w:textDirection w:val="btLr"/>
            <w:vAlign w:val="center"/>
            <w:hideMark/>
          </w:tcPr>
          <w:p w:rsidR="002F4ABA" w:rsidRPr="002F4ABA" w:rsidRDefault="002F4ABA" w:rsidP="002F4ABA">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2F4ABA">
              <w:rPr>
                <w:rFonts w:ascii="Calibri Light" w:eastAsia="Times New Roman" w:hAnsi="Calibri Light" w:cs="Times New Roman"/>
                <w:b/>
                <w:bCs/>
                <w:iCs/>
                <w:color w:val="495965"/>
                <w:sz w:val="17"/>
                <w:szCs w:val="17"/>
                <w:lang w:eastAsia="en-AU"/>
              </w:rPr>
              <w:t>Efficiency</w:t>
            </w:r>
          </w:p>
        </w:tc>
        <w:tc>
          <w:tcPr>
            <w:tcW w:w="960" w:type="dxa"/>
            <w:tcBorders>
              <w:top w:val="single" w:sz="12" w:space="0" w:color="000000"/>
              <w:left w:val="nil"/>
              <w:bottom w:val="single" w:sz="4" w:space="0" w:color="auto"/>
              <w:right w:val="nil"/>
            </w:tcBorders>
            <w:shd w:val="clear" w:color="auto" w:fill="auto"/>
            <w:textDirection w:val="btLr"/>
            <w:vAlign w:val="center"/>
            <w:hideMark/>
          </w:tcPr>
          <w:p w:rsidR="002F4ABA" w:rsidRPr="002F4ABA" w:rsidRDefault="002F4ABA" w:rsidP="002F4ABA">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2F4ABA">
              <w:rPr>
                <w:rFonts w:ascii="Calibri Light" w:eastAsia="Times New Roman" w:hAnsi="Calibri Light" w:cs="Times New Roman"/>
                <w:b/>
                <w:bCs/>
                <w:iCs/>
                <w:color w:val="495965"/>
                <w:sz w:val="17"/>
                <w:szCs w:val="17"/>
                <w:lang w:eastAsia="en-AU"/>
              </w:rPr>
              <w:t>Monitoring and Evaluation</w:t>
            </w:r>
          </w:p>
        </w:tc>
        <w:tc>
          <w:tcPr>
            <w:tcW w:w="960" w:type="dxa"/>
            <w:tcBorders>
              <w:top w:val="single" w:sz="12" w:space="0" w:color="000000"/>
              <w:left w:val="nil"/>
              <w:bottom w:val="single" w:sz="4" w:space="0" w:color="auto"/>
              <w:right w:val="nil"/>
            </w:tcBorders>
            <w:shd w:val="clear" w:color="auto" w:fill="auto"/>
            <w:textDirection w:val="btLr"/>
            <w:vAlign w:val="center"/>
            <w:hideMark/>
          </w:tcPr>
          <w:p w:rsidR="002F4ABA" w:rsidRPr="002F4ABA" w:rsidRDefault="002F4ABA" w:rsidP="002F4ABA">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2F4ABA">
              <w:rPr>
                <w:rFonts w:ascii="Calibri Light" w:eastAsia="Times New Roman" w:hAnsi="Calibri Light" w:cs="Times New Roman"/>
                <w:b/>
                <w:bCs/>
                <w:iCs/>
                <w:color w:val="495965"/>
                <w:sz w:val="17"/>
                <w:szCs w:val="17"/>
                <w:lang w:eastAsia="en-AU"/>
              </w:rPr>
              <w:t>Sustainability</w:t>
            </w:r>
          </w:p>
        </w:tc>
        <w:tc>
          <w:tcPr>
            <w:tcW w:w="960" w:type="dxa"/>
            <w:tcBorders>
              <w:top w:val="single" w:sz="12" w:space="0" w:color="000000"/>
              <w:left w:val="nil"/>
              <w:bottom w:val="single" w:sz="4" w:space="0" w:color="auto"/>
              <w:right w:val="nil"/>
            </w:tcBorders>
            <w:shd w:val="clear" w:color="auto" w:fill="auto"/>
            <w:textDirection w:val="btLr"/>
            <w:vAlign w:val="center"/>
            <w:hideMark/>
          </w:tcPr>
          <w:p w:rsidR="002F4ABA" w:rsidRPr="002F4ABA" w:rsidRDefault="002F4ABA" w:rsidP="002F4ABA">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2F4ABA">
              <w:rPr>
                <w:rFonts w:ascii="Calibri Light" w:eastAsia="Times New Roman" w:hAnsi="Calibri Light" w:cs="Times New Roman"/>
                <w:b/>
                <w:bCs/>
                <w:iCs/>
                <w:color w:val="495965"/>
                <w:sz w:val="17"/>
                <w:szCs w:val="17"/>
                <w:lang w:eastAsia="en-AU"/>
              </w:rPr>
              <w:t>Gender equality</w:t>
            </w:r>
          </w:p>
        </w:tc>
      </w:tr>
      <w:tr w:rsidR="002F4ABA" w:rsidRPr="002F4ABA" w:rsidTr="006349AF">
        <w:trPr>
          <w:trHeight w:val="300"/>
          <w:jc w:val="center"/>
        </w:trPr>
        <w:tc>
          <w:tcPr>
            <w:tcW w:w="452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SPREP Partnership Agreement 2011-2015</w:t>
            </w:r>
          </w:p>
        </w:tc>
        <w:tc>
          <w:tcPr>
            <w:tcW w:w="176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$18m </w:t>
            </w:r>
          </w:p>
        </w:tc>
        <w:tc>
          <w:tcPr>
            <w:tcW w:w="96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2017 AQC</w:t>
            </w:r>
          </w:p>
        </w:tc>
        <w:tc>
          <w:tcPr>
            <w:tcW w:w="960" w:type="dxa"/>
            <w:tcBorders>
              <w:top w:val="nil"/>
              <w:left w:val="nil"/>
              <w:bottom w:val="single" w:sz="4" w:space="0" w:color="FFFFFF"/>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FFC0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3</w:t>
            </w:r>
          </w:p>
        </w:tc>
        <w:tc>
          <w:tcPr>
            <w:tcW w:w="960" w:type="dxa"/>
            <w:tcBorders>
              <w:top w:val="nil"/>
              <w:left w:val="nil"/>
              <w:bottom w:val="single" w:sz="4" w:space="0" w:color="FFFFFF"/>
              <w:right w:val="nil"/>
            </w:tcBorders>
            <w:shd w:val="clear" w:color="000000" w:fill="FFC0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3</w:t>
            </w:r>
          </w:p>
        </w:tc>
        <w:tc>
          <w:tcPr>
            <w:tcW w:w="960" w:type="dxa"/>
            <w:tcBorders>
              <w:top w:val="nil"/>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r>
      <w:tr w:rsidR="002F4ABA" w:rsidRPr="002F4ABA" w:rsidTr="006349AF">
        <w:trPr>
          <w:trHeight w:val="315"/>
          <w:jc w:val="center"/>
        </w:trPr>
        <w:tc>
          <w:tcPr>
            <w:tcW w:w="452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 </w:t>
            </w:r>
          </w:p>
        </w:tc>
        <w:tc>
          <w:tcPr>
            <w:tcW w:w="176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2011-17 </w:t>
            </w:r>
          </w:p>
        </w:tc>
        <w:tc>
          <w:tcPr>
            <w:tcW w:w="96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2016 AQC</w:t>
            </w:r>
          </w:p>
        </w:tc>
        <w:tc>
          <w:tcPr>
            <w:tcW w:w="960" w:type="dxa"/>
            <w:tcBorders>
              <w:top w:val="nil"/>
              <w:left w:val="nil"/>
              <w:bottom w:val="single" w:sz="8" w:space="0" w:color="auto"/>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8" w:space="0" w:color="auto"/>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8" w:space="0" w:color="auto"/>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8" w:space="0" w:color="auto"/>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8" w:space="0" w:color="auto"/>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r>
      <w:tr w:rsidR="009F5BA4" w:rsidRPr="002F4ABA" w:rsidTr="006349AF">
        <w:trPr>
          <w:trHeight w:val="300"/>
          <w:jc w:val="center"/>
        </w:trPr>
        <w:tc>
          <w:tcPr>
            <w:tcW w:w="4520" w:type="dxa"/>
            <w:tcBorders>
              <w:top w:val="nil"/>
              <w:left w:val="nil"/>
              <w:bottom w:val="nil"/>
              <w:right w:val="nil"/>
            </w:tcBorders>
            <w:shd w:val="clear" w:color="auto" w:fill="auto"/>
            <w:vAlign w:val="center"/>
            <w:hideMark/>
          </w:tcPr>
          <w:p w:rsidR="009F5BA4" w:rsidRPr="002F4ABA" w:rsidRDefault="009F5BA4" w:rsidP="009F5BA4">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Education Management Information Systems</w:t>
            </w:r>
          </w:p>
        </w:tc>
        <w:tc>
          <w:tcPr>
            <w:tcW w:w="1760" w:type="dxa"/>
            <w:tcBorders>
              <w:top w:val="nil"/>
              <w:left w:val="nil"/>
              <w:bottom w:val="nil"/>
              <w:right w:val="nil"/>
            </w:tcBorders>
            <w:shd w:val="clear" w:color="auto" w:fill="auto"/>
            <w:vAlign w:val="center"/>
            <w:hideMark/>
          </w:tcPr>
          <w:p w:rsidR="009F5BA4" w:rsidRPr="002F4ABA" w:rsidRDefault="009F5BA4" w:rsidP="009F5BA4">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$9m </w:t>
            </w:r>
          </w:p>
        </w:tc>
        <w:tc>
          <w:tcPr>
            <w:tcW w:w="960" w:type="dxa"/>
            <w:tcBorders>
              <w:top w:val="nil"/>
              <w:left w:val="nil"/>
              <w:bottom w:val="nil"/>
              <w:right w:val="nil"/>
            </w:tcBorders>
            <w:shd w:val="clear" w:color="auto" w:fill="auto"/>
            <w:vAlign w:val="center"/>
            <w:hideMark/>
          </w:tcPr>
          <w:p w:rsidR="009F5BA4" w:rsidRPr="002F4ABA" w:rsidRDefault="009F5BA4" w:rsidP="009F5BA4">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2017 AQC</w:t>
            </w:r>
          </w:p>
        </w:tc>
        <w:tc>
          <w:tcPr>
            <w:tcW w:w="960" w:type="dxa"/>
            <w:tcBorders>
              <w:top w:val="nil"/>
              <w:left w:val="nil"/>
              <w:bottom w:val="nil"/>
              <w:right w:val="nil"/>
            </w:tcBorders>
            <w:shd w:val="clear" w:color="000000" w:fill="FFFFFF"/>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Pr>
                <w:rFonts w:ascii="Arial" w:eastAsia="Times New Roman" w:hAnsi="Arial" w:cs="Arial"/>
                <w:color w:val="000000"/>
                <w:sz w:val="16"/>
                <w:szCs w:val="16"/>
                <w:lang w:eastAsia="en-AU"/>
              </w:rPr>
              <w:t>n/a</w:t>
            </w:r>
            <w:r w:rsidRPr="002F4ABA">
              <w:rPr>
                <w:rFonts w:ascii="Arial" w:eastAsia="Times New Roman" w:hAnsi="Arial" w:cs="Arial"/>
                <w:color w:val="000000"/>
                <w:sz w:val="16"/>
                <w:szCs w:val="16"/>
                <w:lang w:eastAsia="en-AU"/>
              </w:rPr>
              <w:t> </w:t>
            </w:r>
          </w:p>
        </w:tc>
        <w:tc>
          <w:tcPr>
            <w:tcW w:w="960" w:type="dxa"/>
            <w:tcBorders>
              <w:top w:val="nil"/>
              <w:left w:val="nil"/>
              <w:bottom w:val="nil"/>
              <w:right w:val="nil"/>
            </w:tcBorders>
            <w:shd w:val="clear" w:color="000000" w:fill="FFFFFF"/>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Pr>
                <w:rFonts w:ascii="Arial" w:eastAsia="Times New Roman" w:hAnsi="Arial" w:cs="Arial"/>
                <w:color w:val="000000"/>
                <w:sz w:val="16"/>
                <w:szCs w:val="16"/>
                <w:lang w:eastAsia="en-AU"/>
              </w:rPr>
              <w:t>n/a</w:t>
            </w:r>
            <w:r w:rsidRPr="002F4ABA">
              <w:rPr>
                <w:rFonts w:ascii="Arial" w:eastAsia="Times New Roman" w:hAnsi="Arial" w:cs="Arial"/>
                <w:color w:val="000000"/>
                <w:sz w:val="16"/>
                <w:szCs w:val="16"/>
                <w:lang w:eastAsia="en-AU"/>
              </w:rPr>
              <w:t> </w:t>
            </w:r>
          </w:p>
        </w:tc>
        <w:tc>
          <w:tcPr>
            <w:tcW w:w="960" w:type="dxa"/>
            <w:tcBorders>
              <w:top w:val="nil"/>
              <w:left w:val="nil"/>
              <w:bottom w:val="nil"/>
              <w:right w:val="nil"/>
            </w:tcBorders>
            <w:shd w:val="clear" w:color="000000" w:fill="FFFFFF"/>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Pr>
                <w:rFonts w:ascii="Arial" w:eastAsia="Times New Roman" w:hAnsi="Arial" w:cs="Arial"/>
                <w:color w:val="000000"/>
                <w:sz w:val="16"/>
                <w:szCs w:val="16"/>
                <w:lang w:eastAsia="en-AU"/>
              </w:rPr>
              <w:t>n/a</w:t>
            </w:r>
          </w:p>
        </w:tc>
        <w:tc>
          <w:tcPr>
            <w:tcW w:w="960" w:type="dxa"/>
            <w:tcBorders>
              <w:top w:val="nil"/>
              <w:left w:val="nil"/>
              <w:bottom w:val="nil"/>
              <w:right w:val="nil"/>
            </w:tcBorders>
            <w:shd w:val="clear" w:color="000000" w:fill="FFFFFF"/>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Pr>
                <w:rFonts w:ascii="Arial" w:eastAsia="Times New Roman" w:hAnsi="Arial" w:cs="Arial"/>
                <w:color w:val="000000"/>
                <w:sz w:val="16"/>
                <w:szCs w:val="16"/>
                <w:lang w:eastAsia="en-AU"/>
              </w:rPr>
              <w:t>n/a</w:t>
            </w:r>
          </w:p>
        </w:tc>
        <w:tc>
          <w:tcPr>
            <w:tcW w:w="960" w:type="dxa"/>
            <w:tcBorders>
              <w:top w:val="nil"/>
              <w:left w:val="nil"/>
              <w:bottom w:val="nil"/>
              <w:right w:val="nil"/>
            </w:tcBorders>
            <w:shd w:val="clear" w:color="000000" w:fill="FFFFFF"/>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Pr>
                <w:rFonts w:ascii="Arial" w:eastAsia="Times New Roman" w:hAnsi="Arial" w:cs="Arial"/>
                <w:color w:val="000000"/>
                <w:sz w:val="16"/>
                <w:szCs w:val="16"/>
                <w:lang w:eastAsia="en-AU"/>
              </w:rPr>
              <w:t>n/a</w:t>
            </w:r>
          </w:p>
        </w:tc>
        <w:tc>
          <w:tcPr>
            <w:tcW w:w="960" w:type="dxa"/>
            <w:tcBorders>
              <w:top w:val="nil"/>
              <w:left w:val="nil"/>
              <w:bottom w:val="nil"/>
              <w:right w:val="nil"/>
            </w:tcBorders>
            <w:shd w:val="clear" w:color="000000" w:fill="FFFFFF"/>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Pr>
                <w:rFonts w:ascii="Arial" w:eastAsia="Times New Roman" w:hAnsi="Arial" w:cs="Arial"/>
                <w:color w:val="000000"/>
                <w:sz w:val="16"/>
                <w:szCs w:val="16"/>
                <w:lang w:eastAsia="en-AU"/>
              </w:rPr>
              <w:t>n/a</w:t>
            </w:r>
          </w:p>
        </w:tc>
      </w:tr>
      <w:tr w:rsidR="009F5BA4" w:rsidRPr="002F4ABA" w:rsidTr="006349AF">
        <w:trPr>
          <w:trHeight w:val="315"/>
          <w:jc w:val="center"/>
        </w:trPr>
        <w:tc>
          <w:tcPr>
            <w:tcW w:w="4520" w:type="dxa"/>
            <w:tcBorders>
              <w:top w:val="nil"/>
              <w:left w:val="nil"/>
              <w:bottom w:val="single" w:sz="8" w:space="0" w:color="auto"/>
              <w:right w:val="nil"/>
            </w:tcBorders>
            <w:shd w:val="clear" w:color="auto" w:fill="auto"/>
            <w:vAlign w:val="center"/>
            <w:hideMark/>
          </w:tcPr>
          <w:p w:rsidR="009F5BA4" w:rsidRPr="002F4ABA" w:rsidRDefault="009F5BA4" w:rsidP="009F5BA4">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 </w:t>
            </w:r>
          </w:p>
        </w:tc>
        <w:tc>
          <w:tcPr>
            <w:tcW w:w="1760" w:type="dxa"/>
            <w:tcBorders>
              <w:top w:val="nil"/>
              <w:left w:val="nil"/>
              <w:bottom w:val="single" w:sz="8" w:space="0" w:color="auto"/>
              <w:right w:val="nil"/>
            </w:tcBorders>
            <w:shd w:val="clear" w:color="auto" w:fill="auto"/>
            <w:vAlign w:val="center"/>
            <w:hideMark/>
          </w:tcPr>
          <w:p w:rsidR="009F5BA4" w:rsidRPr="002F4ABA" w:rsidRDefault="009F5BA4" w:rsidP="009F5BA4">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2011-16 </w:t>
            </w:r>
          </w:p>
        </w:tc>
        <w:tc>
          <w:tcPr>
            <w:tcW w:w="960" w:type="dxa"/>
            <w:tcBorders>
              <w:top w:val="nil"/>
              <w:left w:val="nil"/>
              <w:bottom w:val="single" w:sz="8" w:space="0" w:color="auto"/>
              <w:right w:val="nil"/>
            </w:tcBorders>
            <w:shd w:val="clear" w:color="auto" w:fill="auto"/>
            <w:vAlign w:val="center"/>
            <w:hideMark/>
          </w:tcPr>
          <w:p w:rsidR="009F5BA4" w:rsidRPr="002F4ABA" w:rsidRDefault="009F5BA4" w:rsidP="009F5BA4">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2016 AQC</w:t>
            </w:r>
          </w:p>
        </w:tc>
        <w:tc>
          <w:tcPr>
            <w:tcW w:w="960" w:type="dxa"/>
            <w:tcBorders>
              <w:top w:val="nil"/>
              <w:left w:val="nil"/>
              <w:bottom w:val="single" w:sz="8" w:space="0" w:color="auto"/>
              <w:right w:val="nil"/>
            </w:tcBorders>
            <w:shd w:val="clear" w:color="000000" w:fill="92D05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FFFF0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92D05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92D05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FFFF0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8" w:space="0" w:color="auto"/>
              <w:right w:val="nil"/>
            </w:tcBorders>
            <w:shd w:val="clear" w:color="000000" w:fill="FFFF0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r>
      <w:tr w:rsidR="009F5BA4" w:rsidRPr="002F4ABA" w:rsidTr="006349AF">
        <w:trPr>
          <w:trHeight w:val="300"/>
          <w:jc w:val="center"/>
        </w:trPr>
        <w:tc>
          <w:tcPr>
            <w:tcW w:w="4520" w:type="dxa"/>
            <w:tcBorders>
              <w:top w:val="nil"/>
              <w:left w:val="nil"/>
              <w:bottom w:val="nil"/>
              <w:right w:val="nil"/>
            </w:tcBorders>
            <w:shd w:val="clear" w:color="auto" w:fill="auto"/>
            <w:vAlign w:val="center"/>
            <w:hideMark/>
          </w:tcPr>
          <w:p w:rsidR="009F5BA4" w:rsidRPr="002F4ABA" w:rsidRDefault="009F5BA4" w:rsidP="009F5BA4">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Australia-Pacific Technical College Stage 2</w:t>
            </w:r>
          </w:p>
        </w:tc>
        <w:tc>
          <w:tcPr>
            <w:tcW w:w="1760" w:type="dxa"/>
            <w:tcBorders>
              <w:top w:val="nil"/>
              <w:left w:val="nil"/>
              <w:bottom w:val="nil"/>
              <w:right w:val="nil"/>
            </w:tcBorders>
            <w:shd w:val="clear" w:color="auto" w:fill="auto"/>
            <w:vAlign w:val="center"/>
            <w:hideMark/>
          </w:tcPr>
          <w:p w:rsidR="009F5BA4" w:rsidRPr="002F4ABA" w:rsidRDefault="009F5BA4" w:rsidP="009F5BA4">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$242m </w:t>
            </w:r>
          </w:p>
        </w:tc>
        <w:tc>
          <w:tcPr>
            <w:tcW w:w="960" w:type="dxa"/>
            <w:tcBorders>
              <w:top w:val="nil"/>
              <w:left w:val="nil"/>
              <w:bottom w:val="nil"/>
              <w:right w:val="nil"/>
            </w:tcBorders>
            <w:shd w:val="clear" w:color="auto" w:fill="auto"/>
            <w:vAlign w:val="center"/>
            <w:hideMark/>
          </w:tcPr>
          <w:p w:rsidR="009F5BA4" w:rsidRPr="002F4ABA" w:rsidRDefault="009F5BA4" w:rsidP="009F5BA4">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2017 AQC</w:t>
            </w:r>
          </w:p>
        </w:tc>
        <w:tc>
          <w:tcPr>
            <w:tcW w:w="960" w:type="dxa"/>
            <w:tcBorders>
              <w:top w:val="nil"/>
              <w:left w:val="nil"/>
              <w:bottom w:val="nil"/>
              <w:right w:val="nil"/>
            </w:tcBorders>
            <w:shd w:val="clear" w:color="000000" w:fill="92D05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6</w:t>
            </w:r>
          </w:p>
        </w:tc>
        <w:tc>
          <w:tcPr>
            <w:tcW w:w="960" w:type="dxa"/>
            <w:tcBorders>
              <w:top w:val="nil"/>
              <w:left w:val="nil"/>
              <w:bottom w:val="nil"/>
              <w:right w:val="nil"/>
            </w:tcBorders>
            <w:shd w:val="clear" w:color="000000" w:fill="92D05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nil"/>
              <w:right w:val="nil"/>
            </w:tcBorders>
            <w:shd w:val="clear" w:color="000000" w:fill="92D05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nil"/>
              <w:right w:val="nil"/>
            </w:tcBorders>
            <w:shd w:val="clear" w:color="000000" w:fill="92D05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nil"/>
              <w:right w:val="nil"/>
            </w:tcBorders>
            <w:shd w:val="clear" w:color="000000" w:fill="92D05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nil"/>
              <w:right w:val="nil"/>
            </w:tcBorders>
            <w:shd w:val="clear" w:color="000000" w:fill="FFFF0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r>
      <w:tr w:rsidR="009F5BA4" w:rsidRPr="002F4ABA" w:rsidTr="006349AF">
        <w:trPr>
          <w:trHeight w:val="315"/>
          <w:jc w:val="center"/>
        </w:trPr>
        <w:tc>
          <w:tcPr>
            <w:tcW w:w="4520" w:type="dxa"/>
            <w:tcBorders>
              <w:top w:val="nil"/>
              <w:left w:val="nil"/>
              <w:bottom w:val="single" w:sz="8" w:space="0" w:color="auto"/>
              <w:right w:val="nil"/>
            </w:tcBorders>
            <w:shd w:val="clear" w:color="auto" w:fill="auto"/>
            <w:vAlign w:val="center"/>
            <w:hideMark/>
          </w:tcPr>
          <w:p w:rsidR="009F5BA4" w:rsidRPr="002F4ABA" w:rsidRDefault="009F5BA4" w:rsidP="009F5BA4">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 </w:t>
            </w:r>
          </w:p>
        </w:tc>
        <w:tc>
          <w:tcPr>
            <w:tcW w:w="1760" w:type="dxa"/>
            <w:tcBorders>
              <w:top w:val="nil"/>
              <w:left w:val="nil"/>
              <w:bottom w:val="single" w:sz="8" w:space="0" w:color="auto"/>
              <w:right w:val="nil"/>
            </w:tcBorders>
            <w:shd w:val="clear" w:color="auto" w:fill="auto"/>
            <w:vAlign w:val="center"/>
            <w:hideMark/>
          </w:tcPr>
          <w:p w:rsidR="009F5BA4" w:rsidRPr="002F4ABA" w:rsidRDefault="009F5BA4" w:rsidP="009F5BA4">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2011-18 </w:t>
            </w:r>
          </w:p>
        </w:tc>
        <w:tc>
          <w:tcPr>
            <w:tcW w:w="960" w:type="dxa"/>
            <w:tcBorders>
              <w:top w:val="nil"/>
              <w:left w:val="nil"/>
              <w:bottom w:val="single" w:sz="8" w:space="0" w:color="auto"/>
              <w:right w:val="nil"/>
            </w:tcBorders>
            <w:shd w:val="clear" w:color="auto" w:fill="auto"/>
            <w:vAlign w:val="center"/>
            <w:hideMark/>
          </w:tcPr>
          <w:p w:rsidR="009F5BA4" w:rsidRPr="002F4ABA" w:rsidRDefault="009F5BA4" w:rsidP="009F5BA4">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2016 AQC</w:t>
            </w:r>
          </w:p>
        </w:tc>
        <w:tc>
          <w:tcPr>
            <w:tcW w:w="960" w:type="dxa"/>
            <w:tcBorders>
              <w:top w:val="single" w:sz="4" w:space="0" w:color="FFFFFF"/>
              <w:left w:val="single" w:sz="4" w:space="0" w:color="FFFFFF"/>
              <w:bottom w:val="single" w:sz="4" w:space="0" w:color="FFFFFF"/>
              <w:right w:val="nil"/>
            </w:tcBorders>
            <w:shd w:val="clear" w:color="000000" w:fill="92D05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6</w:t>
            </w:r>
          </w:p>
        </w:tc>
        <w:tc>
          <w:tcPr>
            <w:tcW w:w="960" w:type="dxa"/>
            <w:tcBorders>
              <w:top w:val="single" w:sz="4" w:space="0" w:color="FFFFFF"/>
              <w:left w:val="nil"/>
              <w:bottom w:val="single" w:sz="4" w:space="0" w:color="FFFFFF"/>
              <w:right w:val="nil"/>
            </w:tcBorders>
            <w:shd w:val="clear" w:color="000000" w:fill="92D05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single" w:sz="4" w:space="0" w:color="FFFFFF"/>
              <w:left w:val="nil"/>
              <w:bottom w:val="single" w:sz="4" w:space="0" w:color="FFFFFF"/>
              <w:right w:val="nil"/>
            </w:tcBorders>
            <w:shd w:val="clear" w:color="000000" w:fill="92D05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single" w:sz="4" w:space="0" w:color="FFFFFF"/>
              <w:left w:val="nil"/>
              <w:bottom w:val="single" w:sz="4" w:space="0" w:color="FFFFFF"/>
              <w:right w:val="nil"/>
            </w:tcBorders>
            <w:shd w:val="clear" w:color="000000" w:fill="FFFF0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single" w:sz="4" w:space="0" w:color="FFFFFF"/>
              <w:left w:val="nil"/>
              <w:bottom w:val="single" w:sz="4" w:space="0" w:color="FFFFFF"/>
              <w:right w:val="nil"/>
            </w:tcBorders>
            <w:shd w:val="clear" w:color="000000" w:fill="FFFF0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single" w:sz="4" w:space="0" w:color="FFFFFF"/>
              <w:left w:val="nil"/>
              <w:bottom w:val="single" w:sz="4" w:space="0" w:color="FFFFFF"/>
              <w:right w:val="single" w:sz="4" w:space="0" w:color="FFFFFF"/>
            </w:tcBorders>
            <w:shd w:val="clear" w:color="000000" w:fill="92D05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r>
      <w:tr w:rsidR="009F5BA4" w:rsidRPr="002F4ABA" w:rsidTr="006349AF">
        <w:trPr>
          <w:trHeight w:val="300"/>
          <w:jc w:val="center"/>
        </w:trPr>
        <w:tc>
          <w:tcPr>
            <w:tcW w:w="4520" w:type="dxa"/>
            <w:tcBorders>
              <w:top w:val="nil"/>
              <w:left w:val="nil"/>
              <w:bottom w:val="nil"/>
              <w:right w:val="nil"/>
            </w:tcBorders>
            <w:shd w:val="clear" w:color="auto" w:fill="auto"/>
            <w:vAlign w:val="center"/>
            <w:hideMark/>
          </w:tcPr>
          <w:p w:rsidR="009F5BA4" w:rsidRPr="002F4ABA" w:rsidRDefault="009F5BA4" w:rsidP="009F5BA4">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Pacific Risk Resilience Program</w:t>
            </w:r>
          </w:p>
        </w:tc>
        <w:tc>
          <w:tcPr>
            <w:tcW w:w="1760" w:type="dxa"/>
            <w:tcBorders>
              <w:top w:val="nil"/>
              <w:left w:val="nil"/>
              <w:bottom w:val="nil"/>
              <w:right w:val="nil"/>
            </w:tcBorders>
            <w:shd w:val="clear" w:color="auto" w:fill="auto"/>
            <w:vAlign w:val="center"/>
            <w:hideMark/>
          </w:tcPr>
          <w:p w:rsidR="009F5BA4" w:rsidRPr="002F4ABA" w:rsidRDefault="009F5BA4" w:rsidP="009F5BA4">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$20m </w:t>
            </w:r>
          </w:p>
        </w:tc>
        <w:tc>
          <w:tcPr>
            <w:tcW w:w="960" w:type="dxa"/>
            <w:tcBorders>
              <w:top w:val="nil"/>
              <w:left w:val="nil"/>
              <w:bottom w:val="nil"/>
              <w:right w:val="nil"/>
            </w:tcBorders>
            <w:shd w:val="clear" w:color="auto" w:fill="auto"/>
            <w:vAlign w:val="center"/>
            <w:hideMark/>
          </w:tcPr>
          <w:p w:rsidR="009F5BA4" w:rsidRPr="002F4ABA" w:rsidRDefault="009F5BA4" w:rsidP="009F5BA4">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2016 AQC</w:t>
            </w:r>
          </w:p>
        </w:tc>
        <w:tc>
          <w:tcPr>
            <w:tcW w:w="960" w:type="dxa"/>
            <w:tcBorders>
              <w:top w:val="nil"/>
              <w:left w:val="nil"/>
              <w:bottom w:val="single" w:sz="4" w:space="0" w:color="FFFFFF"/>
              <w:right w:val="nil"/>
            </w:tcBorders>
            <w:shd w:val="clear" w:color="000000" w:fill="92D05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4" w:space="0" w:color="FFFFFF"/>
              <w:right w:val="nil"/>
            </w:tcBorders>
            <w:shd w:val="clear" w:color="000000" w:fill="FFFF0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FFFF0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FFFF0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FFFF0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FFFF0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r>
      <w:tr w:rsidR="009F5BA4" w:rsidRPr="002F4ABA" w:rsidTr="006349AF">
        <w:trPr>
          <w:trHeight w:val="315"/>
          <w:jc w:val="center"/>
        </w:trPr>
        <w:tc>
          <w:tcPr>
            <w:tcW w:w="4520" w:type="dxa"/>
            <w:tcBorders>
              <w:top w:val="nil"/>
              <w:left w:val="nil"/>
              <w:bottom w:val="single" w:sz="8" w:space="0" w:color="auto"/>
              <w:right w:val="nil"/>
            </w:tcBorders>
            <w:shd w:val="clear" w:color="auto" w:fill="auto"/>
            <w:vAlign w:val="center"/>
            <w:hideMark/>
          </w:tcPr>
          <w:p w:rsidR="009F5BA4" w:rsidRPr="002F4ABA" w:rsidRDefault="009F5BA4" w:rsidP="009F5BA4">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 </w:t>
            </w:r>
          </w:p>
        </w:tc>
        <w:tc>
          <w:tcPr>
            <w:tcW w:w="1760" w:type="dxa"/>
            <w:tcBorders>
              <w:top w:val="nil"/>
              <w:left w:val="nil"/>
              <w:bottom w:val="single" w:sz="8" w:space="0" w:color="auto"/>
              <w:right w:val="nil"/>
            </w:tcBorders>
            <w:shd w:val="clear" w:color="auto" w:fill="auto"/>
            <w:vAlign w:val="center"/>
            <w:hideMark/>
          </w:tcPr>
          <w:p w:rsidR="009F5BA4" w:rsidRPr="002F4ABA" w:rsidRDefault="009F5BA4" w:rsidP="009F5BA4">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2011-18 </w:t>
            </w:r>
          </w:p>
        </w:tc>
        <w:tc>
          <w:tcPr>
            <w:tcW w:w="960" w:type="dxa"/>
            <w:tcBorders>
              <w:top w:val="nil"/>
              <w:left w:val="nil"/>
              <w:bottom w:val="single" w:sz="8" w:space="0" w:color="auto"/>
              <w:right w:val="nil"/>
            </w:tcBorders>
            <w:shd w:val="clear" w:color="auto" w:fill="auto"/>
            <w:vAlign w:val="center"/>
            <w:hideMark/>
          </w:tcPr>
          <w:p w:rsidR="009F5BA4" w:rsidRPr="002F4ABA" w:rsidRDefault="009F5BA4" w:rsidP="009F5BA4">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2015 AQC</w:t>
            </w:r>
          </w:p>
        </w:tc>
        <w:tc>
          <w:tcPr>
            <w:tcW w:w="960" w:type="dxa"/>
            <w:tcBorders>
              <w:top w:val="nil"/>
              <w:left w:val="nil"/>
              <w:bottom w:val="single" w:sz="8" w:space="0" w:color="auto"/>
              <w:right w:val="nil"/>
            </w:tcBorders>
            <w:shd w:val="clear" w:color="000000" w:fill="92D05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92D05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FFFF0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FFFF0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FFFF0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FFFF0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r>
      <w:tr w:rsidR="009F5BA4" w:rsidRPr="002F4ABA" w:rsidTr="006349AF">
        <w:trPr>
          <w:trHeight w:val="300"/>
          <w:jc w:val="center"/>
        </w:trPr>
        <w:tc>
          <w:tcPr>
            <w:tcW w:w="4520" w:type="dxa"/>
            <w:tcBorders>
              <w:top w:val="nil"/>
              <w:left w:val="nil"/>
              <w:bottom w:val="nil"/>
              <w:right w:val="nil"/>
            </w:tcBorders>
            <w:shd w:val="clear" w:color="auto" w:fill="auto"/>
            <w:vAlign w:val="center"/>
            <w:hideMark/>
          </w:tcPr>
          <w:p w:rsidR="009F5BA4" w:rsidRPr="002F4ABA" w:rsidRDefault="009F5BA4" w:rsidP="009F5BA4">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Pacific Women Shaping Pacific Development</w:t>
            </w:r>
          </w:p>
        </w:tc>
        <w:tc>
          <w:tcPr>
            <w:tcW w:w="1760" w:type="dxa"/>
            <w:tcBorders>
              <w:top w:val="nil"/>
              <w:left w:val="nil"/>
              <w:bottom w:val="nil"/>
              <w:right w:val="nil"/>
            </w:tcBorders>
            <w:shd w:val="clear" w:color="auto" w:fill="auto"/>
            <w:vAlign w:val="center"/>
            <w:hideMark/>
          </w:tcPr>
          <w:p w:rsidR="009F5BA4" w:rsidRPr="002F4ABA" w:rsidRDefault="009F5BA4" w:rsidP="009F5BA4">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$196m </w:t>
            </w:r>
          </w:p>
        </w:tc>
        <w:tc>
          <w:tcPr>
            <w:tcW w:w="960" w:type="dxa"/>
            <w:tcBorders>
              <w:top w:val="nil"/>
              <w:left w:val="nil"/>
              <w:bottom w:val="nil"/>
              <w:right w:val="nil"/>
            </w:tcBorders>
            <w:shd w:val="clear" w:color="auto" w:fill="auto"/>
            <w:vAlign w:val="center"/>
            <w:hideMark/>
          </w:tcPr>
          <w:p w:rsidR="009F5BA4" w:rsidRPr="002F4ABA" w:rsidRDefault="009F5BA4" w:rsidP="009F5BA4">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2017 AQC</w:t>
            </w:r>
          </w:p>
        </w:tc>
        <w:tc>
          <w:tcPr>
            <w:tcW w:w="960" w:type="dxa"/>
            <w:tcBorders>
              <w:top w:val="nil"/>
              <w:left w:val="nil"/>
              <w:bottom w:val="single" w:sz="4" w:space="0" w:color="FFFFFF"/>
              <w:right w:val="nil"/>
            </w:tcBorders>
            <w:shd w:val="clear" w:color="000000" w:fill="92D05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4" w:space="0" w:color="FFFFFF"/>
              <w:right w:val="nil"/>
            </w:tcBorders>
            <w:shd w:val="clear" w:color="000000" w:fill="FFFF0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FFFF0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FFFF0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92D05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4" w:space="0" w:color="FFFFFF"/>
              <w:right w:val="nil"/>
            </w:tcBorders>
            <w:shd w:val="clear" w:color="000000" w:fill="92D05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r>
      <w:tr w:rsidR="009F5BA4" w:rsidRPr="002F4ABA" w:rsidTr="006349AF">
        <w:trPr>
          <w:trHeight w:val="315"/>
          <w:jc w:val="center"/>
        </w:trPr>
        <w:tc>
          <w:tcPr>
            <w:tcW w:w="4520" w:type="dxa"/>
            <w:tcBorders>
              <w:top w:val="nil"/>
              <w:left w:val="nil"/>
              <w:bottom w:val="single" w:sz="8" w:space="0" w:color="auto"/>
              <w:right w:val="nil"/>
            </w:tcBorders>
            <w:shd w:val="clear" w:color="auto" w:fill="auto"/>
            <w:vAlign w:val="center"/>
            <w:hideMark/>
          </w:tcPr>
          <w:p w:rsidR="009F5BA4" w:rsidRPr="002F4ABA" w:rsidRDefault="009F5BA4" w:rsidP="009F5BA4">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 </w:t>
            </w:r>
          </w:p>
        </w:tc>
        <w:tc>
          <w:tcPr>
            <w:tcW w:w="1760" w:type="dxa"/>
            <w:tcBorders>
              <w:top w:val="nil"/>
              <w:left w:val="nil"/>
              <w:bottom w:val="single" w:sz="8" w:space="0" w:color="auto"/>
              <w:right w:val="nil"/>
            </w:tcBorders>
            <w:shd w:val="clear" w:color="auto" w:fill="auto"/>
            <w:vAlign w:val="center"/>
            <w:hideMark/>
          </w:tcPr>
          <w:p w:rsidR="009F5BA4" w:rsidRPr="002F4ABA" w:rsidRDefault="009F5BA4" w:rsidP="009F5BA4">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2012-22 </w:t>
            </w:r>
          </w:p>
        </w:tc>
        <w:tc>
          <w:tcPr>
            <w:tcW w:w="960" w:type="dxa"/>
            <w:tcBorders>
              <w:top w:val="nil"/>
              <w:left w:val="nil"/>
              <w:bottom w:val="single" w:sz="8" w:space="0" w:color="auto"/>
              <w:right w:val="nil"/>
            </w:tcBorders>
            <w:shd w:val="clear" w:color="auto" w:fill="auto"/>
            <w:vAlign w:val="center"/>
            <w:hideMark/>
          </w:tcPr>
          <w:p w:rsidR="009F5BA4" w:rsidRPr="002F4ABA" w:rsidRDefault="009F5BA4" w:rsidP="009F5BA4">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2016 AQC</w:t>
            </w:r>
          </w:p>
        </w:tc>
        <w:tc>
          <w:tcPr>
            <w:tcW w:w="960" w:type="dxa"/>
            <w:tcBorders>
              <w:top w:val="nil"/>
              <w:left w:val="nil"/>
              <w:bottom w:val="single" w:sz="8" w:space="0" w:color="auto"/>
              <w:right w:val="nil"/>
            </w:tcBorders>
            <w:shd w:val="clear" w:color="000000" w:fill="92D05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92D05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FFFF0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8" w:space="0" w:color="auto"/>
              <w:right w:val="nil"/>
            </w:tcBorders>
            <w:shd w:val="clear" w:color="000000" w:fill="FFFF0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8" w:space="0" w:color="auto"/>
              <w:right w:val="nil"/>
            </w:tcBorders>
            <w:shd w:val="clear" w:color="000000" w:fill="92D05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92D05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6</w:t>
            </w:r>
          </w:p>
        </w:tc>
      </w:tr>
      <w:tr w:rsidR="009F5BA4" w:rsidRPr="002F4ABA" w:rsidTr="006349AF">
        <w:trPr>
          <w:trHeight w:val="300"/>
          <w:jc w:val="center"/>
        </w:trPr>
        <w:tc>
          <w:tcPr>
            <w:tcW w:w="4520" w:type="dxa"/>
            <w:tcBorders>
              <w:top w:val="nil"/>
              <w:left w:val="nil"/>
              <w:bottom w:val="nil"/>
              <w:right w:val="nil"/>
            </w:tcBorders>
            <w:shd w:val="clear" w:color="auto" w:fill="auto"/>
            <w:vAlign w:val="center"/>
            <w:hideMark/>
          </w:tcPr>
          <w:p w:rsidR="009F5BA4" w:rsidRPr="002F4ABA" w:rsidRDefault="009F5BA4" w:rsidP="009F5BA4">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Pacific Specialised Clinical Services</w:t>
            </w:r>
          </w:p>
        </w:tc>
        <w:tc>
          <w:tcPr>
            <w:tcW w:w="1760" w:type="dxa"/>
            <w:tcBorders>
              <w:top w:val="nil"/>
              <w:left w:val="nil"/>
              <w:bottom w:val="nil"/>
              <w:right w:val="nil"/>
            </w:tcBorders>
            <w:shd w:val="clear" w:color="auto" w:fill="auto"/>
            <w:vAlign w:val="center"/>
            <w:hideMark/>
          </w:tcPr>
          <w:p w:rsidR="009F5BA4" w:rsidRPr="002F4ABA" w:rsidRDefault="009F5BA4" w:rsidP="009F5BA4">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$4m </w:t>
            </w:r>
          </w:p>
        </w:tc>
        <w:tc>
          <w:tcPr>
            <w:tcW w:w="960" w:type="dxa"/>
            <w:tcBorders>
              <w:top w:val="nil"/>
              <w:left w:val="nil"/>
              <w:bottom w:val="nil"/>
              <w:right w:val="nil"/>
            </w:tcBorders>
            <w:shd w:val="clear" w:color="auto" w:fill="auto"/>
            <w:vAlign w:val="center"/>
            <w:hideMark/>
          </w:tcPr>
          <w:p w:rsidR="009F5BA4" w:rsidRPr="002F4ABA" w:rsidRDefault="009F5BA4" w:rsidP="009F5BA4">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2017 AQC</w:t>
            </w:r>
          </w:p>
        </w:tc>
        <w:tc>
          <w:tcPr>
            <w:tcW w:w="960" w:type="dxa"/>
            <w:tcBorders>
              <w:top w:val="nil"/>
              <w:left w:val="nil"/>
              <w:bottom w:val="single" w:sz="4" w:space="0" w:color="FFFFFF"/>
              <w:right w:val="nil"/>
            </w:tcBorders>
            <w:shd w:val="clear" w:color="000000" w:fill="92D05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4" w:space="0" w:color="FFFFFF"/>
              <w:right w:val="nil"/>
            </w:tcBorders>
            <w:shd w:val="clear" w:color="000000" w:fill="FFFF0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FFFF0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FFC00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3</w:t>
            </w:r>
          </w:p>
        </w:tc>
        <w:tc>
          <w:tcPr>
            <w:tcW w:w="960" w:type="dxa"/>
            <w:tcBorders>
              <w:top w:val="nil"/>
              <w:left w:val="nil"/>
              <w:bottom w:val="single" w:sz="4" w:space="0" w:color="FFFFFF"/>
              <w:right w:val="nil"/>
            </w:tcBorders>
            <w:shd w:val="clear" w:color="000000" w:fill="FFFF0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92D05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r>
      <w:tr w:rsidR="009F5BA4" w:rsidRPr="002F4ABA" w:rsidTr="006349AF">
        <w:trPr>
          <w:trHeight w:val="315"/>
          <w:jc w:val="center"/>
        </w:trPr>
        <w:tc>
          <w:tcPr>
            <w:tcW w:w="4520" w:type="dxa"/>
            <w:tcBorders>
              <w:top w:val="nil"/>
              <w:left w:val="nil"/>
              <w:bottom w:val="single" w:sz="8" w:space="0" w:color="auto"/>
              <w:right w:val="nil"/>
            </w:tcBorders>
            <w:shd w:val="clear" w:color="auto" w:fill="auto"/>
            <w:vAlign w:val="center"/>
            <w:hideMark/>
          </w:tcPr>
          <w:p w:rsidR="009F5BA4" w:rsidRPr="002F4ABA" w:rsidRDefault="009F5BA4" w:rsidP="009F5BA4">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 </w:t>
            </w:r>
          </w:p>
        </w:tc>
        <w:tc>
          <w:tcPr>
            <w:tcW w:w="1760" w:type="dxa"/>
            <w:tcBorders>
              <w:top w:val="nil"/>
              <w:left w:val="nil"/>
              <w:bottom w:val="single" w:sz="8" w:space="0" w:color="auto"/>
              <w:right w:val="nil"/>
            </w:tcBorders>
            <w:shd w:val="clear" w:color="auto" w:fill="auto"/>
            <w:vAlign w:val="center"/>
            <w:hideMark/>
          </w:tcPr>
          <w:p w:rsidR="009F5BA4" w:rsidRPr="002F4ABA" w:rsidRDefault="009F5BA4" w:rsidP="009F5BA4">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2011-16 </w:t>
            </w:r>
          </w:p>
        </w:tc>
        <w:tc>
          <w:tcPr>
            <w:tcW w:w="960" w:type="dxa"/>
            <w:tcBorders>
              <w:top w:val="nil"/>
              <w:left w:val="nil"/>
              <w:bottom w:val="single" w:sz="8" w:space="0" w:color="auto"/>
              <w:right w:val="nil"/>
            </w:tcBorders>
            <w:shd w:val="clear" w:color="auto" w:fill="auto"/>
            <w:vAlign w:val="center"/>
            <w:hideMark/>
          </w:tcPr>
          <w:p w:rsidR="009F5BA4" w:rsidRPr="002F4ABA" w:rsidRDefault="009F5BA4" w:rsidP="009F5BA4">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2016 AQC</w:t>
            </w:r>
          </w:p>
        </w:tc>
        <w:tc>
          <w:tcPr>
            <w:tcW w:w="960" w:type="dxa"/>
            <w:tcBorders>
              <w:top w:val="nil"/>
              <w:left w:val="nil"/>
              <w:bottom w:val="single" w:sz="8" w:space="0" w:color="auto"/>
              <w:right w:val="nil"/>
            </w:tcBorders>
            <w:shd w:val="clear" w:color="000000" w:fill="92D05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8" w:space="0" w:color="auto"/>
              <w:right w:val="nil"/>
            </w:tcBorders>
            <w:shd w:val="clear" w:color="000000" w:fill="FFFF0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8" w:space="0" w:color="auto"/>
              <w:right w:val="nil"/>
            </w:tcBorders>
            <w:shd w:val="clear" w:color="000000" w:fill="92D05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8" w:space="0" w:color="auto"/>
              <w:right w:val="nil"/>
            </w:tcBorders>
            <w:shd w:val="clear" w:color="000000" w:fill="92D05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8" w:space="0" w:color="auto"/>
              <w:right w:val="nil"/>
            </w:tcBorders>
            <w:shd w:val="clear" w:color="000000" w:fill="FFFF0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8" w:space="0" w:color="auto"/>
              <w:right w:val="nil"/>
            </w:tcBorders>
            <w:shd w:val="clear" w:color="000000" w:fill="FFC00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3</w:t>
            </w:r>
          </w:p>
        </w:tc>
      </w:tr>
      <w:tr w:rsidR="009F5BA4" w:rsidRPr="002F4ABA" w:rsidTr="006349AF">
        <w:trPr>
          <w:trHeight w:val="300"/>
          <w:jc w:val="center"/>
        </w:trPr>
        <w:tc>
          <w:tcPr>
            <w:tcW w:w="4520" w:type="dxa"/>
            <w:tcBorders>
              <w:top w:val="nil"/>
              <w:left w:val="nil"/>
              <w:bottom w:val="nil"/>
              <w:right w:val="nil"/>
            </w:tcBorders>
            <w:shd w:val="clear" w:color="auto" w:fill="auto"/>
            <w:vAlign w:val="center"/>
            <w:hideMark/>
          </w:tcPr>
          <w:p w:rsidR="009F5BA4" w:rsidRPr="002F4ABA" w:rsidRDefault="009F5BA4" w:rsidP="009F5BA4">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Pacific Public Administration Governance Initiative</w:t>
            </w:r>
          </w:p>
        </w:tc>
        <w:tc>
          <w:tcPr>
            <w:tcW w:w="1760" w:type="dxa"/>
            <w:tcBorders>
              <w:top w:val="nil"/>
              <w:left w:val="nil"/>
              <w:bottom w:val="nil"/>
              <w:right w:val="nil"/>
            </w:tcBorders>
            <w:shd w:val="clear" w:color="auto" w:fill="auto"/>
            <w:vAlign w:val="center"/>
            <w:hideMark/>
          </w:tcPr>
          <w:p w:rsidR="009F5BA4" w:rsidRPr="002F4ABA" w:rsidRDefault="009F5BA4" w:rsidP="009F5BA4">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$9m </w:t>
            </w:r>
          </w:p>
        </w:tc>
        <w:tc>
          <w:tcPr>
            <w:tcW w:w="960" w:type="dxa"/>
            <w:tcBorders>
              <w:top w:val="nil"/>
              <w:left w:val="nil"/>
              <w:bottom w:val="nil"/>
              <w:right w:val="nil"/>
            </w:tcBorders>
            <w:shd w:val="clear" w:color="auto" w:fill="auto"/>
            <w:vAlign w:val="center"/>
            <w:hideMark/>
          </w:tcPr>
          <w:p w:rsidR="009F5BA4" w:rsidRPr="002F4ABA" w:rsidRDefault="009F5BA4" w:rsidP="009F5BA4">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2017 AQC</w:t>
            </w:r>
          </w:p>
        </w:tc>
        <w:tc>
          <w:tcPr>
            <w:tcW w:w="960" w:type="dxa"/>
            <w:tcBorders>
              <w:top w:val="nil"/>
              <w:left w:val="nil"/>
              <w:bottom w:val="single" w:sz="4" w:space="0" w:color="FFFFFF"/>
              <w:right w:val="nil"/>
            </w:tcBorders>
            <w:shd w:val="clear" w:color="000000" w:fill="92D05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4" w:space="0" w:color="FFFFFF"/>
              <w:right w:val="nil"/>
            </w:tcBorders>
            <w:shd w:val="clear" w:color="000000" w:fill="FFFF0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FFC00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3</w:t>
            </w:r>
          </w:p>
        </w:tc>
        <w:tc>
          <w:tcPr>
            <w:tcW w:w="960" w:type="dxa"/>
            <w:tcBorders>
              <w:top w:val="nil"/>
              <w:left w:val="nil"/>
              <w:bottom w:val="single" w:sz="4" w:space="0" w:color="FFFFFF"/>
              <w:right w:val="nil"/>
            </w:tcBorders>
            <w:shd w:val="clear" w:color="000000" w:fill="FFC00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3</w:t>
            </w:r>
          </w:p>
        </w:tc>
        <w:tc>
          <w:tcPr>
            <w:tcW w:w="960" w:type="dxa"/>
            <w:tcBorders>
              <w:top w:val="nil"/>
              <w:left w:val="nil"/>
              <w:bottom w:val="single" w:sz="4" w:space="0" w:color="FFFFFF"/>
              <w:right w:val="nil"/>
            </w:tcBorders>
            <w:shd w:val="clear" w:color="000000" w:fill="FFC00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3</w:t>
            </w:r>
          </w:p>
        </w:tc>
        <w:tc>
          <w:tcPr>
            <w:tcW w:w="960" w:type="dxa"/>
            <w:tcBorders>
              <w:top w:val="nil"/>
              <w:left w:val="nil"/>
              <w:bottom w:val="single" w:sz="4" w:space="0" w:color="FFFFFF"/>
              <w:right w:val="nil"/>
            </w:tcBorders>
            <w:shd w:val="clear" w:color="000000" w:fill="FFC00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3</w:t>
            </w:r>
          </w:p>
        </w:tc>
      </w:tr>
      <w:tr w:rsidR="009F5BA4" w:rsidRPr="002F4ABA" w:rsidTr="006349AF">
        <w:trPr>
          <w:trHeight w:val="315"/>
          <w:jc w:val="center"/>
        </w:trPr>
        <w:tc>
          <w:tcPr>
            <w:tcW w:w="4520" w:type="dxa"/>
            <w:tcBorders>
              <w:top w:val="nil"/>
              <w:left w:val="nil"/>
              <w:bottom w:val="single" w:sz="8" w:space="0" w:color="auto"/>
              <w:right w:val="nil"/>
            </w:tcBorders>
            <w:shd w:val="clear" w:color="auto" w:fill="auto"/>
            <w:vAlign w:val="center"/>
            <w:hideMark/>
          </w:tcPr>
          <w:p w:rsidR="009F5BA4" w:rsidRPr="002F4ABA" w:rsidRDefault="009F5BA4" w:rsidP="009F5BA4">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 </w:t>
            </w:r>
          </w:p>
        </w:tc>
        <w:tc>
          <w:tcPr>
            <w:tcW w:w="1760" w:type="dxa"/>
            <w:tcBorders>
              <w:top w:val="nil"/>
              <w:left w:val="nil"/>
              <w:bottom w:val="nil"/>
              <w:right w:val="nil"/>
            </w:tcBorders>
            <w:shd w:val="clear" w:color="auto" w:fill="auto"/>
            <w:vAlign w:val="center"/>
            <w:hideMark/>
          </w:tcPr>
          <w:p w:rsidR="009F5BA4" w:rsidRPr="002F4ABA" w:rsidRDefault="009F5BA4" w:rsidP="009F5BA4">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2014-17 </w:t>
            </w:r>
          </w:p>
        </w:tc>
        <w:tc>
          <w:tcPr>
            <w:tcW w:w="960" w:type="dxa"/>
            <w:tcBorders>
              <w:top w:val="nil"/>
              <w:left w:val="nil"/>
              <w:bottom w:val="nil"/>
              <w:right w:val="nil"/>
            </w:tcBorders>
            <w:shd w:val="clear" w:color="auto" w:fill="auto"/>
            <w:vAlign w:val="center"/>
            <w:hideMark/>
          </w:tcPr>
          <w:p w:rsidR="009F5BA4" w:rsidRPr="002F4ABA" w:rsidRDefault="009F5BA4" w:rsidP="009F5BA4">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2015 AQC</w:t>
            </w:r>
          </w:p>
        </w:tc>
        <w:tc>
          <w:tcPr>
            <w:tcW w:w="960" w:type="dxa"/>
            <w:tcBorders>
              <w:top w:val="nil"/>
              <w:left w:val="nil"/>
              <w:bottom w:val="nil"/>
              <w:right w:val="nil"/>
            </w:tcBorders>
            <w:shd w:val="clear" w:color="000000" w:fill="92D05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nil"/>
              <w:right w:val="nil"/>
            </w:tcBorders>
            <w:shd w:val="clear" w:color="000000" w:fill="FFFF0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nil"/>
              <w:right w:val="nil"/>
            </w:tcBorders>
            <w:shd w:val="clear" w:color="000000" w:fill="FFFF0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nil"/>
              <w:right w:val="nil"/>
            </w:tcBorders>
            <w:shd w:val="clear" w:color="000000" w:fill="FFFF0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nil"/>
              <w:right w:val="nil"/>
            </w:tcBorders>
            <w:shd w:val="clear" w:color="000000" w:fill="FFFF0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nil"/>
              <w:right w:val="nil"/>
            </w:tcBorders>
            <w:shd w:val="clear" w:color="000000" w:fill="FFC00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3</w:t>
            </w:r>
          </w:p>
        </w:tc>
      </w:tr>
      <w:tr w:rsidR="009F5BA4" w:rsidRPr="002F4ABA" w:rsidTr="006349AF">
        <w:trPr>
          <w:trHeight w:val="300"/>
          <w:jc w:val="center"/>
        </w:trPr>
        <w:tc>
          <w:tcPr>
            <w:tcW w:w="4520" w:type="dxa"/>
            <w:tcBorders>
              <w:top w:val="nil"/>
              <w:left w:val="nil"/>
              <w:bottom w:val="nil"/>
              <w:right w:val="nil"/>
            </w:tcBorders>
            <w:shd w:val="clear" w:color="auto" w:fill="auto"/>
            <w:vAlign w:val="center"/>
            <w:hideMark/>
          </w:tcPr>
          <w:p w:rsidR="009F5BA4" w:rsidRPr="002F4ABA" w:rsidRDefault="009F5BA4" w:rsidP="009F5BA4">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International Finance Corporation Pacific E.Timor</w:t>
            </w:r>
          </w:p>
        </w:tc>
        <w:tc>
          <w:tcPr>
            <w:tcW w:w="1760" w:type="dxa"/>
            <w:tcBorders>
              <w:top w:val="single" w:sz="8" w:space="0" w:color="auto"/>
              <w:left w:val="nil"/>
              <w:bottom w:val="nil"/>
              <w:right w:val="nil"/>
            </w:tcBorders>
            <w:shd w:val="clear" w:color="auto" w:fill="auto"/>
            <w:vAlign w:val="center"/>
            <w:hideMark/>
          </w:tcPr>
          <w:p w:rsidR="009F5BA4" w:rsidRPr="002F4ABA" w:rsidRDefault="009F5BA4" w:rsidP="009F5BA4">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$24m </w:t>
            </w:r>
          </w:p>
        </w:tc>
        <w:tc>
          <w:tcPr>
            <w:tcW w:w="960" w:type="dxa"/>
            <w:tcBorders>
              <w:top w:val="single" w:sz="8" w:space="0" w:color="auto"/>
              <w:left w:val="nil"/>
              <w:bottom w:val="nil"/>
              <w:right w:val="nil"/>
            </w:tcBorders>
            <w:shd w:val="clear" w:color="auto" w:fill="auto"/>
            <w:vAlign w:val="center"/>
            <w:hideMark/>
          </w:tcPr>
          <w:p w:rsidR="009F5BA4" w:rsidRPr="002F4ABA" w:rsidRDefault="009F5BA4" w:rsidP="009F5BA4">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2017 AQC</w:t>
            </w:r>
          </w:p>
        </w:tc>
        <w:tc>
          <w:tcPr>
            <w:tcW w:w="960" w:type="dxa"/>
            <w:tcBorders>
              <w:top w:val="single" w:sz="8" w:space="0" w:color="auto"/>
              <w:left w:val="nil"/>
              <w:bottom w:val="single" w:sz="4" w:space="0" w:color="FFFFFF"/>
              <w:right w:val="nil"/>
            </w:tcBorders>
            <w:shd w:val="clear" w:color="000000" w:fill="92D05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6</w:t>
            </w:r>
          </w:p>
        </w:tc>
        <w:tc>
          <w:tcPr>
            <w:tcW w:w="960" w:type="dxa"/>
            <w:tcBorders>
              <w:top w:val="single" w:sz="8" w:space="0" w:color="auto"/>
              <w:left w:val="nil"/>
              <w:bottom w:val="single" w:sz="4" w:space="0" w:color="FFFFFF"/>
              <w:right w:val="nil"/>
            </w:tcBorders>
            <w:shd w:val="clear" w:color="000000" w:fill="FFFF0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single" w:sz="8" w:space="0" w:color="auto"/>
              <w:left w:val="nil"/>
              <w:bottom w:val="single" w:sz="4" w:space="0" w:color="FFFFFF"/>
              <w:right w:val="nil"/>
            </w:tcBorders>
            <w:shd w:val="clear" w:color="000000" w:fill="FFC00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3</w:t>
            </w:r>
          </w:p>
        </w:tc>
        <w:tc>
          <w:tcPr>
            <w:tcW w:w="960" w:type="dxa"/>
            <w:tcBorders>
              <w:top w:val="single" w:sz="8" w:space="0" w:color="auto"/>
              <w:left w:val="nil"/>
              <w:bottom w:val="single" w:sz="4" w:space="0" w:color="FFFFFF"/>
              <w:right w:val="nil"/>
            </w:tcBorders>
            <w:shd w:val="clear" w:color="000000" w:fill="92D05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single" w:sz="8" w:space="0" w:color="auto"/>
              <w:left w:val="nil"/>
              <w:bottom w:val="single" w:sz="4" w:space="0" w:color="FFFFFF"/>
              <w:right w:val="nil"/>
            </w:tcBorders>
            <w:shd w:val="clear" w:color="000000" w:fill="FFFF0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single" w:sz="8" w:space="0" w:color="auto"/>
              <w:left w:val="nil"/>
              <w:bottom w:val="single" w:sz="4" w:space="0" w:color="FFFFFF"/>
              <w:right w:val="nil"/>
            </w:tcBorders>
            <w:shd w:val="clear" w:color="000000" w:fill="FFFF0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r>
      <w:tr w:rsidR="009F5BA4" w:rsidRPr="002F4ABA" w:rsidTr="006349AF">
        <w:trPr>
          <w:trHeight w:val="315"/>
          <w:jc w:val="center"/>
        </w:trPr>
        <w:tc>
          <w:tcPr>
            <w:tcW w:w="4520" w:type="dxa"/>
            <w:tcBorders>
              <w:top w:val="nil"/>
              <w:left w:val="nil"/>
              <w:bottom w:val="single" w:sz="8" w:space="0" w:color="auto"/>
              <w:right w:val="nil"/>
            </w:tcBorders>
            <w:shd w:val="clear" w:color="auto" w:fill="auto"/>
            <w:vAlign w:val="center"/>
            <w:hideMark/>
          </w:tcPr>
          <w:p w:rsidR="009F5BA4" w:rsidRPr="002F4ABA" w:rsidRDefault="009F5BA4" w:rsidP="009F5BA4">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 </w:t>
            </w:r>
          </w:p>
        </w:tc>
        <w:tc>
          <w:tcPr>
            <w:tcW w:w="1760" w:type="dxa"/>
            <w:tcBorders>
              <w:top w:val="nil"/>
              <w:left w:val="nil"/>
              <w:bottom w:val="single" w:sz="8" w:space="0" w:color="auto"/>
              <w:right w:val="nil"/>
            </w:tcBorders>
            <w:shd w:val="clear" w:color="auto" w:fill="auto"/>
            <w:vAlign w:val="center"/>
            <w:hideMark/>
          </w:tcPr>
          <w:p w:rsidR="009F5BA4" w:rsidRPr="002F4ABA" w:rsidRDefault="009F5BA4" w:rsidP="009F5BA4">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2012-18 </w:t>
            </w:r>
          </w:p>
        </w:tc>
        <w:tc>
          <w:tcPr>
            <w:tcW w:w="960" w:type="dxa"/>
            <w:tcBorders>
              <w:top w:val="nil"/>
              <w:left w:val="nil"/>
              <w:bottom w:val="single" w:sz="8" w:space="0" w:color="auto"/>
              <w:right w:val="nil"/>
            </w:tcBorders>
            <w:shd w:val="clear" w:color="auto" w:fill="auto"/>
            <w:vAlign w:val="center"/>
            <w:hideMark/>
          </w:tcPr>
          <w:p w:rsidR="009F5BA4" w:rsidRPr="002F4ABA" w:rsidRDefault="009F5BA4" w:rsidP="009F5BA4">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2016 AQC</w:t>
            </w:r>
          </w:p>
        </w:tc>
        <w:tc>
          <w:tcPr>
            <w:tcW w:w="960" w:type="dxa"/>
            <w:tcBorders>
              <w:top w:val="nil"/>
              <w:left w:val="nil"/>
              <w:bottom w:val="single" w:sz="8" w:space="0" w:color="auto"/>
              <w:right w:val="nil"/>
            </w:tcBorders>
            <w:shd w:val="clear" w:color="000000" w:fill="92D05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92D05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92D05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92D05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92D05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92D05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r>
      <w:tr w:rsidR="009F5BA4" w:rsidRPr="002F4ABA" w:rsidTr="006349AF">
        <w:trPr>
          <w:trHeight w:val="300"/>
          <w:jc w:val="center"/>
        </w:trPr>
        <w:tc>
          <w:tcPr>
            <w:tcW w:w="4520" w:type="dxa"/>
            <w:tcBorders>
              <w:top w:val="nil"/>
              <w:left w:val="nil"/>
              <w:bottom w:val="nil"/>
              <w:right w:val="nil"/>
            </w:tcBorders>
            <w:shd w:val="clear" w:color="auto" w:fill="auto"/>
            <w:vAlign w:val="center"/>
            <w:hideMark/>
          </w:tcPr>
          <w:p w:rsidR="009F5BA4" w:rsidRPr="002F4ABA" w:rsidRDefault="009F5BA4" w:rsidP="009F5BA4">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Pacific Regional Health Strategy</w:t>
            </w:r>
          </w:p>
        </w:tc>
        <w:tc>
          <w:tcPr>
            <w:tcW w:w="1760" w:type="dxa"/>
            <w:tcBorders>
              <w:top w:val="nil"/>
              <w:left w:val="nil"/>
              <w:bottom w:val="nil"/>
              <w:right w:val="nil"/>
            </w:tcBorders>
            <w:shd w:val="clear" w:color="auto" w:fill="auto"/>
            <w:vAlign w:val="center"/>
            <w:hideMark/>
          </w:tcPr>
          <w:p w:rsidR="009F5BA4" w:rsidRPr="002F4ABA" w:rsidRDefault="009F5BA4" w:rsidP="009F5BA4">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$37m </w:t>
            </w:r>
          </w:p>
        </w:tc>
        <w:tc>
          <w:tcPr>
            <w:tcW w:w="960" w:type="dxa"/>
            <w:tcBorders>
              <w:top w:val="nil"/>
              <w:left w:val="nil"/>
              <w:bottom w:val="nil"/>
              <w:right w:val="nil"/>
            </w:tcBorders>
            <w:shd w:val="clear" w:color="auto" w:fill="auto"/>
            <w:vAlign w:val="center"/>
            <w:hideMark/>
          </w:tcPr>
          <w:p w:rsidR="009F5BA4" w:rsidRPr="002F4ABA" w:rsidRDefault="009F5BA4" w:rsidP="009F5BA4">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2017 AQC</w:t>
            </w:r>
          </w:p>
        </w:tc>
        <w:tc>
          <w:tcPr>
            <w:tcW w:w="960" w:type="dxa"/>
            <w:tcBorders>
              <w:top w:val="nil"/>
              <w:left w:val="nil"/>
              <w:bottom w:val="single" w:sz="4" w:space="0" w:color="FFFFFF"/>
              <w:right w:val="nil"/>
            </w:tcBorders>
            <w:shd w:val="clear" w:color="000000" w:fill="FFFF0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FFFF0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FFFF0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FFFF0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FFFF0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FFFF0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r>
      <w:tr w:rsidR="009F5BA4" w:rsidRPr="002F4ABA" w:rsidTr="006349AF">
        <w:trPr>
          <w:trHeight w:val="315"/>
          <w:jc w:val="center"/>
        </w:trPr>
        <w:tc>
          <w:tcPr>
            <w:tcW w:w="4520" w:type="dxa"/>
            <w:tcBorders>
              <w:top w:val="nil"/>
              <w:left w:val="nil"/>
              <w:bottom w:val="single" w:sz="8" w:space="0" w:color="auto"/>
              <w:right w:val="nil"/>
            </w:tcBorders>
            <w:shd w:val="clear" w:color="auto" w:fill="auto"/>
            <w:vAlign w:val="center"/>
            <w:hideMark/>
          </w:tcPr>
          <w:p w:rsidR="009F5BA4" w:rsidRPr="002F4ABA" w:rsidRDefault="009F5BA4" w:rsidP="009F5BA4">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 </w:t>
            </w:r>
          </w:p>
        </w:tc>
        <w:tc>
          <w:tcPr>
            <w:tcW w:w="1760" w:type="dxa"/>
            <w:tcBorders>
              <w:top w:val="nil"/>
              <w:left w:val="nil"/>
              <w:bottom w:val="single" w:sz="8" w:space="0" w:color="auto"/>
              <w:right w:val="nil"/>
            </w:tcBorders>
            <w:shd w:val="clear" w:color="auto" w:fill="auto"/>
            <w:vAlign w:val="center"/>
            <w:hideMark/>
          </w:tcPr>
          <w:p w:rsidR="009F5BA4" w:rsidRPr="002F4ABA" w:rsidRDefault="009F5BA4" w:rsidP="009F5BA4">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2013-21 </w:t>
            </w:r>
          </w:p>
        </w:tc>
        <w:tc>
          <w:tcPr>
            <w:tcW w:w="960" w:type="dxa"/>
            <w:tcBorders>
              <w:top w:val="nil"/>
              <w:left w:val="nil"/>
              <w:bottom w:val="single" w:sz="8" w:space="0" w:color="auto"/>
              <w:right w:val="nil"/>
            </w:tcBorders>
            <w:shd w:val="clear" w:color="auto" w:fill="auto"/>
            <w:vAlign w:val="center"/>
            <w:hideMark/>
          </w:tcPr>
          <w:p w:rsidR="009F5BA4" w:rsidRPr="002F4ABA" w:rsidRDefault="009F5BA4" w:rsidP="009F5BA4">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2016 AQC</w:t>
            </w:r>
          </w:p>
        </w:tc>
        <w:tc>
          <w:tcPr>
            <w:tcW w:w="960" w:type="dxa"/>
            <w:tcBorders>
              <w:top w:val="nil"/>
              <w:left w:val="nil"/>
              <w:bottom w:val="single" w:sz="8" w:space="0" w:color="auto"/>
              <w:right w:val="nil"/>
            </w:tcBorders>
            <w:shd w:val="clear" w:color="000000" w:fill="92D05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FFFF0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8" w:space="0" w:color="auto"/>
              <w:right w:val="nil"/>
            </w:tcBorders>
            <w:shd w:val="clear" w:color="000000" w:fill="FFC00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3</w:t>
            </w:r>
          </w:p>
        </w:tc>
        <w:tc>
          <w:tcPr>
            <w:tcW w:w="960" w:type="dxa"/>
            <w:tcBorders>
              <w:top w:val="nil"/>
              <w:left w:val="nil"/>
              <w:bottom w:val="single" w:sz="8" w:space="0" w:color="auto"/>
              <w:right w:val="nil"/>
            </w:tcBorders>
            <w:shd w:val="clear" w:color="000000" w:fill="FFFF0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8" w:space="0" w:color="auto"/>
              <w:right w:val="nil"/>
            </w:tcBorders>
            <w:shd w:val="clear" w:color="000000" w:fill="FFFF0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8" w:space="0" w:color="auto"/>
              <w:right w:val="nil"/>
            </w:tcBorders>
            <w:shd w:val="clear" w:color="000000" w:fill="FFFF0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r>
      <w:tr w:rsidR="009F5BA4" w:rsidRPr="002F4ABA" w:rsidTr="006349AF">
        <w:trPr>
          <w:trHeight w:val="300"/>
          <w:jc w:val="center"/>
        </w:trPr>
        <w:tc>
          <w:tcPr>
            <w:tcW w:w="4520" w:type="dxa"/>
            <w:tcBorders>
              <w:top w:val="nil"/>
              <w:left w:val="nil"/>
              <w:bottom w:val="nil"/>
              <w:right w:val="nil"/>
            </w:tcBorders>
            <w:shd w:val="clear" w:color="auto" w:fill="auto"/>
            <w:vAlign w:val="center"/>
            <w:hideMark/>
          </w:tcPr>
          <w:p w:rsidR="009F5BA4" w:rsidRPr="002F4ABA" w:rsidRDefault="009F5BA4" w:rsidP="009F5BA4">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Private Sector Development Initiative Phase 3</w:t>
            </w:r>
          </w:p>
        </w:tc>
        <w:tc>
          <w:tcPr>
            <w:tcW w:w="1760" w:type="dxa"/>
            <w:tcBorders>
              <w:top w:val="nil"/>
              <w:left w:val="nil"/>
              <w:bottom w:val="nil"/>
              <w:right w:val="nil"/>
            </w:tcBorders>
            <w:shd w:val="clear" w:color="auto" w:fill="auto"/>
            <w:vAlign w:val="center"/>
            <w:hideMark/>
          </w:tcPr>
          <w:p w:rsidR="009F5BA4" w:rsidRPr="002F4ABA" w:rsidRDefault="009F5BA4" w:rsidP="009F5BA4">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$24m </w:t>
            </w:r>
          </w:p>
        </w:tc>
        <w:tc>
          <w:tcPr>
            <w:tcW w:w="960" w:type="dxa"/>
            <w:tcBorders>
              <w:top w:val="nil"/>
              <w:left w:val="nil"/>
              <w:bottom w:val="nil"/>
              <w:right w:val="nil"/>
            </w:tcBorders>
            <w:shd w:val="clear" w:color="auto" w:fill="auto"/>
            <w:vAlign w:val="center"/>
            <w:hideMark/>
          </w:tcPr>
          <w:p w:rsidR="009F5BA4" w:rsidRPr="002F4ABA" w:rsidRDefault="009F5BA4" w:rsidP="009F5BA4">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2017 AQC</w:t>
            </w:r>
          </w:p>
        </w:tc>
        <w:tc>
          <w:tcPr>
            <w:tcW w:w="960" w:type="dxa"/>
            <w:tcBorders>
              <w:top w:val="nil"/>
              <w:left w:val="nil"/>
              <w:bottom w:val="single" w:sz="4" w:space="0" w:color="FFFFFF"/>
              <w:right w:val="nil"/>
            </w:tcBorders>
            <w:shd w:val="clear" w:color="000000" w:fill="92D05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6</w:t>
            </w:r>
          </w:p>
        </w:tc>
        <w:tc>
          <w:tcPr>
            <w:tcW w:w="960" w:type="dxa"/>
            <w:tcBorders>
              <w:top w:val="nil"/>
              <w:left w:val="nil"/>
              <w:bottom w:val="single" w:sz="4" w:space="0" w:color="FFFFFF"/>
              <w:right w:val="nil"/>
            </w:tcBorders>
            <w:shd w:val="clear" w:color="000000" w:fill="92D05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4" w:space="0" w:color="FFFFFF"/>
              <w:right w:val="nil"/>
            </w:tcBorders>
            <w:shd w:val="clear" w:color="000000" w:fill="92D05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4" w:space="0" w:color="FFFFFF"/>
              <w:right w:val="nil"/>
            </w:tcBorders>
            <w:shd w:val="clear" w:color="000000" w:fill="92D05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4" w:space="0" w:color="FFFFFF"/>
              <w:right w:val="nil"/>
            </w:tcBorders>
            <w:shd w:val="clear" w:color="000000" w:fill="92D05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4" w:space="0" w:color="FFFFFF"/>
              <w:right w:val="nil"/>
            </w:tcBorders>
            <w:shd w:val="clear" w:color="000000" w:fill="92D05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r>
      <w:tr w:rsidR="009F5BA4" w:rsidRPr="002F4ABA" w:rsidTr="006349AF">
        <w:trPr>
          <w:trHeight w:val="315"/>
          <w:jc w:val="center"/>
        </w:trPr>
        <w:tc>
          <w:tcPr>
            <w:tcW w:w="4520" w:type="dxa"/>
            <w:tcBorders>
              <w:top w:val="nil"/>
              <w:left w:val="nil"/>
              <w:bottom w:val="single" w:sz="8" w:space="0" w:color="auto"/>
              <w:right w:val="nil"/>
            </w:tcBorders>
            <w:shd w:val="clear" w:color="auto" w:fill="auto"/>
            <w:vAlign w:val="center"/>
            <w:hideMark/>
          </w:tcPr>
          <w:p w:rsidR="009F5BA4" w:rsidRPr="002F4ABA" w:rsidRDefault="009F5BA4" w:rsidP="009F5BA4">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 </w:t>
            </w:r>
          </w:p>
        </w:tc>
        <w:tc>
          <w:tcPr>
            <w:tcW w:w="1760" w:type="dxa"/>
            <w:tcBorders>
              <w:top w:val="nil"/>
              <w:left w:val="nil"/>
              <w:bottom w:val="single" w:sz="8" w:space="0" w:color="auto"/>
              <w:right w:val="nil"/>
            </w:tcBorders>
            <w:shd w:val="clear" w:color="auto" w:fill="auto"/>
            <w:vAlign w:val="center"/>
            <w:hideMark/>
          </w:tcPr>
          <w:p w:rsidR="009F5BA4" w:rsidRPr="002F4ABA" w:rsidRDefault="009F5BA4" w:rsidP="009F5BA4">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2013-19 </w:t>
            </w:r>
          </w:p>
        </w:tc>
        <w:tc>
          <w:tcPr>
            <w:tcW w:w="960" w:type="dxa"/>
            <w:tcBorders>
              <w:top w:val="nil"/>
              <w:left w:val="nil"/>
              <w:bottom w:val="single" w:sz="8" w:space="0" w:color="auto"/>
              <w:right w:val="nil"/>
            </w:tcBorders>
            <w:shd w:val="clear" w:color="auto" w:fill="auto"/>
            <w:vAlign w:val="center"/>
            <w:hideMark/>
          </w:tcPr>
          <w:p w:rsidR="009F5BA4" w:rsidRPr="002F4ABA" w:rsidRDefault="009F5BA4" w:rsidP="009F5BA4">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2016 AQC</w:t>
            </w:r>
          </w:p>
        </w:tc>
        <w:tc>
          <w:tcPr>
            <w:tcW w:w="960" w:type="dxa"/>
            <w:tcBorders>
              <w:top w:val="nil"/>
              <w:left w:val="nil"/>
              <w:bottom w:val="single" w:sz="8" w:space="0" w:color="auto"/>
              <w:right w:val="nil"/>
            </w:tcBorders>
            <w:shd w:val="clear" w:color="000000" w:fill="92D05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92D05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92D05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92D05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92D05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FFFF00"/>
            <w:noWrap/>
            <w:vAlign w:val="center"/>
            <w:hideMark/>
          </w:tcPr>
          <w:p w:rsidR="009F5BA4" w:rsidRPr="002F4ABA" w:rsidRDefault="009F5BA4" w:rsidP="009F5BA4">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r>
    </w:tbl>
    <w:p w:rsidR="002F4ABA" w:rsidRDefault="002F4ABA" w:rsidP="00C25AD7">
      <w:pPr>
        <w:keepNext/>
        <w:numPr>
          <w:ilvl w:val="2"/>
          <w:numId w:val="0"/>
        </w:numPr>
        <w:spacing w:before="240" w:after="120"/>
        <w:outlineLvl w:val="2"/>
        <w:rPr>
          <w:rFonts w:asciiTheme="majorHAnsi" w:eastAsiaTheme="majorEastAsia" w:hAnsiTheme="majorHAnsi" w:cstheme="majorBidi"/>
          <w:caps/>
          <w:sz w:val="38"/>
          <w:szCs w:val="26"/>
        </w:rPr>
      </w:pPr>
    </w:p>
    <w:tbl>
      <w:tblPr>
        <w:tblW w:w="13000" w:type="dxa"/>
        <w:jc w:val="center"/>
        <w:tblLook w:val="04A0" w:firstRow="1" w:lastRow="0" w:firstColumn="1" w:lastColumn="0" w:noHBand="0" w:noVBand="1"/>
      </w:tblPr>
      <w:tblGrid>
        <w:gridCol w:w="4520"/>
        <w:gridCol w:w="1760"/>
        <w:gridCol w:w="960"/>
        <w:gridCol w:w="960"/>
        <w:gridCol w:w="960"/>
        <w:gridCol w:w="960"/>
        <w:gridCol w:w="960"/>
        <w:gridCol w:w="960"/>
        <w:gridCol w:w="960"/>
      </w:tblGrid>
      <w:tr w:rsidR="002F4ABA" w:rsidRPr="002F4ABA" w:rsidTr="006349AF">
        <w:trPr>
          <w:trHeight w:val="1200"/>
          <w:jc w:val="center"/>
        </w:trPr>
        <w:tc>
          <w:tcPr>
            <w:tcW w:w="4520" w:type="dxa"/>
            <w:tcBorders>
              <w:top w:val="single" w:sz="12" w:space="0" w:color="000000"/>
              <w:left w:val="nil"/>
              <w:bottom w:val="single" w:sz="4" w:space="0" w:color="auto"/>
              <w:right w:val="nil"/>
            </w:tcBorders>
            <w:shd w:val="clear" w:color="auto" w:fill="auto"/>
            <w:vAlign w:val="center"/>
            <w:hideMark/>
          </w:tcPr>
          <w:p w:rsidR="002F4ABA" w:rsidRPr="002F4ABA" w:rsidRDefault="002F4ABA" w:rsidP="002F4ABA">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2F4ABA">
              <w:rPr>
                <w:rFonts w:ascii="Calibri Light" w:eastAsia="Times New Roman" w:hAnsi="Calibri Light" w:cs="Times New Roman"/>
                <w:b/>
                <w:bCs/>
                <w:iCs/>
                <w:noProof/>
                <w:color w:val="495965"/>
                <w:sz w:val="17"/>
                <w:szCs w:val="17"/>
                <w:lang w:val="en-AU" w:eastAsia="en-AU"/>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4619625" cy="228600"/>
                  <wp:effectExtent l="0" t="0" r="0" b="0"/>
                  <wp:wrapNone/>
                  <wp:docPr id="35" name="Picture 35" hidden="1"/>
                  <wp:cNvGraphicFramePr/>
                  <a:graphic xmlns:a="http://schemas.openxmlformats.org/drawingml/2006/main">
                    <a:graphicData uri="http://schemas.openxmlformats.org/drawingml/2006/picture">
                      <pic:pic xmlns:pic="http://schemas.openxmlformats.org/drawingml/2006/picture">
                        <pic:nvPicPr>
                          <pic:cNvPr id="3" name="Picture 6" hidden="1"/>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2F4ABA">
              <w:rPr>
                <w:rFonts w:ascii="Calibri Light" w:eastAsia="Times New Roman" w:hAnsi="Calibri Light" w:cs="Times New Roman"/>
                <w:b/>
                <w:bCs/>
                <w:iCs/>
                <w:color w:val="495965"/>
                <w:sz w:val="17"/>
                <w:szCs w:val="17"/>
                <w:lang w:eastAsia="en-AU"/>
              </w:rPr>
              <w:t>Investment name</w:t>
            </w:r>
          </w:p>
        </w:tc>
        <w:tc>
          <w:tcPr>
            <w:tcW w:w="1760" w:type="dxa"/>
            <w:tcBorders>
              <w:top w:val="single" w:sz="12" w:space="0" w:color="000000"/>
              <w:left w:val="nil"/>
              <w:bottom w:val="single" w:sz="4" w:space="0" w:color="auto"/>
              <w:right w:val="nil"/>
            </w:tcBorders>
            <w:shd w:val="clear" w:color="auto" w:fill="auto"/>
            <w:vAlign w:val="center"/>
            <w:hideMark/>
          </w:tcPr>
          <w:p w:rsidR="002F4ABA" w:rsidRPr="002F4ABA" w:rsidRDefault="002F4ABA" w:rsidP="002F4ABA">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2F4ABA">
              <w:rPr>
                <w:rFonts w:ascii="Calibri Light" w:eastAsia="Times New Roman" w:hAnsi="Calibri Light" w:cs="Times New Roman"/>
                <w:b/>
                <w:bCs/>
                <w:iCs/>
                <w:color w:val="495965"/>
                <w:sz w:val="17"/>
                <w:szCs w:val="17"/>
                <w:lang w:eastAsia="en-AU"/>
              </w:rPr>
              <w:t>Approved budget and duration</w:t>
            </w:r>
          </w:p>
        </w:tc>
        <w:tc>
          <w:tcPr>
            <w:tcW w:w="960" w:type="dxa"/>
            <w:tcBorders>
              <w:top w:val="single" w:sz="12" w:space="0" w:color="000000"/>
              <w:left w:val="nil"/>
              <w:bottom w:val="single" w:sz="4" w:space="0" w:color="auto"/>
              <w:right w:val="nil"/>
            </w:tcBorders>
            <w:shd w:val="clear" w:color="auto" w:fill="auto"/>
            <w:vAlign w:val="center"/>
            <w:hideMark/>
          </w:tcPr>
          <w:p w:rsidR="002F4ABA" w:rsidRPr="002F4ABA" w:rsidRDefault="002F4ABA" w:rsidP="002F4ABA">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2F4ABA">
              <w:rPr>
                <w:rFonts w:ascii="Calibri Light" w:eastAsia="Times New Roman" w:hAnsi="Calibri Light" w:cs="Times New Roman"/>
                <w:b/>
                <w:bCs/>
                <w:iCs/>
                <w:color w:val="495965"/>
                <w:sz w:val="17"/>
                <w:szCs w:val="17"/>
                <w:lang w:eastAsia="en-AU"/>
              </w:rPr>
              <w:t>year on year</w:t>
            </w:r>
          </w:p>
        </w:tc>
        <w:tc>
          <w:tcPr>
            <w:tcW w:w="960" w:type="dxa"/>
            <w:tcBorders>
              <w:top w:val="single" w:sz="12" w:space="0" w:color="000000"/>
              <w:left w:val="nil"/>
              <w:bottom w:val="single" w:sz="4" w:space="0" w:color="auto"/>
              <w:right w:val="nil"/>
            </w:tcBorders>
            <w:shd w:val="clear" w:color="auto" w:fill="auto"/>
            <w:textDirection w:val="btLr"/>
            <w:vAlign w:val="center"/>
            <w:hideMark/>
          </w:tcPr>
          <w:p w:rsidR="002F4ABA" w:rsidRPr="002F4ABA" w:rsidRDefault="002F4ABA" w:rsidP="002F4ABA">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2F4ABA">
              <w:rPr>
                <w:rFonts w:ascii="Calibri Light" w:eastAsia="Times New Roman" w:hAnsi="Calibri Light" w:cs="Times New Roman"/>
                <w:b/>
                <w:bCs/>
                <w:iCs/>
                <w:color w:val="495965"/>
                <w:sz w:val="17"/>
                <w:szCs w:val="17"/>
                <w:lang w:eastAsia="en-AU"/>
              </w:rPr>
              <w:t>Relevance</w:t>
            </w:r>
          </w:p>
        </w:tc>
        <w:tc>
          <w:tcPr>
            <w:tcW w:w="960" w:type="dxa"/>
            <w:tcBorders>
              <w:top w:val="single" w:sz="12" w:space="0" w:color="000000"/>
              <w:left w:val="nil"/>
              <w:bottom w:val="single" w:sz="4" w:space="0" w:color="auto"/>
              <w:right w:val="nil"/>
            </w:tcBorders>
            <w:shd w:val="clear" w:color="auto" w:fill="auto"/>
            <w:textDirection w:val="btLr"/>
            <w:vAlign w:val="center"/>
            <w:hideMark/>
          </w:tcPr>
          <w:p w:rsidR="002F4ABA" w:rsidRPr="002F4ABA" w:rsidRDefault="002F4ABA" w:rsidP="002F4ABA">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2F4ABA">
              <w:rPr>
                <w:rFonts w:ascii="Calibri Light" w:eastAsia="Times New Roman" w:hAnsi="Calibri Light" w:cs="Times New Roman"/>
                <w:b/>
                <w:bCs/>
                <w:iCs/>
                <w:color w:val="495965"/>
                <w:sz w:val="17"/>
                <w:szCs w:val="17"/>
                <w:lang w:eastAsia="en-AU"/>
              </w:rPr>
              <w:t>Effectiveness</w:t>
            </w:r>
          </w:p>
        </w:tc>
        <w:tc>
          <w:tcPr>
            <w:tcW w:w="960" w:type="dxa"/>
            <w:tcBorders>
              <w:top w:val="single" w:sz="12" w:space="0" w:color="000000"/>
              <w:left w:val="nil"/>
              <w:bottom w:val="single" w:sz="4" w:space="0" w:color="auto"/>
              <w:right w:val="nil"/>
            </w:tcBorders>
            <w:shd w:val="clear" w:color="auto" w:fill="auto"/>
            <w:textDirection w:val="btLr"/>
            <w:vAlign w:val="center"/>
            <w:hideMark/>
          </w:tcPr>
          <w:p w:rsidR="002F4ABA" w:rsidRPr="002F4ABA" w:rsidRDefault="002F4ABA" w:rsidP="002F4ABA">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2F4ABA">
              <w:rPr>
                <w:rFonts w:ascii="Calibri Light" w:eastAsia="Times New Roman" w:hAnsi="Calibri Light" w:cs="Times New Roman"/>
                <w:b/>
                <w:bCs/>
                <w:iCs/>
                <w:color w:val="495965"/>
                <w:sz w:val="17"/>
                <w:szCs w:val="17"/>
                <w:lang w:eastAsia="en-AU"/>
              </w:rPr>
              <w:t>Efficiency</w:t>
            </w:r>
          </w:p>
        </w:tc>
        <w:tc>
          <w:tcPr>
            <w:tcW w:w="960" w:type="dxa"/>
            <w:tcBorders>
              <w:top w:val="single" w:sz="12" w:space="0" w:color="000000"/>
              <w:left w:val="nil"/>
              <w:bottom w:val="single" w:sz="4" w:space="0" w:color="auto"/>
              <w:right w:val="nil"/>
            </w:tcBorders>
            <w:shd w:val="clear" w:color="auto" w:fill="auto"/>
            <w:textDirection w:val="btLr"/>
            <w:vAlign w:val="center"/>
            <w:hideMark/>
          </w:tcPr>
          <w:p w:rsidR="002F4ABA" w:rsidRPr="002F4ABA" w:rsidRDefault="002F4ABA" w:rsidP="002F4ABA">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2F4ABA">
              <w:rPr>
                <w:rFonts w:ascii="Calibri Light" w:eastAsia="Times New Roman" w:hAnsi="Calibri Light" w:cs="Times New Roman"/>
                <w:b/>
                <w:bCs/>
                <w:iCs/>
                <w:color w:val="495965"/>
                <w:sz w:val="17"/>
                <w:szCs w:val="17"/>
                <w:lang w:eastAsia="en-AU"/>
              </w:rPr>
              <w:t>Monitoring and Evaluation</w:t>
            </w:r>
          </w:p>
        </w:tc>
        <w:tc>
          <w:tcPr>
            <w:tcW w:w="960" w:type="dxa"/>
            <w:tcBorders>
              <w:top w:val="single" w:sz="12" w:space="0" w:color="000000"/>
              <w:left w:val="nil"/>
              <w:bottom w:val="single" w:sz="4" w:space="0" w:color="auto"/>
              <w:right w:val="nil"/>
            </w:tcBorders>
            <w:shd w:val="clear" w:color="auto" w:fill="auto"/>
            <w:textDirection w:val="btLr"/>
            <w:vAlign w:val="center"/>
            <w:hideMark/>
          </w:tcPr>
          <w:p w:rsidR="002F4ABA" w:rsidRPr="002F4ABA" w:rsidRDefault="002F4ABA" w:rsidP="002F4ABA">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2F4ABA">
              <w:rPr>
                <w:rFonts w:ascii="Calibri Light" w:eastAsia="Times New Roman" w:hAnsi="Calibri Light" w:cs="Times New Roman"/>
                <w:b/>
                <w:bCs/>
                <w:iCs/>
                <w:color w:val="495965"/>
                <w:sz w:val="17"/>
                <w:szCs w:val="17"/>
                <w:lang w:eastAsia="en-AU"/>
              </w:rPr>
              <w:t>Sustainability</w:t>
            </w:r>
          </w:p>
        </w:tc>
        <w:tc>
          <w:tcPr>
            <w:tcW w:w="960" w:type="dxa"/>
            <w:tcBorders>
              <w:top w:val="single" w:sz="12" w:space="0" w:color="000000"/>
              <w:left w:val="nil"/>
              <w:bottom w:val="single" w:sz="4" w:space="0" w:color="auto"/>
              <w:right w:val="nil"/>
            </w:tcBorders>
            <w:shd w:val="clear" w:color="auto" w:fill="auto"/>
            <w:textDirection w:val="btLr"/>
            <w:vAlign w:val="center"/>
            <w:hideMark/>
          </w:tcPr>
          <w:p w:rsidR="002F4ABA" w:rsidRPr="002F4ABA" w:rsidRDefault="002F4ABA" w:rsidP="002F4ABA">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2F4ABA">
              <w:rPr>
                <w:rFonts w:ascii="Calibri Light" w:eastAsia="Times New Roman" w:hAnsi="Calibri Light" w:cs="Times New Roman"/>
                <w:b/>
                <w:bCs/>
                <w:iCs/>
                <w:color w:val="495965"/>
                <w:sz w:val="17"/>
                <w:szCs w:val="17"/>
                <w:lang w:eastAsia="en-AU"/>
              </w:rPr>
              <w:t>Gender equality</w:t>
            </w:r>
          </w:p>
        </w:tc>
      </w:tr>
      <w:tr w:rsidR="002F4ABA" w:rsidRPr="002F4ABA" w:rsidTr="006349AF">
        <w:trPr>
          <w:trHeight w:val="300"/>
          <w:jc w:val="center"/>
        </w:trPr>
        <w:tc>
          <w:tcPr>
            <w:tcW w:w="452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Tertiary education and support activities</w:t>
            </w:r>
          </w:p>
        </w:tc>
        <w:tc>
          <w:tcPr>
            <w:tcW w:w="176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$4m </w:t>
            </w:r>
          </w:p>
        </w:tc>
        <w:tc>
          <w:tcPr>
            <w:tcW w:w="96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2017 AQC</w:t>
            </w:r>
          </w:p>
        </w:tc>
        <w:tc>
          <w:tcPr>
            <w:tcW w:w="960" w:type="dxa"/>
            <w:tcBorders>
              <w:top w:val="nil"/>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FFC0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3</w:t>
            </w:r>
          </w:p>
        </w:tc>
        <w:tc>
          <w:tcPr>
            <w:tcW w:w="960" w:type="dxa"/>
            <w:tcBorders>
              <w:top w:val="nil"/>
              <w:left w:val="nil"/>
              <w:bottom w:val="single" w:sz="4" w:space="0" w:color="FFFFFF"/>
              <w:right w:val="nil"/>
            </w:tcBorders>
            <w:shd w:val="clear" w:color="000000" w:fill="FFC0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3</w:t>
            </w:r>
          </w:p>
        </w:tc>
        <w:tc>
          <w:tcPr>
            <w:tcW w:w="960" w:type="dxa"/>
            <w:tcBorders>
              <w:top w:val="nil"/>
              <w:left w:val="nil"/>
              <w:bottom w:val="single" w:sz="4" w:space="0" w:color="FFFFFF"/>
              <w:right w:val="nil"/>
            </w:tcBorders>
            <w:shd w:val="clear" w:color="000000" w:fill="FF00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2</w:t>
            </w:r>
          </w:p>
        </w:tc>
        <w:tc>
          <w:tcPr>
            <w:tcW w:w="960" w:type="dxa"/>
            <w:tcBorders>
              <w:top w:val="nil"/>
              <w:left w:val="nil"/>
              <w:bottom w:val="single" w:sz="4" w:space="0" w:color="FFFFFF"/>
              <w:right w:val="nil"/>
            </w:tcBorders>
            <w:shd w:val="clear" w:color="000000" w:fill="FFC0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3</w:t>
            </w:r>
          </w:p>
        </w:tc>
        <w:tc>
          <w:tcPr>
            <w:tcW w:w="960" w:type="dxa"/>
            <w:tcBorders>
              <w:top w:val="nil"/>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r>
      <w:tr w:rsidR="002F4ABA" w:rsidRPr="002F4ABA" w:rsidTr="006349AF">
        <w:trPr>
          <w:trHeight w:val="315"/>
          <w:jc w:val="center"/>
        </w:trPr>
        <w:tc>
          <w:tcPr>
            <w:tcW w:w="452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 </w:t>
            </w:r>
          </w:p>
        </w:tc>
        <w:tc>
          <w:tcPr>
            <w:tcW w:w="176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2015-17 </w:t>
            </w:r>
          </w:p>
        </w:tc>
        <w:tc>
          <w:tcPr>
            <w:tcW w:w="96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2016 AQC</w:t>
            </w:r>
          </w:p>
        </w:tc>
        <w:tc>
          <w:tcPr>
            <w:tcW w:w="960" w:type="dxa"/>
            <w:tcBorders>
              <w:top w:val="nil"/>
              <w:left w:val="nil"/>
              <w:bottom w:val="single" w:sz="8" w:space="0" w:color="auto"/>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8" w:space="0" w:color="auto"/>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8" w:space="0" w:color="auto"/>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8" w:space="0" w:color="auto"/>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8" w:space="0" w:color="auto"/>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8" w:space="0" w:color="auto"/>
              <w:right w:val="nil"/>
            </w:tcBorders>
            <w:shd w:val="clear" w:color="000000" w:fill="FFC0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3</w:t>
            </w:r>
          </w:p>
        </w:tc>
      </w:tr>
      <w:tr w:rsidR="002F4ABA" w:rsidRPr="002F4ABA" w:rsidTr="006349AF">
        <w:trPr>
          <w:trHeight w:val="300"/>
          <w:jc w:val="center"/>
        </w:trPr>
        <w:tc>
          <w:tcPr>
            <w:tcW w:w="452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World Bank Pacific Facility 4</w:t>
            </w:r>
          </w:p>
        </w:tc>
        <w:tc>
          <w:tcPr>
            <w:tcW w:w="176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$30m </w:t>
            </w:r>
          </w:p>
        </w:tc>
        <w:tc>
          <w:tcPr>
            <w:tcW w:w="96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2017 AQC</w:t>
            </w:r>
          </w:p>
        </w:tc>
        <w:tc>
          <w:tcPr>
            <w:tcW w:w="960" w:type="dxa"/>
            <w:tcBorders>
              <w:top w:val="nil"/>
              <w:left w:val="nil"/>
              <w:bottom w:val="single" w:sz="4" w:space="0" w:color="FFFFFF"/>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4" w:space="0" w:color="FFFFFF"/>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4" w:space="0" w:color="FFFFFF"/>
              <w:right w:val="nil"/>
            </w:tcBorders>
            <w:shd w:val="clear" w:color="000000" w:fill="FFC0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3</w:t>
            </w:r>
          </w:p>
        </w:tc>
        <w:tc>
          <w:tcPr>
            <w:tcW w:w="960" w:type="dxa"/>
            <w:tcBorders>
              <w:top w:val="nil"/>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FFC0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3</w:t>
            </w:r>
          </w:p>
        </w:tc>
      </w:tr>
      <w:tr w:rsidR="002F4ABA" w:rsidRPr="002F4ABA" w:rsidTr="006349AF">
        <w:trPr>
          <w:trHeight w:val="315"/>
          <w:jc w:val="center"/>
        </w:trPr>
        <w:tc>
          <w:tcPr>
            <w:tcW w:w="452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 </w:t>
            </w:r>
          </w:p>
        </w:tc>
        <w:tc>
          <w:tcPr>
            <w:tcW w:w="176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2013-18 </w:t>
            </w:r>
          </w:p>
        </w:tc>
        <w:tc>
          <w:tcPr>
            <w:tcW w:w="96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2016 AQC</w:t>
            </w:r>
          </w:p>
        </w:tc>
        <w:tc>
          <w:tcPr>
            <w:tcW w:w="960" w:type="dxa"/>
            <w:tcBorders>
              <w:top w:val="nil"/>
              <w:left w:val="nil"/>
              <w:bottom w:val="single" w:sz="8" w:space="0" w:color="auto"/>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6</w:t>
            </w:r>
          </w:p>
        </w:tc>
        <w:tc>
          <w:tcPr>
            <w:tcW w:w="960" w:type="dxa"/>
            <w:tcBorders>
              <w:top w:val="nil"/>
              <w:left w:val="nil"/>
              <w:bottom w:val="single" w:sz="8" w:space="0" w:color="auto"/>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r>
      <w:tr w:rsidR="002F4ABA" w:rsidRPr="002F4ABA" w:rsidTr="006349AF">
        <w:trPr>
          <w:trHeight w:val="300"/>
          <w:jc w:val="center"/>
        </w:trPr>
        <w:tc>
          <w:tcPr>
            <w:tcW w:w="452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Pacific Business Investment Facility</w:t>
            </w:r>
          </w:p>
        </w:tc>
        <w:tc>
          <w:tcPr>
            <w:tcW w:w="176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$15m </w:t>
            </w:r>
          </w:p>
        </w:tc>
        <w:tc>
          <w:tcPr>
            <w:tcW w:w="96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2017 AQC</w:t>
            </w:r>
          </w:p>
        </w:tc>
        <w:tc>
          <w:tcPr>
            <w:tcW w:w="960" w:type="dxa"/>
            <w:tcBorders>
              <w:top w:val="nil"/>
              <w:left w:val="nil"/>
              <w:bottom w:val="single" w:sz="4" w:space="0" w:color="FFFFFF"/>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4" w:space="0" w:color="FFFFFF"/>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4" w:space="0" w:color="FFFFFF"/>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4" w:space="0" w:color="FFFFFF"/>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r>
      <w:tr w:rsidR="002F4ABA" w:rsidRPr="002F4ABA" w:rsidTr="006349AF">
        <w:trPr>
          <w:trHeight w:val="315"/>
          <w:jc w:val="center"/>
        </w:trPr>
        <w:tc>
          <w:tcPr>
            <w:tcW w:w="452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 </w:t>
            </w:r>
          </w:p>
        </w:tc>
        <w:tc>
          <w:tcPr>
            <w:tcW w:w="176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2013-20 </w:t>
            </w:r>
          </w:p>
        </w:tc>
        <w:tc>
          <w:tcPr>
            <w:tcW w:w="96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2016 AQC</w:t>
            </w:r>
          </w:p>
        </w:tc>
        <w:tc>
          <w:tcPr>
            <w:tcW w:w="960" w:type="dxa"/>
            <w:tcBorders>
              <w:top w:val="nil"/>
              <w:left w:val="nil"/>
              <w:bottom w:val="single" w:sz="8" w:space="0" w:color="auto"/>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8" w:space="0" w:color="auto"/>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r>
      <w:tr w:rsidR="002F4ABA" w:rsidRPr="002F4ABA" w:rsidTr="006349AF">
        <w:trPr>
          <w:trHeight w:val="300"/>
          <w:jc w:val="center"/>
        </w:trPr>
        <w:tc>
          <w:tcPr>
            <w:tcW w:w="452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Aust Awards Pacific Scholarships - 2014 Intake</w:t>
            </w:r>
          </w:p>
        </w:tc>
        <w:tc>
          <w:tcPr>
            <w:tcW w:w="176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$12m </w:t>
            </w:r>
          </w:p>
        </w:tc>
        <w:tc>
          <w:tcPr>
            <w:tcW w:w="96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2017 AQC</w:t>
            </w:r>
          </w:p>
        </w:tc>
        <w:tc>
          <w:tcPr>
            <w:tcW w:w="960" w:type="dxa"/>
            <w:tcBorders>
              <w:top w:val="nil"/>
              <w:left w:val="nil"/>
              <w:bottom w:val="nil"/>
              <w:right w:val="nil"/>
            </w:tcBorders>
            <w:shd w:val="clear" w:color="000000" w:fill="FFFFFF"/>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n/a</w:t>
            </w:r>
          </w:p>
        </w:tc>
        <w:tc>
          <w:tcPr>
            <w:tcW w:w="960" w:type="dxa"/>
            <w:tcBorders>
              <w:top w:val="nil"/>
              <w:left w:val="nil"/>
              <w:bottom w:val="nil"/>
              <w:right w:val="nil"/>
            </w:tcBorders>
            <w:shd w:val="clear" w:color="000000" w:fill="FFFFFF"/>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n/a</w:t>
            </w:r>
          </w:p>
        </w:tc>
        <w:tc>
          <w:tcPr>
            <w:tcW w:w="960" w:type="dxa"/>
            <w:tcBorders>
              <w:top w:val="nil"/>
              <w:left w:val="nil"/>
              <w:bottom w:val="nil"/>
              <w:right w:val="nil"/>
            </w:tcBorders>
            <w:shd w:val="clear" w:color="000000" w:fill="FFFFFF"/>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n/a</w:t>
            </w:r>
          </w:p>
        </w:tc>
        <w:tc>
          <w:tcPr>
            <w:tcW w:w="960" w:type="dxa"/>
            <w:tcBorders>
              <w:top w:val="nil"/>
              <w:left w:val="nil"/>
              <w:bottom w:val="nil"/>
              <w:right w:val="nil"/>
            </w:tcBorders>
            <w:shd w:val="clear" w:color="000000" w:fill="FFFFFF"/>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n/a</w:t>
            </w:r>
          </w:p>
        </w:tc>
        <w:tc>
          <w:tcPr>
            <w:tcW w:w="960" w:type="dxa"/>
            <w:tcBorders>
              <w:top w:val="nil"/>
              <w:left w:val="nil"/>
              <w:bottom w:val="nil"/>
              <w:right w:val="nil"/>
            </w:tcBorders>
            <w:shd w:val="clear" w:color="000000" w:fill="FFFFFF"/>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n/a</w:t>
            </w:r>
          </w:p>
        </w:tc>
        <w:tc>
          <w:tcPr>
            <w:tcW w:w="960" w:type="dxa"/>
            <w:tcBorders>
              <w:top w:val="nil"/>
              <w:left w:val="nil"/>
              <w:bottom w:val="nil"/>
              <w:right w:val="nil"/>
            </w:tcBorders>
            <w:shd w:val="clear" w:color="000000" w:fill="FFFFFF"/>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n/a</w:t>
            </w:r>
          </w:p>
        </w:tc>
      </w:tr>
      <w:tr w:rsidR="002F4ABA" w:rsidRPr="002F4ABA" w:rsidTr="006349AF">
        <w:trPr>
          <w:trHeight w:val="315"/>
          <w:jc w:val="center"/>
        </w:trPr>
        <w:tc>
          <w:tcPr>
            <w:tcW w:w="452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 </w:t>
            </w:r>
          </w:p>
        </w:tc>
        <w:tc>
          <w:tcPr>
            <w:tcW w:w="176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2013-21 </w:t>
            </w:r>
          </w:p>
        </w:tc>
        <w:tc>
          <w:tcPr>
            <w:tcW w:w="96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2016 AQC</w:t>
            </w:r>
          </w:p>
        </w:tc>
        <w:tc>
          <w:tcPr>
            <w:tcW w:w="960" w:type="dxa"/>
            <w:tcBorders>
              <w:top w:val="nil"/>
              <w:left w:val="nil"/>
              <w:bottom w:val="single" w:sz="8" w:space="0" w:color="auto"/>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8" w:space="0" w:color="auto"/>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8" w:space="0" w:color="auto"/>
              <w:right w:val="nil"/>
            </w:tcBorders>
            <w:shd w:val="clear" w:color="000000" w:fill="FFC0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3</w:t>
            </w:r>
          </w:p>
        </w:tc>
        <w:tc>
          <w:tcPr>
            <w:tcW w:w="960" w:type="dxa"/>
            <w:tcBorders>
              <w:top w:val="nil"/>
              <w:left w:val="nil"/>
              <w:bottom w:val="single" w:sz="8" w:space="0" w:color="auto"/>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r>
      <w:tr w:rsidR="002F4ABA" w:rsidRPr="002F4ABA" w:rsidTr="006349AF">
        <w:trPr>
          <w:trHeight w:val="300"/>
          <w:jc w:val="center"/>
        </w:trPr>
        <w:tc>
          <w:tcPr>
            <w:tcW w:w="452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Pacific Leadership Program Phase 3</w:t>
            </w:r>
          </w:p>
        </w:tc>
        <w:tc>
          <w:tcPr>
            <w:tcW w:w="176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$16m </w:t>
            </w:r>
          </w:p>
        </w:tc>
        <w:tc>
          <w:tcPr>
            <w:tcW w:w="96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2017 AQC</w:t>
            </w:r>
          </w:p>
        </w:tc>
        <w:tc>
          <w:tcPr>
            <w:tcW w:w="960" w:type="dxa"/>
            <w:tcBorders>
              <w:top w:val="nil"/>
              <w:left w:val="nil"/>
              <w:bottom w:val="single" w:sz="4" w:space="0" w:color="FFFFFF"/>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r>
      <w:tr w:rsidR="002F4ABA" w:rsidRPr="002F4ABA" w:rsidTr="006349AF">
        <w:trPr>
          <w:trHeight w:val="315"/>
          <w:jc w:val="center"/>
        </w:trPr>
        <w:tc>
          <w:tcPr>
            <w:tcW w:w="452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 </w:t>
            </w:r>
          </w:p>
        </w:tc>
        <w:tc>
          <w:tcPr>
            <w:tcW w:w="176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2014-17 </w:t>
            </w:r>
          </w:p>
        </w:tc>
        <w:tc>
          <w:tcPr>
            <w:tcW w:w="96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2016 AQC</w:t>
            </w:r>
          </w:p>
        </w:tc>
        <w:tc>
          <w:tcPr>
            <w:tcW w:w="960" w:type="dxa"/>
            <w:tcBorders>
              <w:top w:val="nil"/>
              <w:left w:val="nil"/>
              <w:bottom w:val="single" w:sz="8" w:space="0" w:color="auto"/>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8" w:space="0" w:color="auto"/>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8" w:space="0" w:color="auto"/>
              <w:right w:val="nil"/>
            </w:tcBorders>
            <w:shd w:val="clear" w:color="000000" w:fill="FFC0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8" w:space="0" w:color="auto"/>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8" w:space="0" w:color="auto"/>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r>
      <w:tr w:rsidR="002F4ABA" w:rsidRPr="002F4ABA" w:rsidTr="006349AF">
        <w:trPr>
          <w:trHeight w:val="300"/>
          <w:jc w:val="center"/>
        </w:trPr>
        <w:tc>
          <w:tcPr>
            <w:tcW w:w="452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SPC - GOA Partnership for Pacific Regionalism</w:t>
            </w:r>
          </w:p>
        </w:tc>
        <w:tc>
          <w:tcPr>
            <w:tcW w:w="176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$51m </w:t>
            </w:r>
          </w:p>
        </w:tc>
        <w:tc>
          <w:tcPr>
            <w:tcW w:w="96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2017 AQC</w:t>
            </w:r>
          </w:p>
        </w:tc>
        <w:tc>
          <w:tcPr>
            <w:tcW w:w="960" w:type="dxa"/>
            <w:tcBorders>
              <w:top w:val="nil"/>
              <w:left w:val="nil"/>
              <w:bottom w:val="single" w:sz="4" w:space="0" w:color="FFFFFF"/>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FFC0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3</w:t>
            </w:r>
          </w:p>
        </w:tc>
        <w:tc>
          <w:tcPr>
            <w:tcW w:w="960" w:type="dxa"/>
            <w:tcBorders>
              <w:top w:val="nil"/>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r>
      <w:tr w:rsidR="002F4ABA" w:rsidRPr="002F4ABA" w:rsidTr="006349AF">
        <w:trPr>
          <w:trHeight w:val="315"/>
          <w:jc w:val="center"/>
        </w:trPr>
        <w:tc>
          <w:tcPr>
            <w:tcW w:w="452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 </w:t>
            </w:r>
          </w:p>
        </w:tc>
        <w:tc>
          <w:tcPr>
            <w:tcW w:w="176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2014-17 </w:t>
            </w:r>
          </w:p>
        </w:tc>
        <w:tc>
          <w:tcPr>
            <w:tcW w:w="96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2016 AQC</w:t>
            </w:r>
          </w:p>
        </w:tc>
        <w:tc>
          <w:tcPr>
            <w:tcW w:w="960" w:type="dxa"/>
            <w:tcBorders>
              <w:top w:val="nil"/>
              <w:left w:val="nil"/>
              <w:bottom w:val="single" w:sz="8" w:space="0" w:color="auto"/>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6</w:t>
            </w:r>
          </w:p>
        </w:tc>
        <w:tc>
          <w:tcPr>
            <w:tcW w:w="960" w:type="dxa"/>
            <w:tcBorders>
              <w:top w:val="nil"/>
              <w:left w:val="nil"/>
              <w:bottom w:val="single" w:sz="8" w:space="0" w:color="auto"/>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8" w:space="0" w:color="auto"/>
              <w:right w:val="nil"/>
            </w:tcBorders>
            <w:shd w:val="clear" w:color="000000" w:fill="FFC0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3</w:t>
            </w:r>
          </w:p>
        </w:tc>
        <w:tc>
          <w:tcPr>
            <w:tcW w:w="960" w:type="dxa"/>
            <w:tcBorders>
              <w:top w:val="nil"/>
              <w:left w:val="nil"/>
              <w:bottom w:val="single" w:sz="8" w:space="0" w:color="auto"/>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FFC0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3</w:t>
            </w:r>
          </w:p>
        </w:tc>
      </w:tr>
      <w:tr w:rsidR="002F4ABA" w:rsidRPr="002F4ABA" w:rsidTr="006349AF">
        <w:trPr>
          <w:trHeight w:val="300"/>
          <w:jc w:val="center"/>
        </w:trPr>
        <w:tc>
          <w:tcPr>
            <w:tcW w:w="452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GoA-PIFS Partnership 2014-2019</w:t>
            </w:r>
          </w:p>
        </w:tc>
        <w:tc>
          <w:tcPr>
            <w:tcW w:w="176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$28m </w:t>
            </w:r>
          </w:p>
        </w:tc>
        <w:tc>
          <w:tcPr>
            <w:tcW w:w="96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2017 AQC</w:t>
            </w:r>
          </w:p>
        </w:tc>
        <w:tc>
          <w:tcPr>
            <w:tcW w:w="960" w:type="dxa"/>
            <w:tcBorders>
              <w:top w:val="nil"/>
              <w:left w:val="nil"/>
              <w:bottom w:val="single" w:sz="4" w:space="0" w:color="FFFFFF"/>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4" w:space="0" w:color="FFFFFF"/>
              <w:right w:val="nil"/>
            </w:tcBorders>
            <w:shd w:val="clear" w:color="000000" w:fill="FFC0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3</w:t>
            </w:r>
          </w:p>
        </w:tc>
        <w:tc>
          <w:tcPr>
            <w:tcW w:w="960" w:type="dxa"/>
            <w:tcBorders>
              <w:top w:val="nil"/>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r>
      <w:tr w:rsidR="002F4ABA" w:rsidRPr="002F4ABA" w:rsidTr="006349AF">
        <w:trPr>
          <w:trHeight w:val="315"/>
          <w:jc w:val="center"/>
        </w:trPr>
        <w:tc>
          <w:tcPr>
            <w:tcW w:w="452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 </w:t>
            </w:r>
          </w:p>
        </w:tc>
        <w:tc>
          <w:tcPr>
            <w:tcW w:w="176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2014-18 </w:t>
            </w:r>
          </w:p>
        </w:tc>
        <w:tc>
          <w:tcPr>
            <w:tcW w:w="96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2016 AQC</w:t>
            </w:r>
          </w:p>
        </w:tc>
        <w:tc>
          <w:tcPr>
            <w:tcW w:w="960" w:type="dxa"/>
            <w:tcBorders>
              <w:top w:val="nil"/>
              <w:left w:val="nil"/>
              <w:bottom w:val="nil"/>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nil"/>
              <w:right w:val="nil"/>
            </w:tcBorders>
            <w:shd w:val="clear" w:color="000000" w:fill="FFC0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nil"/>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nil"/>
              <w:right w:val="nil"/>
            </w:tcBorders>
            <w:shd w:val="clear" w:color="000000" w:fill="FFC0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3</w:t>
            </w:r>
          </w:p>
        </w:tc>
        <w:tc>
          <w:tcPr>
            <w:tcW w:w="960" w:type="dxa"/>
            <w:tcBorders>
              <w:top w:val="nil"/>
              <w:left w:val="nil"/>
              <w:bottom w:val="nil"/>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nil"/>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3</w:t>
            </w:r>
          </w:p>
        </w:tc>
      </w:tr>
      <w:tr w:rsidR="002F4ABA" w:rsidRPr="002F4ABA" w:rsidTr="006349AF">
        <w:trPr>
          <w:trHeight w:val="300"/>
          <w:jc w:val="center"/>
        </w:trPr>
        <w:tc>
          <w:tcPr>
            <w:tcW w:w="452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Pacific Regional Organisations Facility</w:t>
            </w:r>
          </w:p>
        </w:tc>
        <w:tc>
          <w:tcPr>
            <w:tcW w:w="1760" w:type="dxa"/>
            <w:tcBorders>
              <w:top w:val="single" w:sz="8" w:space="0" w:color="auto"/>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$5m </w:t>
            </w:r>
          </w:p>
        </w:tc>
        <w:tc>
          <w:tcPr>
            <w:tcW w:w="960" w:type="dxa"/>
            <w:tcBorders>
              <w:top w:val="single" w:sz="8" w:space="0" w:color="auto"/>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2017 AQC</w:t>
            </w:r>
          </w:p>
        </w:tc>
        <w:tc>
          <w:tcPr>
            <w:tcW w:w="960" w:type="dxa"/>
            <w:tcBorders>
              <w:top w:val="single" w:sz="8" w:space="0" w:color="auto"/>
              <w:left w:val="nil"/>
              <w:bottom w:val="nil"/>
              <w:right w:val="nil"/>
            </w:tcBorders>
            <w:shd w:val="clear" w:color="000000" w:fill="FFFFFF"/>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exemption</w:t>
            </w:r>
          </w:p>
        </w:tc>
        <w:tc>
          <w:tcPr>
            <w:tcW w:w="960" w:type="dxa"/>
            <w:tcBorders>
              <w:top w:val="single" w:sz="8" w:space="0" w:color="auto"/>
              <w:left w:val="nil"/>
              <w:bottom w:val="nil"/>
              <w:right w:val="nil"/>
            </w:tcBorders>
            <w:shd w:val="clear" w:color="000000" w:fill="FFFFFF"/>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 </w:t>
            </w:r>
          </w:p>
        </w:tc>
        <w:tc>
          <w:tcPr>
            <w:tcW w:w="960" w:type="dxa"/>
            <w:tcBorders>
              <w:top w:val="single" w:sz="8" w:space="0" w:color="auto"/>
              <w:left w:val="nil"/>
              <w:bottom w:val="nil"/>
              <w:right w:val="nil"/>
            </w:tcBorders>
            <w:shd w:val="clear" w:color="000000" w:fill="FFFFFF"/>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 </w:t>
            </w:r>
          </w:p>
        </w:tc>
        <w:tc>
          <w:tcPr>
            <w:tcW w:w="960" w:type="dxa"/>
            <w:tcBorders>
              <w:top w:val="single" w:sz="8" w:space="0" w:color="auto"/>
              <w:left w:val="nil"/>
              <w:bottom w:val="nil"/>
              <w:right w:val="nil"/>
            </w:tcBorders>
            <w:shd w:val="clear" w:color="000000" w:fill="FFFFFF"/>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 </w:t>
            </w:r>
          </w:p>
        </w:tc>
        <w:tc>
          <w:tcPr>
            <w:tcW w:w="960" w:type="dxa"/>
            <w:tcBorders>
              <w:top w:val="single" w:sz="8" w:space="0" w:color="auto"/>
              <w:left w:val="nil"/>
              <w:bottom w:val="nil"/>
              <w:right w:val="nil"/>
            </w:tcBorders>
            <w:shd w:val="clear" w:color="000000" w:fill="FFFFFF"/>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 </w:t>
            </w:r>
          </w:p>
        </w:tc>
        <w:tc>
          <w:tcPr>
            <w:tcW w:w="960" w:type="dxa"/>
            <w:tcBorders>
              <w:top w:val="single" w:sz="8" w:space="0" w:color="auto"/>
              <w:left w:val="nil"/>
              <w:bottom w:val="nil"/>
              <w:right w:val="nil"/>
            </w:tcBorders>
            <w:shd w:val="clear" w:color="000000" w:fill="FFFFFF"/>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 </w:t>
            </w:r>
          </w:p>
        </w:tc>
      </w:tr>
      <w:tr w:rsidR="002F4ABA" w:rsidRPr="002F4ABA" w:rsidTr="006349AF">
        <w:trPr>
          <w:trHeight w:val="315"/>
          <w:jc w:val="center"/>
        </w:trPr>
        <w:tc>
          <w:tcPr>
            <w:tcW w:w="452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 </w:t>
            </w:r>
          </w:p>
        </w:tc>
        <w:tc>
          <w:tcPr>
            <w:tcW w:w="176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2014-16 </w:t>
            </w:r>
          </w:p>
        </w:tc>
        <w:tc>
          <w:tcPr>
            <w:tcW w:w="96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2016 AQC</w:t>
            </w:r>
          </w:p>
        </w:tc>
        <w:tc>
          <w:tcPr>
            <w:tcW w:w="960" w:type="dxa"/>
            <w:tcBorders>
              <w:top w:val="nil"/>
              <w:left w:val="nil"/>
              <w:bottom w:val="nil"/>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nil"/>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nil"/>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nil"/>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nil"/>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nil"/>
              <w:right w:val="nil"/>
            </w:tcBorders>
            <w:shd w:val="clear" w:color="000000" w:fill="FF00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2</w:t>
            </w:r>
          </w:p>
        </w:tc>
      </w:tr>
      <w:tr w:rsidR="002F4ABA" w:rsidRPr="002F4ABA" w:rsidTr="006349AF">
        <w:trPr>
          <w:trHeight w:val="300"/>
          <w:jc w:val="center"/>
        </w:trPr>
        <w:tc>
          <w:tcPr>
            <w:tcW w:w="452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Labour Mobility in the Pacific</w:t>
            </w:r>
          </w:p>
        </w:tc>
        <w:tc>
          <w:tcPr>
            <w:tcW w:w="1760" w:type="dxa"/>
            <w:tcBorders>
              <w:top w:val="single" w:sz="8" w:space="0" w:color="auto"/>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$7m </w:t>
            </w:r>
          </w:p>
        </w:tc>
        <w:tc>
          <w:tcPr>
            <w:tcW w:w="960" w:type="dxa"/>
            <w:tcBorders>
              <w:top w:val="single" w:sz="8" w:space="0" w:color="auto"/>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2017 AQC</w:t>
            </w:r>
          </w:p>
        </w:tc>
        <w:tc>
          <w:tcPr>
            <w:tcW w:w="960" w:type="dxa"/>
            <w:tcBorders>
              <w:top w:val="single" w:sz="8" w:space="0" w:color="auto"/>
              <w:left w:val="nil"/>
              <w:bottom w:val="single" w:sz="4" w:space="0" w:color="FFFFFF"/>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single" w:sz="8" w:space="0" w:color="auto"/>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single" w:sz="8" w:space="0" w:color="auto"/>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single" w:sz="8" w:space="0" w:color="auto"/>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single" w:sz="8" w:space="0" w:color="auto"/>
              <w:left w:val="nil"/>
              <w:bottom w:val="single" w:sz="4" w:space="0" w:color="FFFFFF"/>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single" w:sz="8" w:space="0" w:color="auto"/>
              <w:left w:val="nil"/>
              <w:bottom w:val="single" w:sz="4" w:space="0" w:color="FFFFFF"/>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r>
      <w:tr w:rsidR="002F4ABA" w:rsidRPr="002F4ABA" w:rsidTr="006349AF">
        <w:trPr>
          <w:trHeight w:val="315"/>
          <w:jc w:val="center"/>
        </w:trPr>
        <w:tc>
          <w:tcPr>
            <w:tcW w:w="452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 </w:t>
            </w:r>
          </w:p>
        </w:tc>
        <w:tc>
          <w:tcPr>
            <w:tcW w:w="176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 xml:space="preserve">2015-18 </w:t>
            </w:r>
          </w:p>
        </w:tc>
        <w:tc>
          <w:tcPr>
            <w:tcW w:w="960" w:type="dxa"/>
            <w:tcBorders>
              <w:top w:val="nil"/>
              <w:left w:val="nil"/>
              <w:bottom w:val="single" w:sz="8" w:space="0" w:color="auto"/>
              <w:right w:val="nil"/>
            </w:tcBorders>
            <w:shd w:val="clear" w:color="auto" w:fill="auto"/>
            <w:vAlign w:val="center"/>
            <w:hideMark/>
          </w:tcPr>
          <w:p w:rsidR="002F4ABA" w:rsidRPr="002F4ABA" w:rsidRDefault="002F4ABA" w:rsidP="002F4ABA">
            <w:pPr>
              <w:suppressAutoHyphens w:val="0"/>
              <w:spacing w:before="0" w:after="0" w:line="240" w:lineRule="auto"/>
              <w:rPr>
                <w:rFonts w:ascii="Calibri Light" w:eastAsia="Times New Roman" w:hAnsi="Calibri Light" w:cs="Times New Roman"/>
                <w:color w:val="595959"/>
                <w:sz w:val="17"/>
                <w:szCs w:val="17"/>
                <w:lang w:val="en-AU" w:eastAsia="en-AU"/>
              </w:rPr>
            </w:pPr>
            <w:r w:rsidRPr="002F4ABA">
              <w:rPr>
                <w:rFonts w:ascii="Calibri Light" w:eastAsia="Times New Roman" w:hAnsi="Calibri Light" w:cs="Times New Roman"/>
                <w:color w:val="595959"/>
                <w:sz w:val="17"/>
                <w:szCs w:val="17"/>
                <w:lang w:eastAsia="en-AU"/>
              </w:rPr>
              <w:t>2016 AQC</w:t>
            </w:r>
          </w:p>
        </w:tc>
        <w:tc>
          <w:tcPr>
            <w:tcW w:w="960" w:type="dxa"/>
            <w:tcBorders>
              <w:top w:val="nil"/>
              <w:left w:val="nil"/>
              <w:bottom w:val="single" w:sz="8" w:space="0" w:color="auto"/>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8" w:space="0" w:color="auto"/>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8" w:space="0" w:color="auto"/>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tcBorders>
              <w:top w:val="nil"/>
              <w:left w:val="nil"/>
              <w:bottom w:val="single" w:sz="8" w:space="0" w:color="auto"/>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tcBorders>
              <w:top w:val="nil"/>
              <w:left w:val="nil"/>
              <w:bottom w:val="single" w:sz="8" w:space="0" w:color="auto"/>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r>
      <w:tr w:rsidR="002F4ABA" w:rsidRPr="002F4ABA" w:rsidTr="006349AF">
        <w:trPr>
          <w:trHeight w:val="300"/>
          <w:jc w:val="center"/>
        </w:trPr>
        <w:tc>
          <w:tcPr>
            <w:tcW w:w="452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Innovations in Financing</w:t>
            </w:r>
          </w:p>
        </w:tc>
        <w:tc>
          <w:tcPr>
            <w:tcW w:w="1760" w:type="dxa"/>
            <w:tcBorders>
              <w:top w:val="nil"/>
              <w:left w:val="nil"/>
              <w:bottom w:val="nil"/>
              <w:right w:val="nil"/>
            </w:tcBorders>
            <w:shd w:val="clear" w:color="auto" w:fill="auto"/>
            <w:vAlign w:val="center"/>
            <w:hideMark/>
          </w:tcPr>
          <w:p w:rsidR="002F4ABA" w:rsidRPr="002F4ABA" w:rsidRDefault="002F4ABA" w:rsidP="002F4ABA">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$5m</w:t>
            </w:r>
          </w:p>
        </w:tc>
        <w:tc>
          <w:tcPr>
            <w:tcW w:w="960" w:type="dxa"/>
            <w:vMerge w:val="restart"/>
            <w:tcBorders>
              <w:top w:val="nil"/>
              <w:left w:val="nil"/>
              <w:bottom w:val="single" w:sz="12" w:space="0" w:color="000000"/>
              <w:right w:val="nil"/>
            </w:tcBorders>
            <w:shd w:val="clear" w:color="auto" w:fill="auto"/>
            <w:vAlign w:val="center"/>
            <w:hideMark/>
          </w:tcPr>
          <w:p w:rsidR="002F4ABA" w:rsidRPr="002F4ABA" w:rsidRDefault="002F4ABA" w:rsidP="002F4ABA">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2017 AQC</w:t>
            </w:r>
          </w:p>
        </w:tc>
        <w:tc>
          <w:tcPr>
            <w:tcW w:w="960" w:type="dxa"/>
            <w:vMerge w:val="restart"/>
            <w:tcBorders>
              <w:top w:val="nil"/>
              <w:left w:val="nil"/>
              <w:bottom w:val="single" w:sz="12" w:space="0" w:color="000000"/>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6</w:t>
            </w:r>
          </w:p>
        </w:tc>
        <w:tc>
          <w:tcPr>
            <w:tcW w:w="960" w:type="dxa"/>
            <w:vMerge w:val="restart"/>
            <w:tcBorders>
              <w:top w:val="nil"/>
              <w:left w:val="nil"/>
              <w:bottom w:val="single" w:sz="12" w:space="0" w:color="000000"/>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vMerge w:val="restart"/>
            <w:tcBorders>
              <w:top w:val="nil"/>
              <w:left w:val="nil"/>
              <w:bottom w:val="single" w:sz="12" w:space="0" w:color="000000"/>
              <w:right w:val="nil"/>
            </w:tcBorders>
            <w:shd w:val="clear" w:color="000000" w:fill="FFFF0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4</w:t>
            </w:r>
          </w:p>
        </w:tc>
        <w:tc>
          <w:tcPr>
            <w:tcW w:w="960" w:type="dxa"/>
            <w:vMerge w:val="restart"/>
            <w:tcBorders>
              <w:top w:val="nil"/>
              <w:left w:val="nil"/>
              <w:bottom w:val="single" w:sz="12" w:space="0" w:color="000000"/>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vMerge w:val="restart"/>
            <w:tcBorders>
              <w:top w:val="nil"/>
              <w:left w:val="nil"/>
              <w:bottom w:val="single" w:sz="12" w:space="0" w:color="000000"/>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c>
          <w:tcPr>
            <w:tcW w:w="960" w:type="dxa"/>
            <w:vMerge w:val="restart"/>
            <w:tcBorders>
              <w:top w:val="nil"/>
              <w:left w:val="nil"/>
              <w:bottom w:val="single" w:sz="12" w:space="0" w:color="000000"/>
              <w:right w:val="nil"/>
            </w:tcBorders>
            <w:shd w:val="clear" w:color="000000" w:fill="92D050"/>
            <w:noWrap/>
            <w:vAlign w:val="center"/>
            <w:hideMark/>
          </w:tcPr>
          <w:p w:rsidR="002F4ABA" w:rsidRPr="002F4ABA" w:rsidRDefault="002F4ABA" w:rsidP="002F4ABA">
            <w:pPr>
              <w:suppressAutoHyphens w:val="0"/>
              <w:spacing w:before="0" w:after="0" w:line="240" w:lineRule="auto"/>
              <w:jc w:val="center"/>
              <w:rPr>
                <w:rFonts w:ascii="Arial" w:eastAsia="Times New Roman" w:hAnsi="Arial" w:cs="Arial"/>
                <w:color w:val="000000"/>
                <w:sz w:val="16"/>
                <w:szCs w:val="16"/>
                <w:lang w:val="en-AU" w:eastAsia="en-AU"/>
              </w:rPr>
            </w:pPr>
            <w:r w:rsidRPr="002F4ABA">
              <w:rPr>
                <w:rFonts w:ascii="Arial" w:eastAsia="Times New Roman" w:hAnsi="Arial" w:cs="Arial"/>
                <w:color w:val="000000"/>
                <w:sz w:val="16"/>
                <w:szCs w:val="16"/>
                <w:lang w:eastAsia="en-AU"/>
              </w:rPr>
              <w:t>5</w:t>
            </w:r>
          </w:p>
        </w:tc>
      </w:tr>
      <w:tr w:rsidR="002F4ABA" w:rsidRPr="002F4ABA" w:rsidTr="006349AF">
        <w:trPr>
          <w:trHeight w:val="315"/>
          <w:jc w:val="center"/>
        </w:trPr>
        <w:tc>
          <w:tcPr>
            <w:tcW w:w="4520" w:type="dxa"/>
            <w:tcBorders>
              <w:top w:val="nil"/>
              <w:left w:val="nil"/>
              <w:bottom w:val="single" w:sz="12" w:space="0" w:color="000000"/>
              <w:right w:val="nil"/>
            </w:tcBorders>
            <w:shd w:val="clear" w:color="auto" w:fill="auto"/>
            <w:vAlign w:val="center"/>
            <w:hideMark/>
          </w:tcPr>
          <w:p w:rsidR="002F4ABA" w:rsidRPr="002F4ABA" w:rsidRDefault="002F4ABA" w:rsidP="002F4ABA">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val="en-AU" w:eastAsia="en-AU"/>
              </w:rPr>
              <w:t> </w:t>
            </w:r>
          </w:p>
        </w:tc>
        <w:tc>
          <w:tcPr>
            <w:tcW w:w="1760" w:type="dxa"/>
            <w:tcBorders>
              <w:top w:val="nil"/>
              <w:left w:val="nil"/>
              <w:bottom w:val="single" w:sz="12" w:space="0" w:color="000000"/>
              <w:right w:val="nil"/>
            </w:tcBorders>
            <w:shd w:val="clear" w:color="auto" w:fill="auto"/>
            <w:vAlign w:val="center"/>
            <w:hideMark/>
          </w:tcPr>
          <w:p w:rsidR="002F4ABA" w:rsidRPr="002F4ABA" w:rsidRDefault="002F4ABA" w:rsidP="002F4ABA">
            <w:pPr>
              <w:suppressAutoHyphens w:val="0"/>
              <w:spacing w:before="0" w:after="0" w:line="240" w:lineRule="auto"/>
              <w:rPr>
                <w:rFonts w:ascii="Arial" w:eastAsia="Times New Roman" w:hAnsi="Arial" w:cs="Arial"/>
                <w:color w:val="595959"/>
                <w:sz w:val="16"/>
                <w:szCs w:val="16"/>
                <w:lang w:val="en-AU" w:eastAsia="en-AU"/>
              </w:rPr>
            </w:pPr>
            <w:r w:rsidRPr="002F4ABA">
              <w:rPr>
                <w:rFonts w:ascii="Arial" w:eastAsia="Times New Roman" w:hAnsi="Arial" w:cs="Arial"/>
                <w:color w:val="595959"/>
                <w:sz w:val="16"/>
                <w:szCs w:val="16"/>
                <w:lang w:eastAsia="en-AU"/>
              </w:rPr>
              <w:t>2015-19</w:t>
            </w:r>
          </w:p>
        </w:tc>
        <w:tc>
          <w:tcPr>
            <w:tcW w:w="960" w:type="dxa"/>
            <w:vMerge/>
            <w:tcBorders>
              <w:top w:val="nil"/>
              <w:left w:val="nil"/>
              <w:bottom w:val="single" w:sz="12" w:space="0" w:color="000000"/>
              <w:right w:val="nil"/>
            </w:tcBorders>
            <w:vAlign w:val="center"/>
            <w:hideMark/>
          </w:tcPr>
          <w:p w:rsidR="002F4ABA" w:rsidRPr="002F4ABA" w:rsidRDefault="002F4ABA" w:rsidP="002F4ABA">
            <w:pPr>
              <w:suppressAutoHyphens w:val="0"/>
              <w:spacing w:before="0" w:after="0" w:line="240" w:lineRule="auto"/>
              <w:rPr>
                <w:rFonts w:ascii="Arial" w:eastAsia="Times New Roman" w:hAnsi="Arial" w:cs="Arial"/>
                <w:color w:val="595959"/>
                <w:sz w:val="16"/>
                <w:szCs w:val="16"/>
                <w:lang w:val="en-AU" w:eastAsia="en-AU"/>
              </w:rPr>
            </w:pPr>
          </w:p>
        </w:tc>
        <w:tc>
          <w:tcPr>
            <w:tcW w:w="960" w:type="dxa"/>
            <w:vMerge/>
            <w:tcBorders>
              <w:top w:val="nil"/>
              <w:left w:val="nil"/>
              <w:bottom w:val="single" w:sz="12" w:space="0" w:color="000000"/>
              <w:right w:val="nil"/>
            </w:tcBorders>
            <w:vAlign w:val="center"/>
            <w:hideMark/>
          </w:tcPr>
          <w:p w:rsidR="002F4ABA" w:rsidRPr="002F4ABA" w:rsidRDefault="002F4ABA" w:rsidP="002F4ABA">
            <w:pPr>
              <w:suppressAutoHyphens w:val="0"/>
              <w:spacing w:before="0" w:after="0" w:line="240" w:lineRule="auto"/>
              <w:rPr>
                <w:rFonts w:ascii="Arial" w:eastAsia="Times New Roman" w:hAnsi="Arial" w:cs="Arial"/>
                <w:color w:val="000000"/>
                <w:sz w:val="16"/>
                <w:szCs w:val="16"/>
                <w:lang w:val="en-AU" w:eastAsia="en-AU"/>
              </w:rPr>
            </w:pPr>
          </w:p>
        </w:tc>
        <w:tc>
          <w:tcPr>
            <w:tcW w:w="960" w:type="dxa"/>
            <w:vMerge/>
            <w:tcBorders>
              <w:top w:val="nil"/>
              <w:left w:val="nil"/>
              <w:bottom w:val="single" w:sz="12" w:space="0" w:color="000000"/>
              <w:right w:val="nil"/>
            </w:tcBorders>
            <w:vAlign w:val="center"/>
            <w:hideMark/>
          </w:tcPr>
          <w:p w:rsidR="002F4ABA" w:rsidRPr="002F4ABA" w:rsidRDefault="002F4ABA" w:rsidP="002F4ABA">
            <w:pPr>
              <w:suppressAutoHyphens w:val="0"/>
              <w:spacing w:before="0" w:after="0" w:line="240" w:lineRule="auto"/>
              <w:rPr>
                <w:rFonts w:ascii="Arial" w:eastAsia="Times New Roman" w:hAnsi="Arial" w:cs="Arial"/>
                <w:color w:val="000000"/>
                <w:sz w:val="16"/>
                <w:szCs w:val="16"/>
                <w:lang w:val="en-AU" w:eastAsia="en-AU"/>
              </w:rPr>
            </w:pPr>
          </w:p>
        </w:tc>
        <w:tc>
          <w:tcPr>
            <w:tcW w:w="960" w:type="dxa"/>
            <w:vMerge/>
            <w:tcBorders>
              <w:top w:val="nil"/>
              <w:left w:val="nil"/>
              <w:bottom w:val="single" w:sz="12" w:space="0" w:color="000000"/>
              <w:right w:val="nil"/>
            </w:tcBorders>
            <w:vAlign w:val="center"/>
            <w:hideMark/>
          </w:tcPr>
          <w:p w:rsidR="002F4ABA" w:rsidRPr="002F4ABA" w:rsidRDefault="002F4ABA" w:rsidP="002F4ABA">
            <w:pPr>
              <w:suppressAutoHyphens w:val="0"/>
              <w:spacing w:before="0" w:after="0" w:line="240" w:lineRule="auto"/>
              <w:rPr>
                <w:rFonts w:ascii="Arial" w:eastAsia="Times New Roman" w:hAnsi="Arial" w:cs="Arial"/>
                <w:color w:val="000000"/>
                <w:sz w:val="16"/>
                <w:szCs w:val="16"/>
                <w:lang w:val="en-AU" w:eastAsia="en-AU"/>
              </w:rPr>
            </w:pPr>
          </w:p>
        </w:tc>
        <w:tc>
          <w:tcPr>
            <w:tcW w:w="960" w:type="dxa"/>
            <w:vMerge/>
            <w:tcBorders>
              <w:top w:val="nil"/>
              <w:left w:val="nil"/>
              <w:bottom w:val="single" w:sz="12" w:space="0" w:color="000000"/>
              <w:right w:val="nil"/>
            </w:tcBorders>
            <w:vAlign w:val="center"/>
            <w:hideMark/>
          </w:tcPr>
          <w:p w:rsidR="002F4ABA" w:rsidRPr="002F4ABA" w:rsidRDefault="002F4ABA" w:rsidP="002F4ABA">
            <w:pPr>
              <w:suppressAutoHyphens w:val="0"/>
              <w:spacing w:before="0" w:after="0" w:line="240" w:lineRule="auto"/>
              <w:rPr>
                <w:rFonts w:ascii="Arial" w:eastAsia="Times New Roman" w:hAnsi="Arial" w:cs="Arial"/>
                <w:color w:val="000000"/>
                <w:sz w:val="16"/>
                <w:szCs w:val="16"/>
                <w:lang w:val="en-AU" w:eastAsia="en-AU"/>
              </w:rPr>
            </w:pPr>
          </w:p>
        </w:tc>
        <w:tc>
          <w:tcPr>
            <w:tcW w:w="960" w:type="dxa"/>
            <w:vMerge/>
            <w:tcBorders>
              <w:top w:val="nil"/>
              <w:left w:val="nil"/>
              <w:bottom w:val="single" w:sz="12" w:space="0" w:color="000000"/>
              <w:right w:val="nil"/>
            </w:tcBorders>
            <w:vAlign w:val="center"/>
            <w:hideMark/>
          </w:tcPr>
          <w:p w:rsidR="002F4ABA" w:rsidRPr="002F4ABA" w:rsidRDefault="002F4ABA" w:rsidP="002F4ABA">
            <w:pPr>
              <w:suppressAutoHyphens w:val="0"/>
              <w:spacing w:before="0" w:after="0" w:line="240" w:lineRule="auto"/>
              <w:rPr>
                <w:rFonts w:ascii="Arial" w:eastAsia="Times New Roman" w:hAnsi="Arial" w:cs="Arial"/>
                <w:color w:val="000000"/>
                <w:sz w:val="16"/>
                <w:szCs w:val="16"/>
                <w:lang w:val="en-AU" w:eastAsia="en-AU"/>
              </w:rPr>
            </w:pPr>
          </w:p>
        </w:tc>
        <w:tc>
          <w:tcPr>
            <w:tcW w:w="960" w:type="dxa"/>
            <w:vMerge/>
            <w:tcBorders>
              <w:top w:val="nil"/>
              <w:left w:val="nil"/>
              <w:bottom w:val="single" w:sz="12" w:space="0" w:color="000000"/>
              <w:right w:val="nil"/>
            </w:tcBorders>
            <w:vAlign w:val="center"/>
            <w:hideMark/>
          </w:tcPr>
          <w:p w:rsidR="002F4ABA" w:rsidRPr="002F4ABA" w:rsidRDefault="002F4ABA" w:rsidP="002F4ABA">
            <w:pPr>
              <w:suppressAutoHyphens w:val="0"/>
              <w:spacing w:before="0" w:after="0" w:line="240" w:lineRule="auto"/>
              <w:rPr>
                <w:rFonts w:ascii="Arial" w:eastAsia="Times New Roman" w:hAnsi="Arial" w:cs="Arial"/>
                <w:color w:val="000000"/>
                <w:sz w:val="16"/>
                <w:szCs w:val="16"/>
                <w:lang w:val="en-AU" w:eastAsia="en-AU"/>
              </w:rPr>
            </w:pPr>
          </w:p>
        </w:tc>
      </w:tr>
    </w:tbl>
    <w:p w:rsidR="002F4ABA" w:rsidRDefault="002F4ABA" w:rsidP="00C25AD7">
      <w:pPr>
        <w:keepNext/>
        <w:numPr>
          <w:ilvl w:val="2"/>
          <w:numId w:val="0"/>
        </w:numPr>
        <w:spacing w:before="240" w:after="120"/>
        <w:outlineLvl w:val="2"/>
        <w:rPr>
          <w:rFonts w:asciiTheme="majorHAnsi" w:eastAsiaTheme="majorEastAsia" w:hAnsiTheme="majorHAnsi" w:cstheme="majorBidi"/>
          <w:caps/>
          <w:sz w:val="38"/>
          <w:szCs w:val="26"/>
        </w:rPr>
      </w:pPr>
    </w:p>
    <w:p w:rsidR="00C25AD7" w:rsidRPr="00497475" w:rsidRDefault="00C25AD7" w:rsidP="00C25AD7">
      <w:pPr>
        <w:keepNext/>
        <w:numPr>
          <w:ilvl w:val="2"/>
          <w:numId w:val="0"/>
        </w:numPr>
        <w:spacing w:before="240" w:after="120"/>
        <w:outlineLvl w:val="2"/>
        <w:rPr>
          <w:rFonts w:asciiTheme="majorHAnsi" w:eastAsiaTheme="majorEastAsia" w:hAnsiTheme="majorHAnsi" w:cstheme="majorBidi"/>
          <w:caps/>
          <w:sz w:val="38"/>
          <w:szCs w:val="26"/>
        </w:rPr>
        <w:sectPr w:rsidR="00C25AD7" w:rsidRPr="00497475" w:rsidSect="002F4ABA">
          <w:footnotePr>
            <w:numRestart w:val="eachPage"/>
          </w:footnotePr>
          <w:pgSz w:w="16838" w:h="11906" w:orient="landscape" w:code="9"/>
          <w:pgMar w:top="851" w:right="1814" w:bottom="851" w:left="851" w:header="709" w:footer="230" w:gutter="0"/>
          <w:cols w:space="708"/>
          <w:titlePg/>
          <w:docGrid w:linePitch="360"/>
        </w:sectPr>
      </w:pPr>
    </w:p>
    <w:tbl>
      <w:tblPr>
        <w:tblW w:w="14208" w:type="dxa"/>
        <w:jc w:val="center"/>
        <w:tblLook w:val="04A0" w:firstRow="1" w:lastRow="0" w:firstColumn="1" w:lastColumn="0" w:noHBand="0" w:noVBand="1"/>
      </w:tblPr>
      <w:tblGrid>
        <w:gridCol w:w="3788"/>
        <w:gridCol w:w="1428"/>
        <w:gridCol w:w="1248"/>
        <w:gridCol w:w="968"/>
        <w:gridCol w:w="968"/>
        <w:gridCol w:w="968"/>
        <w:gridCol w:w="968"/>
        <w:gridCol w:w="968"/>
        <w:gridCol w:w="968"/>
        <w:gridCol w:w="968"/>
        <w:gridCol w:w="968"/>
      </w:tblGrid>
      <w:tr w:rsidR="006D3925" w:rsidRPr="006D3925" w:rsidTr="006349AF">
        <w:trPr>
          <w:trHeight w:val="495"/>
          <w:jc w:val="center"/>
        </w:trPr>
        <w:tc>
          <w:tcPr>
            <w:tcW w:w="3788" w:type="dxa"/>
            <w:tcBorders>
              <w:top w:val="nil"/>
              <w:left w:val="nil"/>
              <w:bottom w:val="nil"/>
              <w:right w:val="nil"/>
            </w:tcBorders>
            <w:shd w:val="clear" w:color="auto" w:fill="auto"/>
            <w:noWrap/>
            <w:vAlign w:val="center"/>
            <w:hideMark/>
          </w:tcPr>
          <w:p w:rsidR="006D3925" w:rsidRPr="006D3925" w:rsidRDefault="006D3925" w:rsidP="006D3925">
            <w:pPr>
              <w:suppressAutoHyphens w:val="0"/>
              <w:spacing w:before="0" w:after="0" w:line="240" w:lineRule="auto"/>
              <w:rPr>
                <w:rFonts w:ascii="Calibri" w:eastAsia="Times New Roman" w:hAnsi="Calibri" w:cs="Times New Roman"/>
                <w:color w:val="495965"/>
                <w:sz w:val="38"/>
                <w:szCs w:val="38"/>
                <w:lang w:val="en-AU" w:eastAsia="en-AU"/>
              </w:rPr>
            </w:pPr>
            <w:r w:rsidRPr="006D3925">
              <w:rPr>
                <w:rFonts w:ascii="Calibri" w:eastAsia="Times New Roman" w:hAnsi="Calibri" w:cs="Times New Roman"/>
                <w:color w:val="495965"/>
                <w:sz w:val="38"/>
                <w:szCs w:val="38"/>
                <w:lang w:eastAsia="en-AU"/>
              </w:rPr>
              <w:lastRenderedPageBreak/>
              <w:t>FAQC ratings</w:t>
            </w:r>
            <w:r w:rsidRPr="006D3925">
              <w:rPr>
                <w:rFonts w:ascii="Calibri Light" w:eastAsia="Times New Roman" w:hAnsi="Calibri Light" w:cs="Times New Roman"/>
                <w:color w:val="495965"/>
                <w:lang w:eastAsia="en-AU"/>
              </w:rPr>
              <w:t xml:space="preserve"> </w:t>
            </w:r>
            <w:r w:rsidRPr="006D3925">
              <w:rPr>
                <w:rFonts w:ascii="Arial" w:eastAsia="Times New Roman" w:hAnsi="Arial" w:cs="Arial"/>
                <w:b/>
                <w:bCs/>
                <w:color w:val="124486"/>
                <w:lang w:eastAsia="en-AU"/>
              </w:rPr>
              <w:t xml:space="preserve"> </w:t>
            </w:r>
          </w:p>
        </w:tc>
        <w:tc>
          <w:tcPr>
            <w:tcW w:w="1428" w:type="dxa"/>
            <w:tcBorders>
              <w:top w:val="nil"/>
              <w:left w:val="nil"/>
              <w:bottom w:val="nil"/>
              <w:right w:val="nil"/>
            </w:tcBorders>
            <w:shd w:val="clear" w:color="auto" w:fill="auto"/>
            <w:noWrap/>
            <w:vAlign w:val="bottom"/>
            <w:hideMark/>
          </w:tcPr>
          <w:p w:rsidR="006D3925" w:rsidRPr="006D3925" w:rsidRDefault="006D3925" w:rsidP="006D3925">
            <w:pPr>
              <w:suppressAutoHyphens w:val="0"/>
              <w:spacing w:before="0" w:after="0" w:line="240" w:lineRule="auto"/>
              <w:rPr>
                <w:rFonts w:ascii="Calibri" w:eastAsia="Times New Roman" w:hAnsi="Calibri" w:cs="Times New Roman"/>
                <w:color w:val="495965"/>
                <w:sz w:val="38"/>
                <w:szCs w:val="38"/>
                <w:lang w:val="en-AU" w:eastAsia="en-AU"/>
              </w:rPr>
            </w:pPr>
          </w:p>
        </w:tc>
        <w:tc>
          <w:tcPr>
            <w:tcW w:w="1248" w:type="dxa"/>
            <w:tcBorders>
              <w:top w:val="nil"/>
              <w:left w:val="nil"/>
              <w:bottom w:val="nil"/>
              <w:right w:val="nil"/>
            </w:tcBorders>
            <w:shd w:val="clear" w:color="auto" w:fill="auto"/>
            <w:noWrap/>
            <w:vAlign w:val="bottom"/>
            <w:hideMark/>
          </w:tcPr>
          <w:p w:rsidR="006D3925" w:rsidRPr="006D3925" w:rsidRDefault="006D3925" w:rsidP="006D3925">
            <w:pPr>
              <w:suppressAutoHyphens w:val="0"/>
              <w:spacing w:before="0" w:after="0" w:line="240" w:lineRule="auto"/>
              <w:rPr>
                <w:rFonts w:ascii="Times New Roman" w:eastAsia="Times New Roman" w:hAnsi="Times New Roman" w:cs="Times New Roman"/>
                <w:color w:val="auto"/>
                <w:sz w:val="20"/>
                <w:szCs w:val="20"/>
                <w:lang w:val="en-AU" w:eastAsia="en-AU"/>
              </w:rPr>
            </w:pPr>
          </w:p>
        </w:tc>
        <w:tc>
          <w:tcPr>
            <w:tcW w:w="968" w:type="dxa"/>
            <w:tcBorders>
              <w:top w:val="nil"/>
              <w:left w:val="nil"/>
              <w:bottom w:val="nil"/>
              <w:right w:val="nil"/>
            </w:tcBorders>
            <w:shd w:val="clear" w:color="auto" w:fill="auto"/>
            <w:noWrap/>
            <w:vAlign w:val="bottom"/>
            <w:hideMark/>
          </w:tcPr>
          <w:p w:rsidR="006D3925" w:rsidRPr="006D3925" w:rsidRDefault="006D3925" w:rsidP="006D3925">
            <w:pPr>
              <w:suppressAutoHyphens w:val="0"/>
              <w:spacing w:before="0" w:after="0" w:line="240" w:lineRule="auto"/>
              <w:rPr>
                <w:rFonts w:ascii="Times New Roman" w:eastAsia="Times New Roman" w:hAnsi="Times New Roman" w:cs="Times New Roman"/>
                <w:color w:val="auto"/>
                <w:sz w:val="20"/>
                <w:szCs w:val="20"/>
                <w:lang w:val="en-AU" w:eastAsia="en-AU"/>
              </w:rPr>
            </w:pPr>
          </w:p>
        </w:tc>
        <w:tc>
          <w:tcPr>
            <w:tcW w:w="968" w:type="dxa"/>
            <w:tcBorders>
              <w:top w:val="nil"/>
              <w:left w:val="nil"/>
              <w:bottom w:val="nil"/>
              <w:right w:val="nil"/>
            </w:tcBorders>
            <w:shd w:val="clear" w:color="auto" w:fill="auto"/>
            <w:noWrap/>
            <w:vAlign w:val="bottom"/>
            <w:hideMark/>
          </w:tcPr>
          <w:p w:rsidR="006D3925" w:rsidRPr="006D3925" w:rsidRDefault="006D3925" w:rsidP="006D3925">
            <w:pPr>
              <w:suppressAutoHyphens w:val="0"/>
              <w:spacing w:before="0" w:after="0" w:line="240" w:lineRule="auto"/>
              <w:rPr>
                <w:rFonts w:ascii="Times New Roman" w:eastAsia="Times New Roman" w:hAnsi="Times New Roman" w:cs="Times New Roman"/>
                <w:color w:val="auto"/>
                <w:sz w:val="20"/>
                <w:szCs w:val="20"/>
                <w:lang w:val="en-AU" w:eastAsia="en-AU"/>
              </w:rPr>
            </w:pPr>
          </w:p>
        </w:tc>
        <w:tc>
          <w:tcPr>
            <w:tcW w:w="968" w:type="dxa"/>
            <w:tcBorders>
              <w:top w:val="nil"/>
              <w:left w:val="nil"/>
              <w:bottom w:val="nil"/>
              <w:right w:val="nil"/>
            </w:tcBorders>
            <w:shd w:val="clear" w:color="auto" w:fill="auto"/>
            <w:noWrap/>
            <w:vAlign w:val="bottom"/>
            <w:hideMark/>
          </w:tcPr>
          <w:p w:rsidR="006D3925" w:rsidRPr="006D3925" w:rsidRDefault="006D3925" w:rsidP="006D3925">
            <w:pPr>
              <w:suppressAutoHyphens w:val="0"/>
              <w:spacing w:before="0" w:after="0" w:line="240" w:lineRule="auto"/>
              <w:rPr>
                <w:rFonts w:ascii="Times New Roman" w:eastAsia="Times New Roman" w:hAnsi="Times New Roman" w:cs="Times New Roman"/>
                <w:color w:val="auto"/>
                <w:sz w:val="20"/>
                <w:szCs w:val="20"/>
                <w:lang w:val="en-AU" w:eastAsia="en-AU"/>
              </w:rPr>
            </w:pPr>
          </w:p>
        </w:tc>
        <w:tc>
          <w:tcPr>
            <w:tcW w:w="968" w:type="dxa"/>
            <w:tcBorders>
              <w:top w:val="nil"/>
              <w:left w:val="nil"/>
              <w:bottom w:val="nil"/>
              <w:right w:val="nil"/>
            </w:tcBorders>
            <w:shd w:val="clear" w:color="auto" w:fill="auto"/>
            <w:noWrap/>
            <w:vAlign w:val="bottom"/>
            <w:hideMark/>
          </w:tcPr>
          <w:p w:rsidR="006D3925" w:rsidRPr="006D3925" w:rsidRDefault="006D3925" w:rsidP="006D3925">
            <w:pPr>
              <w:suppressAutoHyphens w:val="0"/>
              <w:spacing w:before="0" w:after="0" w:line="240" w:lineRule="auto"/>
              <w:rPr>
                <w:rFonts w:ascii="Times New Roman" w:eastAsia="Times New Roman" w:hAnsi="Times New Roman" w:cs="Times New Roman"/>
                <w:color w:val="auto"/>
                <w:sz w:val="20"/>
                <w:szCs w:val="20"/>
                <w:lang w:val="en-AU" w:eastAsia="en-AU"/>
              </w:rPr>
            </w:pPr>
          </w:p>
        </w:tc>
        <w:tc>
          <w:tcPr>
            <w:tcW w:w="968" w:type="dxa"/>
            <w:tcBorders>
              <w:top w:val="nil"/>
              <w:left w:val="nil"/>
              <w:bottom w:val="nil"/>
              <w:right w:val="nil"/>
            </w:tcBorders>
            <w:shd w:val="clear" w:color="auto" w:fill="auto"/>
            <w:noWrap/>
            <w:vAlign w:val="bottom"/>
            <w:hideMark/>
          </w:tcPr>
          <w:p w:rsidR="006D3925" w:rsidRPr="006D3925" w:rsidRDefault="006D3925" w:rsidP="006D3925">
            <w:pPr>
              <w:suppressAutoHyphens w:val="0"/>
              <w:spacing w:before="0" w:after="0" w:line="240" w:lineRule="auto"/>
              <w:rPr>
                <w:rFonts w:ascii="Times New Roman" w:eastAsia="Times New Roman" w:hAnsi="Times New Roman" w:cs="Times New Roman"/>
                <w:color w:val="auto"/>
                <w:sz w:val="20"/>
                <w:szCs w:val="20"/>
                <w:lang w:val="en-AU" w:eastAsia="en-AU"/>
              </w:rPr>
            </w:pPr>
          </w:p>
        </w:tc>
        <w:tc>
          <w:tcPr>
            <w:tcW w:w="968" w:type="dxa"/>
            <w:tcBorders>
              <w:top w:val="nil"/>
              <w:left w:val="nil"/>
              <w:bottom w:val="nil"/>
              <w:right w:val="nil"/>
            </w:tcBorders>
            <w:shd w:val="clear" w:color="auto" w:fill="auto"/>
            <w:noWrap/>
            <w:vAlign w:val="bottom"/>
            <w:hideMark/>
          </w:tcPr>
          <w:p w:rsidR="006D3925" w:rsidRPr="006D3925" w:rsidRDefault="006D3925" w:rsidP="006D3925">
            <w:pPr>
              <w:suppressAutoHyphens w:val="0"/>
              <w:spacing w:before="0" w:after="0" w:line="240" w:lineRule="auto"/>
              <w:rPr>
                <w:rFonts w:ascii="Times New Roman" w:eastAsia="Times New Roman" w:hAnsi="Times New Roman" w:cs="Times New Roman"/>
                <w:color w:val="auto"/>
                <w:sz w:val="20"/>
                <w:szCs w:val="20"/>
                <w:lang w:val="en-AU" w:eastAsia="en-AU"/>
              </w:rPr>
            </w:pPr>
          </w:p>
        </w:tc>
        <w:tc>
          <w:tcPr>
            <w:tcW w:w="968" w:type="dxa"/>
            <w:tcBorders>
              <w:top w:val="nil"/>
              <w:left w:val="nil"/>
              <w:bottom w:val="nil"/>
              <w:right w:val="nil"/>
            </w:tcBorders>
            <w:shd w:val="clear" w:color="auto" w:fill="auto"/>
            <w:noWrap/>
            <w:vAlign w:val="bottom"/>
            <w:hideMark/>
          </w:tcPr>
          <w:p w:rsidR="006D3925" w:rsidRPr="006D3925" w:rsidRDefault="006D3925" w:rsidP="006D3925">
            <w:pPr>
              <w:suppressAutoHyphens w:val="0"/>
              <w:spacing w:before="0" w:after="0" w:line="240" w:lineRule="auto"/>
              <w:rPr>
                <w:rFonts w:ascii="Times New Roman" w:eastAsia="Times New Roman" w:hAnsi="Times New Roman" w:cs="Times New Roman"/>
                <w:color w:val="auto"/>
                <w:sz w:val="20"/>
                <w:szCs w:val="20"/>
                <w:lang w:val="en-AU" w:eastAsia="en-AU"/>
              </w:rPr>
            </w:pPr>
          </w:p>
        </w:tc>
        <w:tc>
          <w:tcPr>
            <w:tcW w:w="968" w:type="dxa"/>
            <w:tcBorders>
              <w:top w:val="nil"/>
              <w:left w:val="nil"/>
              <w:bottom w:val="nil"/>
              <w:right w:val="nil"/>
            </w:tcBorders>
            <w:shd w:val="clear" w:color="auto" w:fill="auto"/>
            <w:noWrap/>
            <w:vAlign w:val="bottom"/>
            <w:hideMark/>
          </w:tcPr>
          <w:p w:rsidR="006D3925" w:rsidRPr="006D3925" w:rsidRDefault="006D3925" w:rsidP="006D3925">
            <w:pPr>
              <w:suppressAutoHyphens w:val="0"/>
              <w:spacing w:before="0" w:after="0" w:line="240" w:lineRule="auto"/>
              <w:rPr>
                <w:rFonts w:ascii="Times New Roman" w:eastAsia="Times New Roman" w:hAnsi="Times New Roman" w:cs="Times New Roman"/>
                <w:color w:val="auto"/>
                <w:sz w:val="20"/>
                <w:szCs w:val="20"/>
                <w:lang w:val="en-AU" w:eastAsia="en-AU"/>
              </w:rPr>
            </w:pPr>
          </w:p>
        </w:tc>
      </w:tr>
      <w:tr w:rsidR="006D3925" w:rsidRPr="006D3925" w:rsidTr="006349AF">
        <w:trPr>
          <w:trHeight w:val="632"/>
          <w:jc w:val="center"/>
        </w:trPr>
        <w:tc>
          <w:tcPr>
            <w:tcW w:w="10336" w:type="dxa"/>
            <w:gridSpan w:val="7"/>
            <w:tcBorders>
              <w:top w:val="nil"/>
              <w:left w:val="nil"/>
              <w:bottom w:val="single" w:sz="12" w:space="0" w:color="auto"/>
              <w:right w:val="nil"/>
            </w:tcBorders>
            <w:shd w:val="clear" w:color="auto" w:fill="auto"/>
            <w:noWrap/>
            <w:vAlign w:val="center"/>
            <w:hideMark/>
          </w:tcPr>
          <w:p w:rsidR="006D3925" w:rsidRPr="006D3925" w:rsidRDefault="006D3925" w:rsidP="00E8750C">
            <w:pPr>
              <w:suppressAutoHyphens w:val="0"/>
              <w:spacing w:before="0" w:after="0" w:line="240" w:lineRule="auto"/>
              <w:rPr>
                <w:rFonts w:ascii="Calibri Light" w:eastAsia="Times New Roman" w:hAnsi="Calibri Light" w:cs="Times New Roman"/>
                <w:color w:val="495965"/>
                <w:lang w:val="en-AU" w:eastAsia="en-AU"/>
              </w:rPr>
            </w:pPr>
            <w:r w:rsidRPr="006D3925">
              <w:rPr>
                <w:rFonts w:ascii="Calibri Light" w:eastAsia="Times New Roman" w:hAnsi="Calibri Light" w:cs="Times New Roman"/>
                <w:color w:val="495965"/>
                <w:lang w:eastAsia="en-AU"/>
              </w:rPr>
              <w:t>Final AQCs assess performance over the lifetime of the investment (ratings are not compared to previous years)</w:t>
            </w:r>
          </w:p>
        </w:tc>
        <w:tc>
          <w:tcPr>
            <w:tcW w:w="968" w:type="dxa"/>
            <w:tcBorders>
              <w:top w:val="nil"/>
              <w:left w:val="nil"/>
              <w:bottom w:val="single" w:sz="12" w:space="0" w:color="auto"/>
              <w:right w:val="nil"/>
            </w:tcBorders>
            <w:shd w:val="clear" w:color="auto" w:fill="auto"/>
            <w:noWrap/>
            <w:vAlign w:val="bottom"/>
            <w:hideMark/>
          </w:tcPr>
          <w:p w:rsidR="006D3925" w:rsidRPr="006D3925" w:rsidRDefault="006D3925" w:rsidP="006D3925">
            <w:pPr>
              <w:suppressAutoHyphens w:val="0"/>
              <w:spacing w:before="0" w:after="0" w:line="240" w:lineRule="auto"/>
              <w:rPr>
                <w:rFonts w:ascii="Calibri Light" w:eastAsia="Times New Roman" w:hAnsi="Calibri Light" w:cs="Times New Roman"/>
                <w:color w:val="495965"/>
                <w:lang w:val="en-AU" w:eastAsia="en-AU"/>
              </w:rPr>
            </w:pPr>
          </w:p>
        </w:tc>
        <w:tc>
          <w:tcPr>
            <w:tcW w:w="968" w:type="dxa"/>
            <w:tcBorders>
              <w:top w:val="nil"/>
              <w:left w:val="nil"/>
              <w:bottom w:val="single" w:sz="12" w:space="0" w:color="auto"/>
              <w:right w:val="nil"/>
            </w:tcBorders>
            <w:shd w:val="clear" w:color="auto" w:fill="auto"/>
            <w:noWrap/>
            <w:vAlign w:val="bottom"/>
            <w:hideMark/>
          </w:tcPr>
          <w:p w:rsidR="006D3925" w:rsidRPr="006D3925" w:rsidRDefault="006D3925" w:rsidP="006D3925">
            <w:pPr>
              <w:suppressAutoHyphens w:val="0"/>
              <w:spacing w:before="0" w:after="0" w:line="240" w:lineRule="auto"/>
              <w:rPr>
                <w:rFonts w:ascii="Times New Roman" w:eastAsia="Times New Roman" w:hAnsi="Times New Roman" w:cs="Times New Roman"/>
                <w:color w:val="auto"/>
                <w:sz w:val="20"/>
                <w:szCs w:val="20"/>
                <w:lang w:val="en-AU" w:eastAsia="en-AU"/>
              </w:rPr>
            </w:pPr>
          </w:p>
        </w:tc>
        <w:tc>
          <w:tcPr>
            <w:tcW w:w="968" w:type="dxa"/>
            <w:tcBorders>
              <w:top w:val="nil"/>
              <w:left w:val="nil"/>
              <w:bottom w:val="single" w:sz="12" w:space="0" w:color="auto"/>
              <w:right w:val="nil"/>
            </w:tcBorders>
            <w:shd w:val="clear" w:color="auto" w:fill="auto"/>
            <w:noWrap/>
            <w:vAlign w:val="bottom"/>
            <w:hideMark/>
          </w:tcPr>
          <w:p w:rsidR="006D3925" w:rsidRPr="006D3925" w:rsidRDefault="006D3925" w:rsidP="006D3925">
            <w:pPr>
              <w:suppressAutoHyphens w:val="0"/>
              <w:spacing w:before="0" w:after="0" w:line="240" w:lineRule="auto"/>
              <w:rPr>
                <w:rFonts w:ascii="Times New Roman" w:eastAsia="Times New Roman" w:hAnsi="Times New Roman" w:cs="Times New Roman"/>
                <w:color w:val="auto"/>
                <w:sz w:val="20"/>
                <w:szCs w:val="20"/>
                <w:lang w:val="en-AU" w:eastAsia="en-AU"/>
              </w:rPr>
            </w:pPr>
          </w:p>
        </w:tc>
        <w:tc>
          <w:tcPr>
            <w:tcW w:w="968" w:type="dxa"/>
            <w:tcBorders>
              <w:top w:val="nil"/>
              <w:left w:val="nil"/>
              <w:bottom w:val="single" w:sz="12" w:space="0" w:color="auto"/>
              <w:right w:val="nil"/>
            </w:tcBorders>
            <w:shd w:val="clear" w:color="auto" w:fill="auto"/>
            <w:noWrap/>
            <w:vAlign w:val="bottom"/>
            <w:hideMark/>
          </w:tcPr>
          <w:p w:rsidR="006D3925" w:rsidRPr="006D3925" w:rsidRDefault="006D3925" w:rsidP="006D3925">
            <w:pPr>
              <w:suppressAutoHyphens w:val="0"/>
              <w:spacing w:before="0" w:after="0" w:line="240" w:lineRule="auto"/>
              <w:rPr>
                <w:rFonts w:ascii="Times New Roman" w:eastAsia="Times New Roman" w:hAnsi="Times New Roman" w:cs="Times New Roman"/>
                <w:color w:val="auto"/>
                <w:sz w:val="20"/>
                <w:szCs w:val="20"/>
                <w:lang w:val="en-AU" w:eastAsia="en-AU"/>
              </w:rPr>
            </w:pPr>
          </w:p>
        </w:tc>
      </w:tr>
      <w:tr w:rsidR="006D3925" w:rsidRPr="006D3925" w:rsidTr="00C33375">
        <w:trPr>
          <w:trHeight w:val="1410"/>
          <w:jc w:val="center"/>
        </w:trPr>
        <w:tc>
          <w:tcPr>
            <w:tcW w:w="3788" w:type="dxa"/>
            <w:tcBorders>
              <w:top w:val="single" w:sz="12" w:space="0" w:color="auto"/>
              <w:left w:val="nil"/>
              <w:bottom w:val="single" w:sz="12" w:space="0" w:color="auto"/>
              <w:right w:val="nil"/>
            </w:tcBorders>
            <w:shd w:val="clear" w:color="auto" w:fill="auto"/>
            <w:vAlign w:val="center"/>
            <w:hideMark/>
          </w:tcPr>
          <w:p w:rsidR="006D3925" w:rsidRPr="006D3925" w:rsidRDefault="006D3925" w:rsidP="006D3925">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6D3925">
              <w:rPr>
                <w:rFonts w:ascii="Calibri Light" w:eastAsia="Times New Roman" w:hAnsi="Calibri Light" w:cs="Times New Roman"/>
                <w:b/>
                <w:bCs/>
                <w:iCs/>
                <w:noProof/>
                <w:color w:val="495965"/>
                <w:sz w:val="17"/>
                <w:szCs w:val="17"/>
                <w:lang w:val="en-AU" w:eastAsia="en-AU"/>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4724400" cy="228600"/>
                  <wp:effectExtent l="0" t="0" r="0" b="0"/>
                  <wp:wrapNone/>
                  <wp:docPr id="37" name="Picture 37" hidden="1"/>
                  <wp:cNvGraphicFramePr/>
                  <a:graphic xmlns:a="http://schemas.openxmlformats.org/drawingml/2006/main">
                    <a:graphicData uri="http://schemas.openxmlformats.org/drawingml/2006/picture">
                      <pic:pic xmlns:pic="http://schemas.openxmlformats.org/drawingml/2006/picture">
                        <pic:nvPicPr>
                          <pic:cNvPr id="2" name="Picture 7" hidden="1"/>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6D3925">
              <w:rPr>
                <w:rFonts w:ascii="Calibri Light" w:eastAsia="Times New Roman" w:hAnsi="Calibri Light" w:cs="Times New Roman"/>
                <w:b/>
                <w:bCs/>
                <w:iCs/>
                <w:color w:val="495965"/>
                <w:sz w:val="17"/>
                <w:szCs w:val="17"/>
                <w:lang w:eastAsia="en-AU"/>
              </w:rPr>
              <w:t>Investment name</w:t>
            </w:r>
          </w:p>
        </w:tc>
        <w:tc>
          <w:tcPr>
            <w:tcW w:w="2676" w:type="dxa"/>
            <w:gridSpan w:val="2"/>
            <w:tcBorders>
              <w:top w:val="single" w:sz="12" w:space="0" w:color="auto"/>
              <w:left w:val="nil"/>
              <w:bottom w:val="single" w:sz="12" w:space="0" w:color="auto"/>
              <w:right w:val="nil"/>
            </w:tcBorders>
            <w:shd w:val="clear" w:color="auto" w:fill="auto"/>
            <w:noWrap/>
            <w:vAlign w:val="center"/>
            <w:hideMark/>
          </w:tcPr>
          <w:p w:rsidR="006D3925" w:rsidRPr="006D3925" w:rsidRDefault="006D3925" w:rsidP="006D3925">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6D3925">
              <w:rPr>
                <w:rFonts w:ascii="Calibri Light" w:eastAsia="Times New Roman" w:hAnsi="Calibri Light" w:cs="Times New Roman"/>
                <w:b/>
                <w:bCs/>
                <w:iCs/>
                <w:color w:val="495965"/>
                <w:sz w:val="17"/>
                <w:szCs w:val="17"/>
                <w:lang w:eastAsia="en-AU"/>
              </w:rPr>
              <w:t>Approved budget and duration</w:t>
            </w:r>
          </w:p>
        </w:tc>
        <w:tc>
          <w:tcPr>
            <w:tcW w:w="968" w:type="dxa"/>
            <w:tcBorders>
              <w:top w:val="single" w:sz="12" w:space="0" w:color="auto"/>
              <w:left w:val="nil"/>
              <w:bottom w:val="single" w:sz="12" w:space="0" w:color="auto"/>
              <w:right w:val="nil"/>
            </w:tcBorders>
            <w:shd w:val="clear" w:color="auto" w:fill="auto"/>
            <w:noWrap/>
            <w:textDirection w:val="btLr"/>
            <w:vAlign w:val="center"/>
            <w:hideMark/>
          </w:tcPr>
          <w:p w:rsidR="006D3925" w:rsidRPr="006D3925" w:rsidRDefault="006D3925" w:rsidP="006D3925">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6D3925">
              <w:rPr>
                <w:rFonts w:ascii="Calibri Light" w:eastAsia="Times New Roman" w:hAnsi="Calibri Light" w:cs="Times New Roman"/>
                <w:b/>
                <w:bCs/>
                <w:iCs/>
                <w:color w:val="495965"/>
                <w:sz w:val="17"/>
                <w:szCs w:val="17"/>
                <w:lang w:eastAsia="en-AU"/>
              </w:rPr>
              <w:t>Overall rating</w:t>
            </w:r>
          </w:p>
        </w:tc>
        <w:tc>
          <w:tcPr>
            <w:tcW w:w="968" w:type="dxa"/>
            <w:tcBorders>
              <w:top w:val="single" w:sz="12" w:space="0" w:color="auto"/>
              <w:left w:val="nil"/>
              <w:bottom w:val="single" w:sz="12" w:space="0" w:color="auto"/>
              <w:right w:val="nil"/>
            </w:tcBorders>
            <w:shd w:val="clear" w:color="auto" w:fill="auto"/>
            <w:noWrap/>
            <w:textDirection w:val="btLr"/>
            <w:vAlign w:val="center"/>
            <w:hideMark/>
          </w:tcPr>
          <w:p w:rsidR="006D3925" w:rsidRPr="006D3925" w:rsidRDefault="006D3925" w:rsidP="006D3925">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6D3925">
              <w:rPr>
                <w:rFonts w:ascii="Calibri Light" w:eastAsia="Times New Roman" w:hAnsi="Calibri Light" w:cs="Times New Roman"/>
                <w:b/>
                <w:bCs/>
                <w:iCs/>
                <w:color w:val="495965"/>
                <w:sz w:val="17"/>
                <w:szCs w:val="17"/>
                <w:lang w:eastAsia="en-AU"/>
              </w:rPr>
              <w:t>Relevance</w:t>
            </w:r>
          </w:p>
        </w:tc>
        <w:tc>
          <w:tcPr>
            <w:tcW w:w="968" w:type="dxa"/>
            <w:tcBorders>
              <w:top w:val="single" w:sz="12" w:space="0" w:color="auto"/>
              <w:left w:val="nil"/>
              <w:bottom w:val="single" w:sz="12" w:space="0" w:color="auto"/>
              <w:right w:val="nil"/>
            </w:tcBorders>
            <w:shd w:val="clear" w:color="auto" w:fill="auto"/>
            <w:noWrap/>
            <w:textDirection w:val="btLr"/>
            <w:vAlign w:val="center"/>
            <w:hideMark/>
          </w:tcPr>
          <w:p w:rsidR="006D3925" w:rsidRPr="006D3925" w:rsidRDefault="006D3925" w:rsidP="006D3925">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6D3925">
              <w:rPr>
                <w:rFonts w:ascii="Calibri Light" w:eastAsia="Times New Roman" w:hAnsi="Calibri Light" w:cs="Times New Roman"/>
                <w:b/>
                <w:bCs/>
                <w:iCs/>
                <w:color w:val="495965"/>
                <w:sz w:val="17"/>
                <w:szCs w:val="17"/>
                <w:lang w:eastAsia="en-AU"/>
              </w:rPr>
              <w:t>Effectiveness</w:t>
            </w:r>
          </w:p>
        </w:tc>
        <w:tc>
          <w:tcPr>
            <w:tcW w:w="968" w:type="dxa"/>
            <w:tcBorders>
              <w:top w:val="single" w:sz="12" w:space="0" w:color="auto"/>
              <w:left w:val="nil"/>
              <w:bottom w:val="single" w:sz="12" w:space="0" w:color="auto"/>
              <w:right w:val="nil"/>
            </w:tcBorders>
            <w:shd w:val="clear" w:color="auto" w:fill="auto"/>
            <w:noWrap/>
            <w:textDirection w:val="btLr"/>
            <w:vAlign w:val="center"/>
            <w:hideMark/>
          </w:tcPr>
          <w:p w:rsidR="006D3925" w:rsidRPr="006D3925" w:rsidRDefault="006D3925" w:rsidP="006D3925">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6D3925">
              <w:rPr>
                <w:rFonts w:ascii="Calibri Light" w:eastAsia="Times New Roman" w:hAnsi="Calibri Light" w:cs="Times New Roman"/>
                <w:b/>
                <w:bCs/>
                <w:iCs/>
                <w:color w:val="495965"/>
                <w:sz w:val="17"/>
                <w:szCs w:val="17"/>
                <w:lang w:eastAsia="en-AU"/>
              </w:rPr>
              <w:t>Efficiency</w:t>
            </w:r>
          </w:p>
        </w:tc>
        <w:tc>
          <w:tcPr>
            <w:tcW w:w="968" w:type="dxa"/>
            <w:tcBorders>
              <w:top w:val="single" w:sz="12" w:space="0" w:color="auto"/>
              <w:left w:val="nil"/>
              <w:bottom w:val="single" w:sz="12" w:space="0" w:color="auto"/>
              <w:right w:val="nil"/>
            </w:tcBorders>
            <w:shd w:val="clear" w:color="auto" w:fill="auto"/>
            <w:textDirection w:val="btLr"/>
            <w:vAlign w:val="center"/>
            <w:hideMark/>
          </w:tcPr>
          <w:p w:rsidR="006D3925" w:rsidRPr="006D3925" w:rsidRDefault="006D3925" w:rsidP="006D3925">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6D3925">
              <w:rPr>
                <w:rFonts w:ascii="Calibri Light" w:eastAsia="Times New Roman" w:hAnsi="Calibri Light" w:cs="Times New Roman"/>
                <w:b/>
                <w:bCs/>
                <w:iCs/>
                <w:color w:val="495965"/>
                <w:sz w:val="17"/>
                <w:szCs w:val="17"/>
                <w:lang w:eastAsia="en-AU"/>
              </w:rPr>
              <w:t>Monitoring and Evaluation</w:t>
            </w:r>
          </w:p>
        </w:tc>
        <w:tc>
          <w:tcPr>
            <w:tcW w:w="968" w:type="dxa"/>
            <w:tcBorders>
              <w:top w:val="single" w:sz="12" w:space="0" w:color="auto"/>
              <w:left w:val="nil"/>
              <w:bottom w:val="single" w:sz="12" w:space="0" w:color="auto"/>
              <w:right w:val="nil"/>
            </w:tcBorders>
            <w:shd w:val="clear" w:color="auto" w:fill="auto"/>
            <w:noWrap/>
            <w:textDirection w:val="btLr"/>
            <w:vAlign w:val="center"/>
            <w:hideMark/>
          </w:tcPr>
          <w:p w:rsidR="006D3925" w:rsidRPr="006D3925" w:rsidRDefault="006D3925" w:rsidP="006D3925">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6D3925">
              <w:rPr>
                <w:rFonts w:ascii="Calibri Light" w:eastAsia="Times New Roman" w:hAnsi="Calibri Light" w:cs="Times New Roman"/>
                <w:b/>
                <w:bCs/>
                <w:iCs/>
                <w:color w:val="495965"/>
                <w:sz w:val="17"/>
                <w:szCs w:val="17"/>
                <w:lang w:eastAsia="en-AU"/>
              </w:rPr>
              <w:t>Sustainability</w:t>
            </w:r>
          </w:p>
        </w:tc>
        <w:tc>
          <w:tcPr>
            <w:tcW w:w="968" w:type="dxa"/>
            <w:tcBorders>
              <w:top w:val="single" w:sz="12" w:space="0" w:color="auto"/>
              <w:left w:val="nil"/>
              <w:bottom w:val="single" w:sz="12" w:space="0" w:color="auto"/>
              <w:right w:val="nil"/>
            </w:tcBorders>
            <w:shd w:val="clear" w:color="auto" w:fill="auto"/>
            <w:textDirection w:val="btLr"/>
            <w:vAlign w:val="center"/>
            <w:hideMark/>
          </w:tcPr>
          <w:p w:rsidR="006D3925" w:rsidRPr="006D3925" w:rsidRDefault="006D3925" w:rsidP="006D3925">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6D3925">
              <w:rPr>
                <w:rFonts w:ascii="Calibri Light" w:eastAsia="Times New Roman" w:hAnsi="Calibri Light" w:cs="Times New Roman"/>
                <w:b/>
                <w:bCs/>
                <w:iCs/>
                <w:color w:val="495965"/>
                <w:sz w:val="17"/>
                <w:szCs w:val="17"/>
                <w:lang w:eastAsia="en-AU"/>
              </w:rPr>
              <w:t>Gender equality</w:t>
            </w:r>
          </w:p>
        </w:tc>
        <w:tc>
          <w:tcPr>
            <w:tcW w:w="968" w:type="dxa"/>
            <w:tcBorders>
              <w:top w:val="single" w:sz="12" w:space="0" w:color="auto"/>
              <w:left w:val="nil"/>
              <w:bottom w:val="single" w:sz="12" w:space="0" w:color="auto"/>
              <w:right w:val="nil"/>
            </w:tcBorders>
            <w:shd w:val="clear" w:color="auto" w:fill="auto"/>
            <w:textDirection w:val="btLr"/>
            <w:vAlign w:val="center"/>
            <w:hideMark/>
          </w:tcPr>
          <w:p w:rsidR="006D3925" w:rsidRPr="006D3925" w:rsidRDefault="006D3925" w:rsidP="006D3925">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6D3925">
              <w:rPr>
                <w:rFonts w:ascii="Calibri Light" w:eastAsia="Times New Roman" w:hAnsi="Calibri Light" w:cs="Times New Roman"/>
                <w:b/>
                <w:bCs/>
                <w:iCs/>
                <w:color w:val="495965"/>
                <w:sz w:val="17"/>
                <w:szCs w:val="17"/>
                <w:lang w:eastAsia="en-AU"/>
              </w:rPr>
              <w:t>Risks  and Safeguards</w:t>
            </w:r>
          </w:p>
        </w:tc>
      </w:tr>
      <w:tr w:rsidR="006D3925" w:rsidRPr="006D3925" w:rsidTr="00C33375">
        <w:trPr>
          <w:trHeight w:val="300"/>
          <w:jc w:val="center"/>
        </w:trPr>
        <w:tc>
          <w:tcPr>
            <w:tcW w:w="3788" w:type="dxa"/>
            <w:tcBorders>
              <w:top w:val="single" w:sz="12" w:space="0" w:color="auto"/>
              <w:left w:val="nil"/>
              <w:bottom w:val="nil"/>
              <w:right w:val="nil"/>
            </w:tcBorders>
            <w:shd w:val="clear" w:color="auto" w:fill="auto"/>
            <w:vAlign w:val="center"/>
            <w:hideMark/>
          </w:tcPr>
          <w:p w:rsidR="006D3925" w:rsidRPr="006D3925" w:rsidRDefault="006D3925" w:rsidP="006D3925">
            <w:pPr>
              <w:suppressAutoHyphens w:val="0"/>
              <w:spacing w:before="0" w:after="0" w:line="240" w:lineRule="auto"/>
              <w:rPr>
                <w:rFonts w:ascii="Arial" w:eastAsia="Times New Roman" w:hAnsi="Arial" w:cs="Arial"/>
                <w:color w:val="595959"/>
                <w:sz w:val="16"/>
                <w:szCs w:val="16"/>
                <w:lang w:val="en-AU" w:eastAsia="en-AU"/>
              </w:rPr>
            </w:pPr>
            <w:r w:rsidRPr="006D3925">
              <w:rPr>
                <w:rFonts w:ascii="Arial" w:eastAsia="Times New Roman" w:hAnsi="Arial" w:cs="Arial"/>
                <w:color w:val="595959"/>
                <w:sz w:val="16"/>
                <w:szCs w:val="16"/>
                <w:lang w:eastAsia="en-AU"/>
              </w:rPr>
              <w:t>Pacific Public Sector Linkages Program</w:t>
            </w:r>
          </w:p>
        </w:tc>
        <w:tc>
          <w:tcPr>
            <w:tcW w:w="1428" w:type="dxa"/>
            <w:tcBorders>
              <w:top w:val="single" w:sz="12" w:space="0" w:color="auto"/>
              <w:left w:val="nil"/>
              <w:bottom w:val="nil"/>
              <w:right w:val="nil"/>
            </w:tcBorders>
            <w:shd w:val="clear" w:color="auto" w:fill="auto"/>
            <w:noWrap/>
            <w:vAlign w:val="center"/>
            <w:hideMark/>
          </w:tcPr>
          <w:p w:rsidR="006D3925" w:rsidRPr="006D3925" w:rsidRDefault="006D3925" w:rsidP="006D3925">
            <w:pPr>
              <w:suppressAutoHyphens w:val="0"/>
              <w:spacing w:before="0" w:after="0" w:line="240" w:lineRule="auto"/>
              <w:jc w:val="center"/>
              <w:rPr>
                <w:rFonts w:ascii="Calibri Light" w:eastAsia="Times New Roman" w:hAnsi="Calibri Light" w:cs="Times New Roman"/>
                <w:color w:val="595959"/>
                <w:sz w:val="17"/>
                <w:szCs w:val="17"/>
                <w:lang w:val="en-AU" w:eastAsia="en-AU"/>
              </w:rPr>
            </w:pPr>
            <w:r w:rsidRPr="006D3925">
              <w:rPr>
                <w:rFonts w:ascii="Calibri Light" w:eastAsia="Times New Roman" w:hAnsi="Calibri Light" w:cs="Times New Roman"/>
                <w:color w:val="595959"/>
                <w:sz w:val="17"/>
                <w:szCs w:val="17"/>
                <w:lang w:eastAsia="en-AU"/>
              </w:rPr>
              <w:t xml:space="preserve">$26m </w:t>
            </w:r>
          </w:p>
        </w:tc>
        <w:tc>
          <w:tcPr>
            <w:tcW w:w="1248" w:type="dxa"/>
            <w:tcBorders>
              <w:top w:val="single" w:sz="12" w:space="0" w:color="auto"/>
              <w:left w:val="nil"/>
              <w:bottom w:val="nil"/>
              <w:right w:val="nil"/>
            </w:tcBorders>
            <w:shd w:val="clear" w:color="auto" w:fill="auto"/>
            <w:noWrap/>
            <w:vAlign w:val="center"/>
            <w:hideMark/>
          </w:tcPr>
          <w:p w:rsidR="006D3925" w:rsidRPr="006D3925" w:rsidRDefault="006D3925" w:rsidP="006D3925">
            <w:pPr>
              <w:suppressAutoHyphens w:val="0"/>
              <w:spacing w:before="0" w:after="0" w:line="240" w:lineRule="auto"/>
              <w:jc w:val="center"/>
              <w:rPr>
                <w:rFonts w:ascii="Calibri Light" w:eastAsia="Times New Roman" w:hAnsi="Calibri Light" w:cs="Times New Roman"/>
                <w:color w:val="595959"/>
                <w:sz w:val="17"/>
                <w:szCs w:val="17"/>
                <w:lang w:val="en-AU" w:eastAsia="en-AU"/>
              </w:rPr>
            </w:pPr>
            <w:r w:rsidRPr="006D3925">
              <w:rPr>
                <w:rFonts w:ascii="Calibri Light" w:eastAsia="Times New Roman" w:hAnsi="Calibri Light" w:cs="Times New Roman"/>
                <w:color w:val="595959"/>
                <w:sz w:val="17"/>
                <w:szCs w:val="17"/>
                <w:lang w:val="en-AU" w:eastAsia="en-AU"/>
              </w:rPr>
              <w:t>2009 - 16</w:t>
            </w:r>
          </w:p>
        </w:tc>
        <w:tc>
          <w:tcPr>
            <w:tcW w:w="968" w:type="dxa"/>
            <w:tcBorders>
              <w:top w:val="single" w:sz="12" w:space="0" w:color="auto"/>
              <w:left w:val="nil"/>
              <w:bottom w:val="single" w:sz="4" w:space="0" w:color="auto"/>
              <w:right w:val="nil"/>
            </w:tcBorders>
            <w:shd w:val="clear" w:color="000000" w:fill="FFFF0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4</w:t>
            </w:r>
          </w:p>
        </w:tc>
        <w:tc>
          <w:tcPr>
            <w:tcW w:w="968" w:type="dxa"/>
            <w:tcBorders>
              <w:top w:val="single" w:sz="12" w:space="0" w:color="auto"/>
              <w:left w:val="nil"/>
              <w:bottom w:val="single" w:sz="4" w:space="0" w:color="auto"/>
              <w:right w:val="nil"/>
            </w:tcBorders>
            <w:shd w:val="clear" w:color="000000" w:fill="FFFF0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4</w:t>
            </w:r>
          </w:p>
        </w:tc>
        <w:tc>
          <w:tcPr>
            <w:tcW w:w="968" w:type="dxa"/>
            <w:tcBorders>
              <w:top w:val="single" w:sz="12" w:space="0" w:color="auto"/>
              <w:left w:val="nil"/>
              <w:bottom w:val="single" w:sz="4" w:space="0" w:color="auto"/>
              <w:right w:val="nil"/>
            </w:tcBorders>
            <w:shd w:val="clear" w:color="000000" w:fill="FFFF0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4</w:t>
            </w:r>
          </w:p>
        </w:tc>
        <w:tc>
          <w:tcPr>
            <w:tcW w:w="968" w:type="dxa"/>
            <w:tcBorders>
              <w:top w:val="single" w:sz="12" w:space="0" w:color="auto"/>
              <w:left w:val="nil"/>
              <w:bottom w:val="single" w:sz="4" w:space="0" w:color="auto"/>
              <w:right w:val="nil"/>
            </w:tcBorders>
            <w:shd w:val="clear" w:color="000000" w:fill="FFFF0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4</w:t>
            </w:r>
          </w:p>
        </w:tc>
        <w:tc>
          <w:tcPr>
            <w:tcW w:w="968" w:type="dxa"/>
            <w:tcBorders>
              <w:top w:val="single" w:sz="12" w:space="0" w:color="auto"/>
              <w:left w:val="nil"/>
              <w:bottom w:val="single" w:sz="4" w:space="0" w:color="auto"/>
              <w:right w:val="nil"/>
            </w:tcBorders>
            <w:shd w:val="clear" w:color="000000" w:fill="FFC00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3</w:t>
            </w:r>
          </w:p>
        </w:tc>
        <w:tc>
          <w:tcPr>
            <w:tcW w:w="968" w:type="dxa"/>
            <w:tcBorders>
              <w:top w:val="single" w:sz="12" w:space="0" w:color="auto"/>
              <w:left w:val="nil"/>
              <w:bottom w:val="single" w:sz="4" w:space="0" w:color="auto"/>
              <w:right w:val="nil"/>
            </w:tcBorders>
            <w:shd w:val="clear" w:color="000000" w:fill="FFC00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3</w:t>
            </w:r>
          </w:p>
        </w:tc>
        <w:tc>
          <w:tcPr>
            <w:tcW w:w="968" w:type="dxa"/>
            <w:tcBorders>
              <w:top w:val="single" w:sz="12" w:space="0" w:color="auto"/>
              <w:left w:val="nil"/>
              <w:bottom w:val="single" w:sz="4" w:space="0" w:color="auto"/>
              <w:right w:val="nil"/>
            </w:tcBorders>
            <w:shd w:val="clear" w:color="000000" w:fill="FFC00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3</w:t>
            </w:r>
          </w:p>
        </w:tc>
        <w:tc>
          <w:tcPr>
            <w:tcW w:w="968" w:type="dxa"/>
            <w:tcBorders>
              <w:top w:val="single" w:sz="12" w:space="0" w:color="auto"/>
              <w:left w:val="nil"/>
              <w:bottom w:val="single" w:sz="4" w:space="0" w:color="auto"/>
              <w:right w:val="nil"/>
            </w:tcBorders>
            <w:shd w:val="clear" w:color="000000" w:fill="FFFF0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4</w:t>
            </w:r>
          </w:p>
        </w:tc>
      </w:tr>
      <w:tr w:rsidR="006D3925" w:rsidRPr="006D3925" w:rsidTr="00C33375">
        <w:trPr>
          <w:trHeight w:val="300"/>
          <w:jc w:val="center"/>
        </w:trPr>
        <w:tc>
          <w:tcPr>
            <w:tcW w:w="3788" w:type="dxa"/>
            <w:tcBorders>
              <w:top w:val="single" w:sz="4" w:space="0" w:color="auto"/>
              <w:left w:val="nil"/>
              <w:bottom w:val="nil"/>
              <w:right w:val="nil"/>
            </w:tcBorders>
            <w:shd w:val="clear" w:color="auto" w:fill="auto"/>
            <w:vAlign w:val="center"/>
            <w:hideMark/>
          </w:tcPr>
          <w:p w:rsidR="006D3925" w:rsidRPr="006D3925" w:rsidRDefault="006D3925" w:rsidP="006D3925">
            <w:pPr>
              <w:suppressAutoHyphens w:val="0"/>
              <w:spacing w:before="0" w:after="0" w:line="240" w:lineRule="auto"/>
              <w:rPr>
                <w:rFonts w:ascii="Arial" w:eastAsia="Times New Roman" w:hAnsi="Arial" w:cs="Arial"/>
                <w:color w:val="595959"/>
                <w:sz w:val="16"/>
                <w:szCs w:val="16"/>
                <w:lang w:val="en-AU" w:eastAsia="en-AU"/>
              </w:rPr>
            </w:pPr>
            <w:r w:rsidRPr="006D3925">
              <w:rPr>
                <w:rFonts w:ascii="Arial" w:eastAsia="Times New Roman" w:hAnsi="Arial" w:cs="Arial"/>
                <w:color w:val="595959"/>
                <w:sz w:val="16"/>
                <w:szCs w:val="16"/>
                <w:lang w:eastAsia="en-AU"/>
              </w:rPr>
              <w:t>APPS in PNG 2015 Intake</w:t>
            </w:r>
          </w:p>
        </w:tc>
        <w:tc>
          <w:tcPr>
            <w:tcW w:w="1428" w:type="dxa"/>
            <w:tcBorders>
              <w:top w:val="single" w:sz="4" w:space="0" w:color="auto"/>
              <w:left w:val="nil"/>
              <w:bottom w:val="nil"/>
              <w:right w:val="nil"/>
            </w:tcBorders>
            <w:shd w:val="clear" w:color="auto" w:fill="auto"/>
            <w:noWrap/>
            <w:vAlign w:val="center"/>
            <w:hideMark/>
          </w:tcPr>
          <w:p w:rsidR="006D3925" w:rsidRPr="006D3925" w:rsidRDefault="006D3925" w:rsidP="006D3925">
            <w:pPr>
              <w:suppressAutoHyphens w:val="0"/>
              <w:spacing w:before="0" w:after="0" w:line="240" w:lineRule="auto"/>
              <w:jc w:val="center"/>
              <w:rPr>
                <w:rFonts w:ascii="Calibri Light" w:eastAsia="Times New Roman" w:hAnsi="Calibri Light" w:cs="Times New Roman"/>
                <w:color w:val="595959"/>
                <w:sz w:val="17"/>
                <w:szCs w:val="17"/>
                <w:lang w:val="en-AU" w:eastAsia="en-AU"/>
              </w:rPr>
            </w:pPr>
            <w:r w:rsidRPr="006D3925">
              <w:rPr>
                <w:rFonts w:ascii="Calibri Light" w:eastAsia="Times New Roman" w:hAnsi="Calibri Light" w:cs="Times New Roman"/>
                <w:color w:val="595959"/>
                <w:sz w:val="17"/>
                <w:szCs w:val="17"/>
                <w:lang w:eastAsia="en-AU"/>
              </w:rPr>
              <w:t>22m</w:t>
            </w:r>
          </w:p>
        </w:tc>
        <w:tc>
          <w:tcPr>
            <w:tcW w:w="1248" w:type="dxa"/>
            <w:tcBorders>
              <w:top w:val="single" w:sz="4" w:space="0" w:color="auto"/>
              <w:left w:val="nil"/>
              <w:bottom w:val="nil"/>
              <w:right w:val="nil"/>
            </w:tcBorders>
            <w:shd w:val="clear" w:color="auto" w:fill="auto"/>
            <w:noWrap/>
            <w:vAlign w:val="center"/>
            <w:hideMark/>
          </w:tcPr>
          <w:p w:rsidR="006D3925" w:rsidRPr="006D3925" w:rsidRDefault="006D3925" w:rsidP="006D3925">
            <w:pPr>
              <w:suppressAutoHyphens w:val="0"/>
              <w:spacing w:before="0" w:after="0" w:line="240" w:lineRule="auto"/>
              <w:jc w:val="center"/>
              <w:rPr>
                <w:rFonts w:ascii="Calibri Light" w:eastAsia="Times New Roman" w:hAnsi="Calibri Light" w:cs="Times New Roman"/>
                <w:color w:val="595959"/>
                <w:sz w:val="17"/>
                <w:szCs w:val="17"/>
                <w:lang w:val="en-AU" w:eastAsia="en-AU"/>
              </w:rPr>
            </w:pPr>
            <w:r w:rsidRPr="006D3925">
              <w:rPr>
                <w:rFonts w:ascii="Calibri Light" w:eastAsia="Times New Roman" w:hAnsi="Calibri Light" w:cs="Times New Roman"/>
                <w:color w:val="595959"/>
                <w:sz w:val="17"/>
                <w:szCs w:val="17"/>
                <w:lang w:val="en-AU" w:eastAsia="en-AU"/>
              </w:rPr>
              <w:t>2015 - 19</w:t>
            </w:r>
          </w:p>
        </w:tc>
        <w:tc>
          <w:tcPr>
            <w:tcW w:w="968" w:type="dxa"/>
            <w:tcBorders>
              <w:top w:val="single" w:sz="4" w:space="0" w:color="auto"/>
              <w:left w:val="nil"/>
              <w:bottom w:val="single" w:sz="4" w:space="0" w:color="auto"/>
              <w:right w:val="nil"/>
            </w:tcBorders>
            <w:shd w:val="clear" w:color="000000" w:fill="92D05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5</w:t>
            </w:r>
          </w:p>
        </w:tc>
        <w:tc>
          <w:tcPr>
            <w:tcW w:w="968" w:type="dxa"/>
            <w:tcBorders>
              <w:top w:val="single" w:sz="4" w:space="0" w:color="auto"/>
              <w:left w:val="nil"/>
              <w:bottom w:val="single" w:sz="4" w:space="0" w:color="auto"/>
              <w:right w:val="nil"/>
            </w:tcBorders>
            <w:shd w:val="clear" w:color="000000" w:fill="92D05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5</w:t>
            </w:r>
          </w:p>
        </w:tc>
        <w:tc>
          <w:tcPr>
            <w:tcW w:w="968" w:type="dxa"/>
            <w:tcBorders>
              <w:top w:val="single" w:sz="4" w:space="0" w:color="auto"/>
              <w:left w:val="nil"/>
              <w:bottom w:val="single" w:sz="4" w:space="0" w:color="auto"/>
              <w:right w:val="nil"/>
            </w:tcBorders>
            <w:shd w:val="clear" w:color="000000" w:fill="92D05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5</w:t>
            </w:r>
          </w:p>
        </w:tc>
        <w:tc>
          <w:tcPr>
            <w:tcW w:w="968" w:type="dxa"/>
            <w:tcBorders>
              <w:top w:val="single" w:sz="4" w:space="0" w:color="auto"/>
              <w:left w:val="nil"/>
              <w:bottom w:val="single" w:sz="4" w:space="0" w:color="auto"/>
              <w:right w:val="nil"/>
            </w:tcBorders>
            <w:shd w:val="clear" w:color="000000" w:fill="92D05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5</w:t>
            </w:r>
          </w:p>
        </w:tc>
        <w:tc>
          <w:tcPr>
            <w:tcW w:w="968" w:type="dxa"/>
            <w:tcBorders>
              <w:top w:val="single" w:sz="4" w:space="0" w:color="auto"/>
              <w:left w:val="nil"/>
              <w:bottom w:val="single" w:sz="4" w:space="0" w:color="auto"/>
              <w:right w:val="nil"/>
            </w:tcBorders>
            <w:shd w:val="clear" w:color="000000" w:fill="92D05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5</w:t>
            </w:r>
          </w:p>
        </w:tc>
        <w:tc>
          <w:tcPr>
            <w:tcW w:w="968" w:type="dxa"/>
            <w:tcBorders>
              <w:top w:val="single" w:sz="4" w:space="0" w:color="auto"/>
              <w:left w:val="nil"/>
              <w:bottom w:val="single" w:sz="4" w:space="0" w:color="auto"/>
              <w:right w:val="nil"/>
            </w:tcBorders>
            <w:shd w:val="clear" w:color="000000" w:fill="92D05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6</w:t>
            </w:r>
          </w:p>
        </w:tc>
        <w:tc>
          <w:tcPr>
            <w:tcW w:w="968" w:type="dxa"/>
            <w:tcBorders>
              <w:top w:val="single" w:sz="4" w:space="0" w:color="auto"/>
              <w:left w:val="nil"/>
              <w:bottom w:val="single" w:sz="4" w:space="0" w:color="auto"/>
              <w:right w:val="nil"/>
            </w:tcBorders>
            <w:shd w:val="clear" w:color="000000" w:fill="92D05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6</w:t>
            </w:r>
          </w:p>
        </w:tc>
        <w:tc>
          <w:tcPr>
            <w:tcW w:w="968" w:type="dxa"/>
            <w:tcBorders>
              <w:top w:val="single" w:sz="4" w:space="0" w:color="auto"/>
              <w:left w:val="nil"/>
              <w:bottom w:val="single" w:sz="4" w:space="0" w:color="auto"/>
              <w:right w:val="nil"/>
            </w:tcBorders>
            <w:shd w:val="clear" w:color="000000" w:fill="92D05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5</w:t>
            </w:r>
          </w:p>
        </w:tc>
      </w:tr>
      <w:tr w:rsidR="006D3925" w:rsidRPr="006D3925" w:rsidTr="00C33375">
        <w:trPr>
          <w:trHeight w:val="300"/>
          <w:jc w:val="center"/>
        </w:trPr>
        <w:tc>
          <w:tcPr>
            <w:tcW w:w="3788" w:type="dxa"/>
            <w:tcBorders>
              <w:top w:val="single" w:sz="4" w:space="0" w:color="auto"/>
              <w:left w:val="nil"/>
              <w:bottom w:val="nil"/>
              <w:right w:val="nil"/>
            </w:tcBorders>
            <w:shd w:val="clear" w:color="auto" w:fill="auto"/>
            <w:vAlign w:val="center"/>
            <w:hideMark/>
          </w:tcPr>
          <w:p w:rsidR="006D3925" w:rsidRPr="006D3925" w:rsidRDefault="006D3925" w:rsidP="006D3925">
            <w:pPr>
              <w:suppressAutoHyphens w:val="0"/>
              <w:spacing w:before="0" w:after="0" w:line="240" w:lineRule="auto"/>
              <w:rPr>
                <w:rFonts w:ascii="Arial" w:eastAsia="Times New Roman" w:hAnsi="Arial" w:cs="Arial"/>
                <w:color w:val="595959"/>
                <w:sz w:val="16"/>
                <w:szCs w:val="16"/>
                <w:lang w:val="en-AU" w:eastAsia="en-AU"/>
              </w:rPr>
            </w:pPr>
            <w:r w:rsidRPr="006D3925">
              <w:rPr>
                <w:rFonts w:ascii="Arial" w:eastAsia="Times New Roman" w:hAnsi="Arial" w:cs="Arial"/>
                <w:color w:val="595959"/>
                <w:sz w:val="16"/>
                <w:szCs w:val="16"/>
                <w:lang w:eastAsia="en-AU"/>
              </w:rPr>
              <w:t>Australia Awards Pacific Scholarships PNG</w:t>
            </w:r>
          </w:p>
        </w:tc>
        <w:tc>
          <w:tcPr>
            <w:tcW w:w="1428" w:type="dxa"/>
            <w:tcBorders>
              <w:top w:val="single" w:sz="4" w:space="0" w:color="auto"/>
              <w:left w:val="nil"/>
              <w:bottom w:val="nil"/>
              <w:right w:val="nil"/>
            </w:tcBorders>
            <w:shd w:val="clear" w:color="auto" w:fill="auto"/>
            <w:noWrap/>
            <w:vAlign w:val="center"/>
            <w:hideMark/>
          </w:tcPr>
          <w:p w:rsidR="006D3925" w:rsidRPr="006D3925" w:rsidRDefault="006D3925" w:rsidP="006D3925">
            <w:pPr>
              <w:suppressAutoHyphens w:val="0"/>
              <w:spacing w:before="0" w:after="0" w:line="240" w:lineRule="auto"/>
              <w:jc w:val="center"/>
              <w:rPr>
                <w:rFonts w:ascii="Calibri Light" w:eastAsia="Times New Roman" w:hAnsi="Calibri Light" w:cs="Times New Roman"/>
                <w:color w:val="595959"/>
                <w:sz w:val="17"/>
                <w:szCs w:val="17"/>
                <w:lang w:val="en-AU" w:eastAsia="en-AU"/>
              </w:rPr>
            </w:pPr>
            <w:r w:rsidRPr="006D3925">
              <w:rPr>
                <w:rFonts w:ascii="Calibri Light" w:eastAsia="Times New Roman" w:hAnsi="Calibri Light" w:cs="Times New Roman"/>
                <w:color w:val="595959"/>
                <w:sz w:val="17"/>
                <w:szCs w:val="17"/>
                <w:lang w:eastAsia="en-AU"/>
              </w:rPr>
              <w:t>$26m</w:t>
            </w:r>
          </w:p>
        </w:tc>
        <w:tc>
          <w:tcPr>
            <w:tcW w:w="1248" w:type="dxa"/>
            <w:tcBorders>
              <w:top w:val="single" w:sz="4" w:space="0" w:color="auto"/>
              <w:left w:val="nil"/>
              <w:bottom w:val="nil"/>
              <w:right w:val="nil"/>
            </w:tcBorders>
            <w:shd w:val="clear" w:color="auto" w:fill="auto"/>
            <w:noWrap/>
            <w:vAlign w:val="center"/>
            <w:hideMark/>
          </w:tcPr>
          <w:p w:rsidR="006D3925" w:rsidRPr="006D3925" w:rsidRDefault="006D3925" w:rsidP="006D3925">
            <w:pPr>
              <w:suppressAutoHyphens w:val="0"/>
              <w:spacing w:before="0" w:after="0" w:line="240" w:lineRule="auto"/>
              <w:jc w:val="center"/>
              <w:rPr>
                <w:rFonts w:ascii="Calibri Light" w:eastAsia="Times New Roman" w:hAnsi="Calibri Light" w:cs="Times New Roman"/>
                <w:color w:val="595959"/>
                <w:sz w:val="17"/>
                <w:szCs w:val="17"/>
                <w:lang w:val="en-AU" w:eastAsia="en-AU"/>
              </w:rPr>
            </w:pPr>
            <w:r w:rsidRPr="006D3925">
              <w:rPr>
                <w:rFonts w:ascii="Calibri Light" w:eastAsia="Times New Roman" w:hAnsi="Calibri Light" w:cs="Times New Roman"/>
                <w:color w:val="595959"/>
                <w:sz w:val="17"/>
                <w:szCs w:val="17"/>
                <w:lang w:val="en-AU" w:eastAsia="en-AU"/>
              </w:rPr>
              <w:t>2014 - 21</w:t>
            </w:r>
          </w:p>
        </w:tc>
        <w:tc>
          <w:tcPr>
            <w:tcW w:w="968" w:type="dxa"/>
            <w:tcBorders>
              <w:top w:val="single" w:sz="4" w:space="0" w:color="auto"/>
              <w:left w:val="nil"/>
              <w:bottom w:val="nil"/>
              <w:right w:val="nil"/>
            </w:tcBorders>
            <w:shd w:val="clear" w:color="000000" w:fill="92D05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5</w:t>
            </w:r>
          </w:p>
        </w:tc>
        <w:tc>
          <w:tcPr>
            <w:tcW w:w="968" w:type="dxa"/>
            <w:tcBorders>
              <w:top w:val="single" w:sz="4" w:space="0" w:color="auto"/>
              <w:left w:val="nil"/>
              <w:bottom w:val="nil"/>
              <w:right w:val="nil"/>
            </w:tcBorders>
            <w:shd w:val="clear" w:color="000000" w:fill="92D05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5</w:t>
            </w:r>
          </w:p>
        </w:tc>
        <w:tc>
          <w:tcPr>
            <w:tcW w:w="968" w:type="dxa"/>
            <w:tcBorders>
              <w:top w:val="single" w:sz="4" w:space="0" w:color="auto"/>
              <w:left w:val="nil"/>
              <w:bottom w:val="nil"/>
              <w:right w:val="nil"/>
            </w:tcBorders>
            <w:shd w:val="clear" w:color="000000" w:fill="92D05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5</w:t>
            </w:r>
          </w:p>
        </w:tc>
        <w:tc>
          <w:tcPr>
            <w:tcW w:w="968" w:type="dxa"/>
            <w:tcBorders>
              <w:top w:val="single" w:sz="4" w:space="0" w:color="auto"/>
              <w:left w:val="nil"/>
              <w:bottom w:val="nil"/>
              <w:right w:val="nil"/>
            </w:tcBorders>
            <w:shd w:val="clear" w:color="000000" w:fill="92D05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5</w:t>
            </w:r>
          </w:p>
        </w:tc>
        <w:tc>
          <w:tcPr>
            <w:tcW w:w="968" w:type="dxa"/>
            <w:tcBorders>
              <w:top w:val="single" w:sz="4" w:space="0" w:color="auto"/>
              <w:left w:val="nil"/>
              <w:bottom w:val="nil"/>
              <w:right w:val="nil"/>
            </w:tcBorders>
            <w:shd w:val="clear" w:color="000000" w:fill="92D05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5</w:t>
            </w:r>
          </w:p>
        </w:tc>
        <w:tc>
          <w:tcPr>
            <w:tcW w:w="968" w:type="dxa"/>
            <w:tcBorders>
              <w:top w:val="single" w:sz="4" w:space="0" w:color="auto"/>
              <w:left w:val="nil"/>
              <w:bottom w:val="nil"/>
              <w:right w:val="nil"/>
            </w:tcBorders>
            <w:shd w:val="clear" w:color="000000" w:fill="92D05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6</w:t>
            </w:r>
          </w:p>
        </w:tc>
        <w:tc>
          <w:tcPr>
            <w:tcW w:w="968" w:type="dxa"/>
            <w:tcBorders>
              <w:top w:val="single" w:sz="4" w:space="0" w:color="auto"/>
              <w:left w:val="nil"/>
              <w:bottom w:val="nil"/>
              <w:right w:val="nil"/>
            </w:tcBorders>
            <w:shd w:val="clear" w:color="000000" w:fill="92D05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6</w:t>
            </w:r>
          </w:p>
        </w:tc>
        <w:tc>
          <w:tcPr>
            <w:tcW w:w="968" w:type="dxa"/>
            <w:tcBorders>
              <w:top w:val="single" w:sz="4" w:space="0" w:color="auto"/>
              <w:left w:val="nil"/>
              <w:bottom w:val="nil"/>
              <w:right w:val="nil"/>
            </w:tcBorders>
            <w:shd w:val="clear" w:color="000000" w:fill="92D05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5</w:t>
            </w:r>
          </w:p>
        </w:tc>
      </w:tr>
      <w:tr w:rsidR="006D3925" w:rsidRPr="006D3925" w:rsidTr="006349AF">
        <w:trPr>
          <w:trHeight w:val="300"/>
          <w:jc w:val="center"/>
        </w:trPr>
        <w:tc>
          <w:tcPr>
            <w:tcW w:w="3788" w:type="dxa"/>
            <w:tcBorders>
              <w:top w:val="single" w:sz="4" w:space="0" w:color="auto"/>
              <w:left w:val="nil"/>
              <w:bottom w:val="nil"/>
              <w:right w:val="nil"/>
            </w:tcBorders>
            <w:shd w:val="clear" w:color="auto" w:fill="auto"/>
            <w:vAlign w:val="center"/>
            <w:hideMark/>
          </w:tcPr>
          <w:p w:rsidR="006D3925" w:rsidRPr="006D3925" w:rsidRDefault="006D3925" w:rsidP="006D3925">
            <w:pPr>
              <w:suppressAutoHyphens w:val="0"/>
              <w:spacing w:before="0" w:after="0" w:line="240" w:lineRule="auto"/>
              <w:rPr>
                <w:rFonts w:ascii="Arial" w:eastAsia="Times New Roman" w:hAnsi="Arial" w:cs="Arial"/>
                <w:color w:val="595959"/>
                <w:sz w:val="16"/>
                <w:szCs w:val="16"/>
                <w:lang w:val="en-AU" w:eastAsia="en-AU"/>
              </w:rPr>
            </w:pPr>
            <w:r w:rsidRPr="006D3925">
              <w:rPr>
                <w:rFonts w:ascii="Arial" w:eastAsia="Times New Roman" w:hAnsi="Arial" w:cs="Arial"/>
                <w:color w:val="595959"/>
                <w:sz w:val="16"/>
                <w:szCs w:val="16"/>
                <w:lang w:eastAsia="en-AU"/>
              </w:rPr>
              <w:t>In-PNG Scholarships From 2013</w:t>
            </w:r>
          </w:p>
        </w:tc>
        <w:tc>
          <w:tcPr>
            <w:tcW w:w="1428" w:type="dxa"/>
            <w:tcBorders>
              <w:top w:val="single" w:sz="4" w:space="0" w:color="auto"/>
              <w:left w:val="nil"/>
              <w:bottom w:val="nil"/>
              <w:right w:val="nil"/>
            </w:tcBorders>
            <w:shd w:val="clear" w:color="auto" w:fill="auto"/>
            <w:noWrap/>
            <w:vAlign w:val="center"/>
            <w:hideMark/>
          </w:tcPr>
          <w:p w:rsidR="006D3925" w:rsidRPr="006D3925" w:rsidRDefault="006D3925" w:rsidP="006D3925">
            <w:pPr>
              <w:suppressAutoHyphens w:val="0"/>
              <w:spacing w:before="0" w:after="0" w:line="240" w:lineRule="auto"/>
              <w:jc w:val="center"/>
              <w:rPr>
                <w:rFonts w:ascii="Calibri Light" w:eastAsia="Times New Roman" w:hAnsi="Calibri Light" w:cs="Times New Roman"/>
                <w:color w:val="595959"/>
                <w:sz w:val="17"/>
                <w:szCs w:val="17"/>
                <w:lang w:val="en-AU" w:eastAsia="en-AU"/>
              </w:rPr>
            </w:pPr>
            <w:r w:rsidRPr="006D3925">
              <w:rPr>
                <w:rFonts w:ascii="Calibri Light" w:eastAsia="Times New Roman" w:hAnsi="Calibri Light" w:cs="Times New Roman"/>
                <w:color w:val="595959"/>
                <w:sz w:val="17"/>
                <w:szCs w:val="17"/>
                <w:lang w:eastAsia="en-AU"/>
              </w:rPr>
              <w:t>$43m</w:t>
            </w:r>
          </w:p>
        </w:tc>
        <w:tc>
          <w:tcPr>
            <w:tcW w:w="1248" w:type="dxa"/>
            <w:tcBorders>
              <w:top w:val="single" w:sz="4" w:space="0" w:color="auto"/>
              <w:left w:val="nil"/>
              <w:bottom w:val="nil"/>
              <w:right w:val="nil"/>
            </w:tcBorders>
            <w:shd w:val="clear" w:color="auto" w:fill="auto"/>
            <w:noWrap/>
            <w:vAlign w:val="center"/>
            <w:hideMark/>
          </w:tcPr>
          <w:p w:rsidR="006D3925" w:rsidRPr="006D3925" w:rsidRDefault="006D3925" w:rsidP="006D3925">
            <w:pPr>
              <w:suppressAutoHyphens w:val="0"/>
              <w:spacing w:before="0" w:after="0" w:line="240" w:lineRule="auto"/>
              <w:jc w:val="center"/>
              <w:rPr>
                <w:rFonts w:ascii="Calibri Light" w:eastAsia="Times New Roman" w:hAnsi="Calibri Light" w:cs="Times New Roman"/>
                <w:color w:val="595959"/>
                <w:sz w:val="17"/>
                <w:szCs w:val="17"/>
                <w:lang w:val="en-AU" w:eastAsia="en-AU"/>
              </w:rPr>
            </w:pPr>
            <w:r w:rsidRPr="006D3925">
              <w:rPr>
                <w:rFonts w:ascii="Calibri Light" w:eastAsia="Times New Roman" w:hAnsi="Calibri Light" w:cs="Times New Roman"/>
                <w:color w:val="595959"/>
                <w:sz w:val="17"/>
                <w:szCs w:val="17"/>
                <w:lang w:val="en-AU" w:eastAsia="en-AU"/>
              </w:rPr>
              <w:t>2012 - 20</w:t>
            </w:r>
          </w:p>
        </w:tc>
        <w:tc>
          <w:tcPr>
            <w:tcW w:w="968" w:type="dxa"/>
            <w:tcBorders>
              <w:top w:val="single" w:sz="4" w:space="0" w:color="auto"/>
              <w:left w:val="nil"/>
              <w:bottom w:val="nil"/>
              <w:right w:val="nil"/>
            </w:tcBorders>
            <w:shd w:val="clear" w:color="000000" w:fill="92D05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5</w:t>
            </w:r>
          </w:p>
        </w:tc>
        <w:tc>
          <w:tcPr>
            <w:tcW w:w="968" w:type="dxa"/>
            <w:tcBorders>
              <w:top w:val="single" w:sz="4" w:space="0" w:color="auto"/>
              <w:left w:val="nil"/>
              <w:bottom w:val="nil"/>
              <w:right w:val="nil"/>
            </w:tcBorders>
            <w:shd w:val="clear" w:color="000000" w:fill="92D05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5</w:t>
            </w:r>
          </w:p>
        </w:tc>
        <w:tc>
          <w:tcPr>
            <w:tcW w:w="968" w:type="dxa"/>
            <w:tcBorders>
              <w:top w:val="single" w:sz="4" w:space="0" w:color="auto"/>
              <w:left w:val="nil"/>
              <w:bottom w:val="nil"/>
              <w:right w:val="nil"/>
            </w:tcBorders>
            <w:shd w:val="clear" w:color="000000" w:fill="92D05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5</w:t>
            </w:r>
          </w:p>
        </w:tc>
        <w:tc>
          <w:tcPr>
            <w:tcW w:w="968" w:type="dxa"/>
            <w:tcBorders>
              <w:top w:val="single" w:sz="4" w:space="0" w:color="auto"/>
              <w:left w:val="nil"/>
              <w:bottom w:val="nil"/>
              <w:right w:val="nil"/>
            </w:tcBorders>
            <w:shd w:val="clear" w:color="000000" w:fill="92D05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5</w:t>
            </w:r>
          </w:p>
        </w:tc>
        <w:tc>
          <w:tcPr>
            <w:tcW w:w="968" w:type="dxa"/>
            <w:tcBorders>
              <w:top w:val="single" w:sz="4" w:space="0" w:color="auto"/>
              <w:left w:val="nil"/>
              <w:bottom w:val="nil"/>
              <w:right w:val="nil"/>
            </w:tcBorders>
            <w:shd w:val="clear" w:color="000000" w:fill="92D05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5</w:t>
            </w:r>
          </w:p>
        </w:tc>
        <w:tc>
          <w:tcPr>
            <w:tcW w:w="968" w:type="dxa"/>
            <w:tcBorders>
              <w:top w:val="single" w:sz="4" w:space="0" w:color="auto"/>
              <w:left w:val="nil"/>
              <w:bottom w:val="nil"/>
              <w:right w:val="nil"/>
            </w:tcBorders>
            <w:shd w:val="clear" w:color="000000" w:fill="92D05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6</w:t>
            </w:r>
          </w:p>
        </w:tc>
        <w:tc>
          <w:tcPr>
            <w:tcW w:w="968" w:type="dxa"/>
            <w:tcBorders>
              <w:top w:val="single" w:sz="4" w:space="0" w:color="auto"/>
              <w:left w:val="nil"/>
              <w:bottom w:val="nil"/>
              <w:right w:val="nil"/>
            </w:tcBorders>
            <w:shd w:val="clear" w:color="000000" w:fill="92D05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6</w:t>
            </w:r>
          </w:p>
        </w:tc>
        <w:tc>
          <w:tcPr>
            <w:tcW w:w="968" w:type="dxa"/>
            <w:tcBorders>
              <w:top w:val="single" w:sz="4" w:space="0" w:color="auto"/>
              <w:left w:val="nil"/>
              <w:bottom w:val="nil"/>
              <w:right w:val="nil"/>
            </w:tcBorders>
            <w:shd w:val="clear" w:color="000000" w:fill="92D05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5</w:t>
            </w:r>
          </w:p>
        </w:tc>
      </w:tr>
      <w:tr w:rsidR="006D3925" w:rsidRPr="006D3925" w:rsidTr="006349AF">
        <w:trPr>
          <w:trHeight w:val="300"/>
          <w:jc w:val="center"/>
        </w:trPr>
        <w:tc>
          <w:tcPr>
            <w:tcW w:w="3788" w:type="dxa"/>
            <w:tcBorders>
              <w:top w:val="single" w:sz="4" w:space="0" w:color="auto"/>
              <w:left w:val="nil"/>
              <w:bottom w:val="nil"/>
              <w:right w:val="nil"/>
            </w:tcBorders>
            <w:shd w:val="clear" w:color="auto" w:fill="auto"/>
            <w:vAlign w:val="center"/>
            <w:hideMark/>
          </w:tcPr>
          <w:p w:rsidR="006D3925" w:rsidRPr="006D3925" w:rsidRDefault="006D3925" w:rsidP="006D3925">
            <w:pPr>
              <w:suppressAutoHyphens w:val="0"/>
              <w:spacing w:before="0" w:after="0" w:line="240" w:lineRule="auto"/>
              <w:rPr>
                <w:rFonts w:ascii="Arial" w:eastAsia="Times New Roman" w:hAnsi="Arial" w:cs="Arial"/>
                <w:color w:val="595959"/>
                <w:sz w:val="16"/>
                <w:szCs w:val="16"/>
                <w:lang w:val="en-AU" w:eastAsia="en-AU"/>
              </w:rPr>
            </w:pPr>
            <w:r w:rsidRPr="006D3925">
              <w:rPr>
                <w:rFonts w:ascii="Arial" w:eastAsia="Times New Roman" w:hAnsi="Arial" w:cs="Arial"/>
                <w:color w:val="595959"/>
                <w:sz w:val="16"/>
                <w:szCs w:val="16"/>
                <w:lang w:eastAsia="en-AU"/>
              </w:rPr>
              <w:t>Pacific Regional Audit Initiative</w:t>
            </w:r>
          </w:p>
        </w:tc>
        <w:tc>
          <w:tcPr>
            <w:tcW w:w="1428" w:type="dxa"/>
            <w:tcBorders>
              <w:top w:val="single" w:sz="4" w:space="0" w:color="auto"/>
              <w:left w:val="nil"/>
              <w:bottom w:val="nil"/>
              <w:right w:val="nil"/>
            </w:tcBorders>
            <w:shd w:val="clear" w:color="auto" w:fill="auto"/>
            <w:noWrap/>
            <w:vAlign w:val="center"/>
            <w:hideMark/>
          </w:tcPr>
          <w:p w:rsidR="006D3925" w:rsidRPr="006D3925" w:rsidRDefault="006D3925" w:rsidP="006D3925">
            <w:pPr>
              <w:suppressAutoHyphens w:val="0"/>
              <w:spacing w:before="0" w:after="0" w:line="240" w:lineRule="auto"/>
              <w:jc w:val="center"/>
              <w:rPr>
                <w:rFonts w:ascii="Calibri Light" w:eastAsia="Times New Roman" w:hAnsi="Calibri Light" w:cs="Times New Roman"/>
                <w:color w:val="595959"/>
                <w:sz w:val="17"/>
                <w:szCs w:val="17"/>
                <w:lang w:val="en-AU" w:eastAsia="en-AU"/>
              </w:rPr>
            </w:pPr>
            <w:r w:rsidRPr="006D3925">
              <w:rPr>
                <w:rFonts w:ascii="Calibri Light" w:eastAsia="Times New Roman" w:hAnsi="Calibri Light" w:cs="Times New Roman"/>
                <w:color w:val="595959"/>
                <w:sz w:val="17"/>
                <w:szCs w:val="17"/>
                <w:lang w:eastAsia="en-AU"/>
              </w:rPr>
              <w:t>$4m</w:t>
            </w:r>
          </w:p>
        </w:tc>
        <w:tc>
          <w:tcPr>
            <w:tcW w:w="1248" w:type="dxa"/>
            <w:tcBorders>
              <w:top w:val="single" w:sz="4" w:space="0" w:color="auto"/>
              <w:left w:val="nil"/>
              <w:bottom w:val="nil"/>
              <w:right w:val="nil"/>
            </w:tcBorders>
            <w:shd w:val="clear" w:color="auto" w:fill="auto"/>
            <w:noWrap/>
            <w:vAlign w:val="center"/>
            <w:hideMark/>
          </w:tcPr>
          <w:p w:rsidR="006D3925" w:rsidRPr="006D3925" w:rsidRDefault="006D3925" w:rsidP="006D3925">
            <w:pPr>
              <w:suppressAutoHyphens w:val="0"/>
              <w:spacing w:before="0" w:after="0" w:line="240" w:lineRule="auto"/>
              <w:jc w:val="center"/>
              <w:rPr>
                <w:rFonts w:ascii="Calibri Light" w:eastAsia="Times New Roman" w:hAnsi="Calibri Light" w:cs="Times New Roman"/>
                <w:color w:val="595959"/>
                <w:sz w:val="17"/>
                <w:szCs w:val="17"/>
                <w:lang w:val="en-AU" w:eastAsia="en-AU"/>
              </w:rPr>
            </w:pPr>
            <w:r w:rsidRPr="006D3925">
              <w:rPr>
                <w:rFonts w:ascii="Calibri Light" w:eastAsia="Times New Roman" w:hAnsi="Calibri Light" w:cs="Times New Roman"/>
                <w:color w:val="595959"/>
                <w:sz w:val="17"/>
                <w:szCs w:val="17"/>
                <w:lang w:val="en-AU" w:eastAsia="en-AU"/>
              </w:rPr>
              <w:t>2008 - 15</w:t>
            </w:r>
          </w:p>
        </w:tc>
        <w:tc>
          <w:tcPr>
            <w:tcW w:w="968" w:type="dxa"/>
            <w:tcBorders>
              <w:top w:val="single" w:sz="4" w:space="0" w:color="auto"/>
              <w:left w:val="nil"/>
              <w:bottom w:val="nil"/>
              <w:right w:val="nil"/>
            </w:tcBorders>
            <w:shd w:val="clear" w:color="000000" w:fill="92D05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5</w:t>
            </w:r>
          </w:p>
        </w:tc>
        <w:tc>
          <w:tcPr>
            <w:tcW w:w="968" w:type="dxa"/>
            <w:tcBorders>
              <w:top w:val="single" w:sz="4" w:space="0" w:color="auto"/>
              <w:left w:val="nil"/>
              <w:bottom w:val="nil"/>
              <w:right w:val="nil"/>
            </w:tcBorders>
            <w:shd w:val="clear" w:color="000000" w:fill="92D05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5</w:t>
            </w:r>
          </w:p>
        </w:tc>
        <w:tc>
          <w:tcPr>
            <w:tcW w:w="968" w:type="dxa"/>
            <w:tcBorders>
              <w:top w:val="single" w:sz="4" w:space="0" w:color="auto"/>
              <w:left w:val="nil"/>
              <w:bottom w:val="nil"/>
              <w:right w:val="nil"/>
            </w:tcBorders>
            <w:shd w:val="clear" w:color="000000" w:fill="FFFF0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4</w:t>
            </w:r>
          </w:p>
        </w:tc>
        <w:tc>
          <w:tcPr>
            <w:tcW w:w="968" w:type="dxa"/>
            <w:tcBorders>
              <w:top w:val="single" w:sz="4" w:space="0" w:color="auto"/>
              <w:left w:val="nil"/>
              <w:bottom w:val="nil"/>
              <w:right w:val="nil"/>
            </w:tcBorders>
            <w:shd w:val="clear" w:color="000000" w:fill="92D05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5</w:t>
            </w:r>
          </w:p>
        </w:tc>
        <w:tc>
          <w:tcPr>
            <w:tcW w:w="968" w:type="dxa"/>
            <w:tcBorders>
              <w:top w:val="single" w:sz="4" w:space="0" w:color="auto"/>
              <w:left w:val="nil"/>
              <w:bottom w:val="nil"/>
              <w:right w:val="nil"/>
            </w:tcBorders>
            <w:shd w:val="clear" w:color="000000" w:fill="FFFF0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4</w:t>
            </w:r>
          </w:p>
        </w:tc>
        <w:tc>
          <w:tcPr>
            <w:tcW w:w="968" w:type="dxa"/>
            <w:tcBorders>
              <w:top w:val="single" w:sz="4" w:space="0" w:color="auto"/>
              <w:left w:val="nil"/>
              <w:bottom w:val="nil"/>
              <w:right w:val="nil"/>
            </w:tcBorders>
            <w:shd w:val="clear" w:color="000000" w:fill="FFFF0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4</w:t>
            </w:r>
          </w:p>
        </w:tc>
        <w:tc>
          <w:tcPr>
            <w:tcW w:w="968" w:type="dxa"/>
            <w:tcBorders>
              <w:top w:val="single" w:sz="4" w:space="0" w:color="auto"/>
              <w:left w:val="nil"/>
              <w:bottom w:val="nil"/>
              <w:right w:val="nil"/>
            </w:tcBorders>
            <w:shd w:val="clear" w:color="000000" w:fill="FF000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2</w:t>
            </w:r>
          </w:p>
        </w:tc>
        <w:tc>
          <w:tcPr>
            <w:tcW w:w="968" w:type="dxa"/>
            <w:tcBorders>
              <w:top w:val="single" w:sz="4" w:space="0" w:color="auto"/>
              <w:left w:val="nil"/>
              <w:bottom w:val="nil"/>
              <w:right w:val="nil"/>
            </w:tcBorders>
            <w:shd w:val="clear" w:color="000000" w:fill="92D05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5</w:t>
            </w:r>
          </w:p>
        </w:tc>
      </w:tr>
      <w:tr w:rsidR="006D3925" w:rsidRPr="006D3925" w:rsidTr="006349AF">
        <w:trPr>
          <w:trHeight w:val="345"/>
          <w:jc w:val="center"/>
        </w:trPr>
        <w:tc>
          <w:tcPr>
            <w:tcW w:w="3788" w:type="dxa"/>
            <w:tcBorders>
              <w:top w:val="single" w:sz="4" w:space="0" w:color="auto"/>
              <w:left w:val="nil"/>
              <w:bottom w:val="nil"/>
              <w:right w:val="nil"/>
            </w:tcBorders>
            <w:shd w:val="clear" w:color="auto" w:fill="auto"/>
            <w:vAlign w:val="center"/>
            <w:hideMark/>
          </w:tcPr>
          <w:p w:rsidR="006D3925" w:rsidRPr="006D3925" w:rsidRDefault="006D3925" w:rsidP="006D3925">
            <w:pPr>
              <w:suppressAutoHyphens w:val="0"/>
              <w:spacing w:before="0" w:after="0" w:line="240" w:lineRule="auto"/>
              <w:rPr>
                <w:rFonts w:ascii="Arial" w:eastAsia="Times New Roman" w:hAnsi="Arial" w:cs="Arial"/>
                <w:color w:val="595959"/>
                <w:sz w:val="16"/>
                <w:szCs w:val="16"/>
                <w:lang w:val="en-AU" w:eastAsia="en-AU"/>
              </w:rPr>
            </w:pPr>
            <w:r w:rsidRPr="006D3925">
              <w:rPr>
                <w:rFonts w:ascii="Arial" w:eastAsia="Times New Roman" w:hAnsi="Arial" w:cs="Arial"/>
                <w:color w:val="595959"/>
                <w:sz w:val="16"/>
                <w:szCs w:val="16"/>
                <w:lang w:eastAsia="en-AU"/>
              </w:rPr>
              <w:t>Pacific Benchmarking Education Quality for Results</w:t>
            </w:r>
          </w:p>
        </w:tc>
        <w:tc>
          <w:tcPr>
            <w:tcW w:w="1428" w:type="dxa"/>
            <w:tcBorders>
              <w:top w:val="single" w:sz="4" w:space="0" w:color="auto"/>
              <w:left w:val="nil"/>
              <w:bottom w:val="nil"/>
              <w:right w:val="nil"/>
            </w:tcBorders>
            <w:shd w:val="clear" w:color="auto" w:fill="auto"/>
            <w:noWrap/>
            <w:vAlign w:val="center"/>
            <w:hideMark/>
          </w:tcPr>
          <w:p w:rsidR="006D3925" w:rsidRPr="006D3925" w:rsidRDefault="006D3925" w:rsidP="006D3925">
            <w:pPr>
              <w:suppressAutoHyphens w:val="0"/>
              <w:spacing w:before="0" w:after="0" w:line="240" w:lineRule="auto"/>
              <w:jc w:val="center"/>
              <w:rPr>
                <w:rFonts w:ascii="Calibri Light" w:eastAsia="Times New Roman" w:hAnsi="Calibri Light" w:cs="Times New Roman"/>
                <w:color w:val="595959"/>
                <w:sz w:val="17"/>
                <w:szCs w:val="17"/>
                <w:lang w:val="en-AU" w:eastAsia="en-AU"/>
              </w:rPr>
            </w:pPr>
            <w:r w:rsidRPr="006D3925">
              <w:rPr>
                <w:rFonts w:ascii="Calibri Light" w:eastAsia="Times New Roman" w:hAnsi="Calibri Light" w:cs="Times New Roman"/>
                <w:color w:val="595959"/>
                <w:sz w:val="17"/>
                <w:szCs w:val="17"/>
                <w:lang w:eastAsia="en-AU"/>
              </w:rPr>
              <w:t>$6m</w:t>
            </w:r>
          </w:p>
        </w:tc>
        <w:tc>
          <w:tcPr>
            <w:tcW w:w="1248" w:type="dxa"/>
            <w:tcBorders>
              <w:top w:val="single" w:sz="4" w:space="0" w:color="auto"/>
              <w:left w:val="nil"/>
              <w:bottom w:val="nil"/>
              <w:right w:val="nil"/>
            </w:tcBorders>
            <w:shd w:val="clear" w:color="auto" w:fill="auto"/>
            <w:noWrap/>
            <w:vAlign w:val="center"/>
            <w:hideMark/>
          </w:tcPr>
          <w:p w:rsidR="006D3925" w:rsidRPr="006D3925" w:rsidRDefault="006D3925" w:rsidP="006D3925">
            <w:pPr>
              <w:suppressAutoHyphens w:val="0"/>
              <w:spacing w:before="0" w:after="0" w:line="240" w:lineRule="auto"/>
              <w:jc w:val="center"/>
              <w:rPr>
                <w:rFonts w:ascii="Calibri Light" w:eastAsia="Times New Roman" w:hAnsi="Calibri Light" w:cs="Times New Roman"/>
                <w:color w:val="595959"/>
                <w:sz w:val="17"/>
                <w:szCs w:val="17"/>
                <w:lang w:val="en-AU" w:eastAsia="en-AU"/>
              </w:rPr>
            </w:pPr>
            <w:r w:rsidRPr="006D3925">
              <w:rPr>
                <w:rFonts w:ascii="Calibri Light" w:eastAsia="Times New Roman" w:hAnsi="Calibri Light" w:cs="Times New Roman"/>
                <w:color w:val="595959"/>
                <w:sz w:val="17"/>
                <w:szCs w:val="17"/>
                <w:lang w:val="en-AU" w:eastAsia="en-AU"/>
              </w:rPr>
              <w:t>20102 - 17</w:t>
            </w:r>
          </w:p>
        </w:tc>
        <w:tc>
          <w:tcPr>
            <w:tcW w:w="968" w:type="dxa"/>
            <w:tcBorders>
              <w:top w:val="single" w:sz="4" w:space="0" w:color="auto"/>
              <w:left w:val="nil"/>
              <w:bottom w:val="nil"/>
              <w:right w:val="nil"/>
            </w:tcBorders>
            <w:shd w:val="clear" w:color="000000" w:fill="FFFF0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4</w:t>
            </w:r>
          </w:p>
        </w:tc>
        <w:tc>
          <w:tcPr>
            <w:tcW w:w="968" w:type="dxa"/>
            <w:tcBorders>
              <w:top w:val="single" w:sz="4" w:space="0" w:color="auto"/>
              <w:left w:val="nil"/>
              <w:bottom w:val="nil"/>
              <w:right w:val="nil"/>
            </w:tcBorders>
            <w:shd w:val="clear" w:color="000000" w:fill="92D05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5</w:t>
            </w:r>
          </w:p>
        </w:tc>
        <w:tc>
          <w:tcPr>
            <w:tcW w:w="968" w:type="dxa"/>
            <w:tcBorders>
              <w:top w:val="single" w:sz="4" w:space="0" w:color="auto"/>
              <w:left w:val="nil"/>
              <w:bottom w:val="nil"/>
              <w:right w:val="nil"/>
            </w:tcBorders>
            <w:shd w:val="clear" w:color="000000" w:fill="FFFF0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4</w:t>
            </w:r>
          </w:p>
        </w:tc>
        <w:tc>
          <w:tcPr>
            <w:tcW w:w="968" w:type="dxa"/>
            <w:tcBorders>
              <w:top w:val="single" w:sz="4" w:space="0" w:color="auto"/>
              <w:left w:val="nil"/>
              <w:bottom w:val="nil"/>
              <w:right w:val="nil"/>
            </w:tcBorders>
            <w:shd w:val="clear" w:color="000000" w:fill="FFFF0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4</w:t>
            </w:r>
          </w:p>
        </w:tc>
        <w:tc>
          <w:tcPr>
            <w:tcW w:w="968" w:type="dxa"/>
            <w:tcBorders>
              <w:top w:val="single" w:sz="4" w:space="0" w:color="auto"/>
              <w:left w:val="nil"/>
              <w:bottom w:val="nil"/>
              <w:right w:val="nil"/>
            </w:tcBorders>
            <w:shd w:val="clear" w:color="000000" w:fill="FFFF0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4</w:t>
            </w:r>
          </w:p>
        </w:tc>
        <w:tc>
          <w:tcPr>
            <w:tcW w:w="968" w:type="dxa"/>
            <w:tcBorders>
              <w:top w:val="single" w:sz="4" w:space="0" w:color="auto"/>
              <w:left w:val="nil"/>
              <w:bottom w:val="nil"/>
              <w:right w:val="nil"/>
            </w:tcBorders>
            <w:shd w:val="clear" w:color="000000" w:fill="FFFF0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4</w:t>
            </w:r>
          </w:p>
        </w:tc>
        <w:tc>
          <w:tcPr>
            <w:tcW w:w="968" w:type="dxa"/>
            <w:tcBorders>
              <w:top w:val="single" w:sz="4" w:space="0" w:color="auto"/>
              <w:left w:val="nil"/>
              <w:bottom w:val="nil"/>
              <w:right w:val="nil"/>
            </w:tcBorders>
            <w:shd w:val="clear" w:color="000000" w:fill="FFFF0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4</w:t>
            </w:r>
          </w:p>
        </w:tc>
        <w:tc>
          <w:tcPr>
            <w:tcW w:w="968" w:type="dxa"/>
            <w:tcBorders>
              <w:top w:val="single" w:sz="4" w:space="0" w:color="auto"/>
              <w:left w:val="nil"/>
              <w:bottom w:val="nil"/>
              <w:right w:val="nil"/>
            </w:tcBorders>
            <w:shd w:val="clear" w:color="000000" w:fill="92D05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5</w:t>
            </w:r>
          </w:p>
        </w:tc>
      </w:tr>
      <w:tr w:rsidR="006D3925" w:rsidRPr="006D3925" w:rsidTr="006349AF">
        <w:trPr>
          <w:trHeight w:val="300"/>
          <w:jc w:val="center"/>
        </w:trPr>
        <w:tc>
          <w:tcPr>
            <w:tcW w:w="3788" w:type="dxa"/>
            <w:tcBorders>
              <w:top w:val="single" w:sz="4" w:space="0" w:color="auto"/>
              <w:left w:val="nil"/>
              <w:bottom w:val="single" w:sz="4" w:space="0" w:color="auto"/>
              <w:right w:val="nil"/>
            </w:tcBorders>
            <w:shd w:val="clear" w:color="auto" w:fill="auto"/>
            <w:vAlign w:val="center"/>
            <w:hideMark/>
          </w:tcPr>
          <w:p w:rsidR="006D3925" w:rsidRPr="006D3925" w:rsidRDefault="006D3925" w:rsidP="006D3925">
            <w:pPr>
              <w:suppressAutoHyphens w:val="0"/>
              <w:spacing w:before="0" w:after="0" w:line="240" w:lineRule="auto"/>
              <w:rPr>
                <w:rFonts w:ascii="Arial" w:eastAsia="Times New Roman" w:hAnsi="Arial" w:cs="Arial"/>
                <w:color w:val="595959"/>
                <w:sz w:val="16"/>
                <w:szCs w:val="16"/>
                <w:lang w:val="en-AU" w:eastAsia="en-AU"/>
              </w:rPr>
            </w:pPr>
            <w:r w:rsidRPr="006D3925">
              <w:rPr>
                <w:rFonts w:ascii="Arial" w:eastAsia="Times New Roman" w:hAnsi="Arial" w:cs="Arial"/>
                <w:color w:val="595959"/>
                <w:sz w:val="16"/>
                <w:szCs w:val="16"/>
                <w:lang w:eastAsia="en-AU"/>
              </w:rPr>
              <w:t>UNICEF Multi-Country Program 2013-2015</w:t>
            </w:r>
          </w:p>
        </w:tc>
        <w:tc>
          <w:tcPr>
            <w:tcW w:w="1428" w:type="dxa"/>
            <w:tcBorders>
              <w:top w:val="single" w:sz="4" w:space="0" w:color="auto"/>
              <w:left w:val="nil"/>
              <w:bottom w:val="single" w:sz="4" w:space="0" w:color="auto"/>
              <w:right w:val="nil"/>
            </w:tcBorders>
            <w:shd w:val="clear" w:color="auto" w:fill="auto"/>
            <w:noWrap/>
            <w:vAlign w:val="center"/>
            <w:hideMark/>
          </w:tcPr>
          <w:p w:rsidR="006D3925" w:rsidRPr="006D3925" w:rsidRDefault="006D3925" w:rsidP="006D3925">
            <w:pPr>
              <w:suppressAutoHyphens w:val="0"/>
              <w:spacing w:before="0" w:after="0" w:line="240" w:lineRule="auto"/>
              <w:jc w:val="center"/>
              <w:rPr>
                <w:rFonts w:ascii="Calibri Light" w:eastAsia="Times New Roman" w:hAnsi="Calibri Light" w:cs="Times New Roman"/>
                <w:color w:val="595959"/>
                <w:sz w:val="17"/>
                <w:szCs w:val="17"/>
                <w:lang w:val="en-AU" w:eastAsia="en-AU"/>
              </w:rPr>
            </w:pPr>
            <w:r w:rsidRPr="006D3925">
              <w:rPr>
                <w:rFonts w:ascii="Calibri Light" w:eastAsia="Times New Roman" w:hAnsi="Calibri Light" w:cs="Times New Roman"/>
                <w:color w:val="595959"/>
                <w:sz w:val="17"/>
                <w:szCs w:val="17"/>
                <w:lang w:eastAsia="en-AU"/>
              </w:rPr>
              <w:t>$12m</w:t>
            </w:r>
          </w:p>
        </w:tc>
        <w:tc>
          <w:tcPr>
            <w:tcW w:w="1248" w:type="dxa"/>
            <w:tcBorders>
              <w:top w:val="single" w:sz="4" w:space="0" w:color="auto"/>
              <w:left w:val="nil"/>
              <w:bottom w:val="single" w:sz="4" w:space="0" w:color="auto"/>
              <w:right w:val="nil"/>
            </w:tcBorders>
            <w:shd w:val="clear" w:color="auto" w:fill="auto"/>
            <w:noWrap/>
            <w:vAlign w:val="center"/>
            <w:hideMark/>
          </w:tcPr>
          <w:p w:rsidR="006D3925" w:rsidRPr="006D3925" w:rsidRDefault="006D3925" w:rsidP="006D3925">
            <w:pPr>
              <w:suppressAutoHyphens w:val="0"/>
              <w:spacing w:before="0" w:after="0" w:line="240" w:lineRule="auto"/>
              <w:jc w:val="center"/>
              <w:rPr>
                <w:rFonts w:ascii="Calibri Light" w:eastAsia="Times New Roman" w:hAnsi="Calibri Light" w:cs="Times New Roman"/>
                <w:color w:val="595959"/>
                <w:sz w:val="17"/>
                <w:szCs w:val="17"/>
                <w:lang w:val="en-AU" w:eastAsia="en-AU"/>
              </w:rPr>
            </w:pPr>
            <w:r w:rsidRPr="006D3925">
              <w:rPr>
                <w:rFonts w:ascii="Calibri Light" w:eastAsia="Times New Roman" w:hAnsi="Calibri Light" w:cs="Times New Roman"/>
                <w:color w:val="595959"/>
                <w:sz w:val="17"/>
                <w:szCs w:val="17"/>
                <w:lang w:val="en-AU" w:eastAsia="en-AU"/>
              </w:rPr>
              <w:t>2011 - 15</w:t>
            </w:r>
          </w:p>
        </w:tc>
        <w:tc>
          <w:tcPr>
            <w:tcW w:w="968" w:type="dxa"/>
            <w:tcBorders>
              <w:top w:val="single" w:sz="4" w:space="0" w:color="auto"/>
              <w:left w:val="nil"/>
              <w:bottom w:val="single" w:sz="4" w:space="0" w:color="auto"/>
              <w:right w:val="nil"/>
            </w:tcBorders>
            <w:shd w:val="clear" w:color="000000" w:fill="92D05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5</w:t>
            </w:r>
          </w:p>
        </w:tc>
        <w:tc>
          <w:tcPr>
            <w:tcW w:w="968" w:type="dxa"/>
            <w:tcBorders>
              <w:top w:val="single" w:sz="4" w:space="0" w:color="auto"/>
              <w:left w:val="nil"/>
              <w:bottom w:val="single" w:sz="4" w:space="0" w:color="auto"/>
              <w:right w:val="nil"/>
            </w:tcBorders>
            <w:shd w:val="clear" w:color="000000" w:fill="92D05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5</w:t>
            </w:r>
          </w:p>
        </w:tc>
        <w:tc>
          <w:tcPr>
            <w:tcW w:w="968" w:type="dxa"/>
            <w:tcBorders>
              <w:top w:val="single" w:sz="4" w:space="0" w:color="auto"/>
              <w:left w:val="nil"/>
              <w:bottom w:val="single" w:sz="4" w:space="0" w:color="auto"/>
              <w:right w:val="nil"/>
            </w:tcBorders>
            <w:shd w:val="clear" w:color="000000" w:fill="FFFF0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4</w:t>
            </w:r>
          </w:p>
        </w:tc>
        <w:tc>
          <w:tcPr>
            <w:tcW w:w="968" w:type="dxa"/>
            <w:tcBorders>
              <w:top w:val="single" w:sz="4" w:space="0" w:color="auto"/>
              <w:left w:val="nil"/>
              <w:bottom w:val="single" w:sz="4" w:space="0" w:color="auto"/>
              <w:right w:val="nil"/>
            </w:tcBorders>
            <w:shd w:val="clear" w:color="000000" w:fill="FFFF0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4</w:t>
            </w:r>
          </w:p>
        </w:tc>
        <w:tc>
          <w:tcPr>
            <w:tcW w:w="968" w:type="dxa"/>
            <w:tcBorders>
              <w:top w:val="single" w:sz="4" w:space="0" w:color="auto"/>
              <w:left w:val="nil"/>
              <w:bottom w:val="single" w:sz="4" w:space="0" w:color="auto"/>
              <w:right w:val="nil"/>
            </w:tcBorders>
            <w:shd w:val="clear" w:color="000000" w:fill="FFFF0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4</w:t>
            </w:r>
          </w:p>
        </w:tc>
        <w:tc>
          <w:tcPr>
            <w:tcW w:w="968" w:type="dxa"/>
            <w:tcBorders>
              <w:top w:val="single" w:sz="4" w:space="0" w:color="auto"/>
              <w:left w:val="nil"/>
              <w:bottom w:val="single" w:sz="4" w:space="0" w:color="auto"/>
              <w:right w:val="nil"/>
            </w:tcBorders>
            <w:shd w:val="clear" w:color="000000" w:fill="FFFF0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4</w:t>
            </w:r>
          </w:p>
        </w:tc>
        <w:tc>
          <w:tcPr>
            <w:tcW w:w="968" w:type="dxa"/>
            <w:tcBorders>
              <w:top w:val="single" w:sz="4" w:space="0" w:color="auto"/>
              <w:left w:val="nil"/>
              <w:bottom w:val="single" w:sz="4" w:space="0" w:color="auto"/>
              <w:right w:val="nil"/>
            </w:tcBorders>
            <w:shd w:val="clear" w:color="000000" w:fill="FFFF0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4</w:t>
            </w:r>
          </w:p>
        </w:tc>
        <w:tc>
          <w:tcPr>
            <w:tcW w:w="968" w:type="dxa"/>
            <w:tcBorders>
              <w:top w:val="single" w:sz="4" w:space="0" w:color="auto"/>
              <w:left w:val="nil"/>
              <w:bottom w:val="single" w:sz="4" w:space="0" w:color="auto"/>
              <w:right w:val="nil"/>
            </w:tcBorders>
            <w:shd w:val="clear" w:color="000000" w:fill="92D05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6</w:t>
            </w:r>
          </w:p>
        </w:tc>
      </w:tr>
      <w:tr w:rsidR="006D3925" w:rsidRPr="006D3925" w:rsidTr="006349AF">
        <w:trPr>
          <w:trHeight w:val="300"/>
          <w:jc w:val="center"/>
        </w:trPr>
        <w:tc>
          <w:tcPr>
            <w:tcW w:w="3788" w:type="dxa"/>
            <w:tcBorders>
              <w:top w:val="nil"/>
              <w:left w:val="nil"/>
              <w:bottom w:val="nil"/>
              <w:right w:val="nil"/>
            </w:tcBorders>
            <w:shd w:val="clear" w:color="auto" w:fill="auto"/>
            <w:vAlign w:val="center"/>
            <w:hideMark/>
          </w:tcPr>
          <w:p w:rsidR="006D3925" w:rsidRPr="006D3925" w:rsidRDefault="006D3925" w:rsidP="006D3925">
            <w:pPr>
              <w:suppressAutoHyphens w:val="0"/>
              <w:spacing w:before="0" w:after="0" w:line="240" w:lineRule="auto"/>
              <w:rPr>
                <w:rFonts w:ascii="Arial" w:eastAsia="Times New Roman" w:hAnsi="Arial" w:cs="Arial"/>
                <w:color w:val="595959"/>
                <w:sz w:val="16"/>
                <w:szCs w:val="16"/>
                <w:lang w:val="en-AU" w:eastAsia="en-AU"/>
              </w:rPr>
            </w:pPr>
            <w:r w:rsidRPr="006D3925">
              <w:rPr>
                <w:rFonts w:ascii="Arial" w:eastAsia="Times New Roman" w:hAnsi="Arial" w:cs="Arial"/>
                <w:color w:val="595959"/>
                <w:sz w:val="16"/>
                <w:szCs w:val="16"/>
                <w:lang w:eastAsia="en-AU"/>
              </w:rPr>
              <w:t>Pacific Media Assistance Scheme (PACMAS) 2</w:t>
            </w:r>
          </w:p>
        </w:tc>
        <w:tc>
          <w:tcPr>
            <w:tcW w:w="1428" w:type="dxa"/>
            <w:tcBorders>
              <w:top w:val="nil"/>
              <w:left w:val="nil"/>
              <w:bottom w:val="nil"/>
              <w:right w:val="nil"/>
            </w:tcBorders>
            <w:shd w:val="clear" w:color="auto" w:fill="auto"/>
            <w:noWrap/>
            <w:vAlign w:val="center"/>
            <w:hideMark/>
          </w:tcPr>
          <w:p w:rsidR="006D3925" w:rsidRPr="006D3925" w:rsidRDefault="006D3925" w:rsidP="006D3925">
            <w:pPr>
              <w:suppressAutoHyphens w:val="0"/>
              <w:spacing w:before="0" w:after="0" w:line="240" w:lineRule="auto"/>
              <w:jc w:val="center"/>
              <w:rPr>
                <w:rFonts w:ascii="Calibri Light" w:eastAsia="Times New Roman" w:hAnsi="Calibri Light" w:cs="Times New Roman"/>
                <w:color w:val="595959"/>
                <w:sz w:val="17"/>
                <w:szCs w:val="17"/>
                <w:lang w:val="en-AU" w:eastAsia="en-AU"/>
              </w:rPr>
            </w:pPr>
            <w:r w:rsidRPr="006D3925">
              <w:rPr>
                <w:rFonts w:ascii="Calibri Light" w:eastAsia="Times New Roman" w:hAnsi="Calibri Light" w:cs="Times New Roman"/>
                <w:color w:val="595959"/>
                <w:sz w:val="17"/>
                <w:szCs w:val="17"/>
                <w:lang w:eastAsia="en-AU"/>
              </w:rPr>
              <w:t>$12m</w:t>
            </w:r>
          </w:p>
        </w:tc>
        <w:tc>
          <w:tcPr>
            <w:tcW w:w="1248" w:type="dxa"/>
            <w:tcBorders>
              <w:top w:val="nil"/>
              <w:left w:val="nil"/>
              <w:bottom w:val="nil"/>
              <w:right w:val="nil"/>
            </w:tcBorders>
            <w:shd w:val="clear" w:color="auto" w:fill="auto"/>
            <w:noWrap/>
            <w:vAlign w:val="center"/>
            <w:hideMark/>
          </w:tcPr>
          <w:p w:rsidR="006D3925" w:rsidRPr="006D3925" w:rsidRDefault="006D3925" w:rsidP="006D3925">
            <w:pPr>
              <w:suppressAutoHyphens w:val="0"/>
              <w:spacing w:before="0" w:after="0" w:line="240" w:lineRule="auto"/>
              <w:jc w:val="center"/>
              <w:rPr>
                <w:rFonts w:ascii="Calibri Light" w:eastAsia="Times New Roman" w:hAnsi="Calibri Light" w:cs="Times New Roman"/>
                <w:color w:val="595959"/>
                <w:sz w:val="17"/>
                <w:szCs w:val="17"/>
                <w:lang w:val="en-AU" w:eastAsia="en-AU"/>
              </w:rPr>
            </w:pPr>
            <w:r w:rsidRPr="006D3925">
              <w:rPr>
                <w:rFonts w:ascii="Calibri Light" w:eastAsia="Times New Roman" w:hAnsi="Calibri Light" w:cs="Times New Roman"/>
                <w:color w:val="595959"/>
                <w:sz w:val="17"/>
                <w:szCs w:val="17"/>
                <w:lang w:val="en-AU" w:eastAsia="en-AU"/>
              </w:rPr>
              <w:t>2011 - 17</w:t>
            </w:r>
          </w:p>
        </w:tc>
        <w:tc>
          <w:tcPr>
            <w:tcW w:w="968" w:type="dxa"/>
            <w:tcBorders>
              <w:top w:val="nil"/>
              <w:left w:val="nil"/>
              <w:bottom w:val="nil"/>
              <w:right w:val="nil"/>
            </w:tcBorders>
            <w:shd w:val="clear" w:color="000000" w:fill="FFFF0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595959"/>
                <w:sz w:val="16"/>
                <w:szCs w:val="16"/>
                <w:lang w:val="en-AU" w:eastAsia="en-AU"/>
              </w:rPr>
            </w:pPr>
            <w:r w:rsidRPr="006D3925">
              <w:rPr>
                <w:rFonts w:ascii="Arial" w:eastAsia="Times New Roman" w:hAnsi="Arial" w:cs="Arial"/>
                <w:color w:val="595959"/>
                <w:sz w:val="16"/>
                <w:szCs w:val="16"/>
                <w:lang w:eastAsia="en-AU"/>
              </w:rPr>
              <w:t>4</w:t>
            </w:r>
          </w:p>
        </w:tc>
        <w:tc>
          <w:tcPr>
            <w:tcW w:w="968" w:type="dxa"/>
            <w:tcBorders>
              <w:top w:val="nil"/>
              <w:left w:val="nil"/>
              <w:bottom w:val="nil"/>
              <w:right w:val="nil"/>
            </w:tcBorders>
            <w:shd w:val="clear" w:color="000000" w:fill="92D05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595959"/>
                <w:sz w:val="16"/>
                <w:szCs w:val="16"/>
                <w:lang w:val="en-AU" w:eastAsia="en-AU"/>
              </w:rPr>
            </w:pPr>
            <w:r w:rsidRPr="006D3925">
              <w:rPr>
                <w:rFonts w:ascii="Arial" w:eastAsia="Times New Roman" w:hAnsi="Arial" w:cs="Arial"/>
                <w:color w:val="595959"/>
                <w:sz w:val="16"/>
                <w:szCs w:val="16"/>
                <w:lang w:eastAsia="en-AU"/>
              </w:rPr>
              <w:t>5</w:t>
            </w:r>
          </w:p>
        </w:tc>
        <w:tc>
          <w:tcPr>
            <w:tcW w:w="968" w:type="dxa"/>
            <w:tcBorders>
              <w:top w:val="nil"/>
              <w:left w:val="nil"/>
              <w:bottom w:val="nil"/>
              <w:right w:val="nil"/>
            </w:tcBorders>
            <w:shd w:val="clear" w:color="000000" w:fill="FFFF0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595959"/>
                <w:sz w:val="16"/>
                <w:szCs w:val="16"/>
                <w:lang w:val="en-AU" w:eastAsia="en-AU"/>
              </w:rPr>
            </w:pPr>
            <w:r w:rsidRPr="006D3925">
              <w:rPr>
                <w:rFonts w:ascii="Arial" w:eastAsia="Times New Roman" w:hAnsi="Arial" w:cs="Arial"/>
                <w:color w:val="595959"/>
                <w:sz w:val="16"/>
                <w:szCs w:val="16"/>
                <w:lang w:eastAsia="en-AU"/>
              </w:rPr>
              <w:t>4</w:t>
            </w:r>
          </w:p>
        </w:tc>
        <w:tc>
          <w:tcPr>
            <w:tcW w:w="968" w:type="dxa"/>
            <w:tcBorders>
              <w:top w:val="nil"/>
              <w:left w:val="nil"/>
              <w:bottom w:val="nil"/>
              <w:right w:val="nil"/>
            </w:tcBorders>
            <w:shd w:val="clear" w:color="000000" w:fill="FFFF0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595959"/>
                <w:sz w:val="16"/>
                <w:szCs w:val="16"/>
                <w:lang w:val="en-AU" w:eastAsia="en-AU"/>
              </w:rPr>
            </w:pPr>
            <w:r w:rsidRPr="006D3925">
              <w:rPr>
                <w:rFonts w:ascii="Arial" w:eastAsia="Times New Roman" w:hAnsi="Arial" w:cs="Arial"/>
                <w:color w:val="595959"/>
                <w:sz w:val="16"/>
                <w:szCs w:val="16"/>
                <w:lang w:eastAsia="en-AU"/>
              </w:rPr>
              <w:t>4</w:t>
            </w:r>
          </w:p>
        </w:tc>
        <w:tc>
          <w:tcPr>
            <w:tcW w:w="968" w:type="dxa"/>
            <w:tcBorders>
              <w:top w:val="nil"/>
              <w:left w:val="nil"/>
              <w:bottom w:val="nil"/>
              <w:right w:val="nil"/>
            </w:tcBorders>
            <w:shd w:val="clear" w:color="000000" w:fill="FFFF0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595959"/>
                <w:sz w:val="16"/>
                <w:szCs w:val="16"/>
                <w:lang w:val="en-AU" w:eastAsia="en-AU"/>
              </w:rPr>
            </w:pPr>
            <w:r w:rsidRPr="006D3925">
              <w:rPr>
                <w:rFonts w:ascii="Arial" w:eastAsia="Times New Roman" w:hAnsi="Arial" w:cs="Arial"/>
                <w:color w:val="595959"/>
                <w:sz w:val="16"/>
                <w:szCs w:val="16"/>
                <w:lang w:eastAsia="en-AU"/>
              </w:rPr>
              <w:t>4</w:t>
            </w:r>
          </w:p>
        </w:tc>
        <w:tc>
          <w:tcPr>
            <w:tcW w:w="968" w:type="dxa"/>
            <w:tcBorders>
              <w:top w:val="nil"/>
              <w:left w:val="nil"/>
              <w:bottom w:val="nil"/>
              <w:right w:val="nil"/>
            </w:tcBorders>
            <w:shd w:val="clear" w:color="000000" w:fill="FFFF0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595959"/>
                <w:sz w:val="16"/>
                <w:szCs w:val="16"/>
                <w:lang w:val="en-AU" w:eastAsia="en-AU"/>
              </w:rPr>
            </w:pPr>
            <w:r w:rsidRPr="006D3925">
              <w:rPr>
                <w:rFonts w:ascii="Arial" w:eastAsia="Times New Roman" w:hAnsi="Arial" w:cs="Arial"/>
                <w:color w:val="595959"/>
                <w:sz w:val="16"/>
                <w:szCs w:val="16"/>
                <w:lang w:eastAsia="en-AU"/>
              </w:rPr>
              <w:t>4</w:t>
            </w:r>
          </w:p>
        </w:tc>
        <w:tc>
          <w:tcPr>
            <w:tcW w:w="968" w:type="dxa"/>
            <w:tcBorders>
              <w:top w:val="nil"/>
              <w:left w:val="nil"/>
              <w:bottom w:val="nil"/>
              <w:right w:val="nil"/>
            </w:tcBorders>
            <w:shd w:val="clear" w:color="000000" w:fill="FFFF0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595959"/>
                <w:sz w:val="16"/>
                <w:szCs w:val="16"/>
                <w:lang w:val="en-AU" w:eastAsia="en-AU"/>
              </w:rPr>
            </w:pPr>
            <w:r w:rsidRPr="006D3925">
              <w:rPr>
                <w:rFonts w:ascii="Arial" w:eastAsia="Times New Roman" w:hAnsi="Arial" w:cs="Arial"/>
                <w:color w:val="595959"/>
                <w:sz w:val="16"/>
                <w:szCs w:val="16"/>
                <w:lang w:eastAsia="en-AU"/>
              </w:rPr>
              <w:t>4</w:t>
            </w:r>
          </w:p>
        </w:tc>
        <w:tc>
          <w:tcPr>
            <w:tcW w:w="968" w:type="dxa"/>
            <w:tcBorders>
              <w:top w:val="nil"/>
              <w:left w:val="nil"/>
              <w:bottom w:val="nil"/>
              <w:right w:val="nil"/>
            </w:tcBorders>
            <w:shd w:val="clear" w:color="000000" w:fill="92D05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595959"/>
                <w:sz w:val="16"/>
                <w:szCs w:val="16"/>
                <w:lang w:val="en-AU" w:eastAsia="en-AU"/>
              </w:rPr>
            </w:pPr>
            <w:r w:rsidRPr="006D3925">
              <w:rPr>
                <w:rFonts w:ascii="Arial" w:eastAsia="Times New Roman" w:hAnsi="Arial" w:cs="Arial"/>
                <w:color w:val="595959"/>
                <w:sz w:val="16"/>
                <w:szCs w:val="16"/>
                <w:lang w:eastAsia="en-AU"/>
              </w:rPr>
              <w:t>5</w:t>
            </w:r>
          </w:p>
        </w:tc>
      </w:tr>
      <w:tr w:rsidR="006D3925" w:rsidRPr="006D3925" w:rsidTr="006349AF">
        <w:trPr>
          <w:trHeight w:val="300"/>
          <w:jc w:val="center"/>
        </w:trPr>
        <w:tc>
          <w:tcPr>
            <w:tcW w:w="3788" w:type="dxa"/>
            <w:tcBorders>
              <w:top w:val="single" w:sz="4" w:space="0" w:color="auto"/>
              <w:left w:val="nil"/>
              <w:bottom w:val="nil"/>
              <w:right w:val="nil"/>
            </w:tcBorders>
            <w:shd w:val="clear" w:color="auto" w:fill="auto"/>
            <w:vAlign w:val="center"/>
            <w:hideMark/>
          </w:tcPr>
          <w:p w:rsidR="006D3925" w:rsidRPr="006D3925" w:rsidRDefault="006D3925" w:rsidP="006D3925">
            <w:pPr>
              <w:suppressAutoHyphens w:val="0"/>
              <w:spacing w:before="0" w:after="0" w:line="240" w:lineRule="auto"/>
              <w:rPr>
                <w:rFonts w:ascii="Franklin Gothic Book" w:eastAsia="Times New Roman" w:hAnsi="Franklin Gothic Book" w:cs="Times New Roman"/>
                <w:color w:val="595959"/>
                <w:sz w:val="17"/>
                <w:szCs w:val="17"/>
                <w:lang w:val="en-AU" w:eastAsia="en-AU"/>
              </w:rPr>
            </w:pPr>
            <w:r w:rsidRPr="006D3925">
              <w:rPr>
                <w:rFonts w:ascii="Franklin Gothic Book" w:eastAsia="Times New Roman" w:hAnsi="Franklin Gothic Book" w:cs="Times New Roman"/>
                <w:color w:val="595959"/>
                <w:sz w:val="17"/>
                <w:szCs w:val="17"/>
                <w:lang w:eastAsia="en-AU"/>
              </w:rPr>
              <w:t>F</w:t>
            </w:r>
            <w:r w:rsidRPr="006D3925">
              <w:rPr>
                <w:rFonts w:ascii="Arial" w:eastAsia="Times New Roman" w:hAnsi="Arial" w:cs="Arial"/>
                <w:color w:val="595959"/>
                <w:sz w:val="16"/>
                <w:szCs w:val="16"/>
                <w:lang w:eastAsia="en-AU"/>
              </w:rPr>
              <w:t>iji Women’s Crisis Centre Phase 5</w:t>
            </w:r>
          </w:p>
        </w:tc>
        <w:tc>
          <w:tcPr>
            <w:tcW w:w="1428" w:type="dxa"/>
            <w:tcBorders>
              <w:top w:val="single" w:sz="4" w:space="0" w:color="auto"/>
              <w:left w:val="nil"/>
              <w:bottom w:val="nil"/>
              <w:right w:val="nil"/>
            </w:tcBorders>
            <w:shd w:val="clear" w:color="auto" w:fill="auto"/>
            <w:noWrap/>
            <w:vAlign w:val="center"/>
            <w:hideMark/>
          </w:tcPr>
          <w:p w:rsidR="006D3925" w:rsidRPr="006D3925" w:rsidRDefault="006D3925" w:rsidP="006D3925">
            <w:pPr>
              <w:suppressAutoHyphens w:val="0"/>
              <w:spacing w:before="0" w:after="0" w:line="240" w:lineRule="auto"/>
              <w:jc w:val="center"/>
              <w:rPr>
                <w:rFonts w:ascii="Calibri Light" w:eastAsia="Times New Roman" w:hAnsi="Calibri Light" w:cs="Times New Roman"/>
                <w:color w:val="595959"/>
                <w:sz w:val="17"/>
                <w:szCs w:val="17"/>
                <w:lang w:val="en-AU" w:eastAsia="en-AU"/>
              </w:rPr>
            </w:pPr>
            <w:r w:rsidRPr="006D3925">
              <w:rPr>
                <w:rFonts w:ascii="Calibri Light" w:eastAsia="Times New Roman" w:hAnsi="Calibri Light" w:cs="Times New Roman"/>
                <w:color w:val="595959"/>
                <w:sz w:val="17"/>
                <w:szCs w:val="17"/>
                <w:lang w:eastAsia="en-AU"/>
              </w:rPr>
              <w:t>$7m</w:t>
            </w:r>
          </w:p>
        </w:tc>
        <w:tc>
          <w:tcPr>
            <w:tcW w:w="1248" w:type="dxa"/>
            <w:tcBorders>
              <w:top w:val="single" w:sz="4" w:space="0" w:color="auto"/>
              <w:left w:val="nil"/>
              <w:bottom w:val="nil"/>
              <w:right w:val="nil"/>
            </w:tcBorders>
            <w:shd w:val="clear" w:color="auto" w:fill="auto"/>
            <w:noWrap/>
            <w:vAlign w:val="center"/>
            <w:hideMark/>
          </w:tcPr>
          <w:p w:rsidR="006D3925" w:rsidRPr="006D3925" w:rsidRDefault="006D3925" w:rsidP="006D3925">
            <w:pPr>
              <w:suppressAutoHyphens w:val="0"/>
              <w:spacing w:before="0" w:after="0" w:line="240" w:lineRule="auto"/>
              <w:jc w:val="center"/>
              <w:rPr>
                <w:rFonts w:ascii="Calibri Light" w:eastAsia="Times New Roman" w:hAnsi="Calibri Light" w:cs="Times New Roman"/>
                <w:color w:val="595959"/>
                <w:sz w:val="17"/>
                <w:szCs w:val="17"/>
                <w:lang w:val="en-AU" w:eastAsia="en-AU"/>
              </w:rPr>
            </w:pPr>
            <w:r w:rsidRPr="006D3925">
              <w:rPr>
                <w:rFonts w:ascii="Calibri Light" w:eastAsia="Times New Roman" w:hAnsi="Calibri Light" w:cs="Times New Roman"/>
                <w:color w:val="595959"/>
                <w:sz w:val="17"/>
                <w:szCs w:val="17"/>
                <w:lang w:val="en-AU" w:eastAsia="en-AU"/>
              </w:rPr>
              <w:t>2009 - 17</w:t>
            </w:r>
          </w:p>
        </w:tc>
        <w:tc>
          <w:tcPr>
            <w:tcW w:w="968" w:type="dxa"/>
            <w:tcBorders>
              <w:top w:val="single" w:sz="4" w:space="0" w:color="auto"/>
              <w:left w:val="nil"/>
              <w:bottom w:val="nil"/>
              <w:right w:val="nil"/>
            </w:tcBorders>
            <w:shd w:val="clear" w:color="000000" w:fill="FFFF0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5</w:t>
            </w:r>
          </w:p>
        </w:tc>
        <w:tc>
          <w:tcPr>
            <w:tcW w:w="968" w:type="dxa"/>
            <w:tcBorders>
              <w:top w:val="single" w:sz="4" w:space="0" w:color="auto"/>
              <w:left w:val="nil"/>
              <w:bottom w:val="nil"/>
              <w:right w:val="nil"/>
            </w:tcBorders>
            <w:shd w:val="clear" w:color="000000" w:fill="92D05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6</w:t>
            </w:r>
          </w:p>
        </w:tc>
        <w:tc>
          <w:tcPr>
            <w:tcW w:w="968" w:type="dxa"/>
            <w:tcBorders>
              <w:top w:val="single" w:sz="4" w:space="0" w:color="auto"/>
              <w:left w:val="nil"/>
              <w:bottom w:val="nil"/>
              <w:right w:val="nil"/>
            </w:tcBorders>
            <w:shd w:val="clear" w:color="000000" w:fill="FFFF0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5</w:t>
            </w:r>
          </w:p>
        </w:tc>
        <w:tc>
          <w:tcPr>
            <w:tcW w:w="968" w:type="dxa"/>
            <w:tcBorders>
              <w:top w:val="single" w:sz="4" w:space="0" w:color="auto"/>
              <w:left w:val="nil"/>
              <w:bottom w:val="nil"/>
              <w:right w:val="nil"/>
            </w:tcBorders>
            <w:shd w:val="clear" w:color="000000" w:fill="FFC00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3</w:t>
            </w:r>
          </w:p>
        </w:tc>
        <w:tc>
          <w:tcPr>
            <w:tcW w:w="968" w:type="dxa"/>
            <w:tcBorders>
              <w:top w:val="single" w:sz="4" w:space="0" w:color="auto"/>
              <w:left w:val="nil"/>
              <w:bottom w:val="nil"/>
              <w:right w:val="nil"/>
            </w:tcBorders>
            <w:shd w:val="clear" w:color="000000" w:fill="FFFF0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4</w:t>
            </w:r>
          </w:p>
        </w:tc>
        <w:tc>
          <w:tcPr>
            <w:tcW w:w="968" w:type="dxa"/>
            <w:tcBorders>
              <w:top w:val="single" w:sz="4" w:space="0" w:color="auto"/>
              <w:left w:val="nil"/>
              <w:bottom w:val="nil"/>
              <w:right w:val="nil"/>
            </w:tcBorders>
            <w:shd w:val="clear" w:color="000000" w:fill="FFFF0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5</w:t>
            </w:r>
          </w:p>
        </w:tc>
        <w:tc>
          <w:tcPr>
            <w:tcW w:w="968" w:type="dxa"/>
            <w:tcBorders>
              <w:top w:val="single" w:sz="4" w:space="0" w:color="auto"/>
              <w:left w:val="nil"/>
              <w:bottom w:val="nil"/>
              <w:right w:val="nil"/>
            </w:tcBorders>
            <w:shd w:val="clear" w:color="000000" w:fill="FFFF0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4</w:t>
            </w:r>
          </w:p>
        </w:tc>
        <w:tc>
          <w:tcPr>
            <w:tcW w:w="968" w:type="dxa"/>
            <w:tcBorders>
              <w:top w:val="single" w:sz="4" w:space="0" w:color="auto"/>
              <w:left w:val="nil"/>
              <w:bottom w:val="nil"/>
              <w:right w:val="nil"/>
            </w:tcBorders>
            <w:shd w:val="clear" w:color="000000" w:fill="92D05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 </w:t>
            </w:r>
          </w:p>
        </w:tc>
      </w:tr>
      <w:tr w:rsidR="006D3925" w:rsidRPr="006D3925" w:rsidTr="006349AF">
        <w:trPr>
          <w:trHeight w:val="300"/>
          <w:jc w:val="center"/>
        </w:trPr>
        <w:tc>
          <w:tcPr>
            <w:tcW w:w="3788" w:type="dxa"/>
            <w:tcBorders>
              <w:top w:val="single" w:sz="4" w:space="0" w:color="auto"/>
              <w:left w:val="nil"/>
              <w:bottom w:val="single" w:sz="4" w:space="0" w:color="auto"/>
              <w:right w:val="nil"/>
            </w:tcBorders>
            <w:shd w:val="clear" w:color="auto" w:fill="auto"/>
            <w:vAlign w:val="center"/>
            <w:hideMark/>
          </w:tcPr>
          <w:p w:rsidR="006D3925" w:rsidRPr="006D3925" w:rsidRDefault="006D3925" w:rsidP="006D3925">
            <w:pPr>
              <w:suppressAutoHyphens w:val="0"/>
              <w:spacing w:before="0" w:after="0" w:line="240" w:lineRule="auto"/>
              <w:rPr>
                <w:rFonts w:ascii="Arial" w:eastAsia="Times New Roman" w:hAnsi="Arial" w:cs="Arial"/>
                <w:color w:val="595959"/>
                <w:sz w:val="16"/>
                <w:szCs w:val="16"/>
                <w:lang w:val="en-AU" w:eastAsia="en-AU"/>
              </w:rPr>
            </w:pPr>
            <w:r w:rsidRPr="006D3925">
              <w:rPr>
                <w:rFonts w:ascii="Arial" w:eastAsia="Times New Roman" w:hAnsi="Arial" w:cs="Arial"/>
                <w:color w:val="595959"/>
                <w:sz w:val="16"/>
                <w:szCs w:val="16"/>
                <w:lang w:eastAsia="en-AU"/>
              </w:rPr>
              <w:t>Pacific Specialised Clinical Services</w:t>
            </w:r>
          </w:p>
        </w:tc>
        <w:tc>
          <w:tcPr>
            <w:tcW w:w="1428" w:type="dxa"/>
            <w:tcBorders>
              <w:top w:val="single" w:sz="4" w:space="0" w:color="auto"/>
              <w:left w:val="nil"/>
              <w:bottom w:val="single" w:sz="4" w:space="0" w:color="auto"/>
              <w:right w:val="nil"/>
            </w:tcBorders>
            <w:shd w:val="clear" w:color="auto" w:fill="auto"/>
            <w:noWrap/>
            <w:vAlign w:val="center"/>
            <w:hideMark/>
          </w:tcPr>
          <w:p w:rsidR="006D3925" w:rsidRPr="006D3925" w:rsidRDefault="006D3925" w:rsidP="006D3925">
            <w:pPr>
              <w:suppressAutoHyphens w:val="0"/>
              <w:spacing w:before="0" w:after="0" w:line="240" w:lineRule="auto"/>
              <w:jc w:val="center"/>
              <w:rPr>
                <w:rFonts w:ascii="Calibri Light" w:eastAsia="Times New Roman" w:hAnsi="Calibri Light" w:cs="Times New Roman"/>
                <w:color w:val="595959"/>
                <w:sz w:val="17"/>
                <w:szCs w:val="17"/>
                <w:lang w:val="en-AU" w:eastAsia="en-AU"/>
              </w:rPr>
            </w:pPr>
            <w:r w:rsidRPr="006D3925">
              <w:rPr>
                <w:rFonts w:ascii="Calibri Light" w:eastAsia="Times New Roman" w:hAnsi="Calibri Light" w:cs="Times New Roman"/>
                <w:color w:val="595959"/>
                <w:sz w:val="17"/>
                <w:szCs w:val="17"/>
                <w:lang w:eastAsia="en-AU"/>
              </w:rPr>
              <w:t>$4m</w:t>
            </w:r>
          </w:p>
        </w:tc>
        <w:tc>
          <w:tcPr>
            <w:tcW w:w="1248" w:type="dxa"/>
            <w:tcBorders>
              <w:top w:val="single" w:sz="4" w:space="0" w:color="auto"/>
              <w:left w:val="nil"/>
              <w:bottom w:val="single" w:sz="4" w:space="0" w:color="auto"/>
              <w:right w:val="nil"/>
            </w:tcBorders>
            <w:shd w:val="clear" w:color="auto" w:fill="auto"/>
            <w:noWrap/>
            <w:vAlign w:val="center"/>
            <w:hideMark/>
          </w:tcPr>
          <w:p w:rsidR="006D3925" w:rsidRPr="006D3925" w:rsidRDefault="006D3925" w:rsidP="006D3925">
            <w:pPr>
              <w:suppressAutoHyphens w:val="0"/>
              <w:spacing w:before="0" w:after="0" w:line="240" w:lineRule="auto"/>
              <w:jc w:val="center"/>
              <w:rPr>
                <w:rFonts w:ascii="Calibri Light" w:eastAsia="Times New Roman" w:hAnsi="Calibri Light" w:cs="Times New Roman"/>
                <w:color w:val="595959"/>
                <w:sz w:val="17"/>
                <w:szCs w:val="17"/>
                <w:lang w:val="en-AU" w:eastAsia="en-AU"/>
              </w:rPr>
            </w:pPr>
            <w:r w:rsidRPr="006D3925">
              <w:rPr>
                <w:rFonts w:ascii="Calibri Light" w:eastAsia="Times New Roman" w:hAnsi="Calibri Light" w:cs="Times New Roman"/>
                <w:color w:val="595959"/>
                <w:sz w:val="17"/>
                <w:szCs w:val="17"/>
                <w:lang w:val="en-AU" w:eastAsia="en-AU"/>
              </w:rPr>
              <w:t>2011 - 16</w:t>
            </w:r>
          </w:p>
        </w:tc>
        <w:tc>
          <w:tcPr>
            <w:tcW w:w="968" w:type="dxa"/>
            <w:tcBorders>
              <w:top w:val="single" w:sz="4" w:space="0" w:color="auto"/>
              <w:left w:val="nil"/>
              <w:bottom w:val="single" w:sz="4" w:space="0" w:color="auto"/>
              <w:right w:val="nil"/>
            </w:tcBorders>
            <w:shd w:val="clear" w:color="000000" w:fill="FFFF0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4</w:t>
            </w:r>
          </w:p>
        </w:tc>
        <w:tc>
          <w:tcPr>
            <w:tcW w:w="968" w:type="dxa"/>
            <w:tcBorders>
              <w:top w:val="single" w:sz="4" w:space="0" w:color="auto"/>
              <w:left w:val="nil"/>
              <w:bottom w:val="single" w:sz="4" w:space="0" w:color="auto"/>
              <w:right w:val="nil"/>
            </w:tcBorders>
            <w:shd w:val="clear" w:color="000000" w:fill="92D05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5</w:t>
            </w:r>
          </w:p>
        </w:tc>
        <w:tc>
          <w:tcPr>
            <w:tcW w:w="968" w:type="dxa"/>
            <w:tcBorders>
              <w:top w:val="single" w:sz="4" w:space="0" w:color="auto"/>
              <w:left w:val="nil"/>
              <w:bottom w:val="single" w:sz="4" w:space="0" w:color="auto"/>
              <w:right w:val="nil"/>
            </w:tcBorders>
            <w:shd w:val="clear" w:color="000000" w:fill="FFFF0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4</w:t>
            </w:r>
          </w:p>
        </w:tc>
        <w:tc>
          <w:tcPr>
            <w:tcW w:w="968" w:type="dxa"/>
            <w:tcBorders>
              <w:top w:val="single" w:sz="4" w:space="0" w:color="auto"/>
              <w:left w:val="nil"/>
              <w:bottom w:val="single" w:sz="4" w:space="0" w:color="auto"/>
              <w:right w:val="nil"/>
            </w:tcBorders>
            <w:shd w:val="clear" w:color="000000" w:fill="FFFF0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4</w:t>
            </w:r>
          </w:p>
        </w:tc>
        <w:tc>
          <w:tcPr>
            <w:tcW w:w="968" w:type="dxa"/>
            <w:tcBorders>
              <w:top w:val="single" w:sz="4" w:space="0" w:color="auto"/>
              <w:left w:val="nil"/>
              <w:bottom w:val="single" w:sz="4" w:space="0" w:color="auto"/>
              <w:right w:val="nil"/>
            </w:tcBorders>
            <w:shd w:val="clear" w:color="000000" w:fill="FFC00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3</w:t>
            </w:r>
          </w:p>
        </w:tc>
        <w:tc>
          <w:tcPr>
            <w:tcW w:w="968" w:type="dxa"/>
            <w:tcBorders>
              <w:top w:val="single" w:sz="4" w:space="0" w:color="auto"/>
              <w:left w:val="nil"/>
              <w:bottom w:val="single" w:sz="4" w:space="0" w:color="auto"/>
              <w:right w:val="nil"/>
            </w:tcBorders>
            <w:shd w:val="clear" w:color="000000" w:fill="92D05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5</w:t>
            </w:r>
          </w:p>
        </w:tc>
        <w:tc>
          <w:tcPr>
            <w:tcW w:w="968" w:type="dxa"/>
            <w:tcBorders>
              <w:top w:val="single" w:sz="4" w:space="0" w:color="auto"/>
              <w:left w:val="nil"/>
              <w:bottom w:val="single" w:sz="4" w:space="0" w:color="auto"/>
              <w:right w:val="nil"/>
            </w:tcBorders>
            <w:shd w:val="clear" w:color="000000" w:fill="FFFF0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4</w:t>
            </w:r>
          </w:p>
        </w:tc>
        <w:tc>
          <w:tcPr>
            <w:tcW w:w="968" w:type="dxa"/>
            <w:tcBorders>
              <w:top w:val="single" w:sz="4" w:space="0" w:color="auto"/>
              <w:left w:val="nil"/>
              <w:bottom w:val="single" w:sz="4" w:space="0" w:color="auto"/>
              <w:right w:val="nil"/>
            </w:tcBorders>
            <w:shd w:val="clear" w:color="000000" w:fill="92D05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 </w:t>
            </w:r>
          </w:p>
        </w:tc>
      </w:tr>
      <w:tr w:rsidR="006D3925" w:rsidRPr="006D3925" w:rsidTr="006349AF">
        <w:trPr>
          <w:trHeight w:val="315"/>
          <w:jc w:val="center"/>
        </w:trPr>
        <w:tc>
          <w:tcPr>
            <w:tcW w:w="3788" w:type="dxa"/>
            <w:tcBorders>
              <w:top w:val="single" w:sz="4" w:space="0" w:color="auto"/>
              <w:left w:val="nil"/>
              <w:bottom w:val="single" w:sz="12" w:space="0" w:color="auto"/>
              <w:right w:val="nil"/>
            </w:tcBorders>
            <w:shd w:val="clear" w:color="auto" w:fill="auto"/>
            <w:vAlign w:val="center"/>
            <w:hideMark/>
          </w:tcPr>
          <w:p w:rsidR="006D3925" w:rsidRPr="006D3925" w:rsidRDefault="006D3925" w:rsidP="006D3925">
            <w:pPr>
              <w:suppressAutoHyphens w:val="0"/>
              <w:spacing w:before="0" w:after="0" w:line="240" w:lineRule="auto"/>
              <w:rPr>
                <w:rFonts w:ascii="Arial" w:eastAsia="Times New Roman" w:hAnsi="Arial" w:cs="Arial"/>
                <w:color w:val="595959"/>
                <w:sz w:val="16"/>
                <w:szCs w:val="16"/>
                <w:lang w:val="en-AU" w:eastAsia="en-AU"/>
              </w:rPr>
            </w:pPr>
            <w:r w:rsidRPr="006D3925">
              <w:rPr>
                <w:rFonts w:ascii="Arial" w:eastAsia="Times New Roman" w:hAnsi="Arial" w:cs="Arial"/>
                <w:color w:val="595959"/>
                <w:sz w:val="16"/>
                <w:szCs w:val="16"/>
                <w:lang w:eastAsia="en-AU"/>
              </w:rPr>
              <w:t>Strategic Support to Fiji School of Medicine</w:t>
            </w:r>
          </w:p>
        </w:tc>
        <w:tc>
          <w:tcPr>
            <w:tcW w:w="1428" w:type="dxa"/>
            <w:tcBorders>
              <w:top w:val="single" w:sz="4" w:space="0" w:color="auto"/>
              <w:left w:val="nil"/>
              <w:bottom w:val="single" w:sz="12" w:space="0" w:color="auto"/>
              <w:right w:val="nil"/>
            </w:tcBorders>
            <w:shd w:val="clear" w:color="auto" w:fill="auto"/>
            <w:noWrap/>
            <w:vAlign w:val="center"/>
            <w:hideMark/>
          </w:tcPr>
          <w:p w:rsidR="006D3925" w:rsidRPr="006D3925" w:rsidRDefault="006D3925" w:rsidP="006D3925">
            <w:pPr>
              <w:suppressAutoHyphens w:val="0"/>
              <w:spacing w:before="0" w:after="0" w:line="240" w:lineRule="auto"/>
              <w:jc w:val="center"/>
              <w:rPr>
                <w:rFonts w:ascii="Calibri Light" w:eastAsia="Times New Roman" w:hAnsi="Calibri Light" w:cs="Times New Roman"/>
                <w:color w:val="595959"/>
                <w:sz w:val="17"/>
                <w:szCs w:val="17"/>
                <w:lang w:val="en-AU" w:eastAsia="en-AU"/>
              </w:rPr>
            </w:pPr>
            <w:r w:rsidRPr="006D3925">
              <w:rPr>
                <w:rFonts w:ascii="Calibri Light" w:eastAsia="Times New Roman" w:hAnsi="Calibri Light" w:cs="Times New Roman"/>
                <w:color w:val="595959"/>
                <w:sz w:val="17"/>
                <w:szCs w:val="17"/>
                <w:lang w:eastAsia="en-AU"/>
              </w:rPr>
              <w:t>$7m</w:t>
            </w:r>
          </w:p>
        </w:tc>
        <w:tc>
          <w:tcPr>
            <w:tcW w:w="1248" w:type="dxa"/>
            <w:tcBorders>
              <w:top w:val="single" w:sz="4" w:space="0" w:color="auto"/>
              <w:left w:val="nil"/>
              <w:bottom w:val="single" w:sz="12" w:space="0" w:color="auto"/>
              <w:right w:val="nil"/>
            </w:tcBorders>
            <w:shd w:val="clear" w:color="auto" w:fill="auto"/>
            <w:noWrap/>
            <w:vAlign w:val="center"/>
            <w:hideMark/>
          </w:tcPr>
          <w:p w:rsidR="006D3925" w:rsidRPr="006D3925" w:rsidRDefault="006D3925" w:rsidP="006D3925">
            <w:pPr>
              <w:suppressAutoHyphens w:val="0"/>
              <w:spacing w:before="0" w:after="0" w:line="240" w:lineRule="auto"/>
              <w:jc w:val="center"/>
              <w:rPr>
                <w:rFonts w:ascii="Calibri Light" w:eastAsia="Times New Roman" w:hAnsi="Calibri Light" w:cs="Times New Roman"/>
                <w:color w:val="595959"/>
                <w:sz w:val="17"/>
                <w:szCs w:val="17"/>
                <w:lang w:val="en-AU" w:eastAsia="en-AU"/>
              </w:rPr>
            </w:pPr>
            <w:r w:rsidRPr="006D3925">
              <w:rPr>
                <w:rFonts w:ascii="Calibri Light" w:eastAsia="Times New Roman" w:hAnsi="Calibri Light" w:cs="Times New Roman"/>
                <w:color w:val="595959"/>
                <w:sz w:val="17"/>
                <w:szCs w:val="17"/>
                <w:lang w:val="en-AU" w:eastAsia="en-AU"/>
              </w:rPr>
              <w:t>2012 - 16</w:t>
            </w:r>
          </w:p>
        </w:tc>
        <w:tc>
          <w:tcPr>
            <w:tcW w:w="968" w:type="dxa"/>
            <w:tcBorders>
              <w:top w:val="single" w:sz="4" w:space="0" w:color="auto"/>
              <w:left w:val="nil"/>
              <w:bottom w:val="single" w:sz="12" w:space="0" w:color="auto"/>
              <w:right w:val="nil"/>
            </w:tcBorders>
            <w:shd w:val="clear" w:color="000000" w:fill="FFFF0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4</w:t>
            </w:r>
          </w:p>
        </w:tc>
        <w:tc>
          <w:tcPr>
            <w:tcW w:w="968" w:type="dxa"/>
            <w:tcBorders>
              <w:top w:val="single" w:sz="4" w:space="0" w:color="auto"/>
              <w:left w:val="nil"/>
              <w:bottom w:val="single" w:sz="12" w:space="0" w:color="auto"/>
              <w:right w:val="nil"/>
            </w:tcBorders>
            <w:shd w:val="clear" w:color="000000" w:fill="FFFF0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4</w:t>
            </w:r>
          </w:p>
        </w:tc>
        <w:tc>
          <w:tcPr>
            <w:tcW w:w="968" w:type="dxa"/>
            <w:tcBorders>
              <w:top w:val="single" w:sz="4" w:space="0" w:color="auto"/>
              <w:left w:val="nil"/>
              <w:bottom w:val="single" w:sz="12" w:space="0" w:color="auto"/>
              <w:right w:val="nil"/>
            </w:tcBorders>
            <w:shd w:val="clear" w:color="000000" w:fill="FFFF0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4</w:t>
            </w:r>
          </w:p>
        </w:tc>
        <w:tc>
          <w:tcPr>
            <w:tcW w:w="968" w:type="dxa"/>
            <w:tcBorders>
              <w:top w:val="single" w:sz="4" w:space="0" w:color="auto"/>
              <w:left w:val="nil"/>
              <w:bottom w:val="single" w:sz="12" w:space="0" w:color="auto"/>
              <w:right w:val="nil"/>
            </w:tcBorders>
            <w:shd w:val="clear" w:color="000000" w:fill="FFC00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3</w:t>
            </w:r>
          </w:p>
        </w:tc>
        <w:tc>
          <w:tcPr>
            <w:tcW w:w="968" w:type="dxa"/>
            <w:tcBorders>
              <w:top w:val="single" w:sz="4" w:space="0" w:color="auto"/>
              <w:left w:val="nil"/>
              <w:bottom w:val="single" w:sz="12" w:space="0" w:color="auto"/>
              <w:right w:val="nil"/>
            </w:tcBorders>
            <w:shd w:val="clear" w:color="000000" w:fill="FFC00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3</w:t>
            </w:r>
          </w:p>
        </w:tc>
        <w:tc>
          <w:tcPr>
            <w:tcW w:w="968" w:type="dxa"/>
            <w:tcBorders>
              <w:top w:val="single" w:sz="4" w:space="0" w:color="auto"/>
              <w:left w:val="nil"/>
              <w:bottom w:val="single" w:sz="12" w:space="0" w:color="auto"/>
              <w:right w:val="nil"/>
            </w:tcBorders>
            <w:shd w:val="clear" w:color="000000" w:fill="FFFF0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4</w:t>
            </w:r>
          </w:p>
        </w:tc>
        <w:tc>
          <w:tcPr>
            <w:tcW w:w="968" w:type="dxa"/>
            <w:tcBorders>
              <w:top w:val="single" w:sz="4" w:space="0" w:color="auto"/>
              <w:left w:val="nil"/>
              <w:bottom w:val="single" w:sz="12" w:space="0" w:color="auto"/>
              <w:right w:val="nil"/>
            </w:tcBorders>
            <w:shd w:val="clear" w:color="000000" w:fill="FFFF0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4</w:t>
            </w:r>
          </w:p>
        </w:tc>
        <w:tc>
          <w:tcPr>
            <w:tcW w:w="968" w:type="dxa"/>
            <w:tcBorders>
              <w:top w:val="single" w:sz="4" w:space="0" w:color="auto"/>
              <w:left w:val="nil"/>
              <w:bottom w:val="single" w:sz="12" w:space="0" w:color="auto"/>
              <w:right w:val="nil"/>
            </w:tcBorders>
            <w:shd w:val="clear" w:color="000000" w:fill="92D050"/>
            <w:noWrap/>
            <w:vAlign w:val="center"/>
            <w:hideMark/>
          </w:tcPr>
          <w:p w:rsidR="006D3925" w:rsidRPr="006D3925" w:rsidRDefault="006D3925" w:rsidP="006D3925">
            <w:pPr>
              <w:suppressAutoHyphens w:val="0"/>
              <w:spacing w:before="0" w:after="0" w:line="240" w:lineRule="auto"/>
              <w:jc w:val="center"/>
              <w:rPr>
                <w:rFonts w:ascii="Arial" w:eastAsia="Times New Roman" w:hAnsi="Arial" w:cs="Arial"/>
                <w:color w:val="000000"/>
                <w:sz w:val="16"/>
                <w:szCs w:val="16"/>
                <w:lang w:val="en-AU" w:eastAsia="en-AU"/>
              </w:rPr>
            </w:pPr>
            <w:r w:rsidRPr="006D3925">
              <w:rPr>
                <w:rFonts w:ascii="Arial" w:eastAsia="Times New Roman" w:hAnsi="Arial" w:cs="Arial"/>
                <w:color w:val="000000"/>
                <w:sz w:val="16"/>
                <w:szCs w:val="16"/>
                <w:lang w:eastAsia="en-AU"/>
              </w:rPr>
              <w:t> </w:t>
            </w:r>
          </w:p>
        </w:tc>
      </w:tr>
    </w:tbl>
    <w:p w:rsidR="00C33375" w:rsidRPr="00880004" w:rsidRDefault="00C33375" w:rsidP="00C33375">
      <w:pPr>
        <w:spacing w:before="20" w:after="20" w:line="180" w:lineRule="atLeast"/>
        <w:jc w:val="both"/>
        <w:rPr>
          <w:rFonts w:eastAsia="Times New Roman"/>
          <w:b/>
          <w:sz w:val="16"/>
          <w:szCs w:val="14"/>
        </w:rPr>
      </w:pPr>
      <w:r w:rsidRPr="00880004">
        <w:rPr>
          <w:rFonts w:eastAsia="Times New Roman"/>
          <w:b/>
          <w:sz w:val="16"/>
          <w:szCs w:val="14"/>
        </w:rPr>
        <w:t>Definitions of rating scale:</w:t>
      </w:r>
      <w:r w:rsidRPr="00880004">
        <w:rPr>
          <w:rFonts w:eastAsia="Times New Roman"/>
          <w:b/>
          <w:sz w:val="16"/>
          <w:szCs w:val="14"/>
        </w:rPr>
        <w:tab/>
      </w:r>
    </w:p>
    <w:p w:rsidR="00C33375" w:rsidRPr="00880004" w:rsidRDefault="00C33375" w:rsidP="00C33375">
      <w:pPr>
        <w:spacing w:before="20" w:after="20" w:line="180" w:lineRule="atLeast"/>
        <w:jc w:val="both"/>
        <w:rPr>
          <w:rFonts w:eastAsia="Times New Roman"/>
          <w:b/>
          <w:sz w:val="16"/>
          <w:szCs w:val="14"/>
        </w:rPr>
      </w:pPr>
      <w:r w:rsidRPr="00880004">
        <w:rPr>
          <w:rFonts w:eastAsia="Times New Roman"/>
          <w:b/>
          <w:sz w:val="16"/>
          <w:szCs w:val="14"/>
        </w:rPr>
        <w:t>Satisfactory (4, 5 and 6)</w:t>
      </w:r>
    </w:p>
    <w:p w:rsidR="00C33375" w:rsidRPr="00880004" w:rsidRDefault="00C33375" w:rsidP="00C33375">
      <w:pPr>
        <w:spacing w:before="20" w:after="20" w:line="180" w:lineRule="atLeast"/>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xml:space="preserve"> 6 = Very good; satisfies criteria in all areas. </w:t>
      </w:r>
      <w:r>
        <w:rPr>
          <w:rFonts w:eastAsia="Times New Roman"/>
          <w:b/>
          <w:sz w:val="16"/>
          <w:szCs w:val="14"/>
        </w:rPr>
        <w:br/>
      </w:r>
      <w:r w:rsidRPr="00880004">
        <w:rPr>
          <w:rFonts w:eastAsia="Times New Roman"/>
          <w:b/>
          <w:color w:val="72AF2F"/>
          <w:sz w:val="16"/>
          <w:szCs w:val="14"/>
        </w:rPr>
        <w:sym w:font="Webdings" w:char="F067"/>
      </w:r>
      <w:r w:rsidRPr="00880004">
        <w:rPr>
          <w:rFonts w:eastAsia="Times New Roman"/>
          <w:b/>
          <w:sz w:val="16"/>
          <w:szCs w:val="14"/>
        </w:rPr>
        <w:t xml:space="preserve"> 5 = Good; satisfies criteria in almost all areas.</w:t>
      </w:r>
    </w:p>
    <w:p w:rsidR="00C33375" w:rsidRPr="00880004" w:rsidRDefault="00C33375" w:rsidP="00C33375">
      <w:pPr>
        <w:spacing w:before="20" w:after="20" w:line="180" w:lineRule="atLeast"/>
        <w:rPr>
          <w:rFonts w:eastAsia="Times New Roman"/>
          <w:b/>
          <w:sz w:val="16"/>
          <w:szCs w:val="14"/>
        </w:rPr>
      </w:pPr>
      <w:r w:rsidRPr="00880004">
        <w:rPr>
          <w:rFonts w:eastAsia="Times New Roman"/>
          <w:b/>
          <w:color w:val="FFFF00"/>
          <w:sz w:val="16"/>
          <w:szCs w:val="14"/>
        </w:rPr>
        <w:sym w:font="Webdings" w:char="F067"/>
      </w:r>
      <w:r w:rsidRPr="00880004">
        <w:rPr>
          <w:rFonts w:eastAsia="Times New Roman"/>
          <w:b/>
          <w:sz w:val="16"/>
          <w:szCs w:val="14"/>
        </w:rPr>
        <w:t xml:space="preserve"> 4 = Adequate; on balance, satisfies criteria; does not fail in any major area.</w:t>
      </w:r>
    </w:p>
    <w:p w:rsidR="00C33375" w:rsidRPr="00880004" w:rsidRDefault="00C33375" w:rsidP="00C33375">
      <w:pPr>
        <w:spacing w:before="20" w:after="20" w:line="180" w:lineRule="atLeast"/>
        <w:rPr>
          <w:rFonts w:eastAsia="Times New Roman"/>
          <w:b/>
          <w:sz w:val="16"/>
          <w:szCs w:val="14"/>
        </w:rPr>
      </w:pPr>
      <w:r w:rsidRPr="00880004">
        <w:rPr>
          <w:rFonts w:eastAsia="Times New Roman"/>
          <w:b/>
          <w:sz w:val="16"/>
          <w:szCs w:val="14"/>
        </w:rPr>
        <w:t>Less than satisfactory (1, 2 and 3)</w:t>
      </w:r>
    </w:p>
    <w:p w:rsidR="00C33375" w:rsidRPr="00880004" w:rsidRDefault="00C33375" w:rsidP="00C33375">
      <w:pPr>
        <w:spacing w:before="20" w:after="20" w:line="180" w:lineRule="atLeast"/>
        <w:rPr>
          <w:rFonts w:eastAsia="Times New Roman"/>
          <w:b/>
          <w:sz w:val="16"/>
          <w:szCs w:val="14"/>
        </w:rPr>
      </w:pPr>
      <w:r w:rsidRPr="00880004">
        <w:rPr>
          <w:rFonts w:eastAsia="Times New Roman"/>
          <w:b/>
          <w:color w:val="E36C0A"/>
          <w:sz w:val="16"/>
          <w:szCs w:val="14"/>
        </w:rPr>
        <w:sym w:font="Webdings" w:char="F067"/>
      </w:r>
      <w:r w:rsidRPr="00880004">
        <w:rPr>
          <w:rFonts w:eastAsia="Times New Roman"/>
          <w:b/>
          <w:color w:val="E36C0A"/>
          <w:sz w:val="16"/>
          <w:szCs w:val="14"/>
        </w:rPr>
        <w:t xml:space="preserve"> </w:t>
      </w:r>
      <w:r w:rsidRPr="00880004">
        <w:rPr>
          <w:rFonts w:eastAsia="Times New Roman"/>
          <w:b/>
          <w:sz w:val="16"/>
          <w:szCs w:val="14"/>
        </w:rPr>
        <w:t>3 = Less than adequate; on balance does not satisfy criteria and/or fails in at least one major area.</w:t>
      </w:r>
    </w:p>
    <w:p w:rsidR="00C33375" w:rsidRPr="00880004" w:rsidRDefault="00C33375" w:rsidP="00C33375">
      <w:pPr>
        <w:spacing w:before="20" w:after="20" w:line="180" w:lineRule="atLeast"/>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xml:space="preserve"> 2 = Poor; does not satisfy criteria in major areas.  </w:t>
      </w:r>
      <w:r>
        <w:rPr>
          <w:rFonts w:eastAsia="Times New Roman"/>
          <w:b/>
          <w:sz w:val="16"/>
          <w:szCs w:val="14"/>
        </w:rPr>
        <w:br/>
      </w:r>
      <w:r w:rsidRPr="00880004">
        <w:rPr>
          <w:rFonts w:eastAsia="Times New Roman"/>
          <w:b/>
          <w:color w:val="FF0000"/>
          <w:sz w:val="16"/>
          <w:szCs w:val="14"/>
        </w:rPr>
        <w:sym w:font="Webdings" w:char="F067"/>
      </w:r>
      <w:r w:rsidRPr="00880004">
        <w:rPr>
          <w:rFonts w:eastAsia="Times New Roman"/>
          <w:b/>
          <w:sz w:val="16"/>
          <w:szCs w:val="14"/>
        </w:rPr>
        <w:t xml:space="preserve"> 1 = Very poor; does not satisfy criteria in many major area.</w:t>
      </w:r>
    </w:p>
    <w:p w:rsidR="000423DB" w:rsidRDefault="000423DB"/>
    <w:sectPr w:rsidR="000423DB" w:rsidSect="00C25A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ABA" w:rsidRDefault="002F4ABA" w:rsidP="00C25AD7">
      <w:pPr>
        <w:spacing w:before="0" w:after="0" w:line="240" w:lineRule="auto"/>
      </w:pPr>
      <w:r>
        <w:separator/>
      </w:r>
    </w:p>
  </w:endnote>
  <w:endnote w:type="continuationSeparator" w:id="0">
    <w:p w:rsidR="002F4ABA" w:rsidRDefault="002F4ABA" w:rsidP="00C25A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657" w:rsidRDefault="008D1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254196"/>
      <w:docPartObj>
        <w:docPartGallery w:val="Page Numbers (Bottom of Page)"/>
        <w:docPartUnique/>
      </w:docPartObj>
    </w:sdtPr>
    <w:sdtEndPr>
      <w:rPr>
        <w:noProof/>
      </w:rPr>
    </w:sdtEndPr>
    <w:sdtContent>
      <w:p w:rsidR="002F4ABA" w:rsidRDefault="002F4ABA">
        <w:pPr>
          <w:pStyle w:val="Footer"/>
        </w:pPr>
        <w:r>
          <w:fldChar w:fldCharType="begin"/>
        </w:r>
        <w:r>
          <w:instrText xml:space="preserve"> PAGE   \* MERGEFORMAT </w:instrText>
        </w:r>
        <w:r>
          <w:fldChar w:fldCharType="separate"/>
        </w:r>
        <w:r w:rsidR="00DD5A31">
          <w:rPr>
            <w:noProof/>
          </w:rPr>
          <w:t>21</w:t>
        </w:r>
        <w:r>
          <w:rPr>
            <w:noProof/>
          </w:rPr>
          <w:fldChar w:fldCharType="end"/>
        </w:r>
      </w:p>
    </w:sdtContent>
  </w:sdt>
  <w:p w:rsidR="002F4ABA" w:rsidRDefault="002F4A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657" w:rsidRDefault="008D16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ABA" w:rsidRPr="00CD0E4B" w:rsidRDefault="002F4ABA" w:rsidP="002F4ABA">
    <w:pPr>
      <w:pStyle w:val="Footer"/>
    </w:pPr>
    <w:r w:rsidRPr="00CD0E4B">
      <w:rPr>
        <w:noProof/>
        <w:lang w:val="en-AU" w:eastAsia="en-AU"/>
      </w:rPr>
      <w:drawing>
        <wp:inline distT="0" distB="0" distL="0" distR="0" wp14:anchorId="7924A341" wp14:editId="0D97E709">
          <wp:extent cx="90000" cy="74520"/>
          <wp:effectExtent l="0" t="0" r="571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rsidR="002F4ABA" w:rsidRPr="00CD0E4B" w:rsidRDefault="002F4ABA" w:rsidP="002F4ABA">
    <w:pPr>
      <w:pStyle w:val="Footer"/>
      <w:rPr>
        <w:color w:val="A5A5A5" w:themeColor="accent3"/>
      </w:rPr>
    </w:pPr>
    <w:r w:rsidRPr="00CD0E4B">
      <w:rPr>
        <w:color w:val="A5A5A5" w:themeColor="accent3"/>
      </w:rPr>
      <w:t>DFAT.GOV.AU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ABA" w:rsidRDefault="002F4ABA" w:rsidP="00C25AD7">
      <w:pPr>
        <w:spacing w:before="0" w:after="0" w:line="240" w:lineRule="auto"/>
      </w:pPr>
      <w:r>
        <w:separator/>
      </w:r>
    </w:p>
  </w:footnote>
  <w:footnote w:type="continuationSeparator" w:id="0">
    <w:p w:rsidR="002F4ABA" w:rsidRDefault="002F4ABA" w:rsidP="00C25AD7">
      <w:pPr>
        <w:spacing w:before="0" w:after="0" w:line="240" w:lineRule="auto"/>
      </w:pPr>
      <w:r>
        <w:continuationSeparator/>
      </w:r>
    </w:p>
  </w:footnote>
  <w:footnote w:id="1">
    <w:p w:rsidR="002F4ABA" w:rsidRPr="00432F10" w:rsidRDefault="002F4ABA" w:rsidP="00C25AD7">
      <w:pPr>
        <w:pStyle w:val="FootnoteText"/>
        <w:rPr>
          <w:lang w:val="en-AU"/>
        </w:rPr>
      </w:pPr>
      <w:r>
        <w:rPr>
          <w:rStyle w:val="FootnoteReference"/>
        </w:rPr>
        <w:footnoteRef/>
      </w:r>
      <w:r>
        <w:t xml:space="preserve"> </w:t>
      </w:r>
      <w:r>
        <w:rPr>
          <w:lang w:val="en-AU"/>
        </w:rPr>
        <w:t>Australian Government (2016) Aid Investment Plan; Pacific Regional, 2015-16 to 2018-19, 10.</w:t>
      </w:r>
    </w:p>
  </w:footnote>
  <w:footnote w:id="2">
    <w:p w:rsidR="002F4ABA" w:rsidRPr="008479DA" w:rsidRDefault="002F4ABA" w:rsidP="00C25AD7">
      <w:pPr>
        <w:pStyle w:val="FootnoteText"/>
        <w:rPr>
          <w:lang w:val="en-AU"/>
        </w:rPr>
      </w:pPr>
      <w:r>
        <w:rPr>
          <w:rStyle w:val="FootnoteReference"/>
        </w:rPr>
        <w:footnoteRef/>
      </w:r>
      <w:r>
        <w:t xml:space="preserve"> </w:t>
      </w:r>
      <w:r>
        <w:rPr>
          <w:lang w:val="en-AU"/>
        </w:rPr>
        <w:t xml:space="preserve">World Bank (2016) </w:t>
      </w:r>
      <w:r w:rsidRPr="00B369BE">
        <w:rPr>
          <w:i/>
          <w:lang w:val="en-AU"/>
        </w:rPr>
        <w:t>Pacific Possible: Labour Mobility</w:t>
      </w:r>
      <w:r>
        <w:rPr>
          <w:lang w:val="en-AU"/>
        </w:rPr>
        <w:t>, p7.</w:t>
      </w:r>
    </w:p>
  </w:footnote>
  <w:footnote w:id="3">
    <w:p w:rsidR="002F4ABA" w:rsidRPr="000A6431" w:rsidRDefault="002F4ABA" w:rsidP="00C25AD7">
      <w:pPr>
        <w:pStyle w:val="FootnoteText"/>
        <w:rPr>
          <w:lang w:val="en-AU"/>
        </w:rPr>
      </w:pPr>
      <w:r>
        <w:rPr>
          <w:rStyle w:val="FootnoteReference"/>
        </w:rPr>
        <w:footnoteRef/>
      </w:r>
      <w:r>
        <w:t xml:space="preserve"> Pacific Women (2016) </w:t>
      </w:r>
      <w:hyperlink r:id="rId1" w:history="1">
        <w:r>
          <w:rPr>
            <w:rStyle w:val="Hyperlink"/>
          </w:rPr>
          <w:t>http://www.pacificwomen.org/about/about-pwspd/</w:t>
        </w:r>
      </w:hyperlink>
      <w:r>
        <w:t>.</w:t>
      </w:r>
    </w:p>
  </w:footnote>
  <w:footnote w:id="4">
    <w:p w:rsidR="002F4ABA" w:rsidRPr="003F1EC8" w:rsidRDefault="002F4ABA" w:rsidP="00C25AD7">
      <w:pPr>
        <w:pStyle w:val="FootnoteText"/>
        <w:rPr>
          <w:lang w:val="en-AU"/>
        </w:rPr>
      </w:pPr>
      <w:r>
        <w:rPr>
          <w:rStyle w:val="FootnoteReference"/>
        </w:rPr>
        <w:footnoteRef/>
      </w:r>
      <w:r>
        <w:t xml:space="preserve"> </w:t>
      </w:r>
      <w:r w:rsidRPr="003F1EC8">
        <w:t>http://www.pacificdisability.org/About-Us/Disability-in-the-Pacific.aspx</w:t>
      </w:r>
    </w:p>
  </w:footnote>
  <w:footnote w:id="5">
    <w:p w:rsidR="002F4ABA" w:rsidRPr="009D4BB5" w:rsidRDefault="002F4ABA" w:rsidP="00C25AD7">
      <w:pPr>
        <w:pStyle w:val="FootnoteText"/>
        <w:rPr>
          <w:lang w:val="en-AU"/>
        </w:rPr>
      </w:pPr>
      <w:r>
        <w:rPr>
          <w:rStyle w:val="FootnoteReference"/>
        </w:rPr>
        <w:footnoteRef/>
      </w:r>
      <w:r>
        <w:t xml:space="preserve"> </w:t>
      </w:r>
      <w:r w:rsidRPr="00685CC9">
        <w:rPr>
          <w:lang w:val="en-AU"/>
        </w:rPr>
        <w:t xml:space="preserve">The World Risk Index 2016 </w:t>
      </w:r>
      <w:hyperlink r:id="rId2" w:history="1">
        <w:r w:rsidRPr="00685CC9">
          <w:rPr>
            <w:lang w:val="en-AU"/>
          </w:rPr>
          <w:t>https://collections.unu.edu/eserv/UNU:5763/WorldRiskReport2016_small.pdf</w:t>
        </w:r>
      </w:hyperlink>
    </w:p>
  </w:footnote>
  <w:footnote w:id="6">
    <w:p w:rsidR="002F4ABA" w:rsidRPr="00412903" w:rsidRDefault="002F4ABA" w:rsidP="00C25AD7">
      <w:pPr>
        <w:pStyle w:val="FootnoteText"/>
        <w:rPr>
          <w:lang w:val="en-AU"/>
        </w:rPr>
      </w:pPr>
      <w:r>
        <w:rPr>
          <w:rStyle w:val="FootnoteReference"/>
        </w:rPr>
        <w:footnoteRef/>
      </w:r>
      <w:r>
        <w:t xml:space="preserve"> OECD (2017) Development Assistance Committee.</w:t>
      </w:r>
    </w:p>
  </w:footnote>
  <w:footnote w:id="7">
    <w:p w:rsidR="002F4ABA" w:rsidRPr="003D126B" w:rsidRDefault="002F4ABA" w:rsidP="00C25AD7">
      <w:pPr>
        <w:pStyle w:val="FootnoteText"/>
        <w:rPr>
          <w:lang w:val="en-AU"/>
        </w:rPr>
      </w:pPr>
      <w:r>
        <w:rPr>
          <w:rStyle w:val="FootnoteReference"/>
        </w:rPr>
        <w:footnoteRef/>
      </w:r>
      <w:r>
        <w:t xml:space="preserve"> </w:t>
      </w:r>
      <w:r>
        <w:rPr>
          <w:lang w:val="en-AU"/>
        </w:rPr>
        <w:t>The Pacific Regional program accounts for 13.9 per cent of the Pacific Aid Program in 2016-17.</w:t>
      </w:r>
    </w:p>
  </w:footnote>
  <w:footnote w:id="8">
    <w:p w:rsidR="002F4ABA" w:rsidRPr="00B54624" w:rsidRDefault="002F4ABA" w:rsidP="00C25AD7">
      <w:pPr>
        <w:pStyle w:val="FootnoteText"/>
        <w:rPr>
          <w:lang w:val="en-AU"/>
        </w:rPr>
      </w:pPr>
      <w:r>
        <w:rPr>
          <w:rStyle w:val="FootnoteReference"/>
        </w:rPr>
        <w:footnoteRef/>
      </w:r>
      <w:r>
        <w:t xml:space="preserve"> </w:t>
      </w:r>
      <w:r>
        <w:rPr>
          <w:lang w:val="en-AU"/>
        </w:rPr>
        <w:t xml:space="preserve">World Bank Group (2017) </w:t>
      </w:r>
      <w:hyperlink r:id="rId3" w:history="1">
        <w:r w:rsidRPr="00E57F18">
          <w:rPr>
            <w:rStyle w:val="Hyperlink"/>
            <w:lang w:val="en-AU"/>
          </w:rPr>
          <w:t>http://www.worldbank.org/en/topic/financialinclusion</w:t>
        </w:r>
      </w:hyperlink>
      <w:r>
        <w:rPr>
          <w:lang w:val="en-AU"/>
        </w:rPr>
        <w:t xml:space="preserve">. </w:t>
      </w:r>
    </w:p>
  </w:footnote>
  <w:footnote w:id="9">
    <w:p w:rsidR="002F4ABA" w:rsidRPr="00A27AAC" w:rsidRDefault="002F4ABA" w:rsidP="00C25AD7">
      <w:pPr>
        <w:pStyle w:val="FootnoteText"/>
        <w:rPr>
          <w:lang w:val="en-AU"/>
        </w:rPr>
      </w:pPr>
      <w:r>
        <w:rPr>
          <w:rStyle w:val="FootnoteReference"/>
        </w:rPr>
        <w:footnoteRef/>
      </w:r>
      <w:r>
        <w:t xml:space="preserve"> </w:t>
      </w:r>
      <w:r>
        <w:rPr>
          <w:lang w:val="en-US"/>
        </w:rPr>
        <w:t>Cook Islands Federated States of Micronesia, Fiji, Kiribati, Marshall Islands, Nauru, Niue, Palau, Papua New Guinea, Samoa, Solomon Islands, Tonga, Tuvalu and Vanuatu.</w:t>
      </w:r>
    </w:p>
  </w:footnote>
  <w:footnote w:id="10">
    <w:p w:rsidR="002F4ABA" w:rsidRPr="00A27AAC" w:rsidRDefault="002F4ABA" w:rsidP="00C25AD7">
      <w:pPr>
        <w:pStyle w:val="FootnoteText"/>
        <w:rPr>
          <w:lang w:val="en-AU"/>
        </w:rPr>
      </w:pPr>
      <w:r>
        <w:rPr>
          <w:rStyle w:val="FootnoteReference"/>
        </w:rPr>
        <w:footnoteRef/>
      </w:r>
      <w:r>
        <w:t xml:space="preserve"> Joint Ministerial statement on conclusion of PACER Plus: </w:t>
      </w:r>
      <w:r w:rsidRPr="00A27AAC">
        <w:t>http://www.octapic.org/pacer-plus-a-landmark-trade-and-development-agreement-for-the-pacific-region/</w:t>
      </w:r>
    </w:p>
  </w:footnote>
  <w:footnote w:id="11">
    <w:p w:rsidR="002F4ABA" w:rsidRPr="007A2F3F" w:rsidRDefault="002F4ABA" w:rsidP="00C25AD7">
      <w:pPr>
        <w:pStyle w:val="FootnoteText"/>
        <w:rPr>
          <w:lang w:val="en-AU"/>
        </w:rPr>
      </w:pPr>
      <w:r>
        <w:rPr>
          <w:rStyle w:val="FootnoteReference"/>
        </w:rPr>
        <w:footnoteRef/>
      </w:r>
      <w:r>
        <w:t xml:space="preserve"> </w:t>
      </w:r>
      <w:r w:rsidRPr="00A03362">
        <w:t>There is historical delay in publication of fisheries revenue in the Pacific. 2016 data</w:t>
      </w:r>
      <w:r>
        <w:t xml:space="preserve"> is not available until mid-2018</w:t>
      </w:r>
      <w:r w:rsidRPr="00A03362">
        <w:t>.</w:t>
      </w:r>
    </w:p>
  </w:footnote>
  <w:footnote w:id="12">
    <w:p w:rsidR="002F4ABA" w:rsidRPr="00DF0A3E" w:rsidRDefault="002F4ABA" w:rsidP="00C25AD7">
      <w:pPr>
        <w:pStyle w:val="FootnoteText"/>
        <w:rPr>
          <w:lang w:val="en-AU"/>
        </w:rPr>
      </w:pPr>
      <w:r>
        <w:rPr>
          <w:rStyle w:val="FootnoteReference"/>
        </w:rPr>
        <w:footnoteRef/>
      </w:r>
      <w:r>
        <w:t xml:space="preserve"> Forum Fisheries Agency (2016) </w:t>
      </w:r>
      <w:r w:rsidRPr="00DF0A3E">
        <w:t>Tuna Development Indicators</w:t>
      </w:r>
    </w:p>
  </w:footnote>
  <w:footnote w:id="13">
    <w:p w:rsidR="002F4ABA" w:rsidRPr="00736DF9" w:rsidRDefault="002F4ABA" w:rsidP="00C25AD7">
      <w:pPr>
        <w:pStyle w:val="FootnoteText"/>
        <w:rPr>
          <w:lang w:val="en-AU"/>
        </w:rPr>
      </w:pPr>
      <w:r>
        <w:rPr>
          <w:rStyle w:val="FootnoteReference"/>
        </w:rPr>
        <w:footnoteRef/>
      </w:r>
      <w:r>
        <w:t xml:space="preserve"> SPC EQAP (2017). </w:t>
      </w:r>
      <w:r w:rsidRPr="004C2DCD">
        <w:rPr>
          <w:i/>
        </w:rPr>
        <w:t>Educational Quality and Assessment Programme Results Report for 2016</w:t>
      </w:r>
      <w:r>
        <w:t xml:space="preserve"> [unpublished]</w:t>
      </w:r>
    </w:p>
  </w:footnote>
  <w:footnote w:id="14">
    <w:p w:rsidR="002F4ABA" w:rsidRPr="00E06D88" w:rsidRDefault="002F4ABA" w:rsidP="00C25AD7">
      <w:pPr>
        <w:pStyle w:val="FootnoteText"/>
        <w:rPr>
          <w:lang w:val="en-AU"/>
        </w:rPr>
      </w:pPr>
      <w:r>
        <w:rPr>
          <w:rStyle w:val="FootnoteReference"/>
        </w:rPr>
        <w:footnoteRef/>
      </w:r>
      <w:r>
        <w:t xml:space="preserve"> SPC (2017). </w:t>
      </w:r>
      <w:r>
        <w:rPr>
          <w:i/>
        </w:rPr>
        <w:t xml:space="preserve">Regional EMIS Facility Annual Performance Report. </w:t>
      </w:r>
      <w:r>
        <w:t xml:space="preserve">[unpublished[ and </w:t>
      </w:r>
      <w:hyperlink r:id="rId4" w:history="1">
        <w:r w:rsidRPr="009A7F7C">
          <w:rPr>
            <w:rStyle w:val="Hyperlink"/>
          </w:rPr>
          <w:t>http://www.spc.int/blog/pacific-community-digitalizes-education-data-collection-in-kiribati/</w:t>
        </w:r>
      </w:hyperlink>
      <w:r>
        <w:t xml:space="preserve"> </w:t>
      </w:r>
    </w:p>
  </w:footnote>
  <w:footnote w:id="15">
    <w:p w:rsidR="002F4ABA" w:rsidRPr="00FC33AB" w:rsidRDefault="002F4ABA" w:rsidP="00C25AD7">
      <w:pPr>
        <w:pStyle w:val="FootnoteText"/>
        <w:rPr>
          <w:lang w:val="en-AU"/>
        </w:rPr>
      </w:pPr>
      <w:r>
        <w:rPr>
          <w:rStyle w:val="FootnoteReference"/>
        </w:rPr>
        <w:footnoteRef/>
      </w:r>
      <w:r>
        <w:t xml:space="preserve"> </w:t>
      </w:r>
      <w:r>
        <w:rPr>
          <w:color w:val="1F497D"/>
        </w:rPr>
        <w:t>World Bank (2016) Pacific Possible: Labour Mobility (p5-11).</w:t>
      </w:r>
    </w:p>
  </w:footnote>
  <w:footnote w:id="16">
    <w:p w:rsidR="002F4ABA" w:rsidRPr="00F05AEE" w:rsidRDefault="002F4ABA" w:rsidP="00C25AD7">
      <w:pPr>
        <w:pStyle w:val="FootnoteText"/>
        <w:rPr>
          <w:lang w:val="en-AU"/>
        </w:rPr>
      </w:pPr>
      <w:r>
        <w:rPr>
          <w:rStyle w:val="FootnoteReference"/>
        </w:rPr>
        <w:footnoteRef/>
      </w:r>
      <w:r>
        <w:t xml:space="preserve"> </w:t>
      </w:r>
      <w:r>
        <w:rPr>
          <w:lang w:val="en-AU"/>
        </w:rPr>
        <w:t xml:space="preserve">DAWR (2016) Working Holiday Maker Visa review. Accessed at: </w:t>
      </w:r>
      <w:hyperlink r:id="rId5" w:history="1">
        <w:r w:rsidRPr="0021184E">
          <w:rPr>
            <w:rStyle w:val="Hyperlink"/>
            <w:lang w:val="en-AU"/>
          </w:rPr>
          <w:t>http://www.agriculture.gov.au/ag-farm-food/working-holiday-maker-review</w:t>
        </w:r>
      </w:hyperlink>
      <w:r>
        <w:rPr>
          <w:lang w:val="en-AU"/>
        </w:rPr>
        <w:t xml:space="preserve"> </w:t>
      </w:r>
    </w:p>
  </w:footnote>
  <w:footnote w:id="17">
    <w:p w:rsidR="002F4ABA" w:rsidRPr="004C7775" w:rsidRDefault="002F4ABA" w:rsidP="00C25AD7">
      <w:pPr>
        <w:pStyle w:val="FootnoteText"/>
        <w:rPr>
          <w:lang w:val="en-AU"/>
        </w:rPr>
      </w:pPr>
      <w:r>
        <w:rPr>
          <w:rStyle w:val="FootnoteReference"/>
        </w:rPr>
        <w:footnoteRef/>
      </w:r>
      <w:r>
        <w:t xml:space="preserve"> Pacific Regional Aid Investment Plan 2015-16 to 2018-19 available at </w:t>
      </w:r>
      <w:hyperlink r:id="rId6" w:history="1">
        <w:r w:rsidRPr="007138D3">
          <w:rPr>
            <w:rStyle w:val="Hyperlink"/>
          </w:rPr>
          <w:t>http://dfat.gov.au/about-us/publications/Pages/aid-investment-plan-aip-pacific-regional-2015-16-to-2018-19.aspx</w:t>
        </w:r>
      </w:hyperlink>
      <w:r>
        <w:t xml:space="preserve">. </w:t>
      </w:r>
    </w:p>
  </w:footnote>
  <w:footnote w:id="18">
    <w:p w:rsidR="002F4ABA" w:rsidRPr="00F50E7C" w:rsidRDefault="002F4ABA" w:rsidP="00C25AD7">
      <w:pPr>
        <w:pStyle w:val="FootnoteText"/>
        <w:rPr>
          <w:lang w:val="en-AU"/>
        </w:rPr>
      </w:pPr>
      <w:r>
        <w:rPr>
          <w:rStyle w:val="FootnoteReference"/>
        </w:rPr>
        <w:footnoteRef/>
      </w:r>
      <w:r>
        <w:t xml:space="preserve"> Pacific Women Shaping Pacific Development (2017), Review of Counselling Services, p. 9.</w:t>
      </w:r>
    </w:p>
  </w:footnote>
  <w:footnote w:id="19">
    <w:p w:rsidR="002F4ABA" w:rsidRPr="001B635C" w:rsidRDefault="002F4ABA" w:rsidP="00C25AD7">
      <w:pPr>
        <w:pStyle w:val="FootnoteText"/>
        <w:rPr>
          <w:lang w:val="en-AU"/>
        </w:rPr>
      </w:pPr>
      <w:r>
        <w:rPr>
          <w:rStyle w:val="FootnoteReference"/>
        </w:rPr>
        <w:footnoteRef/>
      </w:r>
      <w:r>
        <w:t xml:space="preserve"> </w:t>
      </w:r>
      <w:r w:rsidRPr="001B635C">
        <w:t>During 2016-17, DFAT proposed and USP agreed to move full responsibility of the Pacific Islands Legal Information Institute (PacLII) and the Pacific Islands Centre for Public Administration (PICPA) to the USP.  DFAT funding for PICPA ended in June 2017 and PacLII will conclude in June 2018.  The Pacific Ombudsman Alliance and the Pacific Public Sector Program (Transition Phase) also completed their activities in 2016-17.</w:t>
      </w:r>
    </w:p>
  </w:footnote>
  <w:footnote w:id="20">
    <w:p w:rsidR="002F4ABA" w:rsidRPr="00111F01" w:rsidRDefault="002F4ABA" w:rsidP="00C25AD7">
      <w:pPr>
        <w:pStyle w:val="FootnoteText"/>
        <w:rPr>
          <w:lang w:val="en-AU"/>
        </w:rPr>
      </w:pPr>
      <w:r>
        <w:rPr>
          <w:rStyle w:val="FootnoteReference"/>
        </w:rPr>
        <w:footnoteRef/>
      </w:r>
      <w:r>
        <w:t xml:space="preserve"> </w:t>
      </w:r>
      <w:r>
        <w:rPr>
          <w:rFonts w:ascii="Franklin Gothic Book" w:hAnsi="Franklin Gothic Book"/>
          <w:i/>
          <w:iCs/>
          <w:szCs w:val="17"/>
        </w:rPr>
        <w:t>(Source: FFA Economic and Development Indicators and Statistics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657" w:rsidRDefault="008D16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ABA" w:rsidRPr="00333501" w:rsidRDefault="002F4ABA" w:rsidP="002F4ABA">
    <w:pPr>
      <w:pStyle w:val="Header"/>
      <w:jc w:val="left"/>
    </w:pPr>
    <w:r>
      <w:rPr>
        <w:noProof/>
        <w:lang w:val="en-AU" w:eastAsia="en-AU"/>
      </w:rPr>
      <w:drawing>
        <wp:anchor distT="0" distB="0" distL="114300" distR="114300" simplePos="0" relativeHeight="251659264" behindDoc="1" locked="1" layoutInCell="1" allowOverlap="1" wp14:anchorId="6AC16CFE" wp14:editId="197F42E3">
          <wp:simplePos x="0" y="0"/>
          <wp:positionH relativeFrom="page">
            <wp:posOffset>15240</wp:posOffset>
          </wp:positionH>
          <wp:positionV relativeFrom="page">
            <wp:posOffset>55245</wp:posOffset>
          </wp:positionV>
          <wp:extent cx="7545705" cy="1070229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5705" cy="10702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657" w:rsidRDefault="008D16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ABA" w:rsidRDefault="002F4A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ABA" w:rsidRPr="00333501" w:rsidRDefault="002F4ABA" w:rsidP="002F4ABA">
    <w:pPr>
      <w:pStyle w:val="Header"/>
      <w:jc w:val="left"/>
    </w:pPr>
    <w:r>
      <w:rPr>
        <w:noProof/>
        <w:lang w:val="en-AU" w:eastAsia="en-AU"/>
      </w:rPr>
      <w:drawing>
        <wp:anchor distT="0" distB="0" distL="114300" distR="114300" simplePos="0" relativeHeight="251661312" behindDoc="1" locked="1" layoutInCell="1" allowOverlap="1" wp14:anchorId="4235C68C" wp14:editId="240EB8A9">
          <wp:simplePos x="0" y="0"/>
          <wp:positionH relativeFrom="page">
            <wp:align>left</wp:align>
          </wp:positionH>
          <wp:positionV relativeFrom="page">
            <wp:align>center</wp:align>
          </wp:positionV>
          <wp:extent cx="10662285" cy="10833735"/>
          <wp:effectExtent l="0" t="0" r="5715" b="5715"/>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1083373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60288" behindDoc="1" locked="1" layoutInCell="1" allowOverlap="1" wp14:anchorId="63CEF007" wp14:editId="14DB2512">
          <wp:simplePos x="0" y="0"/>
          <wp:positionH relativeFrom="page">
            <wp:posOffset>160020</wp:posOffset>
          </wp:positionH>
          <wp:positionV relativeFrom="page">
            <wp:posOffset>160020</wp:posOffset>
          </wp:positionV>
          <wp:extent cx="10662285" cy="7545705"/>
          <wp:effectExtent l="0" t="0" r="5715" b="0"/>
          <wp:wrapNone/>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ABA" w:rsidRPr="003D352D" w:rsidRDefault="002F4ABA" w:rsidP="002F4ABA">
    <w:pPr>
      <w:pStyle w:val="Header"/>
      <w:jc w:val="left"/>
    </w:pPr>
    <w:r>
      <w:rPr>
        <w:noProof/>
        <w:lang w:val="en-AU" w:eastAsia="en-AU"/>
      </w:rPr>
      <w:drawing>
        <wp:anchor distT="0" distB="0" distL="114300" distR="114300" simplePos="0" relativeHeight="251663360" behindDoc="1" locked="1" layoutInCell="1" allowOverlap="1" wp14:anchorId="3629E5ED" wp14:editId="00668C65">
          <wp:simplePos x="0" y="0"/>
          <wp:positionH relativeFrom="page">
            <wp:align>left</wp:align>
          </wp:positionH>
          <wp:positionV relativeFrom="page">
            <wp:posOffset>39370</wp:posOffset>
          </wp:positionV>
          <wp:extent cx="7776210" cy="10757535"/>
          <wp:effectExtent l="0" t="0" r="0" b="5715"/>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76210" cy="1075753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ABA" w:rsidRPr="00333501" w:rsidRDefault="002F4ABA" w:rsidP="002F4ABA">
    <w:pPr>
      <w:pStyle w:val="Header"/>
      <w:jc w:val="left"/>
    </w:pPr>
    <w:r>
      <w:rPr>
        <w:noProof/>
        <w:lang w:val="en-AU" w:eastAsia="en-AU"/>
      </w:rPr>
      <w:drawing>
        <wp:anchor distT="0" distB="0" distL="114300" distR="114300" simplePos="0" relativeHeight="251662336" behindDoc="1" locked="1" layoutInCell="1" allowOverlap="1" wp14:anchorId="1786EDDC" wp14:editId="2E5FBD22">
          <wp:simplePos x="0" y="0"/>
          <wp:positionH relativeFrom="page">
            <wp:align>right</wp:align>
          </wp:positionH>
          <wp:positionV relativeFrom="margin">
            <wp:align>center</wp:align>
          </wp:positionV>
          <wp:extent cx="10662285" cy="7545705"/>
          <wp:effectExtent l="0" t="0" r="5715" b="0"/>
          <wp:wrapNone/>
          <wp:docPr id="25"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1B17"/>
    <w:multiLevelType w:val="hybridMultilevel"/>
    <w:tmpl w:val="08528D0C"/>
    <w:lvl w:ilvl="0" w:tplc="0C090001">
      <w:start w:val="1"/>
      <w:numFmt w:val="bullet"/>
      <w:lvlText w:val=""/>
      <w:lvlJc w:val="left"/>
      <w:pPr>
        <w:ind w:left="360" w:hanging="360"/>
      </w:pPr>
      <w:rPr>
        <w:rFonts w:ascii="Symbol" w:hAnsi="Symbol" w:hint="default"/>
      </w:rPr>
    </w:lvl>
    <w:lvl w:ilvl="1" w:tplc="0C9ADF3E">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2E54A1"/>
    <w:multiLevelType w:val="hybridMultilevel"/>
    <w:tmpl w:val="9F7493EA"/>
    <w:lvl w:ilvl="0" w:tplc="E2940CDC">
      <w:start w:val="1"/>
      <w:numFmt w:val="upperLetter"/>
      <w:lvlText w:val="%1)"/>
      <w:lvlJc w:val="left"/>
      <w:pPr>
        <w:ind w:left="720" w:hanging="360"/>
      </w:pPr>
      <w:rPr>
        <w:rFonts w:cstheme="minorBidi" w:hint="default"/>
        <w:color w:val="44546A" w:themeColor="text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81437C"/>
    <w:multiLevelType w:val="hybridMultilevel"/>
    <w:tmpl w:val="5AD89E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0A951DF"/>
    <w:multiLevelType w:val="hybridMultilevel"/>
    <w:tmpl w:val="44FABF3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1759688C"/>
    <w:multiLevelType w:val="hybridMultilevel"/>
    <w:tmpl w:val="29E241CE"/>
    <w:lvl w:ilvl="0" w:tplc="0C090001">
      <w:start w:val="1"/>
      <w:numFmt w:val="bullet"/>
      <w:lvlText w:val=""/>
      <w:lvlJc w:val="left"/>
      <w:pPr>
        <w:ind w:left="502" w:hanging="360"/>
      </w:pPr>
      <w:rPr>
        <w:rFonts w:ascii="Symbol" w:hAnsi="Symbol"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C594B6A"/>
    <w:multiLevelType w:val="hybridMultilevel"/>
    <w:tmpl w:val="C5388370"/>
    <w:lvl w:ilvl="0" w:tplc="0C090001">
      <w:start w:val="1"/>
      <w:numFmt w:val="bullet"/>
      <w:lvlText w:val=""/>
      <w:lvlJc w:val="left"/>
      <w:pPr>
        <w:ind w:left="360" w:hanging="360"/>
      </w:pPr>
      <w:rPr>
        <w:rFonts w:ascii="Symbol" w:hAnsi="Symbol" w:hint="default"/>
      </w:rPr>
    </w:lvl>
    <w:lvl w:ilvl="1" w:tplc="805009BC">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88F2EE0"/>
    <w:multiLevelType w:val="hybridMultilevel"/>
    <w:tmpl w:val="CDC8E9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9D21C3A"/>
    <w:multiLevelType w:val="hybridMultilevel"/>
    <w:tmpl w:val="19D0C9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37480CA6"/>
    <w:multiLevelType w:val="hybridMultilevel"/>
    <w:tmpl w:val="CF688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B4204F"/>
    <w:multiLevelType w:val="hybridMultilevel"/>
    <w:tmpl w:val="4D3A1F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9C0A4A"/>
    <w:multiLevelType w:val="hybridMultilevel"/>
    <w:tmpl w:val="B15210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0746CCD"/>
    <w:multiLevelType w:val="hybridMultilevel"/>
    <w:tmpl w:val="70029B34"/>
    <w:lvl w:ilvl="0" w:tplc="0C090001">
      <w:start w:val="1"/>
      <w:numFmt w:val="bullet"/>
      <w:lvlText w:val=""/>
      <w:lvlJc w:val="left"/>
      <w:pPr>
        <w:ind w:left="360" w:hanging="360"/>
      </w:pPr>
      <w:rPr>
        <w:rFonts w:ascii="Symbol" w:hAnsi="Symbol" w:hint="default"/>
      </w:rPr>
    </w:lvl>
    <w:lvl w:ilvl="1" w:tplc="805009BC">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32B1799"/>
    <w:multiLevelType w:val="hybridMultilevel"/>
    <w:tmpl w:val="89E6AAC0"/>
    <w:lvl w:ilvl="0" w:tplc="805009BC">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6"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C73E04"/>
    <w:multiLevelType w:val="multilevel"/>
    <w:tmpl w:val="2EBC4582"/>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5"/>
        </w:tabs>
        <w:ind w:left="1135"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8" w15:restartNumberingAfterBreak="0">
    <w:nsid w:val="4D587739"/>
    <w:multiLevelType w:val="hybridMultilevel"/>
    <w:tmpl w:val="3B301B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E276AE2"/>
    <w:multiLevelType w:val="hybridMultilevel"/>
    <w:tmpl w:val="66EAB1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B122B6"/>
    <w:multiLevelType w:val="hybridMultilevel"/>
    <w:tmpl w:val="B1A6B7A0"/>
    <w:lvl w:ilvl="0" w:tplc="0C090001">
      <w:start w:val="1"/>
      <w:numFmt w:val="bullet"/>
      <w:lvlText w:val=""/>
      <w:lvlJc w:val="left"/>
      <w:pPr>
        <w:ind w:left="218" w:hanging="360"/>
      </w:pPr>
      <w:rPr>
        <w:rFonts w:ascii="Symbol" w:hAnsi="Symbol" w:hint="default"/>
      </w:rPr>
    </w:lvl>
    <w:lvl w:ilvl="1" w:tplc="0C090003">
      <w:start w:val="1"/>
      <w:numFmt w:val="bullet"/>
      <w:lvlText w:val="o"/>
      <w:lvlJc w:val="left"/>
      <w:pPr>
        <w:ind w:left="938" w:hanging="360"/>
      </w:pPr>
      <w:rPr>
        <w:rFonts w:ascii="Courier New" w:hAnsi="Courier New" w:cs="Times New Roman" w:hint="default"/>
      </w:rPr>
    </w:lvl>
    <w:lvl w:ilvl="2" w:tplc="0C090005">
      <w:start w:val="1"/>
      <w:numFmt w:val="bullet"/>
      <w:lvlText w:val=""/>
      <w:lvlJc w:val="left"/>
      <w:pPr>
        <w:ind w:left="1658" w:hanging="360"/>
      </w:pPr>
      <w:rPr>
        <w:rFonts w:ascii="Wingdings" w:hAnsi="Wingdings" w:hint="default"/>
      </w:rPr>
    </w:lvl>
    <w:lvl w:ilvl="3" w:tplc="0C090001">
      <w:start w:val="1"/>
      <w:numFmt w:val="bullet"/>
      <w:lvlText w:val=""/>
      <w:lvlJc w:val="left"/>
      <w:pPr>
        <w:ind w:left="2378" w:hanging="360"/>
      </w:pPr>
      <w:rPr>
        <w:rFonts w:ascii="Symbol" w:hAnsi="Symbol" w:hint="default"/>
      </w:rPr>
    </w:lvl>
    <w:lvl w:ilvl="4" w:tplc="0C090003">
      <w:start w:val="1"/>
      <w:numFmt w:val="bullet"/>
      <w:lvlText w:val="o"/>
      <w:lvlJc w:val="left"/>
      <w:pPr>
        <w:ind w:left="3098" w:hanging="360"/>
      </w:pPr>
      <w:rPr>
        <w:rFonts w:ascii="Courier New" w:hAnsi="Courier New" w:cs="Times New Roman" w:hint="default"/>
      </w:rPr>
    </w:lvl>
    <w:lvl w:ilvl="5" w:tplc="0C090005">
      <w:start w:val="1"/>
      <w:numFmt w:val="bullet"/>
      <w:lvlText w:val=""/>
      <w:lvlJc w:val="left"/>
      <w:pPr>
        <w:ind w:left="3818" w:hanging="360"/>
      </w:pPr>
      <w:rPr>
        <w:rFonts w:ascii="Wingdings" w:hAnsi="Wingdings" w:hint="default"/>
      </w:rPr>
    </w:lvl>
    <w:lvl w:ilvl="6" w:tplc="0C090001">
      <w:start w:val="1"/>
      <w:numFmt w:val="bullet"/>
      <w:lvlText w:val=""/>
      <w:lvlJc w:val="left"/>
      <w:pPr>
        <w:ind w:left="4538" w:hanging="360"/>
      </w:pPr>
      <w:rPr>
        <w:rFonts w:ascii="Symbol" w:hAnsi="Symbol" w:hint="default"/>
      </w:rPr>
    </w:lvl>
    <w:lvl w:ilvl="7" w:tplc="0C090003">
      <w:start w:val="1"/>
      <w:numFmt w:val="bullet"/>
      <w:lvlText w:val="o"/>
      <w:lvlJc w:val="left"/>
      <w:pPr>
        <w:ind w:left="5258" w:hanging="360"/>
      </w:pPr>
      <w:rPr>
        <w:rFonts w:ascii="Courier New" w:hAnsi="Courier New" w:cs="Times New Roman" w:hint="default"/>
      </w:rPr>
    </w:lvl>
    <w:lvl w:ilvl="8" w:tplc="0C090005">
      <w:start w:val="1"/>
      <w:numFmt w:val="bullet"/>
      <w:lvlText w:val=""/>
      <w:lvlJc w:val="left"/>
      <w:pPr>
        <w:ind w:left="5978" w:hanging="360"/>
      </w:pPr>
      <w:rPr>
        <w:rFonts w:ascii="Wingdings" w:hAnsi="Wingdings" w:hint="default"/>
      </w:rPr>
    </w:lvl>
  </w:abstractNum>
  <w:abstractNum w:abstractNumId="2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5D3C1EA7"/>
    <w:multiLevelType w:val="multilevel"/>
    <w:tmpl w:val="43428892"/>
    <w:numStyleLink w:val="BulletsList"/>
  </w:abstractNum>
  <w:abstractNum w:abstractNumId="23"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63F457E2"/>
    <w:multiLevelType w:val="hybridMultilevel"/>
    <w:tmpl w:val="8B20C4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1F4545"/>
    <w:multiLevelType w:val="hybridMultilevel"/>
    <w:tmpl w:val="D0108766"/>
    <w:lvl w:ilvl="0" w:tplc="0C090001">
      <w:start w:val="1"/>
      <w:numFmt w:val="bullet"/>
      <w:lvlText w:val=""/>
      <w:lvlJc w:val="left"/>
      <w:pPr>
        <w:ind w:left="502" w:hanging="360"/>
      </w:pPr>
      <w:rPr>
        <w:rFonts w:ascii="Symbol" w:hAnsi="Symbol" w:hint="default"/>
      </w:rPr>
    </w:lvl>
    <w:lvl w:ilvl="1" w:tplc="0C9ADF3E">
      <w:start w:val="1"/>
      <w:numFmt w:val="bullet"/>
      <w:lvlText w:val="­"/>
      <w:lvlJc w:val="left"/>
      <w:pPr>
        <w:ind w:left="1222" w:hanging="360"/>
      </w:pPr>
      <w:rPr>
        <w:rFonts w:ascii="Courier New" w:hAnsi="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6" w15:restartNumberingAfterBreak="0">
    <w:nsid w:val="6F596690"/>
    <w:multiLevelType w:val="hybridMultilevel"/>
    <w:tmpl w:val="E8B4D204"/>
    <w:lvl w:ilvl="0" w:tplc="0C090001">
      <w:start w:val="1"/>
      <w:numFmt w:val="bullet"/>
      <w:lvlText w:val=""/>
      <w:lvlJc w:val="left"/>
      <w:pPr>
        <w:ind w:left="502" w:hanging="360"/>
      </w:pPr>
      <w:rPr>
        <w:rFonts w:ascii="Symbol" w:hAnsi="Symbol" w:hint="default"/>
      </w:rPr>
    </w:lvl>
    <w:lvl w:ilvl="1" w:tplc="0C9ADF3E">
      <w:start w:val="1"/>
      <w:numFmt w:val="bullet"/>
      <w:lvlText w:val="­"/>
      <w:lvlJc w:val="left"/>
      <w:pPr>
        <w:ind w:left="1222" w:hanging="360"/>
      </w:pPr>
      <w:rPr>
        <w:rFonts w:ascii="Courier New" w:hAnsi="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7" w15:restartNumberingAfterBreak="0">
    <w:nsid w:val="6FCF1591"/>
    <w:multiLevelType w:val="hybridMultilevel"/>
    <w:tmpl w:val="1CF65680"/>
    <w:lvl w:ilvl="0" w:tplc="0C090001">
      <w:start w:val="1"/>
      <w:numFmt w:val="bullet"/>
      <w:lvlText w:val=""/>
      <w:lvlJc w:val="left"/>
      <w:pPr>
        <w:ind w:left="502" w:hanging="360"/>
      </w:pPr>
      <w:rPr>
        <w:rFonts w:ascii="Symbol" w:hAnsi="Symbol" w:hint="default"/>
      </w:rPr>
    </w:lvl>
    <w:lvl w:ilvl="1" w:tplc="0C9ADF3E">
      <w:start w:val="1"/>
      <w:numFmt w:val="bullet"/>
      <w:lvlText w:val="­"/>
      <w:lvlJc w:val="left"/>
      <w:pPr>
        <w:ind w:left="1222" w:hanging="360"/>
      </w:pPr>
      <w:rPr>
        <w:rFonts w:ascii="Courier New" w:hAnsi="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8" w15:restartNumberingAfterBreak="0">
    <w:nsid w:val="700540A0"/>
    <w:multiLevelType w:val="hybridMultilevel"/>
    <w:tmpl w:val="01740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0" w15:restartNumberingAfterBreak="0">
    <w:nsid w:val="761D1494"/>
    <w:multiLevelType w:val="hybridMultilevel"/>
    <w:tmpl w:val="6D467F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78022B50"/>
    <w:multiLevelType w:val="hybridMultilevel"/>
    <w:tmpl w:val="AC3CFD8C"/>
    <w:lvl w:ilvl="0" w:tplc="0C090001">
      <w:start w:val="1"/>
      <w:numFmt w:val="bullet"/>
      <w:lvlText w:val=""/>
      <w:lvlJc w:val="left"/>
      <w:pPr>
        <w:ind w:left="360" w:hanging="360"/>
      </w:pPr>
      <w:rPr>
        <w:rFonts w:ascii="Symbol" w:hAnsi="Symbol" w:hint="default"/>
      </w:rPr>
    </w:lvl>
    <w:lvl w:ilvl="1" w:tplc="805009BC">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C1450A9"/>
    <w:multiLevelType w:val="hybridMultilevel"/>
    <w:tmpl w:val="54FC97E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9"/>
  </w:num>
  <w:num w:numId="2">
    <w:abstractNumId w:val="3"/>
  </w:num>
  <w:num w:numId="3">
    <w:abstractNumId w:val="10"/>
  </w:num>
  <w:num w:numId="4">
    <w:abstractNumId w:val="21"/>
  </w:num>
  <w:num w:numId="5">
    <w:abstractNumId w:val="23"/>
  </w:num>
  <w:num w:numId="6">
    <w:abstractNumId w:val="22"/>
  </w:num>
  <w:num w:numId="7">
    <w:abstractNumId w:val="16"/>
  </w:num>
  <w:num w:numId="8">
    <w:abstractNumId w:val="6"/>
  </w:num>
  <w:num w:numId="9">
    <w:abstractNumId w:val="20"/>
  </w:num>
  <w:num w:numId="10">
    <w:abstractNumId w:val="18"/>
  </w:num>
  <w:num w:numId="11">
    <w:abstractNumId w:val="9"/>
  </w:num>
  <w:num w:numId="12">
    <w:abstractNumId w:val="5"/>
  </w:num>
  <w:num w:numId="13">
    <w:abstractNumId w:val="25"/>
  </w:num>
  <w:num w:numId="14">
    <w:abstractNumId w:val="27"/>
  </w:num>
  <w:num w:numId="15">
    <w:abstractNumId w:val="24"/>
  </w:num>
  <w:num w:numId="16">
    <w:abstractNumId w:val="31"/>
  </w:num>
  <w:num w:numId="17">
    <w:abstractNumId w:val="8"/>
  </w:num>
  <w:num w:numId="18">
    <w:abstractNumId w:val="26"/>
  </w:num>
  <w:num w:numId="19">
    <w:abstractNumId w:val="13"/>
  </w:num>
  <w:num w:numId="20">
    <w:abstractNumId w:val="1"/>
  </w:num>
  <w:num w:numId="21">
    <w:abstractNumId w:val="7"/>
  </w:num>
  <w:num w:numId="22">
    <w:abstractNumId w:val="14"/>
  </w:num>
  <w:num w:numId="23">
    <w:abstractNumId w:val="15"/>
  </w:num>
  <w:num w:numId="24">
    <w:abstractNumId w:val="12"/>
  </w:num>
  <w:num w:numId="25">
    <w:abstractNumId w:val="19"/>
  </w:num>
  <w:num w:numId="26">
    <w:abstractNumId w:val="32"/>
  </w:num>
  <w:num w:numId="27">
    <w:abstractNumId w:val="0"/>
  </w:num>
  <w:num w:numId="28">
    <w:abstractNumId w:val="11"/>
  </w:num>
  <w:num w:numId="29">
    <w:abstractNumId w:val="28"/>
  </w:num>
  <w:num w:numId="30">
    <w:abstractNumId w:val="2"/>
  </w:num>
  <w:num w:numId="31">
    <w:abstractNumId w:val="17"/>
  </w:num>
  <w:num w:numId="32">
    <w:abstractNumId w:val="4"/>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AD7"/>
    <w:rsid w:val="00004541"/>
    <w:rsid w:val="000054C7"/>
    <w:rsid w:val="00016E04"/>
    <w:rsid w:val="00020237"/>
    <w:rsid w:val="0002045B"/>
    <w:rsid w:val="0002480A"/>
    <w:rsid w:val="00033C06"/>
    <w:rsid w:val="000423DB"/>
    <w:rsid w:val="000436A6"/>
    <w:rsid w:val="00046F8D"/>
    <w:rsid w:val="00047CFE"/>
    <w:rsid w:val="00054FFE"/>
    <w:rsid w:val="00057D0B"/>
    <w:rsid w:val="000743C2"/>
    <w:rsid w:val="000801E2"/>
    <w:rsid w:val="00085328"/>
    <w:rsid w:val="00095463"/>
    <w:rsid w:val="000B13B2"/>
    <w:rsid w:val="000C702E"/>
    <w:rsid w:val="000D2314"/>
    <w:rsid w:val="000D6D8F"/>
    <w:rsid w:val="000D74D7"/>
    <w:rsid w:val="000E1532"/>
    <w:rsid w:val="000E37FC"/>
    <w:rsid w:val="000E4F18"/>
    <w:rsid w:val="000E57B0"/>
    <w:rsid w:val="000F26AA"/>
    <w:rsid w:val="000F5FCD"/>
    <w:rsid w:val="000F78FB"/>
    <w:rsid w:val="00103AED"/>
    <w:rsid w:val="00103BEF"/>
    <w:rsid w:val="001126FC"/>
    <w:rsid w:val="001171F3"/>
    <w:rsid w:val="00120A1D"/>
    <w:rsid w:val="001212FE"/>
    <w:rsid w:val="00122217"/>
    <w:rsid w:val="00124309"/>
    <w:rsid w:val="00125C00"/>
    <w:rsid w:val="00127683"/>
    <w:rsid w:val="001279D9"/>
    <w:rsid w:val="00132E36"/>
    <w:rsid w:val="00133D24"/>
    <w:rsid w:val="0014340A"/>
    <w:rsid w:val="00163C97"/>
    <w:rsid w:val="00163CA3"/>
    <w:rsid w:val="001648F3"/>
    <w:rsid w:val="00166FEE"/>
    <w:rsid w:val="001777D5"/>
    <w:rsid w:val="00183787"/>
    <w:rsid w:val="001A2811"/>
    <w:rsid w:val="001B56F0"/>
    <w:rsid w:val="001B5E85"/>
    <w:rsid w:val="001B656E"/>
    <w:rsid w:val="001C2315"/>
    <w:rsid w:val="001C7816"/>
    <w:rsid w:val="001D275E"/>
    <w:rsid w:val="001D4324"/>
    <w:rsid w:val="001E35F9"/>
    <w:rsid w:val="001E4FA4"/>
    <w:rsid w:val="001E5EA7"/>
    <w:rsid w:val="001E7117"/>
    <w:rsid w:val="001F4251"/>
    <w:rsid w:val="00200906"/>
    <w:rsid w:val="002020E4"/>
    <w:rsid w:val="0020212D"/>
    <w:rsid w:val="00203194"/>
    <w:rsid w:val="00207E23"/>
    <w:rsid w:val="00217DA6"/>
    <w:rsid w:val="00220375"/>
    <w:rsid w:val="00227105"/>
    <w:rsid w:val="00230F8A"/>
    <w:rsid w:val="002404E5"/>
    <w:rsid w:val="00244E46"/>
    <w:rsid w:val="00245D9C"/>
    <w:rsid w:val="00246727"/>
    <w:rsid w:val="00252B7E"/>
    <w:rsid w:val="00254400"/>
    <w:rsid w:val="002547F2"/>
    <w:rsid w:val="00254957"/>
    <w:rsid w:val="00271BD4"/>
    <w:rsid w:val="00272FF4"/>
    <w:rsid w:val="002746A2"/>
    <w:rsid w:val="002778EB"/>
    <w:rsid w:val="00286E13"/>
    <w:rsid w:val="00290124"/>
    <w:rsid w:val="002904BC"/>
    <w:rsid w:val="002963EA"/>
    <w:rsid w:val="002B044E"/>
    <w:rsid w:val="002C1E88"/>
    <w:rsid w:val="002C1F5D"/>
    <w:rsid w:val="002D67DE"/>
    <w:rsid w:val="002E1282"/>
    <w:rsid w:val="002E1DB1"/>
    <w:rsid w:val="002E33E5"/>
    <w:rsid w:val="002E5A93"/>
    <w:rsid w:val="002E747F"/>
    <w:rsid w:val="002F1555"/>
    <w:rsid w:val="002F4ABA"/>
    <w:rsid w:val="002F556D"/>
    <w:rsid w:val="002F663B"/>
    <w:rsid w:val="002F7D23"/>
    <w:rsid w:val="00301FAC"/>
    <w:rsid w:val="00307FA0"/>
    <w:rsid w:val="00310A7D"/>
    <w:rsid w:val="00323028"/>
    <w:rsid w:val="0032343B"/>
    <w:rsid w:val="00326D30"/>
    <w:rsid w:val="00332FDA"/>
    <w:rsid w:val="00335999"/>
    <w:rsid w:val="00336BCC"/>
    <w:rsid w:val="00347238"/>
    <w:rsid w:val="003501E7"/>
    <w:rsid w:val="003523CF"/>
    <w:rsid w:val="00353E8D"/>
    <w:rsid w:val="00355F87"/>
    <w:rsid w:val="0036137B"/>
    <w:rsid w:val="00362544"/>
    <w:rsid w:val="00364025"/>
    <w:rsid w:val="00367260"/>
    <w:rsid w:val="00376703"/>
    <w:rsid w:val="00376D78"/>
    <w:rsid w:val="0038183B"/>
    <w:rsid w:val="0038418A"/>
    <w:rsid w:val="00385256"/>
    <w:rsid w:val="00392D8C"/>
    <w:rsid w:val="003A00DB"/>
    <w:rsid w:val="003A1E2D"/>
    <w:rsid w:val="003B3C87"/>
    <w:rsid w:val="003B662E"/>
    <w:rsid w:val="003C08D3"/>
    <w:rsid w:val="003C5504"/>
    <w:rsid w:val="003C5AF0"/>
    <w:rsid w:val="003D41DC"/>
    <w:rsid w:val="003D5941"/>
    <w:rsid w:val="003E30EE"/>
    <w:rsid w:val="003E3614"/>
    <w:rsid w:val="00417605"/>
    <w:rsid w:val="004216F8"/>
    <w:rsid w:val="00431637"/>
    <w:rsid w:val="00433482"/>
    <w:rsid w:val="00440FCF"/>
    <w:rsid w:val="0044134C"/>
    <w:rsid w:val="004425E2"/>
    <w:rsid w:val="00443821"/>
    <w:rsid w:val="00443B8E"/>
    <w:rsid w:val="00451986"/>
    <w:rsid w:val="00454FA9"/>
    <w:rsid w:val="00455CD9"/>
    <w:rsid w:val="00456CE6"/>
    <w:rsid w:val="0046629A"/>
    <w:rsid w:val="00475A0F"/>
    <w:rsid w:val="004810F8"/>
    <w:rsid w:val="004821BC"/>
    <w:rsid w:val="00483A26"/>
    <w:rsid w:val="00483F9B"/>
    <w:rsid w:val="00486169"/>
    <w:rsid w:val="00486CEA"/>
    <w:rsid w:val="00486EC6"/>
    <w:rsid w:val="00490A75"/>
    <w:rsid w:val="004915FF"/>
    <w:rsid w:val="00495641"/>
    <w:rsid w:val="004A2FD3"/>
    <w:rsid w:val="004A6E73"/>
    <w:rsid w:val="004B4FA8"/>
    <w:rsid w:val="004C4584"/>
    <w:rsid w:val="004C4E80"/>
    <w:rsid w:val="004C5530"/>
    <w:rsid w:val="004C7C44"/>
    <w:rsid w:val="004D52CF"/>
    <w:rsid w:val="004D7218"/>
    <w:rsid w:val="004D7A93"/>
    <w:rsid w:val="004E3597"/>
    <w:rsid w:val="004E5240"/>
    <w:rsid w:val="004F03BF"/>
    <w:rsid w:val="004F1290"/>
    <w:rsid w:val="004F320B"/>
    <w:rsid w:val="004F640A"/>
    <w:rsid w:val="005052AC"/>
    <w:rsid w:val="005057E0"/>
    <w:rsid w:val="00511BDE"/>
    <w:rsid w:val="00524FA7"/>
    <w:rsid w:val="005255DC"/>
    <w:rsid w:val="00532F97"/>
    <w:rsid w:val="00541B43"/>
    <w:rsid w:val="00542D2E"/>
    <w:rsid w:val="005441B7"/>
    <w:rsid w:val="00547B3D"/>
    <w:rsid w:val="005513A8"/>
    <w:rsid w:val="00554A26"/>
    <w:rsid w:val="005625C3"/>
    <w:rsid w:val="0056586F"/>
    <w:rsid w:val="0057516D"/>
    <w:rsid w:val="00576CD5"/>
    <w:rsid w:val="005812C1"/>
    <w:rsid w:val="00583D7A"/>
    <w:rsid w:val="00597E06"/>
    <w:rsid w:val="005A16C0"/>
    <w:rsid w:val="005A4D1A"/>
    <w:rsid w:val="005B4CEA"/>
    <w:rsid w:val="005B7927"/>
    <w:rsid w:val="005C0260"/>
    <w:rsid w:val="005C20B6"/>
    <w:rsid w:val="005C27A7"/>
    <w:rsid w:val="005C5AC7"/>
    <w:rsid w:val="005D242D"/>
    <w:rsid w:val="005D2AD4"/>
    <w:rsid w:val="005D3BC8"/>
    <w:rsid w:val="005D50FB"/>
    <w:rsid w:val="005D5C03"/>
    <w:rsid w:val="005E5B30"/>
    <w:rsid w:val="005E6FFE"/>
    <w:rsid w:val="00601395"/>
    <w:rsid w:val="0060687A"/>
    <w:rsid w:val="0061093C"/>
    <w:rsid w:val="00610BE5"/>
    <w:rsid w:val="00615057"/>
    <w:rsid w:val="00617125"/>
    <w:rsid w:val="00631ADF"/>
    <w:rsid w:val="0063480A"/>
    <w:rsid w:val="006349AF"/>
    <w:rsid w:val="00640504"/>
    <w:rsid w:val="00640FA1"/>
    <w:rsid w:val="006418C4"/>
    <w:rsid w:val="006421BB"/>
    <w:rsid w:val="0064313B"/>
    <w:rsid w:val="0064372B"/>
    <w:rsid w:val="00646D87"/>
    <w:rsid w:val="00650050"/>
    <w:rsid w:val="00653BFC"/>
    <w:rsid w:val="00656CB9"/>
    <w:rsid w:val="00660444"/>
    <w:rsid w:val="006638D8"/>
    <w:rsid w:val="0066410A"/>
    <w:rsid w:val="006669DE"/>
    <w:rsid w:val="00671612"/>
    <w:rsid w:val="00672DA9"/>
    <w:rsid w:val="00673B95"/>
    <w:rsid w:val="00675CEE"/>
    <w:rsid w:val="006829AB"/>
    <w:rsid w:val="0068561F"/>
    <w:rsid w:val="006965F1"/>
    <w:rsid w:val="006A4FB4"/>
    <w:rsid w:val="006A676A"/>
    <w:rsid w:val="006A6820"/>
    <w:rsid w:val="006B3DFC"/>
    <w:rsid w:val="006D0EE0"/>
    <w:rsid w:val="006D35D9"/>
    <w:rsid w:val="006D3925"/>
    <w:rsid w:val="006D538B"/>
    <w:rsid w:val="006D65DD"/>
    <w:rsid w:val="006D73B1"/>
    <w:rsid w:val="006E23B4"/>
    <w:rsid w:val="006E58E1"/>
    <w:rsid w:val="006E6541"/>
    <w:rsid w:val="006F4F4F"/>
    <w:rsid w:val="00702665"/>
    <w:rsid w:val="007042C6"/>
    <w:rsid w:val="00707B7F"/>
    <w:rsid w:val="00715BD0"/>
    <w:rsid w:val="007221EB"/>
    <w:rsid w:val="0072538A"/>
    <w:rsid w:val="00727232"/>
    <w:rsid w:val="00730C60"/>
    <w:rsid w:val="00730D5A"/>
    <w:rsid w:val="00736708"/>
    <w:rsid w:val="00743EDD"/>
    <w:rsid w:val="00745AAF"/>
    <w:rsid w:val="00746575"/>
    <w:rsid w:val="0074751F"/>
    <w:rsid w:val="00752431"/>
    <w:rsid w:val="00754A48"/>
    <w:rsid w:val="0076015B"/>
    <w:rsid w:val="007762BC"/>
    <w:rsid w:val="007802FD"/>
    <w:rsid w:val="00781136"/>
    <w:rsid w:val="007838D4"/>
    <w:rsid w:val="00784C24"/>
    <w:rsid w:val="0078515A"/>
    <w:rsid w:val="0079714C"/>
    <w:rsid w:val="007A040B"/>
    <w:rsid w:val="007A0FDA"/>
    <w:rsid w:val="007A6C11"/>
    <w:rsid w:val="007B4B10"/>
    <w:rsid w:val="007C1F1C"/>
    <w:rsid w:val="007C2DB1"/>
    <w:rsid w:val="007C34B4"/>
    <w:rsid w:val="007C4918"/>
    <w:rsid w:val="007C5373"/>
    <w:rsid w:val="007C5610"/>
    <w:rsid w:val="007C5867"/>
    <w:rsid w:val="007C601C"/>
    <w:rsid w:val="007D47DA"/>
    <w:rsid w:val="007D5CCC"/>
    <w:rsid w:val="007D750D"/>
    <w:rsid w:val="007D7F49"/>
    <w:rsid w:val="007E0873"/>
    <w:rsid w:val="007E127F"/>
    <w:rsid w:val="007F316D"/>
    <w:rsid w:val="007F4ED3"/>
    <w:rsid w:val="007F5459"/>
    <w:rsid w:val="00802C0F"/>
    <w:rsid w:val="0082316C"/>
    <w:rsid w:val="008256F6"/>
    <w:rsid w:val="00830AA4"/>
    <w:rsid w:val="00841144"/>
    <w:rsid w:val="0084389F"/>
    <w:rsid w:val="00846143"/>
    <w:rsid w:val="00855F2E"/>
    <w:rsid w:val="00856271"/>
    <w:rsid w:val="00863F61"/>
    <w:rsid w:val="00866C1F"/>
    <w:rsid w:val="00874A49"/>
    <w:rsid w:val="00877508"/>
    <w:rsid w:val="00885DD9"/>
    <w:rsid w:val="00894226"/>
    <w:rsid w:val="00896207"/>
    <w:rsid w:val="00896BBD"/>
    <w:rsid w:val="008B1485"/>
    <w:rsid w:val="008B5911"/>
    <w:rsid w:val="008C087C"/>
    <w:rsid w:val="008C179A"/>
    <w:rsid w:val="008D002E"/>
    <w:rsid w:val="008D1657"/>
    <w:rsid w:val="008E1EA7"/>
    <w:rsid w:val="008F649B"/>
    <w:rsid w:val="00900D03"/>
    <w:rsid w:val="009011CD"/>
    <w:rsid w:val="00905C5D"/>
    <w:rsid w:val="00910A2B"/>
    <w:rsid w:val="00913F78"/>
    <w:rsid w:val="00916ED9"/>
    <w:rsid w:val="00921976"/>
    <w:rsid w:val="00946D31"/>
    <w:rsid w:val="00953F5C"/>
    <w:rsid w:val="009572E1"/>
    <w:rsid w:val="00962D84"/>
    <w:rsid w:val="009667E8"/>
    <w:rsid w:val="00971FD9"/>
    <w:rsid w:val="00981840"/>
    <w:rsid w:val="00994C03"/>
    <w:rsid w:val="009A0D60"/>
    <w:rsid w:val="009A233E"/>
    <w:rsid w:val="009A48CB"/>
    <w:rsid w:val="009A6DC0"/>
    <w:rsid w:val="009C191A"/>
    <w:rsid w:val="009D1752"/>
    <w:rsid w:val="009D6F53"/>
    <w:rsid w:val="009E480A"/>
    <w:rsid w:val="009F123C"/>
    <w:rsid w:val="009F5BA4"/>
    <w:rsid w:val="009F75AC"/>
    <w:rsid w:val="00A00972"/>
    <w:rsid w:val="00A04115"/>
    <w:rsid w:val="00A10D13"/>
    <w:rsid w:val="00A23C04"/>
    <w:rsid w:val="00A2674A"/>
    <w:rsid w:val="00A3427F"/>
    <w:rsid w:val="00A34CA7"/>
    <w:rsid w:val="00A46A01"/>
    <w:rsid w:val="00A4759E"/>
    <w:rsid w:val="00A50C04"/>
    <w:rsid w:val="00A53498"/>
    <w:rsid w:val="00A54EC0"/>
    <w:rsid w:val="00A60B65"/>
    <w:rsid w:val="00A62652"/>
    <w:rsid w:val="00A7322C"/>
    <w:rsid w:val="00A76BBA"/>
    <w:rsid w:val="00A81B8C"/>
    <w:rsid w:val="00A9090D"/>
    <w:rsid w:val="00A93F3C"/>
    <w:rsid w:val="00A96AAA"/>
    <w:rsid w:val="00AA28E0"/>
    <w:rsid w:val="00AA35C6"/>
    <w:rsid w:val="00AA73AC"/>
    <w:rsid w:val="00AB46BD"/>
    <w:rsid w:val="00AC2ACB"/>
    <w:rsid w:val="00AC352E"/>
    <w:rsid w:val="00AC7B03"/>
    <w:rsid w:val="00AD09B5"/>
    <w:rsid w:val="00AD1CAE"/>
    <w:rsid w:val="00AE31D4"/>
    <w:rsid w:val="00AF058E"/>
    <w:rsid w:val="00AF3044"/>
    <w:rsid w:val="00AF3456"/>
    <w:rsid w:val="00AF619D"/>
    <w:rsid w:val="00B00E52"/>
    <w:rsid w:val="00B11219"/>
    <w:rsid w:val="00B11837"/>
    <w:rsid w:val="00B16126"/>
    <w:rsid w:val="00B178F5"/>
    <w:rsid w:val="00B204D1"/>
    <w:rsid w:val="00B22075"/>
    <w:rsid w:val="00B24DE9"/>
    <w:rsid w:val="00B317B2"/>
    <w:rsid w:val="00B34E56"/>
    <w:rsid w:val="00B350C4"/>
    <w:rsid w:val="00B36E6C"/>
    <w:rsid w:val="00B402A9"/>
    <w:rsid w:val="00B40722"/>
    <w:rsid w:val="00B541DF"/>
    <w:rsid w:val="00B5680C"/>
    <w:rsid w:val="00B57715"/>
    <w:rsid w:val="00B6135C"/>
    <w:rsid w:val="00B61DFC"/>
    <w:rsid w:val="00B6258B"/>
    <w:rsid w:val="00B66D8C"/>
    <w:rsid w:val="00B71870"/>
    <w:rsid w:val="00B7289F"/>
    <w:rsid w:val="00B805A9"/>
    <w:rsid w:val="00B815F1"/>
    <w:rsid w:val="00B937A9"/>
    <w:rsid w:val="00BA1939"/>
    <w:rsid w:val="00BA5656"/>
    <w:rsid w:val="00BA5C4A"/>
    <w:rsid w:val="00BB012F"/>
    <w:rsid w:val="00BB15D9"/>
    <w:rsid w:val="00BB26A7"/>
    <w:rsid w:val="00BB66CD"/>
    <w:rsid w:val="00BC2285"/>
    <w:rsid w:val="00BC3356"/>
    <w:rsid w:val="00BC4FE9"/>
    <w:rsid w:val="00BC5B70"/>
    <w:rsid w:val="00BD292F"/>
    <w:rsid w:val="00BD37C0"/>
    <w:rsid w:val="00BD38F1"/>
    <w:rsid w:val="00BD3EAC"/>
    <w:rsid w:val="00BD6BA7"/>
    <w:rsid w:val="00BD787C"/>
    <w:rsid w:val="00BE0B36"/>
    <w:rsid w:val="00BE7DFB"/>
    <w:rsid w:val="00BF4C41"/>
    <w:rsid w:val="00BF7263"/>
    <w:rsid w:val="00C03D12"/>
    <w:rsid w:val="00C17F25"/>
    <w:rsid w:val="00C2101D"/>
    <w:rsid w:val="00C237AA"/>
    <w:rsid w:val="00C25AD7"/>
    <w:rsid w:val="00C3297E"/>
    <w:rsid w:val="00C33375"/>
    <w:rsid w:val="00C57F8E"/>
    <w:rsid w:val="00C71554"/>
    <w:rsid w:val="00C72DEE"/>
    <w:rsid w:val="00C75D53"/>
    <w:rsid w:val="00C83D7E"/>
    <w:rsid w:val="00C83DA7"/>
    <w:rsid w:val="00C85A3A"/>
    <w:rsid w:val="00C90623"/>
    <w:rsid w:val="00C93C3E"/>
    <w:rsid w:val="00C96F9A"/>
    <w:rsid w:val="00CB5088"/>
    <w:rsid w:val="00CC2160"/>
    <w:rsid w:val="00CC2E02"/>
    <w:rsid w:val="00CD3675"/>
    <w:rsid w:val="00CD7917"/>
    <w:rsid w:val="00CD7E12"/>
    <w:rsid w:val="00CE35E5"/>
    <w:rsid w:val="00CE5F54"/>
    <w:rsid w:val="00CF0431"/>
    <w:rsid w:val="00CF2BDC"/>
    <w:rsid w:val="00D0218D"/>
    <w:rsid w:val="00D06F6A"/>
    <w:rsid w:val="00D0781C"/>
    <w:rsid w:val="00D1073E"/>
    <w:rsid w:val="00D155B6"/>
    <w:rsid w:val="00D16A04"/>
    <w:rsid w:val="00D260FB"/>
    <w:rsid w:val="00D26A09"/>
    <w:rsid w:val="00D323B9"/>
    <w:rsid w:val="00D351CC"/>
    <w:rsid w:val="00D375C8"/>
    <w:rsid w:val="00D37F77"/>
    <w:rsid w:val="00D410D2"/>
    <w:rsid w:val="00D42C4A"/>
    <w:rsid w:val="00D46D19"/>
    <w:rsid w:val="00D47E8E"/>
    <w:rsid w:val="00D76395"/>
    <w:rsid w:val="00D778C1"/>
    <w:rsid w:val="00D85970"/>
    <w:rsid w:val="00D90805"/>
    <w:rsid w:val="00D920BF"/>
    <w:rsid w:val="00D92207"/>
    <w:rsid w:val="00D97C63"/>
    <w:rsid w:val="00DB1308"/>
    <w:rsid w:val="00DB14D3"/>
    <w:rsid w:val="00DB1E33"/>
    <w:rsid w:val="00DB4B2D"/>
    <w:rsid w:val="00DC15E4"/>
    <w:rsid w:val="00DC2995"/>
    <w:rsid w:val="00DC512D"/>
    <w:rsid w:val="00DD057F"/>
    <w:rsid w:val="00DD1E3F"/>
    <w:rsid w:val="00DD48CD"/>
    <w:rsid w:val="00DD52B4"/>
    <w:rsid w:val="00DD5A31"/>
    <w:rsid w:val="00DD63AF"/>
    <w:rsid w:val="00DE1FA4"/>
    <w:rsid w:val="00DE2280"/>
    <w:rsid w:val="00DE3A2C"/>
    <w:rsid w:val="00DE5571"/>
    <w:rsid w:val="00E001FB"/>
    <w:rsid w:val="00E21035"/>
    <w:rsid w:val="00E2595B"/>
    <w:rsid w:val="00E279FE"/>
    <w:rsid w:val="00E3075B"/>
    <w:rsid w:val="00E30804"/>
    <w:rsid w:val="00E32310"/>
    <w:rsid w:val="00E37DBE"/>
    <w:rsid w:val="00E40F38"/>
    <w:rsid w:val="00E420BA"/>
    <w:rsid w:val="00E52121"/>
    <w:rsid w:val="00E572D9"/>
    <w:rsid w:val="00E57653"/>
    <w:rsid w:val="00E60B21"/>
    <w:rsid w:val="00E642C2"/>
    <w:rsid w:val="00E67E73"/>
    <w:rsid w:val="00E74D25"/>
    <w:rsid w:val="00E776C2"/>
    <w:rsid w:val="00E77FB3"/>
    <w:rsid w:val="00E8750C"/>
    <w:rsid w:val="00E937F8"/>
    <w:rsid w:val="00E947A0"/>
    <w:rsid w:val="00E97A67"/>
    <w:rsid w:val="00EA3A4F"/>
    <w:rsid w:val="00EA3B60"/>
    <w:rsid w:val="00EA75AB"/>
    <w:rsid w:val="00EB5A70"/>
    <w:rsid w:val="00EB6E11"/>
    <w:rsid w:val="00EC1046"/>
    <w:rsid w:val="00EC5836"/>
    <w:rsid w:val="00ED1398"/>
    <w:rsid w:val="00EE5622"/>
    <w:rsid w:val="00EE5D8D"/>
    <w:rsid w:val="00EE79C8"/>
    <w:rsid w:val="00F05141"/>
    <w:rsid w:val="00F10014"/>
    <w:rsid w:val="00F164D1"/>
    <w:rsid w:val="00F21152"/>
    <w:rsid w:val="00F22867"/>
    <w:rsid w:val="00F37194"/>
    <w:rsid w:val="00F3743A"/>
    <w:rsid w:val="00F376E7"/>
    <w:rsid w:val="00F45A65"/>
    <w:rsid w:val="00F461B3"/>
    <w:rsid w:val="00F46B3E"/>
    <w:rsid w:val="00F517BE"/>
    <w:rsid w:val="00F6095A"/>
    <w:rsid w:val="00F61E2C"/>
    <w:rsid w:val="00F70683"/>
    <w:rsid w:val="00F72A0B"/>
    <w:rsid w:val="00F763AA"/>
    <w:rsid w:val="00F80004"/>
    <w:rsid w:val="00F8009F"/>
    <w:rsid w:val="00F90702"/>
    <w:rsid w:val="00F95A3E"/>
    <w:rsid w:val="00FA0E88"/>
    <w:rsid w:val="00FA2238"/>
    <w:rsid w:val="00FA3B6B"/>
    <w:rsid w:val="00FB2A60"/>
    <w:rsid w:val="00FC2CBD"/>
    <w:rsid w:val="00FD36CA"/>
    <w:rsid w:val="00FD6729"/>
    <w:rsid w:val="00FE4A48"/>
    <w:rsid w:val="00FE5DAE"/>
    <w:rsid w:val="00FF2D8C"/>
    <w:rsid w:val="00FF76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2861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AD7"/>
    <w:pPr>
      <w:suppressAutoHyphens/>
      <w:spacing w:before="120" w:after="60" w:line="230" w:lineRule="atLeast"/>
    </w:pPr>
    <w:rPr>
      <w:color w:val="44546A" w:themeColor="text2"/>
      <w:lang w:val="en-GB"/>
    </w:rPr>
  </w:style>
  <w:style w:type="paragraph" w:styleId="Heading1">
    <w:name w:val="heading 1"/>
    <w:basedOn w:val="Normal"/>
    <w:next w:val="Normal"/>
    <w:link w:val="Heading1Char"/>
    <w:uiPriority w:val="9"/>
    <w:qFormat/>
    <w:rsid w:val="00C25AD7"/>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C25AD7"/>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C25AD7"/>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C25AD7"/>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C25AD7"/>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C25AD7"/>
    <w:pPr>
      <w:spacing w:before="40"/>
      <w:outlineLvl w:val="5"/>
    </w:pPr>
    <w:rPr>
      <w:color w:val="1F4D78" w:themeColor="accent1" w:themeShade="7F"/>
    </w:rPr>
  </w:style>
  <w:style w:type="paragraph" w:styleId="Heading7">
    <w:name w:val="heading 7"/>
    <w:basedOn w:val="Heading6"/>
    <w:next w:val="Normal"/>
    <w:link w:val="Heading7Char"/>
    <w:uiPriority w:val="9"/>
    <w:semiHidden/>
    <w:unhideWhenUsed/>
    <w:qFormat/>
    <w:rsid w:val="00C25AD7"/>
    <w:pPr>
      <w:outlineLvl w:val="6"/>
    </w:pPr>
    <w:rPr>
      <w:i/>
      <w:iCs w:val="0"/>
    </w:rPr>
  </w:style>
  <w:style w:type="paragraph" w:styleId="Heading8">
    <w:name w:val="heading 8"/>
    <w:basedOn w:val="Heading7"/>
    <w:next w:val="Normal"/>
    <w:link w:val="Heading8Char"/>
    <w:uiPriority w:val="9"/>
    <w:semiHidden/>
    <w:unhideWhenUsed/>
    <w:qFormat/>
    <w:rsid w:val="00C25AD7"/>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C25AD7"/>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AD7"/>
    <w:rPr>
      <w:rFonts w:asciiTheme="majorHAnsi" w:eastAsiaTheme="majorEastAsia" w:hAnsiTheme="majorHAnsi" w:cstheme="majorBidi"/>
      <w:b/>
      <w:bCs/>
      <w:caps/>
      <w:color w:val="44546A" w:themeColor="text2"/>
      <w:sz w:val="38"/>
      <w:szCs w:val="28"/>
      <w:lang w:val="en-GB"/>
    </w:rPr>
  </w:style>
  <w:style w:type="character" w:customStyle="1" w:styleId="Heading2Char">
    <w:name w:val="Heading 2 Char"/>
    <w:basedOn w:val="DefaultParagraphFont"/>
    <w:link w:val="Heading2"/>
    <w:uiPriority w:val="9"/>
    <w:rsid w:val="00C25AD7"/>
    <w:rPr>
      <w:rFonts w:asciiTheme="majorHAnsi" w:eastAsiaTheme="majorEastAsia" w:hAnsiTheme="majorHAnsi" w:cstheme="majorBidi"/>
      <w:caps/>
      <w:color w:val="44546A" w:themeColor="text2"/>
      <w:sz w:val="38"/>
      <w:szCs w:val="26"/>
      <w:lang w:val="en-GB"/>
    </w:rPr>
  </w:style>
  <w:style w:type="character" w:customStyle="1" w:styleId="Heading3Char">
    <w:name w:val="Heading 3 Char"/>
    <w:basedOn w:val="DefaultParagraphFont"/>
    <w:link w:val="Heading3"/>
    <w:uiPriority w:val="9"/>
    <w:rsid w:val="00C25AD7"/>
    <w:rPr>
      <w:rFonts w:asciiTheme="majorHAnsi" w:eastAsiaTheme="majorEastAsia" w:hAnsiTheme="majorHAnsi" w:cstheme="majorBidi"/>
      <w:bCs/>
      <w:color w:val="44546A" w:themeColor="text2"/>
      <w:sz w:val="30"/>
      <w:szCs w:val="26"/>
      <w:lang w:val="en-GB"/>
    </w:rPr>
  </w:style>
  <w:style w:type="character" w:customStyle="1" w:styleId="Heading4Char">
    <w:name w:val="Heading 4 Char"/>
    <w:basedOn w:val="DefaultParagraphFont"/>
    <w:link w:val="Heading4"/>
    <w:uiPriority w:val="9"/>
    <w:rsid w:val="00C25AD7"/>
    <w:rPr>
      <w:rFonts w:asciiTheme="majorHAnsi" w:eastAsiaTheme="majorEastAsia" w:hAnsiTheme="majorHAnsi" w:cstheme="majorBidi"/>
      <w:bCs/>
      <w:iCs/>
      <w:color w:val="44546A" w:themeColor="text2"/>
      <w:sz w:val="24"/>
      <w:szCs w:val="26"/>
      <w:lang w:val="en-GB"/>
    </w:rPr>
  </w:style>
  <w:style w:type="character" w:customStyle="1" w:styleId="Heading5Char">
    <w:name w:val="Heading 5 Char"/>
    <w:basedOn w:val="DefaultParagraphFont"/>
    <w:link w:val="Heading5"/>
    <w:uiPriority w:val="9"/>
    <w:rsid w:val="00C25AD7"/>
    <w:rPr>
      <w:rFonts w:asciiTheme="majorHAnsi" w:eastAsiaTheme="majorEastAsia" w:hAnsiTheme="majorHAnsi" w:cstheme="majorBidi"/>
      <w:b/>
      <w:bCs/>
      <w:iCs/>
      <w:color w:val="44546A" w:themeColor="text2"/>
      <w:sz w:val="16"/>
      <w:szCs w:val="26"/>
      <w:lang w:val="en-GB"/>
    </w:rPr>
  </w:style>
  <w:style w:type="character" w:customStyle="1" w:styleId="Heading6Char">
    <w:name w:val="Heading 6 Char"/>
    <w:basedOn w:val="DefaultParagraphFont"/>
    <w:link w:val="Heading6"/>
    <w:uiPriority w:val="9"/>
    <w:semiHidden/>
    <w:rsid w:val="00C25AD7"/>
    <w:rPr>
      <w:rFonts w:asciiTheme="majorHAnsi" w:eastAsiaTheme="majorEastAsia" w:hAnsiTheme="majorHAnsi" w:cstheme="majorBidi"/>
      <w:b/>
      <w:bCs/>
      <w:iCs/>
      <w:color w:val="1F4D78" w:themeColor="accent1" w:themeShade="7F"/>
      <w:sz w:val="16"/>
      <w:szCs w:val="26"/>
      <w:lang w:val="en-GB"/>
    </w:rPr>
  </w:style>
  <w:style w:type="character" w:customStyle="1" w:styleId="Heading7Char">
    <w:name w:val="Heading 7 Char"/>
    <w:basedOn w:val="DefaultParagraphFont"/>
    <w:link w:val="Heading7"/>
    <w:uiPriority w:val="9"/>
    <w:semiHidden/>
    <w:rsid w:val="00C25AD7"/>
    <w:rPr>
      <w:rFonts w:asciiTheme="majorHAnsi" w:eastAsiaTheme="majorEastAsia" w:hAnsiTheme="majorHAnsi" w:cstheme="majorBidi"/>
      <w:b/>
      <w:bCs/>
      <w:i/>
      <w:color w:val="1F4D78" w:themeColor="accent1" w:themeShade="7F"/>
      <w:sz w:val="16"/>
      <w:szCs w:val="26"/>
      <w:lang w:val="en-GB"/>
    </w:rPr>
  </w:style>
  <w:style w:type="character" w:customStyle="1" w:styleId="Heading8Char">
    <w:name w:val="Heading 8 Char"/>
    <w:basedOn w:val="DefaultParagraphFont"/>
    <w:link w:val="Heading8"/>
    <w:uiPriority w:val="9"/>
    <w:semiHidden/>
    <w:rsid w:val="00C25AD7"/>
    <w:rPr>
      <w:rFonts w:asciiTheme="majorHAnsi" w:eastAsiaTheme="majorEastAsia" w:hAnsiTheme="majorHAnsi" w:cstheme="majorBidi"/>
      <w:b/>
      <w:bCs/>
      <w:i/>
      <w:color w:val="272727" w:themeColor="text1" w:themeTint="D8"/>
      <w:sz w:val="21"/>
      <w:szCs w:val="21"/>
      <w:lang w:val="en-GB"/>
    </w:rPr>
  </w:style>
  <w:style w:type="character" w:customStyle="1" w:styleId="Heading9Char">
    <w:name w:val="Heading 9 Char"/>
    <w:basedOn w:val="DefaultParagraphFont"/>
    <w:link w:val="Heading9"/>
    <w:uiPriority w:val="9"/>
    <w:semiHidden/>
    <w:rsid w:val="00C25AD7"/>
    <w:rPr>
      <w:rFonts w:asciiTheme="majorHAnsi" w:eastAsiaTheme="majorEastAsia" w:hAnsiTheme="majorHAnsi" w:cstheme="majorBidi"/>
      <w:b/>
      <w:bCs/>
      <w:iCs/>
      <w:color w:val="272727" w:themeColor="text1" w:themeTint="D8"/>
      <w:sz w:val="21"/>
      <w:szCs w:val="21"/>
      <w:lang w:val="en-GB"/>
    </w:rPr>
  </w:style>
  <w:style w:type="paragraph" w:customStyle="1" w:styleId="NormalIndented">
    <w:name w:val="Normal Indented"/>
    <w:basedOn w:val="Normal"/>
    <w:qFormat/>
    <w:rsid w:val="00C25AD7"/>
    <w:pPr>
      <w:ind w:left="284"/>
    </w:pPr>
  </w:style>
  <w:style w:type="paragraph" w:styleId="Title">
    <w:name w:val="Title"/>
    <w:basedOn w:val="Heading1"/>
    <w:next w:val="Normal"/>
    <w:link w:val="TitleChar"/>
    <w:uiPriority w:val="10"/>
    <w:qFormat/>
    <w:rsid w:val="00C25AD7"/>
    <w:pPr>
      <w:pageBreakBefore w:val="0"/>
      <w:spacing w:after="0"/>
    </w:pPr>
    <w:rPr>
      <w:spacing w:val="-10"/>
      <w:kern w:val="28"/>
      <w:szCs w:val="52"/>
    </w:rPr>
  </w:style>
  <w:style w:type="character" w:customStyle="1" w:styleId="TitleChar">
    <w:name w:val="Title Char"/>
    <w:basedOn w:val="DefaultParagraphFont"/>
    <w:link w:val="Title"/>
    <w:uiPriority w:val="10"/>
    <w:rsid w:val="00C25AD7"/>
    <w:rPr>
      <w:rFonts w:asciiTheme="majorHAnsi" w:eastAsiaTheme="majorEastAsia" w:hAnsiTheme="majorHAnsi" w:cstheme="majorBidi"/>
      <w:b/>
      <w:bCs/>
      <w:caps/>
      <w:color w:val="44546A" w:themeColor="text2"/>
      <w:spacing w:val="-10"/>
      <w:kern w:val="28"/>
      <w:sz w:val="38"/>
      <w:szCs w:val="52"/>
      <w:lang w:val="en-GB"/>
    </w:rPr>
  </w:style>
  <w:style w:type="paragraph" w:styleId="Subtitle">
    <w:name w:val="Subtitle"/>
    <w:basedOn w:val="Title"/>
    <w:next w:val="Normal"/>
    <w:link w:val="SubtitleChar"/>
    <w:qFormat/>
    <w:rsid w:val="00C25AD7"/>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C25AD7"/>
    <w:rPr>
      <w:rFonts w:eastAsiaTheme="majorEastAsia" w:cstheme="majorBidi"/>
      <w:bCs/>
      <w:iCs/>
      <w:caps/>
      <w:color w:val="44546A" w:themeColor="text2"/>
      <w:spacing w:val="-10"/>
      <w:kern w:val="28"/>
      <w:sz w:val="38"/>
      <w:szCs w:val="24"/>
      <w:lang w:val="en-GB"/>
    </w:rPr>
  </w:style>
  <w:style w:type="paragraph" w:customStyle="1" w:styleId="Bullet1">
    <w:name w:val="Bullet 1"/>
    <w:basedOn w:val="Normal"/>
    <w:qFormat/>
    <w:rsid w:val="00C25AD7"/>
    <w:pPr>
      <w:numPr>
        <w:numId w:val="6"/>
      </w:numPr>
      <w:spacing w:before="0"/>
    </w:pPr>
  </w:style>
  <w:style w:type="paragraph" w:customStyle="1" w:styleId="Bullet2">
    <w:name w:val="Bullet 2"/>
    <w:basedOn w:val="Bullet1"/>
    <w:qFormat/>
    <w:rsid w:val="00C25AD7"/>
    <w:pPr>
      <w:numPr>
        <w:ilvl w:val="1"/>
      </w:numPr>
    </w:pPr>
  </w:style>
  <w:style w:type="paragraph" w:customStyle="1" w:styleId="Bullet3">
    <w:name w:val="Bullet 3"/>
    <w:basedOn w:val="Bullet2"/>
    <w:qFormat/>
    <w:rsid w:val="00C25AD7"/>
    <w:pPr>
      <w:numPr>
        <w:ilvl w:val="2"/>
      </w:numPr>
    </w:pPr>
  </w:style>
  <w:style w:type="paragraph" w:customStyle="1" w:styleId="NumberedList1">
    <w:name w:val="Numbered List 1"/>
    <w:basedOn w:val="Normal"/>
    <w:qFormat/>
    <w:rsid w:val="00C25AD7"/>
    <w:pPr>
      <w:numPr>
        <w:numId w:val="2"/>
      </w:numPr>
      <w:spacing w:before="0"/>
    </w:pPr>
  </w:style>
  <w:style w:type="paragraph" w:customStyle="1" w:styleId="NumberedList2">
    <w:name w:val="Numbered List 2"/>
    <w:basedOn w:val="NumberedList1"/>
    <w:qFormat/>
    <w:rsid w:val="00C25AD7"/>
    <w:pPr>
      <w:numPr>
        <w:ilvl w:val="1"/>
      </w:numPr>
    </w:pPr>
  </w:style>
  <w:style w:type="paragraph" w:customStyle="1" w:styleId="NumberedList3">
    <w:name w:val="Numbered List 3"/>
    <w:basedOn w:val="NumberedList2"/>
    <w:qFormat/>
    <w:rsid w:val="00C25AD7"/>
    <w:pPr>
      <w:numPr>
        <w:ilvl w:val="2"/>
      </w:numPr>
    </w:pPr>
  </w:style>
  <w:style w:type="paragraph" w:customStyle="1" w:styleId="Heading1Numbered">
    <w:name w:val="Heading 1 Numbered"/>
    <w:basedOn w:val="Heading1"/>
    <w:next w:val="Normal"/>
    <w:qFormat/>
    <w:rsid w:val="00C25AD7"/>
    <w:pPr>
      <w:numPr>
        <w:numId w:val="3"/>
      </w:numPr>
    </w:pPr>
  </w:style>
  <w:style w:type="paragraph" w:customStyle="1" w:styleId="Heading2Numbered">
    <w:name w:val="Heading 2 Numbered"/>
    <w:basedOn w:val="Heading2"/>
    <w:next w:val="Normal"/>
    <w:qFormat/>
    <w:rsid w:val="00C25AD7"/>
    <w:pPr>
      <w:numPr>
        <w:ilvl w:val="1"/>
        <w:numId w:val="3"/>
      </w:numPr>
      <w:spacing w:before="480" w:after="60"/>
    </w:pPr>
    <w:rPr>
      <w:bCs/>
    </w:rPr>
  </w:style>
  <w:style w:type="paragraph" w:customStyle="1" w:styleId="Heading3Numbered">
    <w:name w:val="Heading 3 Numbered"/>
    <w:basedOn w:val="Heading3"/>
    <w:next w:val="Normal"/>
    <w:qFormat/>
    <w:rsid w:val="00C25AD7"/>
    <w:pPr>
      <w:numPr>
        <w:ilvl w:val="2"/>
        <w:numId w:val="3"/>
      </w:numPr>
      <w:spacing w:before="300" w:after="60"/>
    </w:pPr>
    <w:rPr>
      <w:szCs w:val="22"/>
    </w:rPr>
  </w:style>
  <w:style w:type="numbering" w:customStyle="1" w:styleId="BulletsList">
    <w:name w:val="Bullets List"/>
    <w:uiPriority w:val="99"/>
    <w:rsid w:val="00C25AD7"/>
    <w:pPr>
      <w:numPr>
        <w:numId w:val="1"/>
      </w:numPr>
    </w:pPr>
  </w:style>
  <w:style w:type="numbering" w:customStyle="1" w:styleId="Numberedlist">
    <w:name w:val="Numbered list"/>
    <w:uiPriority w:val="99"/>
    <w:rsid w:val="00C25AD7"/>
    <w:pPr>
      <w:numPr>
        <w:numId w:val="2"/>
      </w:numPr>
    </w:pPr>
  </w:style>
  <w:style w:type="numbering" w:customStyle="1" w:styleId="HeadingsList">
    <w:name w:val="Headings List"/>
    <w:uiPriority w:val="99"/>
    <w:rsid w:val="00C25AD7"/>
    <w:pPr>
      <w:numPr>
        <w:numId w:val="3"/>
      </w:numPr>
    </w:pPr>
  </w:style>
  <w:style w:type="table" w:customStyle="1" w:styleId="PlainTable21">
    <w:name w:val="Plain Table 21"/>
    <w:basedOn w:val="TableNormal"/>
    <w:uiPriority w:val="42"/>
    <w:rsid w:val="00C25AD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C25AD7"/>
    <w:pPr>
      <w:pageBreakBefore w:val="0"/>
      <w:suppressAutoHyphens w:val="0"/>
      <w:spacing w:after="600"/>
      <w:contextualSpacing w:val="0"/>
      <w:outlineLvl w:val="9"/>
    </w:pPr>
    <w:rPr>
      <w:bCs w:val="0"/>
      <w:szCs w:val="32"/>
    </w:rPr>
  </w:style>
  <w:style w:type="paragraph" w:styleId="TOC1">
    <w:name w:val="toc 1"/>
    <w:basedOn w:val="Normal"/>
    <w:next w:val="Normal"/>
    <w:autoRedefine/>
    <w:uiPriority w:val="39"/>
    <w:unhideWhenUsed/>
    <w:rsid w:val="00C25AD7"/>
    <w:pPr>
      <w:pBdr>
        <w:top w:val="single" w:sz="4" w:space="6" w:color="5B9BD5" w:themeColor="accent1"/>
        <w:between w:val="single" w:sz="4" w:space="6" w:color="5B9BD5" w:themeColor="accent1"/>
      </w:pBdr>
      <w:tabs>
        <w:tab w:val="right" w:pos="9639"/>
      </w:tabs>
      <w:spacing w:after="100" w:line="320" w:lineRule="atLeast"/>
    </w:pPr>
    <w:rPr>
      <w:b/>
      <w:caps/>
      <w:color w:val="5B9BD5" w:themeColor="accent1"/>
      <w:sz w:val="28"/>
    </w:rPr>
  </w:style>
  <w:style w:type="paragraph" w:styleId="TOC2">
    <w:name w:val="toc 2"/>
    <w:basedOn w:val="Normal"/>
    <w:next w:val="Normal"/>
    <w:autoRedefine/>
    <w:uiPriority w:val="39"/>
    <w:unhideWhenUsed/>
    <w:rsid w:val="00C25AD7"/>
    <w:pPr>
      <w:spacing w:after="100"/>
      <w:ind w:left="199" w:right="454"/>
    </w:pPr>
  </w:style>
  <w:style w:type="paragraph" w:styleId="TOC3">
    <w:name w:val="toc 3"/>
    <w:basedOn w:val="Normal"/>
    <w:next w:val="Normal"/>
    <w:autoRedefine/>
    <w:uiPriority w:val="39"/>
    <w:unhideWhenUsed/>
    <w:rsid w:val="00C25AD7"/>
    <w:pPr>
      <w:spacing w:after="100"/>
      <w:ind w:left="400"/>
    </w:pPr>
  </w:style>
  <w:style w:type="paragraph" w:styleId="Header">
    <w:name w:val="header"/>
    <w:basedOn w:val="Normal"/>
    <w:link w:val="HeaderChar"/>
    <w:uiPriority w:val="99"/>
    <w:unhideWhenUsed/>
    <w:rsid w:val="00C25AD7"/>
    <w:pPr>
      <w:tabs>
        <w:tab w:val="center" w:pos="4513"/>
        <w:tab w:val="right" w:pos="9026"/>
      </w:tabs>
      <w:spacing w:before="0" w:after="0"/>
      <w:jc w:val="right"/>
    </w:pPr>
    <w:rPr>
      <w:b/>
      <w:caps/>
      <w:sz w:val="20"/>
    </w:rPr>
  </w:style>
  <w:style w:type="character" w:customStyle="1" w:styleId="HeaderChar">
    <w:name w:val="Header Char"/>
    <w:basedOn w:val="DefaultParagraphFont"/>
    <w:link w:val="Header"/>
    <w:uiPriority w:val="99"/>
    <w:rsid w:val="00C25AD7"/>
    <w:rPr>
      <w:b/>
      <w:caps/>
      <w:color w:val="44546A" w:themeColor="text2"/>
      <w:sz w:val="20"/>
      <w:lang w:val="en-GB"/>
    </w:rPr>
  </w:style>
  <w:style w:type="paragraph" w:styleId="TOC4">
    <w:name w:val="toc 4"/>
    <w:basedOn w:val="Normal"/>
    <w:next w:val="Normal"/>
    <w:autoRedefine/>
    <w:uiPriority w:val="39"/>
    <w:unhideWhenUsed/>
    <w:rsid w:val="00C25AD7"/>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C25AD7"/>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C25AD7"/>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C25AD7"/>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C25AD7"/>
    <w:pPr>
      <w:numPr>
        <w:numId w:val="4"/>
      </w:numPr>
    </w:pPr>
  </w:style>
  <w:style w:type="paragraph" w:styleId="TOC8">
    <w:name w:val="toc 8"/>
    <w:basedOn w:val="Normal"/>
    <w:next w:val="Normal"/>
    <w:autoRedefine/>
    <w:uiPriority w:val="39"/>
    <w:unhideWhenUsed/>
    <w:rsid w:val="00C25AD7"/>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C25AD7"/>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C25AD7"/>
    <w:pPr>
      <w:spacing w:after="0"/>
      <w:ind w:left="907" w:hanging="907"/>
    </w:pPr>
  </w:style>
  <w:style w:type="paragraph" w:customStyle="1" w:styleId="IntroPara">
    <w:name w:val="Intro Para"/>
    <w:basedOn w:val="Normal"/>
    <w:qFormat/>
    <w:rsid w:val="00C25AD7"/>
    <w:pPr>
      <w:spacing w:before="400" w:after="400" w:line="280" w:lineRule="exact"/>
    </w:pPr>
    <w:rPr>
      <w:b/>
      <w:caps/>
      <w:color w:val="A5A5A5" w:themeColor="accent3"/>
      <w:sz w:val="28"/>
    </w:rPr>
  </w:style>
  <w:style w:type="table" w:styleId="TableGrid">
    <w:name w:val="Table Grid"/>
    <w:basedOn w:val="TableNormal"/>
    <w:rsid w:val="00C25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gureTitles">
    <w:name w:val="Figure Titles"/>
    <w:uiPriority w:val="99"/>
    <w:rsid w:val="00C25AD7"/>
    <w:pPr>
      <w:numPr>
        <w:numId w:val="5"/>
      </w:numPr>
    </w:pPr>
  </w:style>
  <w:style w:type="character" w:styleId="Hyperlink">
    <w:name w:val="Hyperlink"/>
    <w:basedOn w:val="DefaultParagraphFont"/>
    <w:uiPriority w:val="99"/>
    <w:rsid w:val="00C25AD7"/>
    <w:rPr>
      <w:rFonts w:asciiTheme="minorHAnsi" w:hAnsiTheme="minorHAnsi" w:cs="MuseoSans-500"/>
      <w:color w:val="auto"/>
      <w:u w:val="single" w:color="0070C0"/>
    </w:rPr>
  </w:style>
  <w:style w:type="character" w:styleId="IntenseEmphasis">
    <w:name w:val="Intense Emphasis"/>
    <w:basedOn w:val="DefaultParagraphFont"/>
    <w:uiPriority w:val="21"/>
    <w:qFormat/>
    <w:rsid w:val="00C25AD7"/>
    <w:rPr>
      <w:b/>
      <w:i/>
      <w:iCs/>
      <w:color w:val="auto"/>
    </w:rPr>
  </w:style>
  <w:style w:type="character" w:styleId="Strong">
    <w:name w:val="Strong"/>
    <w:basedOn w:val="DefaultParagraphFont"/>
    <w:uiPriority w:val="22"/>
    <w:qFormat/>
    <w:rsid w:val="00C25AD7"/>
    <w:rPr>
      <w:b/>
      <w:bCs/>
    </w:rPr>
  </w:style>
  <w:style w:type="character" w:styleId="Emphasis">
    <w:name w:val="Emphasis"/>
    <w:basedOn w:val="DefaultParagraphFont"/>
    <w:uiPriority w:val="20"/>
    <w:qFormat/>
    <w:rsid w:val="00C25AD7"/>
    <w:rPr>
      <w:i/>
      <w:iCs/>
    </w:rPr>
  </w:style>
  <w:style w:type="paragraph" w:styleId="Caption">
    <w:name w:val="caption"/>
    <w:basedOn w:val="Normal"/>
    <w:next w:val="Normal"/>
    <w:link w:val="CaptionChar"/>
    <w:uiPriority w:val="99"/>
    <w:unhideWhenUsed/>
    <w:qFormat/>
    <w:rsid w:val="00C25AD7"/>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25AD7"/>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25AD7"/>
    <w:rPr>
      <w:color w:val="FFFFFF" w:themeColor="background1"/>
      <w:lang w:val="en-GB"/>
    </w:rPr>
  </w:style>
  <w:style w:type="character" w:customStyle="1" w:styleId="LightGrey">
    <w:name w:val="Light Grey"/>
    <w:basedOn w:val="DefaultParagraphFont"/>
    <w:uiPriority w:val="1"/>
    <w:qFormat/>
    <w:rsid w:val="00C25AD7"/>
    <w:rPr>
      <w:color w:val="ACB9CA" w:themeColor="text2" w:themeTint="66"/>
    </w:rPr>
  </w:style>
  <w:style w:type="character" w:styleId="PageNumber">
    <w:name w:val="page number"/>
    <w:basedOn w:val="DefaultParagraphFont"/>
    <w:uiPriority w:val="99"/>
    <w:unhideWhenUsed/>
    <w:rsid w:val="00C25AD7"/>
    <w:rPr>
      <w:color w:val="44546A" w:themeColor="text2"/>
    </w:rPr>
  </w:style>
  <w:style w:type="paragraph" w:styleId="Quote">
    <w:name w:val="Quote"/>
    <w:basedOn w:val="Normal"/>
    <w:next w:val="Normal"/>
    <w:link w:val="QuoteChar"/>
    <w:uiPriority w:val="29"/>
    <w:qFormat/>
    <w:rsid w:val="00C25AD7"/>
    <w:pPr>
      <w:spacing w:before="0" w:after="180" w:line="320" w:lineRule="atLeast"/>
    </w:pPr>
    <w:rPr>
      <w:iCs/>
      <w:sz w:val="28"/>
    </w:rPr>
  </w:style>
  <w:style w:type="character" w:customStyle="1" w:styleId="QuoteChar">
    <w:name w:val="Quote Char"/>
    <w:basedOn w:val="DefaultParagraphFont"/>
    <w:link w:val="Quote"/>
    <w:uiPriority w:val="29"/>
    <w:rsid w:val="00C25AD7"/>
    <w:rPr>
      <w:iCs/>
      <w:color w:val="44546A" w:themeColor="text2"/>
      <w:sz w:val="28"/>
      <w:lang w:val="en-GB"/>
    </w:rPr>
  </w:style>
  <w:style w:type="paragraph" w:customStyle="1" w:styleId="QuoteHeading">
    <w:name w:val="Quote Heading"/>
    <w:basedOn w:val="Quote"/>
    <w:qFormat/>
    <w:rsid w:val="00C25AD7"/>
    <w:rPr>
      <w:b/>
      <w:sz w:val="20"/>
    </w:rPr>
  </w:style>
  <w:style w:type="paragraph" w:styleId="FootnoteText">
    <w:name w:val="footnote text"/>
    <w:basedOn w:val="Normal"/>
    <w:link w:val="FootnoteTextChar"/>
    <w:uiPriority w:val="99"/>
    <w:semiHidden/>
    <w:unhideWhenUsed/>
    <w:rsid w:val="00C25AD7"/>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C25AD7"/>
    <w:rPr>
      <w:color w:val="44546A" w:themeColor="text2"/>
      <w:sz w:val="12"/>
      <w:szCs w:val="20"/>
      <w:lang w:val="en-GB"/>
    </w:rPr>
  </w:style>
  <w:style w:type="character" w:styleId="FootnoteReference">
    <w:name w:val="footnote reference"/>
    <w:basedOn w:val="DefaultParagraphFont"/>
    <w:uiPriority w:val="99"/>
    <w:semiHidden/>
    <w:unhideWhenUsed/>
    <w:rsid w:val="00C25AD7"/>
    <w:rPr>
      <w:vertAlign w:val="superscript"/>
    </w:rPr>
  </w:style>
  <w:style w:type="paragraph" w:customStyle="1" w:styleId="GreyRoundBoxText">
    <w:name w:val="Grey Round Box Text"/>
    <w:basedOn w:val="Normal"/>
    <w:qFormat/>
    <w:rsid w:val="00C25AD7"/>
    <w:pPr>
      <w:spacing w:before="0"/>
    </w:pPr>
    <w:rPr>
      <w:b/>
      <w:caps/>
      <w:color w:val="FFFFFF" w:themeColor="background1"/>
      <w:sz w:val="18"/>
    </w:rPr>
  </w:style>
  <w:style w:type="character" w:customStyle="1" w:styleId="Green">
    <w:name w:val="Green"/>
    <w:basedOn w:val="DefaultParagraphFont"/>
    <w:uiPriority w:val="1"/>
    <w:qFormat/>
    <w:rsid w:val="00C25AD7"/>
    <w:rPr>
      <w:color w:val="A5A5A5" w:themeColor="accent3"/>
    </w:rPr>
  </w:style>
  <w:style w:type="paragraph" w:customStyle="1" w:styleId="PhotoMargins">
    <w:name w:val="Photo Margins"/>
    <w:basedOn w:val="Normal"/>
    <w:qFormat/>
    <w:rsid w:val="00C25AD7"/>
  </w:style>
  <w:style w:type="paragraph" w:customStyle="1" w:styleId="PhotoLeft">
    <w:name w:val="Photo Left"/>
    <w:basedOn w:val="PhotoMargins"/>
    <w:qFormat/>
    <w:rsid w:val="00C25AD7"/>
    <w:pPr>
      <w:ind w:left="-851"/>
    </w:pPr>
  </w:style>
  <w:style w:type="paragraph" w:customStyle="1" w:styleId="PhotoRight">
    <w:name w:val="Photo Right"/>
    <w:basedOn w:val="PhotoMargins"/>
    <w:qFormat/>
    <w:rsid w:val="00C25AD7"/>
    <w:pPr>
      <w:ind w:right="-851"/>
      <w:jc w:val="right"/>
    </w:pPr>
  </w:style>
  <w:style w:type="paragraph" w:customStyle="1" w:styleId="PhotoCaption">
    <w:name w:val="Photo Caption"/>
    <w:basedOn w:val="Normal"/>
    <w:qFormat/>
    <w:rsid w:val="00C25AD7"/>
    <w:pPr>
      <w:spacing w:after="200" w:line="140" w:lineRule="atLeast"/>
      <w:jc w:val="right"/>
    </w:pPr>
    <w:rPr>
      <w:sz w:val="12"/>
    </w:rPr>
  </w:style>
  <w:style w:type="table" w:customStyle="1" w:styleId="DFATTable1">
    <w:name w:val="DFAT Table 1"/>
    <w:basedOn w:val="TableNormal"/>
    <w:uiPriority w:val="99"/>
    <w:rsid w:val="00C25AD7"/>
    <w:pPr>
      <w:spacing w:before="60" w:after="60" w:line="220" w:lineRule="atLeast"/>
    </w:pPr>
    <w:rPr>
      <w:rFonts w:ascii="Calibri" w:hAnsi="Calibri"/>
      <w:sz w:val="18"/>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customStyle="1" w:styleId="FootnoteSeparator">
    <w:name w:val="Footnote Separator"/>
    <w:basedOn w:val="Footer"/>
    <w:qFormat/>
    <w:rsid w:val="00C25AD7"/>
    <w:pPr>
      <w:pBdr>
        <w:top w:val="single" w:sz="4" w:space="1" w:color="44546A" w:themeColor="text2"/>
      </w:pBdr>
      <w:tabs>
        <w:tab w:val="right" w:pos="9356"/>
        <w:tab w:val="center" w:pos="10036"/>
      </w:tabs>
      <w:spacing w:line="220" w:lineRule="atLeast"/>
      <w:ind w:right="0"/>
      <w:jc w:val="left"/>
    </w:pPr>
    <w:rPr>
      <w:color w:val="44546A" w:themeColor="text2"/>
      <w:sz w:val="14"/>
    </w:rPr>
  </w:style>
  <w:style w:type="paragraph" w:customStyle="1" w:styleId="Heading1smallspaceafter">
    <w:name w:val="Heading 1 small space after"/>
    <w:basedOn w:val="Heading1"/>
    <w:qFormat/>
    <w:rsid w:val="00C25AD7"/>
    <w:pPr>
      <w:pageBreakBefore w:val="0"/>
      <w:spacing w:after="600"/>
    </w:pPr>
  </w:style>
  <w:style w:type="paragraph" w:customStyle="1" w:styleId="TableBullet1">
    <w:name w:val="Table Bullet 1"/>
    <w:basedOn w:val="Bullet1"/>
    <w:qFormat/>
    <w:rsid w:val="00C25AD7"/>
    <w:pPr>
      <w:spacing w:before="60" w:line="220" w:lineRule="atLeast"/>
    </w:pPr>
    <w:rPr>
      <w:rFonts w:ascii="Calibri" w:hAnsi="Calibri"/>
      <w:sz w:val="18"/>
    </w:rPr>
  </w:style>
  <w:style w:type="paragraph" w:customStyle="1" w:styleId="TableBullet2">
    <w:name w:val="Table Bullet 2"/>
    <w:basedOn w:val="Bullet2"/>
    <w:qFormat/>
    <w:rsid w:val="00C25AD7"/>
    <w:pPr>
      <w:spacing w:before="60" w:line="220" w:lineRule="atLeast"/>
    </w:pPr>
    <w:rPr>
      <w:rFonts w:ascii="Calibri" w:hAnsi="Calibri"/>
      <w:sz w:val="18"/>
    </w:rPr>
  </w:style>
  <w:style w:type="paragraph" w:customStyle="1" w:styleId="TableBullet3">
    <w:name w:val="Table Bullet 3"/>
    <w:basedOn w:val="Bullet3"/>
    <w:qFormat/>
    <w:rsid w:val="00C25AD7"/>
    <w:pPr>
      <w:spacing w:before="60" w:line="220" w:lineRule="atLeast"/>
    </w:pPr>
    <w:rPr>
      <w:rFonts w:ascii="Calibri" w:hAnsi="Calibri"/>
      <w:sz w:val="18"/>
    </w:rPr>
  </w:style>
  <w:style w:type="paragraph" w:customStyle="1" w:styleId="TableHeaderRow">
    <w:name w:val="Table Header Row"/>
    <w:basedOn w:val="Normal"/>
    <w:qFormat/>
    <w:rsid w:val="00C25AD7"/>
    <w:pPr>
      <w:spacing w:before="60" w:line="220" w:lineRule="atLeast"/>
    </w:pPr>
    <w:rPr>
      <w:rFonts w:ascii="Calibri" w:hAnsi="Calibri"/>
      <w:b/>
      <w:sz w:val="18"/>
    </w:rPr>
  </w:style>
  <w:style w:type="paragraph" w:customStyle="1" w:styleId="TableNumberedList1">
    <w:name w:val="Table Numbered List 1"/>
    <w:basedOn w:val="NumberedList1"/>
    <w:qFormat/>
    <w:rsid w:val="00C25AD7"/>
    <w:pPr>
      <w:spacing w:before="60" w:line="220" w:lineRule="atLeast"/>
    </w:pPr>
    <w:rPr>
      <w:rFonts w:ascii="Calibri" w:hAnsi="Calibri"/>
      <w:sz w:val="18"/>
    </w:rPr>
  </w:style>
  <w:style w:type="paragraph" w:customStyle="1" w:styleId="TableNumberedList2">
    <w:name w:val="Table Numbered List 2"/>
    <w:basedOn w:val="NumberedList2"/>
    <w:qFormat/>
    <w:rsid w:val="00C25AD7"/>
    <w:pPr>
      <w:spacing w:before="60" w:line="220" w:lineRule="atLeast"/>
    </w:pPr>
    <w:rPr>
      <w:rFonts w:ascii="Calibri" w:hAnsi="Calibri"/>
      <w:sz w:val="18"/>
    </w:rPr>
  </w:style>
  <w:style w:type="paragraph" w:customStyle="1" w:styleId="TableNumberedList3">
    <w:name w:val="Table Numbered List 3"/>
    <w:basedOn w:val="NumberedList3"/>
    <w:qFormat/>
    <w:rsid w:val="00C25AD7"/>
    <w:pPr>
      <w:spacing w:before="60" w:line="220" w:lineRule="atLeast"/>
      <w:ind w:left="851"/>
    </w:pPr>
    <w:rPr>
      <w:rFonts w:ascii="Calibri" w:hAnsi="Calibri"/>
      <w:sz w:val="18"/>
    </w:rPr>
  </w:style>
  <w:style w:type="paragraph" w:customStyle="1" w:styleId="TableSourceNotes">
    <w:name w:val="Table Source Notes"/>
    <w:basedOn w:val="Normal"/>
    <w:qFormat/>
    <w:rsid w:val="00C25AD7"/>
    <w:pPr>
      <w:tabs>
        <w:tab w:val="left" w:pos="284"/>
      </w:tabs>
      <w:spacing w:line="160" w:lineRule="atLeast"/>
      <w:ind w:left="284" w:hanging="284"/>
      <w:contextualSpacing/>
    </w:pPr>
    <w:rPr>
      <w:sz w:val="12"/>
    </w:rPr>
  </w:style>
  <w:style w:type="paragraph" w:customStyle="1" w:styleId="TableTotalRow">
    <w:name w:val="Table Total Row"/>
    <w:basedOn w:val="Normal"/>
    <w:qFormat/>
    <w:rsid w:val="00C25AD7"/>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C25AD7"/>
    <w:pPr>
      <w:spacing w:before="60"/>
    </w:pPr>
  </w:style>
  <w:style w:type="paragraph" w:customStyle="1" w:styleId="QuoteAuthor">
    <w:name w:val="Quote Author"/>
    <w:basedOn w:val="Quote"/>
    <w:qFormat/>
    <w:rsid w:val="00C25AD7"/>
    <w:pPr>
      <w:spacing w:after="60" w:line="200" w:lineRule="atLeast"/>
    </w:pPr>
    <w:rPr>
      <w:sz w:val="16"/>
    </w:rPr>
  </w:style>
  <w:style w:type="paragraph" w:customStyle="1" w:styleId="TableText">
    <w:name w:val="Table Text"/>
    <w:basedOn w:val="Normal"/>
    <w:qFormat/>
    <w:rsid w:val="00C25AD7"/>
    <w:pPr>
      <w:spacing w:before="60" w:line="220" w:lineRule="atLeast"/>
    </w:pPr>
    <w:rPr>
      <w:rFonts w:ascii="Calibri" w:hAnsi="Calibri"/>
      <w:sz w:val="18"/>
    </w:rPr>
  </w:style>
  <w:style w:type="paragraph" w:customStyle="1" w:styleId="PhotoCredit">
    <w:name w:val="Photo Credit"/>
    <w:basedOn w:val="Normal"/>
    <w:qFormat/>
    <w:rsid w:val="00C25AD7"/>
    <w:pPr>
      <w:spacing w:after="200" w:line="160" w:lineRule="atLeast"/>
      <w:jc w:val="right"/>
    </w:pPr>
    <w:rPr>
      <w:sz w:val="12"/>
    </w:rPr>
  </w:style>
  <w:style w:type="paragraph" w:styleId="BalloonText">
    <w:name w:val="Balloon Text"/>
    <w:basedOn w:val="Normal"/>
    <w:link w:val="BalloonTextChar"/>
    <w:uiPriority w:val="99"/>
    <w:semiHidden/>
    <w:unhideWhenUsed/>
    <w:rsid w:val="00C25AD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AD7"/>
    <w:rPr>
      <w:rFonts w:ascii="Tahoma" w:hAnsi="Tahoma" w:cs="Tahoma"/>
      <w:color w:val="44546A" w:themeColor="text2"/>
      <w:sz w:val="16"/>
      <w:szCs w:val="16"/>
      <w:lang w:val="en-GB"/>
    </w:rPr>
  </w:style>
  <w:style w:type="paragraph" w:styleId="BodyText">
    <w:name w:val="Body Text"/>
    <w:basedOn w:val="Normal"/>
    <w:link w:val="BodyTextChar"/>
    <w:qFormat/>
    <w:rsid w:val="00C25AD7"/>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C25AD7"/>
    <w:rPr>
      <w:rFonts w:ascii="Franklin Gothic Book" w:eastAsia="Times New Roman" w:hAnsi="Franklin Gothic Book" w:cs="Times New Roman"/>
      <w:sz w:val="21"/>
      <w:szCs w:val="24"/>
      <w:lang w:eastAsia="en-AU"/>
    </w:rPr>
  </w:style>
  <w:style w:type="paragraph" w:styleId="ListBullet">
    <w:name w:val="List Bullet"/>
    <w:basedOn w:val="BodyText"/>
    <w:qFormat/>
    <w:rsid w:val="00C25AD7"/>
    <w:pPr>
      <w:tabs>
        <w:tab w:val="left" w:pos="284"/>
      </w:tabs>
      <w:spacing w:after="120"/>
    </w:pPr>
  </w:style>
  <w:style w:type="character" w:customStyle="1" w:styleId="CaptionChar">
    <w:name w:val="Caption Char"/>
    <w:link w:val="Caption"/>
    <w:uiPriority w:val="99"/>
    <w:locked/>
    <w:rsid w:val="00C25AD7"/>
    <w:rPr>
      <w:b/>
      <w:iCs/>
      <w:color w:val="000000" w:themeColor="text1"/>
      <w:sz w:val="20"/>
      <w:szCs w:val="18"/>
      <w:lang w:val="en-GB"/>
    </w:rPr>
  </w:style>
  <w:style w:type="paragraph" w:customStyle="1" w:styleId="Note">
    <w:name w:val="Note"/>
    <w:basedOn w:val="TableTextEntries"/>
    <w:next w:val="BodyText"/>
    <w:link w:val="NoteCharChar"/>
    <w:autoRedefine/>
    <w:rsid w:val="00C25AD7"/>
    <w:pPr>
      <w:keepNext/>
      <w:spacing w:before="20" w:after="20" w:line="180" w:lineRule="atLeast"/>
      <w:jc w:val="both"/>
    </w:pPr>
    <w:rPr>
      <w:iCs w:val="0"/>
      <w:sz w:val="14"/>
      <w:szCs w:val="14"/>
      <w:lang w:eastAsia="en-AU"/>
    </w:rPr>
  </w:style>
  <w:style w:type="paragraph" w:customStyle="1" w:styleId="TableTextEntries">
    <w:name w:val="Table Text Entries"/>
    <w:rsid w:val="00C25AD7"/>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C25AD7"/>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C25AD7"/>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C25AD7"/>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C25AD7"/>
    <w:pPr>
      <w:keepLines/>
      <w:numPr>
        <w:numId w:val="7"/>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C25AD7"/>
    <w:pPr>
      <w:spacing w:before="80" w:after="80"/>
    </w:pPr>
    <w:rPr>
      <w:b/>
    </w:rPr>
  </w:style>
  <w:style w:type="table" w:customStyle="1" w:styleId="APPR">
    <w:name w:val="APPR"/>
    <w:basedOn w:val="TableNormal"/>
    <w:uiPriority w:val="99"/>
    <w:rsid w:val="00C25AD7"/>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C25AD7"/>
    <w:pPr>
      <w:keepLines/>
      <w:numPr>
        <w:numId w:val="8"/>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character" w:styleId="FollowedHyperlink">
    <w:name w:val="FollowedHyperlink"/>
    <w:basedOn w:val="DefaultParagraphFont"/>
    <w:uiPriority w:val="99"/>
    <w:semiHidden/>
    <w:unhideWhenUsed/>
    <w:rsid w:val="00C25AD7"/>
    <w:rPr>
      <w:color w:val="954F72" w:themeColor="followedHyperlink"/>
      <w:u w:val="single"/>
    </w:rPr>
  </w:style>
  <w:style w:type="paragraph" w:styleId="ListParagraph">
    <w:name w:val="List Paragraph"/>
    <w:basedOn w:val="Normal"/>
    <w:uiPriority w:val="34"/>
    <w:qFormat/>
    <w:rsid w:val="00C25AD7"/>
    <w:pPr>
      <w:ind w:left="720"/>
      <w:contextualSpacing/>
    </w:pPr>
  </w:style>
  <w:style w:type="paragraph" w:styleId="CommentText">
    <w:name w:val="annotation text"/>
    <w:basedOn w:val="BodyText"/>
    <w:link w:val="CommentTextChar"/>
    <w:semiHidden/>
    <w:rsid w:val="00C25AD7"/>
    <w:pPr>
      <w:spacing w:line="240" w:lineRule="atLeast"/>
    </w:pPr>
    <w:rPr>
      <w:sz w:val="18"/>
      <w:szCs w:val="18"/>
    </w:rPr>
  </w:style>
  <w:style w:type="character" w:customStyle="1" w:styleId="CommentTextChar">
    <w:name w:val="Comment Text Char"/>
    <w:basedOn w:val="DefaultParagraphFont"/>
    <w:link w:val="CommentText"/>
    <w:semiHidden/>
    <w:rsid w:val="00C25AD7"/>
    <w:rPr>
      <w:rFonts w:ascii="Franklin Gothic Book" w:eastAsia="Times New Roman" w:hAnsi="Franklin Gothic Book" w:cs="Times New Roman"/>
      <w:sz w:val="18"/>
      <w:szCs w:val="18"/>
      <w:lang w:eastAsia="en-AU"/>
    </w:rPr>
  </w:style>
  <w:style w:type="character" w:styleId="CommentReference">
    <w:name w:val="annotation reference"/>
    <w:basedOn w:val="DefaultParagraphFont"/>
    <w:semiHidden/>
    <w:unhideWhenUsed/>
    <w:rsid w:val="00C25AD7"/>
    <w:rPr>
      <w:rFonts w:ascii="Franklin Gothic Book" w:hAnsi="Franklin Gothic Book"/>
      <w:sz w:val="16"/>
      <w:szCs w:val="16"/>
    </w:rPr>
  </w:style>
  <w:style w:type="paragraph" w:styleId="CommentSubject">
    <w:name w:val="annotation subject"/>
    <w:basedOn w:val="CommentText"/>
    <w:next w:val="CommentText"/>
    <w:link w:val="CommentSubjectChar"/>
    <w:uiPriority w:val="99"/>
    <w:semiHidden/>
    <w:unhideWhenUsed/>
    <w:rsid w:val="00C25AD7"/>
    <w:pPr>
      <w:suppressAutoHyphens/>
      <w:spacing w:before="120" w:after="60" w:line="240" w:lineRule="auto"/>
    </w:pPr>
    <w:rPr>
      <w:rFonts w:asciiTheme="minorHAnsi" w:eastAsiaTheme="minorHAnsi" w:hAnsiTheme="minorHAnsi" w:cstheme="minorBidi"/>
      <w:b/>
      <w:bCs/>
      <w:color w:val="44546A" w:themeColor="text2"/>
      <w:sz w:val="20"/>
      <w:szCs w:val="20"/>
      <w:lang w:val="en-GB" w:eastAsia="en-US"/>
    </w:rPr>
  </w:style>
  <w:style w:type="character" w:customStyle="1" w:styleId="CommentSubjectChar">
    <w:name w:val="Comment Subject Char"/>
    <w:basedOn w:val="CommentTextChar"/>
    <w:link w:val="CommentSubject"/>
    <w:uiPriority w:val="99"/>
    <w:semiHidden/>
    <w:rsid w:val="00C25AD7"/>
    <w:rPr>
      <w:rFonts w:ascii="Franklin Gothic Book" w:eastAsia="Times New Roman" w:hAnsi="Franklin Gothic Book" w:cs="Times New Roman"/>
      <w:b/>
      <w:bCs/>
      <w:color w:val="44546A" w:themeColor="text2"/>
      <w:sz w:val="20"/>
      <w:szCs w:val="20"/>
      <w:lang w:val="en-GB" w:eastAsia="en-AU"/>
    </w:rPr>
  </w:style>
  <w:style w:type="paragraph" w:styleId="PlainText">
    <w:name w:val="Plain Text"/>
    <w:basedOn w:val="Normal"/>
    <w:link w:val="PlainTextChar"/>
    <w:uiPriority w:val="99"/>
    <w:unhideWhenUsed/>
    <w:rsid w:val="00C25AD7"/>
    <w:pPr>
      <w:suppressAutoHyphens w:val="0"/>
      <w:spacing w:before="0" w:after="0" w:line="240" w:lineRule="auto"/>
    </w:pPr>
    <w:rPr>
      <w:rFonts w:ascii="Calibri" w:hAnsi="Calibri" w:cs="Times New Roman"/>
      <w:color w:val="auto"/>
      <w:lang w:val="en-AU"/>
    </w:rPr>
  </w:style>
  <w:style w:type="character" w:customStyle="1" w:styleId="PlainTextChar">
    <w:name w:val="Plain Text Char"/>
    <w:basedOn w:val="DefaultParagraphFont"/>
    <w:link w:val="PlainText"/>
    <w:uiPriority w:val="99"/>
    <w:rsid w:val="00C25AD7"/>
    <w:rPr>
      <w:rFonts w:ascii="Calibri" w:hAnsi="Calibri" w:cs="Times New Roman"/>
    </w:rPr>
  </w:style>
  <w:style w:type="paragraph" w:styleId="Revision">
    <w:name w:val="Revision"/>
    <w:hidden/>
    <w:uiPriority w:val="99"/>
    <w:semiHidden/>
    <w:rsid w:val="00C25AD7"/>
    <w:pPr>
      <w:spacing w:after="0" w:line="240" w:lineRule="auto"/>
    </w:pPr>
    <w:rPr>
      <w:color w:val="44546A"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3642">
      <w:bodyDiv w:val="1"/>
      <w:marLeft w:val="0"/>
      <w:marRight w:val="0"/>
      <w:marTop w:val="0"/>
      <w:marBottom w:val="0"/>
      <w:divBdr>
        <w:top w:val="none" w:sz="0" w:space="0" w:color="auto"/>
        <w:left w:val="none" w:sz="0" w:space="0" w:color="auto"/>
        <w:bottom w:val="none" w:sz="0" w:space="0" w:color="auto"/>
        <w:right w:val="none" w:sz="0" w:space="0" w:color="auto"/>
      </w:divBdr>
    </w:div>
    <w:div w:id="362747943">
      <w:bodyDiv w:val="1"/>
      <w:marLeft w:val="0"/>
      <w:marRight w:val="0"/>
      <w:marTop w:val="0"/>
      <w:marBottom w:val="0"/>
      <w:divBdr>
        <w:top w:val="none" w:sz="0" w:space="0" w:color="auto"/>
        <w:left w:val="none" w:sz="0" w:space="0" w:color="auto"/>
        <w:bottom w:val="none" w:sz="0" w:space="0" w:color="auto"/>
        <w:right w:val="none" w:sz="0" w:space="0" w:color="auto"/>
      </w:divBdr>
    </w:div>
    <w:div w:id="430443187">
      <w:bodyDiv w:val="1"/>
      <w:marLeft w:val="0"/>
      <w:marRight w:val="0"/>
      <w:marTop w:val="0"/>
      <w:marBottom w:val="0"/>
      <w:divBdr>
        <w:top w:val="none" w:sz="0" w:space="0" w:color="auto"/>
        <w:left w:val="none" w:sz="0" w:space="0" w:color="auto"/>
        <w:bottom w:val="none" w:sz="0" w:space="0" w:color="auto"/>
        <w:right w:val="none" w:sz="0" w:space="0" w:color="auto"/>
      </w:divBdr>
    </w:div>
    <w:div w:id="511578248">
      <w:bodyDiv w:val="1"/>
      <w:marLeft w:val="0"/>
      <w:marRight w:val="0"/>
      <w:marTop w:val="0"/>
      <w:marBottom w:val="0"/>
      <w:divBdr>
        <w:top w:val="none" w:sz="0" w:space="0" w:color="auto"/>
        <w:left w:val="none" w:sz="0" w:space="0" w:color="auto"/>
        <w:bottom w:val="none" w:sz="0" w:space="0" w:color="auto"/>
        <w:right w:val="none" w:sz="0" w:space="0" w:color="auto"/>
      </w:divBdr>
    </w:div>
    <w:div w:id="724716360">
      <w:bodyDiv w:val="1"/>
      <w:marLeft w:val="0"/>
      <w:marRight w:val="0"/>
      <w:marTop w:val="0"/>
      <w:marBottom w:val="0"/>
      <w:divBdr>
        <w:top w:val="none" w:sz="0" w:space="0" w:color="auto"/>
        <w:left w:val="none" w:sz="0" w:space="0" w:color="auto"/>
        <w:bottom w:val="none" w:sz="0" w:space="0" w:color="auto"/>
        <w:right w:val="none" w:sz="0" w:space="0" w:color="auto"/>
      </w:divBdr>
    </w:div>
    <w:div w:id="1012294801">
      <w:bodyDiv w:val="1"/>
      <w:marLeft w:val="0"/>
      <w:marRight w:val="0"/>
      <w:marTop w:val="0"/>
      <w:marBottom w:val="0"/>
      <w:divBdr>
        <w:top w:val="none" w:sz="0" w:space="0" w:color="auto"/>
        <w:left w:val="none" w:sz="0" w:space="0" w:color="auto"/>
        <w:bottom w:val="none" w:sz="0" w:space="0" w:color="auto"/>
        <w:right w:val="none" w:sz="0" w:space="0" w:color="auto"/>
      </w:divBdr>
    </w:div>
    <w:div w:id="1106727142">
      <w:bodyDiv w:val="1"/>
      <w:marLeft w:val="0"/>
      <w:marRight w:val="0"/>
      <w:marTop w:val="0"/>
      <w:marBottom w:val="0"/>
      <w:divBdr>
        <w:top w:val="none" w:sz="0" w:space="0" w:color="auto"/>
        <w:left w:val="none" w:sz="0" w:space="0" w:color="auto"/>
        <w:bottom w:val="none" w:sz="0" w:space="0" w:color="auto"/>
        <w:right w:val="none" w:sz="0" w:space="0" w:color="auto"/>
      </w:divBdr>
    </w:div>
    <w:div w:id="1327123546">
      <w:bodyDiv w:val="1"/>
      <w:marLeft w:val="0"/>
      <w:marRight w:val="0"/>
      <w:marTop w:val="0"/>
      <w:marBottom w:val="0"/>
      <w:divBdr>
        <w:top w:val="none" w:sz="0" w:space="0" w:color="auto"/>
        <w:left w:val="none" w:sz="0" w:space="0" w:color="auto"/>
        <w:bottom w:val="none" w:sz="0" w:space="0" w:color="auto"/>
        <w:right w:val="none" w:sz="0" w:space="0" w:color="auto"/>
      </w:divBdr>
    </w:div>
    <w:div w:id="1459299950">
      <w:bodyDiv w:val="1"/>
      <w:marLeft w:val="0"/>
      <w:marRight w:val="0"/>
      <w:marTop w:val="0"/>
      <w:marBottom w:val="0"/>
      <w:divBdr>
        <w:top w:val="none" w:sz="0" w:space="0" w:color="auto"/>
        <w:left w:val="none" w:sz="0" w:space="0" w:color="auto"/>
        <w:bottom w:val="none" w:sz="0" w:space="0" w:color="auto"/>
        <w:right w:val="none" w:sz="0" w:space="0" w:color="auto"/>
      </w:divBdr>
    </w:div>
    <w:div w:id="1533300206">
      <w:bodyDiv w:val="1"/>
      <w:marLeft w:val="0"/>
      <w:marRight w:val="0"/>
      <w:marTop w:val="0"/>
      <w:marBottom w:val="0"/>
      <w:divBdr>
        <w:top w:val="none" w:sz="0" w:space="0" w:color="auto"/>
        <w:left w:val="none" w:sz="0" w:space="0" w:color="auto"/>
        <w:bottom w:val="none" w:sz="0" w:space="0" w:color="auto"/>
        <w:right w:val="none" w:sz="0" w:space="0" w:color="auto"/>
      </w:divBdr>
    </w:div>
    <w:div w:id="1566330074">
      <w:bodyDiv w:val="1"/>
      <w:marLeft w:val="0"/>
      <w:marRight w:val="0"/>
      <w:marTop w:val="0"/>
      <w:marBottom w:val="0"/>
      <w:divBdr>
        <w:top w:val="none" w:sz="0" w:space="0" w:color="auto"/>
        <w:left w:val="none" w:sz="0" w:space="0" w:color="auto"/>
        <w:bottom w:val="none" w:sz="0" w:space="0" w:color="auto"/>
        <w:right w:val="none" w:sz="0" w:space="0" w:color="auto"/>
      </w:divBdr>
    </w:div>
    <w:div w:id="1805459908">
      <w:bodyDiv w:val="1"/>
      <w:marLeft w:val="0"/>
      <w:marRight w:val="0"/>
      <w:marTop w:val="0"/>
      <w:marBottom w:val="0"/>
      <w:divBdr>
        <w:top w:val="none" w:sz="0" w:space="0" w:color="auto"/>
        <w:left w:val="none" w:sz="0" w:space="0" w:color="auto"/>
        <w:bottom w:val="none" w:sz="0" w:space="0" w:color="auto"/>
        <w:right w:val="none" w:sz="0" w:space="0" w:color="auto"/>
      </w:divBdr>
    </w:div>
    <w:div w:id="184582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7.png"/><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image" Target="media/image10.jpeg"/><Relationship Id="rId34"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header" Target="header4.xm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image" Target="media/image5.JPG"/><Relationship Id="rId20" Type="http://schemas.openxmlformats.org/officeDocument/2006/relationships/image" Target="media/image9.jpeg"/><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who.int/topics/international_health_regulations/en/" TargetMode="Externa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12.png"/><Relationship Id="rId28" Type="http://schemas.openxmlformats.org/officeDocument/2006/relationships/footer" Target="footer4.xml"/><Relationship Id="rId10" Type="http://schemas.openxmlformats.org/officeDocument/2006/relationships/header" Target="header2.xml"/><Relationship Id="rId19" Type="http://schemas.openxmlformats.org/officeDocument/2006/relationships/image" Target="media/image8.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1.png"/><Relationship Id="rId27" Type="http://schemas.openxmlformats.org/officeDocument/2006/relationships/header" Target="header6.xml"/><Relationship Id="rId30" Type="http://schemas.openxmlformats.org/officeDocument/2006/relationships/fontTable" Target="fontTable.xml"/><Relationship Id="rId8"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13.png"/></Relationships>
</file>

<file path=word/_rels/footnotes.xml.rels><?xml version="1.0" encoding="UTF-8" standalone="yes"?>
<Relationships xmlns="http://schemas.openxmlformats.org/package/2006/relationships"><Relationship Id="rId3" Type="http://schemas.openxmlformats.org/officeDocument/2006/relationships/hyperlink" Target="http://www.worldbank.org/en/topic/financialinclusion" TargetMode="External"/><Relationship Id="rId2" Type="http://schemas.openxmlformats.org/officeDocument/2006/relationships/hyperlink" Target="https://collections.unu.edu/eserv/UNU:5763/WorldRiskReport2016_small.pdf" TargetMode="External"/><Relationship Id="rId1" Type="http://schemas.openxmlformats.org/officeDocument/2006/relationships/hyperlink" Target="http://www.pacificwomen.org/about/about-pwspd/" TargetMode="External"/><Relationship Id="rId6" Type="http://schemas.openxmlformats.org/officeDocument/2006/relationships/hyperlink" Target="http://dfat.gov.au/about-us/publications/Pages/aid-investment-plan-aip-pacific-regional-2015-16-to-2018-19.aspx" TargetMode="External"/><Relationship Id="rId5" Type="http://schemas.openxmlformats.org/officeDocument/2006/relationships/hyperlink" Target="http://www.agriculture.gov.au/ag-farm-food/working-holiday-maker-review" TargetMode="External"/><Relationship Id="rId4" Type="http://schemas.openxmlformats.org/officeDocument/2006/relationships/hyperlink" Target="http://www.spc.int/blog/pacific-community-digitalizes-education-data-collection-in-kiribat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818436-B062-4AF8-99A1-4701A75E5B2F}"/>
</file>

<file path=customXml/itemProps2.xml><?xml version="1.0" encoding="utf-8"?>
<ds:datastoreItem xmlns:ds="http://schemas.openxmlformats.org/officeDocument/2006/customXml" ds:itemID="{A33AC0A6-C301-4406-BDAB-C71B8C487D2E}"/>
</file>

<file path=customXml/itemProps3.xml><?xml version="1.0" encoding="utf-8"?>
<ds:datastoreItem xmlns:ds="http://schemas.openxmlformats.org/officeDocument/2006/customXml" ds:itemID="{E16E8883-4FEB-438D-B0C5-E0BF8F37E528}"/>
</file>

<file path=docProps/app.xml><?xml version="1.0" encoding="utf-8"?>
<Properties xmlns="http://schemas.openxmlformats.org/officeDocument/2006/extended-properties" xmlns:vt="http://schemas.openxmlformats.org/officeDocument/2006/docPropsVTypes">
  <Template>Normal.dotm</Template>
  <TotalTime>0</TotalTime>
  <Pages>37</Pages>
  <Words>17270</Words>
  <Characters>98440</Characters>
  <Application>Microsoft Office Word</Application>
  <DocSecurity>0</DocSecurity>
  <Lines>820</Lines>
  <Paragraphs>230</Paragraphs>
  <ScaleCrop>false</ScaleCrop>
  <HeadingPairs>
    <vt:vector size="2" baseType="variant">
      <vt:variant>
        <vt:lpstr>Title</vt:lpstr>
      </vt:variant>
      <vt:variant>
        <vt:i4>1</vt:i4>
      </vt:variant>
    </vt:vector>
  </HeadingPairs>
  <TitlesOfParts>
    <vt:vector size="1" baseType="lpstr">
      <vt:lpstr>Pacific Regional Aid Program Performance Report 2016-17</vt:lpstr>
    </vt:vector>
  </TitlesOfParts>
  <Company/>
  <LinksUpToDate>false</LinksUpToDate>
  <CharactersWithSpaces>115480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Regional Aid Program Performance Report 2016-17</dc:title>
  <dc:subject/>
  <dc:creator/>
  <cp:keywords/>
  <dc:description/>
  <cp:lastModifiedBy/>
  <cp:revision>1</cp:revision>
  <dcterms:created xsi:type="dcterms:W3CDTF">2017-09-21T03:30:00Z</dcterms:created>
  <dcterms:modified xsi:type="dcterms:W3CDTF">2017-09-21T03:31:00Z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5891238f-ba65-4b25-931e-d58bef991f48</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1124400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